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r>
      <w:r/>
    </w:p>
    <w:p>
      <w:pPr>
        <w:pStyle w:val="1001"/>
        <w:rPr>
          <w:rFonts w:hint="eastAsia"/>
          <w:color w:val="000000"/>
          <w:highlight w:val="none"/>
        </w:rPr>
      </w:pPr>
      <w:r>
        <w:rPr>
          <w:rFonts w:hint="eastAsia"/>
          <w:color w:val="000000"/>
          <w:highlight w:val="none"/>
        </w:rPr>
      </w:r>
      <w:r/>
    </w:p>
    <w:p>
      <w:pPr>
        <w:pStyle w:val="1222"/>
        <w:jc w:val="center"/>
        <w:rPr>
          <w:rFonts w:hint="eastAsia" w:eastAsia="黑体"/>
          <w:b/>
          <w:bCs/>
          <w:color w:val="000000"/>
          <w:sz w:val="84"/>
          <w:highlight w:val="none"/>
        </w:rPr>
      </w:pPr>
      <w:r>
        <w:rPr>
          <w:rFonts w:hint="eastAsia" w:eastAsia="黑体"/>
          <w:b/>
          <w:bCs/>
          <w:color w:val="000000"/>
          <w:sz w:val="84"/>
          <w:highlight w:val="none"/>
        </w:rPr>
        <w:t xml:space="preserve">招　标　文　件</w:t>
      </w:r>
      <w:r/>
    </w:p>
    <w:p>
      <w:pPr>
        <w:ind w:firstLine="1506"/>
        <w:rPr>
          <w:b/>
          <w:color w:val="000000"/>
          <w:sz w:val="30"/>
          <w:szCs w:val="30"/>
          <w:highlight w:val="none"/>
          <w:u w:val="single"/>
        </w:rPr>
      </w:pPr>
      <w:r>
        <w:rPr>
          <w:rFonts w:hint="eastAsia"/>
          <w:b/>
          <w:color w:val="000000"/>
          <w:sz w:val="30"/>
          <w:szCs w:val="30"/>
          <w:highlight w:val="none"/>
        </w:rPr>
        <w:t xml:space="preserve">项目名称：南京市儿童医院两院区门急诊导医服务</w:t>
      </w:r>
      <w:r>
        <w:rPr>
          <w:rFonts w:hint="eastAsia"/>
          <w:b/>
          <w:color w:val="000000"/>
          <w:sz w:val="32"/>
          <w:szCs w:val="32"/>
          <w:highlight w:val="none"/>
        </w:rPr>
        <w:t xml:space="preserve"> </w:t>
      </w:r>
      <w:r/>
    </w:p>
    <w:p>
      <w:pPr>
        <w:ind w:firstLine="1506"/>
        <w:rPr>
          <w:rFonts w:hint="eastAsia"/>
          <w:b/>
          <w:color w:val="000000"/>
          <w:sz w:val="30"/>
          <w:szCs w:val="30"/>
          <w:highlight w:val="none"/>
        </w:rPr>
      </w:pPr>
      <w:r>
        <w:rPr>
          <w:rFonts w:hint="eastAsia"/>
          <w:b/>
          <w:color w:val="000000"/>
          <w:sz w:val="30"/>
          <w:szCs w:val="30"/>
          <w:highlight w:val="none"/>
        </w:rPr>
        <w:t xml:space="preserve">项目编号：JSZC-320100-JZCG-G2026-0174</w:t>
      </w:r>
      <w:r>
        <w:rPr>
          <w:rFonts w:hint="eastAsia"/>
          <w:b/>
          <w:color w:val="000000"/>
          <w:sz w:val="32"/>
          <w:szCs w:val="32"/>
          <w:highlight w:val="none"/>
        </w:rPr>
        <w:t xml:space="preserve"> </w:t>
      </w:r>
      <w:r>
        <w:rPr>
          <w:rFonts w:hint="eastAsia"/>
          <w:b/>
          <w:color w:val="000000"/>
          <w:sz w:val="30"/>
          <w:szCs w:val="30"/>
          <w:highlight w:val="none"/>
        </w:rPr>
        <w:t xml:space="preserve">              </w:t>
      </w:r>
      <w:r/>
    </w:p>
    <w:p>
      <w:pPr>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0"/>
        <w:jc w:val="center"/>
        <w:rPr>
          <w:rFonts w:hint="eastAsia" w:ascii="Times New Roman" w:hAnsi="Times New Roman" w:eastAsia="宋体" w:cs="Times New Roman"/>
          <w:b/>
          <w:color w:val="000000"/>
          <w:sz w:val="48"/>
          <w:szCs w:val="48"/>
          <w:highlight w:val="none"/>
          <w:lang w:eastAsia="zh-CN"/>
        </w:rPr>
      </w:pPr>
      <w:r>
        <w:rPr>
          <w:rFonts w:hint="eastAsia" w:ascii="Times New Roman" w:hAnsi="Times New Roman" w:eastAsia="宋体" w:cs="Times New Roman"/>
          <w:b/>
          <w:color w:val="000000"/>
          <w:sz w:val="48"/>
          <w:szCs w:val="48"/>
          <w:highlight w:val="none"/>
          <w:lang w:eastAsia="zh-CN"/>
        </w:rPr>
        <w:t xml:space="preserve">（</w:t>
      </w:r>
      <w:r>
        <w:rPr>
          <w:rFonts w:hint="eastAsia" w:ascii="Times New Roman" w:hAnsi="Times New Roman" w:eastAsia="宋体" w:cs="Times New Roman"/>
          <w:b/>
          <w:color w:val="000000"/>
          <w:sz w:val="48"/>
          <w:szCs w:val="48"/>
          <w:highlight w:val="none"/>
          <w:lang w:val="en-US" w:eastAsia="zh-CN"/>
        </w:rPr>
        <w:t xml:space="preserve">暗标</w:t>
      </w:r>
      <w:r>
        <w:rPr>
          <w:rFonts w:hint="eastAsia" w:ascii="Times New Roman" w:hAnsi="Times New Roman" w:eastAsia="宋体" w:cs="Times New Roman"/>
          <w:b/>
          <w:color w:val="000000"/>
          <w:sz w:val="48"/>
          <w:szCs w:val="48"/>
          <w:highlight w:val="none"/>
          <w:lang w:eastAsia="zh-CN"/>
        </w:rPr>
        <w:t xml:space="preserve">）</w:t>
      </w:r>
      <w:r/>
    </w:p>
    <w:p>
      <w:pPr>
        <w:jc w:val="center"/>
        <w:spacing w:line="48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22"/>
        <w:ind w:firstLine="0"/>
        <w:jc w:val="center"/>
        <w:rPr>
          <w:rFonts w:hint="eastAsia"/>
          <w:b/>
          <w:bCs/>
          <w:color w:val="000000"/>
          <w:sz w:val="32"/>
          <w:highlight w:val="none"/>
        </w:rPr>
      </w:pPr>
      <w:r>
        <w:rPr>
          <w:rFonts w:hint="eastAsia"/>
          <w:b/>
          <w:bCs/>
          <w:color w:val="000000"/>
          <w:sz w:val="32"/>
          <w:highlight w:val="none"/>
        </w:rPr>
        <w:t xml:space="preserve">南京市公共资源交易中心</w:t>
      </w:r>
      <w:r/>
    </w:p>
    <w:p>
      <w:pPr>
        <w:jc w:val="center"/>
        <w:rPr>
          <w:rFonts w:hint="eastAsia"/>
          <w:b/>
          <w:color w:val="000000"/>
          <w:sz w:val="32"/>
          <w:szCs w:val="32"/>
          <w:highlight w:val="none"/>
        </w:rPr>
      </w:pPr>
      <w:r>
        <w:rPr>
          <w:rFonts w:hint="eastAsia"/>
          <w:b/>
          <w:color w:val="000000"/>
          <w:sz w:val="32"/>
          <w:szCs w:val="32"/>
          <w:highlight w:val="none"/>
        </w:rPr>
        <w:t xml:space="preserve">2026年8月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spacing w:line="480" w:lineRule="auto"/>
        <w:rPr>
          <w:rFonts w:hint="eastAsia"/>
          <w:color w:val="000000"/>
          <w:highlight w:val="none"/>
        </w:rPr>
      </w:pPr>
      <w:r>
        <w:rPr>
          <w:rFonts w:hint="eastAsia"/>
          <w:color w:val="000000"/>
          <w:highlight w:val="none"/>
        </w:rPr>
        <w:t xml:space="preserve">                      </w:t>
      </w:r>
      <w:r/>
    </w:p>
    <w:p>
      <w:pPr>
        <w:pStyle w:val="895"/>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95"/>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16938516"/>
      <w:r/>
      <w:bookmarkStart w:id="3" w:name="_Toc513029200"/>
      <w:r/>
      <w:bookmarkStart w:id="4" w:name="_Toc479757206"/>
      <w:r/>
      <w:bookmarkStart w:id="5" w:name="_Toc20823272"/>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4"/>
        </w:numPr>
        <w:jc w:val="center"/>
        <w:spacing w:line="552" w:lineRule="auto"/>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w:t>
      </w:r>
      <w:r>
        <w:rPr>
          <w:rFonts w:hint="eastAsia" w:ascii="黑体" w:hAnsi="宋体" w:eastAsia="黑体"/>
          <w:color w:val="000000"/>
          <w:sz w:val="36"/>
          <w:highlight w:val="none"/>
          <w:lang w:val="en-US" w:eastAsia="zh-CN"/>
        </w:rPr>
        <w:t xml:space="preserve">3</w:t>
      </w:r>
      <w:r/>
    </w:p>
    <w:p>
      <w:pPr>
        <w:numPr>
          <w:ilvl w:val="0"/>
          <w:numId w:val="4"/>
        </w:numPr>
        <w:jc w:val="center"/>
        <w:spacing w:line="552" w:lineRule="auto"/>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供应商须知………………………………… </w:t>
      </w:r>
      <w:r>
        <w:rPr>
          <w:rFonts w:hint="eastAsia" w:ascii="黑体" w:hAnsi="宋体" w:eastAsia="黑体"/>
          <w:color w:val="000000"/>
          <w:sz w:val="36"/>
          <w:highlight w:val="none"/>
          <w:lang w:val="en-US" w:eastAsia="zh-CN"/>
        </w:rPr>
        <w:t xml:space="preserve">5</w:t>
      </w:r>
      <w:r/>
    </w:p>
    <w:p>
      <w:pPr>
        <w:numPr>
          <w:ilvl w:val="0"/>
          <w:numId w:val="4"/>
        </w:numPr>
        <w:jc w:val="center"/>
        <w:spacing w:line="552" w:lineRule="auto"/>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w:t>
      </w:r>
      <w:r>
        <w:rPr>
          <w:rFonts w:hint="eastAsia" w:ascii="黑体" w:hAnsi="宋体" w:eastAsia="黑体"/>
          <w:color w:val="000000"/>
          <w:sz w:val="36"/>
          <w:highlight w:val="none"/>
          <w:lang w:val="en-US" w:eastAsia="zh-CN"/>
        </w:rPr>
        <w:t xml:space="preserve">13</w:t>
      </w:r>
      <w:r/>
    </w:p>
    <w:p>
      <w:pPr>
        <w:numPr>
          <w:ilvl w:val="0"/>
          <w:numId w:val="4"/>
        </w:numPr>
        <w:jc w:val="center"/>
        <w:spacing w:line="552" w:lineRule="auto"/>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w:t>
      </w:r>
      <w:r>
        <w:rPr>
          <w:rFonts w:hint="eastAsia" w:ascii="黑体" w:hAnsi="宋体" w:eastAsia="黑体"/>
          <w:color w:val="000000"/>
          <w:sz w:val="36"/>
          <w:highlight w:val="none"/>
          <w:lang w:val="en-US" w:eastAsia="zh-CN"/>
        </w:rPr>
        <w:t xml:space="preserve">17</w:t>
      </w:r>
      <w:r/>
    </w:p>
    <w:p>
      <w:pPr>
        <w:numPr>
          <w:ilvl w:val="0"/>
          <w:numId w:val="4"/>
        </w:numPr>
        <w:jc w:val="center"/>
        <w:spacing w:line="552" w:lineRule="auto"/>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w:t>
      </w:r>
      <w:r>
        <w:rPr>
          <w:rFonts w:hint="eastAsia" w:ascii="黑体" w:hAnsi="宋体" w:eastAsia="黑体"/>
          <w:color w:val="000000"/>
          <w:sz w:val="36"/>
          <w:highlight w:val="none"/>
          <w:lang w:val="en-US" w:eastAsia="zh-CN"/>
        </w:rPr>
        <w:t xml:space="preserve">31</w:t>
      </w:r>
      <w:r/>
    </w:p>
    <w:p>
      <w:pPr>
        <w:numPr>
          <w:ilvl w:val="0"/>
          <w:numId w:val="4"/>
        </w:numPr>
        <w:jc w:val="center"/>
        <w:spacing w:line="552" w:lineRule="auto"/>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投标文件格式………………………………</w:t>
      </w:r>
      <w:r>
        <w:rPr>
          <w:rFonts w:hint="eastAsia" w:ascii="黑体" w:hAnsi="宋体" w:eastAsia="黑体"/>
          <w:color w:val="000000"/>
          <w:sz w:val="36"/>
          <w:highlight w:val="none"/>
          <w:lang w:val="en-US" w:eastAsia="zh-CN"/>
        </w:rPr>
        <w:t xml:space="preserve">34</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hint="eastAsia" w:ascii="方正小标宋简体" w:hAnsi="方正小标宋简体" w:eastAsia="方正小标宋简体" w:cs="方正小标宋简体"/>
          <w:color w:val="000000"/>
          <w:sz w:val="36"/>
          <w:szCs w:val="36"/>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ind w:firstLine="480"/>
        <w:spacing w:line="252" w:lineRule="auto"/>
        <w:rPr>
          <w:rFonts w:hint="eastAsia" w:ascii="宋体" w:hAnsi="宋体"/>
          <w:color w:val="000000"/>
          <w:sz w:val="24"/>
          <w:szCs w:val="24"/>
          <w:highlight w:val="none"/>
        </w:rPr>
      </w:pPr>
      <w:r/>
      <w:bookmarkStart w:id="6" w:name="_Toc35393621"/>
      <w:r/>
      <w:bookmarkStart w:id="7" w:name="_Toc38985263"/>
      <w:r/>
      <w:bookmarkStart w:id="8" w:name="_Toc35393790"/>
      <w:r/>
      <w:bookmarkStart w:id="9" w:name="_Toc28359079"/>
      <w:r/>
      <w:bookmarkStart w:id="10" w:name="_Toc28359002"/>
      <w:r/>
      <w:bookmarkStart w:id="11" w:name="_Hlk24379207"/>
      <w:r/>
      <w:r/>
    </w:p>
    <w:p>
      <w:pPr>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受南京市儿童医院委托，南京市公共资源交易中心（以下简称“交易中心”）就南京市儿童医院两院区门急诊导医服务进行公开招标采购，欢迎符合条件的供应商投标。</w:t>
      </w:r>
      <w:r/>
    </w:p>
    <w:p>
      <w:pPr>
        <w:pStyle w:val="942"/>
        <w:ind w:firstLine="465"/>
        <w:spacing w:before="120" w:after="120" w:line="252"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1.项目编号：JSZC-320100-JZCG-G2026-0174 </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2.项目名称：南京市儿童医院两院区门急诊导医服务</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3.预算金额：3600万元（1200万元/年）</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4.最高限价：3600万元（1200万元/年）</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采购需求（简介）：本项目为采购人（广州路院区、河西院区）门急诊需要导医协助医院进行导诊、自助机管理、现场秩序维护等非医疗性服务。包含医院门诊一站式服务中心、住院服务中心、预约回访中心、医院门急诊科室、医院医技科室、专科诊室等。（详细内容见本招标文件第四章） </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服务期3</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合同一年一签，</w:t>
      </w:r>
      <w:r>
        <w:rPr>
          <w:rFonts w:hint="eastAsia" w:ascii="宋体" w:hAnsi="宋体" w:eastAsia="宋体" w:cs="Times New Roman"/>
          <w:color w:val="000000"/>
          <w:sz w:val="24"/>
          <w:szCs w:val="24"/>
          <w:highlight w:val="none"/>
          <w:lang w:val="en-US" w:eastAsia="zh-CN"/>
        </w:rPr>
        <w:t xml:space="preserve">每年考核合格后续签下一年度合同</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每年服务期满，采购人有权根据预算调整或考核情况决定继续履行合同（可能根据预算调整压缩合同金额）或终止合同。</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p>
    <w:p>
      <w:pPr>
        <w:pStyle w:val="942"/>
        <w:ind w:firstLine="465"/>
        <w:spacing w:before="120" w:after="120" w:line="252" w:lineRule="auto"/>
        <w:rPr>
          <w:rFonts w:hint="eastAsia" w:ascii="方正黑体_GBK" w:hAnsi="方正黑体_GBK" w:eastAsia="方正黑体_GBK" w:cs="方正黑体_GBK"/>
          <w:color w:val="000000"/>
          <w:highlight w:val="none"/>
        </w:rPr>
      </w:pPr>
      <w:r/>
      <w:bookmarkStart w:id="12" w:name="_Toc35393622"/>
      <w:r/>
      <w:bookmarkStart w:id="13" w:name="_Toc35393791"/>
      <w:r/>
      <w:bookmarkStart w:id="14" w:name="_Toc28359080"/>
      <w:r/>
      <w:bookmarkStart w:id="15" w:name="_Toc38985264"/>
      <w:r/>
      <w:bookmarkStart w:id="16" w:name="_Toc28359003"/>
      <w:r>
        <w:rPr>
          <w:rFonts w:hint="eastAsia" w:ascii="方正黑体_GBK" w:hAnsi="方正黑体_GBK" w:eastAsia="方正黑体_GBK" w:cs="方正黑体_GBK"/>
          <w:color w:val="000000"/>
          <w:highlight w:val="none"/>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000000"/>
          <w:sz w:val="24"/>
          <w:szCs w:val="24"/>
          <w:highlight w:val="none"/>
        </w:rPr>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1.满足《中华人民共和国政府采购法》第二十二条规定，并提供下列材料：</w:t>
      </w:r>
      <w:r/>
    </w:p>
    <w:p>
      <w:pPr>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供应商信用承诺函（格式见第六章）。</w:t>
      </w:r>
      <w:r/>
    </w:p>
    <w:p>
      <w:pPr>
        <w:ind w:firstLine="480"/>
        <w:spacing w:line="252"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2.落实政府采购政策需满足的资格要求：无</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val="zh-CN"/>
        </w:rPr>
        <w:t xml:space="preserve">无</w:t>
      </w:r>
      <w:r/>
    </w:p>
    <w:p>
      <w:pPr>
        <w:pStyle w:val="942"/>
        <w:ind w:firstLine="465"/>
        <w:spacing w:before="120" w:after="120" w:line="252"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highlight w:val="none"/>
        </w:rPr>
        <w:t xml:space="preserve">1.时间：自招标文件公告发布之日起。</w:t>
      </w:r>
      <w:r/>
    </w:p>
    <w:p>
      <w:pPr>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p>
    <w:p>
      <w:pPr>
        <w:pStyle w:val="942"/>
        <w:ind w:firstLine="465"/>
        <w:spacing w:before="120" w:after="120" w:line="252"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四、提交投标文件</w:t>
      </w:r>
      <w:bookmarkEnd w:id="22"/>
      <w:r/>
      <w:bookmarkEnd w:id="23"/>
      <w:r>
        <w:rPr>
          <w:rFonts w:hint="eastAsia" w:ascii="方正黑体_GBK" w:hAnsi="方正黑体_GBK" w:eastAsia="方正黑体_GBK" w:cs="方正黑体_GBK"/>
          <w:color w:val="000000"/>
          <w:highlight w:val="none"/>
        </w:rPr>
        <w:t xml:space="preserve">截止时间、开标时间和地点</w:t>
      </w:r>
      <w:bookmarkEnd w:id="24"/>
      <w:r/>
      <w:bookmarkEnd w:id="25"/>
      <w:r/>
      <w:bookmarkEnd w:id="26"/>
      <w:r/>
      <w:r/>
    </w:p>
    <w:p>
      <w:pPr>
        <w:ind w:firstLine="480"/>
        <w:spacing w:line="252" w:lineRule="auto"/>
        <w:rPr>
          <w:rFonts w:hint="eastAsia" w:ascii="宋体" w:hAnsi="宋体"/>
          <w:bCs/>
          <w:color w:val="000000"/>
          <w:sz w:val="24"/>
          <w:szCs w:val="24"/>
          <w:highlight w:val="none"/>
          <w:u w:val="single"/>
        </w:rPr>
      </w:pPr>
      <w:r/>
      <w:bookmarkStart w:id="27" w:name="_Toc38985267"/>
      <w:r/>
      <w:bookmarkStart w:id="28" w:name="_Toc28359084"/>
      <w:r/>
      <w:bookmarkStart w:id="29" w:name="_Toc35393794"/>
      <w:r/>
      <w:bookmarkStart w:id="30" w:name="_Toc28359007"/>
      <w:r/>
      <w:bookmarkStart w:id="31" w:name="_Toc35393625"/>
      <w:r>
        <w:rPr>
          <w:rFonts w:hint="eastAsia" w:ascii="宋体" w:hAnsi="宋体" w:cs="宋体"/>
          <w:color w:val="000000"/>
          <w:sz w:val="24"/>
          <w:szCs w:val="24"/>
          <w:highlight w:val="none"/>
        </w:rPr>
        <w:t xml:space="preserve">1.提交投标文件截止时间、开标时间：</w:t>
      </w:r>
      <w:r>
        <w:rPr>
          <w:rFonts w:hint="eastAsia" w:ascii="宋体" w:hAnsi="宋体" w:cs="宋体"/>
          <w:b/>
          <w:bCs/>
          <w:color w:val="000000"/>
          <w:sz w:val="24"/>
          <w:szCs w:val="24"/>
          <w:highlight w:val="none"/>
        </w:rPr>
        <w:t xml:space="preserve">20</w:t>
      </w:r>
      <w:r>
        <w:rPr>
          <w:rFonts w:hint="eastAsia" w:ascii="宋体" w:hAnsi="宋体" w:cs="宋体"/>
          <w:b/>
          <w:bCs/>
          <w:color w:val="000000"/>
          <w:sz w:val="24"/>
          <w:szCs w:val="24"/>
          <w:highlight w:val="none"/>
        </w:rPr>
        <w:t xml:space="preserve">26</w:t>
      </w:r>
      <w:r>
        <w:rPr>
          <w:rFonts w:hint="eastAsia" w:ascii="宋体" w:hAnsi="宋体"/>
          <w:b/>
          <w:bCs/>
          <w:color w:val="000000"/>
          <w:sz w:val="24"/>
          <w:szCs w:val="24"/>
          <w:highlight w:val="none"/>
        </w:rPr>
        <w:t xml:space="preserve">年8</w:t>
      </w:r>
      <w:r>
        <w:rPr>
          <w:rFonts w:hint="eastAsia" w:ascii="宋体" w:hAnsi="宋体"/>
          <w:b/>
          <w:bCs/>
          <w:color w:val="000000"/>
          <w:sz w:val="24"/>
          <w:szCs w:val="24"/>
          <w:highlight w:val="none"/>
        </w:rPr>
        <w:t xml:space="preserve">月26</w:t>
      </w:r>
      <w:r>
        <w:rPr>
          <w:rFonts w:hint="eastAsia" w:ascii="宋体" w:hAnsi="宋体"/>
          <w:b/>
          <w:bCs/>
          <w:color w:val="000000"/>
          <w:sz w:val="24"/>
          <w:szCs w:val="24"/>
          <w:highlight w:val="none"/>
        </w:rPr>
        <w:t xml:space="preserve">日</w:t>
      </w:r>
      <w:r>
        <w:rPr>
          <w:rFonts w:hint="eastAsia" w:ascii="宋体" w:hAnsi="宋体" w:cs="宋体"/>
          <w:b/>
          <w:bCs/>
          <w:color w:val="000000"/>
          <w:sz w:val="24"/>
          <w:szCs w:val="24"/>
          <w:highlight w:val="none"/>
        </w:rPr>
        <w:t xml:space="preserve">09</w:t>
      </w:r>
      <w:r>
        <w:rPr>
          <w:rFonts w:hint="eastAsia"/>
          <w:b/>
          <w:bCs/>
          <w:color w:val="000000"/>
          <w:sz w:val="24"/>
          <w:szCs w:val="24"/>
          <w:highlight w:val="none"/>
        </w:rPr>
        <w:t xml:space="preserve">时</w:t>
      </w:r>
      <w:r>
        <w:rPr>
          <w:rFonts w:hint="eastAsia" w:ascii="宋体" w:hAnsi="宋体" w:cs="宋体"/>
          <w:b/>
          <w:bCs/>
          <w:color w:val="000000"/>
          <w:sz w:val="24"/>
          <w:szCs w:val="24"/>
          <w:highlight w:val="none"/>
        </w:rPr>
        <w:t xml:space="preserve">30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（北京时间）。</w:t>
      </w:r>
      <w:r/>
    </w:p>
    <w:p>
      <w:pPr>
        <w:ind w:firstLine="480"/>
        <w:spacing w:line="252" w:lineRule="auto"/>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s="宋体"/>
          <w:color w:val="000000"/>
          <w:sz w:val="24"/>
          <w:szCs w:val="24"/>
          <w:highlight w:val="none"/>
        </w:rPr>
        <w:t xml:space="preserve">江苏省政府采购交易系统（以下简称“苏采云系统”）网上开标大厅。</w:t>
      </w:r>
      <w:r/>
    </w:p>
    <w:p>
      <w:pPr>
        <w:pStyle w:val="942"/>
        <w:ind w:firstLine="465"/>
        <w:spacing w:before="120" w:after="120" w:line="252"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p>
    <w:p>
      <w:pPr>
        <w:pStyle w:val="942"/>
        <w:ind w:firstLine="465"/>
        <w:spacing w:before="120" w:after="120" w:line="252" w:lineRule="auto"/>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sz w:val="24"/>
          <w:szCs w:val="24"/>
          <w:highlight w:val="none"/>
        </w:rPr>
      </w:pPr>
      <w:r/>
      <w:bookmarkStart w:id="35" w:name="_Toc28359008"/>
      <w:r/>
      <w:bookmarkStart w:id="36" w:name="_Toc28359085"/>
      <w:r/>
      <w:bookmarkStart w:id="37" w:name="_Toc35393796"/>
      <w:r/>
      <w:bookmarkStart w:id="38" w:name="_Toc38985269"/>
      <w:r/>
      <w:bookmarkStart w:id="39" w:name="_Toc35393627"/>
      <w:r>
        <w:rPr>
          <w:rFonts w:hint="eastAsia" w:ascii="宋体" w:hAnsi="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p>
    <w:p>
      <w:pPr>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，供应商如对采购需求有疑问，请咨询采购单位联系人。 </w:t>
      </w:r>
      <w:r/>
    </w:p>
    <w:p>
      <w:pPr>
        <w:ind w:firstLine="480"/>
        <w:spacing w:line="252" w:lineRule="auto"/>
        <w:rPr>
          <w:color w:val="000000"/>
          <w:highlight w:val="none"/>
        </w:rPr>
      </w:pPr>
      <w:r>
        <w:rPr>
          <w:rFonts w:hint="eastAsia" w:ascii="宋体" w:hAnsi="宋体" w:cs="宋体"/>
          <w:color w:val="000000"/>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4.有关本次招标的事项若存在变动或修改，请及时关注“江苏政府采购网”（www.ccgp-jiangsu.gov.cn）更正公告。</w:t>
      </w:r>
      <w:r/>
    </w:p>
    <w:p>
      <w:pPr>
        <w:ind w:firstLine="422"/>
        <w:rPr>
          <w:rFonts w:hint="eastAsia" w:ascii="宋体" w:hAnsi="宋体"/>
          <w:b/>
          <w:bCs/>
          <w:color w:val="000000"/>
          <w:sz w:val="24"/>
          <w:szCs w:val="22"/>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val="zh-CN"/>
        </w:rPr>
        <w:t xml:space="preserve">供应商（含潜在供应商）</w:t>
      </w:r>
      <w:r>
        <w:rPr>
          <w:rFonts w:hint="eastAsia" w:ascii="宋体" w:hAnsi="宋体"/>
          <w:b/>
          <w:bCs/>
          <w:color w:val="000000"/>
          <w:sz w:val="24"/>
          <w:highlight w:val="none"/>
        </w:rPr>
        <w:t xml:space="preserve">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p>
    <w:p>
      <w:pPr>
        <w:ind w:firstLine="480"/>
        <w:spacing w:line="252" w:lineRule="auto"/>
        <w:rPr>
          <w:color w:val="000000"/>
          <w:highlight w:val="none"/>
        </w:rPr>
      </w:pPr>
      <w:r>
        <w:rPr>
          <w:rFonts w:hint="eastAsia" w:ascii="宋体" w:hAnsi="宋体"/>
          <w:color w:val="000000"/>
          <w:sz w:val="24"/>
          <w:highlight w:val="none"/>
        </w:rPr>
        <w:t xml:space="preserve">采购人《质疑函》收件人：</w:t>
      </w:r>
      <w:r>
        <w:rPr>
          <w:rFonts w:hint="eastAsia" w:ascii="宋体" w:hAnsi="宋体"/>
          <w:color w:val="000000"/>
          <w:sz w:val="24"/>
          <w:highlight w:val="none"/>
          <w:lang w:val="en-US" w:eastAsia="zh-CN"/>
        </w:rPr>
        <w:t xml:space="preserve">李老师</w:t>
      </w:r>
      <w:r>
        <w:rPr>
          <w:rFonts w:hint="eastAsia" w:ascii="宋体" w:hAnsi="宋体"/>
          <w:color w:val="000000"/>
          <w:sz w:val="24"/>
          <w:highlight w:val="none"/>
        </w:rPr>
        <w:t xml:space="preserve">，收件地址：</w:t>
      </w:r>
      <w:r>
        <w:rPr>
          <w:rFonts w:hint="eastAsia" w:ascii="宋体" w:hAnsi="宋体" w:cs="宋体"/>
          <w:color w:val="000000"/>
          <w:sz w:val="24"/>
          <w:szCs w:val="24"/>
          <w:highlight w:val="none"/>
        </w:rPr>
        <w:t xml:space="preserve">南京市</w:t>
      </w:r>
      <w:r>
        <w:rPr>
          <w:rFonts w:hint="eastAsia" w:ascii="宋体" w:hAnsi="宋体" w:cs="宋体"/>
          <w:color w:val="000000"/>
          <w:sz w:val="24"/>
          <w:szCs w:val="24"/>
          <w:highlight w:val="none"/>
          <w:lang w:val="en-US" w:eastAsia="zh-CN"/>
        </w:rPr>
        <w:t xml:space="preserve">建邺区江东南</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号</w:t>
      </w:r>
      <w:r>
        <w:rPr>
          <w:rFonts w:hint="eastAsia" w:ascii="宋体" w:hAnsi="宋体" w:cs="宋体"/>
          <w:color w:val="000000"/>
          <w:sz w:val="24"/>
          <w:szCs w:val="24"/>
          <w:highlight w:val="none"/>
          <w:lang w:val="en-US" w:eastAsia="zh-CN"/>
        </w:rPr>
        <w:t xml:space="preserve">1号楼四楼B401</w:t>
      </w:r>
      <w:r>
        <w:rPr>
          <w:rFonts w:hint="eastAsia" w:ascii="宋体" w:hAnsi="宋体" w:cs="宋体"/>
          <w:color w:val="000000"/>
          <w:sz w:val="24"/>
          <w:szCs w:val="24"/>
          <w:highlight w:val="none"/>
        </w:rPr>
        <w:t xml:space="preserve">室，</w:t>
      </w:r>
      <w:r>
        <w:rPr>
          <w:rFonts w:hint="eastAsia" w:ascii="宋体" w:hAnsi="宋体"/>
          <w:color w:val="000000"/>
          <w:sz w:val="24"/>
          <w:highlight w:val="none"/>
        </w:rPr>
        <w:t xml:space="preserve">联系电话：</w:t>
      </w:r>
      <w:r>
        <w:rPr>
          <w:rFonts w:hint="eastAsia" w:ascii="宋体" w:hAnsi="宋体"/>
          <w:color w:val="000000"/>
          <w:sz w:val="24"/>
          <w:highlight w:val="none"/>
          <w:lang w:val="en-US" w:eastAsia="zh-CN"/>
        </w:rPr>
        <w:t xml:space="preserve">025-52862966</w:t>
      </w:r>
      <w:r>
        <w:rPr>
          <w:rFonts w:hint="eastAsia" w:ascii="宋体" w:hAnsi="宋体"/>
          <w:color w:val="000000"/>
          <w:sz w:val="24"/>
          <w:highlight w:val="none"/>
        </w:rPr>
        <w:t xml:space="preserve">。</w:t>
      </w:r>
      <w:r/>
    </w:p>
    <w:p>
      <w:pPr>
        <w:pStyle w:val="895"/>
        <w:ind w:firstLine="600"/>
        <w:rPr>
          <w:rFonts w:hint="eastAsia" w:ascii="方正黑体_GBK" w:hAnsi="方正黑体_GBK" w:eastAsia="方正黑体_GBK" w:cs="方正黑体_GBK"/>
          <w:color w:val="000000"/>
          <w:sz w:val="30"/>
          <w:szCs w:val="30"/>
          <w:highlight w:val="none"/>
        </w:rPr>
      </w:pPr>
      <w:r>
        <w:rPr>
          <w:rFonts w:hint="eastAsia" w:ascii="方正黑体_GBK" w:hAnsi="方正黑体_GBK" w:eastAsia="方正黑体_GBK" w:cs="方正黑体_GBK"/>
          <w:color w:val="000000"/>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名称：南京市儿童医院          </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s="宋体"/>
          <w:color w:val="000000"/>
          <w:sz w:val="24"/>
          <w:szCs w:val="24"/>
          <w:highlight w:val="none"/>
        </w:rPr>
        <w:t xml:space="preserve">南京市鼓楼区广州路72号（广州路院区），南京市建邺区江东南路8号（河西院区）</w:t>
      </w:r>
      <w:r>
        <w:rPr>
          <w:rFonts w:hint="eastAsia" w:ascii="宋体" w:hAnsi="宋体"/>
          <w:color w:val="000000"/>
          <w:sz w:val="24"/>
          <w:szCs w:val="24"/>
          <w:highlight w:val="none"/>
        </w:rPr>
        <w:t xml:space="preserve">    </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lang w:val="en-US" w:eastAsia="zh-CN"/>
        </w:rPr>
        <w:t xml:space="preserve">殷老师、李老师</w:t>
      </w:r>
      <w:r>
        <w:rPr>
          <w:rFonts w:hint="eastAsia" w:ascii="宋体" w:hAnsi="宋体"/>
          <w:color w:val="000000"/>
          <w:sz w:val="24"/>
          <w:szCs w:val="24"/>
          <w:highlight w:val="none"/>
        </w:rPr>
        <w:t xml:space="preserve"> </w:t>
      </w:r>
      <w:r/>
    </w:p>
    <w:p>
      <w:pPr>
        <w:ind w:firstLine="480"/>
        <w:spacing w:line="252" w:lineRule="auto"/>
        <w:rPr>
          <w:rFonts w:ascii="宋体" w:hAnsi="宋体"/>
          <w:color w:val="000000"/>
          <w:sz w:val="24"/>
          <w:szCs w:val="24"/>
          <w:highlight w:val="none"/>
          <w:lang w:val="en-US"/>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025-52865877、</w:t>
      </w:r>
      <w:r>
        <w:rPr>
          <w:rFonts w:hint="eastAsia" w:ascii="宋体" w:hAnsi="宋体"/>
          <w:color w:val="000000"/>
          <w:sz w:val="24"/>
          <w:szCs w:val="24"/>
          <w:highlight w:val="none"/>
        </w:rPr>
        <w:t xml:space="preserve">025-</w:t>
      </w:r>
      <w:r>
        <w:rPr>
          <w:rFonts w:hint="eastAsia" w:ascii="宋体" w:hAnsi="宋体"/>
          <w:color w:val="000000"/>
          <w:sz w:val="24"/>
          <w:highlight w:val="none"/>
          <w:lang w:val="en-US" w:eastAsia="zh-CN"/>
        </w:rPr>
        <w:t xml:space="preserve">52862966</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建邺</w:t>
      </w:r>
      <w:r>
        <w:rPr>
          <w:rFonts w:hint="eastAsia" w:ascii="宋体" w:hAnsi="宋体" w:cs="宋体"/>
          <w:color w:val="000000"/>
          <w:sz w:val="24"/>
          <w:szCs w:val="24"/>
          <w:highlight w:val="none"/>
        </w:rPr>
        <w:t xml:space="preserve">区江东中路265号</w:t>
      </w:r>
      <w:r>
        <w:rPr>
          <w:rFonts w:hint="eastAsia" w:ascii="宋体" w:hAnsi="宋体"/>
          <w:color w:val="000000"/>
          <w:sz w:val="24"/>
          <w:szCs w:val="24"/>
          <w:highlight w:val="none"/>
        </w:rPr>
        <w:t xml:space="preserve">    </w:t>
      </w:r>
      <w:r/>
    </w:p>
    <w:p>
      <w:pPr>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联系人：孙先生 </w:t>
      </w:r>
      <w:r/>
    </w:p>
    <w:p>
      <w:pPr>
        <w:ind w:firstLine="480"/>
        <w:spacing w:line="252" w:lineRule="auto"/>
        <w:rPr>
          <w:rFonts w:hint="eastAsia"/>
          <w:color w:val="000000"/>
          <w:highlight w:val="none"/>
        </w:rPr>
      </w:pPr>
      <w:r>
        <w:rPr>
          <w:rFonts w:hint="eastAsia" w:ascii="宋体" w:hAnsi="宋体"/>
          <w:color w:val="000000"/>
          <w:sz w:val="24"/>
          <w:szCs w:val="24"/>
          <w:highlight w:val="none"/>
        </w:rPr>
        <w:t xml:space="preserve">联系电话：025-68505990  </w:t>
      </w:r>
      <w:r/>
    </w:p>
    <w:p>
      <w:pPr>
        <w:pStyle w:val="1001"/>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bookmarkStart w:id="40" w:name="_Toc120614211"/>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第二章  </w:t>
      </w:r>
      <w:bookmarkEnd w:id="1"/>
      <w:r/>
      <w:bookmarkEnd w:id="2"/>
      <w:r/>
      <w:bookmarkEnd w:id="3"/>
      <w:r/>
      <w:bookmarkEnd w:id="4"/>
      <w:r/>
      <w:bookmarkEnd w:id="5"/>
      <w:r/>
      <w:bookmarkEnd w:id="40"/>
      <w:r/>
      <w:bookmarkStart w:id="41" w:name="_Toc16938518"/>
      <w:r/>
      <w:bookmarkStart w:id="42" w:name="_Toc120614213"/>
      <w:r/>
      <w:bookmarkStart w:id="43" w:name="_Toc20823274"/>
      <w:r/>
      <w:bookmarkStart w:id="44" w:name="_Toc513029202"/>
      <w:r>
        <w:rPr>
          <w:rFonts w:hint="eastAsia" w:ascii="方正小标宋简体" w:hAnsi="方正小标宋简体" w:eastAsia="方正小标宋简体" w:cs="方正小标宋简体"/>
          <w:color w:val="000000"/>
          <w:sz w:val="36"/>
          <w:szCs w:val="36"/>
          <w:highlight w:val="none"/>
          <w:lang w:val="en-US"/>
        </w:rPr>
        <w:t xml:space="preserve">供应商须知</w:t>
      </w:r>
      <w:bookmarkEnd w:id="41"/>
      <w:r/>
      <w:bookmarkEnd w:id="42"/>
      <w:r/>
      <w:bookmarkEnd w:id="43"/>
      <w:r/>
      <w:bookmarkEnd w:id="44"/>
      <w:r/>
      <w:r/>
    </w:p>
    <w:p>
      <w:pPr>
        <w:pStyle w:val="942"/>
        <w:ind w:firstLine="465"/>
        <w:spacing w:before="120" w:after="120"/>
        <w:rPr>
          <w:rFonts w:hint="eastAsia" w:ascii="方正黑体_GBK" w:hAnsi="方正黑体_GBK" w:eastAsia="方正黑体_GBK" w:cs="方正黑体_GBK"/>
          <w:color w:val="000000"/>
          <w:highlight w:val="none"/>
        </w:rPr>
      </w:pPr>
      <w:r/>
      <w:bookmarkStart w:id="45" w:name="_Toc16938519"/>
      <w:r/>
      <w:bookmarkStart w:id="46" w:name="_Toc513029203"/>
      <w:r/>
      <w:bookmarkStart w:id="47" w:name="_Toc120614214"/>
      <w:r/>
      <w:bookmarkStart w:id="48" w:name="_Toc20823275"/>
      <w:r/>
      <w:bookmarkStart w:id="49" w:name="_Toc120614221"/>
      <w:r/>
      <w:bookmarkStart w:id="50" w:name="_Toc513029242"/>
      <w:r/>
      <w:bookmarkStart w:id="51" w:name="_Toc20823314"/>
      <w:r/>
      <w:bookmarkStart w:id="52" w:name="_Toc479757207"/>
      <w:r/>
      <w:bookmarkStart w:id="53" w:name="_Toc16938558"/>
      <w:r>
        <w:rPr>
          <w:rFonts w:hint="eastAsia" w:ascii="方正黑体_GBK" w:hAnsi="方正黑体_GBK" w:eastAsia="方正黑体_GBK" w:cs="方正黑体_GBK"/>
          <w:color w:val="000000"/>
          <w:highlight w:val="none"/>
        </w:rPr>
        <w:t xml:space="preserve">一、总则</w:t>
      </w:r>
      <w:bookmarkEnd w:id="45"/>
      <w:r/>
      <w:bookmarkEnd w:id="46"/>
      <w:r/>
      <w:bookmarkEnd w:id="47"/>
      <w:r/>
      <w:bookmarkEnd w:id="48"/>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方正楷体_GBK" w:hAnsi="方正楷体_GBK" w:eastAsia="方正楷体_GBK" w:cs="方正楷体_GBK"/>
          <w:color w:val="000000"/>
          <w:sz w:val="28"/>
          <w:szCs w:val="28"/>
          <w:highlight w:val="none"/>
        </w:rPr>
        <w:t xml:space="preserve">1</w:t>
      </w:r>
      <w:bookmarkEnd w:id="55"/>
      <w:r>
        <w:rPr>
          <w:rFonts w:hint="eastAsia" w:ascii="方正楷体_GBK" w:hAnsi="方正楷体_GBK" w:eastAsia="方正楷体_GBK" w:cs="方正楷体_GBK"/>
          <w:color w:val="000000"/>
          <w:sz w:val="28"/>
          <w:szCs w:val="28"/>
          <w:highlight w:val="none"/>
        </w:rPr>
        <w:t xml:space="preserve">.招标方式</w:t>
      </w:r>
      <w:bookmarkEnd w:id="56"/>
      <w:r/>
      <w:bookmarkEnd w:id="57"/>
      <w:r/>
      <w:bookmarkEnd w:id="58"/>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本次招标采取公开招标方式，本文件仅适用于招标公告中所述项目。</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59" w:name="_Toc20823277"/>
      <w:r/>
      <w:bookmarkStart w:id="60" w:name="_Toc16938521"/>
      <w:r/>
      <w:bookmarkStart w:id="61" w:name="_Toc513029205"/>
      <w:r>
        <w:rPr>
          <w:rFonts w:hint="eastAsia" w:ascii="方正楷体_GBK" w:hAnsi="方正楷体_GBK" w:eastAsia="方正楷体_GBK" w:cs="方正楷体_GBK"/>
          <w:color w:val="000000"/>
          <w:sz w:val="28"/>
          <w:szCs w:val="28"/>
          <w:highlight w:val="none"/>
        </w:rPr>
        <w:t xml:space="preserve">2.合格的供应商</w:t>
      </w:r>
      <w:bookmarkEnd w:id="59"/>
      <w:r/>
      <w:bookmarkEnd w:id="60"/>
      <w:r/>
      <w:bookmarkEnd w:id="61"/>
      <w:r/>
      <w:r/>
    </w:p>
    <w:p>
      <w:pPr>
        <w:ind w:firstLine="420"/>
        <w:rPr>
          <w:rFonts w:hint="eastAsia" w:ascii="宋体" w:hAnsi="宋体"/>
          <w:color w:val="000000"/>
          <w:sz w:val="24"/>
          <w:highlight w:val="none"/>
        </w:rPr>
      </w:pPr>
      <w:r>
        <w:rPr>
          <w:rFonts w:hint="eastAsia" w:ascii="宋体" w:hAnsi="宋体"/>
          <w:color w:val="000000"/>
          <w:sz w:val="24"/>
          <w:highlight w:val="none"/>
        </w:rPr>
        <w:t xml:space="preserve">2.1 满足招标公告对供应商资格要求的规定。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2.2 满足招标文件规定的实质性要求和条件。</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62" w:name="_Toc16938522"/>
      <w:r/>
      <w:bookmarkStart w:id="63" w:name="_Toc20823278"/>
      <w:r/>
      <w:bookmarkStart w:id="64" w:name="_Toc513029206"/>
      <w:r>
        <w:rPr>
          <w:rFonts w:hint="eastAsia" w:ascii="方正楷体_GBK" w:hAnsi="方正楷体_GBK" w:eastAsia="方正楷体_GBK" w:cs="方正楷体_GBK"/>
          <w:color w:val="000000"/>
          <w:sz w:val="28"/>
          <w:szCs w:val="28"/>
          <w:highlight w:val="none"/>
        </w:rPr>
        <w:t xml:space="preserve">3.适用法律</w:t>
      </w:r>
      <w:bookmarkEnd w:id="62"/>
      <w:r/>
      <w:bookmarkEnd w:id="63"/>
      <w:r/>
      <w:bookmarkEnd w:id="64"/>
      <w:r/>
      <w:r/>
    </w:p>
    <w:p>
      <w:pPr>
        <w:ind w:firstLine="420"/>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65" w:name="_Toc16938523"/>
      <w:r/>
      <w:bookmarkStart w:id="66" w:name="_Toc20823279"/>
      <w:r/>
      <w:bookmarkStart w:id="67" w:name="_Toc462564067"/>
      <w:r/>
      <w:bookmarkStart w:id="68" w:name="_Toc513029207"/>
      <w:r>
        <w:rPr>
          <w:rFonts w:hint="eastAsia" w:ascii="方正楷体_GBK" w:hAnsi="方正楷体_GBK" w:eastAsia="方正楷体_GBK" w:cs="方正楷体_GBK"/>
          <w:color w:val="000000"/>
          <w:sz w:val="28"/>
          <w:szCs w:val="28"/>
          <w:highlight w:val="none"/>
        </w:rPr>
        <w:t xml:space="preserve">4.投标费用</w:t>
      </w:r>
      <w:bookmarkEnd w:id="65"/>
      <w:r/>
      <w:bookmarkEnd w:id="66"/>
      <w:r/>
      <w:bookmarkEnd w:id="67"/>
      <w:r/>
      <w:bookmarkEnd w:id="68"/>
      <w:r/>
      <w:r/>
    </w:p>
    <w:p>
      <w:pPr>
        <w:ind w:firstLine="420"/>
        <w:rPr>
          <w:rFonts w:hint="eastAsia" w:ascii="宋体" w:hAnsi="宋体"/>
          <w:color w:val="000000"/>
          <w:sz w:val="24"/>
          <w:highlight w:val="none"/>
        </w:rPr>
      </w:pPr>
      <w:r>
        <w:rPr>
          <w:rFonts w:hint="eastAsia" w:ascii="宋体" w:hAnsi="宋体"/>
          <w:color w:val="000000"/>
          <w:sz w:val="24"/>
          <w:highlight w:val="none"/>
        </w:rPr>
        <w:t xml:space="preserve">4.1 供应商应自行承担所有与参加投标有关的费用，无论投标过程中的做法和结果如何，交易中心在任何情况下均无义务和责任承担这些费用。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4.2 本次招标交易中心和采购人不收取标书工本费与中标服务费。</w:t>
      </w:r>
      <w:r/>
    </w:p>
    <w:p>
      <w:pPr>
        <w:pStyle w:val="944"/>
        <w:ind w:firstLine="422"/>
        <w:spacing w:before="0" w:after="0"/>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5.招标文件的约束力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5.1 供应商一旦参加本项目采购活动，即被认为接受了本文件的规定和约束。</w:t>
      </w:r>
      <w:r/>
    </w:p>
    <w:p>
      <w:pPr>
        <w:pStyle w:val="942"/>
        <w:ind w:firstLine="465"/>
        <w:spacing w:before="120" w:after="120"/>
        <w:rPr>
          <w:rFonts w:hint="eastAsia" w:ascii="方正黑体_GBK" w:hAnsi="方正黑体_GBK" w:eastAsia="方正黑体_GBK" w:cs="方正黑体_GBK"/>
          <w:color w:val="000000"/>
          <w:highlight w:val="none"/>
        </w:rPr>
      </w:pPr>
      <w:r/>
      <w:bookmarkStart w:id="69" w:name="_Toc120614215"/>
      <w:r/>
      <w:bookmarkStart w:id="70" w:name="_Toc513029209"/>
      <w:r/>
      <w:bookmarkStart w:id="71" w:name="_Toc16938525"/>
      <w:r/>
      <w:bookmarkStart w:id="72" w:name="_Toc20823281"/>
      <w:r>
        <w:rPr>
          <w:rFonts w:hint="eastAsia" w:ascii="方正黑体_GBK" w:hAnsi="方正黑体_GBK" w:eastAsia="方正黑体_GBK" w:cs="方正黑体_GBK"/>
          <w:color w:val="000000"/>
          <w:highlight w:val="none"/>
        </w:rPr>
        <w:t xml:space="preserve">二、招标文件</w:t>
      </w:r>
      <w:bookmarkEnd w:id="69"/>
      <w:r/>
      <w:bookmarkEnd w:id="70"/>
      <w:r/>
      <w:bookmarkEnd w:id="71"/>
      <w:r/>
      <w:bookmarkEnd w:id="72"/>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73" w:name="_Toc513029210"/>
      <w:r/>
      <w:bookmarkStart w:id="74" w:name="_Toc16938526"/>
      <w:r/>
      <w:bookmarkStart w:id="75" w:name="_Toc20823282"/>
      <w:r>
        <w:rPr>
          <w:rFonts w:hint="eastAsia" w:ascii="方正楷体_GBK" w:hAnsi="方正楷体_GBK" w:eastAsia="方正楷体_GBK" w:cs="方正楷体_GBK"/>
          <w:color w:val="000000"/>
          <w:sz w:val="28"/>
          <w:szCs w:val="28"/>
          <w:highlight w:val="none"/>
        </w:rPr>
        <w:t xml:space="preserve">6.招标文件构成</w:t>
      </w:r>
      <w:bookmarkEnd w:id="73"/>
      <w:r/>
      <w:bookmarkEnd w:id="74"/>
      <w:r/>
      <w:bookmarkEnd w:id="75"/>
      <w:r/>
      <w:r/>
    </w:p>
    <w:p>
      <w:pPr>
        <w:ind w:firstLine="420"/>
        <w:rPr>
          <w:rFonts w:hint="eastAsia" w:ascii="宋体" w:hAnsi="宋体"/>
          <w:color w:val="000000"/>
          <w:sz w:val="24"/>
          <w:highlight w:val="none"/>
        </w:rPr>
      </w:pPr>
      <w:r>
        <w:rPr>
          <w:rFonts w:hint="eastAsia" w:ascii="宋体" w:hAnsi="宋体"/>
          <w:color w:val="000000"/>
          <w:sz w:val="24"/>
          <w:highlight w:val="none"/>
        </w:rPr>
        <w:t xml:space="preserve">6.1 招标文件由以下部分组成：</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（2）供应商须知</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（3）合同文本</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（4）采购需求</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供应商应仔细检查招标文件是否齐全，如有缺漏请立即与交易中心联系。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76" w:name="_Toc513029211"/>
      <w:r/>
      <w:bookmarkStart w:id="77" w:name="_Toc20823283"/>
      <w:r/>
      <w:bookmarkStart w:id="78" w:name="_Toc16938527"/>
      <w:r/>
      <w:bookmarkStart w:id="79" w:name="_Toc462564070"/>
      <w:r>
        <w:rPr>
          <w:rFonts w:hint="eastAsia" w:ascii="方正楷体_GBK" w:hAnsi="方正楷体_GBK" w:eastAsia="方正楷体_GBK" w:cs="方正楷体_GBK"/>
          <w:color w:val="000000"/>
          <w:sz w:val="28"/>
          <w:szCs w:val="28"/>
          <w:highlight w:val="none"/>
        </w:rPr>
        <w:t xml:space="preserve">7.招标文件的澄清</w:t>
      </w:r>
      <w:bookmarkEnd w:id="76"/>
      <w:r/>
      <w:bookmarkEnd w:id="77"/>
      <w:r/>
      <w:bookmarkEnd w:id="78"/>
      <w:r/>
      <w:bookmarkEnd w:id="79"/>
      <w:r/>
      <w:r/>
    </w:p>
    <w:p>
      <w:pPr>
        <w:ind w:firstLine="420"/>
        <w:rPr>
          <w:rFonts w:hint="eastAsia" w:ascii="宋体" w:hAnsi="宋体"/>
          <w:color w:val="000000"/>
          <w:sz w:val="24"/>
          <w:highlight w:val="none"/>
        </w:rPr>
      </w:pPr>
      <w:r>
        <w:rPr>
          <w:rFonts w:hint="eastAsia" w:ascii="宋体" w:hAnsi="宋体"/>
          <w:color w:val="000000"/>
          <w:sz w:val="24"/>
          <w:highlight w:val="none"/>
        </w:rPr>
        <w:t xml:space="preserve">7.1 任何要求对招标文件进行澄清的供应商，应在投标截止期十日前按招标公告中的通讯地址，以书面形式通知交易中心。</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80" w:name="_Toc16938528"/>
      <w:r/>
      <w:bookmarkStart w:id="81" w:name="_Toc513029212"/>
      <w:r/>
      <w:bookmarkStart w:id="82" w:name="_Toc20823284"/>
      <w:r/>
      <w:bookmarkStart w:id="83" w:name="_Toc462564071"/>
      <w:r>
        <w:rPr>
          <w:rFonts w:hint="eastAsia" w:ascii="方正楷体_GBK" w:hAnsi="方正楷体_GBK" w:eastAsia="方正楷体_GBK" w:cs="方正楷体_GBK"/>
          <w:color w:val="000000"/>
          <w:sz w:val="28"/>
          <w:szCs w:val="28"/>
          <w:highlight w:val="none"/>
        </w:rPr>
        <w:t xml:space="preserve">8.招标文件的修改</w:t>
      </w:r>
      <w:bookmarkEnd w:id="80"/>
      <w:r/>
      <w:bookmarkEnd w:id="81"/>
      <w:r/>
      <w:bookmarkEnd w:id="82"/>
      <w:r/>
      <w:bookmarkEnd w:id="83"/>
      <w:r/>
      <w:r/>
    </w:p>
    <w:p>
      <w:pPr>
        <w:ind w:firstLine="420"/>
        <w:rPr>
          <w:rFonts w:hint="eastAsia" w:ascii="宋体" w:hAnsi="宋体"/>
          <w:color w:val="000000"/>
          <w:sz w:val="24"/>
          <w:highlight w:val="none"/>
        </w:rPr>
      </w:pPr>
      <w:r/>
      <w:bookmarkStart w:id="84" w:name="_Toc120614216"/>
      <w:r/>
      <w:bookmarkStart w:id="85" w:name="_Toc462564072"/>
      <w:r/>
      <w:bookmarkStart w:id="86" w:name="_Toc16938529"/>
      <w:r/>
      <w:bookmarkStart w:id="87" w:name="_Toc20823285"/>
      <w:r/>
      <w:bookmarkStart w:id="88" w:name="_Toc513029213"/>
      <w:r>
        <w:rPr>
          <w:rFonts w:hint="eastAsia" w:ascii="宋体" w:hAnsi="宋体"/>
          <w:color w:val="000000"/>
          <w:sz w:val="24"/>
          <w:highlight w:val="none"/>
        </w:rPr>
        <w:t xml:space="preserve">8.1 在投标截止时间前，交易中心可以对招标文件进行修改。招标文件的修改将在原公告媒体发布更正公告，更正内容将作为招标文件的组成部分，并对供应商具有约束力。</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8.2 供应商应在提交投标文件截止时间前，关注原公告媒体有关本项目的更正公告，根据更正公告内容自行决定是否需要重新制作和提交投标文件，并承担由此产生的相应责任。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8.3 交易中心有权按照法定的要求推迟投标截止日期和开标日期，并在原公告媒体发布更正公告。</w:t>
      </w:r>
      <w:r/>
    </w:p>
    <w:p>
      <w:pPr>
        <w:pStyle w:val="942"/>
        <w:ind w:firstLine="465"/>
        <w:spacing w:before="120" w:after="120"/>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三、投标文件的编制</w:t>
      </w:r>
      <w:bookmarkEnd w:id="84"/>
      <w:r/>
      <w:bookmarkEnd w:id="85"/>
      <w:r/>
      <w:bookmarkEnd w:id="86"/>
      <w:r/>
      <w:bookmarkEnd w:id="87"/>
      <w:r/>
      <w:bookmarkEnd w:id="88"/>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89" w:name="_Toc462564073"/>
      <w:r/>
      <w:bookmarkStart w:id="90" w:name="_Toc16938530"/>
      <w:r/>
      <w:bookmarkStart w:id="91" w:name="_Toc20823286"/>
      <w:r/>
      <w:bookmarkStart w:id="92" w:name="_Toc513029214"/>
      <w:r>
        <w:rPr>
          <w:rFonts w:hint="eastAsia" w:ascii="方正楷体_GBK" w:hAnsi="方正楷体_GBK" w:eastAsia="方正楷体_GBK" w:cs="方正楷体_GBK"/>
          <w:color w:val="000000"/>
          <w:sz w:val="28"/>
          <w:szCs w:val="28"/>
          <w:highlight w:val="none"/>
        </w:rPr>
        <w:t xml:space="preserve">9.投标文件的语言及度量衡单位</w:t>
      </w:r>
      <w:bookmarkEnd w:id="89"/>
      <w:r/>
      <w:bookmarkEnd w:id="90"/>
      <w:r/>
      <w:bookmarkEnd w:id="91"/>
      <w:r/>
      <w:bookmarkEnd w:id="92"/>
      <w:r/>
      <w:r/>
    </w:p>
    <w:p>
      <w:pPr>
        <w:ind w:firstLine="420"/>
        <w:rPr>
          <w:rFonts w:hint="eastAsia" w:ascii="宋体" w:hAnsi="宋体"/>
          <w:color w:val="000000"/>
          <w:sz w:val="24"/>
          <w:highlight w:val="none"/>
        </w:rPr>
      </w:pPr>
      <w:r>
        <w:rPr>
          <w:rFonts w:hint="eastAsia" w:ascii="宋体" w:hAnsi="宋体"/>
          <w:color w:val="000000"/>
          <w:sz w:val="24"/>
          <w:highlight w:val="none"/>
        </w:rPr>
        <w:t xml:space="preserve">9.1 供应商提交的投标文件以及供应商与交易中心就有关投标的所有来往通知、函件和文件均应使用简体中文。</w:t>
      </w:r>
      <w:r/>
    </w:p>
    <w:p>
      <w:pPr>
        <w:ind w:firstLine="420"/>
        <w:rPr>
          <w:rFonts w:hint="eastAsia" w:ascii="宋体" w:hAnsi="宋体"/>
          <w:color w:val="000000"/>
          <w:sz w:val="24"/>
          <w:szCs w:val="22"/>
          <w:highlight w:val="none"/>
        </w:rPr>
      </w:pPr>
      <w:r>
        <w:rPr>
          <w:rFonts w:hint="eastAsia" w:ascii="宋体" w:hAnsi="宋体"/>
          <w:color w:val="000000"/>
          <w:sz w:val="24"/>
          <w:szCs w:val="22"/>
          <w:highlight w:val="none"/>
        </w:rPr>
        <w:t xml:space="preserve">9.2 除技术性能另有规定外，投标文件所使用的度量衡单位，均须采用国家法定计量单位。</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93" w:name="_Toc20823287"/>
      <w:r/>
      <w:bookmarkStart w:id="94" w:name="_Toc462564074"/>
      <w:r/>
      <w:bookmarkStart w:id="95" w:name="_Toc513029215"/>
      <w:r/>
      <w:bookmarkStart w:id="96" w:name="_Toc16938531"/>
      <w:r>
        <w:rPr>
          <w:rFonts w:hint="eastAsia" w:ascii="方正楷体_GBK" w:hAnsi="方正楷体_GBK" w:eastAsia="方正楷体_GBK" w:cs="方正楷体_GBK"/>
          <w:color w:val="000000"/>
          <w:sz w:val="28"/>
          <w:szCs w:val="28"/>
          <w:highlight w:val="none"/>
        </w:rPr>
        <w:t xml:space="preserve">10.投标文件构成</w:t>
      </w:r>
      <w:bookmarkEnd w:id="93"/>
      <w:r/>
      <w:bookmarkEnd w:id="94"/>
      <w:r/>
      <w:bookmarkEnd w:id="95"/>
      <w:r/>
      <w:bookmarkEnd w:id="96"/>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10.1 供应商编写的投标文件应包括资格证明文件、符合性证明文件、投标分项报价表、响应及偏离表、其他证明文件、投标函、开标一览表等部分。</w:t>
      </w:r>
      <w:r/>
    </w:p>
    <w:p>
      <w:pPr>
        <w:ind w:firstLine="422"/>
        <w:rPr>
          <w:rFonts w:hint="eastAsia"/>
          <w:color w:val="000000"/>
          <w:highlight w:val="none"/>
        </w:rPr>
      </w:pPr>
      <w:r>
        <w:rPr>
          <w:rFonts w:hint="eastAsia" w:ascii="宋体" w:hAnsi="宋体" w:eastAsia="宋体" w:cs="Times New Roman"/>
          <w:b/>
          <w:bCs/>
          <w:color w:val="000000"/>
          <w:sz w:val="24"/>
          <w:szCs w:val="21"/>
          <w:highlight w:val="none"/>
        </w:rPr>
        <w:t xml:space="preserve">10.1.1 本项目设置暗标评审环节，暗标评</w:t>
      </w:r>
      <w:r>
        <w:rPr>
          <w:rFonts w:hint="eastAsia" w:ascii="宋体" w:hAnsi="宋体" w:eastAsia="宋体" w:cs="Times New Roman"/>
          <w:b/>
          <w:bCs/>
          <w:color w:val="000000"/>
          <w:sz w:val="24"/>
          <w:szCs w:val="21"/>
          <w:highlight w:val="none"/>
          <w:lang w:val="en-US" w:eastAsia="zh-CN"/>
        </w:rPr>
        <w:t xml:space="preserve">审项</w:t>
      </w:r>
      <w:r>
        <w:rPr>
          <w:rFonts w:hint="eastAsia" w:ascii="宋体" w:hAnsi="宋体" w:eastAsia="宋体" w:cs="Times New Roman"/>
          <w:b/>
          <w:bCs/>
          <w:color w:val="000000"/>
          <w:sz w:val="24"/>
          <w:szCs w:val="21"/>
          <w:highlight w:val="none"/>
        </w:rPr>
        <w:t xml:space="preserve">的投标文件编制需符合</w:t>
      </w:r>
      <w:r>
        <w:rPr>
          <w:rFonts w:hint="eastAsia" w:ascii="宋体" w:hAnsi="宋体" w:eastAsia="宋体" w:cs="Times New Roman"/>
          <w:b/>
          <w:bCs/>
          <w:color w:val="000000"/>
          <w:sz w:val="24"/>
          <w:szCs w:val="21"/>
          <w:highlight w:val="none"/>
          <w:lang w:val="en-US" w:eastAsia="zh-CN"/>
        </w:rPr>
        <w:t xml:space="preserve">招标</w:t>
      </w:r>
      <w:r>
        <w:rPr>
          <w:rFonts w:hint="eastAsia" w:ascii="宋体" w:hAnsi="宋体" w:eastAsia="宋体" w:cs="Times New Roman"/>
          <w:b/>
          <w:bCs/>
          <w:color w:val="000000"/>
          <w:sz w:val="24"/>
          <w:szCs w:val="21"/>
          <w:highlight w:val="none"/>
        </w:rPr>
        <w:t xml:space="preserve">文件第五章评标方法与评标标准中暗标评审的相关要求，暗标评审材料中不得出现投标人的名称、标志、标记以及其它能够体现投标人身份的任何信息，否则暗标评审项均不得分。</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如标书制作工具中格式和内容与“江苏政府采购网”发布的招标文件不一致，以“江苏政府采购网”发布的招标文件为准。</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97" w:name="_Hlt26670360"/>
      <w:r/>
      <w:bookmarkEnd w:id="97"/>
      <w:r/>
      <w:bookmarkStart w:id="98" w:name="_Hlt26668975"/>
      <w:r/>
      <w:bookmarkEnd w:id="98"/>
      <w:r/>
      <w:bookmarkStart w:id="99" w:name="_Hlt26954838"/>
      <w:r/>
      <w:bookmarkEnd w:id="99"/>
      <w:r/>
      <w:bookmarkStart w:id="100" w:name="_Toc49090509"/>
      <w:r/>
      <w:bookmarkStart w:id="101" w:name="_Toc513029219"/>
      <w:r/>
      <w:bookmarkStart w:id="102" w:name="_Toc14577357"/>
      <w:r/>
      <w:bookmarkStart w:id="103" w:name="_Toc513029216"/>
      <w:r/>
      <w:bookmarkStart w:id="104" w:name="_Toc49090507"/>
      <w:r/>
      <w:bookmarkStart w:id="105" w:name="_Toc14577354"/>
      <w:r>
        <w:rPr>
          <w:rFonts w:hint="eastAsia" w:ascii="方正楷体_GBK" w:hAnsi="方正楷体_GBK" w:eastAsia="方正楷体_GBK" w:cs="方正楷体_GBK"/>
          <w:color w:val="000000"/>
          <w:sz w:val="28"/>
          <w:szCs w:val="28"/>
          <w:highlight w:val="none"/>
        </w:rPr>
        <w:t xml:space="preserve">11.证明供应商及投标标的符合招标文件规定的文件</w:t>
      </w:r>
      <w:bookmarkEnd w:id="100"/>
      <w:r/>
      <w:bookmarkEnd w:id="101"/>
      <w:r/>
      <w:bookmarkEnd w:id="102"/>
      <w:r/>
      <w:bookmarkEnd w:id="103"/>
      <w:r/>
      <w:bookmarkEnd w:id="104"/>
      <w:r/>
      <w:bookmarkEnd w:id="105"/>
      <w:r/>
      <w:r/>
    </w:p>
    <w:p>
      <w:pPr>
        <w:ind w:firstLine="420"/>
        <w:rPr>
          <w:rFonts w:hint="eastAsia" w:ascii="宋体" w:hAnsi="宋体"/>
          <w:color w:val="000000"/>
          <w:sz w:val="24"/>
          <w:highlight w:val="none"/>
        </w:rPr>
      </w:pPr>
      <w:r/>
      <w:bookmarkStart w:id="106" w:name="_Toc14577355"/>
      <w:r/>
      <w:bookmarkStart w:id="107" w:name="_Toc49090508"/>
      <w:r>
        <w:rPr>
          <w:rFonts w:hint="eastAsia" w:ascii="宋体" w:hAnsi="宋体"/>
          <w:color w:val="000000"/>
          <w:sz w:val="24"/>
          <w:highlight w:val="none"/>
        </w:rPr>
        <w:t xml:space="preserve">11.1 供应商应按照法律、法规、规章和规范性文件以及招标文件要求提交证明文件，证明其投标标的符合招标文件规定。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11.2 招标文件对证明文件无明确形式要求的，证明文件可以以文字资料、图纸和数据等形式提交。</w:t>
      </w:r>
      <w:r/>
    </w:p>
    <w:p>
      <w:pPr>
        <w:pStyle w:val="944"/>
        <w:ind w:firstLine="422"/>
        <w:spacing w:before="0" w:after="0"/>
        <w:rPr>
          <w:rFonts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12</w:t>
      </w:r>
      <w:bookmarkEnd w:id="106"/>
      <w:r/>
      <w:bookmarkEnd w:id="107"/>
      <w:r>
        <w:rPr>
          <w:rFonts w:hint="eastAsia" w:ascii="方正楷体_GBK" w:hAnsi="方正楷体_GBK" w:eastAsia="方正楷体_GBK" w:cs="方正楷体_GBK"/>
          <w:color w:val="000000"/>
          <w:sz w:val="28"/>
          <w:szCs w:val="28"/>
          <w:highlight w:val="none"/>
        </w:rPr>
        <w:t xml:space="preserve">.投标分项报价表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12.1 供应商应按照招标文件规定格式填报</w:t>
      </w:r>
      <w:bookmarkStart w:id="108" w:name="_Hlt26670399"/>
      <w:r/>
      <w:bookmarkEnd w:id="108"/>
      <w:r>
        <w:rPr>
          <w:rFonts w:hint="eastAsia" w:ascii="宋体" w:hAnsi="宋体"/>
          <w:color w:val="000000"/>
          <w:sz w:val="24"/>
          <w:highlight w:val="none"/>
        </w:rPr>
        <w:t xml:space="preserve">投标分项报价表。</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12.2 投标文件中的单价和总价无特殊规定的采用人民币报价，以元为单位标注。招标文件另有规定的按规定执行。</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109" w:name="_Hlt26954731"/>
      <w:r/>
      <w:bookmarkEnd w:id="109"/>
      <w:r/>
      <w:bookmarkStart w:id="110" w:name="_Hlt26954842"/>
      <w:r/>
      <w:bookmarkEnd w:id="110"/>
      <w:r/>
      <w:bookmarkStart w:id="111" w:name="_Hlt26670486"/>
      <w:r/>
      <w:bookmarkEnd w:id="111"/>
      <w:r/>
      <w:bookmarkStart w:id="112" w:name="_Hlt26954844"/>
      <w:r/>
      <w:bookmarkEnd w:id="112"/>
      <w:r/>
      <w:bookmarkStart w:id="113" w:name="_Hlt26954846"/>
      <w:r/>
      <w:bookmarkEnd w:id="113"/>
      <w:r/>
      <w:bookmarkStart w:id="114" w:name="_Hlt26670425"/>
      <w:r/>
      <w:bookmarkEnd w:id="114"/>
      <w:r/>
      <w:bookmarkStart w:id="115" w:name="_Hlt26668983"/>
      <w:r/>
      <w:bookmarkEnd w:id="115"/>
      <w:r/>
      <w:bookmarkStart w:id="116" w:name="_Hlt26670403"/>
      <w:r/>
      <w:bookmarkEnd w:id="116"/>
      <w:r/>
      <w:bookmarkStart w:id="117" w:name="_Hlt26670482"/>
      <w:r/>
      <w:bookmarkEnd w:id="117"/>
      <w:r/>
      <w:bookmarkStart w:id="118" w:name="_Hlt26954848"/>
      <w:r/>
      <w:bookmarkEnd w:id="118"/>
      <w:r>
        <w:rPr>
          <w:rFonts w:hint="eastAsia" w:ascii="方正楷体_GBK" w:hAnsi="方正楷体_GBK" w:eastAsia="方正楷体_GBK" w:cs="方正楷体_GBK"/>
          <w:color w:val="000000"/>
          <w:sz w:val="28"/>
          <w:szCs w:val="28"/>
          <w:highlight w:val="none"/>
        </w:rPr>
        <w:t xml:space="preserve">13.响应及偏离表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13.1 供应商需对招标文件中的技术要求与商务要求逐项作出响应</w:t>
      </w:r>
      <w:r>
        <w:rPr>
          <w:rFonts w:hint="eastAsia" w:ascii="宋体" w:hAnsi="宋体"/>
          <w:color w:val="000000"/>
          <w:sz w:val="24"/>
          <w:highlight w:val="none"/>
        </w:rPr>
        <w:t xml:space="preserve">或</w:t>
      </w:r>
      <w:r>
        <w:rPr>
          <w:rFonts w:hint="eastAsia" w:ascii="宋体" w:hAnsi="宋体"/>
          <w:color w:val="000000"/>
          <w:sz w:val="24"/>
          <w:highlight w:val="none"/>
          <w:lang w:val="zh-CN"/>
        </w:rPr>
        <w:t xml:space="preserve">偏离说明。</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13.2 供应商可以在投标文件中提供认为需要的其他技术文件或说明。</w:t>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119" w:name="_Toc49090510"/>
      <w:r/>
      <w:bookmarkStart w:id="120" w:name="_Toc14577359"/>
      <w:r>
        <w:rPr>
          <w:rFonts w:hint="eastAsia" w:ascii="方正楷体_GBK" w:hAnsi="方正楷体_GBK" w:eastAsia="方正楷体_GBK" w:cs="方正楷体_GBK"/>
          <w:color w:val="000000"/>
          <w:sz w:val="28"/>
          <w:szCs w:val="28"/>
          <w:highlight w:val="none"/>
        </w:rPr>
        <w:t xml:space="preserve">14.投标函和开标一览表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14.1 供应商应按照招标文件规定格式完整、正确填报投标函、开标一览表。</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14.2 对于采用货币报价的项目，开标一览表中的投标总报价应与</w:t>
      </w:r>
      <w:r>
        <w:rPr>
          <w:rFonts w:hint="eastAsia" w:ascii="宋体" w:hAnsi="宋体"/>
          <w:color w:val="000000"/>
          <w:sz w:val="24"/>
          <w:highlight w:val="none"/>
        </w:rPr>
        <w:t xml:space="preserve">投标分项报价表</w:t>
      </w:r>
      <w:r>
        <w:rPr>
          <w:rFonts w:hint="eastAsia" w:ascii="宋体" w:hAnsi="宋体"/>
          <w:color w:val="000000"/>
          <w:sz w:val="24"/>
          <w:highlight w:val="none"/>
          <w:lang w:val="zh-CN"/>
        </w:rPr>
        <w:t xml:space="preserve">中的投标总报价一致，如不一致评标时以开标一览表中价格为准。</w:t>
      </w:r>
      <w:bookmarkEnd w:id="119"/>
      <w:r/>
      <w:bookmarkEnd w:id="120"/>
      <w:r/>
      <w:r/>
    </w:p>
    <w:p>
      <w:pPr>
        <w:pStyle w:val="944"/>
        <w:ind w:firstLine="422"/>
        <w:spacing w:before="0" w:after="0"/>
        <w:rPr>
          <w:rFonts w:hint="eastAsia" w:ascii="方正楷体_GBK" w:hAnsi="方正楷体_GBK" w:eastAsia="方正楷体_GBK" w:cs="方正楷体_GBK"/>
          <w:color w:val="000000"/>
          <w:sz w:val="28"/>
          <w:szCs w:val="28"/>
          <w:highlight w:val="none"/>
        </w:rPr>
      </w:pPr>
      <w:r/>
      <w:bookmarkStart w:id="121" w:name="_Hlt26954734"/>
      <w:r/>
      <w:bookmarkEnd w:id="121"/>
      <w:r/>
      <w:bookmarkStart w:id="122" w:name="_Hlt26954850"/>
      <w:r/>
      <w:bookmarkEnd w:id="122"/>
      <w:r/>
      <w:bookmarkStart w:id="123" w:name="_Hlt26670489"/>
      <w:r/>
      <w:bookmarkEnd w:id="123"/>
      <w:r/>
      <w:bookmarkStart w:id="124" w:name="_Toc49090511"/>
      <w:r/>
      <w:bookmarkStart w:id="125" w:name="_Toc14577360"/>
      <w:r>
        <w:rPr>
          <w:rFonts w:hint="eastAsia" w:ascii="方正楷体_GBK" w:hAnsi="方正楷体_GBK" w:eastAsia="方正楷体_GBK" w:cs="方正楷体_GBK"/>
          <w:color w:val="000000"/>
          <w:sz w:val="28"/>
          <w:szCs w:val="28"/>
          <w:highlight w:val="none"/>
        </w:rPr>
        <w:t xml:space="preserve">15.投标有效期</w:t>
      </w:r>
      <w:bookmarkEnd w:id="124"/>
      <w:r/>
      <w:bookmarkEnd w:id="125"/>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15.1 投标有效期为招标公告规定的开标之日起六十天。投标有效期比规定短的将被视为未实质性响应招标文件而被拒绝。</w:t>
      </w:r>
      <w:r/>
    </w:p>
    <w:p>
      <w:pPr>
        <w:pStyle w:val="944"/>
        <w:ind w:firstLine="422"/>
        <w:spacing w:before="0" w:after="0"/>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16.投标有效期的延长</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16.1 在特殊情况下，交易中心于原投标有效期满之前，可向供应商提出延长投标有效期的要求。这种要求与答复均应采用书面形式。供应商可以拒绝交易中心的这一要求而放弃投标。同意延长投标有效期的供应商既不能要求也不允许修改其投标文件，同时受投标有效期约束的所有权利与义务均延长至新的有效期</w:t>
      </w:r>
      <w:r>
        <w:rPr>
          <w:rFonts w:hint="eastAsia" w:ascii="宋体" w:hAnsi="宋体"/>
          <w:color w:val="000000"/>
          <w:sz w:val="24"/>
          <w:highlight w:val="none"/>
        </w:rPr>
        <w:t xml:space="preserve">满</w:t>
      </w:r>
      <w:r>
        <w:rPr>
          <w:rFonts w:hint="eastAsia" w:ascii="宋体" w:hAnsi="宋体"/>
          <w:color w:val="000000"/>
          <w:sz w:val="24"/>
          <w:highlight w:val="none"/>
          <w:lang w:val="zh-CN"/>
        </w:rPr>
        <w:t xml:space="preserve">。</w:t>
      </w:r>
      <w:r/>
    </w:p>
    <w:p>
      <w:pPr>
        <w:pStyle w:val="942"/>
        <w:ind w:firstLine="465"/>
        <w:spacing w:before="120" w:after="120"/>
        <w:rPr>
          <w:rFonts w:hint="eastAsia" w:ascii="方正黑体_GBK" w:hAnsi="方正黑体_GBK" w:eastAsia="方正黑体_GBK" w:cs="方正黑体_GBK"/>
          <w:color w:val="000000"/>
          <w:highlight w:val="none"/>
        </w:rPr>
      </w:pPr>
      <w:r/>
      <w:bookmarkStart w:id="126" w:name="_Hlt26954852"/>
      <w:r/>
      <w:bookmarkEnd w:id="126"/>
      <w:r/>
      <w:bookmarkStart w:id="127" w:name="_Hlt26954739"/>
      <w:r/>
      <w:bookmarkEnd w:id="127"/>
      <w:r/>
      <w:bookmarkStart w:id="128" w:name="_Toc513029224"/>
      <w:r/>
      <w:bookmarkStart w:id="129" w:name="_Toc120614217"/>
      <w:r/>
      <w:bookmarkStart w:id="130" w:name="_Toc20823296"/>
      <w:r/>
      <w:bookmarkStart w:id="131" w:name="_Toc16938540"/>
      <w:r/>
      <w:bookmarkStart w:id="132" w:name="_Toc513029237"/>
      <w:r/>
      <w:bookmarkStart w:id="133" w:name="_Toc16938553"/>
      <w:r/>
      <w:bookmarkStart w:id="134" w:name="_Toc20823309"/>
      <w:r>
        <w:rPr>
          <w:rFonts w:hint="eastAsia" w:ascii="方正黑体_GBK" w:hAnsi="方正黑体_GBK" w:eastAsia="方正黑体_GBK" w:cs="方正黑体_GBK"/>
          <w:color w:val="000000"/>
          <w:highlight w:val="none"/>
        </w:rPr>
        <w:t xml:space="preserve">四、投标文件的递交</w:t>
      </w:r>
      <w:bookmarkEnd w:id="128"/>
      <w:r/>
      <w:bookmarkEnd w:id="129"/>
      <w:r/>
      <w:bookmarkEnd w:id="130"/>
      <w:r/>
      <w:bookmarkEnd w:id="131"/>
      <w:r/>
      <w:r/>
    </w:p>
    <w:p>
      <w:pPr>
        <w:pStyle w:val="944"/>
        <w:ind w:firstLine="392"/>
        <w:spacing w:before="0" w:after="0"/>
        <w:rPr>
          <w:rFonts w:hint="eastAsia" w:ascii="方正楷体_GBK" w:hAnsi="方正楷体_GBK" w:eastAsia="方正楷体_GBK" w:cs="方正楷体_GBK"/>
          <w:color w:val="000000"/>
          <w:highlight w:val="none"/>
        </w:rPr>
      </w:pPr>
      <w:r/>
      <w:bookmarkStart w:id="135" w:name="_Toc462564084"/>
      <w:r/>
      <w:bookmarkStart w:id="136" w:name="_Toc513029225"/>
      <w:r/>
      <w:bookmarkStart w:id="137" w:name="_Toc16938541"/>
      <w:r/>
      <w:bookmarkStart w:id="138" w:name="_Toc20823297"/>
      <w:r>
        <w:rPr>
          <w:rFonts w:hint="eastAsia" w:ascii="方正楷体_GBK" w:hAnsi="方正楷体_GBK" w:eastAsia="方正楷体_GBK" w:cs="方正楷体_GBK"/>
          <w:color w:val="000000"/>
          <w:highlight w:val="none"/>
        </w:rPr>
        <w:t xml:space="preserve">17.投标文件</w:t>
      </w:r>
      <w:bookmarkEnd w:id="135"/>
      <w:r/>
      <w:bookmarkEnd w:id="136"/>
      <w:r/>
      <w:bookmarkEnd w:id="137"/>
      <w:r/>
      <w:bookmarkEnd w:id="138"/>
      <w:r>
        <w:rPr>
          <w:rFonts w:hint="eastAsia" w:ascii="方正楷体_GBK" w:hAnsi="方正楷体_GBK" w:eastAsia="方正楷体_GBK" w:cs="方正楷体_GBK"/>
          <w:color w:val="000000"/>
          <w:highlight w:val="none"/>
        </w:rPr>
        <w:t xml:space="preserve">的递交</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17.1 供应商应当按照《操作手册》规定，在招标公告规定的投标截止时间前制作并上传电子投标文件。</w:t>
      </w:r>
      <w:bookmarkStart w:id="139" w:name="_Toc16938542"/>
      <w:r/>
      <w:bookmarkStart w:id="140" w:name="_Toc513029226"/>
      <w:r/>
      <w:bookmarkStart w:id="141" w:name="_Toc20823298"/>
      <w:r/>
      <w:r/>
    </w:p>
    <w:p>
      <w:pPr>
        <w:ind w:firstLine="422"/>
        <w:rPr>
          <w:rFonts w:hint="eastAsia" w:ascii="宋体" w:hAnsi="宋体"/>
          <w:color w:val="000000"/>
          <w:sz w:val="24"/>
          <w:highlight w:val="none"/>
          <w:lang w:val="zh-CN"/>
        </w:rPr>
      </w:pPr>
      <w:r>
        <w:rPr>
          <w:rFonts w:hint="eastAsia" w:ascii="宋体" w:hAnsi="宋体" w:eastAsia="宋体" w:cs="Times New Roman"/>
          <w:b/>
          <w:bCs/>
          <w:color w:val="000000"/>
          <w:sz w:val="24"/>
          <w:szCs w:val="21"/>
          <w:highlight w:val="none"/>
          <w:lang w:val="zh-CN"/>
        </w:rPr>
        <w:t xml:space="preserve">17.1.1 暗标评审</w:t>
      </w:r>
      <w:r>
        <w:rPr>
          <w:rFonts w:hint="eastAsia" w:ascii="宋体" w:hAnsi="宋体" w:eastAsia="宋体" w:cs="Times New Roman"/>
          <w:b/>
          <w:bCs/>
          <w:color w:val="000000"/>
          <w:sz w:val="24"/>
          <w:szCs w:val="21"/>
          <w:highlight w:val="none"/>
          <w:lang w:val="en-US" w:eastAsia="zh-CN"/>
        </w:rPr>
        <w:t xml:space="preserve">项</w:t>
      </w:r>
      <w:r>
        <w:rPr>
          <w:rFonts w:hint="eastAsia" w:ascii="宋体" w:hAnsi="宋体" w:eastAsia="宋体" w:cs="Times New Roman"/>
          <w:b/>
          <w:bCs/>
          <w:color w:val="000000"/>
          <w:sz w:val="24"/>
          <w:szCs w:val="21"/>
          <w:highlight w:val="none"/>
          <w:lang w:val="zh-CN"/>
        </w:rPr>
        <w:t xml:space="preserve">的投标文件需单独编制、加密上传（如苏采云系统有对应要求），编制过程中严格遵循暗标编制规范，不得出现投标人身份</w:t>
      </w:r>
      <w:r>
        <w:rPr>
          <w:rFonts w:hint="eastAsia" w:ascii="宋体" w:hAnsi="宋体" w:eastAsia="宋体" w:cs="Times New Roman"/>
          <w:b/>
          <w:bCs/>
          <w:color w:val="000000"/>
          <w:sz w:val="24"/>
          <w:szCs w:val="21"/>
          <w:highlight w:val="none"/>
          <w:lang w:val="en-US" w:eastAsia="zh-CN"/>
        </w:rPr>
        <w:t xml:space="preserve">识别</w:t>
      </w:r>
      <w:r>
        <w:rPr>
          <w:rFonts w:hint="eastAsia" w:ascii="宋体" w:hAnsi="宋体" w:eastAsia="宋体" w:cs="Times New Roman"/>
          <w:b/>
          <w:bCs/>
          <w:color w:val="000000"/>
          <w:sz w:val="24"/>
          <w:szCs w:val="21"/>
          <w:highlight w:val="none"/>
          <w:lang w:val="zh-CN"/>
        </w:rPr>
        <w:t xml:space="preserve">信息。</w:t>
      </w:r>
      <w:bookmarkEnd w:id="139"/>
      <w:r/>
      <w:bookmarkEnd w:id="140"/>
      <w:r/>
      <w:bookmarkEnd w:id="141"/>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 供应商应充分考虑网络环境、网络带宽等因素</w:t>
      </w:r>
      <w:r>
        <w:rPr>
          <w:rFonts w:hint="eastAsia" w:ascii="宋体" w:hAnsi="宋体"/>
          <w:color w:val="000000"/>
          <w:sz w:val="24"/>
          <w:highlight w:val="none"/>
        </w:rPr>
        <w:t xml:space="preserve">可能对投标产生的影响</w:t>
      </w:r>
      <w:r>
        <w:rPr>
          <w:rFonts w:hint="eastAsia" w:ascii="宋体" w:hAnsi="宋体"/>
          <w:color w:val="000000"/>
          <w:sz w:val="24"/>
          <w:highlight w:val="none"/>
          <w:lang w:val="zh-CN"/>
        </w:rPr>
        <w:t xml:space="preserve">，如因供应商自身原因造成的电子投标文件上传不成功的，按照本招标文件第二章第2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.1条规定</w:t>
      </w:r>
      <w:r>
        <w:rPr>
          <w:rFonts w:hint="eastAsia" w:ascii="宋体" w:hAnsi="宋体"/>
          <w:color w:val="000000"/>
          <w:sz w:val="24"/>
          <w:highlight w:val="none"/>
        </w:rPr>
        <w:t xml:space="preserve">作</w:t>
      </w:r>
      <w:r>
        <w:rPr>
          <w:rFonts w:hint="eastAsia" w:ascii="宋体" w:hAnsi="宋体"/>
          <w:color w:val="000000"/>
          <w:sz w:val="24"/>
          <w:highlight w:val="none"/>
          <w:lang w:val="zh-CN"/>
        </w:rPr>
        <w:t xml:space="preserve">无效投标处理。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 交易中心可以按照规定，通过修改招标文件酌情延长投标截止时间，在此情况下，供应商的所有权利和义务均以延长后新的截止时间为准。</w:t>
      </w:r>
      <w:r/>
    </w:p>
    <w:p>
      <w:pPr>
        <w:pStyle w:val="944"/>
        <w:ind w:firstLine="392"/>
        <w:spacing w:before="0" w:after="0"/>
        <w:rPr>
          <w:rFonts w:hint="eastAsia" w:ascii="方正楷体_GBK" w:hAnsi="方正楷体_GBK" w:eastAsia="方正楷体_GBK" w:cs="方正楷体_GBK"/>
          <w:color w:val="000000"/>
          <w:highlight w:val="none"/>
        </w:rPr>
      </w:pPr>
      <w:r/>
      <w:bookmarkStart w:id="142" w:name="_Toc513029227"/>
      <w:r/>
      <w:bookmarkStart w:id="143" w:name="_Toc20823299"/>
      <w:r/>
      <w:bookmarkStart w:id="144" w:name="_Toc16938543"/>
      <w:r>
        <w:rPr>
          <w:rFonts w:hint="eastAsia" w:ascii="方正楷体_GBK" w:hAnsi="方正楷体_GBK" w:eastAsia="方正楷体_GBK" w:cs="方正楷体_GBK"/>
          <w:color w:val="000000"/>
          <w:highlight w:val="none"/>
        </w:rPr>
        <w:t xml:space="preserve">18.投标文件</w:t>
      </w:r>
      <w:bookmarkEnd w:id="142"/>
      <w:r/>
      <w:bookmarkEnd w:id="143"/>
      <w:r/>
      <w:bookmarkEnd w:id="144"/>
      <w:r>
        <w:rPr>
          <w:rFonts w:hint="eastAsia" w:ascii="方正楷体_GBK" w:hAnsi="方正楷体_GBK" w:eastAsia="方正楷体_GBK" w:cs="方正楷体_GBK"/>
          <w:color w:val="000000"/>
          <w:highlight w:val="none"/>
        </w:rPr>
        <w:t xml:space="preserve">的拒收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投标截止时间后上传的任何投标文件将被拒绝。</w:t>
      </w:r>
      <w:r/>
    </w:p>
    <w:p>
      <w:pPr>
        <w:pStyle w:val="944"/>
        <w:ind w:firstLine="392"/>
        <w:spacing w:before="0" w:after="0"/>
        <w:rPr>
          <w:rFonts w:hint="eastAsia" w:ascii="方正楷体_GBK" w:hAnsi="方正楷体_GBK" w:eastAsia="方正楷体_GBK" w:cs="方正楷体_GBK"/>
          <w:color w:val="000000"/>
          <w:highlight w:val="none"/>
        </w:rPr>
      </w:pPr>
      <w:r/>
      <w:bookmarkStart w:id="145" w:name="_Toc20823300"/>
      <w:r/>
      <w:bookmarkStart w:id="146" w:name="_Toc513029228"/>
      <w:r/>
      <w:bookmarkStart w:id="147" w:name="_Toc16938544"/>
      <w:r>
        <w:rPr>
          <w:rFonts w:hint="eastAsia" w:ascii="方正楷体_GBK" w:hAnsi="方正楷体_GBK" w:eastAsia="方正楷体_GBK" w:cs="方正楷体_GBK"/>
          <w:color w:val="000000"/>
          <w:highlight w:val="none"/>
        </w:rPr>
        <w:t xml:space="preserve">19.投标文件的撤回和修改</w:t>
      </w:r>
      <w:bookmarkEnd w:id="145"/>
      <w:r/>
      <w:bookmarkEnd w:id="146"/>
      <w:r/>
      <w:bookmarkEnd w:id="147"/>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 投标文件的撤回</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供应商可在投标截止时间前撤回其电子投标文件，具体操作方法见《操作手册》。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供应商撤回电子投标文件，则认为其不再参与本项目投标活动。</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 投标文件的修改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供应商可在投标截止时间前对其电子投标文件进行修改，具体操作方法见《操作手册》。</w:t>
      </w:r>
      <w:r/>
    </w:p>
    <w:p>
      <w:pPr>
        <w:ind w:firstLine="422"/>
        <w:rPr>
          <w:rFonts w:hint="eastAsia" w:ascii="宋体" w:hAnsi="宋体"/>
          <w:color w:val="000000"/>
          <w:sz w:val="24"/>
          <w:highlight w:val="none"/>
          <w:lang w:val="zh-CN"/>
        </w:rPr>
      </w:pPr>
      <w:r>
        <w:rPr>
          <w:rFonts w:hint="eastAsia" w:ascii="宋体" w:hAnsi="宋体" w:eastAsia="宋体" w:cs="Times New Roman"/>
          <w:b/>
          <w:bCs/>
          <w:color w:val="000000"/>
          <w:sz w:val="24"/>
          <w:szCs w:val="21"/>
          <w:highlight w:val="none"/>
        </w:rPr>
        <w:t xml:space="preserve">暗标评审</w:t>
      </w:r>
      <w:r>
        <w:rPr>
          <w:rFonts w:hint="eastAsia" w:ascii="宋体" w:hAnsi="宋体" w:eastAsia="宋体" w:cs="Times New Roman"/>
          <w:b/>
          <w:bCs/>
          <w:color w:val="000000"/>
          <w:sz w:val="24"/>
          <w:szCs w:val="21"/>
          <w:highlight w:val="none"/>
          <w:lang w:val="en-US" w:eastAsia="zh-CN"/>
        </w:rPr>
        <w:t xml:space="preserve">项的投标</w:t>
      </w:r>
      <w:r>
        <w:rPr>
          <w:rFonts w:hint="eastAsia" w:ascii="宋体" w:hAnsi="宋体" w:eastAsia="宋体" w:cs="Times New Roman"/>
          <w:b/>
          <w:bCs/>
          <w:color w:val="000000"/>
          <w:sz w:val="24"/>
          <w:szCs w:val="21"/>
          <w:highlight w:val="none"/>
        </w:rPr>
        <w:t xml:space="preserve">文件修改后仍需符合暗标编制要求，不得出现投标人身份识别信息。</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投标截止时间之后，供应商不得对其电子投标文件作任何修改。</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19</w:t>
      </w:r>
      <w:r>
        <w:rPr>
          <w:rFonts w:hint="eastAsia" w:ascii="宋体" w:hAnsi="宋体"/>
          <w:color w:val="000000"/>
          <w:sz w:val="24"/>
          <w:highlight w:val="none"/>
          <w:lang w:val="zh-CN"/>
        </w:rPr>
        <w:t xml:space="preserve">.3 在投标截止时间至招标文件中规定的投标有效期满之间的这段时间内，供应商不得撤回其投标。</w:t>
      </w:r>
      <w:bookmarkStart w:id="148" w:name="_Toc513029229"/>
      <w:r/>
      <w:bookmarkStart w:id="149" w:name="_Toc20823301"/>
      <w:r/>
      <w:bookmarkStart w:id="150" w:name="_Toc120614218"/>
      <w:r/>
      <w:bookmarkStart w:id="151" w:name="_Toc16938545"/>
      <w:r/>
      <w:r/>
    </w:p>
    <w:p>
      <w:pPr>
        <w:pStyle w:val="942"/>
        <w:ind w:firstLine="465"/>
        <w:spacing w:before="120" w:after="120"/>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五、开标与评标</w:t>
      </w:r>
      <w:bookmarkEnd w:id="148"/>
      <w:r/>
      <w:bookmarkEnd w:id="149"/>
      <w:r/>
      <w:bookmarkEnd w:id="150"/>
      <w:r/>
      <w:bookmarkEnd w:id="151"/>
      <w:r/>
      <w:r/>
    </w:p>
    <w:p>
      <w:pPr>
        <w:pStyle w:val="944"/>
        <w:ind w:firstLine="392"/>
        <w:spacing w:before="0" w:after="0"/>
        <w:rPr>
          <w:rFonts w:hint="eastAsia" w:ascii="方正楷体_GBK" w:hAnsi="方正楷体_GBK" w:eastAsia="方正楷体_GBK" w:cs="方正楷体_GBK"/>
          <w:color w:val="000000"/>
          <w:highlight w:val="none"/>
        </w:rPr>
      </w:pPr>
      <w:r/>
      <w:bookmarkStart w:id="152" w:name="_Toc20823302"/>
      <w:r/>
      <w:bookmarkStart w:id="153" w:name="_Toc16938546"/>
      <w:r/>
      <w:bookmarkStart w:id="154" w:name="_Toc513029230"/>
      <w:r>
        <w:rPr>
          <w:rFonts w:hint="eastAsia" w:ascii="方正楷体_GBK" w:hAnsi="方正楷体_GBK" w:eastAsia="方正楷体_GBK" w:cs="方正楷体_GBK"/>
          <w:color w:val="000000"/>
          <w:highlight w:val="none"/>
        </w:rPr>
        <w:t xml:space="preserve">20.开标</w:t>
      </w:r>
      <w:bookmarkEnd w:id="152"/>
      <w:r/>
      <w:bookmarkEnd w:id="153"/>
      <w:r/>
      <w:bookmarkEnd w:id="154"/>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.1 交易中心在招标公告中规定的时间和地点组织公开开标。供应商按照《操作手册》规定参加开标活动，并在苏采云系统规定的时间内对投标文件进行解密。苏采云系统公布各供应商名称和投标价格。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供应商在开标过程中涉及到的投标文件解密、开标结果确认等工作，应按照《操作手册》规定执行。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0</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3 </w:t>
      </w:r>
      <w:r>
        <w:rPr>
          <w:rFonts w:hint="eastAsia" w:ascii="宋体" w:hAnsi="宋体"/>
          <w:color w:val="000000"/>
          <w:sz w:val="24"/>
          <w:highlight w:val="none"/>
          <w:lang w:val="zh-CN"/>
        </w:rPr>
        <w:t xml:space="preserve">供应商如果对开标过程和开标结果有疑义，应当根据《操作手册》规定提出，苏采云系统中《开标记录表》公布后5分钟内未提出的，视同认可开标结果。</w:t>
      </w:r>
      <w:r/>
    </w:p>
    <w:p>
      <w:pPr>
        <w:pStyle w:val="944"/>
        <w:ind w:firstLine="392"/>
        <w:spacing w:before="0" w:after="0"/>
        <w:rPr>
          <w:rFonts w:hint="eastAsia" w:ascii="方正楷体_GBK" w:hAnsi="方正楷体_GBK" w:eastAsia="方正楷体_GBK" w:cs="方正楷体_GBK"/>
          <w:color w:val="000000"/>
          <w:highlight w:val="none"/>
        </w:rPr>
      </w:pPr>
      <w:r/>
      <w:bookmarkStart w:id="155" w:name="_Toc513029231"/>
      <w:r/>
      <w:bookmarkStart w:id="156" w:name="_Toc16938547"/>
      <w:r/>
      <w:bookmarkStart w:id="157" w:name="_Toc20823303"/>
      <w:r>
        <w:rPr>
          <w:rFonts w:hint="eastAsia" w:ascii="方正楷体_GBK" w:hAnsi="方正楷体_GBK" w:eastAsia="方正楷体_GBK" w:cs="方正楷体_GBK"/>
          <w:color w:val="000000"/>
          <w:highlight w:val="none"/>
        </w:rPr>
        <w:t xml:space="preserve">21.评标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.1 </w:t>
      </w:r>
      <w:r>
        <w:rPr>
          <w:rFonts w:hint="eastAsia" w:ascii="宋体" w:hAnsi="宋体"/>
          <w:color w:val="000000"/>
          <w:sz w:val="24"/>
          <w:highlight w:val="none"/>
        </w:rPr>
        <w:t xml:space="preserve">评标由</w:t>
      </w:r>
      <w:r>
        <w:rPr>
          <w:rFonts w:hint="eastAsia" w:ascii="宋体" w:hAnsi="宋体"/>
          <w:color w:val="000000"/>
          <w:sz w:val="24"/>
          <w:highlight w:val="none"/>
          <w:lang w:val="zh-CN"/>
        </w:rPr>
        <w:t xml:space="preserve">依法组建的评标委员会（以下简称“评委会”）进行。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.2 评委会由采购人代表和有关方面专家组成，人员构成符合政府采购有关规定。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评委会独立工作，负责评审所有投标文件并</w:t>
      </w:r>
      <w:r>
        <w:rPr>
          <w:rFonts w:hint="eastAsia" w:ascii="宋体" w:hAnsi="宋体"/>
          <w:color w:val="000000"/>
          <w:sz w:val="24"/>
          <w:highlight w:val="none"/>
        </w:rPr>
        <w:t xml:space="preserve">推荐</w:t>
      </w:r>
      <w:r>
        <w:rPr>
          <w:rFonts w:hint="eastAsia" w:ascii="宋体" w:hAnsi="宋体"/>
          <w:color w:val="000000"/>
          <w:sz w:val="24"/>
          <w:highlight w:val="none"/>
          <w:lang w:val="zh-CN"/>
        </w:rPr>
        <w:t xml:space="preserve">中标候选人，</w:t>
      </w:r>
      <w:r>
        <w:rPr>
          <w:rFonts w:hint="eastAsia" w:ascii="宋体" w:hAnsi="宋体"/>
          <w:color w:val="000000"/>
          <w:sz w:val="24"/>
          <w:highlight w:val="none"/>
        </w:rPr>
        <w:t xml:space="preserve">或根据采购人授权直接确定中标人</w:t>
      </w:r>
      <w:r>
        <w:rPr>
          <w:rFonts w:hint="eastAsia" w:ascii="宋体" w:hAnsi="宋体"/>
          <w:color w:val="000000"/>
          <w:sz w:val="24"/>
          <w:highlight w:val="none"/>
          <w:lang w:val="zh-CN"/>
        </w:rPr>
        <w:t xml:space="preserve">。</w:t>
      </w:r>
      <w:r/>
    </w:p>
    <w:p>
      <w:pPr>
        <w:pStyle w:val="944"/>
        <w:ind w:firstLine="392"/>
        <w:spacing w:before="0" w:after="0"/>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22.评标过程的保密与公正</w:t>
      </w:r>
      <w:bookmarkEnd w:id="155"/>
      <w:r/>
      <w:bookmarkEnd w:id="156"/>
      <w:r/>
      <w:bookmarkEnd w:id="157"/>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凡是与审查、澄清、评价和比较投标的有关资料以及授标建议等，采购人、评委、交易中心均不得向供应商或与评标无关的其他人员透露。</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供应商不得以任何方式影响评标，否则其投标文件将被作为无效投标文件。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.3 交易中心和评委会不向未中标的供应商解释未中标原因，也不公布评标过程中的相关细节。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.4 采用综合评分法的项目，未中标的供应商可于中标结果公告期限届满之日起通过苏采云系统查看本单位的评审得分及排名情况。</w:t>
      </w:r>
      <w:r/>
    </w:p>
    <w:p>
      <w:pPr>
        <w:pStyle w:val="944"/>
        <w:ind w:firstLine="392"/>
        <w:spacing w:before="0" w:after="0"/>
        <w:rPr>
          <w:rFonts w:hint="eastAsia" w:ascii="方正楷体_GBK" w:hAnsi="方正楷体_GBK" w:eastAsia="方正楷体_GBK" w:cs="方正楷体_GBK"/>
          <w:color w:val="000000"/>
          <w:highlight w:val="none"/>
        </w:rPr>
      </w:pPr>
      <w:r/>
      <w:bookmarkStart w:id="158" w:name="_Toc16938548"/>
      <w:r/>
      <w:bookmarkStart w:id="159" w:name="_Toc20823304"/>
      <w:r/>
      <w:bookmarkStart w:id="160" w:name="_Toc513029232"/>
      <w:r>
        <w:rPr>
          <w:rFonts w:hint="eastAsia" w:ascii="方正楷体_GBK" w:hAnsi="方正楷体_GBK" w:eastAsia="方正楷体_GBK" w:cs="方正楷体_GBK"/>
          <w:color w:val="000000"/>
          <w:highlight w:val="none"/>
        </w:rPr>
        <w:t xml:space="preserve">23.投标文件的澄清</w:t>
      </w:r>
      <w:bookmarkEnd w:id="158"/>
      <w:r/>
      <w:bookmarkEnd w:id="159"/>
      <w:r/>
      <w:bookmarkEnd w:id="160"/>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评标期间，评委会对投标文件中含义不明确、同类问题表述不一致或者有明显文字和计算错误的内容，有权要求供应商作出必要的澄清、说明或者补正。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供应商的澄清、说明或者补正不得超出投标文件的范围或者改变投标文件的实质性内容。</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评委会并非对每个供应商都做澄清要求。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需要供应商进行澄清、说明和补正的，评委会将通过苏采云系统向</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发出《澄清要求函》，接到《澄清要求函》的</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.3 接到评委会澄清、说明和补正要求的，供应商如未按规定作出澄清、说明和补正，其风险由供应商自行承担。</w:t>
      </w:r>
      <w:r/>
    </w:p>
    <w:p>
      <w:pPr>
        <w:pStyle w:val="944"/>
        <w:ind w:firstLine="392"/>
        <w:spacing w:before="0" w:after="0"/>
        <w:rPr>
          <w:rFonts w:hint="eastAsia" w:ascii="方正楷体_GBK" w:hAnsi="方正楷体_GBK" w:eastAsia="方正楷体_GBK" w:cs="方正楷体_GBK"/>
          <w:color w:val="000000"/>
          <w:highlight w:val="none"/>
        </w:rPr>
      </w:pPr>
      <w:r/>
      <w:bookmarkStart w:id="161" w:name="_Toc16938549"/>
      <w:r/>
      <w:bookmarkStart w:id="162" w:name="_Toc20823305"/>
      <w:r/>
      <w:bookmarkStart w:id="163" w:name="_Toc513029233"/>
      <w:r>
        <w:rPr>
          <w:rFonts w:hint="eastAsia" w:ascii="方正楷体_GBK" w:hAnsi="方正楷体_GBK" w:eastAsia="方正楷体_GBK" w:cs="方正楷体_GBK"/>
          <w:color w:val="000000"/>
          <w:highlight w:val="none"/>
        </w:rPr>
        <w:t xml:space="preserve">24.投标文件的</w:t>
      </w:r>
      <w:bookmarkEnd w:id="161"/>
      <w:r/>
      <w:bookmarkEnd w:id="162"/>
      <w:r/>
      <w:bookmarkEnd w:id="163"/>
      <w:r>
        <w:rPr>
          <w:rFonts w:hint="eastAsia" w:ascii="方正楷体_GBK" w:hAnsi="方正楷体_GBK" w:eastAsia="方正楷体_GBK" w:cs="方正楷体_GBK"/>
          <w:color w:val="000000"/>
          <w:highlight w:val="none"/>
        </w:rPr>
        <w:t xml:space="preserve">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 投标文件审查分为资格审查和符合性审查。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采购人进行资格审查时，将在“信用中国”网站（www.creditchina.gov.cn）查询供应商的信用记录，以确定供应商是否具备投标资格，查询结果留存并归档。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接受联合体的项目，联合体成员存在不良信用记录的，视同联合体存在不良信用记录。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24.1.3 未通过资格审查或符合性审查的供应商，交易中心将通过苏采云系统告知其具体原因，评标结束后不再接受有关询问。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如果投标文件实质上没有响应招标文件的要求，评委会将予以拒绝，供应商不得通过修改或撤销不符合要求的偏离或保留而使其投标成为实质性响应的投标。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（1）投标文件中开标一览表内容与投标文件中相应内容不一致的，以开标一览表为准；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（2）大写金额和小写金额不一致的，以大写金额为准；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（3）单价金额小数点或者百分比有明显错位的，以开标一览表的总价为准，并修改单价；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（4）总价金额与按单价汇总金额不一致的，以单价金额计算结果为准。</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同时出现两种以上错误的，按照前款规定的顺序修正。</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.5 评委会将按上述修正错误的方法调整投标文件中的投标报价，并通过苏采云系统告知供应商，调整后的价格对供应商具有约束力。如果供应商不接受修正后的价格，则其投标将被拒绝。</w:t>
      </w:r>
      <w:r/>
    </w:p>
    <w:p>
      <w:pPr>
        <w:ind w:firstLine="420"/>
        <w:rPr>
          <w:rFonts w:hint="eastAsia" w:ascii="宋体" w:hAnsi="宋体"/>
          <w:color w:val="000000"/>
          <w:sz w:val="24"/>
          <w:highlight w:val="none"/>
          <w:lang w:val="zh-CN"/>
        </w:rPr>
      </w:pPr>
      <w:r/>
      <w:bookmarkStart w:id="164" w:name="_Toc16938550"/>
      <w:r/>
      <w:bookmarkStart w:id="165" w:name="_Toc20823306"/>
      <w:r/>
      <w:bookmarkStart w:id="166" w:name="_Toc513029234"/>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4</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供应商在开、评标全过程中应保持通讯畅通，及时登录苏采云系统查阅、答复相关信息，并安排专人与交易中心及评委会联系。</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24.7</w:t>
      </w:r>
      <w:r>
        <w:rPr>
          <w:rFonts w:hint="eastAsia" w:ascii="宋体" w:hAnsi="宋体"/>
          <w:color w:val="000000"/>
          <w:sz w:val="24"/>
          <w:highlight w:val="none"/>
        </w:rPr>
        <w:t xml:space="preserve"> </w:t>
      </w:r>
      <w:r>
        <w:rPr>
          <w:rFonts w:hint="eastAsia" w:ascii="宋体" w:hAnsi="宋体"/>
          <w:color w:val="000000"/>
          <w:sz w:val="24"/>
          <w:szCs w:val="22"/>
          <w:highlight w:val="none"/>
          <w:lang w:val="zh-CN"/>
        </w:rPr>
        <w:t xml:space="preserve">异常低价审查</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4</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7</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1</w:t>
      </w:r>
      <w:r>
        <w:rPr>
          <w:rFonts w:hint="eastAsia" w:ascii="宋体" w:hAnsi="宋体"/>
          <w:color w:val="000000"/>
          <w:sz w:val="24"/>
          <w:szCs w:val="22"/>
          <w:highlight w:val="none"/>
          <w:lang w:val="zh-CN"/>
        </w:rPr>
        <w:t xml:space="preserve">评标过程中出现下列情形之一的，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应当启动异常低价审查程序：</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（1）投标报价低于全部通过符合性审查供应商投标报价平均值</w:t>
      </w:r>
      <w:r>
        <w:rPr>
          <w:rFonts w:hint="eastAsia" w:ascii="宋体" w:hAnsi="宋体"/>
          <w:color w:val="000000"/>
          <w:sz w:val="24"/>
          <w:szCs w:val="22"/>
          <w:highlight w:val="none"/>
          <w:u w:val="single"/>
          <w:lang w:val="zh-CN"/>
        </w:rPr>
        <w:t xml:space="preserve">50%</w:t>
      </w:r>
      <w:r>
        <w:rPr>
          <w:rFonts w:hint="eastAsia" w:ascii="宋体" w:hAnsi="宋体"/>
          <w:color w:val="000000"/>
          <w:sz w:val="24"/>
          <w:szCs w:val="22"/>
          <w:highlight w:val="none"/>
          <w:lang w:val="zh-CN"/>
        </w:rPr>
        <w:t xml:space="preserve">的，即投标报价&lt;全部通过符合性审查供应商投标报价平均值×</w:t>
      </w:r>
      <w:r>
        <w:rPr>
          <w:rFonts w:hint="eastAsia" w:ascii="宋体" w:hAnsi="宋体"/>
          <w:color w:val="000000"/>
          <w:sz w:val="24"/>
          <w:szCs w:val="22"/>
          <w:highlight w:val="none"/>
          <w:u w:val="single"/>
          <w:lang w:val="zh-CN"/>
        </w:rPr>
        <w:t xml:space="preserve">50%</w:t>
      </w:r>
      <w:r>
        <w:rPr>
          <w:rFonts w:hint="eastAsia" w:ascii="宋体" w:hAnsi="宋体"/>
          <w:color w:val="000000"/>
          <w:sz w:val="24"/>
          <w:szCs w:val="22"/>
          <w:highlight w:val="none"/>
          <w:lang w:val="zh-CN"/>
        </w:rPr>
        <w:t xml:space="preserve">；</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（2）投标报价低于通过符合性审查的次低报价供应商投标报价</w:t>
      </w:r>
      <w:r>
        <w:rPr>
          <w:rFonts w:hint="eastAsia" w:ascii="宋体" w:hAnsi="宋体"/>
          <w:color w:val="000000"/>
          <w:sz w:val="24"/>
          <w:szCs w:val="22"/>
          <w:highlight w:val="none"/>
          <w:u w:val="single"/>
          <w:lang w:val="zh-CN"/>
        </w:rPr>
        <w:t xml:space="preserve">50%</w:t>
      </w:r>
      <w:r>
        <w:rPr>
          <w:rFonts w:hint="eastAsia" w:ascii="宋体" w:hAnsi="宋体"/>
          <w:color w:val="000000"/>
          <w:sz w:val="24"/>
          <w:szCs w:val="22"/>
          <w:highlight w:val="none"/>
          <w:lang w:val="zh-CN"/>
        </w:rPr>
        <w:t xml:space="preserve">的，即投标报价&lt;通过符合性审查的次低报价供应商投标报价×</w:t>
      </w:r>
      <w:r>
        <w:rPr>
          <w:rFonts w:hint="eastAsia" w:ascii="宋体" w:hAnsi="宋体"/>
          <w:color w:val="000000"/>
          <w:sz w:val="24"/>
          <w:szCs w:val="22"/>
          <w:highlight w:val="none"/>
          <w:u w:val="single"/>
          <w:lang w:val="zh-CN"/>
        </w:rPr>
        <w:t xml:space="preserve">50%</w:t>
      </w:r>
      <w:r>
        <w:rPr>
          <w:rFonts w:hint="eastAsia" w:ascii="宋体" w:hAnsi="宋体"/>
          <w:color w:val="000000"/>
          <w:sz w:val="24"/>
          <w:szCs w:val="22"/>
          <w:highlight w:val="none"/>
          <w:lang w:val="zh-CN"/>
        </w:rPr>
        <w:t xml:space="preserve">；</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（3）投标报价低于采购项目最高限价</w:t>
      </w:r>
      <w:r>
        <w:rPr>
          <w:rFonts w:hint="eastAsia" w:ascii="宋体" w:hAnsi="宋体"/>
          <w:color w:val="000000"/>
          <w:sz w:val="24"/>
          <w:szCs w:val="22"/>
          <w:highlight w:val="none"/>
          <w:u w:val="single"/>
          <w:lang w:val="zh-CN"/>
        </w:rPr>
        <w:t xml:space="preserve">4</w:t>
      </w:r>
      <w:r>
        <w:rPr>
          <w:rFonts w:hint="eastAsia" w:ascii="宋体" w:hAnsi="宋体"/>
          <w:color w:val="000000"/>
          <w:sz w:val="24"/>
          <w:szCs w:val="22"/>
          <w:highlight w:val="none"/>
          <w:u w:val="single"/>
          <w:lang w:val="en-US" w:eastAsia="zh-CN"/>
        </w:rPr>
        <w:t xml:space="preserve">5</w:t>
      </w:r>
      <w:r>
        <w:rPr>
          <w:rFonts w:hint="eastAsia" w:ascii="宋体" w:hAnsi="宋体"/>
          <w:color w:val="000000"/>
          <w:sz w:val="24"/>
          <w:szCs w:val="22"/>
          <w:highlight w:val="none"/>
          <w:u w:val="single"/>
          <w:lang w:val="zh-CN"/>
        </w:rPr>
        <w:t xml:space="preserve">%</w:t>
      </w:r>
      <w:r>
        <w:rPr>
          <w:rFonts w:hint="eastAsia" w:ascii="宋体" w:hAnsi="宋体"/>
          <w:color w:val="000000"/>
          <w:sz w:val="24"/>
          <w:szCs w:val="22"/>
          <w:highlight w:val="none"/>
          <w:lang w:val="zh-CN"/>
        </w:rPr>
        <w:t xml:space="preserve">的，即投标报价&lt;采购项目最高限价×</w:t>
      </w:r>
      <w:r>
        <w:rPr>
          <w:rFonts w:hint="eastAsia" w:ascii="宋体" w:hAnsi="宋体"/>
          <w:color w:val="000000"/>
          <w:sz w:val="24"/>
          <w:szCs w:val="22"/>
          <w:highlight w:val="none"/>
          <w:u w:val="single"/>
          <w:lang w:val="zh-CN"/>
        </w:rPr>
        <w:t xml:space="preserve">45%</w:t>
      </w:r>
      <w:r>
        <w:rPr>
          <w:rFonts w:hint="eastAsia" w:ascii="宋体" w:hAnsi="宋体"/>
          <w:color w:val="000000"/>
          <w:sz w:val="24"/>
          <w:szCs w:val="22"/>
          <w:highlight w:val="none"/>
          <w:lang w:val="zh-CN"/>
        </w:rPr>
        <w:t xml:space="preserve">；</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（4）</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基于专业判断，认为供应商报价过低，有可能影响产品质量或者不能诚信履约的其他情形。</w:t>
      </w:r>
      <w:r/>
    </w:p>
    <w:p>
      <w:pPr>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2</w:t>
      </w:r>
      <w:r>
        <w:rPr>
          <w:rFonts w:hint="eastAsia" w:ascii="宋体" w:hAnsi="宋体"/>
          <w:color w:val="000000"/>
          <w:sz w:val="24"/>
          <w:szCs w:val="22"/>
          <w:highlight w:val="none"/>
        </w:rPr>
        <w:t xml:space="preserve">4</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7</w:t>
      </w:r>
      <w:r>
        <w:rPr>
          <w:rFonts w:hint="eastAsia" w:ascii="宋体" w:hAnsi="宋体"/>
          <w:color w:val="000000"/>
          <w:sz w:val="24"/>
          <w:szCs w:val="22"/>
          <w:highlight w:val="none"/>
          <w:lang w:val="zh-CN"/>
        </w:rPr>
        <w:t xml:space="preserve">.</w:t>
      </w:r>
      <w:r>
        <w:rPr>
          <w:rFonts w:hint="eastAsia" w:ascii="宋体" w:hAnsi="宋体"/>
          <w:color w:val="000000"/>
          <w:sz w:val="24"/>
          <w:szCs w:val="22"/>
          <w:highlight w:val="none"/>
        </w:rPr>
        <w:t xml:space="preserve">2</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7" w:name="OLE_LINK2"/>
      <w:r>
        <w:rPr>
          <w:rFonts w:hint="eastAsia" w:ascii="宋体" w:hAnsi="宋体"/>
          <w:color w:val="000000"/>
          <w:sz w:val="24"/>
          <w:szCs w:val="22"/>
          <w:highlight w:val="none"/>
          <w:lang w:val="zh-CN"/>
        </w:rPr>
        <w:t xml:space="preserve">供应商已随投标文件一并提交相关书面说明及必要的证明材料的，在评标现场可不再重复提交</w:t>
      </w:r>
      <w:bookmarkEnd w:id="167"/>
      <w:r>
        <w:rPr>
          <w:rFonts w:hint="eastAsia" w:ascii="宋体" w:hAnsi="宋体"/>
          <w:color w:val="000000"/>
          <w:sz w:val="24"/>
          <w:szCs w:val="22"/>
          <w:highlight w:val="none"/>
          <w:lang w:val="zh-CN"/>
        </w:rPr>
        <w:t xml:space="preserve">。</w:t>
      </w:r>
      <w:r/>
    </w:p>
    <w:p>
      <w:pPr>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highlight w:val="none"/>
          <w:lang w:val="zh-CN"/>
        </w:rPr>
        <w:t xml:space="preserve">评委会</w:t>
      </w:r>
      <w:r>
        <w:rPr>
          <w:rFonts w:hint="eastAsia" w:ascii="宋体" w:hAnsi="宋体"/>
          <w:color w:val="000000"/>
          <w:sz w:val="24"/>
          <w:szCs w:val="22"/>
          <w:highlight w:val="none"/>
          <w:lang w:val="zh-CN"/>
        </w:rPr>
        <w:t xml:space="preserve">应当将其作为无效投标处理。</w:t>
      </w:r>
      <w:r/>
    </w:p>
    <w:p>
      <w:pPr>
        <w:pStyle w:val="944"/>
        <w:ind w:firstLine="392"/>
        <w:spacing w:before="0" w:after="0"/>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w:t>
      </w:r>
      <w:bookmarkEnd w:id="164"/>
      <w:r/>
      <w:bookmarkEnd w:id="165"/>
      <w:r/>
      <w:bookmarkEnd w:id="166"/>
      <w:r>
        <w:rPr>
          <w:rFonts w:hint="eastAsia" w:ascii="方正楷体_GBK" w:hAnsi="方正楷体_GBK" w:eastAsia="方正楷体_GBK" w:cs="方正楷体_GBK"/>
          <w:color w:val="000000"/>
          <w:highlight w:val="none"/>
        </w:rPr>
        <w:t xml:space="preserve">5.无效投标和废标</w:t>
      </w:r>
      <w:r/>
    </w:p>
    <w:p>
      <w:pPr>
        <w:ind w:firstLine="420"/>
        <w:rPr>
          <w:rFonts w:hint="eastAsia" w:ascii="宋体" w:hAnsi="宋体"/>
          <w:color w:val="000000"/>
          <w:sz w:val="24"/>
          <w:highlight w:val="none"/>
          <w:lang w:val="zh-CN"/>
        </w:rPr>
      </w:pPr>
      <w:r/>
      <w:bookmarkStart w:id="168" w:name="_Toc513029235"/>
      <w:r/>
      <w:bookmarkStart w:id="169" w:name="_Toc16938551"/>
      <w:r/>
      <w:bookmarkStart w:id="170" w:name="_Toc20823307"/>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无效投标情形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供应商在苏采云系统规定的时间内未成功解密电子投标文件。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供应商未按照招标文件要求上传电子投标文件。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同一供应商提交两个（含两个）以上不同的投标报价。</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供应商不具备招标文件中规定资格要求。</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供应商的报价超过了采购预算或最高限价</w:t>
      </w:r>
      <w:r>
        <w:rPr>
          <w:rFonts w:hint="eastAsia" w:ascii="宋体" w:hAnsi="宋体"/>
          <w:color w:val="000000"/>
          <w:sz w:val="24"/>
          <w:highlight w:val="none"/>
        </w:rPr>
        <w:t xml:space="preserve">或单价上限</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.1.6</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未通过符合性审查。</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.1.7</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不符合招标文件中实质性要求和条件</w:t>
      </w:r>
      <w:r>
        <w:rPr>
          <w:rFonts w:hint="eastAsia" w:ascii="宋体" w:hAnsi="宋体"/>
          <w:iCs/>
          <w:color w:val="000000"/>
          <w:sz w:val="24"/>
          <w:szCs w:val="22"/>
          <w:highlight w:val="none"/>
          <w:lang w:val="zh-CN"/>
        </w:rPr>
        <w:t xml:space="preserve">（</w:t>
      </w:r>
      <w:r>
        <w:rPr>
          <w:rFonts w:hint="eastAsia" w:ascii="宋体" w:hAnsi="宋体"/>
          <w:b/>
          <w:bCs/>
          <w:iCs/>
          <w:color w:val="000000"/>
          <w:sz w:val="24"/>
          <w:szCs w:val="22"/>
          <w:highlight w:val="none"/>
          <w:lang w:val="zh-CN"/>
        </w:rPr>
        <w:t xml:space="preserve">本文件打“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”内容为实质性要求和条件</w:t>
      </w:r>
      <w:r>
        <w:rPr>
          <w:rFonts w:hint="eastAsia" w:ascii="宋体" w:hAnsi="宋体"/>
          <w:iCs/>
          <w:color w:val="000000"/>
          <w:sz w:val="24"/>
          <w:szCs w:val="22"/>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.1.8</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.1.9</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投标文件含有采购人不能接受的附加条件。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.1.10</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w:t>
      </w:r>
      <w:r>
        <w:rPr>
          <w:rFonts w:hint="eastAsia" w:ascii="宋体" w:hAnsi="宋体"/>
          <w:color w:val="000000"/>
          <w:sz w:val="24"/>
          <w:highlight w:val="none"/>
        </w:rPr>
        <w:t xml:space="preserve">按照本招标文件规定对供应商进行异常低价审查后，认为供应商不能证明其报价合理性的。</w:t>
      </w:r>
      <w:r/>
    </w:p>
    <w:p>
      <w:pPr>
        <w:ind w:firstLine="420"/>
        <w:rPr>
          <w:rFonts w:hint="eastAsia"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投标文件未按照招标文件要求加盖电子公章。</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法律法规及本招标文件规定的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无效投标情形。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废标情形</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符合资格条件的供应商或者对招标文件作实质响应的供应商不足三家。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出现影响采购公正的违法、违规行为。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因重大变故采购任务取消。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评委会认定招标文件存在歧义、重大缺陷导致评审工作无法进行。</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.2.5</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因苏采云系统故障造成开标不成功。</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.3 如出现投标截止时间后参加投标的供应商或者对招标文件作出实质</w:t>
      </w:r>
      <w:r>
        <w:rPr>
          <w:rFonts w:hint="eastAsia" w:ascii="宋体" w:hAnsi="宋体"/>
          <w:color w:val="000000"/>
          <w:sz w:val="24"/>
          <w:highlight w:val="none"/>
        </w:rPr>
        <w:t xml:space="preserve">性</w:t>
      </w:r>
      <w:r>
        <w:rPr>
          <w:rFonts w:hint="eastAsia" w:ascii="宋体" w:hAnsi="宋体"/>
          <w:color w:val="000000"/>
          <w:sz w:val="24"/>
          <w:highlight w:val="none"/>
          <w:lang w:val="zh-CN"/>
        </w:rPr>
        <w:t xml:space="preserve">响应的供应商不足三家</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情况，按政府采购相关规定执行。</w:t>
      </w:r>
      <w:r/>
    </w:p>
    <w:p>
      <w:pPr>
        <w:ind w:firstLine="422"/>
        <w:rPr>
          <w:rFonts w:ascii="宋体" w:hAnsi="宋体"/>
          <w:b/>
          <w:bCs/>
          <w:color w:val="000000"/>
          <w:sz w:val="24"/>
          <w:highlight w:val="none"/>
        </w:rPr>
      </w:pPr>
      <w:r>
        <w:rPr>
          <w:rFonts w:hint="eastAsia" w:ascii="宋体" w:hAnsi="宋体"/>
          <w:b/>
          <w:bCs/>
          <w:color w:val="000000"/>
          <w:sz w:val="24"/>
          <w:highlight w:val="none"/>
          <w:lang w:val="zh-CN"/>
        </w:rPr>
        <w:t xml:space="preserve">25.4 如出现25.2.1或25.3情形，招标活动失败，评审委员会</w:t>
      </w:r>
      <w:r>
        <w:rPr>
          <w:rFonts w:hint="eastAsia" w:ascii="宋体" w:hAnsi="宋体"/>
          <w:b/>
          <w:bCs/>
          <w:color w:val="000000"/>
          <w:sz w:val="24"/>
          <w:highlight w:val="none"/>
        </w:rPr>
        <w:t xml:space="preserve">应对</w:t>
      </w:r>
      <w:r>
        <w:rPr>
          <w:rFonts w:hint="eastAsia" w:ascii="宋体" w:hAnsi="宋体"/>
          <w:b/>
          <w:bCs/>
          <w:color w:val="000000"/>
          <w:sz w:val="24"/>
          <w:highlight w:val="none"/>
          <w:lang w:val="zh-CN"/>
        </w:rPr>
        <w:t xml:space="preserve">招标文件是否存在不合理条款</w:t>
      </w:r>
      <w:r>
        <w:rPr>
          <w:rFonts w:hint="eastAsia" w:ascii="宋体" w:hAnsi="宋体"/>
          <w:b/>
          <w:bCs/>
          <w:color w:val="000000"/>
          <w:sz w:val="24"/>
          <w:highlight w:val="none"/>
        </w:rPr>
        <w:t xml:space="preserve">进行论证，并在评审报告中写明</w:t>
      </w:r>
      <w:r>
        <w:rPr>
          <w:rFonts w:hint="eastAsia" w:ascii="宋体" w:hAnsi="宋体"/>
          <w:b/>
          <w:bCs/>
          <w:color w:val="000000"/>
          <w:sz w:val="24"/>
          <w:highlight w:val="none"/>
          <w:lang w:val="zh-CN"/>
        </w:rPr>
        <w:t xml:space="preserve">论证意见。</w:t>
      </w:r>
      <w:bookmarkEnd w:id="132"/>
      <w:r/>
      <w:bookmarkEnd w:id="133"/>
      <w:r/>
      <w:bookmarkEnd w:id="134"/>
      <w:r/>
      <w:bookmarkEnd w:id="168"/>
      <w:r/>
      <w:bookmarkEnd w:id="169"/>
      <w:r/>
      <w:bookmarkEnd w:id="170"/>
      <w:r/>
      <w:r/>
    </w:p>
    <w:p>
      <w:pPr>
        <w:pStyle w:val="942"/>
        <w:ind w:firstLine="465"/>
        <w:spacing w:before="120" w:after="120"/>
        <w:rPr>
          <w:rFonts w:hint="eastAsia" w:ascii="方正黑体_GBK" w:hAnsi="方正黑体_GBK" w:eastAsia="方正黑体_GBK" w:cs="方正黑体_GBK"/>
          <w:color w:val="000000"/>
          <w:highlight w:val="none"/>
        </w:rPr>
      </w:pPr>
      <w:r/>
      <w:bookmarkStart w:id="171" w:name="_Toc120614219"/>
      <w:r>
        <w:rPr>
          <w:rFonts w:hint="eastAsia" w:ascii="方正黑体_GBK" w:hAnsi="方正黑体_GBK" w:eastAsia="方正黑体_GBK" w:cs="方正黑体_GBK"/>
          <w:color w:val="000000"/>
          <w:highlight w:val="none"/>
        </w:rPr>
        <w:t xml:space="preserve">六、定标</w:t>
      </w:r>
      <w:bookmarkEnd w:id="171"/>
      <w:r/>
      <w:r/>
    </w:p>
    <w:p>
      <w:pPr>
        <w:pStyle w:val="944"/>
        <w:ind w:firstLine="392"/>
        <w:spacing w:before="0" w:after="0"/>
        <w:rPr>
          <w:rFonts w:hint="eastAsia" w:ascii="方正楷体_GBK" w:hAnsi="方正楷体_GBK" w:eastAsia="方正楷体_GBK" w:cs="方正楷体_GBK"/>
          <w:color w:val="000000"/>
          <w:highlight w:val="none"/>
        </w:rPr>
      </w:pPr>
      <w:r/>
      <w:bookmarkStart w:id="172" w:name="_Toc513029238"/>
      <w:r/>
      <w:bookmarkStart w:id="173" w:name="_Toc16938554"/>
      <w:r/>
      <w:bookmarkStart w:id="174" w:name="_Toc20823310"/>
      <w:r>
        <w:rPr>
          <w:rFonts w:hint="eastAsia" w:ascii="方正楷体_GBK" w:hAnsi="方正楷体_GBK" w:eastAsia="方正楷体_GBK" w:cs="方正楷体_GBK"/>
          <w:color w:val="000000"/>
          <w:highlight w:val="none"/>
        </w:rPr>
        <w:t xml:space="preserve">2</w:t>
      </w:r>
      <w:bookmarkEnd w:id="172"/>
      <w:r>
        <w:rPr>
          <w:rFonts w:hint="eastAsia" w:ascii="方正楷体_GBK" w:hAnsi="方正楷体_GBK" w:eastAsia="方正楷体_GBK" w:cs="方正楷体_GBK"/>
          <w:color w:val="000000"/>
          <w:highlight w:val="none"/>
        </w:rPr>
        <w:t xml:space="preserve">6.确定</w:t>
      </w:r>
      <w:bookmarkEnd w:id="173"/>
      <w:r/>
      <w:bookmarkEnd w:id="174"/>
      <w:r>
        <w:rPr>
          <w:rFonts w:hint="eastAsia" w:ascii="方正楷体_GBK" w:hAnsi="方正楷体_GBK" w:eastAsia="方正楷体_GBK" w:cs="方正楷体_GBK"/>
          <w:color w:val="000000"/>
          <w:highlight w:val="none"/>
        </w:rPr>
        <w:t xml:space="preserve">中标单位</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中标候选人的</w:t>
      </w:r>
      <w:r>
        <w:rPr>
          <w:rFonts w:hint="eastAsia" w:ascii="宋体" w:hAnsi="宋体"/>
          <w:color w:val="000000"/>
          <w:sz w:val="24"/>
          <w:highlight w:val="none"/>
        </w:rPr>
        <w:t xml:space="preserve">确定</w:t>
      </w:r>
      <w:r>
        <w:rPr>
          <w:rFonts w:hint="eastAsia" w:ascii="宋体" w:hAnsi="宋体"/>
          <w:color w:val="000000"/>
          <w:sz w:val="24"/>
          <w:highlight w:val="none"/>
          <w:lang w:val="zh-CN"/>
        </w:rPr>
        <w:t xml:space="preserve">原则和数量见招标文件第五章。 </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.2 按以下第（</w:t>
      </w:r>
      <w:r>
        <w:rPr>
          <w:rFonts w:hint="eastAsia" w:ascii="宋体" w:hAnsi="宋体"/>
          <w:color w:val="000000"/>
          <w:sz w:val="24"/>
          <w:highlight w:val="none"/>
        </w:rPr>
        <w:t xml:space="preserve">2</w:t>
      </w:r>
      <w:r>
        <w:rPr>
          <w:rFonts w:hint="eastAsia" w:ascii="宋体" w:hAnsi="宋体"/>
          <w:color w:val="000000"/>
          <w:sz w:val="24"/>
          <w:highlight w:val="none"/>
          <w:lang w:val="zh-CN"/>
        </w:rPr>
        <w:t xml:space="preserve">）种方式确定中标人：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（1）评委会直接确定排名第一的中标候选人为中标人；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（2）采购人在评委会推荐的中标候选人中按顺序确定中标人。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按第二种方式确定中标人的，交易中心自评审结束之日起两个工作日内将评审报告送</w:t>
      </w:r>
      <w:r>
        <w:rPr>
          <w:rFonts w:hint="eastAsia" w:ascii="宋体" w:hAnsi="宋体"/>
          <w:color w:val="000000"/>
          <w:sz w:val="24"/>
          <w:highlight w:val="none"/>
        </w:rPr>
        <w:t xml:space="preserve">达</w:t>
      </w:r>
      <w:r>
        <w:rPr>
          <w:rFonts w:hint="eastAsia" w:ascii="宋体" w:hAnsi="宋体"/>
          <w:color w:val="000000"/>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.3 交易中心将在“江苏政府采购网”发布中标公告，公告期限为1个工作日。</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若有充分证据证明中标人</w:t>
      </w:r>
      <w:r>
        <w:rPr>
          <w:rFonts w:hint="eastAsia" w:ascii="宋体" w:hAnsi="宋体"/>
          <w:b/>
          <w:bCs/>
          <w:color w:val="000000"/>
          <w:sz w:val="24"/>
          <w:highlight w:val="none"/>
        </w:rPr>
        <w:t xml:space="preserve">有</w:t>
      </w:r>
      <w:r>
        <w:rPr>
          <w:rFonts w:hint="eastAsia" w:ascii="宋体" w:hAnsi="宋体"/>
          <w:b/>
          <w:bCs/>
          <w:color w:val="000000"/>
          <w:sz w:val="24"/>
          <w:highlight w:val="none"/>
          <w:lang w:val="zh-CN"/>
        </w:rPr>
        <w:t xml:space="preserve">下列情况之一的，一经查实将被取消中标资格：</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26.4.1 提供虚假材料谋取中标。</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26.4.2 向评审专家、采购人或交易中心工作人员行贿或者提供其他不正当利益。</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26.4.3 与其他供应商、评审专家、采购人或交易中心工作人员恶意串通。</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26.4.4 属于本文件规定的无效投标情形，但在评标过程中未被评委会发现。</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26.4.5 采取不正当手段诋毁、排挤其他供应商。</w:t>
      </w:r>
      <w:r/>
    </w:p>
    <w:p>
      <w:pPr>
        <w:ind w:firstLine="420"/>
        <w:rPr>
          <w:rFonts w:hint="eastAsia" w:ascii="宋体" w:hAnsi="宋体"/>
          <w:b/>
          <w:bCs/>
          <w:color w:val="000000"/>
          <w:sz w:val="24"/>
          <w:highlight w:val="none"/>
          <w:lang w:val="zh-CN"/>
        </w:rPr>
      </w:pPr>
      <w:r/>
      <w:bookmarkStart w:id="175" w:name="_Toc200451960"/>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有下列情形之一的视为供应商串通投标，投标无效：</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不同供应商的投标文件由同一单位或者个人编制。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不同供应商委托同一单位或者个人办理投标事宜。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不同供应商的投标文件载明的项目管理成员或者联系人员为同一人。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6</w:t>
      </w:r>
      <w:r>
        <w:rPr>
          <w:rFonts w:hint="eastAsia" w:ascii="宋体" w:hAnsi="宋体"/>
          <w:color w:val="000000"/>
          <w:sz w:val="24"/>
          <w:highlight w:val="none"/>
          <w:lang w:val="zh-CN"/>
        </w:rPr>
        <w:t xml:space="preserve">.5.4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不同供应商的投标文件异常一致或者投标报价呈规律性差异。</w:t>
      </w:r>
      <w:bookmarkEnd w:id="175"/>
      <w:r/>
      <w:r/>
    </w:p>
    <w:p>
      <w:pPr>
        <w:pStyle w:val="944"/>
        <w:ind w:firstLine="392"/>
        <w:spacing w:before="0" w:after="0"/>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27.中标通知书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 中标结果确定后，交易中心将向中标人发出《中标通知书》。中标人</w:t>
      </w:r>
      <w:r>
        <w:rPr>
          <w:rFonts w:hint="eastAsia" w:ascii="宋体" w:hAnsi="宋体"/>
          <w:color w:val="000000"/>
          <w:sz w:val="24"/>
          <w:highlight w:val="none"/>
        </w:rPr>
        <w:t xml:space="preserve">可</w:t>
      </w:r>
      <w:r>
        <w:rPr>
          <w:rFonts w:hint="eastAsia" w:ascii="宋体" w:hAnsi="宋体"/>
          <w:color w:val="000000"/>
          <w:sz w:val="24"/>
          <w:highlight w:val="none"/>
          <w:lang w:val="zh-CN"/>
        </w:rPr>
        <w:t xml:space="preserve">在中标结果公告届满之日起三十日内，登录苏采云系统下载。</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7</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中标通知书</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942"/>
        <w:ind w:firstLine="465"/>
        <w:spacing w:before="120" w:after="120"/>
        <w:rPr>
          <w:rFonts w:hint="eastAsia" w:ascii="方正黑体_GBK" w:hAnsi="方正黑体_GBK" w:eastAsia="方正黑体_GBK" w:cs="方正黑体_GBK"/>
          <w:color w:val="000000"/>
          <w:highlight w:val="none"/>
        </w:rPr>
      </w:pPr>
      <w:r/>
      <w:bookmarkStart w:id="176" w:name="_Toc120614220"/>
      <w:r/>
      <w:bookmarkStart w:id="177" w:name="_Toc513029236"/>
      <w:r/>
      <w:bookmarkStart w:id="178" w:name="_Toc16938552"/>
      <w:r/>
      <w:bookmarkStart w:id="179" w:name="_Toc20823308"/>
      <w:r>
        <w:rPr>
          <w:rFonts w:hint="eastAsia" w:ascii="方正黑体_GBK" w:hAnsi="方正黑体_GBK" w:eastAsia="方正黑体_GBK" w:cs="方正黑体_GBK"/>
          <w:color w:val="000000"/>
          <w:highlight w:val="none"/>
        </w:rPr>
        <w:t xml:space="preserve">七、授予合同</w:t>
      </w:r>
      <w:bookmarkEnd w:id="176"/>
      <w:r/>
      <w:bookmarkEnd w:id="177"/>
      <w:r/>
      <w:bookmarkEnd w:id="178"/>
      <w:r/>
      <w:bookmarkEnd w:id="179"/>
      <w:r/>
      <w:r/>
    </w:p>
    <w:p>
      <w:pPr>
        <w:pStyle w:val="944"/>
        <w:ind w:firstLine="392"/>
        <w:spacing w:before="0" w:after="0"/>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28.签订合同</w:t>
      </w:r>
      <w:r/>
    </w:p>
    <w:p>
      <w:pPr>
        <w:ind w:firstLine="420"/>
        <w:rPr>
          <w:rFonts w:hint="eastAsia" w:ascii="宋体" w:hAnsi="宋体"/>
          <w:color w:val="000000"/>
          <w:sz w:val="24"/>
          <w:highlight w:val="none"/>
        </w:rPr>
      </w:pPr>
      <w:r>
        <w:rPr>
          <w:rFonts w:hint="eastAsia" w:ascii="宋体" w:hAnsi="宋体"/>
          <w:color w:val="000000"/>
          <w:sz w:val="24"/>
          <w:highlight w:val="none"/>
          <w:lang w:val="zh-CN"/>
        </w:rPr>
        <w:t xml:space="preserve">28</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 </w:t>
      </w:r>
      <w:r>
        <w:rPr>
          <w:rFonts w:hint="eastAsia" w:ascii="宋体" w:hAnsi="宋体"/>
          <w:color w:val="000000"/>
          <w:sz w:val="24"/>
          <w:highlight w:val="none"/>
        </w:rPr>
        <w:t xml:space="preserve">中标人应当</w:t>
      </w:r>
      <w:r>
        <w:rPr>
          <w:rFonts w:hint="eastAsia" w:ascii="宋体" w:hAnsi="宋体"/>
          <w:color w:val="000000"/>
          <w:sz w:val="24"/>
          <w:highlight w:val="none"/>
          <w:lang w:val="zh-CN"/>
        </w:rPr>
        <w:t xml:space="preserve">在《</w:t>
      </w:r>
      <w:r>
        <w:rPr>
          <w:rFonts w:hint="eastAsia" w:ascii="宋体" w:hAnsi="宋体"/>
          <w:color w:val="000000"/>
          <w:sz w:val="24"/>
          <w:highlight w:val="none"/>
        </w:rPr>
        <w:t xml:space="preserve">中标通知书</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发出之日起三十日内，按照招标文件确定的事项与采购人签订政府采购合同。</w:t>
      </w:r>
      <w:r>
        <w:rPr>
          <w:rFonts w:hint="eastAsia" w:ascii="宋体" w:hAnsi="宋体"/>
          <w:color w:val="000000"/>
          <w:sz w:val="24"/>
          <w:highlight w:val="none"/>
          <w:lang w:val="zh-CN"/>
        </w:rPr>
        <w:t xml:space="preserve">采购人于合同签订后2个工作日内通过苏采云系统进行公示。</w:t>
      </w:r>
      <w:r/>
    </w:p>
    <w:p>
      <w:pPr>
        <w:ind w:firstLine="420"/>
        <w:rPr>
          <w:rFonts w:hint="eastAsia" w:ascii="宋体" w:hAnsi="宋体"/>
          <w:color w:val="000000"/>
          <w:sz w:val="24"/>
          <w:highlight w:val="none"/>
        </w:rPr>
      </w:pPr>
      <w:r>
        <w:rPr>
          <w:rFonts w:hint="eastAsia" w:ascii="宋体" w:hAnsi="宋体"/>
          <w:color w:val="000000"/>
          <w:sz w:val="24"/>
          <w:highlight w:val="none"/>
          <w:lang w:val="zh-CN"/>
        </w:rPr>
        <w:t xml:space="preserve">28</w:t>
      </w:r>
      <w:r>
        <w:rPr>
          <w:rFonts w:hint="eastAsia" w:ascii="宋体" w:hAnsi="宋体"/>
          <w:color w:val="000000"/>
          <w:sz w:val="24"/>
          <w:highlight w:val="none"/>
        </w:rPr>
        <w:t xml:space="preserve">.2 招标文件、中标人的投标文件及招标过程中有关澄清、承诺文件均作为合同附件。</w:t>
      </w:r>
      <w:r/>
    </w:p>
    <w:p>
      <w:pPr>
        <w:ind w:firstLine="420"/>
        <w:rPr>
          <w:rFonts w:hint="eastAsia" w:ascii="宋体" w:hAnsi="宋体"/>
          <w:color w:val="000000"/>
          <w:sz w:val="24"/>
          <w:highlight w:val="none"/>
        </w:rPr>
      </w:pPr>
      <w:r>
        <w:rPr>
          <w:rFonts w:hint="eastAsia" w:ascii="宋体" w:hAnsi="宋体"/>
          <w:color w:val="000000"/>
          <w:sz w:val="24"/>
          <w:highlight w:val="none"/>
          <w:lang w:val="zh-CN"/>
        </w:rPr>
        <w:t xml:space="preserve">28</w:t>
      </w:r>
      <w:r>
        <w:rPr>
          <w:rFonts w:hint="eastAsia" w:ascii="宋体" w:hAnsi="宋体"/>
          <w:color w:val="000000"/>
          <w:sz w:val="24"/>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highlight w:val="none"/>
        </w:rPr>
      </w:pPr>
      <w:r>
        <w:rPr>
          <w:rFonts w:hint="eastAsia" w:ascii="宋体" w:hAnsi="宋体"/>
          <w:color w:val="000000"/>
          <w:sz w:val="24"/>
          <w:highlight w:val="none"/>
          <w:lang w:val="zh-CN"/>
        </w:rPr>
        <w:t xml:space="preserve">28</w:t>
      </w:r>
      <w:r>
        <w:rPr>
          <w:rFonts w:hint="eastAsia" w:ascii="宋体" w:hAnsi="宋体"/>
          <w:color w:val="000000"/>
          <w:sz w:val="24"/>
          <w:highlight w:val="none"/>
        </w:rPr>
        <w:t xml:space="preserve">.4 中标人因自身原因拒绝与采购人签订合同的，不得参加采购人</w:t>
      </w:r>
      <w:r>
        <w:rPr>
          <w:rFonts w:hint="eastAsia" w:ascii="宋体" w:hAnsi="宋体"/>
          <w:color w:val="000000"/>
          <w:sz w:val="24"/>
          <w:highlight w:val="none"/>
          <w:lang w:val="zh-CN"/>
        </w:rPr>
        <w:t xml:space="preserve">重新组织的</w:t>
      </w:r>
      <w:r>
        <w:rPr>
          <w:rFonts w:hint="eastAsia" w:ascii="宋体" w:hAnsi="宋体"/>
          <w:color w:val="000000"/>
          <w:sz w:val="24"/>
          <w:highlight w:val="none"/>
        </w:rPr>
        <w:t xml:space="preserve">采购活动</w:t>
      </w:r>
      <w:r>
        <w:rPr>
          <w:rFonts w:hint="eastAsia" w:ascii="宋体" w:hAnsi="宋体"/>
          <w:color w:val="000000"/>
          <w:sz w:val="24"/>
          <w:highlight w:val="none"/>
          <w:lang w:val="zh-CN"/>
        </w:rPr>
        <w:t xml:space="preserve">，且将可能被拒绝参加该采购人</w:t>
      </w:r>
      <w:r>
        <w:rPr>
          <w:rFonts w:hint="eastAsia" w:ascii="宋体" w:hAnsi="宋体"/>
          <w:color w:val="000000"/>
          <w:sz w:val="24"/>
          <w:highlight w:val="none"/>
        </w:rPr>
        <w:t xml:space="preserve">一年内</w:t>
      </w:r>
      <w:r>
        <w:rPr>
          <w:rFonts w:hint="eastAsia" w:ascii="宋体" w:hAnsi="宋体"/>
          <w:color w:val="000000"/>
          <w:sz w:val="24"/>
          <w:highlight w:val="none"/>
          <w:lang w:val="zh-CN"/>
        </w:rPr>
        <w:t xml:space="preserve">的其他</w:t>
      </w:r>
      <w:r>
        <w:rPr>
          <w:rFonts w:hint="eastAsia" w:ascii="宋体" w:hAnsi="宋体"/>
          <w:color w:val="000000"/>
          <w:sz w:val="24"/>
          <w:highlight w:val="none"/>
        </w:rPr>
        <w:t xml:space="preserve">政府采购活动。</w:t>
      </w:r>
      <w:r/>
    </w:p>
    <w:p>
      <w:pPr>
        <w:pStyle w:val="944"/>
        <w:ind w:firstLine="392"/>
        <w:spacing w:before="0" w:after="0"/>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29.标的物的追加</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944"/>
        <w:ind w:firstLine="392"/>
        <w:spacing w:before="0" w:after="0"/>
        <w:rPr>
          <w:rFonts w:hint="eastAsia"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rPr>
        <w:t xml:space="preserve">30.政府采购履约资金扶持政策</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30.1 中标供应商可通过南京市公共资源交易平台网站“小企业融资平台”，选择相应的金融机构办理融资贷款。</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942"/>
        <w:ind w:firstLine="465"/>
        <w:spacing w:before="120" w:after="120"/>
        <w:rPr>
          <w:rFonts w:hint="eastAsia"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八、质疑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31.</w:t>
      </w:r>
      <w:r>
        <w:rPr>
          <w:rFonts w:hint="eastAsia" w:ascii="宋体" w:hAnsi="宋体"/>
          <w:color w:val="000000"/>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32.</w:t>
      </w:r>
      <w:r>
        <w:rPr>
          <w:rFonts w:hint="eastAsia" w:ascii="宋体" w:hAnsi="宋体"/>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highlight w:val="none"/>
        </w:rPr>
        <w:t xml:space="preserve">按照第3</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条</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第35</w:t>
      </w:r>
      <w:r>
        <w:rPr>
          <w:rFonts w:hint="eastAsia" w:ascii="宋体" w:hAnsi="宋体"/>
          <w:color w:val="000000"/>
          <w:sz w:val="24"/>
          <w:highlight w:val="none"/>
          <w:lang w:val="zh-CN"/>
        </w:rPr>
        <w:t xml:space="preserve">条</w:t>
      </w:r>
      <w:r>
        <w:rPr>
          <w:rFonts w:hint="eastAsia" w:ascii="宋体" w:hAnsi="宋体"/>
          <w:color w:val="000000"/>
          <w:sz w:val="24"/>
          <w:highlight w:val="none"/>
        </w:rPr>
        <w:t xml:space="preserve">之</w:t>
      </w:r>
      <w:r>
        <w:rPr>
          <w:rFonts w:hint="eastAsia" w:ascii="宋体" w:hAnsi="宋体"/>
          <w:color w:val="000000"/>
          <w:sz w:val="24"/>
          <w:highlight w:val="none"/>
          <w:lang w:val="zh-CN"/>
        </w:rPr>
        <w:t xml:space="preserve">规定以书面形式向采购人或交易中心提出质疑。</w:t>
      </w:r>
      <w:r>
        <w:rPr>
          <w:rFonts w:hint="eastAsia" w:ascii="宋体" w:hAnsi="宋体"/>
          <w:b/>
          <w:bCs/>
          <w:color w:val="000000"/>
          <w:sz w:val="24"/>
          <w:highlight w:val="none"/>
          <w:lang w:val="zh-CN"/>
        </w:rPr>
        <w:t xml:space="preserve">上述应知其权益受到损害之日是指</w:t>
      </w:r>
      <w:r>
        <w:rPr>
          <w:rFonts w:hint="eastAsia" w:ascii="宋体" w:hAnsi="宋体"/>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2.1 对采购文件提出质疑的，为收到采购文件之日或者采购文件公告期限届满之日。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2.2 对采购过程提出质疑的，为各采购程序环节结束之日。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2.3 对中标或者成交结果提出质疑的，为中标或者成交结果公告期限届满之日。</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33.</w:t>
      </w:r>
      <w:r>
        <w:rPr>
          <w:rFonts w:hint="eastAsia" w:ascii="宋体" w:hAnsi="宋体"/>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34.</w:t>
      </w:r>
      <w:r>
        <w:rPr>
          <w:rFonts w:hint="eastAsia" w:ascii="宋体" w:hAnsi="宋体"/>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highlight w:val="none"/>
        </w:rPr>
        <w:t xml:space="preserve">的</w:t>
      </w:r>
      <w:r>
        <w:rPr>
          <w:rFonts w:hint="eastAsia" w:ascii="宋体" w:hAnsi="宋体"/>
          <w:color w:val="000000"/>
          <w:sz w:val="24"/>
          <w:highlight w:val="none"/>
          <w:lang w:val="zh-CN"/>
        </w:rPr>
        <w:t xml:space="preserve">格式和内容填写。</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rPr>
        <w:t xml:space="preserve">35.</w:t>
      </w:r>
      <w:r>
        <w:rPr>
          <w:rFonts w:hint="eastAsia" w:ascii="宋体" w:hAnsi="宋体"/>
          <w:b/>
          <w:bCs/>
          <w:color w:val="000000"/>
          <w:sz w:val="24"/>
          <w:highlight w:val="none"/>
        </w:rPr>
        <w:t xml:space="preserve">供应商根据质疑事项向相应的质疑答复主体提出质疑，具体详见采购文件第一章。</w:t>
      </w:r>
      <w:r>
        <w:rPr>
          <w:rFonts w:hint="eastAsia" w:ascii="宋体" w:hAnsi="宋体"/>
          <w:b/>
          <w:bCs/>
          <w:color w:val="000000"/>
          <w:sz w:val="24"/>
          <w:szCs w:val="22"/>
          <w:highlight w:val="none"/>
        </w:rPr>
        <w:t xml:space="preserve">由采购人负责答复的质疑，采购人将《质疑函》《质疑答复函》抄送交易中心。</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以下情形的质疑不予受理：</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6.1 超出政府采购法定期限的质疑；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6.2 </w:t>
      </w:r>
      <w:r>
        <w:rPr>
          <w:rFonts w:hint="eastAsia" w:ascii="宋体" w:hAnsi="宋体"/>
          <w:color w:val="000000"/>
          <w:sz w:val="24"/>
          <w:highlight w:val="none"/>
        </w:rPr>
        <w:t xml:space="preserve">属于第33条规定的对</w:t>
      </w:r>
      <w:r>
        <w:rPr>
          <w:rFonts w:hint="eastAsia" w:ascii="宋体" w:hAnsi="宋体"/>
          <w:color w:val="000000"/>
          <w:sz w:val="24"/>
          <w:highlight w:val="none"/>
          <w:lang w:val="zh-CN"/>
        </w:rPr>
        <w:t xml:space="preserve">同一采购程序环节提出</w:t>
      </w:r>
      <w:r>
        <w:rPr>
          <w:rFonts w:hint="eastAsia" w:ascii="宋体" w:hAnsi="宋体"/>
          <w:color w:val="000000"/>
          <w:sz w:val="24"/>
          <w:highlight w:val="none"/>
        </w:rPr>
        <w:t xml:space="preserve">的多次</w:t>
      </w:r>
      <w:r>
        <w:rPr>
          <w:rFonts w:hint="eastAsia" w:ascii="宋体" w:hAnsi="宋体"/>
          <w:color w:val="000000"/>
          <w:sz w:val="24"/>
          <w:highlight w:val="none"/>
          <w:lang w:val="zh-CN"/>
        </w:rPr>
        <w:t xml:space="preserve">质疑；</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zh-CN"/>
        </w:rPr>
        <w:t xml:space="preserve">6.3 法律法规规定的</w:t>
      </w:r>
      <w:r>
        <w:rPr>
          <w:rFonts w:hint="eastAsia" w:ascii="宋体" w:hAnsi="宋体"/>
          <w:color w:val="000000"/>
          <w:sz w:val="24"/>
          <w:highlight w:val="none"/>
        </w:rPr>
        <w:t xml:space="preserve">其他</w:t>
      </w:r>
      <w:r>
        <w:rPr>
          <w:rFonts w:hint="eastAsia" w:ascii="宋体" w:hAnsi="宋体"/>
          <w:color w:val="000000"/>
          <w:sz w:val="24"/>
          <w:highlight w:val="none"/>
          <w:lang w:val="zh-CN"/>
        </w:rPr>
        <w:t xml:space="preserve">不予受理情形。</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37.</w:t>
      </w:r>
      <w:r>
        <w:rPr>
          <w:rFonts w:hint="eastAsia" w:ascii="宋体" w:hAnsi="宋体"/>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42"/>
        <w:ind w:firstLine="465"/>
        <w:spacing w:before="120" w:after="120"/>
        <w:rPr>
          <w:rFonts w:ascii="方正黑体_GBK" w:hAnsi="方正黑体_GBK" w:eastAsia="方正黑体_GBK" w:cs="方正黑体_GBK"/>
          <w:color w:val="000000"/>
          <w:highlight w:val="none"/>
        </w:rPr>
      </w:pPr>
      <w:r>
        <w:rPr>
          <w:rFonts w:hint="eastAsia" w:ascii="方正黑体_GBK" w:hAnsi="方正黑体_GBK" w:eastAsia="方正黑体_GBK" w:cs="方正黑体_GBK"/>
          <w:color w:val="000000"/>
          <w:highlight w:val="none"/>
        </w:rPr>
        <w:t xml:space="preserve">九、政策功能落实</w:t>
      </w:r>
      <w:r/>
    </w:p>
    <w:p>
      <w:pPr>
        <w:pStyle w:val="944"/>
        <w:ind w:firstLine="422"/>
        <w:spacing w:before="0" w:after="0"/>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rPr>
        <w:t xml:space="preserve">38.促进中小企业发展</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38.1 </w:t>
      </w:r>
      <w:r>
        <w:rPr>
          <w:rFonts w:hint="eastAsia" w:ascii="宋体" w:hAnsi="宋体" w:cs="宋体"/>
          <w:b/>
          <w:bCs/>
          <w:color w:val="000000"/>
          <w:sz w:val="24"/>
          <w:szCs w:val="24"/>
          <w:highlight w:val="none"/>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highlight w:val="none"/>
          <w:lang w:val="zh-CN"/>
        </w:rPr>
      </w:pPr>
      <w:r>
        <w:rPr>
          <w:rFonts w:hint="eastAsia" w:ascii="宋体" w:hAnsi="宋体"/>
          <w:color w:val="000000"/>
          <w:sz w:val="24"/>
          <w:highlight w:val="none"/>
        </w:rPr>
        <w:t xml:space="preserve">38.3 中小企业参加政府采购活动，应当出具《中小企业声明函》，否则不享受相关中小企业支持政策。</w:t>
      </w:r>
      <w:r>
        <w:rPr>
          <w:rFonts w:hint="eastAsia" w:ascii="宋体" w:hAnsi="宋体"/>
          <w:color w:val="000000"/>
          <w:sz w:val="24"/>
          <w:szCs w:val="22"/>
          <w:highlight w:val="none"/>
          <w:lang w:val="zh-CN"/>
        </w:rPr>
        <w:t xml:space="preserve">评审委员会评审中发现供应商提供的</w:t>
      </w:r>
      <w:r>
        <w:rPr>
          <w:rFonts w:hint="eastAsia" w:ascii="宋体" w:hAnsi="宋体"/>
          <w:color w:val="000000"/>
          <w:sz w:val="24"/>
          <w:highlight w:val="none"/>
          <w:lang w:val="zh-CN"/>
        </w:rPr>
        <w:t xml:space="preserve">《中小企业声明函》</w:t>
      </w:r>
      <w:r>
        <w:rPr>
          <w:rFonts w:hint="eastAsia" w:ascii="宋体" w:hAnsi="宋体"/>
          <w:color w:val="000000"/>
          <w:sz w:val="24"/>
          <w:szCs w:val="22"/>
          <w:highlight w:val="none"/>
          <w:lang w:val="zh-CN"/>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sz w:val="24"/>
          <w:highlight w:val="none"/>
        </w:rPr>
      </w:pPr>
      <w:r>
        <w:rPr>
          <w:rFonts w:hint="eastAsia" w:ascii="宋体" w:hAnsi="宋体"/>
          <w:color w:val="000000"/>
          <w:sz w:val="24"/>
          <w:highlight w:val="none"/>
        </w:rPr>
        <w:t xml:space="preserve">38.6 残疾人福利性单位视同小型、微型企业。按照《关于促进残疾人就业政府采购政策的通知》（财库〔2017〕141号）规定，残疾人福利单位需提供《残疾人福利性单位声明函》。</w:t>
      </w:r>
      <w:r/>
    </w:p>
    <w:p>
      <w:pPr>
        <w:pStyle w:val="1001"/>
        <w:rPr>
          <w:rFonts w:hint="eastAsia"/>
          <w:color w:val="000000"/>
          <w:highlight w:val="none"/>
        </w:rPr>
      </w:pPr>
      <w:r>
        <w:rPr>
          <w:rFonts w:hint="eastAsia"/>
          <w:color w:val="000000"/>
          <w:highlight w:val="none"/>
        </w:rPr>
      </w:r>
      <w:r/>
    </w:p>
    <w:p>
      <w:pPr>
        <w:rPr>
          <w:rFonts w:hint="eastAsia"/>
          <w:color w:val="000000"/>
          <w:highlight w:val="none"/>
          <w:lang w:val="zh-CN"/>
        </w:rPr>
      </w:pPr>
      <w:r>
        <w:rPr>
          <w:rFonts w:hint="eastAsia"/>
          <w:color w:val="000000"/>
          <w:highlight w:val="none"/>
          <w:lang w:val="zh-CN"/>
        </w:rPr>
      </w:r>
      <w:r/>
    </w:p>
    <w:p>
      <w:pPr>
        <w:pStyle w:val="1001"/>
        <w:ind w:left="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p>
    <w:p>
      <w:pPr>
        <w:jc w:val="center"/>
        <w:spacing w:before="120" w:after="120" w:line="264" w:lineRule="auto"/>
        <w:rPr>
          <w:rFonts w:hint="eastAsia" w:ascii="宋体" w:hAnsi="宋体"/>
          <w:bCs/>
          <w:color w:val="000000"/>
          <w:sz w:val="24"/>
          <w:highlight w:val="none"/>
        </w:rPr>
      </w:pPr>
      <w:r/>
      <w:bookmarkStart w:id="180" w:name="_Toc16938559"/>
      <w:r/>
      <w:bookmarkStart w:id="181" w:name="_Toc513029243"/>
      <w:r/>
      <w:bookmarkStart w:id="182" w:name="_Toc20823315"/>
      <w:r/>
      <w:bookmarkStart w:id="183" w:name="_Hlt16619350"/>
      <w:r/>
      <w:bookmarkStart w:id="184" w:name="_Toc16938590"/>
      <w:r/>
      <w:bookmarkStart w:id="185" w:name="_Toc20823346"/>
      <w:r/>
      <w:bookmarkStart w:id="186" w:name="_Toc120614244"/>
      <w:r/>
      <w:bookmarkStart w:id="187" w:name="_Toc479757211"/>
      <w:r/>
      <w:bookmarkStart w:id="188" w:name="_Toc462564139"/>
      <w:r>
        <w:rPr>
          <w:rFonts w:hint="eastAsia" w:ascii="宋体" w:hAnsi="宋体"/>
          <w:bCs/>
          <w:color w:val="000000"/>
          <w:sz w:val="24"/>
          <w:highlight w:val="none"/>
        </w:rPr>
        <w:t xml:space="preserve">以下为本项目的合同条款，合同双方不得对招标、投标文件内容作实质性修改。</w:t>
      </w:r>
      <w:r/>
    </w:p>
    <w:p>
      <w:pPr>
        <w:pStyle w:val="1001"/>
        <w:ind w:left="0"/>
        <w:spacing w:line="264" w:lineRule="auto"/>
        <w:rPr>
          <w:rFonts w:hint="eastAsia"/>
          <w:color w:val="000000"/>
          <w:highlight w:val="none"/>
        </w:rPr>
      </w:pPr>
      <w:r>
        <w:rPr>
          <w:rFonts w:hint="eastAsia"/>
          <w:color w:val="000000"/>
          <w:highlight w:val="none"/>
        </w:rPr>
      </w:r>
      <w:r/>
    </w:p>
    <w:p>
      <w:pPr>
        <w:jc w:val="center"/>
        <w:spacing w:before="120" w:after="120"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jc w:val="left"/>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p>
    <w:p>
      <w:pPr>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p>
    <w:p>
      <w:pPr>
        <w:jc w:val="left"/>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p>
    <w:p>
      <w:pPr>
        <w:jc w:val="left"/>
        <w:spacing w:before="120" w:after="120"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p>
    <w:p>
      <w:pPr>
        <w:spacing w:line="264"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南京市公共资源交易中心组织的</w:t>
      </w:r>
      <w:r>
        <w:rPr>
          <w:rFonts w:hint="eastAsia" w:hAnsi="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p>
    <w:p>
      <w:pPr>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Times New Roman"/>
          <w:color w:val="000000"/>
          <w:sz w:val="24"/>
          <w:szCs w:val="24"/>
          <w:highlight w:val="none"/>
          <w:lang w:val="en-US" w:eastAsia="zh-CN"/>
        </w:rPr>
        <w:t xml:space="preserve">服务期3年，合同一年一签，每年考核合格后续签下一年度合同，本次合同服务期</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年</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月</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日至</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年</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月</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日</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每年服务期满，采购人有权根据预算调整或考核情况决定继续履行合同（可能根据预算调整压缩合同金额）或终止合同。</w:t>
      </w:r>
      <w:r/>
    </w:p>
    <w:p>
      <w:pPr>
        <w:spacing w:line="264"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p>
    <w:p>
      <w:pPr>
        <w:spacing w:line="264"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p>
    <w:p>
      <w:pPr>
        <w:rPr>
          <w:rFonts w:hint="eastAsia"/>
          <w:color w:val="000000"/>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7 </w:t>
      </w:r>
      <w:r>
        <w:rPr>
          <w:rFonts w:ascii="宋体" w:hAnsi="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p>
    <w:p>
      <w:pPr>
        <w:pStyle w:val="968"/>
        <w:spacing w:line="264" w:lineRule="auto"/>
        <w:rPr>
          <w:rFonts w:hint="eastAsia" w:hAnsi="宋体"/>
          <w:color w:val="000000"/>
          <w:sz w:val="24"/>
          <w:szCs w:val="24"/>
          <w:highlight w:val="none"/>
        </w:rPr>
      </w:pPr>
      <w:r>
        <w:rPr>
          <w:rFonts w:hAnsi="宋体"/>
          <w:color w:val="000000"/>
          <w:sz w:val="24"/>
          <w:szCs w:val="24"/>
          <w:highlight w:val="none"/>
        </w:rPr>
        <w:t xml:space="preserve">2.1 </w:t>
      </w:r>
      <w:r>
        <w:rPr>
          <w:rFonts w:hint="eastAsia" w:hAnsi="宋体"/>
          <w:color w:val="000000"/>
          <w:sz w:val="24"/>
          <w:szCs w:val="24"/>
          <w:highlight w:val="none"/>
        </w:rPr>
        <w:t xml:space="preserve">本合同金额为：人民币____________________元</w:t>
      </w:r>
      <w:r>
        <w:rPr>
          <w:rFonts w:hint="eastAsia" w:hAnsi="宋体"/>
          <w:color w:val="000000"/>
          <w:sz w:val="24"/>
          <w:szCs w:val="24"/>
          <w:highlight w:val="none"/>
          <w:lang w:val="en-US" w:eastAsia="zh-CN"/>
        </w:rPr>
        <w:t xml:space="preserve">/年</w:t>
      </w:r>
      <w:r>
        <w:rPr>
          <w:rFonts w:hint="eastAsia" w:hAnsi="宋体"/>
          <w:color w:val="000000"/>
          <w:sz w:val="24"/>
          <w:szCs w:val="24"/>
          <w:highlight w:val="none"/>
        </w:rPr>
        <w:t xml:space="preserve">，（大写：_____________________）</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人民币____________________元</w:t>
      </w:r>
      <w:r>
        <w:rPr>
          <w:rFonts w:hint="eastAsia" w:hAnsi="宋体"/>
          <w:color w:val="000000"/>
          <w:sz w:val="24"/>
          <w:szCs w:val="24"/>
          <w:highlight w:val="none"/>
          <w:lang w:val="en-US" w:eastAsia="zh-CN"/>
        </w:rPr>
        <w:t xml:space="preserve">/三年</w:t>
      </w:r>
      <w:r>
        <w:rPr>
          <w:rFonts w:hint="eastAsia" w:hAnsi="宋体"/>
          <w:color w:val="000000"/>
          <w:sz w:val="24"/>
          <w:szCs w:val="24"/>
          <w:highlight w:val="none"/>
        </w:rPr>
        <w:t xml:space="preserve">，（大写：_____________________）。</w:t>
      </w:r>
      <w:r/>
    </w:p>
    <w:p>
      <w:pPr>
        <w:pStyle w:val="968"/>
        <w:spacing w:line="264" w:lineRule="auto"/>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2.2 第一年合同期内不因社保、最低工资标准等因素调整而调整合同金额。</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w:t>
      </w:r>
      <w:r>
        <w:rPr>
          <w:rFonts w:hint="eastAsia" w:ascii="宋体" w:hAnsi="宋体" w:cs="Courier New"/>
          <w:color w:val="000000"/>
          <w:sz w:val="24"/>
          <w:szCs w:val="24"/>
          <w:highlight w:val="none"/>
          <w:lang w:val="en-US" w:eastAsia="zh-CN"/>
        </w:rPr>
        <w:t xml:space="preserve">年</w:t>
      </w:r>
      <w:r>
        <w:rPr>
          <w:rFonts w:hint="eastAsia" w:ascii="宋体" w:hAnsi="宋体" w:cs="Courier New"/>
          <w:color w:val="000000"/>
          <w:sz w:val="24"/>
          <w:szCs w:val="24"/>
          <w:highlight w:val="none"/>
        </w:rPr>
        <w:t xml:space="preserve">合同金额</w:t>
      </w:r>
      <w:r>
        <w:rPr>
          <w:rFonts w:hint="eastAsia" w:ascii="宋体" w:hAnsi="宋体" w:cs="Courier New"/>
          <w:color w:val="000000"/>
          <w:sz w:val="24"/>
          <w:szCs w:val="24"/>
          <w:highlight w:val="none"/>
          <w:u w:val="single"/>
        </w:rPr>
        <w:t xml:space="preserve">1%</w:t>
      </w:r>
      <w:r>
        <w:rPr>
          <w:rFonts w:hint="eastAsia" w:ascii="宋体" w:hAnsi="宋体" w:cs="Courier New"/>
          <w:color w:val="000000"/>
          <w:sz w:val="24"/>
          <w:szCs w:val="24"/>
          <w:highlight w:val="none"/>
        </w:rPr>
        <w:t xml:space="preserve">缴纳履约保证金。合同履行结束后，甲方按以下约定退还：</w:t>
      </w:r>
      <w:r/>
    </w:p>
    <w:p>
      <w:pPr>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p>
    <w:p>
      <w:pPr>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乙方可以采用银行、保险公司、担保公司等第三方机构出具的履约保函（保险）代替缴纳履约保证金，乙方提供履约保函</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保险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的，保函有效期必须覆盖完整3年服务期+服务结束后6个月</w:t>
      </w:r>
      <w:r>
        <w:rPr>
          <w:rFonts w:hint="eastAsia" w:ascii="宋体" w:hAnsi="宋体" w:cs="Courier New"/>
          <w:color w:val="000000"/>
          <w:sz w:val="24"/>
          <w:szCs w:val="24"/>
          <w:highlight w:val="none"/>
          <w:lang w:val="en-US" w:eastAsia="zh-CN"/>
        </w:rPr>
        <w:t xml:space="preserve">回</w:t>
      </w:r>
      <w:r>
        <w:rPr>
          <w:rFonts w:hint="eastAsia" w:ascii="宋体" w:hAnsi="宋体" w:cs="Courier New"/>
          <w:color w:val="000000"/>
          <w:sz w:val="24"/>
          <w:szCs w:val="24"/>
          <w:highlight w:val="none"/>
        </w:rPr>
        <w:t xml:space="preserve">溯期</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保函（保险）有效期届满且担保人按照约定履行了担保责任后自动失效。</w:t>
      </w:r>
      <w:r>
        <w:rPr>
          <w:rFonts w:hint="eastAsia" w:ascii="宋体" w:hAnsi="宋体" w:cs="Courier New"/>
          <w:color w:val="000000"/>
          <w:sz w:val="24"/>
          <w:szCs w:val="24"/>
          <w:highlight w:val="none"/>
          <w:lang w:val="en-US" w:eastAsia="zh-CN"/>
        </w:rPr>
        <w:t xml:space="preserve">若</w:t>
      </w:r>
      <w:r>
        <w:rPr>
          <w:rFonts w:hint="eastAsia" w:ascii="宋体" w:hAnsi="宋体" w:cs="Courier New"/>
          <w:color w:val="000000"/>
          <w:sz w:val="24"/>
          <w:szCs w:val="24"/>
          <w:highlight w:val="none"/>
        </w:rPr>
        <w:t xml:space="preserve">服务期内乙方出现违约、赔偿、扣款</w:t>
      </w:r>
      <w:r>
        <w:rPr>
          <w:rFonts w:hint="eastAsia" w:ascii="宋体" w:hAnsi="宋体" w:cs="Courier New"/>
          <w:color w:val="000000"/>
          <w:sz w:val="24"/>
          <w:szCs w:val="24"/>
          <w:highlight w:val="none"/>
          <w:lang w:val="en-US" w:eastAsia="zh-CN"/>
        </w:rPr>
        <w:t xml:space="preserve">等</w:t>
      </w:r>
      <w:r>
        <w:rPr>
          <w:rFonts w:hint="eastAsia" w:ascii="宋体" w:hAnsi="宋体" w:cs="Courier New"/>
          <w:color w:val="000000"/>
          <w:sz w:val="24"/>
          <w:szCs w:val="24"/>
          <w:highlight w:val="none"/>
        </w:rPr>
        <w:t xml:space="preserve">事项，甲方可直接向保函</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保险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出具机构申请赔付，乙方无异议</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保函性质：无条件见索即付型</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7.1 乙方不得将合同标的转包给他人履行</w:t>
      </w:r>
      <w:r>
        <w:rPr>
          <w:rFonts w:hint="eastAsia" w:ascii="宋体" w:hAnsi="宋体" w:cs="Courier New"/>
          <w:color w:val="000000"/>
          <w:sz w:val="24"/>
          <w:szCs w:val="24"/>
          <w:highlight w:val="none"/>
          <w:lang w:val="en-US" w:eastAsia="zh-CN"/>
        </w:rPr>
        <w:t xml:space="preserve">或交由他人履行</w:t>
      </w:r>
      <w:r>
        <w:rPr>
          <w:rFonts w:hint="eastAsia" w:ascii="宋体" w:hAnsi="宋体" w:cs="Courier New"/>
          <w:color w:val="000000"/>
          <w:sz w:val="24"/>
          <w:szCs w:val="24"/>
          <w:highlight w:val="none"/>
        </w:rPr>
        <w:t xml:space="preserve">。</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7.2 除招标文件接受分包并经甲方同意</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乙方可按分包意向协议分包情况外，乙方不得将合同标的分包给他人履行。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7.3 乙方如有转包或未经甲方同意的分包行为</w:t>
      </w:r>
      <w:r>
        <w:rPr>
          <w:rFonts w:hint="eastAsia" w:ascii="宋体" w:hAnsi="宋体" w:cs="Courier New"/>
          <w:color w:val="000000"/>
          <w:sz w:val="24"/>
          <w:szCs w:val="24"/>
          <w:highlight w:val="none"/>
          <w:lang w:val="en-US" w:eastAsia="zh-CN"/>
        </w:rPr>
        <w:t xml:space="preserve">或交由他人履行</w:t>
      </w:r>
      <w:r>
        <w:rPr>
          <w:rFonts w:hint="eastAsia" w:ascii="宋体" w:hAnsi="宋体" w:cs="Courier New"/>
          <w:color w:val="000000"/>
          <w:sz w:val="24"/>
          <w:szCs w:val="24"/>
          <w:highlight w:val="none"/>
        </w:rPr>
        <w:t xml:space="preserve">，甲方有权终止合同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全额扣除履约保证金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另外</w:t>
      </w:r>
      <w:r>
        <w:rPr>
          <w:rFonts w:hint="eastAsia" w:ascii="宋体" w:hAnsi="宋体" w:cs="Courier New"/>
          <w:color w:val="000000"/>
          <w:sz w:val="24"/>
          <w:szCs w:val="24"/>
          <w:highlight w:val="none"/>
        </w:rPr>
        <w:t xml:space="preserve">乙方支付</w:t>
      </w:r>
      <w:r>
        <w:rPr>
          <w:rFonts w:hint="eastAsia" w:ascii="宋体" w:hAnsi="宋体" w:cs="Courier New"/>
          <w:color w:val="000000"/>
          <w:sz w:val="24"/>
          <w:szCs w:val="24"/>
          <w:highlight w:val="none"/>
          <w:lang w:val="en-US" w:eastAsia="zh-CN"/>
        </w:rPr>
        <w:t xml:space="preserve">年</w:t>
      </w:r>
      <w:r>
        <w:rPr>
          <w:rFonts w:hint="eastAsia" w:ascii="宋体" w:hAnsi="宋体" w:cs="Courier New"/>
          <w:color w:val="000000"/>
          <w:sz w:val="24"/>
          <w:szCs w:val="24"/>
          <w:highlight w:val="none"/>
        </w:rPr>
        <w:t xml:space="preserve">合同金额</w:t>
      </w:r>
      <w:r>
        <w:rPr>
          <w:rFonts w:hint="eastAsia" w:ascii="宋体" w:hAnsi="宋体" w:cs="Courier New"/>
          <w:color w:val="000000"/>
          <w:sz w:val="24"/>
          <w:szCs w:val="24"/>
          <w:highlight w:val="none"/>
          <w:lang w:val="en-US" w:eastAsia="zh-CN"/>
        </w:rPr>
        <w:t xml:space="preserve">3</w:t>
      </w:r>
      <w:r>
        <w:rPr>
          <w:rFonts w:hint="eastAsia" w:ascii="宋体" w:hAnsi="宋体" w:cs="Courier New"/>
          <w:color w:val="000000"/>
          <w:sz w:val="24"/>
          <w:szCs w:val="24"/>
          <w:highlight w:val="none"/>
        </w:rPr>
        <w:t xml:space="preserve">0%作为违约金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由此</w:t>
      </w:r>
      <w:r>
        <w:rPr>
          <w:rFonts w:hint="eastAsia" w:ascii="宋体" w:hAnsi="宋体" w:cs="Courier New"/>
          <w:color w:val="000000"/>
          <w:sz w:val="24"/>
          <w:szCs w:val="24"/>
          <w:highlight w:val="none"/>
          <w:lang w:val="en-US" w:eastAsia="zh-CN"/>
        </w:rPr>
        <w:t xml:space="preserve">给</w:t>
      </w:r>
      <w:r>
        <w:rPr>
          <w:rFonts w:hint="eastAsia" w:ascii="宋体" w:hAnsi="宋体" w:cs="Courier New"/>
          <w:color w:val="000000"/>
          <w:sz w:val="24"/>
          <w:szCs w:val="24"/>
          <w:highlight w:val="none"/>
        </w:rPr>
        <w:t xml:space="preserve">医院</w:t>
      </w:r>
      <w:r>
        <w:rPr>
          <w:rFonts w:hint="eastAsia" w:ascii="宋体" w:hAnsi="宋体" w:cs="Courier New"/>
          <w:color w:val="000000"/>
          <w:sz w:val="24"/>
          <w:szCs w:val="24"/>
          <w:highlight w:val="none"/>
          <w:lang w:val="en-US" w:eastAsia="zh-CN"/>
        </w:rPr>
        <w:t xml:space="preserve">造成的包括但不限于</w:t>
      </w:r>
      <w:r>
        <w:rPr>
          <w:rFonts w:hint="eastAsia" w:ascii="宋体" w:hAnsi="宋体" w:cs="Courier New"/>
          <w:color w:val="000000"/>
          <w:sz w:val="24"/>
          <w:szCs w:val="24"/>
          <w:highlight w:val="none"/>
        </w:rPr>
        <w:t xml:space="preserve">运营混乱、患者投诉、第三方索赔</w:t>
      </w:r>
      <w:r>
        <w:rPr>
          <w:rFonts w:hint="eastAsia" w:ascii="宋体" w:hAnsi="宋体" w:cs="Courier New"/>
          <w:color w:val="000000"/>
          <w:sz w:val="24"/>
          <w:szCs w:val="24"/>
          <w:highlight w:val="none"/>
          <w:lang w:val="en-US" w:eastAsia="zh-CN"/>
        </w:rPr>
        <w:t xml:space="preserve">等</w:t>
      </w:r>
      <w:r>
        <w:rPr>
          <w:rFonts w:hint="eastAsia" w:ascii="宋体" w:hAnsi="宋体" w:cs="Courier New"/>
          <w:color w:val="000000"/>
          <w:sz w:val="24"/>
          <w:szCs w:val="24"/>
          <w:highlight w:val="none"/>
        </w:rPr>
        <w:t xml:space="preserve">，全部损失由乙方承担。</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p>
    <w:p>
      <w:pPr>
        <w:pStyle w:val="968"/>
        <w:spacing w:line="264" w:lineRule="auto"/>
        <w:rPr>
          <w:rFonts w:hint="eastAsia" w:hAnsi="宋体"/>
          <w:color w:val="000000"/>
          <w:sz w:val="24"/>
          <w:szCs w:val="24"/>
          <w:highlight w:val="none"/>
        </w:rPr>
        <w:outlineLvl w:val="3"/>
      </w:pPr>
      <w:r>
        <w:rPr>
          <w:rFonts w:hint="eastAsia" w:hAnsi="宋体"/>
          <w:color w:val="000000"/>
          <w:sz w:val="24"/>
          <w:szCs w:val="24"/>
          <w:highlight w:val="none"/>
        </w:rPr>
        <w:t xml:space="preserve">8.1 合同款项的支付方式及时间</w:t>
      </w:r>
      <w:r/>
    </w:p>
    <w:p>
      <w:pPr>
        <w:spacing w:line="264" w:lineRule="auto"/>
        <w:rPr>
          <w:rFonts w:hint="eastAsia" w:ascii="宋体" w:hAnsi="宋体"/>
          <w:color w:val="000000"/>
          <w:sz w:val="24"/>
          <w:szCs w:val="24"/>
          <w:highlight w:val="none"/>
        </w:rPr>
      </w:pPr>
      <w:r>
        <w:rPr>
          <w:rFonts w:hint="eastAsia" w:ascii="宋体" w:hAnsi="宋体" w:cs="Courier New"/>
          <w:color w:val="000000"/>
          <w:sz w:val="24"/>
          <w:szCs w:val="24"/>
          <w:highlight w:val="none"/>
        </w:rPr>
        <w:t xml:space="preserve">8.1.1 甲方于合同签订后支付年度合同款的</w:t>
      </w:r>
      <w:r>
        <w:rPr>
          <w:rFonts w:hint="eastAsia" w:ascii="宋体" w:hAnsi="宋体" w:cs="Courier New"/>
          <w:color w:val="000000"/>
          <w:sz w:val="24"/>
          <w:szCs w:val="24"/>
          <w:highlight w:val="none"/>
          <w:u w:val="single"/>
        </w:rPr>
        <w:t xml:space="preserve">10%</w:t>
      </w:r>
      <w:r>
        <w:rPr>
          <w:rFonts w:hint="eastAsia" w:ascii="宋体" w:hAnsi="宋体" w:cs="Courier New"/>
          <w:color w:val="000000"/>
          <w:sz w:val="24"/>
          <w:szCs w:val="24"/>
          <w:highlight w:val="none"/>
        </w:rPr>
        <w:t xml:space="preserve">作为预付款，预付款支付前，乙方须足额缴纳履约保证金</w:t>
      </w:r>
      <w:r>
        <w:rPr>
          <w:rFonts w:hint="eastAsia" w:ascii="宋体" w:hAnsi="宋体" w:cs="Courier New"/>
          <w:color w:val="000000"/>
          <w:sz w:val="24"/>
          <w:szCs w:val="24"/>
          <w:highlight w:val="none"/>
          <w:lang w:val="en-US" w:eastAsia="zh-CN"/>
        </w:rPr>
        <w:t xml:space="preserve">或</w:t>
      </w:r>
      <w:r>
        <w:rPr>
          <w:rFonts w:hint="eastAsia" w:ascii="宋体" w:hAnsi="宋体" w:cs="Courier New"/>
          <w:color w:val="000000"/>
          <w:sz w:val="24"/>
          <w:szCs w:val="24"/>
          <w:highlight w:val="none"/>
        </w:rPr>
        <w:t xml:space="preserve">提交合规履约保函</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保险</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该预付款在支付合同款时分次扣回。合同款按月考核合格后支付，考核扣除的费用从应支付的款项中扣除。</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满足合同约定支付条件的，甲方收到乙方发票后10个工作日内，将资金支付到合同约定的乙方账户。</w:t>
      </w:r>
      <w:r>
        <w:rPr>
          <w:rFonts w:hint="eastAsia" w:ascii="宋体" w:hAnsi="宋体" w:cs="Courier New"/>
          <w:color w:val="000000"/>
          <w:sz w:val="24"/>
          <w:szCs w:val="24"/>
          <w:highlight w:val="none"/>
          <w:lang w:val="en-US" w:eastAsia="zh-CN"/>
        </w:rPr>
        <w:t xml:space="preserve">若</w:t>
      </w:r>
      <w:r>
        <w:rPr>
          <w:rFonts w:hint="eastAsia" w:ascii="宋体" w:hAnsi="宋体" w:cs="Courier New"/>
          <w:color w:val="000000"/>
          <w:sz w:val="24"/>
          <w:szCs w:val="24"/>
          <w:highlight w:val="none"/>
        </w:rPr>
        <w:t xml:space="preserve">乙方</w:t>
      </w:r>
      <w:r>
        <w:rPr>
          <w:rFonts w:hint="eastAsia" w:ascii="宋体" w:hAnsi="宋体" w:cs="Courier New"/>
          <w:color w:val="000000"/>
          <w:sz w:val="24"/>
          <w:szCs w:val="24"/>
          <w:highlight w:val="none"/>
          <w:lang w:val="en-US" w:eastAsia="zh-CN"/>
        </w:rPr>
        <w:t xml:space="preserve">出具的</w:t>
      </w:r>
      <w:r>
        <w:rPr>
          <w:rFonts w:hint="eastAsia" w:ascii="宋体" w:hAnsi="宋体" w:cs="Courier New"/>
          <w:color w:val="000000"/>
          <w:sz w:val="24"/>
          <w:szCs w:val="24"/>
          <w:highlight w:val="none"/>
        </w:rPr>
        <w:t xml:space="preserve">发票不合规</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rPr>
        <w:t xml:space="preserve">甲方有权延迟</w:t>
      </w:r>
      <w:r>
        <w:rPr>
          <w:rFonts w:hint="eastAsia" w:ascii="宋体" w:hAnsi="宋体" w:cs="Courier New"/>
          <w:color w:val="000000"/>
          <w:sz w:val="24"/>
          <w:szCs w:val="24"/>
          <w:highlight w:val="none"/>
          <w:lang w:val="en-US" w:eastAsia="zh-CN"/>
        </w:rPr>
        <w:t xml:space="preserve">付款且</w:t>
      </w:r>
      <w:r>
        <w:rPr>
          <w:rFonts w:hint="eastAsia" w:ascii="宋体" w:hAnsi="宋体" w:cs="Courier New"/>
          <w:color w:val="000000"/>
          <w:sz w:val="24"/>
          <w:szCs w:val="24"/>
          <w:highlight w:val="none"/>
        </w:rPr>
        <w:t xml:space="preserve">不承担任何逾期付款</w:t>
      </w:r>
      <w:r>
        <w:rPr>
          <w:rFonts w:hint="eastAsia" w:ascii="宋体" w:hAnsi="宋体" w:cs="Courier New"/>
          <w:color w:val="000000"/>
          <w:sz w:val="24"/>
          <w:szCs w:val="24"/>
          <w:highlight w:val="none"/>
          <w:lang w:val="en-US" w:eastAsia="zh-CN"/>
        </w:rPr>
        <w:t xml:space="preserve">的</w:t>
      </w:r>
      <w:r>
        <w:rPr>
          <w:rFonts w:hint="eastAsia" w:ascii="宋体" w:hAnsi="宋体" w:cs="Courier New"/>
          <w:color w:val="000000"/>
          <w:sz w:val="24"/>
          <w:szCs w:val="24"/>
          <w:highlight w:val="none"/>
        </w:rPr>
        <w:t xml:space="preserve">违约</w:t>
      </w:r>
      <w:r>
        <w:rPr>
          <w:rFonts w:hint="eastAsia" w:ascii="宋体" w:hAnsi="宋体" w:cs="Courier New"/>
          <w:color w:val="000000"/>
          <w:sz w:val="24"/>
          <w:szCs w:val="24"/>
          <w:highlight w:val="none"/>
          <w:lang w:val="en-US" w:eastAsia="zh-CN"/>
        </w:rPr>
        <w:t xml:space="preserve">责任</w:t>
      </w:r>
      <w:r>
        <w:rPr>
          <w:rFonts w:hint="eastAsia" w:ascii="宋体" w:hAnsi="宋体" w:cs="Courier New"/>
          <w:color w:val="000000"/>
          <w:sz w:val="24"/>
          <w:szCs w:val="24"/>
          <w:highlight w:val="none"/>
        </w:rPr>
        <w:t xml:space="preserve">。 </w:t>
      </w:r>
      <w:r/>
    </w:p>
    <w:p>
      <w:pPr>
        <w:pStyle w:val="968"/>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w:t>
      </w:r>
      <w:r>
        <w:rPr>
          <w:rFonts w:hint="eastAsia" w:ascii="宋体" w:hAnsi="宋体" w:cs="Courier New"/>
          <w:color w:val="000000"/>
          <w:sz w:val="24"/>
          <w:szCs w:val="24"/>
          <w:highlight w:val="none"/>
          <w:lang w:val="en-US" w:eastAsia="zh-CN"/>
        </w:rPr>
        <w:t xml:space="preserve">1</w:t>
      </w:r>
      <w:r>
        <w:rPr>
          <w:rFonts w:hint="eastAsia" w:ascii="宋体" w:hAnsi="宋体" w:cs="Courier New"/>
          <w:color w:val="000000"/>
          <w:sz w:val="24"/>
          <w:szCs w:val="24"/>
          <w:highlight w:val="none"/>
        </w:rPr>
        <w:t xml:space="preserve"> 甲方无故逾期验收和办理支付手续的，逾期每日</w:t>
      </w:r>
      <w:r>
        <w:rPr>
          <w:rFonts w:hint="eastAsia" w:ascii="宋体" w:hAnsi="宋体" w:cs="Courier New"/>
          <w:color w:val="000000"/>
          <w:sz w:val="24"/>
          <w:szCs w:val="24"/>
          <w:highlight w:val="none"/>
          <w:lang w:val="en-US" w:eastAsia="zh-CN"/>
        </w:rPr>
        <w:t xml:space="preserve">按</w:t>
      </w:r>
      <w:r>
        <w:rPr>
          <w:rFonts w:hint="eastAsia" w:ascii="宋体" w:hAnsi="宋体" w:cs="Courier New"/>
          <w:color w:val="000000"/>
          <w:sz w:val="24"/>
          <w:szCs w:val="24"/>
          <w:highlight w:val="none"/>
          <w:u w:val="single"/>
          <w:lang w:val="en-US" w:eastAsia="zh-CN"/>
        </w:rPr>
        <w:t xml:space="preserve">500元</w:t>
      </w:r>
      <w:r>
        <w:rPr>
          <w:rFonts w:hint="eastAsia" w:ascii="宋体" w:hAnsi="宋体" w:cs="Courier New"/>
          <w:color w:val="000000"/>
          <w:sz w:val="24"/>
          <w:szCs w:val="24"/>
          <w:highlight w:val="none"/>
        </w:rPr>
        <w:t xml:space="preserve">向乙方支付违约金，</w:t>
      </w:r>
      <w:r>
        <w:rPr>
          <w:rFonts w:ascii="宋体" w:hAnsi="宋体" w:cs="宋体"/>
          <w:color w:val="000000"/>
          <w:sz w:val="24"/>
          <w:szCs w:val="24"/>
          <w:highlight w:val="none"/>
        </w:rPr>
        <w:t xml:space="preserve">但违约金最高不得超过</w:t>
      </w:r>
      <w:r>
        <w:rPr>
          <w:rFonts w:hint="eastAsia" w:ascii="宋体" w:hAnsi="宋体" w:cs="宋体"/>
          <w:color w:val="000000"/>
          <w:sz w:val="24"/>
          <w:szCs w:val="24"/>
          <w:highlight w:val="none"/>
          <w:lang w:val="en-US" w:eastAsia="zh-CN"/>
        </w:rPr>
        <w:t xml:space="preserve">年</w:t>
      </w:r>
      <w:r>
        <w:rPr>
          <w:rFonts w:ascii="宋体" w:hAnsi="宋体" w:cs="宋体"/>
          <w:color w:val="000000"/>
          <w:sz w:val="24"/>
          <w:szCs w:val="24"/>
          <w:highlight w:val="none"/>
        </w:rPr>
        <w:t xml:space="preserve">合同</w:t>
      </w:r>
      <w:r>
        <w:rPr>
          <w:rFonts w:hint="eastAsia" w:ascii="宋体" w:hAnsi="宋体" w:cs="宋体"/>
          <w:color w:val="000000"/>
          <w:sz w:val="24"/>
          <w:szCs w:val="24"/>
          <w:highlight w:val="none"/>
          <w:lang w:val="en-US" w:eastAsia="zh-CN"/>
        </w:rPr>
        <w:t xml:space="preserve">金额</w:t>
      </w:r>
      <w:r>
        <w:rPr>
          <w:rFonts w:ascii="宋体" w:hAnsi="宋体" w:cs="宋体"/>
          <w:color w:val="000000"/>
          <w:sz w:val="24"/>
          <w:szCs w:val="24"/>
          <w:highlight w:val="none"/>
        </w:rPr>
        <w:t xml:space="preserve">的</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w:t>
      </w:r>
      <w:r>
        <w:rPr>
          <w:rFonts w:hint="eastAsia" w:ascii="宋体" w:hAnsi="宋体" w:cs="Courier New"/>
          <w:color w:val="000000"/>
          <w:sz w:val="24"/>
          <w:szCs w:val="24"/>
          <w:highlight w:val="none"/>
          <w:u w:val="single"/>
        </w:rPr>
        <w:t xml:space="preserve"> </w:t>
      </w:r>
      <w:r>
        <w:rPr>
          <w:rFonts w:ascii="宋体" w:hAnsi="宋体" w:cs="宋体"/>
          <w:color w:val="000000"/>
          <w:sz w:val="24"/>
          <w:szCs w:val="24"/>
          <w:highlight w:val="none"/>
        </w:rPr>
        <w:t xml:space="preserve">%。</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w:t>
      </w:r>
      <w:r>
        <w:rPr>
          <w:rFonts w:hint="eastAsia" w:ascii="宋体" w:hAnsi="宋体" w:cs="Courier New"/>
          <w:color w:val="000000"/>
          <w:sz w:val="24"/>
          <w:szCs w:val="24"/>
          <w:highlight w:val="none"/>
          <w:lang w:val="en-US" w:eastAsia="zh-CN"/>
        </w:rPr>
        <w:t xml:space="preserve">2</w:t>
      </w:r>
      <w:r>
        <w:rPr>
          <w:rFonts w:hint="eastAsia" w:ascii="宋体" w:hAnsi="宋体" w:cs="Courier New"/>
          <w:color w:val="000000"/>
          <w:sz w:val="24"/>
          <w:szCs w:val="24"/>
          <w:highlight w:val="none"/>
        </w:rPr>
        <w:t xml:space="preserve"> 乙方逾期提供服务的，应按逾期提供服务合同总额每日</w:t>
      </w:r>
      <w:r>
        <w:rPr>
          <w:rFonts w:hint="eastAsia" w:ascii="宋体" w:hAnsi="宋体" w:cs="Courier New"/>
          <w:color w:val="000000"/>
          <w:sz w:val="24"/>
          <w:szCs w:val="24"/>
          <w:highlight w:val="none"/>
          <w:u w:val="single"/>
          <w:lang w:val="en-US" w:eastAsia="zh-CN"/>
        </w:rPr>
        <w:t xml:space="preserve">1000元</w:t>
      </w:r>
      <w:r>
        <w:rPr>
          <w:rFonts w:hint="eastAsia" w:ascii="宋体" w:hAnsi="宋体" w:cs="Courier New"/>
          <w:color w:val="000000"/>
          <w:sz w:val="24"/>
          <w:szCs w:val="24"/>
          <w:highlight w:val="none"/>
        </w:rPr>
        <w:t xml:space="preserve">向甲方支付违约金，由甲方从待付合同款中扣除。逾期超过约定日期10个工作日不能提供服务的，甲方可解除本合同。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w:t>
      </w:r>
      <w:r>
        <w:rPr>
          <w:rFonts w:hint="eastAsia" w:ascii="宋体" w:hAnsi="宋体" w:cs="Courier New"/>
          <w:color w:val="000000"/>
          <w:sz w:val="24"/>
          <w:szCs w:val="24"/>
          <w:highlight w:val="none"/>
          <w:lang w:val="en-US" w:eastAsia="zh-CN"/>
        </w:rPr>
        <w:t xml:space="preserve">3</w:t>
      </w:r>
      <w:r>
        <w:rPr>
          <w:rFonts w:hint="eastAsia" w:ascii="宋体" w:hAnsi="宋体" w:cs="Courier New"/>
          <w:color w:val="000000"/>
          <w:sz w:val="24"/>
          <w:szCs w:val="24"/>
          <w:highlight w:val="none"/>
        </w:rPr>
        <w:t xml:space="preserve"> 乙方所提供服务的标准不符合合同规定及招标文件规定标准的，甲方有权拒绝接受服务，并可单方面解除合同。</w:t>
      </w:r>
      <w:r/>
    </w:p>
    <w:p>
      <w:pPr>
        <w:spacing w:line="264" w:lineRule="auto"/>
        <w:rPr>
          <w:rFonts w:hint="eastAsia" w:ascii="宋体" w:hAnsi="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11.4</w:t>
      </w:r>
      <w:r>
        <w:rPr>
          <w:rFonts w:hint="eastAsia" w:ascii="宋体" w:hAnsi="宋体" w:eastAsia="宋体" w:cs="Courier New"/>
          <w:color w:val="000000"/>
          <w:sz w:val="24"/>
          <w:szCs w:val="24"/>
          <w:highlight w:val="none"/>
        </w:rPr>
        <w:t xml:space="preserve">乙方因逾期提供服务或因其他违约行为导致甲方解除合同的，乙方应按照合同年度价款的30%承担违约金，造成损失的，另行赔偿。</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w:t>
      </w:r>
      <w:r>
        <w:rPr>
          <w:rFonts w:hint="eastAsia" w:ascii="宋体" w:hAnsi="宋体" w:cs="Courier New"/>
          <w:color w:val="000000"/>
          <w:sz w:val="24"/>
          <w:szCs w:val="24"/>
          <w:highlight w:val="none"/>
          <w:lang w:val="en-US" w:eastAsia="zh-CN"/>
        </w:rPr>
        <w:t xml:space="preserve">5</w:t>
      </w:r>
      <w:r>
        <w:rPr>
          <w:rFonts w:hint="eastAsia" w:ascii="宋体" w:hAnsi="宋体" w:cs="Courier New"/>
          <w:color w:val="000000"/>
          <w:sz w:val="24"/>
          <w:szCs w:val="24"/>
          <w:highlight w:val="none"/>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Courier New"/>
          <w:color w:val="000000"/>
          <w:sz w:val="24"/>
          <w:szCs w:val="24"/>
          <w:highlight w:val="none"/>
          <w:lang w:val="en-US" w:eastAsia="zh-CN"/>
        </w:rPr>
        <w:t xml:space="preserve">等</w:t>
      </w:r>
      <w:r>
        <w:rPr>
          <w:rFonts w:hint="eastAsia" w:ascii="宋体" w:hAnsi="宋体" w:cs="Courier New"/>
          <w:color w:val="000000"/>
          <w:sz w:val="24"/>
          <w:szCs w:val="24"/>
          <w:highlight w:val="none"/>
        </w:rPr>
        <w:t xml:space="preserve">）。</w:t>
      </w:r>
      <w:r/>
    </w:p>
    <w:p>
      <w:pPr>
        <w:spacing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11.6 若因</w:t>
      </w:r>
      <w:r>
        <w:rPr>
          <w:rFonts w:hint="eastAsia" w:ascii="宋体" w:hAnsi="宋体" w:eastAsia="宋体" w:cs="Courier New"/>
          <w:color w:val="000000"/>
          <w:sz w:val="24"/>
          <w:szCs w:val="24"/>
          <w:highlight w:val="none"/>
        </w:rPr>
        <w:t xml:space="preserve">乙方派驻人员在服务期间发生任何</w:t>
      </w:r>
      <w:r>
        <w:rPr>
          <w:rFonts w:hint="eastAsia" w:ascii="宋体" w:hAnsi="宋体" w:eastAsia="宋体" w:cs="Courier New"/>
          <w:color w:val="000000"/>
          <w:sz w:val="24"/>
          <w:szCs w:val="24"/>
          <w:highlight w:val="none"/>
          <w:lang w:val="en-US" w:eastAsia="zh-CN"/>
        </w:rPr>
        <w:t xml:space="preserve">包括但不限于</w:t>
      </w:r>
      <w:r>
        <w:rPr>
          <w:rFonts w:hint="eastAsia" w:ascii="宋体" w:hAnsi="宋体" w:eastAsia="宋体" w:cs="Courier New"/>
          <w:color w:val="000000"/>
          <w:sz w:val="24"/>
          <w:szCs w:val="24"/>
          <w:highlight w:val="none"/>
        </w:rPr>
        <w:t xml:space="preserve">人身伤害、财产损坏、泄露患者隐私、院内安全事故、劳动纠纷、行政处罚</w:t>
      </w:r>
      <w:r>
        <w:rPr>
          <w:rFonts w:hint="eastAsia" w:ascii="宋体" w:hAnsi="宋体" w:eastAsia="宋体" w:cs="Courier New"/>
          <w:color w:val="000000"/>
          <w:sz w:val="24"/>
          <w:szCs w:val="24"/>
          <w:highlight w:val="none"/>
          <w:lang w:val="en-US" w:eastAsia="zh-CN"/>
        </w:rPr>
        <w:t xml:space="preserve">等</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由此产生的</w:t>
      </w:r>
      <w:r>
        <w:rPr>
          <w:rFonts w:hint="eastAsia" w:ascii="宋体" w:hAnsi="宋体" w:eastAsia="宋体" w:cs="Courier New"/>
          <w:color w:val="000000"/>
          <w:sz w:val="24"/>
          <w:szCs w:val="24"/>
          <w:highlight w:val="none"/>
        </w:rPr>
        <w:t xml:space="preserve">全部</w:t>
      </w:r>
      <w:r>
        <w:rPr>
          <w:rFonts w:hint="eastAsia" w:ascii="宋体" w:hAnsi="宋体" w:eastAsia="宋体" w:cs="Courier New"/>
          <w:color w:val="000000"/>
          <w:sz w:val="24"/>
          <w:szCs w:val="24"/>
          <w:highlight w:val="none"/>
          <w:lang w:val="en-US" w:eastAsia="zh-CN"/>
        </w:rPr>
        <w:t xml:space="preserve">损失</w:t>
      </w:r>
      <w:r>
        <w:rPr>
          <w:rFonts w:hint="eastAsia" w:ascii="宋体" w:hAnsi="宋体" w:eastAsia="宋体" w:cs="Courier New"/>
          <w:color w:val="000000"/>
          <w:sz w:val="24"/>
          <w:szCs w:val="24"/>
          <w:highlight w:val="none"/>
        </w:rPr>
        <w:t xml:space="preserve">由乙方全额承担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若甲方先行垫付</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，甲方有权从服务费、履约保证金中直接全额抵扣。</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十四、合同生效及其它</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p>
    <w:p>
      <w:pPr>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p>
    <w:p>
      <w:pPr>
        <w:pStyle w:val="968"/>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bookmarkEnd w:id="180"/>
      <w:r/>
      <w:bookmarkEnd w:id="181"/>
      <w:r/>
      <w:bookmarkEnd w:id="182"/>
      <w:r/>
      <w:r/>
    </w:p>
    <w:p>
      <w:pPr>
        <w:pStyle w:val="968"/>
        <w:ind w:firstLine="24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甲方：（公章）                       乙方：（公章） </w:t>
      </w:r>
      <w:r/>
    </w:p>
    <w:p>
      <w:pPr>
        <w:pStyle w:val="968"/>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地址：                               地址： </w:t>
      </w:r>
      <w:r/>
    </w:p>
    <w:p>
      <w:pPr>
        <w:pStyle w:val="968"/>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法定代表人或授权代表：               法定代表人或授权代表：</w:t>
      </w:r>
      <w:r/>
    </w:p>
    <w:p>
      <w:pPr>
        <w:pStyle w:val="968"/>
        <w:ind w:firstLine="24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联系电话：                           联系电话：          </w:t>
      </w:r>
      <w:r/>
    </w:p>
    <w:p>
      <w:pPr>
        <w:pStyle w:val="968"/>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                                          </w:t>
      </w:r>
      <w:r/>
    </w:p>
    <w:p>
      <w:pPr>
        <w:pStyle w:val="968"/>
        <w:ind w:firstLine="5280"/>
        <w:spacing w:before="120" w:after="120" w:line="264" w:lineRule="auto"/>
        <w:rPr>
          <w:rFonts w:hint="eastAsia" w:hAnsi="宋体"/>
          <w:color w:val="000000"/>
          <w:sz w:val="24"/>
          <w:szCs w:val="24"/>
          <w:highlight w:val="none"/>
        </w:rPr>
      </w:pPr>
      <w:r>
        <w:rPr>
          <w:rFonts w:hint="eastAsia" w:hAnsi="宋体"/>
          <w:color w:val="000000"/>
          <w:sz w:val="24"/>
          <w:szCs w:val="24"/>
          <w:highlight w:val="none"/>
        </w:rPr>
        <w:t xml:space="preserve">签订日期：</w:t>
      </w:r>
      <w:r/>
    </w:p>
    <w:p>
      <w:pPr>
        <w:pStyle w:val="968"/>
        <w:ind w:firstLine="5280"/>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968"/>
        <w:ind w:firstLine="5280"/>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968"/>
        <w:ind w:firstLine="5280"/>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968"/>
        <w:ind w:firstLine="5280"/>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pStyle w:val="968"/>
        <w:ind w:firstLine="5280"/>
        <w:spacing w:before="120" w:after="120" w:line="264" w:lineRule="auto"/>
        <w:rPr>
          <w:rFonts w:hint="eastAsia" w:hAnsi="宋体"/>
          <w:color w:val="000000"/>
          <w:sz w:val="24"/>
          <w:szCs w:val="24"/>
          <w:highlight w:val="none"/>
        </w:rPr>
      </w:pPr>
      <w:r>
        <w:rPr>
          <w:rFonts w:hint="eastAsia" w:hAnsi="宋体"/>
          <w:color w:val="000000"/>
          <w:sz w:val="24"/>
          <w:szCs w:val="24"/>
          <w:highlight w:val="none"/>
        </w:rPr>
      </w:r>
      <w:r/>
    </w:p>
    <w:p>
      <w:pPr>
        <w:jc w:val="center"/>
        <w:spacing w:before="120" w:after="120" w:line="264" w:lineRule="auto"/>
        <w:rPr>
          <w:rFonts w:hint="eastAsia" w:ascii="宋体" w:hAnsi="宋体"/>
          <w:b/>
          <w:color w:val="000000"/>
          <w:sz w:val="30"/>
          <w:highlight w:val="none"/>
        </w:rPr>
        <w:outlineLvl w:val="1"/>
      </w:pPr>
      <w:r>
        <w:rPr>
          <w:rFonts w:hint="eastAsia" w:ascii="宋体" w:hAnsi="宋体"/>
          <w:b/>
          <w:color w:val="000000"/>
          <w:sz w:val="30"/>
          <w:highlight w:val="none"/>
        </w:rPr>
        <w:t xml:space="preserve">《*******合同》补充协议（合同附件）</w:t>
      </w:r>
      <w:r/>
    </w:p>
    <w:p>
      <w:pPr>
        <w:pStyle w:val="968"/>
        <w:jc w:val="left"/>
        <w:spacing w:line="264" w:lineRule="auto"/>
        <w:rPr>
          <w:rFonts w:hint="eastAsia" w:hAnsi="宋体"/>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p>
    <w:p>
      <w:pPr>
        <w:pStyle w:val="1172"/>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3"/>
      <w:r>
        <w:rPr>
          <w:rFonts w:hint="eastAsia" w:ascii="方正小标宋简体" w:hAnsi="方正小标宋简体" w:eastAsia="方正小标宋简体" w:cs="方正小标宋简体"/>
          <w:color w:val="000000"/>
          <w:sz w:val="36"/>
          <w:szCs w:val="36"/>
          <w:highlight w:val="none"/>
        </w:rPr>
        <w:t xml:space="preserve">四章  采购需求</w:t>
      </w:r>
      <w:bookmarkEnd w:id="184"/>
      <w:r/>
      <w:bookmarkEnd w:id="185"/>
      <w:r/>
      <w:bookmarkEnd w:id="186"/>
      <w:r/>
      <w:r/>
    </w:p>
    <w:p>
      <w:pPr>
        <w:ind w:firstLine="480"/>
        <w:rPr>
          <w:rFonts w:hint="eastAsia" w:ascii="宋体" w:hAnsi="宋体"/>
          <w:color w:val="000000"/>
          <w:sz w:val="24"/>
          <w:szCs w:val="24"/>
          <w:highlight w:val="none"/>
        </w:rPr>
      </w:pPr>
      <w:r/>
      <w:bookmarkStart w:id="189" w:name="_Toc49090575"/>
      <w:r/>
      <w:bookmarkStart w:id="190" w:name="_Toc120614281"/>
      <w:r/>
      <w:bookmarkStart w:id="191" w:name="_Toc26554093"/>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p>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（一）项目背景</w:t>
      </w:r>
      <w:r/>
    </w:p>
    <w:p>
      <w:pPr>
        <w:pStyle w:val="1001"/>
        <w:ind w:left="0" w:firstLine="480"/>
        <w:rPr>
          <w:rFonts w:ascii="宋体" w:hAnsi="宋体"/>
          <w:color w:val="000000"/>
          <w:sz w:val="24"/>
          <w:szCs w:val="24"/>
          <w:highlight w:val="none"/>
          <w:lang w:val="en-US"/>
        </w:rPr>
      </w:pPr>
      <w:r>
        <w:rPr>
          <w:rFonts w:hint="eastAsia" w:ascii="宋体" w:hAnsi="宋体"/>
          <w:color w:val="000000"/>
          <w:sz w:val="24"/>
          <w:szCs w:val="24"/>
          <w:highlight w:val="none"/>
          <w:lang w:val="en-US"/>
        </w:rPr>
        <w:t xml:space="preserve">1.医院概况</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南京医科大学附属儿童医院（江苏省儿童医学中心、江苏省红十字儿童医院、南京市儿童医院）创建于1953</w:t>
      </w:r>
      <w:r>
        <w:rPr>
          <w:rFonts w:hint="eastAsia" w:ascii="宋体" w:hAnsi="宋体"/>
          <w:color w:val="000000"/>
          <w:sz w:val="24"/>
          <w:szCs w:val="24"/>
          <w:highlight w:val="none"/>
        </w:rPr>
        <w:t xml:space="preserve">年，是一所集医疗、教学、科研、预防、保健、康复、健康管理于一体的三级甲等综合性儿童医院，是江苏省“委省共建国家儿童区域医疗中心”牵头单位、江苏省儿童区域医疗中心、江苏省高水平医院、江苏省研究型医院、江苏省儿科医学创新中心。设有广州路和河西两个院区，编制床位1742张，职工2531人，其中正副高级专家446人，博士215人、硕士674人，教授、副教授64人，研究生导师112人，其中博士生导师17人。在国家三级公立医院绩效考核中，连续三年取得专科医院最优等级A级，连续三年位列全国儿童专科医院第六名、省内第一名。</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2.坐落位置</w:t>
      </w:r>
      <w:r/>
    </w:p>
    <w:p>
      <w:pPr>
        <w:ind w:firstLine="480"/>
        <w:rPr>
          <w:rFonts w:hint="eastAsia" w:ascii="宋体" w:hAnsi="宋体"/>
          <w:color w:val="000000"/>
          <w:sz w:val="24"/>
          <w:szCs w:val="24"/>
          <w:highlight w:val="none"/>
        </w:rPr>
      </w:pPr>
      <w:r>
        <w:rPr>
          <w:rFonts w:hint="eastAsia" w:ascii="宋体" w:hAnsi="宋体" w:cs="宋体"/>
          <w:color w:val="000000"/>
          <w:sz w:val="24"/>
          <w:szCs w:val="24"/>
          <w:highlight w:val="none"/>
        </w:rPr>
        <w:t xml:space="preserve">南京市鼓楼区广州路72号（广州路院区），南京市建邺区江东南路8号（河西院区）</w:t>
      </w:r>
      <w:r>
        <w:rPr>
          <w:rFonts w:hint="eastAsia" w:ascii="宋体" w:hAnsi="宋体"/>
          <w:color w:val="000000"/>
          <w:sz w:val="24"/>
          <w:szCs w:val="24"/>
          <w:highlight w:val="none"/>
        </w:rPr>
        <w:t xml:space="preserve">。   </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3.使用面积</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总建筑面积约168000㎡，其中占地面积约52000㎡，医疗用面积约120000㎡。</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4.办公用房</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采购人免费提供必要的服务用房，该房屋不得从事任何与本导医服务无关活动，产权归采购人所有，采购人有权对该房屋用途进行调整与变更。</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5.配套设施</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具体以现场实际为准。</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（二）服务标准</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p>
    <w:p>
      <w:pPr>
        <w:ind w:firstLine="480"/>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rPr>
        <w:t xml:space="preserve">三、服务清单</w:t>
      </w:r>
      <w:r/>
    </w:p>
    <w:tbl>
      <w:tblPr>
        <w:tblStyle w:val="894"/>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8"/>
        <w:gridCol w:w="2565"/>
        <w:gridCol w:w="761"/>
        <w:gridCol w:w="772"/>
        <w:gridCol w:w="1941"/>
        <w:gridCol w:w="1035"/>
        <w:gridCol w:w="1299"/>
      </w:tblGrid>
      <w:tr>
        <w:trPr>
          <w:trHeight w:val="470"/>
        </w:trPr>
        <w:tc>
          <w:tcPr>
            <w:tcW w:w="420" w:type="dxa"/>
            <w:vAlign w:val="center"/>
            <w:textDirection w:val="lrTb"/>
            <w:noWrap w:val="false"/>
          </w:tcPr>
          <w:p>
            <w:pPr>
              <w:jc w:val="center"/>
              <w:rPr>
                <w:rFonts w:hint="eastAsia" w:ascii="宋体" w:hAnsi="宋体"/>
                <w:bCs/>
                <w:color w:val="000000"/>
                <w:sz w:val="24"/>
                <w:szCs w:val="24"/>
                <w:highlight w:val="none"/>
              </w:rPr>
            </w:pPr>
            <w:r>
              <w:rPr>
                <w:rFonts w:ascii="宋体" w:hAnsi="宋体"/>
                <w:color w:val="000000"/>
                <w:sz w:val="24"/>
                <w:szCs w:val="24"/>
                <w:highlight w:val="none"/>
              </w:rPr>
              <w:t xml:space="preserve">序号</w:t>
            </w:r>
            <w:r/>
          </w:p>
        </w:tc>
        <w:tc>
          <w:tcPr>
            <w:tcW w:w="1402" w:type="dxa"/>
            <w:vAlign w:val="center"/>
            <w:textDirection w:val="lrTb"/>
            <w:noWrap w:val="false"/>
          </w:tcPr>
          <w:p>
            <w:pPr>
              <w:jc w:val="center"/>
              <w:rPr>
                <w:rFonts w:hint="eastAsia" w:ascii="宋体" w:hAnsi="宋体"/>
                <w:bCs/>
                <w:color w:val="000000"/>
                <w:sz w:val="24"/>
                <w:szCs w:val="24"/>
                <w:highlight w:val="none"/>
              </w:rPr>
            </w:pPr>
            <w:r>
              <w:rPr>
                <w:rFonts w:ascii="宋体" w:hAnsi="宋体"/>
                <w:color w:val="000000"/>
                <w:sz w:val="24"/>
                <w:szCs w:val="24"/>
                <w:highlight w:val="none"/>
              </w:rPr>
              <w:t xml:space="preserve">名称</w:t>
            </w:r>
            <w:r/>
          </w:p>
        </w:tc>
        <w:tc>
          <w:tcPr>
            <w:tcW w:w="416" w:type="dxa"/>
            <w:vAlign w:val="center"/>
            <w:textDirection w:val="lrTb"/>
            <w:noWrap w:val="false"/>
          </w:tcPr>
          <w:p>
            <w:pPr>
              <w:jc w:val="center"/>
              <w:rPr>
                <w:rFonts w:hint="eastAsia" w:ascii="宋体" w:hAnsi="宋体"/>
                <w:bCs/>
                <w:color w:val="000000"/>
                <w:sz w:val="24"/>
                <w:szCs w:val="24"/>
                <w:highlight w:val="none"/>
              </w:rPr>
            </w:pPr>
            <w:r>
              <w:rPr>
                <w:rFonts w:ascii="宋体" w:hAnsi="宋体"/>
                <w:color w:val="000000"/>
                <w:sz w:val="24"/>
                <w:szCs w:val="24"/>
                <w:highlight w:val="none"/>
              </w:rPr>
              <w:t xml:space="preserve">数量</w:t>
            </w:r>
            <w:r/>
          </w:p>
        </w:tc>
        <w:tc>
          <w:tcPr>
            <w:tcW w:w="422" w:type="dxa"/>
            <w:vAlign w:val="center"/>
            <w:textDirection w:val="lrTb"/>
            <w:noWrap w:val="false"/>
          </w:tcPr>
          <w:p>
            <w:pPr>
              <w:jc w:val="center"/>
              <w:rPr>
                <w:rFonts w:hint="eastAsia" w:ascii="宋体" w:hAnsi="宋体"/>
                <w:bCs/>
                <w:color w:val="000000"/>
                <w:sz w:val="24"/>
                <w:szCs w:val="24"/>
                <w:highlight w:val="none"/>
              </w:rPr>
            </w:pPr>
            <w:r>
              <w:rPr>
                <w:rFonts w:ascii="宋体" w:hAnsi="宋体"/>
                <w:color w:val="000000"/>
                <w:sz w:val="24"/>
                <w:szCs w:val="24"/>
                <w:highlight w:val="none"/>
              </w:rPr>
              <w:t xml:space="preserve">单位</w:t>
            </w:r>
            <w:r/>
          </w:p>
        </w:tc>
        <w:tc>
          <w:tcPr>
            <w:tcW w:w="1061" w:type="dxa"/>
            <w:vAlign w:val="center"/>
            <w:textDirection w:val="lrTb"/>
            <w:noWrap w:val="false"/>
          </w:tcPr>
          <w:p>
            <w:pPr>
              <w:jc w:val="center"/>
              <w:rPr>
                <w:rFonts w:hint="eastAsia" w:ascii="宋体" w:hAnsi="宋体"/>
                <w:bCs/>
                <w:color w:val="000000"/>
                <w:sz w:val="24"/>
                <w:szCs w:val="24"/>
                <w:highlight w:val="none"/>
              </w:rPr>
            </w:pPr>
            <w:r>
              <w:rPr>
                <w:rFonts w:ascii="宋体" w:hAnsi="宋体"/>
                <w:color w:val="000000"/>
                <w:sz w:val="24"/>
                <w:szCs w:val="24"/>
                <w:highlight w:val="none"/>
              </w:rPr>
              <w:t xml:space="preserve">所属行业类型</w:t>
            </w:r>
            <w:r/>
          </w:p>
        </w:tc>
        <w:tc>
          <w:tcPr>
            <w:tcW w:w="566" w:type="dxa"/>
            <w:vAlign w:val="center"/>
            <w:textDirection w:val="lrTb"/>
            <w:noWrap w:val="false"/>
          </w:tcPr>
          <w:p>
            <w:pPr>
              <w:jc w:val="center"/>
              <w:rPr>
                <w:rFonts w:ascii="宋体" w:hAnsi="宋体"/>
                <w:color w:val="000000"/>
                <w:sz w:val="24"/>
                <w:szCs w:val="24"/>
                <w:highlight w:val="none"/>
              </w:rPr>
            </w:pPr>
            <w:r>
              <w:rPr>
                <w:color w:val="000000"/>
                <w:sz w:val="24"/>
                <w:szCs w:val="24"/>
                <w:highlight w:val="none"/>
              </w:rPr>
              <w:t xml:space="preserve">属性</w:t>
            </w:r>
            <w:r/>
          </w:p>
        </w:tc>
        <w:tc>
          <w:tcPr>
            <w:tcW w:w="710" w:type="dxa"/>
            <w:vAlign w:val="center"/>
            <w:textDirection w:val="lrTb"/>
            <w:noWrap w:val="false"/>
          </w:tcPr>
          <w:p>
            <w:pPr>
              <w:jc w:val="center"/>
              <w:rPr>
                <w:rFonts w:hint="eastAsia" w:ascii="宋体" w:hAnsi="宋体"/>
                <w:bCs/>
                <w:color w:val="000000"/>
                <w:sz w:val="24"/>
                <w:szCs w:val="24"/>
                <w:highlight w:val="none"/>
              </w:rPr>
            </w:pPr>
            <w:r>
              <w:rPr>
                <w:rFonts w:ascii="宋体" w:hAnsi="宋体"/>
                <w:color w:val="000000"/>
                <w:sz w:val="24"/>
                <w:szCs w:val="24"/>
                <w:highlight w:val="none"/>
              </w:rPr>
              <w:t xml:space="preserve">备注</w:t>
            </w:r>
            <w:r/>
          </w:p>
        </w:tc>
      </w:tr>
      <w:tr>
        <w:trPr>
          <w:trHeight w:val="292"/>
        </w:trPr>
        <w:tc>
          <w:tcPr>
            <w:tcW w:w="4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1402" w:type="dxa"/>
            <w:vAlign w:val="center"/>
            <w:textDirection w:val="lrTb"/>
            <w:noWrap w:val="false"/>
          </w:tcPr>
          <w:p>
            <w:pPr>
              <w:rPr>
                <w:rFonts w:hint="eastAsia" w:ascii="宋体" w:hAnsi="宋体"/>
                <w:bCs/>
                <w:color w:val="000000"/>
                <w:sz w:val="24"/>
                <w:szCs w:val="24"/>
                <w:highlight w:val="none"/>
              </w:rPr>
            </w:pPr>
            <w:r>
              <w:rPr>
                <w:rFonts w:hint="eastAsia" w:ascii="宋体" w:hAnsi="宋体"/>
                <w:color w:val="000000"/>
                <w:sz w:val="24"/>
                <w:szCs w:val="24"/>
                <w:highlight w:val="none"/>
              </w:rPr>
              <w:t xml:space="preserve">导医服务</w:t>
            </w:r>
            <w:r/>
          </w:p>
        </w:tc>
        <w:tc>
          <w:tcPr>
            <w:tcW w:w="416"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p>
        </w:tc>
        <w:tc>
          <w:tcPr>
            <w:tcW w:w="422"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w:t>
            </w:r>
            <w:r/>
          </w:p>
        </w:tc>
        <w:tc>
          <w:tcPr>
            <w:tcW w:w="1061"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其他未列明行业</w:t>
            </w:r>
            <w:r/>
          </w:p>
        </w:tc>
        <w:tc>
          <w:tcPr>
            <w:tcW w:w="566" w:type="dxa"/>
            <w:vAlign w:val="center"/>
            <w:textDirection w:val="lrTb"/>
            <w:noWrap w:val="false"/>
          </w:tcPr>
          <w:p>
            <w:pPr>
              <w:jc w:val="center"/>
              <w:rPr>
                <w:rFonts w:hint="eastAsia" w:ascii="宋体" w:hAnsi="宋体" w:cs="宋体"/>
                <w:bCs/>
                <w:color w:val="000000"/>
                <w:sz w:val="24"/>
                <w:szCs w:val="24"/>
                <w:highlight w:val="none"/>
              </w:rPr>
            </w:pPr>
            <w:r>
              <w:rPr>
                <w:rFonts w:hint="eastAsia" w:ascii="宋体" w:hAnsi="宋体"/>
                <w:bCs/>
                <w:color w:val="000000"/>
                <w:sz w:val="24"/>
                <w:szCs w:val="24"/>
                <w:highlight w:val="none"/>
              </w:rPr>
              <w:t xml:space="preserve">服务</w:t>
            </w:r>
            <w:r/>
          </w:p>
        </w:tc>
        <w:tc>
          <w:tcPr>
            <w:tcW w:w="71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r>
    </w:tbl>
    <w:p>
      <w:pPr>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rPr>
          <w:rFonts w:hint="eastAsia" w:ascii="宋体" w:hAnsi="宋体" w:cs="宋体"/>
          <w:b/>
          <w:color w:val="000000"/>
          <w:sz w:val="24"/>
          <w:szCs w:val="24"/>
          <w:highlight w:val="none"/>
        </w:rPr>
        <w:outlineLvl w:val="1"/>
      </w:pPr>
      <w:r>
        <w:rPr>
          <w:rFonts w:hint="eastAsia" w:ascii="黑体" w:hAnsi="黑体" w:eastAsia="黑体" w:cs="黑体"/>
          <w:color w:val="000000"/>
          <w:sz w:val="24"/>
          <w:szCs w:val="24"/>
          <w:highlight w:val="none"/>
        </w:rPr>
        <w:t xml:space="preserve">四、拟采购标的需要满足的技术、商务要求</w:t>
      </w:r>
      <w:r/>
    </w:p>
    <w:p>
      <w:pPr>
        <w:ind w:firstLine="480"/>
        <w:rPr>
          <w:rFonts w:hint="eastAsia" w:ascii="宋体" w:hAnsi="宋体"/>
          <w:color w:val="000000"/>
          <w:sz w:val="24"/>
          <w:szCs w:val="24"/>
          <w:highlight w:val="none"/>
        </w:rPr>
        <w:outlineLvl w:val="2"/>
      </w:pPr>
      <w:r>
        <w:rPr>
          <w:rFonts w:hint="eastAsia" w:ascii="黑体" w:hAnsi="黑体" w:eastAsia="黑体" w:cs="黑体"/>
          <w:color w:val="000000"/>
          <w:sz w:val="24"/>
          <w:szCs w:val="24"/>
          <w:highlight w:val="none"/>
        </w:rPr>
        <w:t xml:space="preserve">★</w:t>
      </w:r>
      <w:r>
        <w:rPr>
          <w:rFonts w:hint="eastAsia" w:ascii="宋体" w:hAnsi="宋体"/>
          <w:color w:val="000000"/>
          <w:sz w:val="24"/>
          <w:szCs w:val="24"/>
          <w:highlight w:val="none"/>
        </w:rPr>
        <w:t xml:space="preserve">（一）技术要求</w:t>
      </w:r>
      <w:r/>
    </w:p>
    <w:p>
      <w:pPr>
        <w:ind w:firstLine="480"/>
        <w:spacing w:line="0" w:lineRule="atLeast"/>
        <w:rPr>
          <w:color w:val="000000"/>
          <w:sz w:val="24"/>
          <w:szCs w:val="24"/>
          <w:highlight w:val="none"/>
        </w:rPr>
      </w:pPr>
      <w:r>
        <w:rPr>
          <w:rFonts w:hint="eastAsia" w:ascii="宋体" w:hAnsi="宋体"/>
          <w:color w:val="000000"/>
          <w:sz w:val="24"/>
          <w:szCs w:val="24"/>
          <w:highlight w:val="none"/>
        </w:rPr>
        <w:t xml:space="preserve">1.本项目为采购人（广州路院区、河西院区）门急诊需要导医协助医院进行导诊、自助机管理、现场秩序维护等非医疗性服务。包含医院门诊一站式服务中心、住院服务中心、预约回访中心、医院门急诊科室、医院医技科室、专科诊室等。</w:t>
      </w:r>
      <w:r>
        <w:rPr>
          <w:rFonts w:hint="eastAsia"/>
          <w:color w:val="000000"/>
          <w:sz w:val="24"/>
          <w:szCs w:val="24"/>
          <w:highlight w:val="none"/>
        </w:rPr>
        <w:t xml:space="preserve">本次招标的导医服务服务期为三年。</w:t>
      </w:r>
      <w:r/>
    </w:p>
    <w:p>
      <w:pPr>
        <w:ind w:firstLine="4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2.服务内容</w:t>
      </w:r>
      <w:r/>
    </w:p>
    <w:p>
      <w:pPr>
        <w:numPr>
          <w:ilvl w:val="0"/>
          <w:numId w:val="5"/>
        </w:numPr>
        <w:rPr>
          <w:rFonts w:hint="eastAsia" w:ascii="宋体" w:hAnsi="宋体"/>
          <w:color w:val="000000"/>
          <w:sz w:val="24"/>
          <w:szCs w:val="24"/>
          <w:highlight w:val="none"/>
        </w:rPr>
      </w:pPr>
      <w:r>
        <w:rPr>
          <w:rFonts w:hint="eastAsia" w:ascii="宋体" w:hAnsi="宋体"/>
          <w:color w:val="000000"/>
          <w:sz w:val="24"/>
          <w:szCs w:val="24"/>
          <w:highlight w:val="none"/>
        </w:rPr>
        <w:t xml:space="preserve">负责门诊、急诊一站式服务中心、住院病人服务中心、预约回访中心以及医技各科室的导医导诊、现场预约、电话客服、病人转运、自助就医设备服务的工作，维持大厅及各楼层的就诊秩序，合理疏导病人，缩短病人就诊时间；</w:t>
      </w:r>
      <w:r/>
    </w:p>
    <w:p>
      <w:pPr>
        <w:numPr>
          <w:ilvl w:val="0"/>
          <w:numId w:val="5"/>
        </w:numPr>
        <w:rPr>
          <w:rFonts w:hint="eastAsia" w:ascii="宋体" w:hAnsi="宋体"/>
          <w:color w:val="000000"/>
          <w:sz w:val="24"/>
          <w:szCs w:val="24"/>
          <w:highlight w:val="none"/>
        </w:rPr>
      </w:pPr>
      <w:r>
        <w:rPr>
          <w:rFonts w:hint="eastAsia" w:ascii="宋体" w:hAnsi="宋体"/>
          <w:color w:val="000000"/>
          <w:sz w:val="24"/>
          <w:szCs w:val="24"/>
          <w:highlight w:val="none"/>
        </w:rPr>
        <w:t xml:space="preserve">熟悉医院的绿色通道，为病人提供必要的帮助，为急诊、残疾患者提供快捷的服务；</w:t>
      </w:r>
      <w:r/>
    </w:p>
    <w:p>
      <w:pPr>
        <w:numPr>
          <w:ilvl w:val="0"/>
          <w:numId w:val="5"/>
        </w:numPr>
        <w:rPr>
          <w:rFonts w:hint="eastAsia" w:ascii="宋体" w:hAnsi="宋体"/>
          <w:color w:val="000000"/>
          <w:sz w:val="24"/>
          <w:szCs w:val="24"/>
          <w:highlight w:val="none"/>
        </w:rPr>
      </w:pPr>
      <w:r>
        <w:rPr>
          <w:rFonts w:hint="eastAsia" w:ascii="宋体" w:hAnsi="宋体"/>
          <w:color w:val="000000"/>
          <w:sz w:val="24"/>
          <w:szCs w:val="24"/>
          <w:highlight w:val="none"/>
        </w:rPr>
        <w:t xml:space="preserve">处理门急诊大厅的突发事件，及时缓解医患或患者间矛盾，解决病人的一般性争议；</w:t>
      </w:r>
      <w:r/>
    </w:p>
    <w:p>
      <w:pPr>
        <w:numPr>
          <w:ilvl w:val="0"/>
          <w:numId w:val="5"/>
        </w:numPr>
        <w:rPr>
          <w:rFonts w:hint="eastAsia" w:ascii="宋体" w:hAnsi="宋体"/>
          <w:color w:val="000000"/>
          <w:sz w:val="24"/>
          <w:szCs w:val="24"/>
          <w:highlight w:val="none"/>
        </w:rPr>
      </w:pPr>
      <w:r>
        <w:rPr>
          <w:rFonts w:hint="eastAsia" w:ascii="宋体" w:hAnsi="宋体"/>
          <w:color w:val="000000"/>
          <w:sz w:val="24"/>
          <w:szCs w:val="24"/>
          <w:highlight w:val="none"/>
        </w:rPr>
        <w:t xml:space="preserve">征求与梳理病人提出的意见及建议，及时向上级领导反馈；</w:t>
      </w:r>
      <w:r/>
    </w:p>
    <w:p>
      <w:pPr>
        <w:numPr>
          <w:ilvl w:val="0"/>
          <w:numId w:val="5"/>
        </w:numPr>
        <w:rPr>
          <w:rFonts w:hint="eastAsia" w:ascii="宋体" w:hAnsi="宋体"/>
          <w:color w:val="000000"/>
          <w:sz w:val="24"/>
          <w:szCs w:val="24"/>
          <w:highlight w:val="none"/>
        </w:rPr>
      </w:pPr>
      <w:r>
        <w:rPr>
          <w:rFonts w:hint="eastAsia" w:ascii="宋体" w:hAnsi="宋体"/>
          <w:color w:val="000000"/>
          <w:sz w:val="24"/>
          <w:szCs w:val="24"/>
          <w:highlight w:val="none"/>
        </w:rPr>
        <w:t xml:space="preserve">负责发放宣传资料；</w:t>
      </w:r>
      <w:r/>
    </w:p>
    <w:p>
      <w:pPr>
        <w:numPr>
          <w:ilvl w:val="0"/>
          <w:numId w:val="5"/>
        </w:numPr>
        <w:rPr>
          <w:rFonts w:hint="eastAsia" w:ascii="宋体" w:hAnsi="宋体"/>
          <w:color w:val="000000"/>
          <w:sz w:val="24"/>
          <w:szCs w:val="24"/>
          <w:highlight w:val="none"/>
        </w:rPr>
      </w:pPr>
      <w:r>
        <w:rPr>
          <w:rFonts w:hint="eastAsia" w:ascii="宋体" w:hAnsi="宋体"/>
          <w:color w:val="000000"/>
          <w:sz w:val="24"/>
          <w:szCs w:val="24"/>
          <w:highlight w:val="none"/>
        </w:rPr>
        <w:t xml:space="preserve">负责门诊诊疗辅助工作；</w:t>
      </w:r>
      <w:r/>
    </w:p>
    <w:p>
      <w:pPr>
        <w:ind w:left="420"/>
        <w:rPr>
          <w:rFonts w:hint="eastAsia" w:ascii="宋体" w:hAnsi="宋体"/>
          <w:color w:val="000000"/>
          <w:sz w:val="24"/>
          <w:szCs w:val="24"/>
          <w:highlight w:val="none"/>
        </w:rPr>
      </w:pPr>
      <w:r>
        <w:rPr>
          <w:rFonts w:hint="eastAsia" w:ascii="宋体" w:hAnsi="宋体"/>
          <w:color w:val="000000"/>
          <w:sz w:val="24"/>
          <w:szCs w:val="24"/>
          <w:highlight w:val="none"/>
        </w:rPr>
        <w:t xml:space="preserve">3.人员要求：</w:t>
      </w:r>
      <w:r/>
    </w:p>
    <w:p>
      <w:pPr>
        <w:numPr>
          <w:ilvl w:val="0"/>
          <w:numId w:val="6"/>
        </w:numPr>
        <w:rPr>
          <w:rFonts w:hint="eastAsia" w:ascii="宋体" w:hAnsi="宋体"/>
          <w:color w:val="000000"/>
          <w:sz w:val="24"/>
          <w:szCs w:val="24"/>
          <w:highlight w:val="none"/>
        </w:rPr>
      </w:pPr>
      <w:r>
        <w:rPr>
          <w:rFonts w:hint="eastAsia" w:ascii="宋体" w:hAnsi="宋体"/>
          <w:color w:val="000000"/>
          <w:sz w:val="24"/>
          <w:szCs w:val="24"/>
          <w:highlight w:val="none"/>
        </w:rPr>
        <w:t xml:space="preserve">人员年龄要求45周岁以内，部分工作能力强外表端庄大方的可以放宽至48周岁；</w:t>
      </w:r>
      <w:r>
        <w:rPr>
          <w:rFonts w:hint="eastAsia" w:ascii="宋体" w:hAnsi="宋体"/>
          <w:color w:val="000000"/>
          <w:sz w:val="24"/>
          <w:szCs w:val="24"/>
          <w:highlight w:val="none"/>
          <w:lang w:val="en-US" w:eastAsia="zh-CN"/>
        </w:rPr>
        <w:t xml:space="preserve">导医经理和导医主管要求大专及以上学历，其他人员要求初中及以上学历。</w:t>
      </w:r>
      <w:r/>
    </w:p>
    <w:p>
      <w:pPr>
        <w:numPr>
          <w:ilvl w:val="0"/>
          <w:numId w:val="6"/>
        </w:numPr>
        <w:rPr>
          <w:rFonts w:hint="eastAsia" w:ascii="宋体" w:hAnsi="宋体"/>
          <w:color w:val="000000"/>
          <w:sz w:val="24"/>
          <w:szCs w:val="24"/>
          <w:highlight w:val="none"/>
        </w:rPr>
      </w:pPr>
      <w:r>
        <w:rPr>
          <w:rFonts w:hint="eastAsia" w:ascii="宋体" w:hAnsi="宋体"/>
          <w:color w:val="000000"/>
          <w:sz w:val="24"/>
          <w:szCs w:val="24"/>
          <w:highlight w:val="none"/>
        </w:rPr>
        <w:t xml:space="preserve">经过基础培训能胜任岗位要求；</w:t>
      </w:r>
      <w:r/>
    </w:p>
    <w:p>
      <w:pPr>
        <w:numPr>
          <w:ilvl w:val="0"/>
          <w:numId w:val="6"/>
        </w:numPr>
        <w:rPr>
          <w:rFonts w:hint="eastAsia" w:ascii="宋体" w:hAnsi="宋体"/>
          <w:color w:val="000000"/>
          <w:sz w:val="24"/>
          <w:szCs w:val="24"/>
          <w:highlight w:val="none"/>
        </w:rPr>
      </w:pPr>
      <w:r>
        <w:rPr>
          <w:rFonts w:hint="eastAsia" w:ascii="宋体" w:hAnsi="宋体"/>
          <w:color w:val="000000"/>
          <w:sz w:val="24"/>
          <w:szCs w:val="24"/>
          <w:highlight w:val="none"/>
        </w:rPr>
        <w:t xml:space="preserve">身体健康、无传染病、精神性疾病；</w:t>
      </w:r>
      <w:r/>
    </w:p>
    <w:p>
      <w:pPr>
        <w:numPr>
          <w:ilvl w:val="0"/>
          <w:numId w:val="6"/>
        </w:numPr>
        <w:rPr>
          <w:rFonts w:hint="eastAsia" w:ascii="宋体" w:hAnsi="宋体"/>
          <w:color w:val="000000"/>
          <w:sz w:val="24"/>
          <w:szCs w:val="24"/>
          <w:highlight w:val="none"/>
        </w:rPr>
      </w:pPr>
      <w:r>
        <w:rPr>
          <w:rFonts w:hint="eastAsia" w:ascii="宋体" w:hAnsi="宋体"/>
          <w:color w:val="000000"/>
          <w:sz w:val="24"/>
          <w:szCs w:val="24"/>
          <w:highlight w:val="none"/>
        </w:rPr>
        <w:t xml:space="preserve">员工需统一着装上岗、站立服务。</w:t>
      </w:r>
      <w:r/>
    </w:p>
    <w:p>
      <w:pPr>
        <w:numPr>
          <w:ilvl w:val="0"/>
          <w:numId w:val="6"/>
        </w:numPr>
        <w:rPr>
          <w:rFonts w:hint="eastAsia" w:ascii="宋体" w:hAnsi="宋体"/>
          <w:color w:val="000000"/>
          <w:sz w:val="24"/>
          <w:szCs w:val="24"/>
          <w:highlight w:val="none"/>
        </w:rPr>
      </w:pPr>
      <w:r>
        <w:rPr>
          <w:rFonts w:hint="eastAsia" w:ascii="宋体" w:hAnsi="宋体"/>
          <w:color w:val="000000"/>
          <w:sz w:val="24"/>
          <w:szCs w:val="24"/>
          <w:highlight w:val="none"/>
        </w:rPr>
        <w:t xml:space="preserve">公司内部有岗前培训，服务人员100%经过岗前培训合格才上岗。</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ind w:left="420"/>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4.岗位设置：</w:t>
      </w:r>
      <w:r/>
    </w:p>
    <w:p>
      <w:pPr>
        <w:ind w:left="420"/>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（1）八小时岗</w:t>
      </w:r>
      <w:r/>
    </w:p>
    <w:p>
      <w:pPr>
        <w:ind w:left="3810"/>
        <w:spacing w:before="144" w:line="360" w:lineRule="auto"/>
        <w:rPr>
          <w:rFonts w:hint="eastAsia" w:ascii="宋体" w:hAnsi="宋体" w:cs="宋体"/>
          <w:b/>
          <w:bCs/>
          <w:color w:val="000000"/>
          <w:highlight w:val="none"/>
        </w:rPr>
      </w:pPr>
      <w:r>
        <w:rPr>
          <w:rFonts w:hint="eastAsia" w:ascii="宋体" w:hAnsi="宋体" w:cs="宋体"/>
          <w:b/>
          <w:bCs/>
          <w:color w:val="000000"/>
          <w:spacing w:val="-9"/>
          <w:sz w:val="24"/>
          <w:szCs w:val="24"/>
          <w:highlight w:val="none"/>
        </w:rPr>
        <w:t xml:space="preserve">河西院区导医岗位配置表</w:t>
      </w:r>
      <w:r/>
    </w:p>
    <w:tbl>
      <w:tblPr>
        <w:tblStyle w:val="894"/>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233"/>
        <w:gridCol w:w="4069"/>
        <w:gridCol w:w="1240"/>
        <w:gridCol w:w="1548"/>
        <w:gridCol w:w="1240"/>
      </w:tblGrid>
      <w:tr>
        <w:trPr>
          <w:jc w:val="center"/>
          <w:trHeight w:val="731"/>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b/>
                <w:bCs/>
                <w:color w:val="000000"/>
                <w:highlight w:val="none"/>
              </w:rPr>
            </w:pPr>
            <w:r>
              <w:rPr>
                <w:b/>
                <w:bCs/>
                <w:color w:val="000000"/>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b/>
                <w:bCs/>
                <w:color w:val="000000"/>
                <w:highlight w:val="none"/>
              </w:rPr>
            </w:pPr>
            <w:r>
              <w:rPr>
                <w:b/>
                <w:bCs/>
                <w:color w:val="000000"/>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b/>
                <w:bCs/>
                <w:color w:val="000000"/>
                <w:highlight w:val="none"/>
              </w:rPr>
            </w:pPr>
            <w:r>
              <w:rPr>
                <w:b/>
                <w:bCs/>
                <w:color w:val="000000"/>
                <w:highlight w:val="none"/>
              </w:rPr>
              <w:t xml:space="preserve">配置</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b/>
                <w:bCs/>
                <w:color w:val="000000"/>
                <w:highlight w:val="none"/>
              </w:rPr>
            </w:pPr>
            <w:r>
              <w:rPr>
                <w:rFonts w:hint="eastAsia"/>
                <w:b/>
                <w:bCs/>
                <w:color w:val="000000"/>
                <w:highlight w:val="none"/>
              </w:rPr>
              <w:t xml:space="preserve">周开放日</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b/>
                <w:bCs/>
                <w:color w:val="000000"/>
                <w:highlight w:val="none"/>
              </w:rPr>
            </w:pPr>
            <w:r>
              <w:rPr>
                <w:b/>
                <w:bCs/>
                <w:color w:val="000000"/>
                <w:highlight w:val="none"/>
              </w:rPr>
              <w:t xml:space="preserve">周班次</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rFonts w:hint="eastAsia"/>
                <w:color w:val="000000"/>
                <w:highlight w:val="none"/>
              </w:rPr>
              <w:t xml:space="preserve">一号楼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一站式服务台</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14</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rFonts w:hint="eastAsia"/>
                <w:color w:val="000000"/>
                <w:highlight w:val="none"/>
              </w:rPr>
              <w:t xml:space="preserve">1楼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自助机区域</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21</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药房</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儿保</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6</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12</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住服/日间</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28</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高级专家</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19（周末为2人在岗）</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rFonts w:hint="eastAsia"/>
                <w:color w:val="000000"/>
                <w:highlight w:val="none"/>
              </w:rPr>
              <w:t xml:space="preserve">2楼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自助机区域、报到机</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内科普通、专科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33（周末为4人在岗）</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外科普通、专科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19（周末为2人在岗）</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rFonts w:hint="eastAsia"/>
                <w:color w:val="000000"/>
                <w:highlight w:val="none"/>
              </w:rPr>
              <w:t xml:space="preserve">3楼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自助机区域、报到机</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过敏中心</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6</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6</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眼科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14</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皮肤科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口腔科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耳鼻喉科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t xml:space="preserve">4楼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新增岗位</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color w:val="000000"/>
                <w:highlight w:val="none"/>
              </w:rPr>
              <w:t xml:space="preserve">8</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color w:val="000000"/>
                <w:highlight w:val="none"/>
              </w:rPr>
              <w:t xml:space="preserve">56</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rFonts w:hint="eastAsia"/>
                <w:color w:val="000000"/>
                <w:highlight w:val="none"/>
              </w:rPr>
              <w:t xml:space="preserve">二号楼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放射科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14</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color w:val="000000"/>
                <w:highlight w:val="none"/>
              </w:rPr>
            </w:pPr>
            <w:r>
              <w:rPr>
                <w:rFonts w:hint="eastAsia"/>
                <w:color w:val="000000"/>
                <w:highlight w:val="none"/>
              </w:rPr>
              <w:t xml:space="preserve">1楼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急诊服务台（2</w:t>
            </w:r>
            <w:bookmarkStart w:id="217" w:name="_GoBack"/>
            <w:r/>
            <w:bookmarkEnd w:id="217"/>
            <w:r>
              <w:rPr>
                <w:rFonts w:hint="eastAsia"/>
                <w:color w:val="000000"/>
                <w:highlight w:val="none"/>
              </w:rPr>
              <w:t xml:space="preserve">4 小时）</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21</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急诊分诊（24 小时）</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21</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急诊分诊专家（16小时）</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14</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晚自助</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color w:val="000000"/>
                <w:highlight w:val="none"/>
              </w:rPr>
            </w:pPr>
            <w:r>
              <w:rPr>
                <w:color w:val="000000"/>
                <w:highlight w:val="none"/>
              </w:rPr>
              <w:t xml:space="preserve">2 </w:t>
            </w:r>
            <w:r>
              <w:rPr>
                <w:rFonts w:hint="eastAsia"/>
                <w:color w:val="000000"/>
                <w:highlight w:val="none"/>
              </w:rPr>
              <w:t xml:space="preserve">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输液室（ 16 小时）</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14</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输液室</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检验科</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12（周末为1人在岗）</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rPr>
                <w:color w:val="000000"/>
                <w:highlight w:val="none"/>
              </w:rPr>
            </w:pPr>
            <w:r>
              <w:rPr>
                <w:rFonts w:hint="eastAsia"/>
                <w:color w:val="000000"/>
                <w:highlight w:val="none"/>
              </w:rPr>
              <w:t xml:space="preserve">3楼</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多功能检查室</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21</w:t>
            </w:r>
            <w:r/>
          </w:p>
        </w:tc>
      </w:tr>
      <w:tr>
        <w:trPr>
          <w:jc w:val="center"/>
          <w:trHeight w:val="639"/>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舒眠门诊（2025年7月）增加</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7</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color w:val="000000"/>
                <w:highlight w:val="none"/>
              </w:rPr>
              <w:t xml:space="preserve">视频脑电图/技能中心</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color w:val="000000"/>
                <w:highlight w:val="none"/>
              </w:rPr>
              <w:t xml:space="preserve">28</w:t>
            </w:r>
            <w:r/>
          </w:p>
        </w:tc>
      </w:tr>
      <w:tr>
        <w:trPr>
          <w:jc w:val="center"/>
          <w:trHeight w:val="506"/>
        </w:trPr>
        <w:tc>
          <w:tcPr>
            <w:tcBorders>
              <w:top w:val="non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rFonts w:hint="eastAsia"/>
                <w:color w:val="000000"/>
                <w:highlight w:val="none"/>
              </w:rPr>
              <w:t xml:space="preserve">2期</w:t>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大厅</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color w:val="000000"/>
                <w:highlight w:val="none"/>
              </w:rPr>
              <w:t xml:space="preserve">7</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color w:val="000000"/>
                <w:highlight w:val="none"/>
              </w:rPr>
              <w:t xml:space="preserve">14</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接待中心</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5</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rPr>
                <w:color w:val="000000"/>
                <w:highlight w:val="none"/>
              </w:rPr>
            </w:pPr>
            <w:r>
              <w:rPr>
                <w:rFonts w:hint="eastAsia"/>
                <w:color w:val="000000"/>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60</w:t>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rPr>
                <w:color w:val="000000"/>
                <w:highlight w:val="none"/>
              </w:rPr>
            </w:pPr>
            <w:r>
              <w:rPr>
                <w:rFonts w:hint="eastAsia"/>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rPr>
                <w:color w:val="000000"/>
                <w:highlight w:val="none"/>
              </w:rPr>
            </w:pPr>
            <w:r>
              <w:rPr>
                <w:rFonts w:hint="eastAsia"/>
                <w:color w:val="000000"/>
                <w:highlight w:val="none"/>
              </w:rPr>
              <w:t xml:space="preserve">449</w:t>
            </w:r>
            <w:r/>
          </w:p>
        </w:tc>
      </w:tr>
    </w:tbl>
    <w:p>
      <w:pPr>
        <w:pStyle w:val="965"/>
        <w:rPr>
          <w:color w:val="000000"/>
          <w:highlight w:val="none"/>
        </w:rPr>
      </w:pPr>
      <w:r>
        <w:rPr>
          <w:color w:val="000000"/>
          <w:highlight w:val="none"/>
        </w:rPr>
      </w:r>
      <w:r/>
    </w:p>
    <w:p>
      <w:pPr>
        <w:ind w:left="3810"/>
        <w:spacing w:before="144" w:line="360" w:lineRule="auto"/>
        <w:rPr>
          <w:rFonts w:hint="eastAsia" w:ascii="宋体" w:hAnsi="宋体" w:cs="宋体"/>
          <w:b/>
          <w:bCs/>
          <w:color w:val="000000"/>
          <w:highlight w:val="none"/>
        </w:rPr>
      </w:pPr>
      <w:r>
        <w:rPr>
          <w:rFonts w:hint="eastAsia" w:ascii="宋体" w:hAnsi="宋体" w:cs="宋体"/>
          <w:b/>
          <w:bCs/>
          <w:color w:val="000000"/>
          <w:spacing w:val="-9"/>
          <w:sz w:val="24"/>
          <w:szCs w:val="24"/>
          <w:highlight w:val="none"/>
        </w:rPr>
        <w:t xml:space="preserve">广州路院区导医岗位配置表</w:t>
      </w:r>
      <w:r/>
    </w:p>
    <w:tbl>
      <w:tblPr>
        <w:tblStyle w:val="894"/>
        <w:tblW w:w="4994" w:type="pct"/>
        <w:tblInd w:w="-108" w:type="dxa"/>
        <w:tblLayout w:type="autofit"/>
        <w:tblCellMar>
          <w:left w:w="108" w:type="dxa"/>
          <w:top w:w="0" w:type="dxa"/>
          <w:right w:w="108" w:type="dxa"/>
          <w:bottom w:w="0" w:type="dxa"/>
        </w:tblCellMar>
        <w:tblLook w:val="04A0" w:firstRow="1" w:lastRow="0" w:firstColumn="1" w:lastColumn="0" w:noHBand="0" w:noVBand="1"/>
      </w:tblPr>
      <w:tblGrid>
        <w:gridCol w:w="2031"/>
        <w:gridCol w:w="2922"/>
        <w:gridCol w:w="1105"/>
        <w:gridCol w:w="1631"/>
        <w:gridCol w:w="1636"/>
      </w:tblGrid>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地点</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岗位</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配置</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周开放日</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周班次</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一号楼1楼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眼科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b/>
                <w:bCs/>
                <w:color w:val="000000"/>
                <w:sz w:val="22"/>
                <w:szCs w:val="22"/>
                <w:highlight w:val="none"/>
                <w:lang w:bidi="ar"/>
              </w:rPr>
            </w:pPr>
            <w:r>
              <w:rPr>
                <w:rFonts w:hint="eastAsia" w:ascii="宋体" w:hAnsi="宋体" w:cs="宋体"/>
                <w:color w:val="000000"/>
                <w:sz w:val="22"/>
                <w:szCs w:val="22"/>
                <w:highlight w:val="none"/>
                <w:lang w:bidi="ar"/>
              </w:rPr>
              <w:t xml:space="preserve">7</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眼科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B超、心电图</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color w:val="000000"/>
                <w:highlight w:val="none"/>
              </w:rPr>
              <w:t xml:space="preserve">（周末为2人在岗）</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输液室（白/晚）</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内分泌科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肌电图</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体检中心</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G层</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回访中心（白/晚）</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49</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二号楼1楼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服务台</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color w:val="000000"/>
                <w:highlight w:val="none"/>
              </w:rPr>
              <w:t xml:space="preserve">（周末为1人在岗）</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自助机（白/晚）</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住院登记</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19</w:t>
            </w:r>
            <w:r>
              <w:rPr>
                <w:rFonts w:hint="eastAsia"/>
                <w:color w:val="000000"/>
                <w:highlight w:val="none"/>
              </w:rPr>
              <w:t xml:space="preserve">（周末为2人在岗）</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内科（白/晚）</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检查、放射</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外科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耳鼻喉、皮肤科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口腔</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高专</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color w:val="000000"/>
                <w:highlight w:val="none"/>
              </w:rPr>
              <w:t xml:space="preserve">（周末为1人在岗）</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心理、儿保科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儿保检查评估</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专科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3号楼17楼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康复科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5</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六号楼1楼</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放射科</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7</w:t>
            </w:r>
            <w:r/>
          </w:p>
        </w:tc>
      </w:tr>
      <w:tr>
        <w:trPr>
          <w:trHeight w:val="5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566"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253</w:t>
            </w:r>
            <w:r/>
          </w:p>
        </w:tc>
      </w:tr>
    </w:tbl>
    <w:p>
      <w:pPr>
        <w:ind w:left="42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left="420"/>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（二）管理岗</w:t>
      </w:r>
      <w:r/>
    </w:p>
    <w:tbl>
      <w:tblPr>
        <w:tblStyle w:val="894"/>
        <w:tblW w:w="9308" w:type="dxa"/>
        <w:tblInd w:w="-108" w:type="dxa"/>
        <w:tblLayout w:type="fixed"/>
        <w:tblCellMar>
          <w:left w:w="108" w:type="dxa"/>
          <w:top w:w="0" w:type="dxa"/>
          <w:right w:w="108" w:type="dxa"/>
          <w:bottom w:w="0" w:type="dxa"/>
        </w:tblCellMar>
        <w:tblLook w:val="04A0" w:firstRow="1" w:lastRow="0" w:firstColumn="1" w:lastColumn="0" w:noHBand="0" w:noVBand="1"/>
      </w:tblPr>
      <w:tblGrid>
        <w:gridCol w:w="4968"/>
        <w:gridCol w:w="1354"/>
        <w:gridCol w:w="1355"/>
        <w:gridCol w:w="1631"/>
      </w:tblGrid>
      <w:tr>
        <w:trPr>
          <w:trHeight w:val="370"/>
        </w:trPr>
        <w:tc>
          <w:tcPr>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导医主管（广州路院区、河西院区各1岗）</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10</w:t>
            </w:r>
            <w:r/>
          </w:p>
        </w:tc>
      </w:tr>
      <w:tr>
        <w:trPr>
          <w:trHeight w:val="370"/>
        </w:trPr>
        <w:tc>
          <w:tcPr>
            <w:tcBorders>
              <w:top w:val="single" w:color="000000" w:sz="4" w:space="0"/>
              <w:left w:val="single" w:color="000000" w:sz="4" w:space="0"/>
              <w:bottom w:val="single" w:color="000000" w:sz="4" w:space="0"/>
              <w:right w:val="single" w:color="000000" w:sz="4" w:space="0"/>
            </w:tcBorders>
            <w:tcW w:w="4968"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导医经理</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355"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5</w:t>
            </w:r>
            <w:r/>
          </w:p>
        </w:tc>
      </w:tr>
    </w:tbl>
    <w:p>
      <w:pPr>
        <w:ind w:left="42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left="420"/>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5.岗位设置：</w:t>
      </w:r>
      <w:r/>
    </w:p>
    <w:p>
      <w:pPr>
        <w:ind w:firstLine="480"/>
        <w:spacing w:line="0" w:lineRule="atLeast"/>
      </w:pPr>
      <w:r>
        <w:rPr>
          <w:rFonts w:hint="eastAsia" w:ascii="宋体" w:hAnsi="宋体"/>
          <w:color w:val="000000"/>
          <w:sz w:val="24"/>
          <w:szCs w:val="24"/>
          <w:highlight w:val="none"/>
        </w:rPr>
        <w:t xml:space="preserve">为充分优化人力资源配置，本项目在严格遵守《劳动法》相关规定（每日延长工作时间不超过3小时，每月不超过36小时）的前提下，采用综合工时制排班模式。项目需保障八小时服务岗位每周总班次数为702次。</w:t>
      </w:r>
      <w:r/>
    </w:p>
    <w:p>
      <w:pPr>
        <w:ind w:firstLine="480"/>
        <w:spacing w:line="0" w:lineRule="atLeast"/>
      </w:pPr>
      <w:r>
        <w:rPr>
          <w:rFonts w:hint="eastAsia" w:ascii="宋体" w:hAnsi="宋体"/>
          <w:color w:val="000000"/>
          <w:sz w:val="24"/>
          <w:szCs w:val="24"/>
          <w:highlight w:val="none"/>
        </w:rPr>
        <w:t xml:space="preserve">人员配置测算依据如下：</w:t>
      </w:r>
      <w:r/>
    </w:p>
    <w:p>
      <w:pPr>
        <w:ind w:firstLine="480"/>
        <w:spacing w:line="0" w:lineRule="atLeast"/>
      </w:pPr>
      <w:r>
        <w:rPr>
          <w:rFonts w:hint="eastAsia" w:ascii="宋体" w:hAnsi="宋体"/>
          <w:color w:val="000000"/>
          <w:sz w:val="24"/>
          <w:szCs w:val="24"/>
          <w:highlight w:val="none"/>
        </w:rPr>
        <w:t xml:space="preserve">按照不低于50%人员在岗时长超过标准工时的原则，设定综合周人均出勤系数为5.5天（即：50%人员每周出勤6天，50%人员每周出勤5天，计算得出：(0.5×6+ 0.5×5) = 5.5天）。</w:t>
      </w:r>
      <w:r/>
    </w:p>
    <w:p>
      <w:pPr>
        <w:ind w:firstLine="480"/>
        <w:spacing w:line="0" w:lineRule="atLeast"/>
      </w:pPr>
      <w:r>
        <w:rPr>
          <w:rFonts w:hint="eastAsia" w:ascii="宋体" w:hAnsi="宋体"/>
          <w:color w:val="000000"/>
          <w:sz w:val="24"/>
          <w:szCs w:val="24"/>
          <w:highlight w:val="none"/>
        </w:rPr>
        <w:t xml:space="preserve">据此测算，所需八小时服务岗位人数为：702班次 ÷ 5.5天 ≈ 127.64人，向下取整为127人。</w:t>
      </w:r>
      <w:r/>
    </w:p>
    <w:p>
      <w:pPr>
        <w:ind w:firstLine="4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综上，本项目八小时岗拟聘导医127人，管理岗拟聘3人（含导医经理1人、导医主管2人），合计定编130人。采购人有权根据现场实际运行情况，在总编制130人的限额内，依据实际出勤人数及执行的班次情况，据实结算服务费用。</w:t>
      </w:r>
      <w:r/>
    </w:p>
    <w:p>
      <w:pPr>
        <w:rPr>
          <w:color w:val="000000"/>
          <w:highlight w:val="none"/>
        </w:rPr>
      </w:pPr>
      <w:r>
        <w:rPr>
          <w:color w:val="000000"/>
          <w:highlight w:val="none"/>
        </w:rPr>
      </w:r>
      <w:r/>
    </w:p>
    <w:p>
      <w:pPr>
        <w:ind w:left="420"/>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6.休息日班次及法定节假日班次设置</w:t>
      </w:r>
      <w:r/>
    </w:p>
    <w:p>
      <w:pPr>
        <w:ind w:firstLine="4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本项目设置休息日加班班次3484班次/年（计算方法：[702班次/周-八小时岗127人*5天/周]*52周），法定节假日加班班次为900班次/年（详见下表），采购人可在实际合同执行过程中增加或减少加班班次，供应商应予以配合，所涉及加班费用据实结算。</w:t>
      </w:r>
      <w:r/>
    </w:p>
    <w:tbl>
      <w:tblPr>
        <w:tblStyle w:val="894"/>
        <w:tblW w:w="5132" w:type="pct"/>
        <w:tblInd w:w="-108" w:type="dxa"/>
        <w:tblLayout w:type="fixed"/>
        <w:tblCellMar>
          <w:left w:w="108" w:type="dxa"/>
          <w:top w:w="0" w:type="dxa"/>
          <w:right w:w="108" w:type="dxa"/>
          <w:bottom w:w="0" w:type="dxa"/>
        </w:tblCellMar>
        <w:tblLook w:val="04A0" w:firstRow="1" w:lastRow="0" w:firstColumn="1" w:lastColumn="0" w:noHBand="0" w:noVBand="1"/>
      </w:tblPr>
      <w:tblGrid>
        <w:gridCol w:w="681"/>
        <w:gridCol w:w="1859"/>
        <w:gridCol w:w="419"/>
        <w:gridCol w:w="418"/>
        <w:gridCol w:w="519"/>
        <w:gridCol w:w="519"/>
        <w:gridCol w:w="519"/>
        <w:gridCol w:w="418"/>
        <w:gridCol w:w="418"/>
        <w:gridCol w:w="596"/>
        <w:gridCol w:w="418"/>
        <w:gridCol w:w="418"/>
        <w:gridCol w:w="418"/>
        <w:gridCol w:w="648"/>
        <w:gridCol w:w="648"/>
        <w:gridCol w:w="667"/>
      </w:tblGrid>
      <w:tr>
        <w:trPr>
          <w:trHeight w:val="500"/>
          <w:tblHeader/>
        </w:trPr>
        <w:tc>
          <w:tcPr>
            <w:tcBorders>
              <w:top w:val="single" w:color="000000" w:sz="8" w:space="0"/>
              <w:left w:val="single" w:color="000000" w:sz="8" w:space="0"/>
              <w:bottom w:val="single" w:color="000000" w:sz="8" w:space="0"/>
              <w:right w:val="single" w:color="000000" w:sz="8" w:space="0"/>
            </w:tcBorders>
            <w:tcW w:w="354"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院区</w:t>
            </w:r>
            <w:r/>
          </w:p>
        </w:tc>
        <w:tc>
          <w:tcPr>
            <w:tcBorders>
              <w:top w:val="single" w:color="000000" w:sz="8" w:space="0"/>
              <w:left w:val="none" w:color="000000" w:sz="4" w:space="0"/>
              <w:bottom w:val="single" w:color="000000" w:sz="8" w:space="0"/>
              <w:right w:val="single" w:color="000000" w:sz="8" w:space="0"/>
            </w:tcBorders>
            <w:tcW w:w="96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法定节假日岗位/设置</w:t>
            </w:r>
            <w:r/>
          </w:p>
        </w:tc>
        <w:tc>
          <w:tcPr>
            <w:tcBorders>
              <w:top w:val="single" w:color="000000" w:sz="8" w:space="0"/>
              <w:left w:val="none" w:color="000000" w:sz="4" w:space="0"/>
              <w:bottom w:val="single" w:color="000000" w:sz="8" w:space="0"/>
              <w:right w:val="single" w:color="000000" w:sz="8" w:space="0"/>
            </w:tcBorders>
            <w:tcW w:w="21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元旦</w:t>
            </w:r>
            <w:r/>
          </w:p>
        </w:tc>
        <w:tc>
          <w:tcPr>
            <w:tcBorders>
              <w:top w:val="single" w:color="000000" w:sz="8" w:space="0"/>
              <w:left w:val="none" w:color="000000" w:sz="4" w:space="0"/>
              <w:bottom w:val="single" w:color="000000" w:sz="8" w:space="0"/>
              <w:right w:val="single" w:color="000000" w:sz="8" w:space="0"/>
            </w:tcBorders>
            <w:tcW w:w="21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除夕</w:t>
            </w:r>
            <w:r/>
          </w:p>
        </w:tc>
        <w:tc>
          <w:tcPr>
            <w:tcBorders>
              <w:top w:val="single" w:color="000000" w:sz="8" w:space="0"/>
              <w:left w:val="none" w:color="000000" w:sz="4" w:space="0"/>
              <w:bottom w:val="single" w:color="000000" w:sz="8" w:space="0"/>
              <w:right w:val="single" w:color="000000" w:sz="8" w:space="0"/>
            </w:tcBorders>
            <w:tcW w:w="271"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年初一</w:t>
            </w:r>
            <w:r/>
          </w:p>
        </w:tc>
        <w:tc>
          <w:tcPr>
            <w:tcBorders>
              <w:top w:val="single" w:color="000000" w:sz="8" w:space="0"/>
              <w:left w:val="none" w:color="000000" w:sz="4" w:space="0"/>
              <w:bottom w:val="single" w:color="000000" w:sz="8" w:space="0"/>
              <w:right w:val="single" w:color="000000" w:sz="8" w:space="0"/>
            </w:tcBorders>
            <w:tcW w:w="271"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年初二</w:t>
            </w:r>
            <w:r/>
          </w:p>
        </w:tc>
        <w:tc>
          <w:tcPr>
            <w:tcBorders>
              <w:top w:val="single" w:color="000000" w:sz="8" w:space="0"/>
              <w:left w:val="none" w:color="000000" w:sz="4" w:space="0"/>
              <w:bottom w:val="single" w:color="000000" w:sz="8" w:space="0"/>
              <w:right w:val="single" w:color="000000" w:sz="8" w:space="0"/>
            </w:tcBorders>
            <w:tcW w:w="271"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年初三</w:t>
            </w:r>
            <w:r/>
          </w:p>
        </w:tc>
        <w:tc>
          <w:tcPr>
            <w:tcBorders>
              <w:top w:val="single" w:color="000000" w:sz="8" w:space="0"/>
              <w:left w:val="none" w:color="000000" w:sz="4" w:space="0"/>
              <w:bottom w:val="single" w:color="000000" w:sz="8" w:space="0"/>
              <w:right w:val="single" w:color="000000" w:sz="8" w:space="0"/>
            </w:tcBorders>
            <w:tcW w:w="21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清明</w:t>
            </w:r>
            <w:r/>
          </w:p>
        </w:tc>
        <w:tc>
          <w:tcPr>
            <w:tcBorders>
              <w:top w:val="single" w:color="000000" w:sz="8" w:space="0"/>
              <w:left w:val="none" w:color="000000" w:sz="4" w:space="0"/>
              <w:bottom w:val="single" w:color="000000" w:sz="8" w:space="0"/>
              <w:right w:val="single" w:color="000000" w:sz="8" w:space="0"/>
            </w:tcBorders>
            <w:tcW w:w="21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劳动</w:t>
            </w:r>
            <w:r/>
          </w:p>
        </w:tc>
        <w:tc>
          <w:tcPr>
            <w:tcBorders>
              <w:top w:val="single" w:color="000000" w:sz="8" w:space="0"/>
              <w:left w:val="none" w:color="000000" w:sz="4" w:space="0"/>
              <w:bottom w:val="single" w:color="000000" w:sz="8" w:space="0"/>
              <w:right w:val="single" w:color="000000" w:sz="8" w:space="0"/>
            </w:tcBorders>
            <w:tcW w:w="310"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5月2日</w:t>
            </w:r>
            <w:r/>
          </w:p>
        </w:tc>
        <w:tc>
          <w:tcPr>
            <w:tcBorders>
              <w:top w:val="single" w:color="000000" w:sz="8" w:space="0"/>
              <w:left w:val="none" w:color="000000" w:sz="4" w:space="0"/>
              <w:bottom w:val="single" w:color="000000" w:sz="8" w:space="0"/>
              <w:right w:val="single" w:color="000000" w:sz="8" w:space="0"/>
            </w:tcBorders>
            <w:tcW w:w="21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端午</w:t>
            </w:r>
            <w:r/>
          </w:p>
        </w:tc>
        <w:tc>
          <w:tcPr>
            <w:tcBorders>
              <w:top w:val="single" w:color="000000" w:sz="8" w:space="0"/>
              <w:left w:val="none" w:color="000000" w:sz="4" w:space="0"/>
              <w:bottom w:val="single" w:color="000000" w:sz="8" w:space="0"/>
              <w:right w:val="single" w:color="000000" w:sz="8" w:space="0"/>
            </w:tcBorders>
            <w:tcW w:w="21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中秋</w:t>
            </w:r>
            <w:r/>
          </w:p>
        </w:tc>
        <w:tc>
          <w:tcPr>
            <w:tcBorders>
              <w:top w:val="single" w:color="000000" w:sz="8" w:space="0"/>
              <w:left w:val="none" w:color="000000" w:sz="4" w:space="0"/>
              <w:bottom w:val="single" w:color="000000" w:sz="8" w:space="0"/>
              <w:right w:val="single" w:color="000000" w:sz="8" w:space="0"/>
            </w:tcBorders>
            <w:tcW w:w="21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国庆</w:t>
            </w:r>
            <w:r/>
          </w:p>
        </w:tc>
        <w:tc>
          <w:tcPr>
            <w:tcBorders>
              <w:top w:val="single" w:color="000000" w:sz="8" w:space="0"/>
              <w:left w:val="none" w:color="000000" w:sz="4" w:space="0"/>
              <w:bottom w:val="single" w:color="000000" w:sz="8" w:space="0"/>
              <w:right w:val="single" w:color="000000" w:sz="8" w:space="0"/>
            </w:tcBorders>
            <w:tcW w:w="33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10月2日</w:t>
            </w:r>
            <w:r/>
          </w:p>
        </w:tc>
        <w:tc>
          <w:tcPr>
            <w:tcBorders>
              <w:top w:val="single" w:color="000000" w:sz="8" w:space="0"/>
              <w:left w:val="none" w:color="000000" w:sz="4" w:space="0"/>
              <w:bottom w:val="single" w:color="000000" w:sz="8" w:space="0"/>
              <w:right w:val="single" w:color="000000" w:sz="8" w:space="0"/>
            </w:tcBorders>
            <w:tcW w:w="33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10月3日</w:t>
            </w:r>
            <w:r/>
          </w:p>
        </w:tc>
        <w:tc>
          <w:tcPr>
            <w:tcBorders>
              <w:top w:val="single" w:color="000000" w:sz="8" w:space="0"/>
              <w:left w:val="none" w:color="000000" w:sz="4" w:space="0"/>
              <w:bottom w:val="single" w:color="000000" w:sz="8" w:space="0"/>
              <w:right w:val="single" w:color="000000" w:sz="8" w:space="0"/>
            </w:tcBorders>
            <w:tcW w:w="34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小计</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restart"/>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广州路院区</w:t>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一号楼1楼眼科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一号楼2楼眼科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一号楼3楼B超、心电图</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一号楼4楼输液室（白）</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一号楼4楼输液室（晚）</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一号楼5楼内分泌科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一号楼8楼肌电图</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一号楼11楼体检中心</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一号楼G层回访中心（白）</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48</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一号楼G层回访中心（晚）</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二号楼1楼服务台</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二号楼1楼自助机（白）</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二号楼1楼自助机（晚）</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二号楼1楼住院登记</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二号楼2楼内科（白）</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二号楼2楼内科（晚）</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二号楼3楼检查、放射</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二号楼4楼外科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二号楼5楼耳鼻喉、皮肤科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二号楼6楼口腔</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二号楼7楼高专</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二号楼8楼心理、儿保科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二号楼9楼儿保检查评估</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二号楼10楼专科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二号楼3号楼17楼康复科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六号楼1楼放射科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val="false"/>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67"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小计</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314</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restart"/>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河西院区</w:t>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一号楼一站式服务台一站式服务台</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26</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一号楼1楼自助机区域</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一号楼1楼药房</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一号楼1楼儿保</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一号楼1楼住服/日间</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48</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一号楼1楼高级专家</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14</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一号楼2楼自助机区域、报到机</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一号楼2楼内科普通、专科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48</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一号楼2楼外科普通、专科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22</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一号楼3楼自助机区域、报到机</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一号楼3楼过敏中心</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一号楼3楼眼科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18</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一号楼3楼皮肤科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一号楼3楼口腔科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一号楼3楼耳鼻喉科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一号楼4楼新增岗位</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104</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二号楼放射科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二号楼1楼急诊服务台（24 小时）</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二号楼急诊分诊（24 小时）</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二号楼急诊分诊专家</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二号楼晚自助</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2号楼2楼输液室（16小时）</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2号楼输液室</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2号楼检验科</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2号楼3楼多功能检查室</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2号楼舒眠门诊</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2号楼视频脑电图/技能中心</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35</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2期大厅</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2期接待中心</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0</w:t>
            </w:r>
            <w:r/>
          </w:p>
        </w:tc>
      </w:tr>
      <w:tr>
        <w:trPr>
          <w:trHeight w:val="500"/>
        </w:trPr>
        <w:tc>
          <w:tcPr>
            <w:tcBorders>
              <w:top w:val="none" w:color="000000" w:sz="4" w:space="0"/>
              <w:left w:val="single" w:color="000000" w:sz="8" w:space="0"/>
              <w:bottom w:val="single" w:color="000000" w:sz="8" w:space="0"/>
              <w:right w:val="single" w:color="000000" w:sz="8" w:space="0"/>
            </w:tcBorders>
            <w:tcW w:w="354" w:type="dxa"/>
            <w:vAlign w:val="center"/>
            <w:vMerge w:val="continue"/>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967"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小计</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586</w:t>
            </w:r>
            <w:r/>
          </w:p>
        </w:tc>
      </w:tr>
      <w:tr>
        <w:trPr>
          <w:trHeight w:val="500"/>
        </w:trPr>
        <w:tc>
          <w:tcPr>
            <w:gridSpan w:val="2"/>
            <w:tcBorders>
              <w:top w:val="none" w:color="000000" w:sz="4" w:space="0"/>
              <w:left w:val="single" w:color="000000" w:sz="8" w:space="0"/>
              <w:bottom w:val="single" w:color="000000" w:sz="8" w:space="0"/>
              <w:right w:val="single" w:color="000000" w:sz="8" w:space="0"/>
            </w:tcBorders>
            <w:tcW w:w="2539"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两个院区总计</w:t>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20"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95"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419"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47" w:type="dxa"/>
            <w:vAlign w:val="center"/>
            <w:textDirection w:val="lrTb"/>
            <w:noWrap/>
          </w:tcPr>
          <w:p>
            <w:pPr>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666" w:type="dxa"/>
            <w:vAlign w:val="center"/>
            <w:textDirection w:val="lrTb"/>
            <w:noWrap/>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900</w:t>
            </w:r>
            <w:r/>
          </w:p>
        </w:tc>
      </w:tr>
    </w:tbl>
    <w:p>
      <w:pPr>
        <w:jc w:val="left"/>
        <w:widowControl/>
        <w:rPr>
          <w:rFonts w:hint="eastAsia" w:hAnsi="宋体"/>
          <w:color w:val="000000"/>
          <w:szCs w:val="24"/>
          <w:highlight w:val="none"/>
        </w:rPr>
      </w:pPr>
      <w:r>
        <w:rPr>
          <w:rFonts w:hint="eastAsia" w:hAnsi="宋体"/>
          <w:color w:val="000000"/>
          <w:szCs w:val="24"/>
          <w:highlight w:val="none"/>
        </w:rPr>
      </w:r>
      <w:r/>
    </w:p>
    <w:p>
      <w:pPr>
        <w:jc w:val="left"/>
        <w:widowControl/>
        <w:rPr>
          <w:rFonts w:hint="eastAsia" w:hAnsi="宋体"/>
          <w:color w:val="000000"/>
          <w:szCs w:val="24"/>
          <w:highlight w:val="none"/>
        </w:rPr>
      </w:pPr>
      <w:r>
        <w:rPr>
          <w:rFonts w:hint="eastAsia" w:hAnsi="宋体"/>
          <w:color w:val="000000"/>
          <w:szCs w:val="24"/>
          <w:highlight w:val="none"/>
        </w:rPr>
        <w:t xml:space="preserve">法定节假日加班总计：900</w:t>
      </w:r>
      <w:r>
        <w:rPr>
          <w:rFonts w:hAnsi="宋体"/>
          <w:color w:val="000000"/>
          <w:szCs w:val="24"/>
          <w:highlight w:val="none"/>
        </w:rPr>
        <w:t xml:space="preserve">班次/年</w:t>
      </w:r>
      <w:r/>
    </w:p>
    <w:p>
      <w:pPr>
        <w:jc w:val="left"/>
        <w:widowControl/>
        <w:rPr>
          <w:rFonts w:hint="eastAsia" w:hAnsi="宋体"/>
          <w:color w:val="000000"/>
          <w:szCs w:val="24"/>
          <w:highlight w:val="none"/>
        </w:rPr>
      </w:pPr>
      <w:r>
        <w:rPr>
          <w:rFonts w:hint="eastAsia" w:hAnsi="宋体"/>
          <w:color w:val="000000"/>
          <w:szCs w:val="24"/>
          <w:highlight w:val="none"/>
        </w:rPr>
      </w:r>
      <w:r/>
    </w:p>
    <w:p>
      <w:pPr>
        <w:jc w:val="left"/>
        <w:widowControl/>
        <w:rPr>
          <w:rFonts w:hint="eastAsia" w:hAnsi="宋体"/>
          <w:bCs/>
          <w:color w:val="000000"/>
          <w:szCs w:val="24"/>
          <w:highlight w:val="none"/>
        </w:rPr>
        <w:sectPr>
          <w:footerReference w:type="default" r:id="rId11"/>
          <w:footerReference w:type="first" r:id="rId12"/>
          <w:footnotePr/>
          <w:endnotePr/>
          <w:type w:val="nextPage"/>
          <w:pgSz w:w="11906" w:h="16838" w:orient="portrait"/>
          <w:pgMar w:top="1418" w:right="1198" w:bottom="1418" w:left="1588" w:header="851" w:footer="907" w:gutter="0"/>
          <w:cols w:num="1" w:sep="0" w:space="1701" w:equalWidth="1"/>
          <w:docGrid w:linePitch="360"/>
          <w:titlePg/>
        </w:sectPr>
      </w:pPr>
      <w:r>
        <w:rPr>
          <w:rFonts w:hint="eastAsia" w:hAnsi="宋体"/>
          <w:bCs/>
          <w:color w:val="000000"/>
          <w:szCs w:val="24"/>
          <w:highlight w:val="none"/>
        </w:rPr>
      </w:r>
      <w:r/>
    </w:p>
    <w:p>
      <w:pPr>
        <w:ind w:firstLine="4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七、夜班设置</w:t>
      </w:r>
      <w:r/>
    </w:p>
    <w:p>
      <w:pPr>
        <w:ind w:firstLine="480"/>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ab/>
      </w:r>
      <w:r>
        <w:rPr>
          <w:rFonts w:hint="eastAsia" w:ascii="宋体" w:hAnsi="宋体"/>
          <w:color w:val="000000"/>
          <w:sz w:val="24"/>
          <w:szCs w:val="24"/>
          <w:highlight w:val="none"/>
        </w:rPr>
        <w:t xml:space="preserve">本项目设置夜班岗位10个/天，开设天数365天/年，夜班加班班次为3650班次/年。采购人可在实际合同执行过程中增加或减少夜班岗位，供应商应予以配合，所涉及夜班费用据实结算。具体岗位设置如下：</w:t>
      </w:r>
      <w:r/>
    </w:p>
    <w:tbl>
      <w:tblPr>
        <w:tblStyle w:val="894"/>
        <w:tblW w:w="9336" w:type="dxa"/>
        <w:tblInd w:w="-108" w:type="dxa"/>
        <w:tblLayout w:type="fixed"/>
        <w:tblCellMar>
          <w:left w:w="108" w:type="dxa"/>
          <w:top w:w="0" w:type="dxa"/>
          <w:right w:w="108" w:type="dxa"/>
          <w:bottom w:w="0" w:type="dxa"/>
        </w:tblCellMar>
        <w:tblLook w:val="04A0" w:firstRow="1" w:lastRow="0" w:firstColumn="1" w:lastColumn="0" w:noHBand="0" w:noVBand="1"/>
      </w:tblPr>
      <w:tblGrid>
        <w:gridCol w:w="1586"/>
        <w:gridCol w:w="5774"/>
        <w:gridCol w:w="1976"/>
      </w:tblGrid>
      <w:tr>
        <w:trPr>
          <w:trHeight w:val="420"/>
        </w:trPr>
        <w:tc>
          <w:tcPr>
            <w:tcBorders>
              <w:top w:val="single" w:color="000000" w:sz="4" w:space="0"/>
              <w:left w:val="single" w:color="000000" w:sz="4" w:space="0"/>
              <w:bottom w:val="none" w:color="000000" w:sz="4" w:space="0"/>
              <w:right w:val="single" w:color="000000" w:sz="4" w:space="0"/>
            </w:tcBorders>
            <w:tcW w:w="1586" w:type="dxa"/>
            <w:vAlign w:val="center"/>
            <w:vMerge w:val="restart"/>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广州路院区</w:t>
            </w:r>
            <w:r/>
          </w:p>
        </w:tc>
        <w:tc>
          <w:tcPr>
            <w:tcBorders>
              <w:top w:val="singl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一号楼急诊楼四楼晚间输液室</w:t>
            </w:r>
            <w:r/>
          </w:p>
        </w:tc>
        <w:tc>
          <w:tcPr>
            <w:tcBorders>
              <w:top w:val="singl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16:00-24:00</w:t>
            </w:r>
            <w:r/>
          </w:p>
        </w:tc>
      </w:tr>
      <w:tr>
        <w:trPr>
          <w:trHeight w:val="420"/>
        </w:trPr>
        <w:tc>
          <w:tcPr>
            <w:tcBorders>
              <w:top w:val="none" w:color="000000" w:sz="4" w:space="0"/>
              <w:left w:val="single" w:color="000000" w:sz="4" w:space="0"/>
              <w:bottom w:val="non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一号楼急诊楼G层晚间回访中心</w:t>
            </w:r>
            <w:r/>
          </w:p>
        </w:tc>
        <w:tc>
          <w:tcPr>
            <w:tcBorders>
              <w:top w:val="singl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24:00-8:00</w:t>
            </w:r>
            <w:r/>
          </w:p>
        </w:tc>
      </w:tr>
      <w:tr>
        <w:trPr>
          <w:trHeight w:val="420"/>
        </w:trPr>
        <w:tc>
          <w:tcPr>
            <w:tcBorders>
              <w:top w:val="none" w:color="000000" w:sz="4" w:space="0"/>
              <w:left w:val="single" w:color="000000" w:sz="4" w:space="0"/>
              <w:bottom w:val="non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二号楼门诊楼一楼晚间自助机</w:t>
            </w:r>
            <w:r/>
          </w:p>
        </w:tc>
        <w:tc>
          <w:tcPr>
            <w:tcBorders>
              <w:top w:val="singl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16:00-24:00</w:t>
            </w:r>
            <w:r/>
          </w:p>
        </w:tc>
      </w:tr>
      <w:tr>
        <w:trPr>
          <w:trHeight w:val="420"/>
        </w:trPr>
        <w:tc>
          <w:tcPr>
            <w:tcBorders>
              <w:top w:val="none" w:color="000000" w:sz="4" w:space="0"/>
              <w:left w:val="single" w:color="000000" w:sz="4" w:space="0"/>
              <w:bottom w:val="non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二号楼门诊楼内科</w:t>
            </w:r>
            <w:r/>
          </w:p>
        </w:tc>
        <w:tc>
          <w:tcPr>
            <w:tcBorders>
              <w:top w:val="singl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24:00-8:00</w:t>
            </w:r>
            <w:r/>
          </w:p>
        </w:tc>
      </w:tr>
      <w:tr>
        <w:trPr>
          <w:trHeight w:val="420"/>
        </w:trPr>
        <w:tc>
          <w:tcPr>
            <w:tcBorders>
              <w:top w:val="single" w:color="000000" w:sz="4" w:space="0"/>
              <w:left w:val="single" w:color="000000" w:sz="4" w:space="0"/>
              <w:bottom w:val="none" w:color="000000" w:sz="4" w:space="0"/>
              <w:right w:val="single" w:color="000000" w:sz="4" w:space="0"/>
            </w:tcBorders>
            <w:tcW w:w="1586" w:type="dxa"/>
            <w:vAlign w:val="center"/>
            <w:vMerge w:val="restart"/>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河西院区</w:t>
            </w:r>
            <w:r/>
          </w:p>
        </w:tc>
        <w:tc>
          <w:tcPr>
            <w:tcBorders>
              <w:top w:val="singl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二号楼急诊楼一楼晚间急诊服务台</w:t>
            </w:r>
            <w:r/>
          </w:p>
        </w:tc>
        <w:tc>
          <w:tcPr>
            <w:tcBorders>
              <w:top w:val="singl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16:00-24:00</w:t>
            </w:r>
            <w:r/>
          </w:p>
        </w:tc>
      </w:tr>
      <w:tr>
        <w:trPr>
          <w:trHeight w:val="420"/>
        </w:trPr>
        <w:tc>
          <w:tcPr>
            <w:tcBorders>
              <w:top w:val="none" w:color="000000" w:sz="4" w:space="0"/>
              <w:left w:val="single" w:color="000000" w:sz="4" w:space="0"/>
              <w:bottom w:val="non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二号楼急诊楼一楼晚间急诊分诊</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16:00-24:00</w:t>
            </w:r>
            <w:r/>
          </w:p>
        </w:tc>
      </w:tr>
      <w:tr>
        <w:trPr>
          <w:trHeight w:val="420"/>
        </w:trPr>
        <w:tc>
          <w:tcPr>
            <w:tcBorders>
              <w:top w:val="none" w:color="000000" w:sz="4" w:space="0"/>
              <w:left w:val="single" w:color="000000" w:sz="4" w:space="0"/>
              <w:bottom w:val="non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二号楼急诊楼一楼夜间导医服务台</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24:00-8:00</w:t>
            </w:r>
            <w:r/>
          </w:p>
        </w:tc>
      </w:tr>
      <w:tr>
        <w:trPr>
          <w:trHeight w:val="420"/>
        </w:trPr>
        <w:tc>
          <w:tcPr>
            <w:tcBorders>
              <w:top w:val="none" w:color="000000" w:sz="4" w:space="0"/>
              <w:left w:val="single" w:color="000000" w:sz="4" w:space="0"/>
              <w:bottom w:val="non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二号楼急诊楼一楼急诊分诊专家</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16:00-24:00</w:t>
            </w:r>
            <w:r/>
          </w:p>
        </w:tc>
      </w:tr>
      <w:tr>
        <w:trPr>
          <w:trHeight w:val="420"/>
        </w:trPr>
        <w:tc>
          <w:tcPr>
            <w:tcBorders>
              <w:top w:val="none" w:color="000000" w:sz="4" w:space="0"/>
              <w:left w:val="single" w:color="000000" w:sz="4" w:space="0"/>
              <w:bottom w:val="non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二号楼急诊楼一楼晚间自助机</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16:00-24:00</w:t>
            </w:r>
            <w:r/>
          </w:p>
        </w:tc>
      </w:tr>
      <w:tr>
        <w:trPr>
          <w:trHeight w:val="420"/>
        </w:trPr>
        <w:tc>
          <w:tcPr>
            <w:tcBorders>
              <w:top w:val="none" w:color="000000" w:sz="4" w:space="0"/>
              <w:left w:val="single" w:color="000000" w:sz="4" w:space="0"/>
              <w:bottom w:val="single" w:color="000000" w:sz="4" w:space="0"/>
              <w:right w:val="single" w:color="000000" w:sz="4" w:space="0"/>
            </w:tcBorders>
            <w:tcW w:w="1586" w:type="dxa"/>
            <w:vAlign w:val="center"/>
            <w:vMerge w:val="continue"/>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二号楼急诊楼二楼晚间输液室</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16:00-24:00</w:t>
            </w:r>
            <w:r/>
          </w:p>
        </w:tc>
      </w:tr>
      <w:tr>
        <w:trPr>
          <w:trHeight w:val="420"/>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合计夜班费岗位数</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p>
        </w:tc>
      </w:tr>
      <w:tr>
        <w:trPr>
          <w:trHeight w:val="420"/>
        </w:trPr>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夜班岗位开设天数</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365</w:t>
            </w:r>
            <w:r/>
          </w:p>
        </w:tc>
      </w:tr>
      <w:tr>
        <w:trPr>
          <w:trHeight w:val="420"/>
        </w:trPr>
        <w:tc>
          <w:tcPr>
            <w:tcBorders>
              <w:top w:val="none" w:color="000000" w:sz="4" w:space="0"/>
              <w:left w:val="single" w:color="000000" w:sz="4" w:space="0"/>
              <w:bottom w:val="single" w:color="000000" w:sz="4" w:space="0"/>
              <w:right w:val="single" w:color="000000" w:sz="4" w:space="0"/>
            </w:tcBorders>
            <w:tcW w:w="158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5774"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总夜班班次数</w:t>
            </w:r>
            <w:r/>
          </w:p>
        </w:tc>
        <w:tc>
          <w:tcPr>
            <w:tcBorders>
              <w:top w:val="none" w:color="000000" w:sz="4" w:space="0"/>
              <w:left w:val="none" w:color="000000" w:sz="4" w:space="0"/>
              <w:bottom w:val="single" w:color="000000" w:sz="4" w:space="0"/>
              <w:right w:val="single" w:color="000000" w:sz="4" w:space="0"/>
            </w:tcBorders>
            <w:tcW w:w="1976" w:type="dxa"/>
            <w:vAlign w:val="center"/>
            <w:textDirection w:val="lrTb"/>
            <w:noWrap/>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3650</w:t>
            </w:r>
            <w:r/>
          </w:p>
        </w:tc>
      </w:tr>
    </w:tbl>
    <w:p>
      <w:pPr>
        <w:ind w:firstLine="480"/>
        <w:jc w:val="left"/>
        <w:rPr>
          <w:rFonts w:hint="eastAsia" w:ascii="黑体" w:hAnsi="黑体" w:eastAsia="黑体" w:cs="黑体"/>
          <w:color w:val="000000"/>
          <w:sz w:val="24"/>
          <w:szCs w:val="24"/>
          <w:highlight w:val="none"/>
        </w:rPr>
        <w:sectPr>
          <w:headerReference w:type="default" r:id="rId9"/>
          <w:footerReference w:type="default" r:id="rId13"/>
          <w:footerReference w:type="even" r:id="rId14"/>
          <w:footerReference w:type="first" r:id="rId15"/>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黑体" w:hAnsi="黑体" w:eastAsia="黑体" w:cs="黑体"/>
          <w:color w:val="000000"/>
          <w:sz w:val="24"/>
          <w:szCs w:val="24"/>
          <w:highlight w:val="none"/>
        </w:rPr>
      </w:r>
      <w:r/>
    </w:p>
    <w:p>
      <w:pPr>
        <w:ind w:firstLine="480"/>
        <w:jc w:val="left"/>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p>
    <w:p>
      <w:pPr>
        <w:ind w:firstLine="480"/>
        <w:jc w:val="left"/>
        <w:rPr>
          <w:rFonts w:hint="eastAsia" w:ascii="宋体" w:hAnsi="宋体"/>
          <w:color w:val="000000"/>
          <w:sz w:val="24"/>
          <w:szCs w:val="24"/>
          <w:highlight w:val="none"/>
        </w:rPr>
      </w:pPr>
      <w:r>
        <w:rPr>
          <w:rFonts w:hint="eastAsia" w:ascii="宋体" w:hAnsi="宋体"/>
          <w:color w:val="000000"/>
          <w:sz w:val="24"/>
          <w:szCs w:val="24"/>
          <w:highlight w:val="none"/>
        </w:rPr>
        <w:t xml:space="preserve">1.报价要求</w:t>
      </w:r>
      <w:r/>
    </w:p>
    <w:p>
      <w:pPr>
        <w:ind w:firstLine="480"/>
        <w:jc w:val="left"/>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（1）供应商根据本项目采购需求和自身实际填报《投标分项报价表》（格式见第六章），其中“人工成本”填报</w:t>
      </w:r>
      <w:r>
        <w:rPr>
          <w:rFonts w:hint="eastAsia" w:ascii="宋体" w:hAnsi="宋体"/>
          <w:bCs/>
          <w:color w:val="000000"/>
          <w:sz w:val="24"/>
          <w:szCs w:val="24"/>
          <w:highlight w:val="none"/>
        </w:rPr>
        <w:t xml:space="preserve">《人工成本报价明细表》（格式见第六章），报价至少包括并满足以下内容：</w:t>
      </w:r>
      <w:r/>
    </w:p>
    <w:p>
      <w:pPr>
        <w:ind w:firstLine="480"/>
        <w:jc w:val="left"/>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①人员基本工资：</w:t>
      </w:r>
      <w:r>
        <w:rPr>
          <w:rFonts w:ascii="宋体" w:hAnsi="宋体"/>
          <w:b/>
          <w:bCs w:val="0"/>
          <w:color w:val="000000"/>
          <w:sz w:val="24"/>
          <w:szCs w:val="24"/>
          <w:highlight w:val="none"/>
        </w:rPr>
        <w:t xml:space="preserve">供应商报价中的人员基本工资不得低于投标截止之日南京市现行最低工资标准，且不得以加班费、各类补贴或其他费用抵扣基本工资；如存在低于最低工资标准的情况，将视为未实质性响应招标文件要求，按无效投标处理。</w:t>
      </w:r>
      <w:r/>
    </w:p>
    <w:p>
      <w:pPr>
        <w:ind w:firstLine="480"/>
        <w:jc w:val="left"/>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②员工岗位津贴：</w:t>
      </w:r>
      <w:r>
        <w:rPr>
          <w:rFonts w:ascii="宋体" w:hAnsi="宋体"/>
          <w:b/>
          <w:bCs w:val="0"/>
          <w:color w:val="000000"/>
          <w:sz w:val="24"/>
          <w:szCs w:val="24"/>
          <w:highlight w:val="none"/>
        </w:rPr>
        <w:t xml:space="preserve">供应商</w:t>
      </w:r>
      <w:r>
        <w:rPr>
          <w:rFonts w:hint="eastAsia" w:ascii="宋体" w:hAnsi="宋体"/>
          <w:b/>
          <w:bCs w:val="0"/>
          <w:color w:val="000000"/>
          <w:sz w:val="24"/>
          <w:szCs w:val="24"/>
          <w:highlight w:val="none"/>
        </w:rPr>
        <w:t xml:space="preserve">应</w:t>
      </w:r>
      <w:r>
        <w:rPr>
          <w:rFonts w:ascii="宋体" w:hAnsi="宋体"/>
          <w:b/>
          <w:bCs w:val="0"/>
          <w:color w:val="000000"/>
          <w:sz w:val="24"/>
          <w:szCs w:val="24"/>
          <w:highlight w:val="none"/>
        </w:rPr>
        <w:t xml:space="preserve">结合导医团队的用工稳定性、整体福利待遇</w:t>
      </w:r>
      <w:r>
        <w:rPr>
          <w:rFonts w:hint="eastAsia" w:ascii="宋体" w:hAnsi="宋体"/>
          <w:b/>
          <w:bCs w:val="0"/>
          <w:color w:val="000000"/>
          <w:sz w:val="24"/>
          <w:szCs w:val="24"/>
          <w:highlight w:val="none"/>
        </w:rPr>
        <w:t xml:space="preserve">、</w:t>
      </w:r>
      <w:r>
        <w:rPr>
          <w:rFonts w:ascii="宋体" w:hAnsi="宋体"/>
          <w:b/>
          <w:bCs w:val="0"/>
          <w:color w:val="000000"/>
          <w:sz w:val="24"/>
          <w:szCs w:val="24"/>
          <w:highlight w:val="none"/>
        </w:rPr>
        <w:t xml:space="preserve">岗位差异</w:t>
      </w:r>
      <w:r>
        <w:rPr>
          <w:rFonts w:hint="eastAsia" w:ascii="宋体" w:hAnsi="宋体"/>
          <w:b/>
          <w:bCs w:val="0"/>
          <w:color w:val="000000"/>
          <w:sz w:val="24"/>
          <w:szCs w:val="24"/>
          <w:highlight w:val="none"/>
        </w:rPr>
        <w:t xml:space="preserve">、奖惩</w:t>
      </w:r>
      <w:r>
        <w:rPr>
          <w:rFonts w:ascii="宋体" w:hAnsi="宋体"/>
          <w:b/>
          <w:bCs w:val="0"/>
          <w:color w:val="000000"/>
          <w:sz w:val="24"/>
          <w:szCs w:val="24"/>
          <w:highlight w:val="none"/>
        </w:rPr>
        <w:t xml:space="preserve">等因素，建立科学、合理的岗位津贴制度。津贴设置应体现不同岗位的技术难度、工作强度、责任风险</w:t>
      </w:r>
      <w:r>
        <w:rPr>
          <w:rFonts w:hint="eastAsia" w:ascii="宋体" w:hAnsi="宋体"/>
          <w:b/>
          <w:bCs w:val="0"/>
          <w:color w:val="000000"/>
          <w:sz w:val="24"/>
          <w:szCs w:val="24"/>
          <w:highlight w:val="none"/>
        </w:rPr>
        <w:t xml:space="preserve">、</w:t>
      </w:r>
      <w:r>
        <w:rPr>
          <w:rFonts w:ascii="宋体" w:hAnsi="宋体"/>
          <w:b/>
          <w:bCs w:val="0"/>
          <w:color w:val="000000"/>
          <w:sz w:val="24"/>
          <w:szCs w:val="24"/>
          <w:highlight w:val="none"/>
        </w:rPr>
        <w:t xml:space="preserve">服务时长</w:t>
      </w:r>
      <w:r>
        <w:rPr>
          <w:rFonts w:hint="eastAsia" w:ascii="宋体" w:hAnsi="宋体"/>
          <w:b/>
          <w:bCs w:val="0"/>
          <w:color w:val="000000"/>
          <w:sz w:val="24"/>
          <w:szCs w:val="24"/>
          <w:highlight w:val="none"/>
        </w:rPr>
        <w:t xml:space="preserve">、奖惩</w:t>
      </w:r>
      <w:r>
        <w:rPr>
          <w:rFonts w:ascii="宋体" w:hAnsi="宋体"/>
          <w:b/>
          <w:bCs w:val="0"/>
          <w:color w:val="000000"/>
          <w:sz w:val="24"/>
          <w:szCs w:val="24"/>
          <w:highlight w:val="none"/>
        </w:rPr>
        <w:t xml:space="preserve">等差别，兼顾内部公平性与外部竞争力，确保关键岗位人员稳定，降低流失率，保障导医服务持续、优质开展。供应商须在投标文件中详细说明岗位津贴的具体标准、发放条件、调整机制及与绩效考核的衔接方式，并承诺按不低于其投标承诺的标准执行。</w:t>
      </w:r>
      <w:r/>
    </w:p>
    <w:p>
      <w:pPr>
        <w:pStyle w:val="965"/>
        <w:ind w:firstLine="482"/>
        <w:rPr>
          <w:rFonts w:hint="eastAsia"/>
          <w:b/>
          <w:bCs w:val="0"/>
          <w:color w:val="000000"/>
          <w:sz w:val="24"/>
          <w:szCs w:val="24"/>
          <w:highlight w:val="none"/>
        </w:rPr>
      </w:pPr>
      <w:r>
        <w:rPr>
          <w:rFonts w:hint="eastAsia"/>
          <w:b/>
          <w:bCs w:val="0"/>
          <w:color w:val="000000"/>
          <w:sz w:val="24"/>
          <w:szCs w:val="24"/>
          <w:highlight w:val="none"/>
        </w:rPr>
        <w:fldChar w:fldCharType="begin"/>
      </w:r>
      <w:r>
        <w:rPr>
          <w:rFonts w:hint="eastAsia"/>
          <w:b/>
          <w:bCs w:val="0"/>
          <w:color w:val="000000"/>
          <w:sz w:val="24"/>
          <w:szCs w:val="24"/>
          <w:highlight w:val="none"/>
        </w:rPr>
        <w:instrText xml:space="preserve"> = 3 \* GB3 </w:instrText>
      </w:r>
      <w:r>
        <w:rPr>
          <w:rFonts w:hint="eastAsia"/>
          <w:b/>
          <w:bCs w:val="0"/>
          <w:color w:val="000000"/>
          <w:sz w:val="24"/>
          <w:szCs w:val="24"/>
          <w:highlight w:val="none"/>
        </w:rPr>
        <w:fldChar w:fldCharType="separate"/>
      </w:r>
      <w:r>
        <w:rPr>
          <w:rFonts w:hint="eastAsia"/>
          <w:b/>
          <w:bCs w:val="0"/>
          <w:color w:val="000000"/>
          <w:sz w:val="24"/>
          <w:szCs w:val="24"/>
          <w:highlight w:val="none"/>
        </w:rPr>
        <w:t xml:space="preserve">③</w:t>
      </w:r>
      <w:r>
        <w:rPr>
          <w:rFonts w:hint="eastAsia"/>
          <w:b/>
          <w:bCs w:val="0"/>
          <w:color w:val="000000"/>
          <w:sz w:val="24"/>
          <w:szCs w:val="24"/>
          <w:highlight w:val="none"/>
        </w:rPr>
        <w:fldChar w:fldCharType="end"/>
      </w:r>
      <w:r>
        <w:rPr>
          <w:rFonts w:hint="eastAsia" w:cs="Times New Roman"/>
          <w:b/>
          <w:bCs w:val="0"/>
          <w:color w:val="000000"/>
          <w:sz w:val="24"/>
          <w:szCs w:val="24"/>
          <w:highlight w:val="none"/>
          <w:lang w:val="en-US"/>
        </w:rPr>
        <w:t xml:space="preserve">法定节假日加班工资</w:t>
      </w:r>
      <w:r>
        <w:rPr>
          <w:rFonts w:hint="eastAsia"/>
          <w:b/>
          <w:bCs w:val="0"/>
          <w:color w:val="000000"/>
          <w:sz w:val="24"/>
          <w:szCs w:val="24"/>
          <w:highlight w:val="none"/>
        </w:rPr>
        <w:t xml:space="preserve">：供应商</w:t>
      </w:r>
      <w:r>
        <w:rPr>
          <w:b/>
          <w:bCs w:val="0"/>
          <w:color w:val="000000"/>
          <w:sz w:val="24"/>
          <w:szCs w:val="24"/>
          <w:highlight w:val="none"/>
        </w:rPr>
        <w:t xml:space="preserve">应严格按照《中华人民共和国劳动法》及相关法律法规的规定，合理安排员工在法定休假日的工作，并依法支付不低于正常工作时间工资300%的工资报酬。本项目法定节假日加班班次设置为900班次/年，</w:t>
      </w:r>
      <w:r>
        <w:rPr>
          <w:rFonts w:hint="eastAsia"/>
          <w:b/>
          <w:bCs w:val="0"/>
          <w:color w:val="000000"/>
          <w:sz w:val="24"/>
          <w:szCs w:val="24"/>
          <w:highlight w:val="none"/>
        </w:rPr>
        <w:t xml:space="preserve">供应商</w:t>
      </w:r>
      <w:r>
        <w:rPr>
          <w:b/>
          <w:bCs w:val="0"/>
          <w:color w:val="000000"/>
          <w:sz w:val="24"/>
          <w:szCs w:val="24"/>
          <w:highlight w:val="none"/>
        </w:rPr>
        <w:t xml:space="preserve">应在投标报价中足额测算并包含相应加班费用，不得低于法定标准，否则视为未实质性响应招标文件要求，按无效投标处理。</w:t>
      </w:r>
      <w:r/>
    </w:p>
    <w:p>
      <w:pPr>
        <w:ind w:firstLine="480"/>
        <w:jc w:val="left"/>
        <w:rPr>
          <w:rFonts w:ascii="宋体" w:hAnsi="宋体"/>
          <w:b/>
          <w:bCs w:val="0"/>
          <w:color w:val="000000"/>
          <w:sz w:val="24"/>
          <w:szCs w:val="24"/>
          <w:highlight w:val="none"/>
        </w:rPr>
      </w:pPr>
      <w:r>
        <w:rPr>
          <w:rFonts w:hint="eastAsia" w:ascii="宋体" w:hAnsi="宋体"/>
          <w:b/>
          <w:bCs w:val="0"/>
          <w:color w:val="000000"/>
          <w:sz w:val="24"/>
          <w:szCs w:val="24"/>
          <w:highlight w:val="none"/>
        </w:rPr>
        <w:fldChar w:fldCharType="begin"/>
      </w:r>
      <w:r>
        <w:rPr>
          <w:rFonts w:hint="eastAsia" w:ascii="宋体" w:hAnsi="宋体"/>
          <w:b/>
          <w:bCs w:val="0"/>
          <w:color w:val="000000"/>
          <w:sz w:val="24"/>
          <w:szCs w:val="24"/>
          <w:highlight w:val="none"/>
        </w:rPr>
        <w:instrText xml:space="preserve"> = 4 \* GB3 </w:instrText>
      </w:r>
      <w:r>
        <w:rPr>
          <w:rFonts w:hint="eastAsia" w:ascii="宋体" w:hAnsi="宋体"/>
          <w:b/>
          <w:bCs w:val="0"/>
          <w:color w:val="000000"/>
          <w:sz w:val="24"/>
          <w:szCs w:val="24"/>
          <w:highlight w:val="none"/>
        </w:rPr>
        <w:fldChar w:fldCharType="separate"/>
      </w:r>
      <w:r>
        <w:rPr>
          <w:rFonts w:hint="eastAsia" w:ascii="宋体" w:hAnsi="宋体"/>
          <w:b/>
          <w:bCs w:val="0"/>
          <w:color w:val="000000"/>
          <w:sz w:val="24"/>
          <w:szCs w:val="24"/>
          <w:highlight w:val="none"/>
        </w:rPr>
        <w:t xml:space="preserve">④</w:t>
      </w:r>
      <w:r>
        <w:rPr>
          <w:rFonts w:hint="eastAsia" w:ascii="宋体" w:hAnsi="宋体"/>
          <w:b/>
          <w:bCs w:val="0"/>
          <w:color w:val="000000"/>
          <w:sz w:val="24"/>
          <w:szCs w:val="24"/>
          <w:highlight w:val="none"/>
        </w:rPr>
        <w:fldChar w:fldCharType="end"/>
      </w:r>
      <w:r>
        <w:rPr>
          <w:rFonts w:hint="eastAsia" w:ascii="宋体" w:hAnsi="宋体"/>
          <w:b/>
          <w:bCs w:val="0"/>
          <w:color w:val="000000"/>
          <w:sz w:val="24"/>
          <w:szCs w:val="24"/>
          <w:highlight w:val="none"/>
        </w:rPr>
        <w:t xml:space="preserve">休息日加班工资：</w:t>
      </w:r>
      <w:r>
        <w:rPr>
          <w:rFonts w:ascii="宋体" w:hAnsi="宋体"/>
          <w:b/>
          <w:bCs w:val="0"/>
          <w:color w:val="000000"/>
          <w:sz w:val="24"/>
          <w:szCs w:val="24"/>
          <w:highlight w:val="none"/>
        </w:rPr>
        <w:t xml:space="preserve">员工在休息日被安排工作且不能安排补休的，供应商应依法支付不低于正常工作时间工资200%的工资报酬。本项目休息日加班班次设置为3484班次/年，</w:t>
      </w:r>
      <w:r>
        <w:rPr>
          <w:rFonts w:hint="eastAsia" w:ascii="宋体" w:hAnsi="宋体"/>
          <w:b/>
          <w:bCs w:val="0"/>
          <w:color w:val="000000"/>
          <w:sz w:val="24"/>
          <w:szCs w:val="24"/>
          <w:highlight w:val="none"/>
        </w:rPr>
        <w:t xml:space="preserve">供应商</w:t>
      </w:r>
      <w:r>
        <w:rPr>
          <w:rFonts w:ascii="宋体" w:hAnsi="宋体"/>
          <w:b/>
          <w:bCs w:val="0"/>
          <w:color w:val="000000"/>
          <w:sz w:val="24"/>
          <w:szCs w:val="24"/>
          <w:highlight w:val="none"/>
        </w:rPr>
        <w:t xml:space="preserve">应在投标报价中按此数量及法定标准足额测算并包含相应加班费用，否则按未实质性响应招标文件处理。</w:t>
      </w:r>
      <w:r/>
    </w:p>
    <w:p>
      <w:pPr>
        <w:ind w:firstLine="480"/>
        <w:jc w:val="left"/>
        <w:rPr>
          <w:rFonts w:ascii="宋体" w:hAnsi="宋体"/>
          <w:b/>
          <w:bCs w:val="0"/>
          <w:color w:val="000000"/>
          <w:sz w:val="24"/>
          <w:szCs w:val="24"/>
          <w:highlight w:val="none"/>
        </w:rPr>
      </w:pPr>
      <w:r>
        <w:rPr>
          <w:rFonts w:ascii="宋体" w:hAnsi="宋体"/>
          <w:b/>
          <w:bCs w:val="0"/>
          <w:color w:val="000000"/>
          <w:sz w:val="24"/>
          <w:szCs w:val="24"/>
          <w:highlight w:val="none"/>
        </w:rPr>
        <w:fldChar w:fldCharType="begin"/>
      </w:r>
      <w:r>
        <w:rPr>
          <w:rFonts w:ascii="宋体" w:hAnsi="宋体"/>
          <w:b/>
          <w:bCs w:val="0"/>
          <w:color w:val="000000"/>
          <w:sz w:val="24"/>
          <w:szCs w:val="24"/>
          <w:highlight w:val="none"/>
        </w:rPr>
        <w:instrText xml:space="preserve"> </w:instrText>
      </w:r>
      <w:r>
        <w:rPr>
          <w:rFonts w:hint="eastAsia" w:ascii="宋体" w:hAnsi="宋体"/>
          <w:b/>
          <w:bCs w:val="0"/>
          <w:color w:val="000000"/>
          <w:sz w:val="24"/>
          <w:szCs w:val="24"/>
          <w:highlight w:val="none"/>
        </w:rPr>
        <w:instrText xml:space="preserve">= 5 \* GB3</w:instrText>
      </w:r>
      <w:r>
        <w:rPr>
          <w:rFonts w:ascii="宋体" w:hAnsi="宋体"/>
          <w:b/>
          <w:bCs w:val="0"/>
          <w:color w:val="000000"/>
          <w:sz w:val="24"/>
          <w:szCs w:val="24"/>
          <w:highlight w:val="none"/>
        </w:rPr>
        <w:instrText xml:space="preserve"> </w:instrText>
      </w:r>
      <w:r>
        <w:rPr>
          <w:rFonts w:ascii="宋体" w:hAnsi="宋体"/>
          <w:b/>
          <w:bCs w:val="0"/>
          <w:color w:val="000000"/>
          <w:sz w:val="24"/>
          <w:szCs w:val="24"/>
          <w:highlight w:val="none"/>
        </w:rPr>
        <w:fldChar w:fldCharType="separate"/>
      </w:r>
      <w:r>
        <w:rPr>
          <w:rFonts w:hint="eastAsia" w:ascii="宋体" w:hAnsi="宋体"/>
          <w:b/>
          <w:bCs w:val="0"/>
          <w:color w:val="000000"/>
          <w:sz w:val="24"/>
          <w:szCs w:val="24"/>
          <w:highlight w:val="none"/>
        </w:rPr>
        <w:t xml:space="preserve">⑤</w:t>
      </w:r>
      <w:r>
        <w:rPr>
          <w:rFonts w:ascii="宋体" w:hAnsi="宋体"/>
          <w:b/>
          <w:bCs w:val="0"/>
          <w:color w:val="000000"/>
          <w:sz w:val="24"/>
          <w:szCs w:val="24"/>
          <w:highlight w:val="none"/>
        </w:rPr>
        <w:fldChar w:fldCharType="end"/>
      </w:r>
      <w:r>
        <w:rPr>
          <w:rFonts w:ascii="宋体" w:hAnsi="宋体"/>
          <w:b/>
          <w:bCs w:val="0"/>
          <w:color w:val="000000"/>
          <w:sz w:val="24"/>
          <w:szCs w:val="24"/>
          <w:highlight w:val="none"/>
        </w:rPr>
        <w:t xml:space="preserve">夜班补贴</w:t>
      </w:r>
      <w:r>
        <w:rPr>
          <w:rFonts w:hint="eastAsia" w:ascii="宋体" w:hAnsi="宋体"/>
          <w:b/>
          <w:bCs w:val="0"/>
          <w:color w:val="000000"/>
          <w:sz w:val="24"/>
          <w:szCs w:val="24"/>
          <w:highlight w:val="none"/>
        </w:rPr>
        <w:t xml:space="preserve">：</w:t>
      </w:r>
      <w:r>
        <w:rPr>
          <w:rFonts w:ascii="宋体" w:hAnsi="宋体"/>
          <w:b/>
          <w:bCs w:val="0"/>
          <w:color w:val="000000"/>
          <w:sz w:val="24"/>
          <w:szCs w:val="24"/>
          <w:highlight w:val="none"/>
        </w:rPr>
        <w:t xml:space="preserve">本项目部分岗位实行昼夜排班制，全年夜班班次共计3650班次/年。</w:t>
      </w:r>
      <w:r>
        <w:rPr>
          <w:rFonts w:hint="eastAsia" w:ascii="宋体" w:hAnsi="宋体"/>
          <w:b/>
          <w:bCs w:val="0"/>
          <w:color w:val="000000"/>
          <w:sz w:val="24"/>
          <w:szCs w:val="24"/>
          <w:highlight w:val="none"/>
        </w:rPr>
        <w:t xml:space="preserve">供应商应综合考虑</w:t>
      </w:r>
      <w:r>
        <w:rPr>
          <w:rFonts w:ascii="宋体" w:hAnsi="宋体"/>
          <w:b/>
          <w:bCs w:val="0"/>
          <w:color w:val="000000"/>
          <w:sz w:val="24"/>
          <w:szCs w:val="24"/>
          <w:highlight w:val="none"/>
        </w:rPr>
        <w:t xml:space="preserve">夜间工作强度大、作息不规律</w:t>
      </w:r>
      <w:r>
        <w:rPr>
          <w:rFonts w:hint="eastAsia" w:ascii="宋体" w:hAnsi="宋体"/>
          <w:b/>
          <w:bCs w:val="0"/>
          <w:color w:val="000000"/>
          <w:sz w:val="24"/>
          <w:szCs w:val="24"/>
          <w:highlight w:val="none"/>
        </w:rPr>
        <w:t xml:space="preserve">、</w:t>
      </w:r>
      <w:r>
        <w:rPr>
          <w:rFonts w:ascii="宋体" w:hAnsi="宋体"/>
          <w:b/>
          <w:bCs w:val="0"/>
          <w:color w:val="000000"/>
          <w:sz w:val="24"/>
          <w:szCs w:val="24"/>
          <w:highlight w:val="none"/>
        </w:rPr>
        <w:t xml:space="preserve">对夜班岗位辛劳的合理补偿</w:t>
      </w:r>
      <w:r>
        <w:rPr>
          <w:rFonts w:hint="eastAsia" w:ascii="宋体" w:hAnsi="宋体"/>
          <w:b/>
          <w:bCs w:val="0"/>
          <w:color w:val="000000"/>
          <w:sz w:val="24"/>
          <w:szCs w:val="24"/>
          <w:highlight w:val="none"/>
        </w:rPr>
        <w:t xml:space="preserve">、</w:t>
      </w:r>
      <w:r>
        <w:rPr>
          <w:rFonts w:ascii="宋体" w:hAnsi="宋体"/>
          <w:b/>
          <w:bCs w:val="0"/>
          <w:color w:val="000000"/>
          <w:sz w:val="24"/>
          <w:szCs w:val="24"/>
          <w:highlight w:val="none"/>
        </w:rPr>
        <w:t xml:space="preserve">保障导医团队稳定</w:t>
      </w:r>
      <w:r>
        <w:rPr>
          <w:rFonts w:hint="eastAsia" w:ascii="宋体" w:hAnsi="宋体"/>
          <w:b/>
          <w:bCs w:val="0"/>
          <w:color w:val="000000"/>
          <w:sz w:val="24"/>
          <w:szCs w:val="24"/>
          <w:highlight w:val="none"/>
        </w:rPr>
        <w:t xml:space="preserve">等因素</w:t>
      </w:r>
      <w:r>
        <w:rPr>
          <w:rFonts w:ascii="宋体" w:hAnsi="宋体"/>
          <w:b/>
          <w:bCs w:val="0"/>
          <w:color w:val="000000"/>
          <w:sz w:val="24"/>
          <w:szCs w:val="24"/>
          <w:highlight w:val="none"/>
        </w:rPr>
        <w:t xml:space="preserve">，</w:t>
      </w:r>
      <w:r>
        <w:rPr>
          <w:rFonts w:hint="eastAsia" w:ascii="宋体" w:hAnsi="宋体"/>
          <w:b/>
          <w:bCs w:val="0"/>
          <w:color w:val="000000"/>
          <w:sz w:val="24"/>
          <w:szCs w:val="24"/>
          <w:highlight w:val="none"/>
        </w:rPr>
        <w:t xml:space="preserve">合理</w:t>
      </w:r>
      <w:r>
        <w:rPr>
          <w:rFonts w:ascii="宋体" w:hAnsi="宋体"/>
          <w:b/>
          <w:bCs w:val="0"/>
          <w:color w:val="000000"/>
          <w:sz w:val="24"/>
          <w:szCs w:val="24"/>
          <w:highlight w:val="none"/>
        </w:rPr>
        <w:t xml:space="preserve">测算夜班补贴</w:t>
      </w:r>
      <w:r>
        <w:rPr>
          <w:rFonts w:hint="eastAsia" w:ascii="宋体" w:hAnsi="宋体"/>
          <w:b/>
          <w:bCs w:val="0"/>
          <w:color w:val="000000"/>
          <w:sz w:val="24"/>
          <w:szCs w:val="24"/>
          <w:highlight w:val="none"/>
        </w:rPr>
        <w:t xml:space="preserve">并在报价明细中体现</w:t>
      </w:r>
      <w:r>
        <w:rPr>
          <w:rFonts w:ascii="宋体" w:hAnsi="宋体"/>
          <w:b/>
          <w:bCs w:val="0"/>
          <w:color w:val="000000"/>
          <w:sz w:val="24"/>
          <w:szCs w:val="24"/>
          <w:highlight w:val="none"/>
        </w:rPr>
        <w:t xml:space="preserve">。</w:t>
      </w:r>
      <w:r/>
    </w:p>
    <w:p>
      <w:pPr>
        <w:ind w:firstLine="480"/>
        <w:jc w:val="left"/>
        <w:rPr>
          <w:rFonts w:ascii="宋体" w:hAnsi="宋体"/>
          <w:b/>
          <w:bCs w:val="0"/>
          <w:color w:val="000000"/>
          <w:sz w:val="24"/>
          <w:szCs w:val="24"/>
          <w:highlight w:val="none"/>
        </w:rPr>
      </w:pPr>
      <w:r>
        <w:rPr>
          <w:rFonts w:hint="eastAsia" w:ascii="宋体" w:hAnsi="宋体"/>
          <w:b/>
          <w:bCs w:val="0"/>
          <w:color w:val="000000"/>
          <w:sz w:val="24"/>
          <w:szCs w:val="24"/>
          <w:highlight w:val="none"/>
        </w:rPr>
        <w:fldChar w:fldCharType="begin"/>
      </w:r>
      <w:r>
        <w:rPr>
          <w:rFonts w:hint="eastAsia" w:ascii="宋体" w:hAnsi="宋体"/>
          <w:b/>
          <w:bCs w:val="0"/>
          <w:color w:val="000000"/>
          <w:sz w:val="24"/>
          <w:szCs w:val="24"/>
          <w:highlight w:val="none"/>
        </w:rPr>
        <w:instrText xml:space="preserve"> = 6 \* GB3 </w:instrText>
      </w:r>
      <w:r>
        <w:rPr>
          <w:rFonts w:hint="eastAsia" w:ascii="宋体" w:hAnsi="宋体"/>
          <w:b/>
          <w:bCs w:val="0"/>
          <w:color w:val="000000"/>
          <w:sz w:val="24"/>
          <w:szCs w:val="24"/>
          <w:highlight w:val="none"/>
        </w:rPr>
        <w:fldChar w:fldCharType="separate"/>
      </w:r>
      <w:r>
        <w:rPr>
          <w:rFonts w:hint="eastAsia" w:ascii="宋体" w:hAnsi="宋体"/>
          <w:b/>
          <w:bCs w:val="0"/>
          <w:color w:val="000000"/>
          <w:sz w:val="24"/>
          <w:szCs w:val="24"/>
          <w:highlight w:val="none"/>
        </w:rPr>
        <w:t xml:space="preserve">⑥</w:t>
      </w:r>
      <w:r>
        <w:rPr>
          <w:rFonts w:hint="eastAsia" w:ascii="宋体" w:hAnsi="宋体"/>
          <w:b/>
          <w:bCs w:val="0"/>
          <w:color w:val="000000"/>
          <w:sz w:val="24"/>
          <w:szCs w:val="24"/>
          <w:highlight w:val="none"/>
        </w:rPr>
        <w:fldChar w:fldCharType="end"/>
      </w:r>
      <w:r>
        <w:rPr>
          <w:rFonts w:hint="eastAsia" w:ascii="宋体" w:hAnsi="宋体"/>
          <w:b/>
          <w:bCs w:val="0"/>
          <w:color w:val="000000"/>
          <w:sz w:val="24"/>
          <w:szCs w:val="24"/>
          <w:highlight w:val="none"/>
        </w:rPr>
        <w:t xml:space="preserve">社会保险：供应商</w:t>
      </w:r>
      <w:r>
        <w:rPr>
          <w:rFonts w:ascii="宋体" w:hAnsi="宋体"/>
          <w:b/>
          <w:bCs w:val="0"/>
          <w:color w:val="000000"/>
          <w:sz w:val="24"/>
          <w:szCs w:val="24"/>
          <w:highlight w:val="none"/>
        </w:rPr>
        <w:t xml:space="preserve">须严格遵守《中华人民共和国社会保险法》等法律法规，为全部投入本项目的服务人</w:t>
      </w:r>
      <w:r>
        <w:rPr>
          <w:rFonts w:ascii="宋体" w:hAnsi="宋体"/>
          <w:b/>
          <w:bCs w:val="0"/>
          <w:color w:val="000000"/>
          <w:sz w:val="24"/>
          <w:szCs w:val="24"/>
          <w:highlight w:val="none"/>
        </w:rPr>
        <w:t xml:space="preserve">员缴纳养老、工伤、失业、生育及医疗保险。本项目不接受退休返聘等无法缴纳社保的人员参与，若投标报价中包含此类人员成本，视为未实质性响应招标文件并按无效投标处理。供应商应依据省级人社部门现行文件规定的缴费基数下限足额测算并缴纳费用，不得通过降低基数等方式压缩成本；中标结果公示后、合同签订前，供应商须提供拟派人员的花名册、全日制劳动合同及近三个月的社保缴纳证明供采购人核验，未能提供或提供虚假材料的，视为虚假应标，采购人有权取消其中标资格并依法追究责任。报价中的社会保险费用不得低于法定最低标准，否则按无效投标处理。</w:t>
      </w:r>
      <w:r/>
    </w:p>
    <w:p>
      <w:pPr>
        <w:ind w:firstLine="480"/>
        <w:jc w:val="left"/>
        <w:rPr>
          <w:rFonts w:ascii="宋体" w:hAnsi="宋体"/>
          <w:b/>
          <w:bCs w:val="0"/>
          <w:color w:val="000000"/>
          <w:sz w:val="24"/>
          <w:szCs w:val="24"/>
          <w:highlight w:val="none"/>
        </w:rPr>
      </w:pPr>
      <w:r>
        <w:rPr>
          <w:rFonts w:hint="eastAsia" w:ascii="宋体" w:hAnsi="宋体"/>
          <w:b/>
          <w:bCs w:val="0"/>
          <w:color w:val="000000"/>
          <w:sz w:val="24"/>
          <w:szCs w:val="24"/>
          <w:highlight w:val="none"/>
        </w:rPr>
        <w:fldChar w:fldCharType="begin"/>
      </w:r>
      <w:r>
        <w:rPr>
          <w:rFonts w:hint="eastAsia" w:ascii="宋体" w:hAnsi="宋体"/>
          <w:b/>
          <w:bCs w:val="0"/>
          <w:color w:val="000000"/>
          <w:sz w:val="24"/>
          <w:szCs w:val="24"/>
          <w:highlight w:val="none"/>
        </w:rPr>
        <w:instrText xml:space="preserve"> = 7 \* GB3 </w:instrText>
      </w:r>
      <w:r>
        <w:rPr>
          <w:rFonts w:hint="eastAsia" w:ascii="宋体" w:hAnsi="宋体"/>
          <w:b/>
          <w:bCs w:val="0"/>
          <w:color w:val="000000"/>
          <w:sz w:val="24"/>
          <w:szCs w:val="24"/>
          <w:highlight w:val="none"/>
        </w:rPr>
        <w:fldChar w:fldCharType="separate"/>
      </w:r>
      <w:r>
        <w:rPr>
          <w:rFonts w:hint="eastAsia" w:ascii="宋体" w:hAnsi="宋体"/>
          <w:b/>
          <w:bCs w:val="0"/>
          <w:color w:val="000000"/>
          <w:sz w:val="24"/>
          <w:szCs w:val="24"/>
          <w:highlight w:val="none"/>
        </w:rPr>
        <w:t xml:space="preserve">⑦</w:t>
      </w:r>
      <w:r>
        <w:rPr>
          <w:rFonts w:hint="eastAsia" w:ascii="宋体" w:hAnsi="宋体"/>
          <w:b/>
          <w:bCs w:val="0"/>
          <w:color w:val="000000"/>
          <w:sz w:val="24"/>
          <w:szCs w:val="24"/>
          <w:highlight w:val="none"/>
        </w:rPr>
        <w:fldChar w:fldCharType="end"/>
      </w:r>
      <w:r>
        <w:rPr>
          <w:rFonts w:hint="eastAsia" w:ascii="宋体" w:hAnsi="宋体"/>
          <w:b/>
          <w:bCs w:val="0"/>
          <w:color w:val="000000"/>
          <w:sz w:val="24"/>
          <w:szCs w:val="24"/>
          <w:highlight w:val="none"/>
        </w:rPr>
        <w:t xml:space="preserve">公积金：供应商</w:t>
      </w:r>
      <w:r>
        <w:rPr>
          <w:rFonts w:ascii="宋体" w:hAnsi="宋体"/>
          <w:b/>
          <w:bCs w:val="0"/>
          <w:color w:val="000000"/>
          <w:sz w:val="24"/>
          <w:szCs w:val="24"/>
          <w:highlight w:val="none"/>
        </w:rPr>
        <w:t xml:space="preserve">须严格执行《住房公积金管理条例》，为全部投入本项目的服务人员缴存住房公积金，缴存基数不得低于</w:t>
      </w:r>
      <w:r>
        <w:rPr>
          <w:rFonts w:hint="eastAsia" w:ascii="宋体" w:hAnsi="宋体"/>
          <w:b/>
          <w:bCs w:val="0"/>
          <w:color w:val="000000"/>
          <w:sz w:val="24"/>
          <w:szCs w:val="24"/>
          <w:highlight w:val="none"/>
        </w:rPr>
        <w:t xml:space="preserve">南京</w:t>
      </w:r>
      <w:r>
        <w:rPr>
          <w:rFonts w:ascii="宋体" w:hAnsi="宋体"/>
          <w:b/>
          <w:bCs w:val="0"/>
          <w:color w:val="000000"/>
          <w:sz w:val="24"/>
          <w:szCs w:val="24"/>
          <w:highlight w:val="none"/>
        </w:rPr>
        <w:t xml:space="preserve">市相关规定。根据省级人社部门文件规定，最低工资标准不包含劳动者按下限缴存的住房公积金，该部分费用应由用人单位另行支付，并足额纳入投标报价的公积金项中，否则按无效投标处理。供应商报价中的住房公积金费用测算不得低于法定缴存标准，否则视为未实质性响应招标文件，按无效投标处理。</w:t>
      </w:r>
      <w:r/>
    </w:p>
    <w:p>
      <w:pPr>
        <w:ind w:firstLine="480"/>
        <w:jc w:val="left"/>
        <w:rPr>
          <w:rFonts w:ascii="宋体" w:hAnsi="宋体"/>
          <w:bCs/>
          <w:color w:val="000000"/>
          <w:sz w:val="24"/>
          <w:szCs w:val="24"/>
          <w:highlight w:val="none"/>
        </w:rPr>
      </w:pPr>
      <w:r>
        <w:rPr>
          <w:rFonts w:hint="eastAsia" w:ascii="宋体" w:hAnsi="宋体"/>
          <w:b/>
          <w:bCs w:val="0"/>
          <w:color w:val="000000"/>
          <w:sz w:val="24"/>
          <w:szCs w:val="24"/>
          <w:highlight w:val="none"/>
        </w:rPr>
        <w:fldChar w:fldCharType="begin"/>
      </w:r>
      <w:r>
        <w:rPr>
          <w:rFonts w:hint="eastAsia" w:ascii="宋体" w:hAnsi="宋体"/>
          <w:b/>
          <w:bCs w:val="0"/>
          <w:color w:val="000000"/>
          <w:sz w:val="24"/>
          <w:szCs w:val="24"/>
          <w:highlight w:val="none"/>
        </w:rPr>
        <w:instrText xml:space="preserve"> = 8 \* GB3 </w:instrText>
      </w:r>
      <w:r>
        <w:rPr>
          <w:rFonts w:hint="eastAsia" w:ascii="宋体" w:hAnsi="宋体"/>
          <w:b/>
          <w:bCs w:val="0"/>
          <w:color w:val="000000"/>
          <w:sz w:val="24"/>
          <w:szCs w:val="24"/>
          <w:highlight w:val="none"/>
        </w:rPr>
        <w:fldChar w:fldCharType="separate"/>
      </w:r>
      <w:r>
        <w:rPr>
          <w:rFonts w:hint="eastAsia" w:ascii="宋体" w:hAnsi="宋体"/>
          <w:b/>
          <w:bCs w:val="0"/>
          <w:color w:val="000000"/>
          <w:sz w:val="24"/>
          <w:szCs w:val="24"/>
          <w:highlight w:val="none"/>
        </w:rPr>
        <w:t xml:space="preserve">⑧</w:t>
      </w:r>
      <w:r>
        <w:rPr>
          <w:rFonts w:hint="eastAsia" w:ascii="宋体" w:hAnsi="宋体"/>
          <w:b/>
          <w:bCs w:val="0"/>
          <w:color w:val="000000"/>
          <w:sz w:val="24"/>
          <w:szCs w:val="24"/>
          <w:highlight w:val="none"/>
        </w:rPr>
        <w:fldChar w:fldCharType="end"/>
      </w:r>
      <w:r>
        <w:rPr>
          <w:rFonts w:hint="eastAsia" w:ascii="宋体" w:hAnsi="宋体"/>
          <w:b/>
          <w:bCs w:val="0"/>
          <w:color w:val="000000"/>
          <w:sz w:val="24"/>
          <w:szCs w:val="24"/>
          <w:highlight w:val="none"/>
        </w:rPr>
        <w:t xml:space="preserve">服装费用：</w:t>
      </w:r>
      <w:r>
        <w:rPr>
          <w:rFonts w:ascii="宋体" w:hAnsi="宋体"/>
          <w:b/>
          <w:bCs w:val="0"/>
          <w:color w:val="000000"/>
          <w:sz w:val="24"/>
          <w:szCs w:val="24"/>
          <w:highlight w:val="none"/>
        </w:rPr>
        <w:t xml:space="preserve">本项目实行统一着装管理，</w:t>
      </w:r>
      <w:r>
        <w:rPr>
          <w:rFonts w:hint="eastAsia" w:ascii="宋体" w:hAnsi="宋体"/>
          <w:b/>
          <w:bCs w:val="0"/>
          <w:color w:val="000000"/>
          <w:sz w:val="24"/>
          <w:szCs w:val="24"/>
          <w:highlight w:val="none"/>
        </w:rPr>
        <w:t xml:space="preserve">供应商</w:t>
      </w:r>
      <w:r>
        <w:rPr>
          <w:rFonts w:ascii="宋体" w:hAnsi="宋体"/>
          <w:b/>
          <w:bCs w:val="0"/>
          <w:color w:val="000000"/>
          <w:sz w:val="24"/>
          <w:szCs w:val="24"/>
          <w:highlight w:val="none"/>
        </w:rPr>
        <w:t xml:space="preserve">须为所有派驻导医提供款式、颜色及标识符合医院整体形象的春/秋装、夏装、冬装，并详细说明面料、款式及配置标准；服装费用采用一次性按年包干报价，须涵盖合同期内所有导医人员的首配、季节性更换、破损增补及人员流动产生的服装重置费用。供应商须在</w:t>
      </w:r>
      <w:r>
        <w:rPr>
          <w:rFonts w:hint="eastAsia" w:ascii="宋体" w:hAnsi="宋体" w:cs="宋体"/>
          <w:b/>
          <w:bCs w:val="0"/>
          <w:color w:val="000000"/>
          <w:sz w:val="24"/>
          <w:szCs w:val="24"/>
          <w:highlight w:val="none"/>
        </w:rPr>
        <w:t xml:space="preserve">《投标分项报价表》（格式见第六章）</w:t>
      </w:r>
      <w:r>
        <w:rPr>
          <w:rFonts w:ascii="宋体" w:hAnsi="宋体"/>
          <w:b/>
          <w:bCs w:val="0"/>
          <w:color w:val="000000"/>
          <w:sz w:val="24"/>
          <w:szCs w:val="24"/>
          <w:highlight w:val="none"/>
        </w:rPr>
        <w:t xml:space="preserve">单列此项费用，并合同期内</w:t>
      </w:r>
      <w:r>
        <w:rPr>
          <w:rFonts w:hint="eastAsia" w:ascii="宋体" w:hAnsi="宋体"/>
          <w:b/>
          <w:bCs w:val="0"/>
          <w:color w:val="000000"/>
          <w:sz w:val="24"/>
          <w:szCs w:val="24"/>
          <w:highlight w:val="none"/>
          <w:lang w:val="en-US" w:eastAsia="zh-CN"/>
        </w:rPr>
        <w:t xml:space="preserve">无论</w:t>
      </w:r>
      <w:r>
        <w:rPr>
          <w:rFonts w:ascii="宋体" w:hAnsi="宋体"/>
          <w:b/>
          <w:bCs w:val="0"/>
          <w:color w:val="000000"/>
          <w:sz w:val="24"/>
          <w:szCs w:val="24"/>
          <w:highlight w:val="none"/>
        </w:rPr>
        <w:t xml:space="preserve">人员如何变动或市场价格如何波动，采购人均不另行支付任何费用，未按要求报价或承诺的视为无效报价。</w:t>
      </w:r>
      <w:r>
        <w:rPr>
          <w:rFonts w:ascii="宋体" w:hAnsi="宋体"/>
          <w:bCs/>
          <w:color w:val="000000"/>
          <w:sz w:val="24"/>
          <w:szCs w:val="24"/>
          <w:highlight w:val="none"/>
        </w:rPr>
        <w:t xml:space="preserve"> </w:t>
      </w:r>
      <w:r/>
    </w:p>
    <w:p>
      <w:pPr>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fldChar w:fldCharType="begin"/>
      </w:r>
      <w:r>
        <w:rPr>
          <w:rFonts w:hint="eastAsia" w:ascii="宋体" w:hAnsi="宋体"/>
          <w:bCs/>
          <w:color w:val="000000"/>
          <w:sz w:val="24"/>
          <w:szCs w:val="24"/>
          <w:highlight w:val="none"/>
        </w:rPr>
        <w:instrText xml:space="preserve"> = 9 \* GB3 </w:instrText>
      </w:r>
      <w:r>
        <w:rPr>
          <w:rFonts w:hint="eastAsia" w:ascii="宋体" w:hAnsi="宋体"/>
          <w:bCs/>
          <w:color w:val="000000"/>
          <w:sz w:val="24"/>
          <w:szCs w:val="24"/>
          <w:highlight w:val="none"/>
        </w:rPr>
        <w:fldChar w:fldCharType="separate"/>
      </w:r>
      <w:r>
        <w:rPr>
          <w:rFonts w:hint="eastAsia" w:ascii="宋体" w:hAnsi="宋体"/>
          <w:bCs/>
          <w:color w:val="000000"/>
          <w:sz w:val="24"/>
          <w:szCs w:val="24"/>
          <w:highlight w:val="none"/>
        </w:rPr>
        <w:t xml:space="preserve">⑨</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其他费用：供应商认为完成本项目导医管理服务可能产生的其他相关费用，如管理费、税费、利润等。</w:t>
      </w:r>
      <w:r/>
    </w:p>
    <w:p>
      <w:pPr>
        <w:ind w:firstLine="482"/>
        <w:jc w:val="left"/>
        <w:spacing w:after="0"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⑩上述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最低工资标准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社保缴费基数下限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公积金缴存基数下限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p>
    <w:p>
      <w:pPr>
        <w:ind w:firstLine="482"/>
        <w:jc w:val="left"/>
        <w:spacing w:after="0" w:line="240" w:lineRule="auto"/>
        <w:rPr>
          <w:rFonts w:hint="eastAsia" w:ascii="宋体" w:hAnsi="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w:t>
      </w:r>
      <w:r>
        <w:rPr>
          <w:rFonts w:hint="eastAsia" w:ascii="宋体" w:hAnsi="宋体" w:eastAsia="宋体" w:cs="宋体"/>
          <w:b/>
          <w:bCs/>
          <w:color w:val="000000"/>
          <w:sz w:val="24"/>
          <w:szCs w:val="24"/>
          <w:highlight w:val="none"/>
          <w:lang w:val="en-US" w:eastAsia="zh-CN"/>
        </w:rPr>
        <w:t xml:space="preserve">首年度合同金额不作调整，后续合同履行期间</w:t>
      </w:r>
      <w:r>
        <w:rPr>
          <w:rFonts w:hint="eastAsia" w:ascii="宋体" w:hAnsi="宋体" w:eastAsia="宋体" w:cs="宋体"/>
          <w:b/>
          <w:bCs/>
          <w:color w:val="000000"/>
          <w:sz w:val="24"/>
          <w:szCs w:val="24"/>
          <w:highlight w:val="none"/>
        </w:rPr>
        <w:t xml:space="preserve">可以与采购人协商，由采购人按协商意见承担相关费用。</w:t>
      </w:r>
      <w:r/>
    </w:p>
    <w:p>
      <w:pPr>
        <w:ind w:firstLine="480"/>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
          <w:bCs w:val="0"/>
          <w:color w:val="000000"/>
          <w:sz w:val="24"/>
          <w:szCs w:val="24"/>
          <w:highlight w:val="none"/>
        </w:rPr>
        <w:t xml:space="preserve">供应商须在《人工成本报价明细表》中按照采购需求中的导医人员（普通员工127人、导医主管2人、导医经理1人），分别按数量填报</w:t>
      </w:r>
      <w:bookmarkStart w:id="192" w:name="OLE_LINK1"/>
      <w:r>
        <w:rPr>
          <w:rFonts w:hint="eastAsia" w:ascii="宋体" w:hAnsi="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基本工资</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岗位津贴</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社会保险</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公积金</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费用</w:t>
      </w:r>
      <w:bookmarkEnd w:id="192"/>
      <w:r>
        <w:rPr>
          <w:rFonts w:hint="eastAsia" w:ascii="宋体" w:hAnsi="宋体"/>
          <w:b/>
          <w:bCs w:val="0"/>
          <w:color w:val="000000"/>
          <w:sz w:val="24"/>
          <w:szCs w:val="24"/>
          <w:highlight w:val="none"/>
        </w:rPr>
        <w:t xml:space="preserve">，否则做无效投标处理。</w:t>
      </w:r>
      <w:r>
        <w:rPr>
          <w:rFonts w:ascii="宋体" w:hAnsi="宋体"/>
          <w:b/>
          <w:bCs w:val="0"/>
          <w:color w:val="000000"/>
          <w:sz w:val="24"/>
          <w:szCs w:val="24"/>
          <w:highlight w:val="none"/>
        </w:rPr>
        <w:t xml:space="preserve"> </w:t>
      </w:r>
      <w:r/>
    </w:p>
    <w:p>
      <w:pPr>
        <w:ind w:firstLine="480"/>
        <w:jc w:val="left"/>
        <w:rPr>
          <w:color w:val="000000"/>
          <w:highlight w:val="none"/>
        </w:rPr>
      </w:pPr>
      <w:r>
        <w:rPr>
          <w:rFonts w:hint="eastAsia" w:ascii="宋体" w:hAnsi="宋体" w:cs="宋体"/>
          <w:color w:val="000000"/>
          <w:sz w:val="24"/>
          <w:szCs w:val="24"/>
          <w:highlight w:val="none"/>
        </w:rPr>
        <w:t xml:space="preserve">（3）供应商未按</w:t>
      </w:r>
      <w:r>
        <w:rPr>
          <w:rFonts w:ascii="宋体" w:hAnsi="宋体" w:cs="宋体"/>
          <w:color w:val="000000"/>
          <w:sz w:val="24"/>
          <w:szCs w:val="24"/>
          <w:highlight w:val="none"/>
        </w:rPr>
        <w:t xml:space="preserve">政策</w:t>
      </w:r>
      <w:r>
        <w:rPr>
          <w:rFonts w:hint="eastAsia" w:ascii="宋体" w:hAnsi="宋体" w:cs="宋体"/>
          <w:color w:val="000000"/>
          <w:sz w:val="24"/>
          <w:szCs w:val="24"/>
          <w:highlight w:val="none"/>
        </w:rPr>
        <w:t xml:space="preserve">规定</w:t>
      </w:r>
      <w:r>
        <w:rPr>
          <w:rFonts w:ascii="宋体" w:hAnsi="宋体" w:cs="宋体"/>
          <w:color w:val="000000"/>
          <w:sz w:val="24"/>
          <w:szCs w:val="24"/>
          <w:highlight w:val="none"/>
        </w:rPr>
        <w:t xml:space="preserve">报价</w:t>
      </w:r>
      <w:r>
        <w:rPr>
          <w:rFonts w:hint="eastAsia" w:ascii="宋体" w:hAnsi="宋体" w:cs="宋体"/>
          <w:color w:val="000000"/>
          <w:sz w:val="24"/>
          <w:szCs w:val="24"/>
          <w:highlight w:val="none"/>
        </w:rPr>
        <w:t xml:space="preserve">或者</w:t>
      </w:r>
      <w:r>
        <w:rPr>
          <w:rFonts w:ascii="宋体" w:hAnsi="宋体" w:cs="宋体"/>
          <w:color w:val="000000"/>
          <w:sz w:val="24"/>
          <w:szCs w:val="24"/>
          <w:highlight w:val="none"/>
        </w:rPr>
        <w:t xml:space="preserve">报价为“零”</w:t>
      </w:r>
      <w:r>
        <w:rPr>
          <w:rFonts w:hint="eastAsia" w:ascii="宋体" w:hAnsi="宋体" w:cs="宋体"/>
          <w:color w:val="000000"/>
          <w:sz w:val="24"/>
          <w:szCs w:val="24"/>
          <w:highlight w:val="none"/>
        </w:rPr>
        <w:t xml:space="preserve">或负数的</w:t>
      </w:r>
      <w:r>
        <w:rPr>
          <w:rFonts w:ascii="宋体" w:hAnsi="宋体" w:cs="宋体"/>
          <w:color w:val="000000"/>
          <w:sz w:val="24"/>
          <w:szCs w:val="24"/>
          <w:highlight w:val="none"/>
        </w:rPr>
        <w:t xml:space="preserve">，按无效投标处理。因</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疏忽、计算错误</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导致报价表中数据错误</w:t>
      </w:r>
      <w:r>
        <w:rPr>
          <w:rFonts w:hint="eastAsia" w:ascii="宋体" w:hAnsi="宋体" w:cs="宋体"/>
          <w:color w:val="000000"/>
          <w:sz w:val="24"/>
          <w:szCs w:val="24"/>
          <w:highlight w:val="none"/>
        </w:rPr>
        <w:t xml:space="preserve">或</w:t>
      </w:r>
      <w:r>
        <w:rPr>
          <w:rFonts w:ascii="宋体" w:hAnsi="宋体" w:cs="宋体"/>
          <w:color w:val="000000"/>
          <w:sz w:val="24"/>
          <w:szCs w:val="24"/>
          <w:highlight w:val="none"/>
        </w:rPr>
        <w:t xml:space="preserve">缺漏的，</w:t>
      </w:r>
      <w:r>
        <w:rPr>
          <w:rFonts w:hint="eastAsia" w:ascii="宋体" w:hAnsi="宋体" w:cs="宋体"/>
          <w:color w:val="000000"/>
          <w:sz w:val="24"/>
          <w:szCs w:val="24"/>
          <w:highlight w:val="none"/>
        </w:rPr>
        <w:t xml:space="preserve">自行</w:t>
      </w:r>
      <w:r>
        <w:rPr>
          <w:rFonts w:ascii="宋体" w:hAnsi="宋体" w:cs="宋体"/>
          <w:color w:val="000000"/>
          <w:sz w:val="24"/>
          <w:szCs w:val="24"/>
          <w:highlight w:val="none"/>
        </w:rPr>
        <w:t xml:space="preserve">承担相应责任。</w:t>
      </w:r>
      <w:r/>
    </w:p>
    <w:p>
      <w:pPr>
        <w:ind w:firstLine="480"/>
        <w:jc w:val="left"/>
        <w:rPr>
          <w:rFonts w:hint="eastAsia" w:ascii="宋体" w:hAnsi="宋体"/>
          <w:color w:val="000000"/>
          <w:sz w:val="24"/>
          <w:szCs w:val="24"/>
          <w:highlight w:val="none"/>
        </w:rPr>
      </w:pPr>
      <w:r>
        <w:rPr>
          <w:rFonts w:hint="eastAsia" w:ascii="宋体" w:hAnsi="宋体" w:cs="宋体"/>
          <w:color w:val="000000"/>
          <w:sz w:val="24"/>
          <w:szCs w:val="24"/>
          <w:highlight w:val="none"/>
        </w:rPr>
        <w:t xml:space="preserve">（4）法律法规、政策文件有更新或另有规定的，从其规定。</w:t>
      </w:r>
      <w:r/>
    </w:p>
    <w:p>
      <w:pPr>
        <w:ind w:firstLine="480"/>
        <w:jc w:val="left"/>
        <w:rPr>
          <w:rFonts w:hint="eastAsia" w:ascii="宋体" w:hAnsi="宋体"/>
          <w:color w:val="000000"/>
          <w:sz w:val="24"/>
          <w:szCs w:val="24"/>
          <w:highlight w:val="none"/>
        </w:rPr>
      </w:pPr>
      <w:r>
        <w:rPr>
          <w:rFonts w:hint="eastAsia" w:ascii="宋体" w:hAnsi="宋体" w:cs="宋体"/>
          <w:color w:val="000000"/>
          <w:sz w:val="24"/>
          <w:szCs w:val="24"/>
          <w:highlight w:val="none"/>
        </w:rPr>
        <w:t xml:space="preserve">（5）供应商须出具专项承诺</w:t>
      </w:r>
      <w:r>
        <w:rPr>
          <w:rFonts w:hint="eastAsia" w:ascii="宋体" w:hAnsi="宋体" w:cs="宋体"/>
          <w:b/>
          <w:bCs/>
          <w:color w:val="000000"/>
          <w:sz w:val="24"/>
          <w:szCs w:val="24"/>
          <w:highlight w:val="none"/>
        </w:rPr>
        <w:t xml:space="preserve">（提供《报价专项承诺函》，格式自拟）</w:t>
      </w:r>
      <w:r>
        <w:rPr>
          <w:rFonts w:hint="eastAsia" w:ascii="宋体" w:hAnsi="宋体" w:cs="宋体"/>
          <w:color w:val="000000"/>
          <w:sz w:val="24"/>
          <w:szCs w:val="24"/>
          <w:highlight w:val="none"/>
        </w:rPr>
        <w:t xml:space="preserve">：投标报价已足额预算人员全部薪资费用（包括但不限于基本工资、岗位津贴、法定及休息日加班费、夜班补贴等）。供应商必须依法足额发放上述薪资，严禁截留或拖欠，并配合采购人的全流程监管与考核。若未履行承诺，采购人将依约行使扣款及追究违约责任的权利。</w:t>
      </w:r>
      <w:r>
        <w:rPr>
          <w:rFonts w:hint="eastAsia" w:ascii="宋体" w:hAnsi="宋体" w:cs="宋体"/>
          <w:b/>
          <w:bCs/>
          <w:color w:val="000000"/>
          <w:sz w:val="24"/>
          <w:szCs w:val="24"/>
          <w:highlight w:val="none"/>
        </w:rPr>
        <w:t xml:space="preserve">《报价专项承诺函》为投标文件的必备组成部分，缺失将导致投标无效。</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2.付款条件</w:t>
      </w:r>
      <w:r/>
    </w:p>
    <w:p>
      <w:pPr>
        <w:ind w:firstLine="480"/>
        <w:spacing w:line="288"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（1）</w:t>
      </w: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本项目采购结算费用采用包干制的形式，并对采购人的工作规律、以及发生紧急事件需要延长工作时间等作出充分必要的估计，对合同期内社会物价水平波动、劳动力价格波动作出充分必要的估计，供应商在中标后对此提出的增加费用的要求一概不予接受。</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3.服务时间和地点</w:t>
      </w:r>
      <w:r/>
    </w:p>
    <w:p>
      <w:pPr>
        <w:ind w:firstLine="420"/>
        <w:rPr>
          <w:rFonts w:hint="eastAsia" w:ascii="宋体" w:hAnsi="宋体"/>
          <w:color w:val="000000"/>
          <w:sz w:val="24"/>
          <w:szCs w:val="24"/>
          <w:highlight w:val="none"/>
        </w:rPr>
      </w:pPr>
      <w:r>
        <w:rPr>
          <w:rFonts w:hint="eastAsia" w:ascii="宋体" w:hAnsi="宋体" w:cs="宋体"/>
          <w:color w:val="000000"/>
          <w:sz w:val="24"/>
          <w:szCs w:val="24"/>
          <w:highlight w:val="none"/>
        </w:rPr>
        <w:t xml:space="preserve">（1）服务期限：</w:t>
      </w:r>
      <w:r>
        <w:rPr>
          <w:rFonts w:hint="eastAsia" w:ascii="宋体" w:hAnsi="宋体" w:eastAsia="宋体" w:cs="Times New Roman"/>
          <w:color w:val="000000"/>
          <w:sz w:val="24"/>
          <w:szCs w:val="24"/>
          <w:highlight w:val="none"/>
          <w:lang w:val="en-US" w:eastAsia="zh-CN"/>
        </w:rPr>
        <w:t xml:space="preserve">服务期3年，合同一年一签，每年考核合格后续签下一年度合同。</w:t>
      </w:r>
      <w:r>
        <w:rPr>
          <w:rFonts w:hint="eastAsia" w:ascii="宋体" w:hAnsi="宋体"/>
          <w:color w:val="000000"/>
          <w:sz w:val="24"/>
          <w:szCs w:val="24"/>
          <w:highlight w:val="none"/>
        </w:rPr>
        <w:t xml:space="preserve">每年服务期满，采购人有权根据预算调整或考核情况决定继续履行合同（可能根据预算调整压缩合同金额）或终止合同。</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（2）服务地点：采购人指定地点。</w:t>
      </w:r>
      <w:r/>
    </w:p>
    <w:p>
      <w:pPr>
        <w:ind w:firstLine="480"/>
        <w:jc w:val="left"/>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4.考核要求</w:t>
      </w:r>
      <w:r/>
    </w:p>
    <w:p>
      <w:pPr>
        <w:ind w:firstLine="480"/>
        <w:jc w:val="center"/>
        <w:spacing w:line="260" w:lineRule="auto"/>
        <w:rPr>
          <w:rFonts w:hint="eastAsia" w:ascii="宋体" w:hAnsi="宋体"/>
          <w:b/>
          <w:bCs/>
          <w:color w:val="000000"/>
          <w:sz w:val="24"/>
          <w:szCs w:val="24"/>
          <w:highlight w:val="none"/>
        </w:rPr>
      </w:pPr>
      <w:r/>
      <w:bookmarkStart w:id="193" w:name="_Hlk143586284"/>
      <w:r>
        <w:rPr>
          <w:rFonts w:hint="eastAsia" w:ascii="宋体" w:hAnsi="宋体"/>
          <w:b/>
          <w:bCs/>
          <w:color w:val="000000"/>
          <w:sz w:val="24"/>
          <w:szCs w:val="24"/>
          <w:highlight w:val="none"/>
        </w:rPr>
        <w:t xml:space="preserve">南京市儿童医院门急诊导医考核办法</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4.1考核目的：</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不断提升医院导医团队综合服务质量，促进整体服务效果，达到有效补充临床力量、协助临床为患儿提供优质的医疗服务的目的。</w:t>
      </w:r>
      <w:r/>
    </w:p>
    <w:p>
      <w:pPr>
        <w:pStyle w:val="1216"/>
        <w:ind w:left="354"/>
        <w:spacing w:line="360" w:lineRule="auto"/>
        <w:rPr>
          <w:rFonts w:hint="eastAsia" w:ascii="宋体" w:hAnsi="宋体"/>
          <w:b/>
          <w:bCs/>
          <w:color w:val="000000"/>
          <w:highlight w:val="none"/>
          <w:lang w:eastAsia="zh-CN"/>
        </w:rPr>
      </w:pPr>
      <w:r>
        <w:rPr>
          <w:rFonts w:hint="eastAsia" w:ascii="宋体" w:hAnsi="宋体"/>
          <w:b/>
          <w:bCs/>
          <w:color w:val="000000"/>
          <w:highlight w:val="none"/>
          <w:lang w:eastAsia="zh-CN"/>
        </w:rPr>
        <w:t xml:space="preserve">4.2考核小组组</w:t>
      </w:r>
      <w:r>
        <w:rPr>
          <w:rFonts w:hint="eastAsia" w:ascii="宋体" w:hAnsi="宋体" w:cs="MS Gothic"/>
          <w:b/>
          <w:bCs/>
          <w:color w:val="000000"/>
          <w:highlight w:val="none"/>
          <w:lang w:eastAsia="zh-CN"/>
        </w:rPr>
        <w:t xml:space="preserve">成及</w:t>
      </w:r>
      <w:r>
        <w:rPr>
          <w:rFonts w:hint="eastAsia" w:ascii="宋体" w:hAnsi="宋体"/>
          <w:b/>
          <w:bCs/>
          <w:color w:val="000000"/>
          <w:highlight w:val="none"/>
          <w:lang w:eastAsia="zh-CN"/>
        </w:rPr>
        <w:t xml:space="preserve">职责</w:t>
      </w:r>
      <w:r>
        <w:rPr>
          <w:rFonts w:hint="eastAsia" w:ascii="宋体" w:hAnsi="宋体" w:cs="MS Gothic"/>
          <w:b/>
          <w:bCs/>
          <w:color w:val="000000"/>
          <w:highlight w:val="none"/>
          <w:lang w:eastAsia="zh-CN"/>
        </w:rPr>
        <w:t xml:space="preserve">：</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门急诊导医服务考核小组由医院组织人事处、行风办、门诊部（含急诊科）、用人科室四个部分组成。</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个部分中组织人事处、行风办、门诊部（含急诊科）负责监督、指导门急诊导医服务工作，制定考核方案和评价指标，考核频次并审定考核结果，也可根据具体情况做阶段性评价，每年3-4次。用人科室含门急诊相关单元、药学部、检验科、放射科、功能检查科等部门共同组成，负责日常导医服务工作的每月评价，每月1次。</w:t>
      </w:r>
      <w:r/>
    </w:p>
    <w:p>
      <w:pPr>
        <w:pStyle w:val="1216"/>
        <w:ind w:left="0" w:firstLine="241"/>
        <w:spacing w:line="360" w:lineRule="auto"/>
        <w:rPr>
          <w:rFonts w:hint="eastAsia" w:ascii="宋体" w:hAnsi="宋体"/>
          <w:b/>
          <w:color w:val="000000"/>
          <w:highlight w:val="none"/>
          <w:lang w:eastAsia="zh-CN"/>
        </w:rPr>
      </w:pPr>
      <w:r>
        <w:rPr>
          <w:rFonts w:hint="eastAsia" w:ascii="宋体" w:hAnsi="宋体"/>
          <w:b/>
          <w:color w:val="000000"/>
          <w:highlight w:val="none"/>
          <w:lang w:eastAsia="zh-CN"/>
        </w:rPr>
        <w:t xml:space="preserve">4.3考核结</w:t>
      </w:r>
      <w:r>
        <w:rPr>
          <w:rFonts w:hint="eastAsia" w:ascii="宋体" w:hAnsi="宋体" w:cs="MS Gothic"/>
          <w:b/>
          <w:color w:val="000000"/>
          <w:highlight w:val="none"/>
          <w:lang w:eastAsia="zh-CN"/>
        </w:rPr>
        <w:t xml:space="preserve">果使用：</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导医服务考核小组考核意见与导医服务考核结果挂钩。每月评价作为日常结算依据权重按每月考核方案确定；阶段性评价作为年度考核、人员增减、合同续签等情况的主要依据，权重分配为用人科室占25%，组织人事处、行风办、门诊部（含急诊科）各占25%。</w:t>
      </w:r>
      <w:r/>
    </w:p>
    <w:p>
      <w:pPr>
        <w:pStyle w:val="1216"/>
        <w:ind w:left="0" w:firstLine="241"/>
        <w:spacing w:line="360" w:lineRule="auto"/>
        <w:rPr>
          <w:rFonts w:hint="eastAsia" w:ascii="宋体" w:hAnsi="宋体"/>
          <w:b/>
          <w:bCs/>
          <w:color w:val="000000"/>
          <w:highlight w:val="none"/>
          <w:lang w:eastAsia="zh-CN"/>
        </w:rPr>
      </w:pPr>
      <w:r>
        <w:rPr>
          <w:rFonts w:hint="eastAsia" w:ascii="宋体" w:hAnsi="宋体"/>
          <w:b/>
          <w:bCs/>
          <w:color w:val="000000"/>
          <w:highlight w:val="none"/>
          <w:lang w:eastAsia="zh-CN"/>
        </w:rPr>
        <w:t xml:space="preserve">4.4月考核方案</w:t>
      </w:r>
      <w:r/>
    </w:p>
    <w:p>
      <w:pPr>
        <w:numPr>
          <w:ilvl w:val="0"/>
          <w:numId w:val="7"/>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每月下旬分别在广州路院区及河西院区由门诊部随机发放数量不少于50%《导医服务质量考核表》到导医所服务的各岗位负责人及考核小组成员，由其逐项打分；</w:t>
      </w:r>
      <w:r/>
    </w:p>
    <w:p>
      <w:pPr>
        <w:numPr>
          <w:ilvl w:val="0"/>
          <w:numId w:val="7"/>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门诊部根据各点汇总的《导医服务质量考核表》及平时考察考核的结果，在《医院院方对服务外包公司考核表》逐项打分；</w:t>
      </w:r>
      <w:r/>
    </w:p>
    <w:p>
      <w:pPr>
        <w:numPr>
          <w:ilvl w:val="0"/>
          <w:numId w:val="7"/>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汇总考核分数后门诊部打分占比50%，各科室打分占比50%进行加权计算。得分对照下表产生当月服务质量系数。</w:t>
      </w:r>
      <w:r/>
    </w:p>
    <w:tbl>
      <w:tblPr>
        <w:tblStyle w:val="89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29" w:type="dxa"/>
          <w:right w:w="108" w:type="dxa"/>
          <w:bottom w:w="29" w:type="dxa"/>
        </w:tblCellMar>
        <w:tblLook w:val="04A0" w:firstRow="1" w:lastRow="0" w:firstColumn="1" w:lastColumn="0" w:noHBand="0" w:noVBand="1"/>
      </w:tblPr>
      <w:tblGrid>
        <w:gridCol w:w="926"/>
        <w:gridCol w:w="3154"/>
        <w:gridCol w:w="5252"/>
      </w:tblGrid>
      <w:tr>
        <w:trPr>
          <w:jc w:val="center"/>
          <w:trHeight w:val="708"/>
          <w:tblHeader/>
        </w:trPr>
        <w:tc>
          <w:tcPr>
            <w:tcW w:w="496"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序号</w:t>
            </w:r>
            <w:r/>
          </w:p>
        </w:tc>
        <w:tc>
          <w:tcPr>
            <w:tcW w:w="1689"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客户满意度得分</w:t>
            </w:r>
            <w:r/>
          </w:p>
        </w:tc>
        <w:tc>
          <w:tcPr>
            <w:tcW w:w="2813"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月度服务质量系数</w:t>
            </w:r>
            <w:r/>
          </w:p>
        </w:tc>
      </w:tr>
      <w:tr>
        <w:trPr>
          <w:jc w:val="center"/>
          <w:trHeight w:val="188"/>
        </w:trPr>
        <w:tc>
          <w:tcPr>
            <w:shd w:val="clear" w:color="auto" w:fill="f2f2f2"/>
            <w:tcW w:w="496"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1</w:t>
            </w:r>
            <w:r/>
          </w:p>
        </w:tc>
        <w:tc>
          <w:tcPr>
            <w:shd w:val="clear" w:color="auto" w:fill="f2f2f2"/>
            <w:tcW w:w="1689"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&lt;75分</w:t>
            </w:r>
            <w:r/>
          </w:p>
        </w:tc>
        <w:tc>
          <w:tcPr>
            <w:shd w:val="clear" w:color="auto" w:fill="f2f2f2"/>
            <w:tcW w:w="2813"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0.98</w:t>
            </w:r>
            <w:r/>
          </w:p>
        </w:tc>
      </w:tr>
      <w:tr>
        <w:trPr>
          <w:jc w:val="center"/>
          <w:trHeight w:val="254"/>
        </w:trPr>
        <w:tc>
          <w:tcPr>
            <w:tcW w:w="496"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2</w:t>
            </w:r>
            <w:r/>
          </w:p>
        </w:tc>
        <w:tc>
          <w:tcPr>
            <w:tcW w:w="1689"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75-84分</w:t>
            </w:r>
            <w:r/>
          </w:p>
        </w:tc>
        <w:tc>
          <w:tcPr>
            <w:tcW w:w="2813"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0.99</w:t>
            </w:r>
            <w:r/>
          </w:p>
        </w:tc>
      </w:tr>
      <w:tr>
        <w:trPr>
          <w:jc w:val="center"/>
          <w:trHeight w:val="24"/>
        </w:trPr>
        <w:tc>
          <w:tcPr>
            <w:shd w:val="clear" w:color="auto" w:fill="f2f2f2"/>
            <w:tcW w:w="496"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3</w:t>
            </w:r>
            <w:r/>
          </w:p>
        </w:tc>
        <w:tc>
          <w:tcPr>
            <w:shd w:val="clear" w:color="auto" w:fill="f2f2f2"/>
            <w:tcW w:w="1689"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≥85分</w:t>
            </w:r>
            <w:r/>
          </w:p>
        </w:tc>
        <w:tc>
          <w:tcPr>
            <w:shd w:val="clear" w:color="auto" w:fill="f2f2f2"/>
            <w:tcW w:w="2813" w:type="dxa"/>
            <w:vAlign w:val="center"/>
            <w:textDirection w:val="lrTb"/>
            <w:noWrap w:val="false"/>
          </w:tcPr>
          <w:p>
            <w:pPr>
              <w:pStyle w:val="1216"/>
              <w:ind w:left="0"/>
              <w:jc w:val="center"/>
              <w:spacing w:line="360" w:lineRule="auto"/>
              <w:rPr>
                <w:rFonts w:hint="eastAsia" w:ascii="宋体" w:hAnsi="宋体"/>
                <w:color w:val="000000"/>
                <w:highlight w:val="none"/>
              </w:rPr>
            </w:pPr>
            <w:r>
              <w:rPr>
                <w:rFonts w:hint="eastAsia" w:ascii="宋体" w:hAnsi="宋体"/>
                <w:color w:val="000000"/>
                <w:highlight w:val="none"/>
              </w:rPr>
              <w:t xml:space="preserve">1.0</w:t>
            </w:r>
            <w:r/>
          </w:p>
        </w:tc>
      </w:tr>
    </w:tbl>
    <w:p>
      <w:pPr>
        <w:numPr>
          <w:ilvl w:val="0"/>
          <w:numId w:val="7"/>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甲乙双方签字确认考勤记录及考核结果；</w:t>
      </w:r>
      <w:r/>
    </w:p>
    <w:p>
      <w:pPr>
        <w:numPr>
          <w:ilvl w:val="0"/>
          <w:numId w:val="7"/>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考核中发现以下行为直接罚款：</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导医月更迭率＞10%，扣除3000元；</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缺岗按照岗位月单价的10％扣罚；</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无健康证上岗扣罚50元/人次</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4.5 服务费用说明：南京市儿童医院由门诊部每月向考核小组成员发放考核表，考核导医团队的服务质量，根据得分计算出结果产生当月质量系数。服务费由固定服务费单价*服务人数*当月质量系数加上晚夜班费、国家法定节假日加班费组成。如有其他扣减费用事项则以合同条款执行。</w:t>
      </w:r>
      <w:r/>
    </w:p>
    <w:p>
      <w:pPr>
        <w:ind w:firstLine="482"/>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4.6 考核内容：见考核评价表</w:t>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p>
    <w:p>
      <w:pPr>
        <w:ind w:firstLine="480"/>
        <w:jc w:val="left"/>
        <w:rPr>
          <w:rFonts w:hint="eastAsia"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p>
    <w:p>
      <w:pPr>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65"/>
        <w:rPr>
          <w:color w:val="000000"/>
          <w:highlight w:val="none"/>
        </w:rPr>
        <w:sectPr>
          <w:footnotePr/>
          <w:endnotePr/>
          <w:type w:val="nextPage"/>
          <w:pgSz w:w="11906" w:h="16838" w:orient="portrait"/>
          <w:pgMar w:top="1418" w:right="1198" w:bottom="1418" w:left="1588" w:header="851" w:footer="907" w:gutter="0"/>
          <w:cols w:num="1" w:sep="0" w:space="1701" w:equalWidth="1"/>
          <w:docGrid w:linePitch="360"/>
          <w:titlePg/>
        </w:sectPr>
      </w:pPr>
      <w:r>
        <w:rPr>
          <w:color w:val="000000"/>
          <w:highlight w:val="none"/>
        </w:rPr>
      </w:r>
      <w:r/>
    </w:p>
    <w:tbl>
      <w:tblPr>
        <w:tblStyle w:val="894"/>
        <w:tblW w:w="9997" w:type="dxa"/>
        <w:jc w:val="center"/>
        <w:tblLayout w:type="autofit"/>
        <w:tblCellMar>
          <w:left w:w="108" w:type="dxa"/>
          <w:top w:w="0" w:type="dxa"/>
          <w:right w:w="108" w:type="dxa"/>
          <w:bottom w:w="0" w:type="dxa"/>
        </w:tblCellMar>
        <w:tblLook w:val="04A0" w:firstRow="1" w:lastRow="0" w:firstColumn="1" w:lastColumn="0" w:noHBand="0" w:noVBand="1"/>
      </w:tblPr>
      <w:tblGrid>
        <w:gridCol w:w="1022"/>
        <w:gridCol w:w="4929"/>
        <w:gridCol w:w="744"/>
        <w:gridCol w:w="1930"/>
        <w:gridCol w:w="769"/>
        <w:gridCol w:w="603"/>
      </w:tblGrid>
      <w:tr>
        <w:trPr>
          <w:jc w:val="center"/>
          <w:trHeight w:val="613"/>
        </w:trPr>
        <w:tc>
          <w:tcPr>
            <w:gridSpan w:val="6"/>
            <w:tcBorders>
              <w:top w:val="none" w:color="000000" w:sz="4" w:space="0"/>
              <w:left w:val="none" w:color="000000" w:sz="4" w:space="0"/>
              <w:bottom w:val="none" w:color="000000" w:sz="4" w:space="0"/>
              <w:right w:val="none" w:color="000000" w:sz="4" w:space="0"/>
            </w:tcBorders>
            <w:tcW w:w="9997" w:type="dxa"/>
            <w:vAlign w:val="bottom"/>
            <w:textDirection w:val="lrTb"/>
            <w:noWrap/>
          </w:tcPr>
          <w:p>
            <w:pPr>
              <w:jc w:val="center"/>
              <w:widowControl/>
              <w:rPr>
                <w:rFonts w:hint="eastAsia" w:hAnsi="宋体" w:cs="宋体"/>
                <w:bCs/>
                <w:color w:val="000000"/>
                <w:sz w:val="48"/>
                <w:szCs w:val="48"/>
                <w:highlight w:val="none"/>
              </w:rPr>
            </w:pPr>
            <w:r>
              <w:rPr>
                <w:rFonts w:hint="eastAsia" w:hAnsi="宋体" w:cs="宋体"/>
                <w:bCs/>
                <w:color w:val="000000"/>
                <w:sz w:val="48"/>
                <w:szCs w:val="48"/>
                <w:highlight w:val="none"/>
              </w:rPr>
              <w:t xml:space="preserve">导医服务考核表 </w:t>
            </w:r>
            <w:r/>
          </w:p>
        </w:tc>
      </w:tr>
      <w:tr>
        <w:trPr>
          <w:jc w:val="center"/>
          <w:trHeight w:val="409"/>
        </w:trPr>
        <w:tc>
          <w:tcPr>
            <w:gridSpan w:val="5"/>
            <w:tcBorders>
              <w:top w:val="none" w:color="000000" w:sz="4" w:space="0"/>
              <w:left w:val="none" w:color="000000" w:sz="4" w:space="0"/>
              <w:bottom w:val="none" w:color="000000" w:sz="4" w:space="0"/>
              <w:right w:val="none" w:color="000000" w:sz="4" w:space="0"/>
            </w:tcBorders>
            <w:tcW w:w="9394" w:type="dxa"/>
            <w:vAlign w:val="center"/>
            <w:textDirection w:val="lrTb"/>
            <w:noWrap/>
          </w:tcPr>
          <w:p>
            <w:pPr>
              <w:widowControl/>
              <w:rPr>
                <w:rFonts w:hint="eastAsia" w:hAnsi="宋体" w:cs="宋体"/>
                <w:color w:val="000000"/>
                <w:sz w:val="32"/>
                <w:szCs w:val="32"/>
                <w:highlight w:val="none"/>
              </w:rPr>
            </w:pPr>
            <w:r>
              <w:rPr>
                <w:rFonts w:hint="eastAsia" w:hAnsi="宋体" w:cs="宋体"/>
                <w:color w:val="000000"/>
                <w:sz w:val="32"/>
                <w:szCs w:val="32"/>
                <w:highlight w:val="none"/>
              </w:rPr>
              <w:t xml:space="preserve">科室                            公司                         时间:              </w:t>
            </w:r>
            <w:r/>
          </w:p>
        </w:tc>
        <w:tc>
          <w:tcPr>
            <w:tcBorders>
              <w:top w:val="none" w:color="000000" w:sz="4" w:space="0"/>
              <w:left w:val="none" w:color="000000" w:sz="4" w:space="0"/>
              <w:bottom w:val="none" w:color="000000" w:sz="4" w:space="0"/>
              <w:right w:val="none" w:color="000000" w:sz="4" w:space="0"/>
            </w:tcBorders>
            <w:tcW w:w="603" w:type="dxa"/>
            <w:vAlign w:val="center"/>
            <w:textDirection w:val="lrTb"/>
            <w:noWrap/>
          </w:tcPr>
          <w:p>
            <w:pPr>
              <w:jc w:val="center"/>
              <w:widowControl/>
              <w:rPr>
                <w:rFonts w:hint="eastAsia" w:hAnsi="宋体" w:cs="宋体"/>
                <w:color w:val="000000"/>
                <w:sz w:val="32"/>
                <w:szCs w:val="32"/>
                <w:highlight w:val="none"/>
              </w:rPr>
            </w:pPr>
            <w:r>
              <w:rPr>
                <w:rFonts w:hint="eastAsia" w:hAnsi="宋体" w:cs="宋体"/>
                <w:color w:val="000000"/>
                <w:sz w:val="32"/>
                <w:szCs w:val="32"/>
                <w:highlight w:val="none"/>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widowControl/>
              <w:rPr>
                <w:rFonts w:hint="eastAsia" w:hAnsi="宋体" w:cs="宋体"/>
                <w:bCs/>
                <w:color w:val="000000"/>
                <w:sz w:val="22"/>
                <w:szCs w:val="22"/>
                <w:highlight w:val="none"/>
              </w:rPr>
            </w:pPr>
            <w:r>
              <w:rPr>
                <w:rFonts w:hint="eastAsia" w:hAnsi="宋体" w:cs="宋体"/>
                <w:bCs/>
                <w:color w:val="000000"/>
                <w:sz w:val="22"/>
                <w:szCs w:val="22"/>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4929" w:type="dxa"/>
            <w:vAlign w:val="center"/>
            <w:textDirection w:val="lrTb"/>
            <w:noWrap w:val="false"/>
          </w:tcPr>
          <w:p>
            <w:pPr>
              <w:jc w:val="center"/>
              <w:widowControl/>
              <w:rPr>
                <w:rFonts w:hint="eastAsia" w:hAnsi="宋体" w:cs="宋体"/>
                <w:bCs/>
                <w:color w:val="000000"/>
                <w:sz w:val="22"/>
                <w:szCs w:val="22"/>
                <w:highlight w:val="none"/>
              </w:rPr>
            </w:pPr>
            <w:r>
              <w:rPr>
                <w:rFonts w:hint="eastAsia" w:hAnsi="宋体" w:cs="宋体"/>
                <w:bCs/>
                <w:color w:val="000000"/>
                <w:sz w:val="22"/>
                <w:szCs w:val="22"/>
                <w:highlight w:val="none"/>
              </w:rPr>
              <w:t xml:space="preserve">考核内容</w:t>
            </w:r>
            <w:r/>
          </w:p>
        </w:tc>
        <w:tc>
          <w:tcPr>
            <w:tcBorders>
              <w:top w:val="singl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bCs/>
                <w:color w:val="000000"/>
                <w:sz w:val="22"/>
                <w:szCs w:val="22"/>
                <w:highlight w:val="none"/>
              </w:rPr>
            </w:pPr>
            <w:r>
              <w:rPr>
                <w:rFonts w:hint="eastAsia" w:hAnsi="宋体" w:cs="宋体"/>
                <w:bCs/>
                <w:color w:val="000000"/>
                <w:sz w:val="22"/>
                <w:szCs w:val="22"/>
                <w:highlight w:val="none"/>
              </w:rPr>
              <w:t xml:space="preserve">标准分</w:t>
            </w:r>
            <w:r/>
          </w:p>
        </w:tc>
        <w:tc>
          <w:tcPr>
            <w:tcBorders>
              <w:top w:val="singl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bCs/>
                <w:color w:val="000000"/>
                <w:sz w:val="22"/>
                <w:szCs w:val="22"/>
                <w:highlight w:val="none"/>
              </w:rPr>
            </w:pPr>
            <w:r>
              <w:rPr>
                <w:rFonts w:hint="eastAsia" w:hAnsi="宋体" w:cs="宋体"/>
                <w:bCs/>
                <w:color w:val="000000"/>
                <w:sz w:val="22"/>
                <w:szCs w:val="22"/>
                <w:highlight w:val="none"/>
              </w:rPr>
              <w:t xml:space="preserve">考核标准</w:t>
            </w:r>
            <w:r/>
          </w:p>
        </w:tc>
        <w:tc>
          <w:tcPr>
            <w:tcBorders>
              <w:top w:val="singl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bCs/>
                <w:color w:val="000000"/>
                <w:sz w:val="22"/>
                <w:szCs w:val="22"/>
                <w:highlight w:val="none"/>
              </w:rPr>
            </w:pPr>
            <w:r>
              <w:rPr>
                <w:rFonts w:hint="eastAsia" w:hAnsi="宋体" w:cs="宋体"/>
                <w:bCs/>
                <w:color w:val="000000"/>
                <w:sz w:val="22"/>
                <w:szCs w:val="22"/>
                <w:highlight w:val="none"/>
              </w:rPr>
              <w:t xml:space="preserve">考核得分</w:t>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bCs/>
                <w:color w:val="000000"/>
                <w:sz w:val="22"/>
                <w:szCs w:val="22"/>
                <w:highlight w:val="none"/>
              </w:rPr>
            </w:pPr>
            <w:r>
              <w:rPr>
                <w:rFonts w:hint="eastAsia" w:hAnsi="宋体" w:cs="宋体"/>
                <w:bCs/>
                <w:color w:val="000000"/>
                <w:sz w:val="22"/>
                <w:szCs w:val="22"/>
                <w:highlight w:val="none"/>
              </w:rPr>
              <w:t xml:space="preserve">扣分原因</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widowControl/>
              <w:rPr>
                <w:rFonts w:hint="eastAsia" w:hAnsi="宋体" w:cs="宋体"/>
                <w:bCs/>
                <w:color w:val="000000"/>
                <w:sz w:val="20"/>
                <w:highlight w:val="none"/>
              </w:rPr>
            </w:pPr>
            <w:r>
              <w:rPr>
                <w:rFonts w:hint="eastAsia" w:hAnsi="宋体" w:cs="宋体"/>
                <w:bCs/>
                <w:color w:val="000000"/>
                <w:sz w:val="20"/>
                <w:highlight w:val="none"/>
              </w:rPr>
              <w:t xml:space="preserve">仪容仪表(10分）</w:t>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1、接待病人热情耐心、文明用语、态度和蔼。</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2、按要求统一着装，整齐规范，佩戴头花、工作牌。按要求穿戴防护用品。</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widowControl/>
              <w:rPr>
                <w:rFonts w:hint="eastAsia" w:hAnsi="宋体" w:cs="宋体"/>
                <w:bCs/>
                <w:color w:val="000000"/>
                <w:sz w:val="20"/>
                <w:highlight w:val="none"/>
              </w:rPr>
            </w:pPr>
            <w:r>
              <w:rPr>
                <w:rFonts w:hint="eastAsia" w:hAnsi="宋体" w:cs="宋体"/>
                <w:bCs/>
                <w:color w:val="000000"/>
                <w:sz w:val="20"/>
                <w:highlight w:val="none"/>
              </w:rPr>
              <w:t xml:space="preserve">服务规范（15分）</w:t>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1、执行首问负责制，用语规范，按照培训标准礼仪站立、端坐、引导手势大方得体。</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2、严禁与患者争执，耐心解释，做好沟通，做好引导。</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4</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3、主动规范服务，无投诉现象发生。</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4</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一项不符扣4分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4、与工作相关的电话应该按照要求进行接听或拨打，不得长时间打私人电话。</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2</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widowControl/>
              <w:rPr>
                <w:rFonts w:hint="eastAsia" w:hAnsi="宋体" w:cs="宋体"/>
                <w:bCs/>
                <w:color w:val="000000"/>
                <w:sz w:val="20"/>
                <w:highlight w:val="none"/>
              </w:rPr>
            </w:pPr>
            <w:r>
              <w:rPr>
                <w:rFonts w:hint="eastAsia" w:hAnsi="宋体" w:cs="宋体"/>
                <w:bCs/>
                <w:color w:val="000000"/>
                <w:sz w:val="20"/>
                <w:highlight w:val="none"/>
              </w:rPr>
              <w:t xml:space="preserve">考勤（10分）</w:t>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1、准时上下班，无迟到、早退、空岗、脱岗、旷工现象，严格执行请假制度。</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一项不符扣2分，旷工扣5分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2、坚守岗位，因人员不在岗位影响医生就诊或造成投诉。</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一项不符扣5分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widowControl/>
              <w:rPr>
                <w:rFonts w:hint="eastAsia" w:hAnsi="宋体" w:cs="宋体"/>
                <w:bCs/>
                <w:color w:val="000000"/>
                <w:sz w:val="20"/>
                <w:highlight w:val="none"/>
              </w:rPr>
            </w:pPr>
            <w:r>
              <w:rPr>
                <w:rFonts w:hint="eastAsia" w:hAnsi="宋体" w:cs="宋体"/>
                <w:bCs/>
                <w:color w:val="000000"/>
                <w:sz w:val="20"/>
                <w:highlight w:val="none"/>
              </w:rPr>
              <w:t xml:space="preserve">日常检查情况（40分）</w:t>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1、工作台、办公区物品摆放整齐，工作区域干净整洁。</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Ansi="宋体" w:cs="宋体"/>
                <w:color w:val="000000"/>
                <w:sz w:val="20"/>
                <w:highlight w:val="none"/>
              </w:rPr>
              <w:t xml:space="preserve">2</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一项不符扣1分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866"/>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2、熟悉各个科室的功能和开展的医疗技术服务项目，熟悉各科专家、专科的专长，出诊时间。</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3</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3、上岗期间禁止看报、听音乐、吃零食、玩手机。禁止非工作原因聚众聊天。</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一项不符扣5分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4、劝告患者戴好口罩，保持适当距离，一医一患一诊室。</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866"/>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5、注意节约用电，如开启空调的区域门窗的关闭情况；下班前门窗、灯、空调、风扇等关闭情况。</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866"/>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6、专家专科、普通门诊的开诊前准备工作，门诊预约、分时段预约按照预约制度和流程执行</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7、服务台及诊室各类登记本的登记完成情况.有无漏登、错登。</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一项不符扣1分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8、积极维护自助设备的完好保障使用，发现故障及时挂上故障牌并报修。</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9、保持诊区就诊有序正常的开展,主动引导患者使用自助设备。</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866"/>
        </w:trPr>
        <w:tc>
          <w:tcPr>
            <w:tcBorders>
              <w:top w:val="non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widowControl/>
              <w:rPr>
                <w:rFonts w:hint="eastAsia" w:hAnsi="宋体" w:cs="宋体"/>
                <w:bCs/>
                <w:color w:val="000000"/>
                <w:sz w:val="20"/>
                <w:highlight w:val="none"/>
              </w:rPr>
            </w:pPr>
            <w:r>
              <w:rPr>
                <w:rFonts w:hint="eastAsia" w:hAnsi="宋体" w:cs="宋体"/>
                <w:bCs/>
                <w:color w:val="000000"/>
                <w:sz w:val="20"/>
                <w:highlight w:val="none"/>
              </w:rPr>
              <w:t xml:space="preserve">工作完成情况（15分）</w:t>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1、每天日常工作完成情况（门诊挂牌准确、医事证明按要求审核盖章、轮椅借用、化验单仔细核对无误后发放等）</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4</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2、各项登记记录情况，有无落实。发现问题有无及时上报科主任及主管。</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4</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一项不符扣1分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866"/>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3、患者门诊预约落实情况，如医生临时停诊，工作人员应告知已预约患者取消预约或更换其他医生就诊。</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2</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一项不符扣1分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577"/>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2"/>
                <w:szCs w:val="22"/>
                <w:highlight w:val="none"/>
              </w:rPr>
            </w:pPr>
            <w:r>
              <w:rPr>
                <w:rFonts w:hint="eastAsia" w:hAnsi="宋体" w:cs="宋体"/>
                <w:color w:val="000000"/>
                <w:sz w:val="22"/>
                <w:szCs w:val="22"/>
                <w:highlight w:val="none"/>
              </w:rPr>
              <w:t xml:space="preserve">4、及时处理系统故障，执行紧急预案，保证诊疗工作正常有序。</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2</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未及时上报扣2分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481"/>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0"/>
                <w:highlight w:val="none"/>
              </w:rPr>
            </w:pPr>
            <w:r>
              <w:rPr>
                <w:rFonts w:hint="eastAsia" w:hAnsi="宋体" w:cs="宋体"/>
                <w:color w:val="000000"/>
                <w:sz w:val="20"/>
                <w:highlight w:val="none"/>
              </w:rPr>
              <w:t xml:space="preserve">5、门诊部及院部交办的其他临时工作完成情况</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3</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一项不符扣2分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022" w:type="dxa"/>
            <w:vAlign w:val="center"/>
            <w:vMerge w:val="restart"/>
            <w:textDirection w:val="lrTb"/>
            <w:noWrap w:val="false"/>
          </w:tcPr>
          <w:p>
            <w:pPr>
              <w:jc w:val="center"/>
              <w:widowControl/>
              <w:rPr>
                <w:rFonts w:hint="eastAsia" w:hAnsi="宋体" w:cs="宋体"/>
                <w:bCs/>
                <w:color w:val="000000"/>
                <w:sz w:val="20"/>
                <w:highlight w:val="none"/>
              </w:rPr>
            </w:pPr>
            <w:r>
              <w:rPr>
                <w:rFonts w:hint="eastAsia" w:hAnsi="宋体" w:cs="宋体"/>
                <w:bCs/>
                <w:color w:val="000000"/>
                <w:sz w:val="20"/>
                <w:highlight w:val="none"/>
              </w:rPr>
              <w:t xml:space="preserve">医护及患者满意度（10分）</w:t>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0"/>
                <w:highlight w:val="none"/>
              </w:rPr>
            </w:pPr>
            <w:r>
              <w:rPr>
                <w:rFonts w:hint="eastAsia" w:hAnsi="宋体" w:cs="宋体"/>
                <w:color w:val="000000"/>
                <w:sz w:val="20"/>
                <w:highlight w:val="none"/>
              </w:rPr>
              <w:t xml:space="preserve">公司主管与科室护士长沟通情况</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一项不符扣5分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022" w:type="dxa"/>
            <w:vAlign w:val="center"/>
            <w:vMerge w:val="continue"/>
            <w:textDirection w:val="lrTb"/>
            <w:noWrap w:val="false"/>
          </w:tcPr>
          <w:p>
            <w:pPr>
              <w:jc w:val="left"/>
              <w:widowControl/>
              <w:rPr>
                <w:rFonts w:hint="eastAsia" w:hAnsi="宋体" w:cs="宋体"/>
                <w:bCs/>
                <w:color w:val="000000"/>
                <w:sz w:val="20"/>
                <w:highlight w:val="none"/>
              </w:rPr>
            </w:pPr>
            <w:r>
              <w:rPr>
                <w:rFonts w:hint="eastAsia" w:hAnsi="宋体" w:cs="宋体"/>
                <w:bCs/>
                <w:color w:val="000000"/>
                <w:sz w:val="20"/>
                <w:highlight w:val="none"/>
              </w:rPr>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left"/>
              <w:widowControl/>
              <w:rPr>
                <w:rFonts w:hint="eastAsia" w:hAnsi="宋体" w:cs="宋体"/>
                <w:color w:val="000000"/>
                <w:sz w:val="20"/>
                <w:highlight w:val="none"/>
              </w:rPr>
            </w:pPr>
            <w:r>
              <w:rPr>
                <w:rFonts w:hint="eastAsia" w:hAnsi="宋体" w:cs="宋体"/>
                <w:color w:val="000000"/>
                <w:sz w:val="20"/>
                <w:highlight w:val="none"/>
              </w:rPr>
              <w:t xml:space="preserve">科室对外包服务公司主管满意度≥90</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5</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一项不符扣5分</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481"/>
        </w:trPr>
        <w:tc>
          <w:tcPr>
            <w:tcBorders>
              <w:top w:val="non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widowControl/>
              <w:rPr>
                <w:rFonts w:hint="eastAsia" w:hAnsi="宋体" w:cs="宋体"/>
                <w:bCs/>
                <w:color w:val="000000"/>
                <w:sz w:val="20"/>
                <w:highlight w:val="none"/>
              </w:rPr>
            </w:pPr>
            <w:r>
              <w:rPr>
                <w:rFonts w:hint="eastAsia" w:hAnsi="宋体" w:cs="宋体"/>
                <w:bCs/>
                <w:color w:val="000000"/>
                <w:sz w:val="20"/>
                <w:highlight w:val="none"/>
              </w:rPr>
              <w:t xml:space="preserve">综合考评得分</w:t>
            </w:r>
            <w:r/>
          </w:p>
        </w:tc>
        <w:tc>
          <w:tcPr>
            <w:tcBorders>
              <w:top w:val="none" w:color="000000" w:sz="4" w:space="0"/>
              <w:left w:val="none" w:color="000000" w:sz="4" w:space="0"/>
              <w:bottom w:val="single" w:color="000000" w:sz="4" w:space="0"/>
              <w:right w:val="single" w:color="000000" w:sz="4" w:space="0"/>
            </w:tcBorders>
            <w:tcW w:w="4929"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　</w:t>
            </w:r>
            <w:r/>
          </w:p>
        </w:tc>
        <w:tc>
          <w:tcPr>
            <w:tcBorders>
              <w:top w:val="none" w:color="000000" w:sz="4" w:space="0"/>
              <w:left w:val="none" w:color="000000" w:sz="4" w:space="0"/>
              <w:bottom w:val="single" w:color="000000" w:sz="4" w:space="0"/>
              <w:right w:val="single" w:color="000000" w:sz="4" w:space="0"/>
            </w:tcBorders>
            <w:tcW w:w="744"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　</w:t>
            </w:r>
            <w:r/>
          </w:p>
        </w:tc>
        <w:tc>
          <w:tcPr>
            <w:tcBorders>
              <w:top w:val="none" w:color="000000" w:sz="4" w:space="0"/>
              <w:left w:val="none" w:color="000000" w:sz="4" w:space="0"/>
              <w:bottom w:val="single" w:color="000000" w:sz="4" w:space="0"/>
              <w:right w:val="single" w:color="000000" w:sz="4" w:space="0"/>
            </w:tcBorders>
            <w:tcW w:w="1930" w:type="dxa"/>
            <w:vAlign w:val="center"/>
            <w:textDirection w:val="lrTb"/>
            <w:noWrap w:val="false"/>
          </w:tcPr>
          <w:p>
            <w:pPr>
              <w:jc w:val="center"/>
              <w:widowControl/>
              <w:rPr>
                <w:rFonts w:hint="eastAsia" w:hAnsi="宋体" w:cs="宋体"/>
                <w:color w:val="000000"/>
                <w:sz w:val="20"/>
                <w:highlight w:val="none"/>
              </w:rPr>
            </w:pPr>
            <w:r>
              <w:rPr>
                <w:rFonts w:hint="eastAsia" w:hAnsi="宋体" w:cs="宋体"/>
                <w:color w:val="000000"/>
                <w:sz w:val="20"/>
                <w:highlight w:val="none"/>
              </w:rPr>
              <w:t xml:space="preserve">　</w:t>
            </w:r>
            <w:r/>
          </w:p>
        </w:tc>
        <w:tc>
          <w:tcPr>
            <w:tcBorders>
              <w:top w:val="none" w:color="000000" w:sz="4" w:space="0"/>
              <w:left w:val="none" w:color="000000" w:sz="4" w:space="0"/>
              <w:bottom w:val="single" w:color="000000" w:sz="4" w:space="0"/>
              <w:right w:val="single" w:color="000000" w:sz="4" w:space="0"/>
            </w:tcBorders>
            <w:tcW w:w="767"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3" w:type="dxa"/>
            <w:vAlign w:val="center"/>
            <w:textDirection w:val="lrTb"/>
            <w:noWrap w:val="false"/>
          </w:tcPr>
          <w:p>
            <w:pPr>
              <w:jc w:val="center"/>
              <w:widowControl/>
              <w:rPr>
                <w:rFonts w:hint="eastAsia" w:hAnsi="宋体" w:cs="宋体"/>
                <w:color w:val="000000"/>
                <w:szCs w:val="24"/>
                <w:highlight w:val="none"/>
              </w:rPr>
            </w:pPr>
            <w:r>
              <w:rPr>
                <w:rFonts w:hint="eastAsia" w:hAnsi="宋体" w:cs="宋体"/>
                <w:color w:val="000000"/>
                <w:szCs w:val="24"/>
                <w:highlight w:val="none"/>
              </w:rPr>
              <w:t xml:space="preserve">　</w:t>
            </w:r>
            <w:r/>
          </w:p>
        </w:tc>
      </w:tr>
      <w:tr>
        <w:trPr>
          <w:jc w:val="center"/>
          <w:trHeight w:val="312"/>
        </w:trPr>
        <w:tc>
          <w:tcPr>
            <w:tcBorders>
              <w:top w:val="none" w:color="000000" w:sz="4" w:space="0"/>
              <w:left w:val="none" w:color="000000" w:sz="4" w:space="0"/>
              <w:bottom w:val="none" w:color="000000" w:sz="4" w:space="0"/>
              <w:right w:val="none" w:color="000000" w:sz="4" w:space="0"/>
            </w:tcBorders>
            <w:tcW w:w="1022" w:type="dxa"/>
            <w:vAlign w:val="bottom"/>
            <w:textDirection w:val="lrTb"/>
            <w:noWrap/>
          </w:tcPr>
          <w:p>
            <w:pPr>
              <w:jc w:val="center"/>
              <w:widowControl/>
              <w:rPr>
                <w:rFonts w:hint="eastAsia" w:hAnsi="宋体" w:cs="宋体"/>
                <w:color w:val="000000"/>
                <w:szCs w:val="24"/>
                <w:highlight w:val="none"/>
              </w:rPr>
            </w:pPr>
            <w:r>
              <w:rPr>
                <w:rFonts w:hint="eastAsia" w:hAnsi="宋体" w:cs="宋体"/>
                <w:color w:val="000000"/>
                <w:szCs w:val="24"/>
                <w:highlight w:val="none"/>
              </w:rPr>
            </w:r>
            <w:r/>
          </w:p>
        </w:tc>
        <w:tc>
          <w:tcPr>
            <w:tcBorders>
              <w:top w:val="none" w:color="000000" w:sz="4" w:space="0"/>
              <w:left w:val="none" w:color="000000" w:sz="4" w:space="0"/>
              <w:bottom w:val="none" w:color="000000" w:sz="4" w:space="0"/>
              <w:right w:val="none" w:color="000000" w:sz="4" w:space="0"/>
            </w:tcBorders>
            <w:tcW w:w="4929" w:type="dxa"/>
            <w:vAlign w:val="bottom"/>
            <w:textDirection w:val="lrTb"/>
            <w:noWrap/>
          </w:tcPr>
          <w:p>
            <w:pPr>
              <w:jc w:val="center"/>
              <w:widowControl/>
              <w:rPr>
                <w:rFonts w:eastAsia="Times New Roman"/>
                <w:color w:val="000000"/>
                <w:sz w:val="20"/>
                <w:highlight w:val="none"/>
              </w:rPr>
            </w:pPr>
            <w:r>
              <w:rPr>
                <w:rFonts w:eastAsia="Times New Roman"/>
                <w:color w:val="000000"/>
                <w:sz w:val="20"/>
                <w:highlight w:val="none"/>
              </w:rPr>
            </w:r>
            <w:r/>
          </w:p>
        </w:tc>
        <w:tc>
          <w:tcPr>
            <w:tcBorders>
              <w:top w:val="none" w:color="000000" w:sz="4" w:space="0"/>
              <w:left w:val="none" w:color="000000" w:sz="4" w:space="0"/>
              <w:bottom w:val="none" w:color="000000" w:sz="4" w:space="0"/>
              <w:right w:val="none" w:color="000000" w:sz="4" w:space="0"/>
            </w:tcBorders>
            <w:tcW w:w="744" w:type="dxa"/>
            <w:vAlign w:val="bottom"/>
            <w:textDirection w:val="lrTb"/>
            <w:noWrap/>
          </w:tcPr>
          <w:p>
            <w:pPr>
              <w:jc w:val="left"/>
              <w:widowControl/>
              <w:rPr>
                <w:rFonts w:eastAsia="Times New Roman"/>
                <w:color w:val="000000"/>
                <w:sz w:val="20"/>
                <w:highlight w:val="none"/>
              </w:rPr>
            </w:pPr>
            <w:r>
              <w:rPr>
                <w:rFonts w:eastAsia="Times New Roman"/>
                <w:color w:val="000000"/>
                <w:sz w:val="20"/>
                <w:highlight w:val="none"/>
              </w:rPr>
            </w:r>
            <w:r/>
          </w:p>
        </w:tc>
        <w:tc>
          <w:tcPr>
            <w:tcBorders>
              <w:top w:val="none" w:color="000000" w:sz="4" w:space="0"/>
              <w:left w:val="none" w:color="000000" w:sz="4" w:space="0"/>
              <w:bottom w:val="none" w:color="000000" w:sz="4" w:space="0"/>
              <w:right w:val="none" w:color="000000" w:sz="4" w:space="0"/>
            </w:tcBorders>
            <w:tcW w:w="1930" w:type="dxa"/>
            <w:vAlign w:val="bottom"/>
            <w:textDirection w:val="lrTb"/>
            <w:noWrap/>
          </w:tcPr>
          <w:p>
            <w:pPr>
              <w:jc w:val="left"/>
              <w:widowControl/>
              <w:rPr>
                <w:rFonts w:eastAsia="Times New Roman"/>
                <w:color w:val="000000"/>
                <w:sz w:val="20"/>
                <w:highlight w:val="none"/>
              </w:rPr>
            </w:pPr>
            <w:r>
              <w:rPr>
                <w:rFonts w:eastAsia="Times New Roman"/>
                <w:color w:val="000000"/>
                <w:sz w:val="20"/>
                <w:highlight w:val="none"/>
              </w:rPr>
            </w:r>
            <w:r/>
          </w:p>
        </w:tc>
        <w:tc>
          <w:tcPr>
            <w:gridSpan w:val="2"/>
            <w:tcBorders>
              <w:top w:val="none" w:color="000000" w:sz="4" w:space="0"/>
              <w:left w:val="none" w:color="000000" w:sz="4" w:space="0"/>
              <w:bottom w:val="none" w:color="000000" w:sz="4" w:space="0"/>
              <w:right w:val="none" w:color="000000" w:sz="4" w:space="0"/>
            </w:tcBorders>
            <w:tcW w:w="1372" w:type="dxa"/>
            <w:vAlign w:val="bottom"/>
            <w:textDirection w:val="lrTb"/>
            <w:noWrap/>
          </w:tcPr>
          <w:p>
            <w:pPr>
              <w:jc w:val="left"/>
              <w:widowControl/>
              <w:rPr>
                <w:rFonts w:hint="eastAsia" w:hAnsi="宋体" w:cs="宋体"/>
                <w:color w:val="000000"/>
                <w:szCs w:val="24"/>
                <w:highlight w:val="none"/>
              </w:rPr>
            </w:pPr>
            <w:r>
              <w:rPr>
                <w:rFonts w:hint="eastAsia" w:hAnsi="宋体" w:cs="宋体"/>
                <w:color w:val="000000"/>
                <w:szCs w:val="24"/>
                <w:highlight w:val="none"/>
              </w:rPr>
              <w:t xml:space="preserve">签名：</w:t>
            </w:r>
            <w:r/>
          </w:p>
        </w:tc>
      </w:tr>
    </w:tbl>
    <w:p>
      <w:pPr>
        <w:pStyle w:val="965"/>
        <w:rPr>
          <w:color w:val="000000"/>
          <w:highlight w:val="none"/>
        </w:rPr>
      </w:pPr>
      <w:r>
        <w:rPr>
          <w:color w:val="000000"/>
          <w:highlight w:val="none"/>
        </w:rPr>
      </w:r>
      <w:bookmarkEnd w:id="193"/>
      <w:r/>
      <w:r/>
    </w:p>
    <w:p>
      <w:pPr>
        <w:pStyle w:val="1260"/>
        <w:rPr>
          <w:rFonts w:hint="eastAsia"/>
          <w:color w:val="000000"/>
          <w:highlight w:val="none"/>
        </w:rPr>
      </w:pPr>
      <w:r>
        <w:rPr>
          <w:rFonts w:hint="eastAsia"/>
          <w:color w:val="000000"/>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宋体" w:hAnsi="宋体" w:cs="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color w:val="000000"/>
          <w:sz w:val="24"/>
          <w:szCs w:val="24"/>
          <w:highlight w:val="none"/>
        </w:rPr>
        <w:t xml:space="preserve">3名</w:t>
      </w:r>
      <w:r>
        <w:rPr>
          <w:rFonts w:hint="eastAsia" w:ascii="宋体" w:hAnsi="宋体" w:cs="宋体"/>
          <w:color w:val="000000"/>
          <w:sz w:val="24"/>
          <w:szCs w:val="24"/>
          <w:highlight w:val="none"/>
        </w:rPr>
        <w:t xml:space="preserve">中标候选人。</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的价格扣除，用扣除后的价格参与评审；监狱和戒毒企业视同小型、微型企业，给予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的价格扣除，用扣除后的价格参与评审。残疾人福利单位、监狱企业属于小型、微型企业的，不重复享受价格扣除。</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三、评标标准</w:t>
      </w:r>
      <w:r/>
    </w:p>
    <w:tbl>
      <w:tblPr>
        <w:tblStyle w:val="894"/>
        <w:tblW w:w="1045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gridCol w:w="783"/>
      </w:tblGrid>
      <w:tr>
        <w:trPr>
          <w:jc w:val="center"/>
          <w:trHeight w:val="291"/>
          <w:tblHeader/>
        </w:trPr>
        <w:tc>
          <w:tcPr>
            <w:tcW w:w="519" w:type="dxa"/>
            <w:vAlign w:val="center"/>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序号</w:t>
            </w:r>
            <w:r/>
          </w:p>
        </w:tc>
        <w:tc>
          <w:tcPr>
            <w:tcW w:w="1179" w:type="dxa"/>
            <w:vAlign w:val="center"/>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评审因素</w:t>
            </w:r>
            <w:r/>
          </w:p>
        </w:tc>
        <w:tc>
          <w:tcPr>
            <w:tcW w:w="6616" w:type="dxa"/>
            <w:vAlign w:val="center"/>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评审细则</w:t>
            </w:r>
            <w:r/>
          </w:p>
        </w:tc>
        <w:tc>
          <w:tcPr>
            <w:tcW w:w="573" w:type="dxa"/>
            <w:vAlign w:val="center"/>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分值</w:t>
            </w:r>
            <w:r/>
          </w:p>
        </w:tc>
        <w:tc>
          <w:tcPr>
            <w:tcW w:w="783" w:type="dxa"/>
            <w:vAlign w:val="center"/>
            <w:textDirection w:val="lrTb"/>
            <w:noWrap w:val="false"/>
          </w:tcPr>
          <w:p>
            <w:pPr>
              <w:jc w:val="center"/>
              <w:spacing w:before="122" w:line="288" w:lineRule="auto"/>
              <w:rPr>
                <w:rFonts w:ascii="宋体" w:hAnsi="宋体" w:cs="宋体"/>
                <w:b/>
                <w:bCs/>
                <w:color w:val="000000"/>
                <w:spacing w:val="-3"/>
                <w:highlight w:val="none"/>
              </w:rPr>
            </w:pPr>
            <w:r>
              <w:rPr>
                <w:rFonts w:ascii="宋体" w:hAnsi="宋体" w:cs="宋体"/>
                <w:b/>
                <w:bCs/>
                <w:color w:val="000000"/>
                <w:spacing w:val="-3"/>
                <w:highlight w:val="none"/>
              </w:rPr>
              <w:t xml:space="preserve">类型</w:t>
            </w:r>
            <w:r/>
          </w:p>
        </w:tc>
        <w:tc>
          <w:tcPr>
            <w:tcW w:w="783" w:type="dxa"/>
            <w:vAlign w:val="center"/>
            <w:textDirection w:val="lrTb"/>
            <w:noWrap w:val="false"/>
          </w:tcPr>
          <w:p>
            <w:pPr>
              <w:jc w:val="center"/>
              <w:spacing w:before="122" w:line="288" w:lineRule="auto"/>
              <w:rPr>
                <w:rFonts w:hint="eastAsia" w:ascii="宋体" w:hAnsi="宋体" w:eastAsia="宋体" w:cs="宋体"/>
                <w:b/>
                <w:bCs/>
                <w:color w:val="000000"/>
                <w:spacing w:val="-3"/>
                <w:highlight w:val="none"/>
                <w:lang w:val="en-US" w:eastAsia="zh-CN"/>
              </w:rPr>
            </w:pPr>
            <w:r>
              <w:rPr>
                <w:rFonts w:hint="eastAsia" w:ascii="宋体" w:hAnsi="宋体" w:eastAsia="宋体" w:cs="宋体"/>
                <w:b/>
                <w:bCs/>
                <w:color w:val="000000"/>
                <w:spacing w:val="-3"/>
                <w:highlight w:val="none"/>
                <w:lang w:val="en-US" w:eastAsia="zh-CN"/>
              </w:rPr>
              <w:t xml:space="preserve">是否暗标评审</w:t>
            </w:r>
            <w:r/>
          </w:p>
        </w:tc>
      </w:tr>
      <w:tr>
        <w:trPr>
          <w:jc w:val="center"/>
        </w:trPr>
        <w:tc>
          <w:tcPr>
            <w:gridSpan w:val="5"/>
            <w:tcW w:w="9670" w:type="dxa"/>
            <w:vAlign w:val="top"/>
            <w:textDirection w:val="lrTb"/>
            <w:noWrap w:val="false"/>
          </w:tcPr>
          <w:p>
            <w:pPr>
              <w:ind w:left="114"/>
              <w:spacing w:before="122" w:line="264" w:lineRule="auto"/>
              <w:rPr>
                <w:rFonts w:ascii="宋体" w:hAnsi="宋体" w:cs="宋体"/>
                <w:color w:val="000000"/>
                <w:highlight w:val="none"/>
              </w:rPr>
            </w:pPr>
            <w:r>
              <w:rPr>
                <w:rFonts w:hint="eastAsia" w:ascii="宋体" w:hAnsi="宋体" w:cs="宋体"/>
                <w:b/>
                <w:bCs/>
                <w:color w:val="000000"/>
                <w:spacing w:val="-3"/>
                <w:highlight w:val="none"/>
              </w:rPr>
              <w:t xml:space="preserve">1.</w:t>
            </w:r>
            <w:r>
              <w:rPr>
                <w:rFonts w:ascii="宋体" w:hAnsi="宋体" w:cs="宋体"/>
                <w:b/>
                <w:bCs/>
                <w:color w:val="000000"/>
                <w:spacing w:val="-3"/>
                <w:highlight w:val="none"/>
              </w:rPr>
              <w:t xml:space="preserve">价</w:t>
            </w:r>
            <w:r>
              <w:rPr>
                <w:rFonts w:ascii="宋体" w:hAnsi="宋体" w:cs="宋体"/>
                <w:b/>
                <w:bCs/>
                <w:color w:val="000000"/>
                <w:spacing w:val="-2"/>
                <w:highlight w:val="none"/>
              </w:rPr>
              <w:t xml:space="preserve">格</w:t>
            </w:r>
            <w:r/>
          </w:p>
        </w:tc>
        <w:tc>
          <w:tcPr>
            <w:tcW w:w="783" w:type="dxa"/>
            <w:vAlign w:val="top"/>
            <w:textDirection w:val="lrTb"/>
            <w:noWrap w:val="false"/>
          </w:tcPr>
          <w:p>
            <w:pPr>
              <w:ind w:left="114"/>
              <w:spacing w:before="122"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r>
            <w:r/>
          </w:p>
        </w:tc>
      </w:tr>
      <w:tr>
        <w:trPr>
          <w:jc w:val="center"/>
        </w:trPr>
        <w:tc>
          <w:tcPr>
            <w:tcW w:w="519" w:type="dxa"/>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1</w:t>
            </w:r>
            <w:r>
              <w:rPr>
                <w:rFonts w:ascii="宋体" w:hAnsi="宋体" w:cs="宋体"/>
                <w:color w:val="000000"/>
                <w:spacing w:val="-5"/>
                <w:highlight w:val="none"/>
              </w:rPr>
              <w:t xml:space="preserve">.1</w:t>
            </w:r>
            <w:r/>
          </w:p>
        </w:tc>
        <w:tc>
          <w:tcPr>
            <w:tcW w:w="1179" w:type="dxa"/>
            <w:vAlign w:val="center"/>
            <w:textDirection w:val="lrTb"/>
            <w:noWrap w:val="false"/>
          </w:tcPr>
          <w:p>
            <w:pPr>
              <w:jc w:val="left"/>
              <w:spacing w:before="68" w:line="264" w:lineRule="auto"/>
              <w:rPr>
                <w:rFonts w:ascii="宋体" w:hAnsi="宋体" w:cs="宋体"/>
                <w:color w:val="000000"/>
                <w:highlight w:val="none"/>
              </w:rPr>
            </w:pPr>
            <w:r>
              <w:rPr>
                <w:rFonts w:ascii="宋体" w:hAnsi="宋体" w:cs="宋体"/>
                <w:color w:val="000000"/>
                <w:spacing w:val="-2"/>
                <w:szCs w:val="22"/>
                <w:highlight w:val="none"/>
              </w:rPr>
              <w:t xml:space="preserve">价格分</w:t>
            </w:r>
            <w:r/>
          </w:p>
        </w:tc>
        <w:tc>
          <w:tcPr>
            <w:tcW w:w="6616" w:type="dxa"/>
            <w:vAlign w:val="center"/>
            <w:textDirection w:val="lrTb"/>
            <w:noWrap w:val="false"/>
          </w:tcPr>
          <w:p>
            <w:pPr>
              <w:jc w:val="left"/>
              <w:spacing w:line="264" w:lineRule="auto"/>
              <w:rPr>
                <w:rFonts w:ascii="宋体" w:hAnsi="宋体" w:cs="宋体"/>
                <w:color w:val="000000"/>
                <w:highlight w:val="none"/>
              </w:rPr>
            </w:pPr>
            <w:r>
              <w:rPr>
                <w:rFonts w:ascii="宋体" w:hAnsi="宋体" w:cs="宋体"/>
                <w:color w:val="000000"/>
                <w:spacing w:val="1"/>
                <w:highlight w:val="none"/>
              </w:rPr>
              <w:t xml:space="preserve">采用低价优先</w:t>
            </w:r>
            <w:r>
              <w:rPr>
                <w:rFonts w:ascii="宋体" w:hAnsi="宋体" w:cs="宋体"/>
                <w:color w:val="000000"/>
                <w:highlight w:val="none"/>
              </w:rPr>
              <w:t xml:space="preserve">法计算，即满足招标文件要求且投标价格最低的投标</w:t>
            </w:r>
            <w:r>
              <w:rPr>
                <w:rFonts w:ascii="宋体" w:hAnsi="宋体" w:cs="宋体"/>
                <w:color w:val="000000"/>
                <w:spacing w:val="1"/>
                <w:highlight w:val="none"/>
              </w:rPr>
              <w:t xml:space="preserve">报价为评标基准</w:t>
            </w:r>
            <w:r>
              <w:rPr>
                <w:rFonts w:ascii="宋体" w:hAnsi="宋体" w:cs="宋体"/>
                <w:color w:val="000000"/>
                <w:highlight w:val="none"/>
              </w:rPr>
              <w:t xml:space="preserve">价，其价格分为满分。其他供应商的价格分统一按</w:t>
            </w:r>
            <w:r>
              <w:rPr>
                <w:rFonts w:ascii="宋体" w:hAnsi="宋体" w:cs="宋体"/>
                <w:color w:val="000000"/>
                <w:spacing w:val="-1"/>
                <w:highlight w:val="none"/>
              </w:rPr>
              <w:t xml:space="preserve">照下列公</w:t>
            </w:r>
            <w:r>
              <w:rPr>
                <w:rFonts w:ascii="宋体" w:hAnsi="宋体" w:cs="宋体"/>
                <w:color w:val="000000"/>
                <w:highlight w:val="none"/>
              </w:rPr>
              <w:t xml:space="preserve">式计算：投标报价得分=(评标基准价/投标报价)×</w:t>
            </w:r>
            <w:r>
              <w:rPr>
                <w:rFonts w:hint="eastAsia" w:ascii="宋体" w:hAnsi="宋体" w:cs="宋体"/>
                <w:color w:val="000000"/>
                <w:highlight w:val="none"/>
              </w:rPr>
              <w:t xml:space="preserve">价格分值（小数点保留两位）</w:t>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40</w:t>
            </w:r>
            <w:r/>
          </w:p>
        </w:tc>
        <w:tc>
          <w:tcPr>
            <w:tcW w:w="78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ascii="宋体" w:hAnsi="宋体" w:cs="宋体"/>
                <w:color w:val="000000"/>
                <w:szCs w:val="22"/>
                <w:highlight w:val="none"/>
              </w:rPr>
              <w:t xml:space="preserve">价格分</w:t>
            </w:r>
            <w:r/>
          </w:p>
        </w:tc>
        <w:tc>
          <w:tcPr>
            <w:tcW w:w="78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ascii="宋体" w:hAnsi="宋体" w:eastAsia="宋体" w:cs="宋体"/>
                <w:color w:val="000000"/>
                <w:spacing w:val="-6"/>
                <w:highlight w:val="none"/>
                <w:lang w:val="en-US" w:eastAsia="zh-CN"/>
              </w:rPr>
              <w:t xml:space="preserve">否</w:t>
            </w:r>
            <w:r/>
          </w:p>
        </w:tc>
      </w:tr>
      <w:tr>
        <w:trPr>
          <w:jc w:val="center"/>
        </w:trPr>
        <w:tc>
          <w:tcPr>
            <w:gridSpan w:val="5"/>
            <w:tcW w:w="9670" w:type="dxa"/>
            <w:vAlign w:val="top"/>
            <w:textDirection w:val="lrTb"/>
            <w:noWrap w:val="false"/>
          </w:tcPr>
          <w:p>
            <w:pPr>
              <w:ind w:left="114"/>
              <w:spacing w:before="123" w:line="264" w:lineRule="auto"/>
              <w:rPr>
                <w:rFonts w:ascii="宋体" w:hAnsi="宋体" w:cs="宋体"/>
                <w:color w:val="000000"/>
                <w:highlight w:val="none"/>
              </w:rPr>
            </w:pPr>
            <w:r>
              <w:rPr>
                <w:rFonts w:hint="eastAsia" w:ascii="Times New Roman" w:hAnsi="Times New Roman" w:eastAsia="宋体" w:cs="Times New Roman"/>
                <w:b/>
                <w:bCs/>
                <w:color w:val="000000"/>
                <w:sz w:val="24"/>
                <w:szCs w:val="24"/>
                <w:highlight w:val="none"/>
                <w:lang w:val="en-US" w:eastAsia="zh-CN"/>
              </w:rPr>
              <w:t xml:space="preserve">下列</w:t>
            </w:r>
            <w:r>
              <w:rPr>
                <w:rFonts w:hint="eastAsia" w:ascii="Times New Roman" w:hAnsi="Times New Roman" w:eastAsia="宋体" w:cs="Times New Roman"/>
                <w:b/>
                <w:bCs/>
                <w:color w:val="000000"/>
                <w:sz w:val="24"/>
                <w:szCs w:val="24"/>
                <w:highlight w:val="none"/>
              </w:rPr>
              <w:t xml:space="preserve">评分项采用暗标评审</w:t>
            </w:r>
            <w:r>
              <w:rPr>
                <w:rFonts w:hint="eastAsia" w:ascii="Times New Roman" w:hAnsi="Times New Roman" w:eastAsia="宋体" w:cs="Times New Roman"/>
                <w:b/>
                <w:bCs/>
                <w:color w:val="000000"/>
                <w:sz w:val="24"/>
                <w:szCs w:val="24"/>
                <w:highlight w:val="none"/>
                <w:lang w:val="en-US" w:eastAsia="zh-CN"/>
              </w:rPr>
              <w:t xml:space="preserve">的</w:t>
            </w:r>
            <w:r>
              <w:rPr>
                <w:rFonts w:hint="eastAsia" w:ascii="Times New Roman" w:hAnsi="Times New Roman" w:eastAsia="宋体" w:cs="Times New Roman"/>
                <w:b/>
                <w:bCs/>
                <w:color w:val="000000"/>
                <w:sz w:val="24"/>
                <w:szCs w:val="24"/>
                <w:highlight w:val="none"/>
              </w:rPr>
              <w:t xml:space="preserve">，投标人提供的评审材料中不得出现投标人名称、标志、标记及其他可识别身份的信息，否则所有暗标评审项均</w:t>
            </w:r>
            <w:r>
              <w:rPr>
                <w:rFonts w:hint="eastAsia" w:ascii="Times New Roman" w:hAnsi="Times New Roman" w:eastAsia="宋体" w:cs="Times New Roman"/>
                <w:b/>
                <w:bCs/>
                <w:color w:val="000000"/>
                <w:sz w:val="24"/>
                <w:szCs w:val="24"/>
                <w:highlight w:val="none"/>
                <w:lang w:val="en-US" w:eastAsia="zh-CN"/>
              </w:rPr>
              <w:t xml:space="preserve">不得分</w:t>
            </w:r>
            <w:r>
              <w:rPr>
                <w:rFonts w:hint="eastAsia" w:ascii="Times New Roman" w:hAnsi="Times New Roman" w:eastAsia="宋体" w:cs="Times New Roman"/>
                <w:b/>
                <w:bCs/>
                <w:color w:val="000000"/>
                <w:sz w:val="24"/>
                <w:szCs w:val="24"/>
                <w:highlight w:val="none"/>
              </w:rPr>
              <w:t xml:space="preserve">。</w:t>
            </w:r>
            <w:r/>
          </w:p>
        </w:tc>
        <w:tc>
          <w:tcPr>
            <w:tcW w:w="783" w:type="dxa"/>
            <w:vAlign w:val="top"/>
            <w:textDirection w:val="lrTb"/>
            <w:noWrap w:val="false"/>
          </w:tcPr>
          <w:p>
            <w:pPr>
              <w:ind w:left="114"/>
              <w:spacing w:before="123" w:line="264"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r>
            <w:r/>
          </w:p>
        </w:tc>
      </w:tr>
      <w:tr>
        <w:trPr>
          <w:jc w:val="center"/>
        </w:trPr>
        <w:tc>
          <w:tcPr>
            <w:gridSpan w:val="5"/>
            <w:tcW w:w="9670" w:type="dxa"/>
            <w:vAlign w:val="top"/>
            <w:textDirection w:val="lrTb"/>
            <w:noWrap w:val="false"/>
          </w:tcPr>
          <w:p>
            <w:pPr>
              <w:ind w:left="114"/>
              <w:spacing w:before="123"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2.服务</w:t>
            </w:r>
            <w:r/>
          </w:p>
        </w:tc>
        <w:tc>
          <w:tcPr>
            <w:tcW w:w="783" w:type="dxa"/>
            <w:vAlign w:val="top"/>
            <w:textDirection w:val="lrTb"/>
            <w:noWrap w:val="false"/>
          </w:tcPr>
          <w:p>
            <w:pPr>
              <w:ind w:left="114"/>
              <w:spacing w:before="123"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r>
            <w:r/>
          </w:p>
        </w:tc>
      </w:tr>
      <w:tr>
        <w:trPr>
          <w:jc w:val="center"/>
        </w:trPr>
        <w:tc>
          <w:tcPr>
            <w:tcW w:w="519" w:type="dxa"/>
            <w:vAlign w:val="center"/>
            <w:textDirection w:val="lrTb"/>
            <w:noWrap w:val="false"/>
          </w:tcPr>
          <w:p>
            <w:pPr>
              <w:jc w:val="center"/>
              <w:spacing w:line="264" w:lineRule="auto"/>
              <w:rPr>
                <w:rFonts w:ascii="宋体" w:hAnsi="宋体" w:cs="宋体"/>
                <w:color w:val="000000"/>
                <w:spacing w:val="-2"/>
                <w:highlight w:val="none"/>
              </w:rPr>
            </w:pPr>
            <w:r>
              <w:rPr>
                <w:rFonts w:hint="eastAsia" w:ascii="宋体" w:hAnsi="宋体" w:cs="宋体"/>
                <w:color w:val="000000"/>
                <w:highlight w:val="none"/>
              </w:rPr>
              <w:t xml:space="preserve">2.1</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rPr>
            </w:pPr>
            <w:r>
              <w:rPr>
                <w:rFonts w:hint="eastAsia" w:ascii="宋体" w:hAnsi="宋体" w:cs="宋体"/>
                <w:color w:val="000000"/>
                <w:spacing w:val="-2"/>
                <w:szCs w:val="22"/>
                <w:highlight w:val="none"/>
              </w:rPr>
              <w:t xml:space="preserve">服务</w:t>
            </w:r>
            <w:r>
              <w:rPr>
                <w:rFonts w:ascii="宋体" w:hAnsi="宋体" w:cs="宋体"/>
                <w:color w:val="000000"/>
                <w:spacing w:val="-2"/>
                <w:szCs w:val="22"/>
                <w:highlight w:val="none"/>
              </w:rPr>
              <w:t xml:space="preserve">方案</w:t>
            </w:r>
            <w:r/>
          </w:p>
        </w:tc>
        <w:tc>
          <w:tcPr>
            <w:tcW w:w="6616" w:type="dxa"/>
            <w:vAlign w:val="center"/>
            <w:textDirection w:val="lrTb"/>
            <w:noWrap w:val="false"/>
          </w:tcPr>
          <w:p>
            <w:pPr>
              <w:rPr>
                <w:color w:val="000000"/>
                <w:highlight w:val="none"/>
              </w:rPr>
            </w:pPr>
            <w:r/>
            <w:bookmarkStart w:id="194" w:name="OLE_LINK5"/>
            <w:r>
              <w:rPr>
                <w:rFonts w:hint="eastAsia"/>
                <w:color w:val="000000"/>
                <w:highlight w:val="none"/>
              </w:rPr>
              <w:t xml:space="preserve">根据本项目采购需求中“技术要求”相关内容编制方案，内容包含：1.整体服务设想；2.管理服务理念；3.服务重点分析；4.服务难点分析；5.服务具体实施方案。以上每项内容逐项评分：</w:t>
            </w:r>
            <w:r/>
          </w:p>
          <w:p>
            <w:pPr>
              <w:rPr>
                <w:color w:val="000000"/>
                <w:highlight w:val="none"/>
              </w:rPr>
            </w:pPr>
            <w:r>
              <w:rPr>
                <w:color w:val="000000"/>
                <w:highlight w:val="none"/>
              </w:rPr>
              <w:t xml:space="preserve">方案内容</w:t>
            </w:r>
            <w:r>
              <w:rPr>
                <w:rFonts w:hint="eastAsia"/>
                <w:color w:val="000000"/>
                <w:highlight w:val="none"/>
              </w:rPr>
              <w:t xml:space="preserve">完整、措施有力，且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p>
          <w:p>
            <w:pPr>
              <w:rPr>
                <w:rFonts w:ascii="宋体" w:hAnsi="宋体" w:cs="宋体"/>
                <w:color w:val="000000"/>
                <w:highlight w:val="none"/>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1</w:t>
            </w:r>
            <w:r>
              <w:rPr>
                <w:color w:val="000000"/>
                <w:highlight w:val="none"/>
              </w:rPr>
              <w:t xml:space="preserve">分；部分符合得</w:t>
            </w:r>
            <w:r>
              <w:rPr>
                <w:rFonts w:hint="eastAsia"/>
                <w:color w:val="000000"/>
                <w:highlight w:val="none"/>
              </w:rPr>
              <w:t xml:space="preserve">0.5</w:t>
            </w:r>
            <w:r>
              <w:rPr>
                <w:color w:val="000000"/>
                <w:highlight w:val="none"/>
              </w:rPr>
              <w:t xml:space="preserve">分；不符合或不提供不得分。</w:t>
            </w:r>
            <w:bookmarkEnd w:id="194"/>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hint="eastAsia"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c>
          <w:tcPr>
            <w:tcW w:w="783" w:type="dxa"/>
            <w:vAlign w:val="center"/>
            <w:textDirection w:val="lrTb"/>
            <w:noWrap w:val="false"/>
          </w:tcPr>
          <w:p>
            <w:pPr>
              <w:jc w:val="center"/>
              <w:spacing w:before="68" w:line="264" w:lineRule="auto"/>
              <w:rPr>
                <w:rFonts w:ascii="宋体" w:hAnsi="宋体" w:eastAsia="宋体" w:cs="宋体"/>
                <w:color w:val="000000"/>
                <w:spacing w:val="-6"/>
                <w:highlight w:val="none"/>
                <w:lang w:val="en-US" w:eastAsia="zh-CN"/>
              </w:rPr>
            </w:pPr>
            <w:r>
              <w:rPr>
                <w:rFonts w:hint="eastAsia" w:ascii="宋体" w:hAnsi="宋体" w:cs="宋体"/>
                <w:b/>
                <w:bCs/>
                <w:color w:val="000000"/>
                <w:spacing w:val="-6"/>
                <w:highlight w:val="none"/>
                <w:lang w:val="en-US" w:eastAsia="zh-CN"/>
              </w:rPr>
              <w:t xml:space="preserve">是</w:t>
            </w:r>
            <w:r/>
          </w:p>
        </w:tc>
      </w:tr>
      <w:tr>
        <w:trPr>
          <w:jc w:val="center"/>
        </w:trPr>
        <w:tc>
          <w:tcPr>
            <w:tcW w:w="519" w:type="dxa"/>
            <w:vAlign w:val="center"/>
            <w:textDirection w:val="lrTb"/>
            <w:noWrap w:val="false"/>
          </w:tcPr>
          <w:p>
            <w:pPr>
              <w:jc w:val="center"/>
              <w:spacing w:line="264" w:lineRule="auto"/>
              <w:rPr>
                <w:rFonts w:ascii="宋体" w:hAnsi="宋体" w:cs="宋体"/>
                <w:color w:val="000000"/>
                <w:spacing w:val="-2"/>
                <w:highlight w:val="none"/>
              </w:rPr>
            </w:pPr>
            <w:r>
              <w:rPr>
                <w:rFonts w:hint="eastAsia" w:ascii="宋体" w:hAnsi="宋体" w:cs="宋体"/>
                <w:color w:val="000000"/>
                <w:highlight w:val="none"/>
              </w:rPr>
              <w:t xml:space="preserve">2.2</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rPr>
            </w:pPr>
            <w:r>
              <w:rPr>
                <w:rFonts w:hint="eastAsia" w:ascii="宋体" w:hAnsi="宋体" w:cs="宋体"/>
                <w:color w:val="000000"/>
                <w:spacing w:val="-2"/>
                <w:szCs w:val="22"/>
                <w:highlight w:val="none"/>
              </w:rPr>
              <w:t xml:space="preserve">应急处理预案</w:t>
            </w:r>
            <w:r/>
          </w:p>
        </w:tc>
        <w:tc>
          <w:tcPr>
            <w:tcW w:w="6616" w:type="dxa"/>
            <w:vAlign w:val="center"/>
            <w:textDirection w:val="lrTb"/>
            <w:noWrap w:val="false"/>
          </w:tcPr>
          <w:p>
            <w:pPr>
              <w:rPr>
                <w:color w:val="000000"/>
                <w:highlight w:val="none"/>
              </w:rPr>
            </w:pPr>
            <w:r>
              <w:rPr>
                <w:rFonts w:hint="eastAsia"/>
                <w:color w:val="000000"/>
                <w:highlight w:val="none"/>
              </w:rPr>
              <w:t xml:space="preserve">根据本项目采购需求中“技术要求”相关内容编制方案，内容包含：1.突发事件响应总体思路；2.应急处理程序；3.各类突发事件（如：公共安全类突发事件、自然灾害类突发事件）处理流程；4.各类迎查处理流程；5.应急保障能力建设。以上每项内容逐项评分：</w:t>
            </w:r>
            <w:r/>
          </w:p>
          <w:p>
            <w:pPr>
              <w:rPr>
                <w:color w:val="000000"/>
                <w:highlight w:val="none"/>
              </w:rPr>
            </w:pPr>
            <w:r>
              <w:rPr>
                <w:color w:val="000000"/>
                <w:highlight w:val="none"/>
              </w:rPr>
              <w:t xml:space="preserve">方案内容</w:t>
            </w:r>
            <w:r>
              <w:rPr>
                <w:rFonts w:hint="eastAsia"/>
                <w:color w:val="000000"/>
                <w:highlight w:val="none"/>
              </w:rPr>
              <w:t xml:space="preserve">完备健全，且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p>
          <w:p>
            <w:pPr>
              <w:rPr>
                <w:rFonts w:hint="eastAsia" w:ascii="宋体" w:hAnsi="宋体" w:cs="宋体"/>
                <w:color w:val="000000"/>
                <w:highlight w:val="none"/>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1</w:t>
            </w:r>
            <w:r>
              <w:rPr>
                <w:color w:val="000000"/>
                <w:highlight w:val="none"/>
              </w:rPr>
              <w:t xml:space="preserve">分；部分符合得</w:t>
            </w:r>
            <w:r>
              <w:rPr>
                <w:rFonts w:hint="eastAsia"/>
                <w:color w:val="000000"/>
                <w:highlight w:val="none"/>
              </w:rPr>
              <w:t xml:space="preserve">0.5</w:t>
            </w:r>
            <w:r>
              <w:rPr>
                <w:color w:val="000000"/>
                <w:highlight w:val="none"/>
              </w:rPr>
              <w:t xml:space="preserve">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lang w:val="en-US" w:eastAsia="zh-CN"/>
              </w:rPr>
              <w:t xml:space="preserve">是</w:t>
            </w:r>
            <w:r/>
          </w:p>
        </w:tc>
      </w:tr>
      <w:tr>
        <w:trPr>
          <w:jc w:val="center"/>
        </w:trPr>
        <w:tc>
          <w:tcPr>
            <w:tcW w:w="519" w:type="dxa"/>
            <w:vAlign w:val="center"/>
            <w:textDirection w:val="lrTb"/>
            <w:noWrap w:val="false"/>
          </w:tcPr>
          <w:p>
            <w:pPr>
              <w:jc w:val="center"/>
              <w:spacing w:line="264" w:lineRule="auto"/>
              <w:rPr>
                <w:rFonts w:hint="eastAsia" w:ascii="宋体" w:hAnsi="宋体" w:cs="宋体"/>
                <w:color w:val="000000"/>
                <w:spacing w:val="-2"/>
                <w:highlight w:val="none"/>
              </w:rPr>
            </w:pPr>
            <w:r>
              <w:rPr>
                <w:rFonts w:hint="eastAsia" w:ascii="宋体" w:hAnsi="宋体" w:cs="宋体"/>
                <w:color w:val="000000"/>
                <w:highlight w:val="none"/>
              </w:rPr>
              <w:t xml:space="preserve">2.3</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rPr>
            </w:pPr>
            <w:r>
              <w:rPr>
                <w:rFonts w:hint="eastAsia" w:ascii="宋体" w:hAnsi="宋体" w:cs="宋体"/>
                <w:color w:val="000000"/>
                <w:spacing w:val="-2"/>
                <w:szCs w:val="22"/>
                <w:highlight w:val="none"/>
              </w:rPr>
              <w:t xml:space="preserve">进场交接过渡方案</w:t>
            </w:r>
            <w:r/>
          </w:p>
        </w:tc>
        <w:tc>
          <w:tcPr>
            <w:tcW w:w="6616" w:type="dxa"/>
            <w:vAlign w:val="center"/>
            <w:textDirection w:val="lrTb"/>
            <w:noWrap w:val="false"/>
          </w:tcPr>
          <w:p>
            <w:pPr>
              <w:rPr>
                <w:color w:val="000000"/>
                <w:highlight w:val="none"/>
              </w:rPr>
            </w:pPr>
            <w:r>
              <w:rPr>
                <w:rFonts w:hint="eastAsia"/>
                <w:color w:val="000000"/>
                <w:highlight w:val="none"/>
              </w:rPr>
              <w:t xml:space="preserve">根据本项目采购需求中“技术要求”相关内容编制方案，内容包含：1.整体交接实施流程规划；2.现场交接配套保障措施；3.关键交接重难点预判与处置方案；4.过渡期平稳运营保障预案；5.交接验收与闭环管控机制。以上每项内容逐项评分：</w:t>
            </w:r>
            <w:r/>
          </w:p>
          <w:p>
            <w:pPr>
              <w:rPr>
                <w:color w:val="000000"/>
                <w:highlight w:val="none"/>
              </w:rPr>
            </w:pPr>
            <w:r>
              <w:rPr>
                <w:color w:val="000000"/>
                <w:highlight w:val="none"/>
              </w:rPr>
              <w:t xml:space="preserve">方案内容</w:t>
            </w:r>
            <w:r>
              <w:rPr>
                <w:rFonts w:hint="eastAsia"/>
                <w:color w:val="000000"/>
                <w:highlight w:val="none"/>
              </w:rPr>
              <w:t xml:space="preserve">完备健全，且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p>
          <w:p>
            <w:pPr>
              <w:rPr>
                <w:rFonts w:hint="eastAsia" w:ascii="宋体" w:hAnsi="宋体" w:cs="宋体"/>
                <w:color w:val="000000"/>
                <w:highlight w:val="none"/>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1</w:t>
            </w:r>
            <w:r>
              <w:rPr>
                <w:color w:val="000000"/>
                <w:highlight w:val="none"/>
              </w:rPr>
              <w:t xml:space="preserve">分；部分符合得</w:t>
            </w:r>
            <w:r>
              <w:rPr>
                <w:rFonts w:hint="eastAsia"/>
                <w:color w:val="000000"/>
                <w:highlight w:val="none"/>
              </w:rPr>
              <w:t xml:space="preserve">0.5</w:t>
            </w:r>
            <w:r>
              <w:rPr>
                <w:color w:val="000000"/>
                <w:highlight w:val="none"/>
              </w:rPr>
              <w:t xml:space="preserve">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lang w:val="en-US" w:eastAsia="zh-CN"/>
              </w:rPr>
              <w:t xml:space="preserve">是</w:t>
            </w:r>
            <w:r/>
          </w:p>
        </w:tc>
      </w:tr>
      <w:tr>
        <w:trPr>
          <w:jc w:val="center"/>
        </w:trPr>
        <w:tc>
          <w:tcPr>
            <w:tcW w:w="519" w:type="dxa"/>
            <w:vAlign w:val="center"/>
            <w:textDirection w:val="lrTb"/>
            <w:noWrap w:val="false"/>
          </w:tcPr>
          <w:p>
            <w:pPr>
              <w:jc w:val="center"/>
              <w:spacing w:line="264" w:lineRule="auto"/>
              <w:rPr>
                <w:rFonts w:hint="eastAsia" w:ascii="宋体" w:hAnsi="宋体" w:cs="宋体"/>
                <w:color w:val="000000"/>
                <w:spacing w:val="-2"/>
                <w:highlight w:val="none"/>
              </w:rPr>
            </w:pPr>
            <w:r>
              <w:rPr>
                <w:rFonts w:hint="eastAsia" w:ascii="宋体" w:hAnsi="宋体" w:cs="宋体"/>
                <w:color w:val="000000"/>
                <w:highlight w:val="none"/>
              </w:rPr>
              <w:t xml:space="preserve">2.4</w:t>
            </w:r>
            <w:r/>
          </w:p>
        </w:tc>
        <w:tc>
          <w:tcPr>
            <w:tcW w:w="1179" w:type="dxa"/>
            <w:vAlign w:val="center"/>
            <w:textDirection w:val="lrTb"/>
            <w:noWrap w:val="false"/>
          </w:tcPr>
          <w:p>
            <w:pPr>
              <w:jc w:val="left"/>
              <w:spacing w:before="68" w:line="264" w:lineRule="auto"/>
              <w:rPr>
                <w:rFonts w:hint="eastAsia" w:ascii="宋体" w:hAnsi="宋体" w:cs="宋体"/>
                <w:color w:val="000000"/>
                <w:spacing w:val="-2"/>
                <w:szCs w:val="22"/>
                <w:highlight w:val="none"/>
              </w:rPr>
            </w:pPr>
            <w:r>
              <w:rPr>
                <w:rFonts w:hint="eastAsia" w:ascii="宋体" w:hAnsi="宋体" w:cs="宋体"/>
                <w:color w:val="000000"/>
                <w:spacing w:val="-2"/>
                <w:szCs w:val="22"/>
                <w:highlight w:val="none"/>
              </w:rPr>
              <w:t xml:space="preserve">人员培训方案</w:t>
            </w:r>
            <w:r/>
          </w:p>
        </w:tc>
        <w:tc>
          <w:tcPr>
            <w:tcW w:w="6616" w:type="dxa"/>
            <w:vAlign w:val="center"/>
            <w:textDirection w:val="lrTb"/>
            <w:noWrap w:val="false"/>
          </w:tcPr>
          <w:p>
            <w:pPr>
              <w:rPr>
                <w:color w:val="000000"/>
                <w:highlight w:val="none"/>
              </w:rPr>
            </w:pPr>
            <w:r>
              <w:rPr>
                <w:rFonts w:hint="eastAsia"/>
                <w:color w:val="000000"/>
                <w:highlight w:val="none"/>
              </w:rPr>
              <w:t xml:space="preserve">根据本项目采购需求中“技术要求”相关内容编制方案，内容包含：1.培训总体目标；2.培训实施计划；3.培训组织方式；4.培训内容及师资安排；5.培训考核与效果保障措施。以上每项内容逐项评分：</w:t>
            </w:r>
            <w:r/>
          </w:p>
          <w:p>
            <w:pPr>
              <w:rPr>
                <w:color w:val="000000"/>
                <w:highlight w:val="none"/>
              </w:rPr>
            </w:pPr>
            <w:r>
              <w:rPr>
                <w:color w:val="000000"/>
                <w:highlight w:val="none"/>
              </w:rPr>
              <w:t xml:space="preserve">方案内容</w:t>
            </w:r>
            <w:r>
              <w:rPr>
                <w:rFonts w:hint="eastAsia"/>
                <w:color w:val="000000"/>
                <w:highlight w:val="none"/>
              </w:rPr>
              <w:t xml:space="preserve">完整详细，且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p>
          <w:p>
            <w:pPr>
              <w:rPr>
                <w:rFonts w:hint="eastAsia" w:ascii="宋体" w:hAnsi="宋体" w:cs="宋体"/>
                <w:color w:val="000000"/>
                <w:highlight w:val="none"/>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1</w:t>
            </w:r>
            <w:r>
              <w:rPr>
                <w:color w:val="000000"/>
                <w:highlight w:val="none"/>
              </w:rPr>
              <w:t xml:space="preserve">分；部分符合得</w:t>
            </w:r>
            <w:r>
              <w:rPr>
                <w:rFonts w:hint="eastAsia"/>
                <w:color w:val="000000"/>
                <w:highlight w:val="none"/>
              </w:rPr>
              <w:t xml:space="preserve">0.5</w:t>
            </w:r>
            <w:r>
              <w:rPr>
                <w:color w:val="000000"/>
                <w:highlight w:val="none"/>
              </w:rPr>
              <w:t xml:space="preserve">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lang w:val="en-US" w:eastAsia="zh-CN"/>
              </w:rPr>
              <w:t xml:space="preserve">是</w:t>
            </w:r>
            <w:r/>
          </w:p>
        </w:tc>
      </w:tr>
      <w:tr>
        <w:trPr>
          <w:jc w:val="center"/>
        </w:trPr>
        <w:tc>
          <w:tcPr>
            <w:tcW w:w="519" w:type="dxa"/>
            <w:vAlign w:val="center"/>
            <w:textDirection w:val="lrTb"/>
            <w:noWrap w:val="false"/>
          </w:tcPr>
          <w:p>
            <w:pPr>
              <w:jc w:val="center"/>
              <w:spacing w:line="264" w:lineRule="auto"/>
              <w:rPr>
                <w:rFonts w:hint="eastAsia" w:ascii="宋体" w:hAnsi="宋体" w:cs="宋体"/>
                <w:color w:val="000000"/>
                <w:spacing w:val="-2"/>
                <w:highlight w:val="none"/>
              </w:rPr>
            </w:pPr>
            <w:r>
              <w:rPr>
                <w:rFonts w:hint="eastAsia" w:ascii="宋体" w:hAnsi="宋体" w:cs="宋体"/>
                <w:color w:val="000000"/>
                <w:highlight w:val="none"/>
              </w:rPr>
              <w:t xml:space="preserve">2.5</w:t>
            </w:r>
            <w:r/>
          </w:p>
        </w:tc>
        <w:tc>
          <w:tcPr>
            <w:tcW w:w="1179" w:type="dxa"/>
            <w:vAlign w:val="center"/>
            <w:textDirection w:val="lrTb"/>
            <w:noWrap w:val="false"/>
          </w:tcPr>
          <w:p>
            <w:pPr>
              <w:jc w:val="left"/>
              <w:spacing w:before="68" w:line="264" w:lineRule="auto"/>
              <w:rPr>
                <w:rFonts w:hint="eastAsia" w:ascii="宋体" w:hAnsi="宋体" w:cs="宋体"/>
                <w:color w:val="000000"/>
                <w:spacing w:val="-2"/>
                <w:szCs w:val="22"/>
                <w:highlight w:val="none"/>
              </w:rPr>
            </w:pPr>
            <w:r>
              <w:rPr>
                <w:rFonts w:hint="eastAsia" w:ascii="宋体" w:hAnsi="宋体" w:cs="宋体"/>
                <w:color w:val="000000"/>
                <w:spacing w:val="-2"/>
                <w:szCs w:val="22"/>
                <w:highlight w:val="none"/>
              </w:rPr>
              <w:t xml:space="preserve">管理规章制度</w:t>
            </w:r>
            <w:r/>
          </w:p>
        </w:tc>
        <w:tc>
          <w:tcPr>
            <w:tcW w:w="6616" w:type="dxa"/>
            <w:vAlign w:val="center"/>
            <w:textDirection w:val="lrTb"/>
            <w:noWrap w:val="false"/>
          </w:tcPr>
          <w:p>
            <w:pPr>
              <w:rPr>
                <w:color w:val="000000"/>
                <w:highlight w:val="none"/>
              </w:rPr>
            </w:pPr>
            <w:r>
              <w:rPr>
                <w:rFonts w:hint="eastAsia"/>
                <w:color w:val="000000"/>
                <w:highlight w:val="none"/>
              </w:rPr>
              <w:t xml:space="preserve">根据本项目采购需求中“技术要求”相关内容编制方案，内容包含：1.人员招聘制度；2.员工考勤管理制度；3.员工稳定保障措施；4.员工信息化管理制度；5.投诉及处理制度。以上每项内容逐项评分：</w:t>
            </w:r>
            <w:r/>
          </w:p>
          <w:p>
            <w:pPr>
              <w:rPr>
                <w:color w:val="000000"/>
                <w:highlight w:val="none"/>
              </w:rPr>
            </w:pPr>
            <w:r>
              <w:rPr>
                <w:color w:val="000000"/>
                <w:highlight w:val="none"/>
              </w:rPr>
              <w:t xml:space="preserve">方案内容</w:t>
            </w:r>
            <w:r>
              <w:rPr>
                <w:rFonts w:hint="eastAsia"/>
                <w:color w:val="000000"/>
                <w:highlight w:val="none"/>
              </w:rPr>
              <w:t xml:space="preserve">完整详细，且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p>
          <w:p>
            <w:pPr>
              <w:rPr>
                <w:rFonts w:hint="eastAsia" w:ascii="宋体" w:hAnsi="宋体" w:cs="宋体"/>
                <w:color w:val="000000"/>
                <w:highlight w:val="none"/>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1</w:t>
            </w:r>
            <w:r>
              <w:rPr>
                <w:color w:val="000000"/>
                <w:highlight w:val="none"/>
              </w:rPr>
              <w:t xml:space="preserve">分；部分符合得</w:t>
            </w:r>
            <w:r>
              <w:rPr>
                <w:rFonts w:hint="eastAsia"/>
                <w:color w:val="000000"/>
                <w:highlight w:val="none"/>
              </w:rPr>
              <w:t xml:space="preserve">0.5</w:t>
            </w:r>
            <w:r>
              <w:rPr>
                <w:color w:val="000000"/>
                <w:highlight w:val="none"/>
              </w:rPr>
              <w:t xml:space="preserve">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lang w:val="en-US" w:eastAsia="zh-CN"/>
              </w:rPr>
              <w:t xml:space="preserve">是</w:t>
            </w:r>
            <w:r/>
          </w:p>
        </w:tc>
      </w:tr>
      <w:tr>
        <w:trPr>
          <w:jc w:val="center"/>
        </w:trPr>
        <w:tc>
          <w:tcPr>
            <w:tcW w:w="519" w:type="dxa"/>
            <w:vAlign w:val="center"/>
            <w:textDirection w:val="lrTb"/>
            <w:noWrap w:val="false"/>
          </w:tcPr>
          <w:p>
            <w:pPr>
              <w:jc w:val="center"/>
              <w:spacing w:line="264" w:lineRule="auto"/>
              <w:rPr>
                <w:rFonts w:hint="eastAsia" w:ascii="宋体" w:hAnsi="宋体" w:cs="宋体"/>
                <w:color w:val="000000"/>
                <w:spacing w:val="-2"/>
                <w:highlight w:val="none"/>
              </w:rPr>
            </w:pPr>
            <w:r>
              <w:rPr>
                <w:rFonts w:hint="eastAsia" w:ascii="宋体" w:hAnsi="宋体" w:cs="宋体"/>
                <w:color w:val="000000"/>
                <w:highlight w:val="none"/>
              </w:rPr>
              <w:t xml:space="preserve">2.6</w:t>
            </w:r>
            <w:r/>
          </w:p>
        </w:tc>
        <w:tc>
          <w:tcPr>
            <w:tcW w:w="1179" w:type="dxa"/>
            <w:vAlign w:val="center"/>
            <w:textDirection w:val="lrTb"/>
            <w:noWrap w:val="false"/>
          </w:tcPr>
          <w:p>
            <w:pPr>
              <w:jc w:val="left"/>
              <w:spacing w:before="68" w:line="264" w:lineRule="auto"/>
              <w:rPr>
                <w:rFonts w:ascii="宋体" w:hAnsi="宋体" w:cs="宋体"/>
                <w:color w:val="000000"/>
                <w:spacing w:val="-2"/>
                <w:szCs w:val="22"/>
                <w:highlight w:val="none"/>
              </w:rPr>
            </w:pPr>
            <w:r>
              <w:rPr>
                <w:rFonts w:hint="eastAsia" w:ascii="宋体" w:hAnsi="宋体" w:cs="宋体"/>
                <w:color w:val="000000"/>
                <w:spacing w:val="-2"/>
                <w:szCs w:val="22"/>
                <w:highlight w:val="none"/>
              </w:rPr>
              <w:t xml:space="preserve">考核方案</w:t>
            </w:r>
            <w:r/>
          </w:p>
        </w:tc>
        <w:tc>
          <w:tcPr>
            <w:tcW w:w="6616" w:type="dxa"/>
            <w:vAlign w:val="center"/>
            <w:textDirection w:val="lrTb"/>
            <w:noWrap w:val="false"/>
          </w:tcPr>
          <w:p>
            <w:pPr>
              <w:rPr>
                <w:color w:val="000000"/>
                <w:highlight w:val="none"/>
              </w:rPr>
            </w:pPr>
            <w:r>
              <w:rPr>
                <w:rFonts w:hint="eastAsia"/>
                <w:color w:val="000000"/>
                <w:highlight w:val="none"/>
              </w:rPr>
              <w:t xml:space="preserve">根据本项目采购需求中“技术要求”相关内容编制方案，内容包含：1.分层分类考核标准体系；2.全周期考核实施保障措施；3.奖惩激励机制；4.仪容仪表专项考核管控要求；5.岗位行为规范考核管理细则。以上每项内容逐项评分：</w:t>
            </w:r>
            <w:r/>
          </w:p>
          <w:p>
            <w:pPr>
              <w:rPr>
                <w:color w:val="000000"/>
                <w:highlight w:val="none"/>
              </w:rPr>
            </w:pPr>
            <w:r>
              <w:rPr>
                <w:color w:val="000000"/>
                <w:highlight w:val="none"/>
              </w:rPr>
              <w:t xml:space="preserve">方案内容</w:t>
            </w:r>
            <w:r>
              <w:rPr>
                <w:rFonts w:hint="eastAsia"/>
                <w:color w:val="000000"/>
                <w:highlight w:val="none"/>
              </w:rPr>
              <w:t xml:space="preserve">完整详细，且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p>
          <w:p>
            <w:pPr>
              <w:rPr>
                <w:rFonts w:hint="eastAsia" w:ascii="宋体" w:hAnsi="宋体" w:cs="宋体"/>
                <w:color w:val="000000"/>
                <w:highlight w:val="none"/>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1</w:t>
            </w:r>
            <w:r>
              <w:rPr>
                <w:color w:val="000000"/>
                <w:highlight w:val="none"/>
              </w:rPr>
              <w:t xml:space="preserve">分；部分符合得</w:t>
            </w:r>
            <w:r>
              <w:rPr>
                <w:rFonts w:hint="eastAsia"/>
                <w:color w:val="000000"/>
                <w:highlight w:val="none"/>
              </w:rPr>
              <w:t xml:space="preserve">0.5</w:t>
            </w:r>
            <w:r>
              <w:rPr>
                <w:color w:val="000000"/>
                <w:highlight w:val="none"/>
              </w:rPr>
              <w:t xml:space="preserve">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lang w:val="en-US" w:eastAsia="zh-CN"/>
              </w:rPr>
              <w:t xml:space="preserve">是</w:t>
            </w:r>
            <w:r/>
          </w:p>
        </w:tc>
      </w:tr>
      <w:tr>
        <w:trPr>
          <w:jc w:val="center"/>
        </w:trPr>
        <w:tc>
          <w:tcPr>
            <w:tcW w:w="519" w:type="dxa"/>
            <w:vAlign w:val="center"/>
            <w:textDirection w:val="lrTb"/>
            <w:noWrap w:val="false"/>
          </w:tcPr>
          <w:p>
            <w:pPr>
              <w:jc w:val="center"/>
              <w:spacing w:line="264" w:lineRule="auto"/>
              <w:rPr>
                <w:rFonts w:hint="eastAsia" w:ascii="宋体" w:hAnsi="宋体" w:cs="宋体"/>
                <w:color w:val="000000"/>
                <w:spacing w:val="-2"/>
                <w:highlight w:val="none"/>
              </w:rPr>
            </w:pPr>
            <w:r>
              <w:rPr>
                <w:rFonts w:hint="eastAsia" w:ascii="宋体" w:hAnsi="宋体" w:cs="宋体"/>
                <w:color w:val="000000"/>
                <w:highlight w:val="none"/>
              </w:rPr>
              <w:t xml:space="preserve">2.7</w:t>
            </w:r>
            <w:r/>
          </w:p>
        </w:tc>
        <w:tc>
          <w:tcPr>
            <w:tcW w:w="1179" w:type="dxa"/>
            <w:vAlign w:val="center"/>
            <w:textDirection w:val="lrTb"/>
            <w:noWrap w:val="false"/>
          </w:tcPr>
          <w:p>
            <w:pPr>
              <w:jc w:val="left"/>
              <w:spacing w:before="68" w:line="264" w:lineRule="auto"/>
              <w:rPr>
                <w:rFonts w:hint="eastAsia" w:ascii="宋体" w:hAnsi="宋体" w:cs="宋体"/>
                <w:color w:val="000000"/>
                <w:spacing w:val="-2"/>
                <w:szCs w:val="22"/>
                <w:highlight w:val="none"/>
              </w:rPr>
            </w:pPr>
            <w:r>
              <w:rPr>
                <w:rFonts w:hint="eastAsia" w:ascii="宋体" w:hAnsi="宋体" w:cs="宋体"/>
                <w:color w:val="000000"/>
                <w:spacing w:val="-2"/>
                <w:szCs w:val="22"/>
                <w:highlight w:val="none"/>
                <w:lang w:val="en-US" w:eastAsia="zh-CN"/>
              </w:rPr>
              <w:t xml:space="preserve">台账</w:t>
            </w:r>
            <w:r>
              <w:rPr>
                <w:rFonts w:hint="eastAsia" w:ascii="宋体" w:hAnsi="宋体" w:cs="宋体"/>
                <w:color w:val="000000"/>
                <w:spacing w:val="-2"/>
                <w:szCs w:val="22"/>
                <w:highlight w:val="none"/>
              </w:rPr>
              <w:t xml:space="preserve">管理方案</w:t>
            </w:r>
            <w:r/>
          </w:p>
        </w:tc>
        <w:tc>
          <w:tcPr>
            <w:tcW w:w="6616" w:type="dxa"/>
            <w:vAlign w:val="center"/>
            <w:textDirection w:val="lrTb"/>
            <w:noWrap w:val="false"/>
          </w:tcPr>
          <w:p>
            <w:pPr>
              <w:rPr>
                <w:color w:val="000000"/>
                <w:highlight w:val="none"/>
              </w:rPr>
            </w:pPr>
            <w:r>
              <w:rPr>
                <w:rFonts w:hint="eastAsia"/>
                <w:color w:val="000000"/>
                <w:highlight w:val="none"/>
              </w:rPr>
              <w:t xml:space="preserve">根据本项目采购需求中“技术要求”相关内容编制方案，内容包含：1.</w:t>
            </w:r>
            <w:r>
              <w:rPr>
                <w:rFonts w:hint="eastAsia"/>
                <w:color w:val="000000"/>
                <w:highlight w:val="none"/>
                <w:lang w:val="en-US" w:eastAsia="zh-CN"/>
              </w:rPr>
              <w:t xml:space="preserve">台账</w:t>
            </w:r>
            <w:r>
              <w:rPr>
                <w:rFonts w:hint="eastAsia"/>
                <w:color w:val="000000"/>
                <w:highlight w:val="none"/>
              </w:rPr>
              <w:t xml:space="preserve">分类规整体系；2.</w:t>
            </w:r>
            <w:r>
              <w:rPr>
                <w:rFonts w:hint="eastAsia"/>
                <w:color w:val="000000"/>
                <w:highlight w:val="none"/>
                <w:lang w:val="en-US" w:eastAsia="zh-CN"/>
              </w:rPr>
              <w:t xml:space="preserve">台账</w:t>
            </w:r>
            <w:r>
              <w:rPr>
                <w:rFonts w:hint="eastAsia"/>
                <w:color w:val="000000"/>
                <w:highlight w:val="none"/>
              </w:rPr>
              <w:t xml:space="preserve">收集与整理规范；3.</w:t>
            </w:r>
            <w:r>
              <w:rPr>
                <w:rFonts w:hint="eastAsia"/>
                <w:color w:val="000000"/>
                <w:highlight w:val="none"/>
                <w:lang w:val="en-US" w:eastAsia="zh-CN"/>
              </w:rPr>
              <w:t xml:space="preserve">台账</w:t>
            </w:r>
            <w:r>
              <w:rPr>
                <w:rFonts w:hint="eastAsia"/>
                <w:color w:val="000000"/>
                <w:highlight w:val="none"/>
              </w:rPr>
              <w:t xml:space="preserve">存放与保管措施；4.</w:t>
            </w:r>
            <w:r>
              <w:rPr>
                <w:rFonts w:hint="eastAsia"/>
                <w:color w:val="000000"/>
                <w:highlight w:val="none"/>
                <w:lang w:val="en-US" w:eastAsia="zh-CN"/>
              </w:rPr>
              <w:t xml:space="preserve">台账</w:t>
            </w:r>
            <w:r>
              <w:rPr>
                <w:rFonts w:hint="eastAsia"/>
                <w:color w:val="000000"/>
                <w:highlight w:val="none"/>
              </w:rPr>
              <w:t xml:space="preserve">借阅查阅管理制度；5.</w:t>
            </w:r>
            <w:r>
              <w:rPr>
                <w:rFonts w:hint="eastAsia"/>
                <w:color w:val="000000"/>
                <w:highlight w:val="none"/>
                <w:lang w:val="en-US" w:eastAsia="zh-CN"/>
              </w:rPr>
              <w:t xml:space="preserve">台账</w:t>
            </w:r>
            <w:r>
              <w:rPr>
                <w:rFonts w:hint="eastAsia"/>
                <w:color w:val="000000"/>
                <w:highlight w:val="none"/>
              </w:rPr>
              <w:t xml:space="preserve">保密与安全防控机制。以上每项内容逐项评分：</w:t>
            </w:r>
            <w:r/>
          </w:p>
          <w:p>
            <w:pPr>
              <w:rPr>
                <w:color w:val="000000"/>
                <w:highlight w:val="none"/>
              </w:rPr>
            </w:pPr>
            <w:r>
              <w:rPr>
                <w:color w:val="000000"/>
                <w:highlight w:val="none"/>
              </w:rPr>
              <w:t xml:space="preserve">方案内容</w:t>
            </w:r>
            <w:r>
              <w:rPr>
                <w:rFonts w:hint="eastAsia"/>
                <w:color w:val="000000"/>
                <w:highlight w:val="none"/>
              </w:rPr>
              <w:t xml:space="preserve">完整详细，且</w:t>
            </w:r>
            <w:r>
              <w:rPr>
                <w:color w:val="000000"/>
                <w:highlight w:val="none"/>
              </w:rPr>
              <w:t xml:space="preserve">专门针对本项目，</w:t>
            </w:r>
            <w:r>
              <w:rPr>
                <w:rFonts w:hint="eastAsia"/>
                <w:color w:val="000000"/>
                <w:highlight w:val="none"/>
              </w:rPr>
              <w:t xml:space="preserve">契合</w:t>
            </w:r>
            <w:r>
              <w:rPr>
                <w:color w:val="000000"/>
                <w:highlight w:val="none"/>
              </w:rPr>
              <w:t xml:space="preserve">采购需求视为符合；方案内容属于通用类，非专门针对本项目，部分</w:t>
            </w:r>
            <w:r>
              <w:rPr>
                <w:rFonts w:hint="eastAsia"/>
                <w:color w:val="000000"/>
                <w:highlight w:val="none"/>
              </w:rPr>
              <w:t xml:space="preserve">契合采购需求</w:t>
            </w:r>
            <w:r>
              <w:rPr>
                <w:color w:val="000000"/>
                <w:highlight w:val="none"/>
              </w:rPr>
              <w:t xml:space="preserve">视为部分符合；方案内容非专门针对本项目</w:t>
            </w:r>
            <w:r>
              <w:rPr>
                <w:rFonts w:hint="eastAsia"/>
                <w:color w:val="000000"/>
                <w:highlight w:val="none"/>
              </w:rPr>
              <w:t xml:space="preserve">，脱离</w:t>
            </w:r>
            <w:r>
              <w:rPr>
                <w:color w:val="000000"/>
                <w:highlight w:val="none"/>
              </w:rPr>
              <w:t xml:space="preserve">采购需求视为不符合。</w:t>
            </w:r>
            <w:r/>
          </w:p>
          <w:p>
            <w:pPr>
              <w:rPr>
                <w:rFonts w:hint="eastAsia" w:ascii="宋体" w:hAnsi="宋体" w:cs="宋体"/>
                <w:color w:val="000000"/>
                <w:highlight w:val="none"/>
              </w:rPr>
            </w:pPr>
            <w:r>
              <w:rPr>
                <w:rFonts w:hint="eastAsia"/>
                <w:color w:val="000000"/>
                <w:highlight w:val="none"/>
              </w:rPr>
              <w:t xml:space="preserve">上述每项内容</w:t>
            </w:r>
            <w:r>
              <w:rPr>
                <w:color w:val="000000"/>
                <w:highlight w:val="none"/>
              </w:rPr>
              <w:t xml:space="preserve">符合得</w:t>
            </w:r>
            <w:r>
              <w:rPr>
                <w:rFonts w:hint="eastAsia"/>
                <w:color w:val="000000"/>
                <w:highlight w:val="none"/>
              </w:rPr>
              <w:t xml:space="preserve">1</w:t>
            </w:r>
            <w:r>
              <w:rPr>
                <w:color w:val="000000"/>
                <w:highlight w:val="none"/>
              </w:rPr>
              <w:t xml:space="preserve">分；部分符合得</w:t>
            </w:r>
            <w:r>
              <w:rPr>
                <w:rFonts w:hint="eastAsia"/>
                <w:color w:val="000000"/>
                <w:highlight w:val="none"/>
              </w:rPr>
              <w:t xml:space="preserve">0.5</w:t>
            </w:r>
            <w:r>
              <w:rPr>
                <w:color w:val="000000"/>
                <w:highlight w:val="none"/>
              </w:rPr>
              <w:t xml:space="preserve">分；不符合或不提供不得分。</w:t>
            </w:r>
            <w:r/>
          </w:p>
        </w:tc>
        <w:tc>
          <w:tcPr>
            <w:tcW w:w="573" w:type="dxa"/>
            <w:vAlign w:val="center"/>
            <w:textDirection w:val="lrTb"/>
            <w:noWrap w:val="false"/>
          </w:tcPr>
          <w:p>
            <w:pPr>
              <w:jc w:val="center"/>
              <w:spacing w:before="69" w:line="264" w:lineRule="auto"/>
              <w:rPr>
                <w:rFonts w:hint="eastAsia" w:ascii="宋体" w:hAnsi="宋体" w:cs="宋体"/>
                <w:color w:val="000000"/>
                <w:szCs w:val="22"/>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ascii="宋体" w:hAnsi="宋体" w:cs="宋体"/>
                <w:color w:val="000000"/>
                <w:highlight w:val="none"/>
              </w:rPr>
            </w:pPr>
            <w:r>
              <w:rPr>
                <w:rFonts w:ascii="宋体" w:hAnsi="宋体" w:cs="宋体"/>
                <w:color w:val="000000"/>
                <w:spacing w:val="-6"/>
                <w:highlight w:val="none"/>
              </w:rPr>
              <w:t xml:space="preserve">主</w:t>
            </w:r>
            <w:r>
              <w:rPr>
                <w:rFonts w:ascii="宋体" w:hAnsi="宋体" w:cs="宋体"/>
                <w:color w:val="000000"/>
                <w:spacing w:val="-4"/>
                <w:highlight w:val="none"/>
              </w:rPr>
              <w:t xml:space="preserve">观</w:t>
            </w:r>
            <w:r>
              <w:rPr>
                <w:rFonts w:hint="eastAsia" w:ascii="宋体" w:hAnsi="宋体" w:cs="宋体"/>
                <w:color w:val="000000"/>
                <w:spacing w:val="-4"/>
                <w:highlight w:val="none"/>
              </w:rPr>
              <w:t xml:space="preserve">分</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b/>
                <w:bCs/>
                <w:color w:val="000000"/>
                <w:spacing w:val="-6"/>
                <w:highlight w:val="none"/>
                <w:lang w:val="en-US" w:eastAsia="zh-CN"/>
              </w:rPr>
              <w:t xml:space="preserve">是</w:t>
            </w:r>
            <w:r/>
          </w:p>
        </w:tc>
      </w:tr>
      <w:tr>
        <w:trPr>
          <w:jc w:val="center"/>
        </w:trPr>
        <w:tc>
          <w:tcPr>
            <w:tcW w:w="519"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2.8</w:t>
            </w:r>
            <w:r/>
          </w:p>
        </w:tc>
        <w:tc>
          <w:tcPr>
            <w:tcW w:w="1179" w:type="dxa"/>
            <w:vAlign w:val="center"/>
            <w:textDirection w:val="lrTb"/>
            <w:noWrap w:val="false"/>
          </w:tcPr>
          <w:p>
            <w:pPr>
              <w:jc w:val="left"/>
              <w:spacing w:before="68" w:line="264" w:lineRule="auto"/>
              <w:rPr>
                <w:rFonts w:hint="eastAsia" w:ascii="宋体" w:hAnsi="宋体" w:cs="宋体"/>
                <w:color w:val="000000"/>
                <w:spacing w:val="-2"/>
                <w:szCs w:val="22"/>
                <w:highlight w:val="none"/>
              </w:rPr>
            </w:pPr>
            <w:r>
              <w:rPr>
                <w:rFonts w:hint="eastAsia" w:ascii="宋体" w:hAnsi="宋体" w:cs="宋体"/>
                <w:color w:val="000000"/>
                <w:spacing w:val="-2"/>
                <w:szCs w:val="22"/>
                <w:highlight w:val="none"/>
              </w:rPr>
              <w:t xml:space="preserve">岗位津贴方案</w:t>
            </w:r>
            <w:r/>
          </w:p>
        </w:tc>
        <w:tc>
          <w:tcPr>
            <w:tcW w:w="6616" w:type="dxa"/>
            <w:vAlign w:val="center"/>
            <w:textDirection w:val="lrTb"/>
            <w:noWrap w:val="false"/>
          </w:tcPr>
          <w:p>
            <w:pPr>
              <w:rPr>
                <w:rFonts w:hint="eastAsia"/>
                <w:b w:val="0"/>
                <w:bCs w:val="0"/>
                <w:color w:val="000000"/>
                <w:highlight w:val="none"/>
              </w:rPr>
            </w:pPr>
            <w:r>
              <w:rPr>
                <w:color w:val="000000"/>
                <w:highlight w:val="none"/>
              </w:rPr>
              <w:t xml:space="preserve">根据本项目采购需求中“报价要求”相关内容编制员工岗位津贴方案</w:t>
            </w:r>
            <w:r>
              <w:rPr>
                <w:rFonts w:hint="eastAsia"/>
                <w:color w:val="000000"/>
                <w:highlight w:val="none"/>
                <w:lang w:eastAsia="zh-CN"/>
              </w:rPr>
              <w:t xml:space="preserve">，</w:t>
            </w:r>
            <w:r>
              <w:rPr>
                <w:color w:val="000000"/>
                <w:highlight w:val="none"/>
              </w:rPr>
              <w:t xml:space="preserve">方案包含：</w:t>
            </w:r>
            <w:r>
              <w:rPr>
                <w:rFonts w:hint="eastAsia"/>
                <w:color w:val="000000"/>
                <w:highlight w:val="none"/>
              </w:rPr>
              <w:t xml:space="preserve">1.</w:t>
            </w:r>
            <w:r>
              <w:rPr>
                <w:color w:val="000000"/>
                <w:highlight w:val="none"/>
              </w:rPr>
              <w:t xml:space="preserve">体系设计；</w:t>
            </w:r>
            <w:r>
              <w:rPr>
                <w:rFonts w:hint="eastAsia"/>
                <w:color w:val="000000"/>
                <w:highlight w:val="none"/>
              </w:rPr>
              <w:t xml:space="preserve">2.</w:t>
            </w:r>
            <w:r>
              <w:rPr>
                <w:color w:val="000000"/>
                <w:highlight w:val="none"/>
              </w:rPr>
              <w:t xml:space="preserve">标准设定与发放规范</w:t>
            </w:r>
            <w:r>
              <w:rPr>
                <w:b w:val="0"/>
                <w:bCs w:val="0"/>
                <w:color w:val="000000"/>
                <w:highlight w:val="none"/>
              </w:rPr>
              <w:t xml:space="preserve">；</w:t>
            </w:r>
            <w:r>
              <w:rPr>
                <w:rFonts w:hint="eastAsia"/>
                <w:b w:val="0"/>
                <w:bCs w:val="0"/>
                <w:color w:val="000000"/>
                <w:highlight w:val="none"/>
              </w:rPr>
              <w:t xml:space="preserve">3.</w:t>
            </w:r>
            <w:r>
              <w:rPr>
                <w:b w:val="0"/>
                <w:bCs w:val="0"/>
                <w:color w:val="000000"/>
                <w:highlight w:val="none"/>
              </w:rPr>
              <w:t xml:space="preserve">动态调整机制；</w:t>
            </w:r>
            <w:r>
              <w:rPr>
                <w:rFonts w:hint="eastAsia"/>
                <w:b w:val="0"/>
                <w:bCs w:val="0"/>
                <w:color w:val="000000"/>
                <w:highlight w:val="none"/>
              </w:rPr>
              <w:t xml:space="preserve">4.</w:t>
            </w:r>
            <w:r>
              <w:rPr>
                <w:b w:val="0"/>
                <w:bCs w:val="0"/>
                <w:color w:val="000000"/>
                <w:highlight w:val="none"/>
              </w:rPr>
              <w:t xml:space="preserve">与</w:t>
            </w:r>
            <w:r>
              <w:rPr>
                <w:rFonts w:hint="eastAsia"/>
                <w:b w:val="0"/>
                <w:bCs w:val="0"/>
                <w:color w:val="000000"/>
                <w:highlight w:val="none"/>
              </w:rPr>
              <w:t xml:space="preserve">奖惩</w:t>
            </w:r>
            <w:r>
              <w:rPr>
                <w:b w:val="0"/>
                <w:bCs w:val="0"/>
                <w:color w:val="000000"/>
                <w:highlight w:val="none"/>
              </w:rPr>
              <w:t xml:space="preserve">考核联动；</w:t>
            </w:r>
            <w:r>
              <w:rPr>
                <w:rFonts w:hint="eastAsia"/>
                <w:b w:val="0"/>
                <w:bCs w:val="0"/>
                <w:color w:val="000000"/>
                <w:highlight w:val="none"/>
              </w:rPr>
              <w:t xml:space="preserve">5.人员稳定性保障</w:t>
            </w:r>
            <w:r>
              <w:rPr>
                <w:b w:val="0"/>
                <w:bCs w:val="0"/>
                <w:color w:val="000000"/>
                <w:highlight w:val="none"/>
              </w:rPr>
              <w:t xml:space="preserve">。</w:t>
            </w:r>
            <w:r/>
          </w:p>
          <w:p>
            <w:pPr>
              <w:rPr>
                <w:b w:val="0"/>
                <w:bCs w:val="0"/>
                <w:color w:val="000000"/>
                <w:highlight w:val="none"/>
              </w:rPr>
            </w:pPr>
            <w:r>
              <w:rPr>
                <w:b w:val="0"/>
                <w:bCs w:val="0"/>
                <w:color w:val="000000"/>
                <w:highlight w:val="none"/>
              </w:rP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rPr>
                <w:rFonts w:hint="eastAsia"/>
                <w:color w:val="000000"/>
                <w:highlight w:val="none"/>
              </w:rPr>
            </w:pPr>
            <w:r>
              <w:rPr>
                <w:b w:val="0"/>
                <w:bCs w:val="0"/>
                <w:color w:val="000000"/>
                <w:highlight w:val="none"/>
              </w:rPr>
              <w:t xml:space="preserve">上述每项内容符合得1分；部分符合得0.5分；不符</w:t>
            </w:r>
            <w:r>
              <w:rPr>
                <w:color w:val="000000"/>
                <w:highlight w:val="none"/>
              </w:rPr>
              <w:t xml:space="preserve">合或不提供不得分。</w:t>
            </w:r>
            <w:r/>
          </w:p>
        </w:tc>
        <w:tc>
          <w:tcPr>
            <w:tcW w:w="573" w:type="dxa"/>
            <w:vAlign w:val="center"/>
            <w:textDirection w:val="lrTb"/>
            <w:noWrap w:val="false"/>
          </w:tcPr>
          <w:p>
            <w:pPr>
              <w:jc w:val="center"/>
              <w:spacing w:before="69" w:line="264" w:lineRule="auto"/>
              <w:rPr>
                <w:rFonts w:hint="eastAsia"/>
                <w:color w:val="000000"/>
                <w:highlight w:val="none"/>
              </w:rPr>
            </w:pPr>
            <w:r>
              <w:rPr>
                <w:rFonts w:hint="eastAsia"/>
                <w:color w:val="000000"/>
                <w:highlight w:val="none"/>
              </w:rPr>
              <w:t xml:space="preserve">5</w:t>
            </w:r>
            <w:r/>
          </w:p>
        </w:tc>
        <w:tc>
          <w:tcPr>
            <w:tcW w:w="783" w:type="dxa"/>
            <w:vAlign w:val="center"/>
            <w:textDirection w:val="lrTb"/>
            <w:noWrap w:val="false"/>
          </w:tcPr>
          <w:p>
            <w:pPr>
              <w:jc w:val="center"/>
              <w:spacing w:before="68" w:line="264" w:lineRule="auto"/>
              <w:rPr>
                <w:rFonts w:ascii="宋体" w:hAnsi="宋体" w:cs="宋体"/>
                <w:color w:val="000000"/>
                <w:spacing w:val="-6"/>
                <w:highlight w:val="none"/>
              </w:rPr>
            </w:pPr>
            <w:r>
              <w:rPr>
                <w:rFonts w:hint="eastAsia" w:ascii="宋体" w:hAnsi="宋体" w:cs="宋体"/>
                <w:color w:val="000000"/>
                <w:spacing w:val="-6"/>
                <w:highlight w:val="none"/>
              </w:rPr>
              <w:t xml:space="preserve">主观分</w:t>
            </w:r>
            <w:r/>
          </w:p>
        </w:tc>
        <w:tc>
          <w:tcPr>
            <w:tcW w:w="783" w:type="dxa"/>
            <w:vAlign w:val="center"/>
            <w:textDirection w:val="lrTb"/>
            <w:noWrap w:val="false"/>
          </w:tcPr>
          <w:p>
            <w:pPr>
              <w:jc w:val="center"/>
              <w:spacing w:before="68" w:line="264" w:lineRule="auto"/>
              <w:rPr>
                <w:rFonts w:hint="eastAsia" w:ascii="宋体" w:hAnsi="宋体" w:cs="宋体"/>
                <w:color w:val="000000"/>
                <w:highlight w:val="none"/>
              </w:rPr>
            </w:pPr>
            <w:r>
              <w:rPr>
                <w:rFonts w:ascii="宋体" w:hAnsi="宋体" w:eastAsia="宋体" w:cs="宋体"/>
                <w:color w:val="000000"/>
                <w:spacing w:val="-6"/>
                <w:highlight w:val="none"/>
                <w:lang w:val="en-US" w:eastAsia="zh-CN"/>
              </w:rPr>
              <w:t xml:space="preserve">否</w:t>
            </w:r>
            <w:r/>
          </w:p>
        </w:tc>
      </w:tr>
      <w:tr>
        <w:trPr>
          <w:jc w:val="center"/>
        </w:trPr>
        <w:tc>
          <w:tcPr>
            <w:gridSpan w:val="5"/>
            <w:tcW w:w="9670" w:type="dxa"/>
            <w:vAlign w:val="center"/>
            <w:textDirection w:val="lrTb"/>
            <w:noWrap w:val="false"/>
          </w:tcPr>
          <w:p>
            <w:pPr>
              <w:ind w:firstLine="205"/>
              <w:spacing w:line="264" w:lineRule="auto"/>
              <w:rPr>
                <w:rFonts w:ascii="宋体" w:hAnsi="宋体" w:cs="宋体"/>
                <w:color w:val="000000"/>
                <w:highlight w:val="none"/>
              </w:rPr>
            </w:pPr>
            <w:r>
              <w:rPr>
                <w:rFonts w:hint="eastAsia" w:ascii="宋体" w:hAnsi="宋体" w:cs="宋体"/>
                <w:b/>
                <w:bCs/>
                <w:color w:val="000000"/>
                <w:spacing w:val="-3"/>
                <w:highlight w:val="none"/>
              </w:rPr>
              <w:t xml:space="preserve">3.业绩</w:t>
            </w:r>
            <w:r/>
          </w:p>
        </w:tc>
        <w:tc>
          <w:tcPr>
            <w:tcW w:w="783" w:type="dxa"/>
            <w:vAlign w:val="center"/>
            <w:textDirection w:val="lrTb"/>
            <w:noWrap w:val="false"/>
          </w:tcPr>
          <w:p>
            <w:pPr>
              <w:ind w:firstLine="205"/>
              <w:spacing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3.1</w:t>
            </w:r>
            <w:r/>
          </w:p>
        </w:tc>
        <w:tc>
          <w:tcPr>
            <w:tcW w:w="1179" w:type="dxa"/>
            <w:vAlign w:val="center"/>
            <w:textDirection w:val="lrTb"/>
            <w:noWrap w:val="false"/>
          </w:tcPr>
          <w:p>
            <w:pPr>
              <w:spacing w:before="69" w:line="264" w:lineRule="auto"/>
              <w:rPr>
                <w:rFonts w:hint="eastAsia" w:ascii="宋体" w:hAnsi="宋体" w:cs="宋体"/>
                <w:color w:val="000000"/>
                <w:spacing w:val="-1"/>
                <w:highlight w:val="none"/>
              </w:rPr>
            </w:pPr>
            <w:r>
              <w:rPr>
                <w:rFonts w:ascii="宋体" w:hAnsi="宋体" w:cs="宋体"/>
                <w:color w:val="000000"/>
                <w:spacing w:val="-2"/>
                <w:szCs w:val="22"/>
                <w:highlight w:val="none"/>
              </w:rPr>
              <w:t xml:space="preserve">供应商业绩</w:t>
            </w:r>
            <w:r/>
          </w:p>
        </w:tc>
        <w:tc>
          <w:tcPr>
            <w:tcW w:w="6616" w:type="dxa"/>
            <w:vAlign w:val="center"/>
            <w:textDirection w:val="lrTb"/>
            <w:noWrap w:val="false"/>
          </w:tcPr>
          <w:p>
            <w:pPr>
              <w:jc w:val="left"/>
              <w:spacing w:line="264" w:lineRule="auto"/>
              <w:rPr>
                <w:rFonts w:hint="eastAsia"/>
                <w:color w:val="000000"/>
                <w:highlight w:val="none"/>
              </w:rPr>
            </w:pPr>
            <w:r>
              <w:rPr>
                <w:rFonts w:hint="eastAsia"/>
                <w:color w:val="000000"/>
                <w:highlight w:val="none"/>
              </w:rPr>
              <w:t xml:space="preserve">1.供应商提供2023年1月1日（含）以来，承接的类似医院导医服务项目业绩（服务内容需为导医服务；以合同签订时间为准），每提供一个业绩得2分，最多得6分，未提供不得分。</w:t>
            </w:r>
            <w:r/>
          </w:p>
          <w:p>
            <w:pPr>
              <w:jc w:val="left"/>
              <w:spacing w:line="264" w:lineRule="auto"/>
              <w:rPr>
                <w:rFonts w:hint="eastAsia"/>
                <w:color w:val="000000"/>
                <w:highlight w:val="none"/>
              </w:rPr>
            </w:pPr>
            <w:r>
              <w:rPr>
                <w:rFonts w:hint="eastAsia"/>
                <w:color w:val="000000"/>
                <w:highlight w:val="none"/>
              </w:rPr>
              <w:t xml:space="preserve">备注：（1）提供服务合同，合同应能反映相关信息，若合同不能反映相关信息，则还需提供业主单位出具的相关证明材料（证明材料需业主单位加盖公章或</w:t>
            </w:r>
            <w:r>
              <w:rPr>
                <w:rFonts w:hint="eastAsia"/>
                <w:color w:val="000000"/>
                <w:highlight w:val="none"/>
                <w:lang w:eastAsia="zh-CN"/>
              </w:rPr>
              <w:t xml:space="preserve">管理导医的职能部门</w:t>
            </w:r>
            <w:r>
              <w:rPr>
                <w:rFonts w:hint="eastAsia"/>
                <w:color w:val="000000"/>
                <w:highlight w:val="none"/>
              </w:rPr>
              <w:t xml:space="preserve">章）。</w:t>
            </w:r>
            <w:r/>
          </w:p>
          <w:p>
            <w:pPr>
              <w:jc w:val="left"/>
              <w:spacing w:line="264" w:lineRule="auto"/>
              <w:rPr>
                <w:rFonts w:hint="eastAsia"/>
                <w:color w:val="000000"/>
                <w:highlight w:val="none"/>
              </w:rPr>
            </w:pPr>
            <w:r>
              <w:rPr>
                <w:rFonts w:hint="eastAsia"/>
                <w:color w:val="000000"/>
                <w:highlight w:val="none"/>
              </w:rPr>
              <w:t xml:space="preserve">（2）同一业主单位的多个业绩仅作为一个业绩，不累计得分。</w:t>
            </w:r>
            <w:r/>
          </w:p>
          <w:p>
            <w:pPr>
              <w:pStyle w:val="965"/>
              <w:rPr>
                <w:color w:val="000000"/>
                <w:highlight w:val="none"/>
                <w:lang w:val="en-US"/>
              </w:rPr>
            </w:pPr>
            <w:r>
              <w:rPr>
                <w:rFonts w:hint="eastAsia" w:ascii="Times New Roman" w:hAnsi="Times New Roman" w:cs="Times New Roman"/>
                <w:color w:val="000000"/>
                <w:highlight w:val="none"/>
                <w:lang w:val="en-US" w:bidi="ar-SA"/>
              </w:rPr>
              <w:t xml:space="preserve">2.供应商提供以上有效业绩的业主单位出具的履约优秀（好评）或同等级满意度证明材料（评价材料需业主单位加盖公章或</w:t>
            </w:r>
            <w:r>
              <w:rPr>
                <w:rFonts w:hint="eastAsia" w:ascii="Times New Roman" w:hAnsi="Times New Roman" w:cs="Times New Roman"/>
                <w:color w:val="000000"/>
                <w:highlight w:val="none"/>
                <w:lang w:val="en-US" w:eastAsia="zh-CN" w:bidi="ar-SA"/>
              </w:rPr>
              <w:t xml:space="preserve">管理导医的职能部门</w:t>
            </w:r>
            <w:r>
              <w:rPr>
                <w:rFonts w:hint="eastAsia" w:ascii="Times New Roman" w:hAnsi="Times New Roman" w:cs="Times New Roman"/>
                <w:color w:val="000000"/>
                <w:highlight w:val="none"/>
                <w:lang w:val="en-US" w:bidi="ar-SA"/>
              </w:rPr>
              <w:t xml:space="preserve">章），每提供一个业绩的履约评价材料得1分，最多得3分，未提供不得分。</w:t>
            </w:r>
            <w:r/>
          </w:p>
        </w:tc>
        <w:tc>
          <w:tcPr>
            <w:tcW w:w="573" w:type="dxa"/>
            <w:vAlign w:val="center"/>
            <w:textDirection w:val="lrTb"/>
            <w:noWrap w:val="false"/>
          </w:tcPr>
          <w:p>
            <w:pPr>
              <w:jc w:val="center"/>
              <w:spacing w:before="68" w:line="264" w:lineRule="auto"/>
              <w:rPr>
                <w:rFonts w:hint="eastAsia" w:ascii="宋体" w:hAnsi="宋体" w:cs="宋体"/>
                <w:color w:val="000000"/>
                <w:highlight w:val="none"/>
              </w:rPr>
            </w:pPr>
            <w:r>
              <w:rPr>
                <w:rFonts w:hint="eastAsia" w:ascii="宋体" w:hAnsi="宋体" w:cs="宋体"/>
                <w:color w:val="000000"/>
                <w:highlight w:val="none"/>
              </w:rPr>
              <w:t xml:space="preserve">9</w:t>
            </w:r>
            <w:r/>
          </w:p>
        </w:tc>
        <w:tc>
          <w:tcPr>
            <w:tcW w:w="783" w:type="dxa"/>
            <w:vAlign w:val="center"/>
            <w:textDirection w:val="lrTb"/>
            <w:noWrap w:val="false"/>
          </w:tcPr>
          <w:p>
            <w:pPr>
              <w:jc w:val="center"/>
              <w:spacing w:before="68" w:line="264" w:lineRule="auto"/>
              <w:rPr>
                <w:rFonts w:hint="eastAsia" w:ascii="宋体" w:hAnsi="宋体" w:cs="宋体"/>
                <w:color w:val="000000"/>
                <w:spacing w:val="-6"/>
                <w:highlight w:val="none"/>
              </w:rPr>
            </w:pPr>
            <w:r>
              <w:rPr>
                <w:rFonts w:hint="eastAsia" w:ascii="宋体" w:hAnsi="宋体" w:cs="宋体"/>
                <w:color w:val="000000"/>
                <w:spacing w:val="-6"/>
                <w:highlight w:val="none"/>
              </w:rPr>
              <w:t xml:space="preserve">客观分</w:t>
            </w:r>
            <w:r/>
          </w:p>
        </w:tc>
        <w:tc>
          <w:tcPr>
            <w:tcW w:w="783" w:type="dxa"/>
            <w:vAlign w:val="center"/>
            <w:textDirection w:val="lrTb"/>
            <w:noWrap w:val="false"/>
          </w:tcPr>
          <w:p>
            <w:pPr>
              <w:jc w:val="center"/>
              <w:spacing w:before="68" w:line="264" w:lineRule="auto"/>
              <w:rPr>
                <w:rFonts w:hint="eastAsia" w:ascii="宋体" w:hAnsi="宋体" w:cs="宋体"/>
                <w:color w:val="000000"/>
                <w:spacing w:val="-6"/>
                <w:highlight w:val="none"/>
              </w:rPr>
            </w:pPr>
            <w:r>
              <w:rPr>
                <w:rFonts w:ascii="宋体" w:hAnsi="宋体" w:eastAsia="宋体" w:cs="宋体"/>
                <w:color w:val="000000"/>
                <w:spacing w:val="-6"/>
                <w:highlight w:val="none"/>
                <w:lang w:val="en-US" w:eastAsia="zh-CN"/>
              </w:rPr>
              <w:t xml:space="preserve">否</w:t>
            </w:r>
            <w:r/>
          </w:p>
        </w:tc>
      </w:tr>
      <w:tr>
        <w:trPr>
          <w:jc w:val="center"/>
        </w:trPr>
        <w:tc>
          <w:tcPr>
            <w:gridSpan w:val="5"/>
            <w:tcW w:w="9670" w:type="dxa"/>
            <w:vAlign w:val="top"/>
            <w:textDirection w:val="lrTb"/>
            <w:noWrap w:val="false"/>
          </w:tcPr>
          <w:p>
            <w:pPr>
              <w:ind w:firstLine="205"/>
              <w:spacing w:before="123" w:line="264" w:lineRule="auto"/>
              <w:rPr>
                <w:rFonts w:ascii="宋体" w:hAnsi="宋体" w:cs="宋体"/>
                <w:color w:val="000000"/>
                <w:highlight w:val="none"/>
              </w:rPr>
            </w:pPr>
            <w:r>
              <w:rPr>
                <w:rFonts w:hint="eastAsia" w:ascii="宋体" w:hAnsi="宋体" w:cs="宋体"/>
                <w:b/>
                <w:bCs/>
                <w:color w:val="000000"/>
                <w:spacing w:val="-3"/>
                <w:highlight w:val="none"/>
              </w:rPr>
              <w:t xml:space="preserve">4.履约能力</w:t>
            </w:r>
            <w:r/>
          </w:p>
        </w:tc>
        <w:tc>
          <w:tcPr>
            <w:tcW w:w="783" w:type="dxa"/>
            <w:vAlign w:val="top"/>
            <w:textDirection w:val="lrTb"/>
            <w:noWrap w:val="false"/>
          </w:tcPr>
          <w:p>
            <w:pPr>
              <w:ind w:firstLine="205"/>
              <w:spacing w:before="123"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highlight w:val="none"/>
              </w:rPr>
            </w:pPr>
            <w:r>
              <w:rPr>
                <w:rFonts w:ascii="宋体" w:hAnsi="宋体" w:cs="宋体"/>
                <w:color w:val="000000"/>
                <w:spacing w:val="-2"/>
                <w:highlight w:val="none"/>
              </w:rPr>
              <w:t xml:space="preserve">4.1</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rPr>
            </w:pPr>
            <w:r>
              <w:rPr>
                <w:rFonts w:ascii="宋体" w:hAnsi="宋体" w:cs="宋体"/>
                <w:color w:val="000000"/>
                <w:spacing w:val="-2"/>
                <w:szCs w:val="22"/>
                <w:highlight w:val="none"/>
              </w:rPr>
              <w:t xml:space="preserve">履约能力1</w:t>
            </w:r>
            <w:r/>
          </w:p>
        </w:tc>
        <w:tc>
          <w:tcPr>
            <w:tcW w:w="6616" w:type="dxa"/>
            <w:vAlign w:val="center"/>
            <w:textDirection w:val="lrTb"/>
            <w:noWrap w:val="false"/>
          </w:tcPr>
          <w:p>
            <w:pPr>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供应商</w:t>
            </w:r>
            <w:r>
              <w:rPr>
                <w:rFonts w:ascii="宋体" w:hAnsi="宋体" w:cs="宋体"/>
                <w:color w:val="000000"/>
                <w:highlight w:val="none"/>
              </w:rPr>
              <w:t xml:space="preserve">拟投入本项目服务</w:t>
            </w:r>
            <w:r>
              <w:rPr>
                <w:rFonts w:hint="eastAsia" w:ascii="宋体" w:hAnsi="宋体" w:cs="宋体"/>
                <w:color w:val="000000"/>
                <w:highlight w:val="none"/>
              </w:rPr>
              <w:t xml:space="preserve">的管理软件具有：一站式服务平台、满意度管理系统、服务人员监管系统、培训管理系统、突发事件上报及处理方案管理系统。承诺每</w:t>
            </w:r>
            <w:r>
              <w:rPr>
                <w:rFonts w:ascii="宋体" w:hAnsi="宋体" w:cs="宋体"/>
                <w:color w:val="000000"/>
                <w:highlight w:val="none"/>
              </w:rPr>
              <w:t xml:space="preserve">具有</w:t>
            </w:r>
            <w:r>
              <w:rPr>
                <w:rFonts w:hint="eastAsia" w:ascii="宋体" w:hAnsi="宋体" w:cs="宋体"/>
                <w:color w:val="000000"/>
                <w:highlight w:val="none"/>
              </w:rPr>
              <w:t xml:space="preserve">1</w:t>
            </w:r>
            <w:r>
              <w:rPr>
                <w:rFonts w:ascii="宋体" w:hAnsi="宋体" w:cs="宋体"/>
                <w:color w:val="000000"/>
                <w:highlight w:val="none"/>
              </w:rPr>
              <w:t xml:space="preserve">项得1分，最多得</w:t>
            </w:r>
            <w:r>
              <w:rPr>
                <w:rFonts w:hint="eastAsia" w:ascii="宋体" w:hAnsi="宋体" w:cs="宋体"/>
                <w:color w:val="000000"/>
                <w:highlight w:val="none"/>
              </w:rPr>
              <w:t xml:space="preserve">5</w:t>
            </w:r>
            <w:r>
              <w:rPr>
                <w:rFonts w:ascii="宋体" w:hAnsi="宋体" w:cs="宋体"/>
                <w:color w:val="000000"/>
                <w:highlight w:val="none"/>
              </w:rPr>
              <w:t xml:space="preserve">分</w:t>
            </w:r>
            <w:r>
              <w:rPr>
                <w:rFonts w:hint="eastAsia" w:ascii="宋体" w:hAnsi="宋体" w:cs="宋体"/>
                <w:color w:val="000000"/>
                <w:highlight w:val="none"/>
              </w:rPr>
              <w:t xml:space="preserve">。（</w:t>
            </w:r>
            <w:r>
              <w:rPr>
                <w:rFonts w:ascii="宋体" w:hAnsi="宋体" w:cs="宋体"/>
                <w:color w:val="000000"/>
                <w:highlight w:val="none"/>
              </w:rPr>
              <w:t xml:space="preserve">提供承诺</w:t>
            </w:r>
            <w:r>
              <w:rPr>
                <w:rFonts w:hint="eastAsia" w:ascii="宋体" w:hAnsi="宋体" w:cs="宋体"/>
                <w:color w:val="000000"/>
                <w:highlight w:val="none"/>
              </w:rPr>
              <w:t xml:space="preserve">书，格式自拟）</w:t>
            </w:r>
            <w:r/>
          </w:p>
        </w:tc>
        <w:tc>
          <w:tcPr>
            <w:tcW w:w="57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客观分</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ascii="宋体" w:hAnsi="宋体" w:eastAsia="宋体" w:cs="宋体"/>
                <w:color w:val="000000"/>
                <w:spacing w:val="-6"/>
                <w:highlight w:val="none"/>
                <w:lang w:val="en-US" w:eastAsia="zh-CN"/>
              </w:rPr>
              <w:t xml:space="preserve">否</w:t>
            </w:r>
            <w:r/>
          </w:p>
        </w:tc>
      </w:tr>
      <w:tr>
        <w:trPr>
          <w:jc w:val="center"/>
        </w:trPr>
        <w:tc>
          <w:tcPr>
            <w:tcW w:w="519" w:type="dxa"/>
            <w:vAlign w:val="center"/>
            <w:textDirection w:val="lrTb"/>
            <w:noWrap w:val="false"/>
          </w:tcPr>
          <w:p>
            <w:pPr>
              <w:jc w:val="center"/>
              <w:spacing w:before="68" w:line="264" w:lineRule="auto"/>
              <w:rPr>
                <w:rFonts w:ascii="宋体" w:hAnsi="宋体" w:cs="宋体"/>
                <w:color w:val="000000"/>
                <w:spacing w:val="-2"/>
                <w:highlight w:val="none"/>
              </w:rPr>
            </w:pPr>
            <w:r>
              <w:rPr>
                <w:rFonts w:hint="eastAsia" w:ascii="宋体" w:hAnsi="宋体" w:cs="宋体"/>
                <w:color w:val="000000"/>
                <w:spacing w:val="-2"/>
                <w:highlight w:val="none"/>
              </w:rPr>
              <w:t xml:space="preserve">4</w:t>
            </w:r>
            <w:r>
              <w:rPr>
                <w:rFonts w:ascii="宋体" w:hAnsi="宋体" w:cs="宋体"/>
                <w:color w:val="000000"/>
                <w:spacing w:val="-2"/>
                <w:highlight w:val="none"/>
              </w:rPr>
              <w:t xml:space="preserve">.2</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rPr>
            </w:pPr>
            <w:r>
              <w:rPr>
                <w:rFonts w:ascii="宋体" w:hAnsi="宋体" w:cs="宋体"/>
                <w:color w:val="000000"/>
                <w:spacing w:val="-2"/>
                <w:szCs w:val="22"/>
                <w:highlight w:val="none"/>
              </w:rPr>
              <w:t xml:space="preserve">履约能力2</w:t>
            </w:r>
            <w:r/>
          </w:p>
        </w:tc>
        <w:tc>
          <w:tcPr>
            <w:tcW w:w="6616" w:type="dxa"/>
            <w:vAlign w:val="center"/>
            <w:textDirection w:val="lrTb"/>
            <w:noWrap w:val="false"/>
          </w:tcPr>
          <w:p>
            <w:pPr>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项目配备的导医经理具备3年及以上</w:t>
            </w:r>
            <w:r>
              <w:rPr>
                <w:rFonts w:hint="eastAsia" w:ascii="宋体" w:hAnsi="宋体" w:cs="宋体"/>
                <w:color w:val="000000"/>
                <w:highlight w:val="none"/>
                <w:lang w:val="en-US" w:eastAsia="zh-CN"/>
              </w:rPr>
              <w:t xml:space="preserve">三级</w:t>
            </w:r>
            <w:r>
              <w:rPr>
                <w:rFonts w:hint="eastAsia" w:ascii="宋体" w:hAnsi="宋体" w:cs="宋体"/>
                <w:color w:val="000000"/>
                <w:highlight w:val="none"/>
              </w:rPr>
              <w:t xml:space="preserve">医院导医经理管理工作经验的，得2分。</w:t>
            </w:r>
            <w:r/>
          </w:p>
          <w:p>
            <w:pPr>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注：提供加盖业主单位公章或</w:t>
            </w:r>
            <w:r>
              <w:rPr>
                <w:rFonts w:hint="eastAsia" w:ascii="宋体" w:hAnsi="宋体" w:cs="宋体"/>
                <w:color w:val="000000"/>
                <w:highlight w:val="none"/>
                <w:lang w:val="en-US" w:eastAsia="zh-CN"/>
              </w:rPr>
              <w:t xml:space="preserve">管理导医的职能部门</w:t>
            </w:r>
            <w:r>
              <w:rPr>
                <w:rFonts w:hint="eastAsia" w:ascii="宋体" w:hAnsi="宋体" w:cs="宋体"/>
                <w:color w:val="000000"/>
                <w:highlight w:val="none"/>
                <w:lang w:val="en-US"/>
              </w:rPr>
              <w:t xml:space="preserve">章</w:t>
            </w:r>
            <w:r>
              <w:rPr>
                <w:rFonts w:hint="eastAsia" w:ascii="宋体" w:hAnsi="宋体" w:cs="宋体"/>
                <w:color w:val="000000"/>
                <w:highlight w:val="none"/>
              </w:rPr>
              <w:t xml:space="preserve">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客观分</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ascii="宋体" w:hAnsi="宋体" w:eastAsia="宋体" w:cs="宋体"/>
                <w:color w:val="000000"/>
                <w:spacing w:val="-6"/>
                <w:highlight w:val="none"/>
                <w:lang w:val="en-US" w:eastAsia="zh-CN"/>
              </w:rPr>
              <w:t xml:space="preserve">否</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4.3</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rPr>
            </w:pPr>
            <w:r>
              <w:rPr>
                <w:rFonts w:ascii="宋体" w:hAnsi="宋体" w:cs="宋体"/>
                <w:color w:val="000000"/>
                <w:spacing w:val="-2"/>
                <w:szCs w:val="22"/>
                <w:highlight w:val="none"/>
              </w:rPr>
              <w:t xml:space="preserve">履约能力3</w:t>
            </w:r>
            <w:r/>
          </w:p>
        </w:tc>
        <w:tc>
          <w:tcPr>
            <w:tcW w:w="6616" w:type="dxa"/>
            <w:vAlign w:val="center"/>
            <w:textDirection w:val="lrTb"/>
            <w:noWrap w:val="false"/>
          </w:tcPr>
          <w:p>
            <w:pPr>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项目配备的导医主管具备3年及以上</w:t>
            </w:r>
            <w:r>
              <w:rPr>
                <w:rFonts w:hint="eastAsia" w:ascii="宋体" w:hAnsi="宋体" w:cs="宋体"/>
                <w:color w:val="000000"/>
                <w:highlight w:val="none"/>
                <w:lang w:val="en-US" w:eastAsia="zh-CN"/>
              </w:rPr>
              <w:t xml:space="preserve">三级</w:t>
            </w:r>
            <w:r>
              <w:rPr>
                <w:rFonts w:hint="eastAsia" w:ascii="宋体" w:hAnsi="宋体" w:cs="宋体"/>
                <w:color w:val="000000"/>
                <w:highlight w:val="none"/>
              </w:rPr>
              <w:t xml:space="preserve">医院导医主管工作经验的，每提供一人得1分，最多得2分。</w:t>
            </w:r>
            <w:r/>
          </w:p>
          <w:p>
            <w:pPr>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注：提供加盖业主单位公章或</w:t>
            </w:r>
            <w:r>
              <w:rPr>
                <w:rFonts w:hint="eastAsia" w:ascii="宋体" w:hAnsi="宋体" w:cs="宋体"/>
                <w:color w:val="000000"/>
                <w:highlight w:val="none"/>
                <w:lang w:val="en-US" w:eastAsia="zh-CN"/>
              </w:rPr>
              <w:t xml:space="preserve">管理导医的职能部门</w:t>
            </w:r>
            <w:r>
              <w:rPr>
                <w:rFonts w:hint="eastAsia" w:ascii="宋体" w:hAnsi="宋体" w:cs="宋体"/>
                <w:color w:val="000000"/>
                <w:highlight w:val="none"/>
                <w:lang w:val="en-US"/>
              </w:rPr>
              <w:t xml:space="preserve">章</w:t>
            </w:r>
            <w:r>
              <w:rPr>
                <w:rFonts w:hint="eastAsia" w:ascii="宋体" w:hAnsi="宋体" w:cs="宋体"/>
                <w:color w:val="000000"/>
                <w:highlight w:val="none"/>
              </w:rPr>
              <w:t xml:space="preserve">的工作经验证明材料（需体现人员姓名、工作岗位及工作年限），证明材料缺项或未提供的不得分。</w:t>
            </w:r>
            <w:r/>
          </w:p>
        </w:tc>
        <w:tc>
          <w:tcPr>
            <w:tcW w:w="57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客观分</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ascii="宋体" w:hAnsi="宋体" w:eastAsia="宋体" w:cs="宋体"/>
                <w:color w:val="000000"/>
                <w:spacing w:val="-6"/>
                <w:highlight w:val="none"/>
                <w:lang w:val="en-US" w:eastAsia="zh-CN"/>
              </w:rPr>
              <w:t xml:space="preserve">否</w:t>
            </w:r>
            <w:r/>
          </w:p>
        </w:tc>
      </w:tr>
      <w:tr>
        <w:trPr>
          <w:jc w:val="center"/>
        </w:trPr>
        <w:tc>
          <w:tcPr>
            <w:tcW w:w="519" w:type="dxa"/>
            <w:vAlign w:val="center"/>
            <w:textDirection w:val="lrTb"/>
            <w:noWrap w:val="false"/>
          </w:tcPr>
          <w:p>
            <w:pPr>
              <w:jc w:val="center"/>
              <w:spacing w:before="68" w:line="264" w:lineRule="auto"/>
              <w:rPr>
                <w:rFonts w:hint="eastAsia" w:ascii="宋体" w:hAnsi="宋体" w:cs="宋体"/>
                <w:color w:val="000000"/>
                <w:spacing w:val="-2"/>
                <w:highlight w:val="none"/>
              </w:rPr>
            </w:pPr>
            <w:r>
              <w:rPr>
                <w:rFonts w:hint="eastAsia" w:ascii="宋体" w:hAnsi="宋体" w:cs="宋体"/>
                <w:color w:val="000000"/>
                <w:spacing w:val="-2"/>
                <w:highlight w:val="none"/>
              </w:rPr>
              <w:t xml:space="preserve">4.4</w:t>
            </w:r>
            <w:r/>
          </w:p>
        </w:tc>
        <w:tc>
          <w:tcPr>
            <w:tcW w:w="1179" w:type="dxa"/>
            <w:vAlign w:val="center"/>
            <w:textDirection w:val="lrTb"/>
            <w:noWrap w:val="false"/>
          </w:tcPr>
          <w:p>
            <w:pPr>
              <w:spacing w:before="69" w:line="264" w:lineRule="auto"/>
              <w:rPr>
                <w:rFonts w:ascii="宋体" w:hAnsi="宋体" w:cs="宋体"/>
                <w:color w:val="000000"/>
                <w:spacing w:val="-2"/>
                <w:szCs w:val="22"/>
                <w:highlight w:val="none"/>
              </w:rPr>
            </w:pPr>
            <w:r>
              <w:rPr>
                <w:rFonts w:ascii="宋体" w:hAnsi="宋体" w:cs="宋体"/>
                <w:color w:val="000000"/>
                <w:spacing w:val="-2"/>
                <w:szCs w:val="22"/>
                <w:highlight w:val="none"/>
              </w:rPr>
              <w:t xml:space="preserve">履约能力</w:t>
            </w:r>
            <w:r>
              <w:rPr>
                <w:rFonts w:hint="eastAsia" w:ascii="宋体" w:hAnsi="宋体" w:cs="宋体"/>
                <w:color w:val="000000"/>
                <w:spacing w:val="-2"/>
                <w:szCs w:val="22"/>
                <w:highlight w:val="none"/>
              </w:rPr>
              <w:t xml:space="preserve">4</w:t>
            </w:r>
            <w:r/>
          </w:p>
        </w:tc>
        <w:tc>
          <w:tcPr>
            <w:tcW w:w="6616" w:type="dxa"/>
            <w:vAlign w:val="center"/>
            <w:textDirection w:val="lrTb"/>
            <w:noWrap w:val="false"/>
          </w:tcPr>
          <w:p>
            <w:pPr>
              <w:jc w:val="left"/>
              <w:spacing w:line="264" w:lineRule="auto"/>
              <w:rPr>
                <w:rFonts w:hint="eastAsia" w:ascii="宋体" w:hAnsi="宋体" w:cs="宋体"/>
                <w:color w:val="000000"/>
                <w:highlight w:val="none"/>
              </w:rPr>
            </w:pPr>
            <w:r>
              <w:rPr>
                <w:rFonts w:hint="eastAsia" w:ascii="宋体" w:hAnsi="宋体" w:cs="宋体"/>
                <w:color w:val="000000"/>
                <w:highlight w:val="none"/>
              </w:rPr>
              <w:t xml:space="preserve">供应商承诺中标后购买雇主责任险和公众责任险等商业险，保险条款中明确供应商在从事导医服务过程中，造成第三方人身伤亡或财产损失或其它安全事故，供应商负责处理及赔偿事宜，提供书面承诺书（格式自拟）的得2分，未提供不得分。</w:t>
            </w:r>
            <w:r/>
          </w:p>
        </w:tc>
        <w:tc>
          <w:tcPr>
            <w:tcW w:w="57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hint="eastAsia" w:ascii="宋体" w:hAnsi="宋体" w:cs="宋体"/>
                <w:color w:val="000000"/>
                <w:highlight w:val="none"/>
              </w:rPr>
              <w:t xml:space="preserve">客观分</w:t>
            </w:r>
            <w:r/>
          </w:p>
        </w:tc>
        <w:tc>
          <w:tcPr>
            <w:tcW w:w="783" w:type="dxa"/>
            <w:vAlign w:val="center"/>
            <w:textDirection w:val="lrTb"/>
            <w:noWrap w:val="false"/>
          </w:tcPr>
          <w:p>
            <w:pPr>
              <w:jc w:val="center"/>
              <w:spacing w:line="264" w:lineRule="auto"/>
              <w:rPr>
                <w:rFonts w:hint="eastAsia" w:ascii="宋体" w:hAnsi="宋体" w:cs="宋体"/>
                <w:color w:val="000000"/>
                <w:highlight w:val="none"/>
              </w:rPr>
            </w:pPr>
            <w:r>
              <w:rPr>
                <w:rFonts w:ascii="宋体" w:hAnsi="宋体" w:eastAsia="宋体" w:cs="宋体"/>
                <w:color w:val="000000"/>
                <w:spacing w:val="-6"/>
                <w:highlight w:val="none"/>
                <w:lang w:val="en-US" w:eastAsia="zh-CN"/>
              </w:rPr>
              <w:t xml:space="preserve">否</w:t>
            </w:r>
            <w:r/>
          </w:p>
        </w:tc>
      </w:tr>
      <w:tr>
        <w:trPr>
          <w:jc w:val="center"/>
        </w:trPr>
        <w:tc>
          <w:tcPr>
            <w:tcW w:w="519" w:type="dxa"/>
            <w:vAlign w:val="center"/>
            <w:textDirection w:val="lrTb"/>
            <w:noWrap w:val="false"/>
          </w:tcPr>
          <w:p>
            <w:pPr>
              <w:jc w:val="center"/>
              <w:spacing w:line="264" w:lineRule="auto"/>
              <w:rPr>
                <w:color w:val="000000"/>
                <w:highlight w:val="none"/>
              </w:rPr>
            </w:pPr>
            <w:r>
              <w:rPr>
                <w:rFonts w:ascii="宋体" w:hAnsi="宋体" w:cs="宋体"/>
                <w:color w:val="000000"/>
                <w:spacing w:val="-3"/>
                <w:highlight w:val="none"/>
              </w:rPr>
              <w:t xml:space="preserve">合</w:t>
            </w:r>
            <w:r>
              <w:rPr>
                <w:rFonts w:ascii="宋体" w:hAnsi="宋体" w:cs="宋体"/>
                <w:color w:val="000000"/>
                <w:spacing w:val="-2"/>
                <w:highlight w:val="none"/>
              </w:rPr>
              <w:t xml:space="preserve">计</w:t>
            </w:r>
            <w:r/>
          </w:p>
        </w:tc>
        <w:tc>
          <w:tcPr>
            <w:gridSpan w:val="2"/>
            <w:tcW w:w="7795" w:type="dxa"/>
            <w:vAlign w:val="center"/>
            <w:textDirection w:val="lrTb"/>
            <w:noWrap w:val="false"/>
          </w:tcPr>
          <w:p>
            <w:pPr>
              <w:ind w:left="172"/>
              <w:jc w:val="center"/>
              <w:spacing w:before="123" w:line="264" w:lineRule="auto"/>
              <w:rPr>
                <w:rFonts w:ascii="宋体" w:hAnsi="宋体" w:cs="宋体"/>
                <w:color w:val="000000"/>
                <w:spacing w:val="-2"/>
                <w:highlight w:val="none"/>
              </w:rPr>
            </w:pPr>
            <w:r>
              <w:rPr>
                <w:rFonts w:ascii="宋体" w:hAnsi="宋体" w:cs="宋体"/>
                <w:color w:val="000000"/>
                <w:spacing w:val="-2"/>
                <w:highlight w:val="none"/>
              </w:rPr>
            </w:r>
            <w:r/>
          </w:p>
        </w:tc>
        <w:tc>
          <w:tcPr>
            <w:gridSpan w:val="2"/>
            <w:tcW w:w="1356" w:type="dxa"/>
            <w:vAlign w:val="center"/>
            <w:textDirection w:val="lrTb"/>
            <w:noWrap w:val="false"/>
          </w:tcPr>
          <w:p>
            <w:pPr>
              <w:jc w:val="center"/>
              <w:spacing w:line="264" w:lineRule="auto"/>
              <w:rPr>
                <w:color w:val="000000"/>
                <w:highlight w:val="none"/>
              </w:rPr>
            </w:pPr>
            <w:r>
              <w:rPr>
                <w:rFonts w:ascii="宋体" w:hAnsi="宋体" w:cs="宋体"/>
                <w:color w:val="000000"/>
                <w:spacing w:val="-11"/>
                <w:highlight w:val="none"/>
              </w:rPr>
              <w:t xml:space="preserve">100分</w:t>
            </w:r>
            <w:r/>
          </w:p>
        </w:tc>
        <w:tc>
          <w:tcPr>
            <w:tcW w:w="783" w:type="dxa"/>
            <w:vAlign w:val="center"/>
            <w:textDirection w:val="lrTb"/>
            <w:noWrap w:val="false"/>
          </w:tcPr>
          <w:p>
            <w:pPr>
              <w:jc w:val="center"/>
              <w:spacing w:line="264" w:lineRule="auto"/>
              <w:rPr>
                <w:rFonts w:ascii="宋体" w:hAnsi="宋体" w:cs="宋体"/>
                <w:color w:val="000000"/>
                <w:spacing w:val="-11"/>
                <w:highlight w:val="none"/>
              </w:rPr>
            </w:pPr>
            <w:r>
              <w:rPr>
                <w:rFonts w:ascii="宋体" w:hAnsi="宋体" w:cs="宋体"/>
                <w:color w:val="000000"/>
                <w:spacing w:val="-11"/>
                <w:highlight w:val="none"/>
              </w:rPr>
            </w:r>
            <w:r/>
          </w:p>
        </w:tc>
      </w:tr>
    </w:tbl>
    <w:p>
      <w:pPr>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264" w:lineRule="auto"/>
        <w:rPr>
          <w:rFonts w:hint="eastAsia" w:ascii="黑体" w:hAnsi="黑体" w:eastAsia="黑体"/>
          <w:iCs/>
          <w:color w:val="000000"/>
          <w:sz w:val="28"/>
          <w:szCs w:val="28"/>
          <w:highlight w:val="none"/>
        </w:rPr>
      </w:pPr>
      <w:r>
        <w:rPr>
          <w:rFonts w:hint="eastAsia" w:ascii="黑体" w:hAnsi="黑体" w:eastAsia="黑体"/>
          <w:iCs/>
          <w:color w:val="000000"/>
          <w:sz w:val="28"/>
          <w:szCs w:val="28"/>
          <w:highlight w:val="none"/>
        </w:rPr>
      </w:r>
      <w:r/>
    </w:p>
    <w:p>
      <w:pPr>
        <w:rPr>
          <w:rFonts w:hint="eastAsia" w:ascii="黑体" w:hAnsi="黑体" w:eastAsia="黑体"/>
          <w:iCs/>
          <w:color w:val="000000"/>
          <w:sz w:val="28"/>
          <w:szCs w:val="28"/>
          <w:highlight w:val="none"/>
        </w:rPr>
      </w:pPr>
      <w:r>
        <w:rPr>
          <w:rFonts w:hint="eastAsia" w:ascii="黑体" w:hAnsi="黑体" w:eastAsia="黑体"/>
          <w:iCs/>
          <w:color w:val="000000"/>
          <w:sz w:val="28"/>
          <w:szCs w:val="28"/>
          <w:highlight w:val="none"/>
        </w:rPr>
      </w:r>
      <w:r/>
    </w:p>
    <w:p>
      <w:pPr>
        <w:rPr>
          <w:rFonts w:hint="eastAsia" w:ascii="黑体" w:hAnsi="黑体" w:eastAsia="黑体"/>
          <w:iCs/>
          <w:color w:val="000000"/>
          <w:sz w:val="28"/>
          <w:szCs w:val="28"/>
          <w:highlight w:val="none"/>
        </w:rPr>
      </w:pPr>
      <w:r>
        <w:rPr>
          <w:rFonts w:hint="eastAsia" w:ascii="黑体" w:hAnsi="黑体" w:eastAsia="黑体"/>
          <w:iCs/>
          <w:color w:val="000000"/>
          <w:sz w:val="28"/>
          <w:szCs w:val="28"/>
          <w:highlight w:val="none"/>
        </w:rPr>
      </w:r>
      <w:r/>
    </w:p>
    <w:p>
      <w:pPr>
        <w:pStyle w:val="896"/>
        <w:rPr>
          <w:rFonts w:hint="eastAsia" w:ascii="黑体" w:hAnsi="黑体" w:eastAsia="黑体"/>
          <w:iCs/>
          <w:color w:val="000000"/>
          <w:sz w:val="28"/>
          <w:szCs w:val="28"/>
          <w:highlight w:val="none"/>
        </w:rPr>
      </w:pPr>
      <w:r>
        <w:rPr>
          <w:rFonts w:hint="eastAsia" w:ascii="黑体" w:hAnsi="黑体" w:eastAsia="黑体"/>
          <w:iCs/>
          <w:color w:val="000000"/>
          <w:sz w:val="28"/>
          <w:szCs w:val="28"/>
          <w:highlight w:val="none"/>
        </w:rPr>
      </w:r>
      <w:r/>
    </w:p>
    <w:p>
      <w:pPr>
        <w:pStyle w:val="895"/>
        <w:ind w:firstLine="560"/>
        <w:rPr>
          <w:rFonts w:hint="eastAsia" w:ascii="黑体" w:hAnsi="黑体" w:eastAsia="黑体"/>
          <w:iCs/>
          <w:color w:val="000000"/>
          <w:sz w:val="28"/>
          <w:szCs w:val="28"/>
          <w:highlight w:val="none"/>
        </w:rPr>
      </w:pPr>
      <w:r>
        <w:rPr>
          <w:rFonts w:hint="eastAsia" w:ascii="黑体" w:hAnsi="黑体" w:eastAsia="黑体"/>
          <w:iCs/>
          <w:color w:val="000000"/>
          <w:sz w:val="28"/>
          <w:szCs w:val="28"/>
          <w:highlight w:val="none"/>
        </w:rPr>
      </w:r>
      <w:r/>
    </w:p>
    <w:p>
      <w:pPr>
        <w:pStyle w:val="895"/>
        <w:ind w:firstLine="560"/>
        <w:rPr>
          <w:rFonts w:hint="eastAsia" w:ascii="黑体" w:hAnsi="黑体" w:eastAsia="黑体"/>
          <w:iCs/>
          <w:color w:val="000000"/>
          <w:sz w:val="28"/>
          <w:szCs w:val="28"/>
          <w:highlight w:val="none"/>
        </w:rPr>
      </w:pPr>
      <w:r>
        <w:rPr>
          <w:rFonts w:hint="eastAsia" w:ascii="黑体" w:hAnsi="黑体" w:eastAsia="黑体"/>
          <w:iCs/>
          <w:color w:val="000000"/>
          <w:sz w:val="28"/>
          <w:szCs w:val="28"/>
          <w:highlight w:val="none"/>
        </w:rPr>
      </w:r>
      <w:r/>
    </w:p>
    <w:p>
      <w:pPr>
        <w:pStyle w:val="895"/>
        <w:ind w:firstLine="560"/>
        <w:rPr>
          <w:rFonts w:hint="eastAsia" w:ascii="黑体" w:hAnsi="黑体" w:eastAsia="黑体"/>
          <w:iCs/>
          <w:color w:val="000000"/>
          <w:sz w:val="28"/>
          <w:szCs w:val="28"/>
          <w:highlight w:val="none"/>
        </w:rPr>
      </w:pPr>
      <w:r>
        <w:rPr>
          <w:rFonts w:hint="eastAsia" w:ascii="黑体" w:hAnsi="黑体" w:eastAsia="黑体"/>
          <w:iCs/>
          <w:color w:val="000000"/>
          <w:sz w:val="28"/>
          <w:szCs w:val="28"/>
          <w:highlight w:val="none"/>
        </w:rPr>
      </w:r>
      <w:r/>
    </w:p>
    <w:p>
      <w:pPr>
        <w:pStyle w:val="1172"/>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89"/>
      <w:r/>
      <w:bookmarkEnd w:id="190"/>
      <w:r/>
      <w:bookmarkEnd w:id="191"/>
      <w:r>
        <w:rPr>
          <w:rFonts w:hint="eastAsia" w:ascii="方正小标宋简体" w:hAnsi="方正小标宋简体" w:eastAsia="方正小标宋简体" w:cs="方正小标宋简体"/>
          <w:color w:val="000000"/>
          <w:sz w:val="36"/>
          <w:szCs w:val="36"/>
          <w:highlight w:val="none"/>
        </w:rPr>
        <w:t xml:space="preserve">文件格式</w:t>
      </w:r>
      <w:r/>
    </w:p>
    <w:p>
      <w:pPr>
        <w:jc w:val="center"/>
        <w:rPr>
          <w:rFonts w:hint="eastAsia" w:ascii="宋体" w:hAnsi="宋体"/>
          <w:b/>
          <w:color w:val="000000"/>
          <w:sz w:val="72"/>
          <w:highlight w:val="none"/>
        </w:rPr>
      </w:pPr>
      <w:r/>
      <w:bookmarkStart w:id="195" w:name="_Hlt26955039"/>
      <w:r/>
      <w:bookmarkEnd w:id="195"/>
      <w:r/>
      <w:bookmarkStart w:id="196" w:name="_Hlt26671244"/>
      <w:r/>
      <w:bookmarkEnd w:id="196"/>
      <w:r/>
      <w:bookmarkStart w:id="197" w:name="_Toc120614282"/>
      <w:r/>
      <w:bookmarkStart w:id="198" w:name="_Toc26554094"/>
      <w:r/>
      <w:bookmarkStart w:id="199" w:name="_Toc49090576"/>
      <w:r/>
      <w:r/>
    </w:p>
    <w:p>
      <w:pPr>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72"/>
          <w:highlight w:val="none"/>
        </w:rPr>
      </w:pPr>
      <w:r>
        <w:rPr>
          <w:rFonts w:hint="eastAsia" w:ascii="宋体" w:hAnsi="宋体"/>
          <w:b/>
          <w:color w:val="000000"/>
          <w:sz w:val="72"/>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（加盖电子公章）   </w:t>
      </w:r>
      <w:r/>
    </w:p>
    <w:p>
      <w:pPr>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highlight w:val="none"/>
        </w:rPr>
      </w:pPr>
      <w:r>
        <w:rPr>
          <w:rFonts w:ascii="宋体" w:hAnsi="宋体"/>
          <w:color w:val="000000"/>
          <w:highlight w:val="none"/>
        </w:rPr>
      </w:r>
      <w:r/>
    </w:p>
    <w:p>
      <w:pPr>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一、供应商信用承诺函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六、投标分项报价表（含人工成本报价明细表）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八、商务要求响应及偏离表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九、中小企业声明函（如有）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211"/>
        <w:rPr>
          <w:color w:val="000000"/>
          <w:sz w:val="24"/>
          <w:highlight w:val="none"/>
        </w:rPr>
      </w:pPr>
      <w:r>
        <w:rPr>
          <w:color w:val="000000"/>
          <w:sz w:val="24"/>
          <w:highlight w:val="none"/>
        </w:rPr>
      </w:r>
      <w:r/>
    </w:p>
    <w:p>
      <w:pPr>
        <w:pStyle w:val="1211"/>
        <w:rPr>
          <w:color w:val="000000"/>
          <w:sz w:val="24"/>
          <w:highlight w:val="none"/>
        </w:rPr>
      </w:pPr>
      <w:r>
        <w:rPr>
          <w:color w:val="000000"/>
          <w:sz w:val="24"/>
          <w:highlight w:val="none"/>
        </w:rPr>
      </w:r>
      <w:r/>
    </w:p>
    <w:p>
      <w:pPr>
        <w:pStyle w:val="1211"/>
        <w:rPr>
          <w:color w:val="000000"/>
          <w:sz w:val="24"/>
          <w:highlight w:val="none"/>
        </w:rPr>
      </w:pPr>
      <w:r>
        <w:rPr>
          <w:color w:val="000000"/>
          <w:sz w:val="24"/>
          <w:highlight w:val="none"/>
        </w:rPr>
      </w:r>
      <w:r/>
    </w:p>
    <w:p>
      <w:pPr>
        <w:pStyle w:val="1211"/>
        <w:rPr>
          <w:color w:val="000000"/>
          <w:sz w:val="24"/>
          <w:highlight w:val="none"/>
        </w:rPr>
      </w:pPr>
      <w:r>
        <w:rPr>
          <w:color w:val="000000"/>
          <w:sz w:val="24"/>
          <w:highlight w:val="none"/>
        </w:rPr>
      </w:r>
      <w:r/>
    </w:p>
    <w:p>
      <w:pPr>
        <w:pStyle w:val="1211"/>
        <w:rPr>
          <w:color w:val="000000"/>
          <w:sz w:val="24"/>
          <w:highlight w:val="none"/>
        </w:rPr>
      </w:pPr>
      <w:r>
        <w:rPr>
          <w:color w:val="000000"/>
          <w:sz w:val="24"/>
          <w:highlight w:val="none"/>
        </w:rPr>
      </w:r>
      <w:bookmarkEnd w:id="187"/>
      <w:r/>
      <w:bookmarkEnd w:id="188"/>
      <w:r/>
      <w:bookmarkEnd w:id="197"/>
      <w:r/>
      <w:bookmarkEnd w:id="198"/>
      <w:r/>
      <w:bookmarkEnd w:id="199"/>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南京市公共资源交易中心：</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我公司（单位）符合下列要求：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我公司（单位）对上述承诺内容的真实性、合法性、有效性负责，如有虚假，将依法承担相应责任。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247"/>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pStyle w:val="895"/>
        <w:rPr>
          <w:rFonts w:hint="eastAsia"/>
          <w:color w:val="000000"/>
          <w:highlight w:val="none"/>
        </w:rPr>
      </w:pPr>
      <w:r>
        <w:rPr>
          <w:rFonts w:hint="eastAsia"/>
          <w:color w:val="000000"/>
          <w:highlight w:val="none"/>
        </w:rPr>
      </w:r>
      <w:r/>
    </w:p>
    <w:p>
      <w:pPr>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p>
    <w:p>
      <w:pPr>
        <w:pStyle w:val="1220"/>
        <w:ind w:firstLine="480"/>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10"/>
        <w:rPr>
          <w:rFonts w:hint="eastAsia"/>
          <w:color w:val="000000"/>
          <w:highlight w:val="none"/>
          <w:lang w:eastAsia="zh-CN"/>
        </w:rPr>
      </w:pPr>
      <w:r>
        <w:rPr>
          <w:rFonts w:hint="eastAsia"/>
          <w:color w:val="000000"/>
          <w:highlight w:val="none"/>
          <w:lang w:eastAsia="zh-CN"/>
        </w:rPr>
      </w:r>
      <w:r/>
    </w:p>
    <w:p>
      <w:pPr>
        <w:rPr>
          <w:rFonts w:hint="eastAsia"/>
          <w:color w:val="000000"/>
          <w:highlight w:val="none"/>
        </w:rPr>
      </w:pPr>
      <w:r>
        <w:rPr>
          <w:rFonts w:hint="eastAsia"/>
          <w:color w:val="000000"/>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法人授权书</w:t>
      </w:r>
      <w:r/>
    </w:p>
    <w:p>
      <w:pPr>
        <w:pStyle w:val="1220"/>
        <w:ind w:firstLine="480"/>
        <w:spacing w:line="420" w:lineRule="exact"/>
        <w:rPr>
          <w:rFonts w:hint="eastAsia"/>
          <w:color w:val="000000"/>
          <w:sz w:val="24"/>
          <w:szCs w:val="24"/>
          <w:highlight w:val="none"/>
        </w:rPr>
      </w:pPr>
      <w:r>
        <w:rPr>
          <w:rFonts w:hint="eastAsia"/>
          <w:color w:val="000000"/>
          <w:sz w:val="24"/>
          <w:szCs w:val="24"/>
          <w:highlight w:val="none"/>
        </w:rPr>
      </w:r>
      <w:r/>
    </w:p>
    <w:p>
      <w:pPr>
        <w:pStyle w:val="1220"/>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p>
    <w:p>
      <w:pPr>
        <w:pStyle w:val="1220"/>
        <w:ind w:firstLine="480"/>
        <w:spacing w:line="480" w:lineRule="exact"/>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p>
    <w:p>
      <w:pPr>
        <w:pStyle w:val="1220"/>
        <w:ind w:firstLine="480"/>
        <w:spacing w:line="480" w:lineRule="exact"/>
        <w:rPr>
          <w:rFonts w:hint="eastAsia"/>
          <w:color w:val="000000"/>
          <w:sz w:val="24"/>
          <w:szCs w:val="24"/>
          <w:highlight w:val="none"/>
        </w:rPr>
      </w:pPr>
      <w:r>
        <w:rPr>
          <w:rFonts w:hint="eastAsia"/>
          <w:color w:val="000000"/>
          <w:sz w:val="24"/>
          <w:szCs w:val="24"/>
          <w:highlight w:val="none"/>
        </w:rPr>
        <w:t xml:space="preserve">被授权人身份证号码：</w:t>
      </w:r>
      <w:r/>
    </w:p>
    <w:p>
      <w:pPr>
        <w:pStyle w:val="1220"/>
        <w:ind w:firstLine="480"/>
        <w:spacing w:line="480" w:lineRule="exact"/>
        <w:rPr>
          <w:rFonts w:hint="eastAsia"/>
          <w:color w:val="000000"/>
          <w:sz w:val="24"/>
          <w:szCs w:val="24"/>
          <w:highlight w:val="none"/>
          <w:u w:val="single"/>
        </w:rPr>
      </w:pPr>
      <w:r>
        <w:rPr>
          <w:rFonts w:hint="eastAsia"/>
          <w:color w:val="000000"/>
          <w:sz w:val="24"/>
          <w:szCs w:val="24"/>
          <w:highlight w:val="none"/>
        </w:rPr>
        <w:t xml:space="preserve">被授权人联系电话：（手机）</w:t>
      </w:r>
      <w:r/>
    </w:p>
    <w:p>
      <w:pPr>
        <w:pStyle w:val="1220"/>
        <w:ind w:firstLine="468"/>
        <w:spacing w:line="480" w:lineRule="exact"/>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p>
    <w:p>
      <w:pPr>
        <w:pStyle w:val="1220"/>
        <w:ind w:firstLine="480"/>
        <w:spacing w:line="480" w:lineRule="exact"/>
        <w:rPr>
          <w:rFonts w:hint="eastAsia"/>
          <w:color w:val="000000"/>
          <w:sz w:val="24"/>
          <w:szCs w:val="24"/>
          <w:highlight w:val="none"/>
          <w:u w:val="single"/>
        </w:rPr>
      </w:pPr>
      <w:r>
        <w:rPr>
          <w:rFonts w:hint="eastAsia"/>
          <w:color w:val="000000"/>
          <w:sz w:val="24"/>
          <w:szCs w:val="24"/>
          <w:highlight w:val="none"/>
        </w:rPr>
        <w:t xml:space="preserve">单位地址：</w:t>
      </w:r>
      <w:r/>
    </w:p>
    <w:p>
      <w:pPr>
        <w:pStyle w:val="1220"/>
        <w:ind w:firstLine="480"/>
        <w:spacing w:line="480" w:lineRule="exact"/>
        <w:rPr>
          <w:rFonts w:hint="eastAsia"/>
          <w:color w:val="000000"/>
          <w:sz w:val="24"/>
          <w:szCs w:val="24"/>
          <w:highlight w:val="none"/>
        </w:rPr>
      </w:pPr>
      <w:r>
        <w:rPr>
          <w:rFonts w:hint="eastAsia"/>
          <w:color w:val="000000"/>
          <w:sz w:val="24"/>
          <w:szCs w:val="24"/>
          <w:highlight w:val="none"/>
        </w:rPr>
        <w:t xml:space="preserve">日    期：</w:t>
      </w:r>
      <w:bookmarkStart w:id="200" w:name="_Hlt26671380"/>
      <w:r/>
      <w:bookmarkEnd w:id="200"/>
      <w:r/>
      <w:bookmarkStart w:id="201" w:name="_格式3__银行出具的资信证明"/>
      <w:r/>
      <w:bookmarkEnd w:id="201"/>
      <w:r/>
      <w:bookmarkStart w:id="202" w:name="_Hlt26955070"/>
      <w:r/>
      <w:bookmarkEnd w:id="202"/>
      <w:r/>
      <w:r/>
    </w:p>
    <w:p>
      <w:pPr>
        <w:pStyle w:val="943"/>
        <w:rPr>
          <w:rFonts w:hint="eastAsia"/>
          <w:i/>
          <w:color w:val="000000"/>
          <w:sz w:val="24"/>
          <w:szCs w:val="24"/>
          <w:highlight w:val="none"/>
          <w:u w:val="single"/>
        </w:rPr>
      </w:pPr>
      <w:r>
        <w:rPr>
          <w:rFonts w:hint="eastAsia"/>
          <w:i/>
          <w:color w:val="000000"/>
          <w:sz w:val="24"/>
          <w:szCs w:val="24"/>
          <w:highlight w:val="none"/>
          <w:u w:val="single"/>
        </w:rPr>
      </w:r>
      <w:r/>
    </w:p>
    <w:p>
      <w:pPr>
        <w:pStyle w:val="943"/>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1"/>
        <w:rPr>
          <w:rFonts w:hint="eastAsia"/>
          <w:bCs/>
          <w:color w:val="000000"/>
          <w:sz w:val="24"/>
          <w:highlight w:val="none"/>
        </w:rPr>
      </w:pPr>
      <w:r>
        <w:rPr>
          <w:rFonts w:hint="eastAsia"/>
          <w:bCs/>
          <w:color w:val="000000"/>
          <w:sz w:val="24"/>
          <w:highlight w:val="none"/>
        </w:rPr>
      </w:r>
      <w:r/>
    </w:p>
    <w:p>
      <w:pPr>
        <w:pStyle w:val="1211"/>
        <w:rPr>
          <w:rFonts w:hint="eastAsia"/>
          <w:bCs/>
          <w:color w:val="000000"/>
          <w:sz w:val="24"/>
          <w:highlight w:val="none"/>
        </w:rPr>
      </w:pPr>
      <w:r>
        <w:rPr>
          <w:rFonts w:hint="eastAsia"/>
          <w:bCs/>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致：南京市公共资源交易中心</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2.我们完全理解贵方不一定将合同授予最低报价的供应商。</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122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1222"/>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7.我方为：</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大型企业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中型企业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小型企业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微型企业（在对应</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内</w:t>
      </w:r>
      <w:r>
        <w:rPr>
          <w:rFonts w:hint="eastAsia" w:ascii="宋体" w:hAnsi="宋体"/>
          <w:color w:val="000000"/>
          <w:szCs w:val="21"/>
          <w:highlight w:val="none"/>
          <w:lang w:val="zh-CN"/>
        </w:rPr>
        <w:t xml:space="preserve">打“√”</w:t>
      </w:r>
      <w:r>
        <w:rPr>
          <w:rFonts w:hint="eastAsia" w:ascii="宋体" w:hAnsi="宋体"/>
          <w:color w:val="000000"/>
          <w:szCs w:val="21"/>
          <w:highlight w:val="none"/>
        </w:rPr>
        <w:t xml:space="preserve">）</w:t>
      </w:r>
      <w:r/>
    </w:p>
    <w:p>
      <w:pPr>
        <w:pStyle w:val="1222"/>
        <w:spacing w:before="0" w:after="0" w:line="420" w:lineRule="exact"/>
        <w:rPr>
          <w:rFonts w:ascii="宋体" w:hAnsi="宋体"/>
          <w:color w:val="000000"/>
          <w:szCs w:val="21"/>
          <w:highlight w:val="none"/>
        </w:rPr>
      </w:pPr>
      <w:r>
        <w:rPr>
          <w:rFonts w:hint="eastAsia" w:ascii="宋体" w:hAnsi="宋体"/>
          <w:color w:val="000000"/>
          <w:szCs w:val="21"/>
          <w:highlight w:val="none"/>
        </w:rPr>
        <w:t xml:space="preserve">8.我方为：</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民营企业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非民营企业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其他（在对应</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内</w:t>
      </w:r>
      <w:r>
        <w:rPr>
          <w:rFonts w:hint="eastAsia" w:ascii="宋体" w:hAnsi="宋体"/>
          <w:color w:val="000000"/>
          <w:szCs w:val="21"/>
          <w:highlight w:val="none"/>
          <w:lang w:val="zh-CN"/>
        </w:rPr>
        <w:t xml:space="preserve">打“√”</w:t>
      </w:r>
      <w:r>
        <w:rPr>
          <w:rFonts w:hint="eastAsia" w:ascii="宋体" w:hAnsi="宋体"/>
          <w:color w:val="000000"/>
          <w:szCs w:val="21"/>
          <w:highlight w:val="none"/>
        </w:rPr>
        <w:t xml:space="preserve">）               </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9.我方与本次投标有关信息</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122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p>
    <w:p>
      <w:pPr>
        <w:pStyle w:val="122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p>
    <w:p>
      <w:pPr>
        <w:pStyle w:val="122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p>
    <w:p>
      <w:pPr>
        <w:pStyle w:val="1222"/>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pStyle w:val="1222"/>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pStyle w:val="1222"/>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spacing w:line="480" w:lineRule="auto"/>
        <w:rPr>
          <w:color w:val="000000"/>
          <w:sz w:val="24"/>
          <w:szCs w:val="24"/>
          <w:highlight w:val="none"/>
        </w:rPr>
      </w:pPr>
      <w:r>
        <w:rPr>
          <w:rFonts w:hint="eastAsia" w:ascii="宋体" w:hAnsi="宋体"/>
          <w:color w:val="000000"/>
          <w:sz w:val="24"/>
          <w:szCs w:val="24"/>
          <w:highlight w:val="none"/>
        </w:rPr>
        <w:t xml:space="preserve">项目名称：</w:t>
      </w:r>
      <w:r/>
    </w:p>
    <w:p>
      <w:pPr>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r/>
    </w:p>
    <w:tbl>
      <w:tblPr>
        <w:tblStyle w:val="894"/>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投标总报价（三年总报价）</w:t>
            </w:r>
            <w:r/>
          </w:p>
        </w:tc>
      </w:tr>
      <w:tr>
        <w:trPr>
          <w:cantSplit/>
          <w:trHeight w:val="780"/>
        </w:trPr>
        <w:tc>
          <w:tcPr>
            <w:tcW w:w="9311" w:type="dxa"/>
            <w:vAlign w:val="center"/>
            <w:textDirection w:val="lrTb"/>
            <w:noWrap w:val="false"/>
          </w:tcPr>
          <w:p>
            <w:pPr>
              <w:pStyle w:val="1222"/>
              <w:ind w:firstLine="0"/>
              <w:spacing w:before="0" w:after="0" w:line="480" w:lineRule="auto"/>
              <w:rPr>
                <w:rFonts w:hint="eastAsia" w:ascii="宋体" w:hAnsi="宋体"/>
                <w:color w:val="000000"/>
                <w:szCs w:val="21"/>
                <w:highlight w:val="none"/>
              </w:rPr>
            </w:pPr>
            <w:r>
              <w:rPr>
                <w:rFonts w:hint="eastAsia" w:ascii="宋体" w:hAnsi="宋体" w:cs="宋体"/>
                <w:color w:val="000000"/>
                <w:highlight w:val="none"/>
              </w:rPr>
              <w:t xml:space="preserve">小写（元）：</w:t>
            </w:r>
            <w:r/>
          </w:p>
        </w:tc>
      </w:tr>
    </w:tbl>
    <w:p>
      <w:pPr>
        <w:spacing w:line="48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r/>
    </w:p>
    <w:p>
      <w:pPr>
        <w:pStyle w:val="100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5"/>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95"/>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95"/>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95"/>
        <w:rPr>
          <w:rFonts w:hint="eastAsia"/>
          <w:color w:val="000000"/>
          <w:highlight w:val="none"/>
        </w:rPr>
      </w:pPr>
      <w:r>
        <w:rPr>
          <w:rFonts w:hint="eastAsia"/>
          <w:color w:val="000000"/>
          <w:highlight w:val="none"/>
        </w:rPr>
      </w:r>
      <w:r/>
    </w:p>
    <w:p>
      <w:pPr>
        <w:pStyle w:val="100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1"/>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1"/>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ind w:right="180" w:firstLine="480"/>
        <w:spacing w:line="360" w:lineRule="auto"/>
        <w:rPr>
          <w:rFonts w:hint="eastAsia" w:ascii="宋体" w:hAnsi="宋体"/>
          <w:color w:val="000000"/>
          <w:sz w:val="24"/>
          <w:szCs w:val="24"/>
          <w:highlight w:val="none"/>
        </w:rPr>
      </w:pPr>
      <w:r/>
      <w:bookmarkStart w:id="203" w:name="OLE_LINK3"/>
      <w:r>
        <w:rPr>
          <w:rFonts w:hint="eastAsia" w:ascii="宋体" w:hAnsi="宋体"/>
          <w:color w:val="000000"/>
          <w:sz w:val="24"/>
          <w:szCs w:val="24"/>
          <w:highlight w:val="none"/>
        </w:rPr>
        <w:t xml:space="preserve">供应商名称：（加盖电子公章）</w:t>
      </w:r>
      <w:r/>
    </w:p>
    <w:p>
      <w:pPr>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p>
    <w:p>
      <w:pPr>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                                   采购包号：</w:t>
      </w:r>
      <w:bookmarkEnd w:id="203"/>
      <w:r/>
      <w:r/>
    </w:p>
    <w:tbl>
      <w:tblPr>
        <w:tblStyle w:val="894"/>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分项名称</w:t>
            </w:r>
            <w:r/>
          </w:p>
        </w:tc>
        <w:tc>
          <w:tcPr>
            <w:tcW w:w="10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9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1980" w:type="dxa"/>
            <w:vAlign w:val="center"/>
            <w:textDirection w:val="lrTb"/>
            <w:noWrap w:val="false"/>
          </w:tcPr>
          <w:p>
            <w:pPr>
              <w:jc w:val="center"/>
              <w:spacing w:line="0" w:lineRule="atLeast"/>
              <w:rPr>
                <w:color w:val="000000"/>
                <w:highlight w:val="none"/>
              </w:rPr>
            </w:pPr>
            <w:r>
              <w:rPr>
                <w:rFonts w:hint="eastAsia" w:ascii="宋体" w:hAnsi="宋体"/>
                <w:color w:val="000000"/>
                <w:sz w:val="24"/>
                <w:szCs w:val="24"/>
                <w:highlight w:val="none"/>
              </w:rPr>
              <w:t xml:space="preserve">单价（元）</w:t>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2559"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人工成本</w:t>
            </w:r>
            <w:r/>
          </w:p>
        </w:tc>
        <w:tc>
          <w:tcPr>
            <w:tcW w:w="101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99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年</w:t>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2559"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服装费</w:t>
            </w:r>
            <w:r/>
          </w:p>
        </w:tc>
        <w:tc>
          <w:tcPr>
            <w:tcW w:w="1010"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9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年</w:t>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2559"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其他费用</w:t>
            </w:r>
            <w:r/>
          </w:p>
        </w:tc>
        <w:tc>
          <w:tcPr>
            <w:tcW w:w="101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年</w:t>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p>
        </w:tc>
        <w:tc>
          <w:tcPr>
            <w:tcW w:w="2559"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p>
        </w:tc>
        <w:tc>
          <w:tcPr>
            <w:tcW w:w="2559"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合计：</w:t>
            </w:r>
            <w:r/>
          </w:p>
        </w:tc>
        <w:tc>
          <w:tcPr>
            <w:tcW w:w="1010"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p>
        </w:tc>
        <w:tc>
          <w:tcPr>
            <w:tcW w:w="990"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w:t>
            </w:r>
            <w:r/>
          </w:p>
        </w:tc>
        <w:tc>
          <w:tcPr>
            <w:tcW w:w="198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tcW w:w="2559"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投标总价（元）</w:t>
            </w:r>
            <w:r/>
          </w:p>
        </w:tc>
        <w:tc>
          <w:tcPr>
            <w:gridSpan w:val="4"/>
            <w:tcW w:w="6392"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___________________________(元/3年）</w:t>
            </w:r>
            <w:r/>
          </w:p>
        </w:tc>
      </w:tr>
    </w:tbl>
    <w:p>
      <w:pPr>
        <w:spacing w:line="360" w:lineRule="auto"/>
        <w:rPr>
          <w:rFonts w:ascii="宋体" w:hAnsi="宋体"/>
          <w:color w:val="000000"/>
          <w:sz w:val="24"/>
          <w:highlight w:val="none"/>
        </w:rPr>
      </w:pPr>
      <w:r>
        <w:rPr>
          <w:rFonts w:ascii="宋体" w:hAnsi="宋体"/>
          <w:color w:val="000000"/>
          <w:sz w:val="24"/>
          <w:highlight w:val="none"/>
        </w:rPr>
      </w:r>
      <w:r/>
    </w:p>
    <w:p>
      <w:pPr>
        <w:pStyle w:val="986"/>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98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1.“投标总价”应包括为完成整个项目所产生的所有费用。</w:t>
      </w:r>
      <w:r/>
    </w:p>
    <w:p>
      <w:pPr>
        <w:pStyle w:val="98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p>
    <w:p>
      <w:pPr>
        <w:pStyle w:val="986"/>
        <w:ind w:firstLine="480"/>
        <w:jc w:val="both"/>
        <w:spacing w:before="0" w:beforeAutospacing="0" w:after="0" w:afterAutospacing="0" w:line="360" w:lineRule="auto"/>
        <w:rPr>
          <w:rFonts w:hint="eastAsia"/>
          <w:b/>
          <w:bCs/>
          <w:color w:val="000000"/>
          <w:highlight w:val="none"/>
        </w:rPr>
      </w:pPr>
      <w:r>
        <w:rPr>
          <w:rFonts w:hint="eastAsia"/>
          <w:color w:val="000000"/>
          <w:highlight w:val="none"/>
        </w:rPr>
        <w:t xml:space="preserve">3.</w:t>
      </w:r>
      <w:r>
        <w:rPr>
          <w:rFonts w:hint="eastAsia"/>
          <w:b/>
          <w:bCs/>
          <w:color w:val="000000"/>
          <w:highlight w:val="none"/>
        </w:rPr>
        <w:t xml:space="preserve">《投标分项报价表》中“人工成本”分项中的“合计”金额应与《人工成本报价明细表》中的“三年合计总价”金额一致。</w:t>
      </w:r>
      <w:r/>
    </w:p>
    <w:p>
      <w:pPr>
        <w:pStyle w:val="986"/>
        <w:ind w:firstLine="480"/>
        <w:jc w:val="both"/>
        <w:spacing w:before="0" w:beforeAutospacing="0" w:after="0" w:afterAutospacing="0" w:line="360" w:lineRule="auto"/>
        <w:rPr>
          <w:color w:val="000000"/>
          <w:highlight w:val="none"/>
        </w:rPr>
      </w:pPr>
      <w:r>
        <w:rPr>
          <w:rFonts w:hint="eastAsia"/>
          <w:color w:val="000000"/>
          <w:highlight w:val="none"/>
        </w:rPr>
        <w:t xml:space="preserve">4.</w:t>
      </w:r>
      <w:r>
        <w:rPr>
          <w:rFonts w:hint="eastAsia"/>
          <w:b/>
          <w:bCs/>
          <w:color w:val="000000"/>
          <w:highlight w:val="none"/>
        </w:rPr>
        <w:t xml:space="preserve">《投标分项报价表》已列“分项名称”以外的费用由供应商根据本项目采购需求和自身实际填报。</w:t>
      </w:r>
      <w:r>
        <w:rPr>
          <w:rFonts w:hint="eastAsia"/>
          <w:color w:val="000000"/>
          <w:highlight w:val="none"/>
        </w:rPr>
        <w:t xml:space="preserve">行数不够，可自行添加。</w:t>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r>
      <w:r/>
    </w:p>
    <w:p>
      <w:pPr>
        <w:jc w:val="center"/>
        <w:spacing w:line="48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br w:type="page" w:clear="all"/>
      </w:r>
      <w:r>
        <w:rPr>
          <w:rFonts w:hint="eastAsia" w:ascii="方正小标宋简体" w:hAnsi="方正小标宋简体" w:eastAsia="方正小标宋简体" w:cs="方正小标宋简体"/>
          <w:color w:val="000000"/>
          <w:sz w:val="32"/>
          <w:szCs w:val="32"/>
          <w:highlight w:val="none"/>
        </w:rPr>
        <w:t xml:space="preserve">人工成本报价明细表</w:t>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p>
    <w:p>
      <w:pPr>
        <w:ind w:right="180" w:firstLine="480"/>
        <w:spacing w:line="360" w:lineRule="auto"/>
        <w:rPr>
          <w:color w:val="000000"/>
          <w:highlight w:val="none"/>
        </w:rPr>
      </w:pPr>
      <w:r>
        <w:rPr>
          <w:rFonts w:hint="eastAsia" w:ascii="宋体" w:hAnsi="宋体"/>
          <w:color w:val="000000"/>
          <w:sz w:val="24"/>
          <w:szCs w:val="24"/>
          <w:highlight w:val="none"/>
        </w:rPr>
        <w:t xml:space="preserve">项目编号：                                    采购包号：</w:t>
      </w:r>
      <w:r/>
    </w:p>
    <w:tbl>
      <w:tblPr>
        <w:tblStyle w:val="894"/>
        <w:tblW w:w="4867" w:type="pct"/>
        <w:jc w:val="center"/>
        <w:tblLayout w:type="fixed"/>
        <w:tblCellMar>
          <w:left w:w="108" w:type="dxa"/>
          <w:top w:w="0" w:type="dxa"/>
          <w:right w:w="108" w:type="dxa"/>
          <w:bottom w:w="0" w:type="dxa"/>
        </w:tblCellMar>
        <w:tblLook w:val="04A0" w:firstRow="1" w:lastRow="0" w:firstColumn="1" w:lastColumn="0" w:noHBand="0" w:noVBand="1"/>
      </w:tblPr>
      <w:tblGrid>
        <w:gridCol w:w="837"/>
        <w:gridCol w:w="1557"/>
        <w:gridCol w:w="1243"/>
        <w:gridCol w:w="1309"/>
        <w:gridCol w:w="822"/>
        <w:gridCol w:w="1381"/>
        <w:gridCol w:w="2548"/>
      </w:tblGrid>
      <w:tr>
        <w:trPr>
          <w:jc w:val="center"/>
          <w:trHeight w:val="452"/>
        </w:trPr>
        <w:tc>
          <w:tcPr>
            <w:tcBorders>
              <w:top w:val="single" w:color="000000" w:sz="4" w:space="0"/>
              <w:left w:val="single" w:color="000000" w:sz="4" w:space="0"/>
              <w:bottom w:val="none" w:color="000000" w:sz="4" w:space="0"/>
              <w:right w:val="single" w:color="000000" w:sz="4" w:space="0"/>
            </w:tcBorders>
            <w:tcW w:w="431" w:type="dxa"/>
            <w:vAlign w:val="center"/>
            <w:vMerge w:val="restart"/>
            <w:textDirection w:val="lrTb"/>
            <w:noWrap w:val="false"/>
          </w:tcPr>
          <w:p>
            <w:pPr>
              <w:jc w:val="center"/>
              <w:widowControl/>
              <w:rPr>
                <w:rFonts w:hint="eastAsia" w:ascii="宋体" w:hAnsi="宋体" w:cs="宋体"/>
                <w:b/>
                <w:bCs/>
                <w:color w:val="000000"/>
                <w:sz w:val="18"/>
                <w:szCs w:val="18"/>
                <w:highlight w:val="none"/>
              </w:rPr>
            </w:pPr>
            <w:r/>
            <w:bookmarkStart w:id="204" w:name="OLE_LINK10"/>
            <w:r>
              <w:rPr>
                <w:rFonts w:hint="eastAsia" w:ascii="宋体" w:hAnsi="宋体" w:cs="宋体"/>
                <w:b/>
                <w:bCs/>
                <w:color w:val="000000"/>
                <w:sz w:val="18"/>
                <w:szCs w:val="18"/>
                <w:highlight w:val="none"/>
              </w:rPr>
              <w:t xml:space="preserve">1</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left"/>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人员基本工资</w:t>
            </w:r>
            <w:bookmarkEnd w:id="204"/>
            <w:r/>
            <w:r/>
          </w:p>
        </w:tc>
      </w:tr>
      <w:tr>
        <w:trPr>
          <w:jc w:val="center"/>
          <w:trHeight w:val="737"/>
        </w:trPr>
        <w:tc>
          <w:tcPr>
            <w:tcBorders>
              <w:top w:val="non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jc w:val="center"/>
              <w:widowControl/>
              <w:rPr>
                <w:rFonts w:ascii="宋体" w:hAnsi="宋体" w:cs="宋体"/>
                <w:b/>
                <w:bCs/>
                <w:color w:val="000000"/>
                <w:sz w:val="18"/>
                <w:szCs w:val="18"/>
                <w:highlight w:val="none"/>
              </w:rPr>
            </w:pPr>
            <w:r>
              <w:rPr>
                <w:rFonts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color w:val="000000"/>
                <w:highlight w:val="none"/>
              </w:rPr>
            </w:pPr>
            <w:r>
              <w:rPr>
                <w:rFonts w:hint="eastAsia" w:ascii="宋体" w:hAnsi="宋体" w:cs="宋体"/>
                <w:b/>
                <w:bCs/>
                <w:color w:val="000000"/>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分项小计</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ascii="宋体" w:hAnsi="宋体" w:cs="宋体"/>
                <w:color w:val="000000"/>
                <w:sz w:val="18"/>
                <w:szCs w:val="18"/>
                <w:highlight w:val="none"/>
              </w:rPr>
            </w:pP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50"/>
        </w:trPr>
        <w:tc>
          <w:tcPr>
            <w:tcBorders>
              <w:top w:val="single" w:color="000000" w:sz="4" w:space="0"/>
              <w:left w:val="single" w:color="000000" w:sz="4" w:space="0"/>
              <w:bottom w:val="none" w:color="000000" w:sz="4" w:space="0"/>
              <w:right w:val="single" w:color="000000" w:sz="4" w:space="0"/>
            </w:tcBorders>
            <w:tcW w:w="431" w:type="dxa"/>
            <w:vAlign w:val="center"/>
            <w:vMerge w:val="restart"/>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2</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left"/>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人员岗位津贴</w:t>
            </w:r>
            <w:r/>
          </w:p>
        </w:tc>
      </w:tr>
      <w:tr>
        <w:trPr>
          <w:jc w:val="center"/>
          <w:trHeight w:val="450"/>
        </w:trPr>
        <w:tc>
          <w:tcPr>
            <w:tcBorders>
              <w:top w:val="non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color w:val="000000"/>
                <w:highlight w:val="none"/>
              </w:rPr>
            </w:pPr>
            <w:r>
              <w:rPr>
                <w:rFonts w:hint="eastAsia" w:ascii="宋体" w:hAnsi="宋体" w:cs="宋体"/>
                <w:b/>
                <w:bCs/>
                <w:color w:val="000000"/>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分项小计</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left"/>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50"/>
        </w:trPr>
        <w:tc>
          <w:tcPr>
            <w:tcBorders>
              <w:top w:val="single" w:color="000000" w:sz="4" w:space="0"/>
              <w:left w:val="single" w:color="000000" w:sz="4" w:space="0"/>
              <w:bottom w:val="none" w:color="000000" w:sz="4" w:space="0"/>
              <w:right w:val="single" w:color="000000" w:sz="4" w:space="0"/>
            </w:tcBorders>
            <w:tcW w:w="431" w:type="dxa"/>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p>
        </w:tc>
        <w:tc>
          <w:tcPr>
            <w:tcBorders>
              <w:top w:val="single" w:color="000000" w:sz="4" w:space="0"/>
              <w:left w:val="single" w:color="000000" w:sz="4" w:space="0"/>
              <w:bottom w:val="none" w:color="000000" w:sz="4" w:space="0"/>
              <w:right w:val="single" w:color="000000" w:sz="4" w:space="0"/>
            </w:tcBorders>
            <w:tcW w:w="803" w:type="dxa"/>
            <w:vAlign w:val="center"/>
            <w:vMerge w:val="restart"/>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加班班次（班次/年）</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（元/班次）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参考计算公式</w:t>
            </w:r>
            <w:r/>
          </w:p>
        </w:tc>
      </w:tr>
      <w:tr>
        <w:trPr>
          <w:jc w:val="center"/>
          <w:trHeight w:val="450"/>
        </w:trPr>
        <w:tc>
          <w:tcPr>
            <w:tcBorders>
              <w:top w:val="non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900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加班班次×单位成本（人员月工资÷21.75天）×3倍</w:t>
            </w:r>
            <w:r/>
          </w:p>
        </w:tc>
      </w:tr>
      <w:tr>
        <w:trPr>
          <w:jc w:val="center"/>
          <w:trHeight w:val="450"/>
        </w:trPr>
        <w:tc>
          <w:tcPr>
            <w:tcBorders>
              <w:top w:val="single" w:color="000000" w:sz="4" w:space="0"/>
              <w:left w:val="single" w:color="000000" w:sz="4" w:space="0"/>
              <w:bottom w:val="none" w:color="000000" w:sz="4" w:space="0"/>
              <w:right w:val="single" w:color="000000" w:sz="4" w:space="0"/>
            </w:tcBorders>
            <w:tcW w:w="431" w:type="dxa"/>
            <w:vAlign w:val="center"/>
            <w:vMerge w:val="restart"/>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p>
        </w:tc>
        <w:tc>
          <w:tcPr>
            <w:tcBorders>
              <w:top w:val="single" w:color="000000" w:sz="4" w:space="0"/>
              <w:left w:val="single" w:color="000000" w:sz="4" w:space="0"/>
              <w:bottom w:val="none" w:color="000000" w:sz="4" w:space="0"/>
              <w:right w:val="single" w:color="000000" w:sz="4" w:space="0"/>
            </w:tcBorders>
            <w:tcW w:w="803" w:type="dxa"/>
            <w:vAlign w:val="center"/>
            <w:vMerge w:val="restart"/>
            <w:textDirection w:val="lrTb"/>
            <w:noWrap w:val="false"/>
          </w:tcPr>
          <w:p>
            <w:pPr>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休息日加班工资</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加班班次（班次/年）</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（元/班次）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参考计算公式</w:t>
            </w:r>
            <w:r/>
          </w:p>
        </w:tc>
      </w:tr>
      <w:tr>
        <w:trPr>
          <w:jc w:val="center"/>
          <w:trHeight w:val="450"/>
        </w:trPr>
        <w:tc>
          <w:tcPr>
            <w:tcBorders>
              <w:top w:val="non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3484</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加班班次×单位成本（人员月工资÷21.75天）×2倍</w:t>
            </w:r>
            <w:r/>
          </w:p>
        </w:tc>
      </w:tr>
      <w:tr>
        <w:trPr>
          <w:jc w:val="center"/>
          <w:trHeight w:val="450"/>
        </w:trPr>
        <w:tc>
          <w:tcPr>
            <w:tcBorders>
              <w:top w:val="single" w:color="000000" w:sz="4" w:space="0"/>
              <w:left w:val="single" w:color="000000" w:sz="4" w:space="0"/>
              <w:bottom w:val="none" w:color="000000" w:sz="4" w:space="0"/>
              <w:right w:val="single" w:color="000000" w:sz="4" w:space="0"/>
            </w:tcBorders>
            <w:tcW w:w="431" w:type="dxa"/>
            <w:vAlign w:val="center"/>
            <w:vMerge w:val="restart"/>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5</w:t>
            </w:r>
            <w:r/>
          </w:p>
        </w:tc>
        <w:tc>
          <w:tcPr>
            <w:tcBorders>
              <w:top w:val="single" w:color="000000" w:sz="4" w:space="0"/>
              <w:left w:val="single" w:color="000000" w:sz="4" w:space="0"/>
              <w:bottom w:val="none" w:color="000000" w:sz="4" w:space="0"/>
              <w:right w:val="single" w:color="000000" w:sz="4" w:space="0"/>
            </w:tcBorders>
            <w:tcW w:w="803" w:type="dxa"/>
            <w:vAlign w:val="center"/>
            <w:vMerge w:val="restart"/>
            <w:textDirection w:val="lrTb"/>
            <w:noWrap w:val="false"/>
          </w:tcPr>
          <w:p>
            <w:pPr>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夜班补贴</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班次（班次/年）</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（元/班次）</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参考计算公式</w:t>
            </w:r>
            <w:r/>
          </w:p>
        </w:tc>
      </w:tr>
      <w:tr>
        <w:trPr>
          <w:jc w:val="center"/>
          <w:trHeight w:val="450"/>
        </w:trPr>
        <w:tc>
          <w:tcPr>
            <w:tcBorders>
              <w:top w:val="non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803" w:type="dxa"/>
            <w:vAlign w:val="center"/>
            <w:vMerge w:val="continue"/>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3650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ind w:firstLine="361"/>
              <w:jc w:val="left"/>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班次×单位成本</w:t>
            </w:r>
            <w:r/>
          </w:p>
        </w:tc>
      </w:tr>
      <w:tr>
        <w:trPr>
          <w:jc w:val="center"/>
          <w:trHeight w:val="512"/>
        </w:trPr>
        <w:tc>
          <w:tcPr>
            <w:tcBorders>
              <w:top w:val="single" w:color="000000" w:sz="4" w:space="0"/>
              <w:left w:val="single" w:color="000000" w:sz="4" w:space="0"/>
              <w:bottom w:val="none" w:color="000000" w:sz="4" w:space="0"/>
              <w:right w:val="single" w:color="000000" w:sz="4" w:space="0"/>
            </w:tcBorders>
            <w:tcW w:w="431" w:type="dxa"/>
            <w:vAlign w:val="center"/>
            <w:vMerge w:val="restart"/>
            <w:textDirection w:val="lrTb"/>
            <w:noWrap w:val="false"/>
          </w:tcPr>
          <w:p>
            <w:pPr>
              <w:jc w:val="center"/>
              <w:widowControl/>
              <w:rPr>
                <w:rFonts w:hint="eastAsia" w:ascii="宋体" w:hAnsi="宋体" w:cs="宋体"/>
                <w:b/>
                <w:bCs/>
                <w:color w:val="000000"/>
                <w:sz w:val="18"/>
                <w:szCs w:val="18"/>
                <w:highlight w:val="none"/>
              </w:rPr>
            </w:pPr>
            <w:r/>
            <w:bookmarkStart w:id="205" w:name="OLE_LINK12"/>
            <w:r>
              <w:rPr>
                <w:rFonts w:hint="eastAsia" w:ascii="宋体" w:hAnsi="宋体" w:cs="宋体"/>
                <w:b/>
                <w:bCs/>
                <w:color w:val="000000"/>
                <w:sz w:val="18"/>
                <w:szCs w:val="18"/>
                <w:highlight w:val="none"/>
              </w:rPr>
              <w:t xml:space="preserve">6</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社会保险</w:t>
            </w:r>
            <w:bookmarkEnd w:id="205"/>
            <w:r/>
            <w:r/>
          </w:p>
        </w:tc>
      </w:tr>
      <w:tr>
        <w:trPr>
          <w:jc w:val="center"/>
          <w:trHeight w:val="1149"/>
        </w:trPr>
        <w:tc>
          <w:tcPr>
            <w:tcBorders>
              <w:top w:val="non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jc w:val="center"/>
              <w:widowControl/>
              <w:rPr>
                <w:rFonts w:hint="eastAsia" w:ascii="宋体" w:hAnsi="宋体" w:cs="宋体"/>
                <w:b/>
                <w:bCs/>
                <w:color w:val="000000"/>
                <w:sz w:val="18"/>
                <w:szCs w:val="18"/>
                <w:highlight w:val="none"/>
              </w:rPr>
            </w:pPr>
            <w:r/>
            <w:bookmarkStart w:id="206" w:name="OLE_LINK13"/>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费用计算公式</w:t>
            </w:r>
            <w:bookmarkEnd w:id="206"/>
            <w:r/>
            <w:r/>
          </w:p>
        </w:tc>
      </w:tr>
      <w:tr>
        <w:trPr>
          <w:jc w:val="center"/>
          <w:trHeight w:val="528"/>
        </w:trPr>
        <w:tc>
          <w:tcPr>
            <w:tcBorders>
              <w:top w:val="single" w:color="000000" w:sz="4" w:space="0"/>
              <w:left w:val="single" w:color="000000" w:sz="4" w:space="0"/>
              <w:bottom w:val="non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p>
        </w:tc>
        <w:tc>
          <w:tcPr>
            <w:tcBorders>
              <w:top w:val="single" w:color="000000" w:sz="4" w:space="0"/>
              <w:left w:val="single" w:color="000000" w:sz="4" w:space="0"/>
              <w:bottom w:val="non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64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42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none" w:color="000000" w:sz="4" w:space="0"/>
              <w:right w:val="single" w:color="000000" w:sz="4" w:space="0"/>
            </w:tcBorders>
            <w:tcW w:w="712"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528"/>
        </w:trPr>
        <w:tc>
          <w:tcPr>
            <w:tcBorders>
              <w:top w:val="single" w:color="000000" w:sz="4" w:space="0"/>
              <w:left w:val="single" w:color="000000" w:sz="4" w:space="0"/>
              <w:bottom w:val="non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p>
        </w:tc>
        <w:tc>
          <w:tcPr>
            <w:tcBorders>
              <w:top w:val="single" w:color="000000" w:sz="4" w:space="0"/>
              <w:left w:val="single" w:color="000000" w:sz="4" w:space="0"/>
              <w:bottom w:val="non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64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42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none" w:color="000000" w:sz="4" w:space="0"/>
              <w:right w:val="single" w:color="000000" w:sz="4" w:space="0"/>
            </w:tcBorders>
            <w:tcW w:w="712"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w:t>
            </w:r>
            <w:r/>
          </w:p>
        </w:tc>
        <w:tc>
          <w:tcPr>
            <w:tcBorders>
              <w:top w:val="single" w:color="000000" w:sz="4" w:space="0"/>
              <w:left w:val="single" w:color="000000" w:sz="4" w:space="0"/>
              <w:bottom w:val="none" w:color="000000" w:sz="4" w:space="0"/>
              <w:right w:val="single" w:color="000000" w:sz="4" w:space="0"/>
            </w:tcBorders>
            <w:tcW w:w="803"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64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675"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424"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W w:w="712"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合计</w:t>
            </w:r>
            <w:r/>
          </w:p>
        </w:tc>
        <w:tc>
          <w:tcPr>
            <w:gridSpan w:val="6"/>
            <w:tcBorders>
              <w:top w:val="single" w:color="000000" w:sz="4" w:space="0"/>
              <w:left w:val="single" w:color="000000" w:sz="4" w:space="0"/>
              <w:bottom w:val="none" w:color="000000" w:sz="4" w:space="0"/>
              <w:right w:val="single" w:color="000000" w:sz="4" w:space="0"/>
            </w:tcBorders>
            <w:tcW w:w="8860"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431" w:type="dxa"/>
            <w:vAlign w:val="center"/>
            <w:vMerge w:val="restart"/>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7</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公积金</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单位成本</w:t>
            </w:r>
            <w:r>
              <w:rPr>
                <w:rFonts w:hint="eastAsia" w:ascii="宋体" w:hAnsi="宋体" w:cs="宋体"/>
                <w:b/>
                <w:bCs/>
                <w:color w:val="000000"/>
                <w:sz w:val="18"/>
                <w:szCs w:val="18"/>
                <w:highlight w:val="none"/>
              </w:rPr>
              <w:br w:type="textWrapping" w:clear="all"/>
            </w:r>
            <w:r>
              <w:rPr>
                <w:rFonts w:hint="eastAsia" w:ascii="宋体" w:hAnsi="宋体" w:cs="宋体"/>
                <w:b/>
                <w:bCs/>
                <w:color w:val="000000"/>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cs="宋体"/>
                <w:color w:val="000000"/>
                <w:sz w:val="18"/>
                <w:szCs w:val="18"/>
                <w:highlight w:val="none"/>
              </w:rPr>
            </w:pPr>
            <w:r>
              <w:rPr>
                <w:rFonts w:hint="eastAsia" w:ascii="宋体" w:hAnsi="宋体" w:cs="宋体"/>
                <w:b/>
                <w:bCs/>
                <w:color w:val="000000"/>
                <w:sz w:val="18"/>
                <w:szCs w:val="18"/>
                <w:highlight w:val="none"/>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color w:val="000000"/>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color w:val="000000"/>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widowControl/>
              <w:rPr>
                <w:rFonts w:ascii="宋体" w:hAnsi="宋体" w:cs="宋体"/>
                <w:color w:val="000000"/>
                <w:sz w:val="18"/>
                <w:szCs w:val="18"/>
                <w:highlight w:val="none"/>
              </w:rPr>
            </w:pPr>
            <w:r>
              <w:rPr>
                <w:rFonts w:hint="eastAsia" w:ascii="宋体" w:hAnsi="宋体" w:cs="宋体"/>
                <w:b/>
                <w:bCs/>
                <w:color w:val="000000"/>
                <w:sz w:val="18"/>
                <w:szCs w:val="18"/>
                <w:highlight w:val="none"/>
              </w:rPr>
              <w:t xml:space="preserve">一年合计总价</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left"/>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val="false"/>
          </w:tcPr>
          <w:p>
            <w:pPr>
              <w:jc w:val="center"/>
              <w:rPr>
                <w:rFonts w:ascii="宋体" w:hAnsi="宋体" w:cs="宋体"/>
                <w:b/>
                <w:bCs/>
                <w:color w:val="000000"/>
                <w:sz w:val="18"/>
                <w:szCs w:val="18"/>
                <w:highlight w:val="none"/>
              </w:rPr>
            </w:pPr>
            <w:r>
              <w:rPr>
                <w:rFonts w:hint="eastAsia" w:ascii="宋体" w:hAnsi="宋体" w:cs="宋体"/>
                <w:b/>
                <w:bCs/>
                <w:color w:val="000000"/>
                <w:sz w:val="18"/>
                <w:szCs w:val="18"/>
                <w:highlight w:val="none"/>
              </w:rPr>
              <w:t xml:space="preserve">三年合计总价</w:t>
            </w:r>
            <w:r/>
          </w:p>
        </w:tc>
        <w:tc>
          <w:tcPr>
            <w:gridSpan w:val="6"/>
            <w:tcBorders>
              <w:top w:val="single" w:color="000000" w:sz="4" w:space="0"/>
              <w:left w:val="single" w:color="000000" w:sz="4" w:space="0"/>
              <w:bottom w:val="single" w:color="000000" w:sz="4" w:space="0"/>
              <w:right w:val="single" w:color="000000" w:sz="4" w:space="0"/>
            </w:tcBorders>
            <w:tcW w:w="8860" w:type="dxa"/>
            <w:vAlign w:val="center"/>
            <w:textDirection w:val="lrTb"/>
            <w:noWrap w:val="false"/>
          </w:tcPr>
          <w:p>
            <w:pPr>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jc w:val="left"/>
              <w:rPr>
                <w:rFonts w:ascii="宋体" w:hAnsi="宋体" w:cs="宋体"/>
                <w:b/>
                <w:bCs/>
                <w:color w:val="000000"/>
                <w:sz w:val="18"/>
                <w:szCs w:val="18"/>
                <w:highlight w:val="none"/>
              </w:rPr>
            </w:pPr>
            <w:r>
              <w:rPr>
                <w:rFonts w:hint="eastAsia" w:ascii="宋体" w:hAnsi="宋体" w:cs="宋体"/>
                <w:b/>
                <w:bCs/>
                <w:color w:val="000000"/>
                <w:sz w:val="22"/>
                <w:szCs w:val="22"/>
                <w:highlight w:val="none"/>
              </w:rPr>
              <w:t xml:space="preserve">注：（1）此表为样表，行数可自行添加，但表式不变。（2）各分项报价均不得为“0”或负数，否则作无效投标处理。（3）《投标分项报价表》中“人工成本”分项中的“合计”金额应与《人工成本报价明细表》中的“三年合计总价”金额一致。（5）此表中所有数值保留小数点后两位。</w:t>
            </w:r>
            <w:r/>
          </w:p>
        </w:tc>
      </w:tr>
    </w:tbl>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jc w:val="left"/>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附：最低工资标准、社保及公积金相关规定</w:t>
      </w:r>
      <w:r/>
    </w:p>
    <w:p>
      <w:pPr>
        <w:ind w:firstLine="422"/>
        <w:jc w:val="left"/>
        <w:spacing w:line="360" w:lineRule="auto"/>
        <w:rPr>
          <w:rFonts w:hint="eastAsia" w:ascii="宋体" w:hAnsi="宋体" w:cs="宋体"/>
          <w:color w:val="000000"/>
          <w:highlight w:val="none"/>
        </w:rPr>
      </w:pPr>
      <w:r>
        <w:rPr>
          <w:rFonts w:hint="eastAsia" w:ascii="宋体" w:hAnsi="宋体" w:cs="宋体"/>
          <w:b/>
          <w:bCs/>
          <w:color w:val="000000"/>
          <w:highlight w:val="none"/>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表1：最低工资标准、社会保险及公积金（参考）</w:t>
      </w:r>
      <w:r/>
    </w:p>
    <w:tbl>
      <w:tblPr>
        <w:tblStyle w:val="894"/>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序号</w:t>
            </w:r>
            <w:r/>
          </w:p>
        </w:tc>
        <w:tc>
          <w:tcPr>
            <w:tcW w:w="1748"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名称</w:t>
            </w:r>
            <w:r/>
          </w:p>
        </w:tc>
        <w:tc>
          <w:tcPr>
            <w:tcW w:w="425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计算公式</w:t>
            </w:r>
            <w:r/>
          </w:p>
        </w:tc>
        <w:tc>
          <w:tcPr>
            <w:tcW w:w="162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金额（元/月）</w:t>
            </w:r>
            <w:r/>
          </w:p>
        </w:tc>
        <w:tc>
          <w:tcPr>
            <w:tcW w:w="1537" w:type="dxa"/>
            <w:vAlign w:val="center"/>
            <w:textDirection w:val="lrTb"/>
            <w:noWrap/>
          </w:tcPr>
          <w:p>
            <w:pPr>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备注</w:t>
            </w:r>
            <w:r/>
          </w:p>
        </w:tc>
      </w:tr>
      <w:tr>
        <w:trPr>
          <w:trHeight w:val="417" w:hRule="exact"/>
        </w:trPr>
        <w:tc>
          <w:tcPr>
            <w:tcW w:w="736"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1</w:t>
            </w:r>
            <w:r/>
          </w:p>
        </w:tc>
        <w:tc>
          <w:tcPr>
            <w:tcW w:w="1748"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最低工资标准</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w:t>
            </w:r>
            <w:r/>
          </w:p>
        </w:tc>
        <w:tc>
          <w:tcPr>
            <w:tcW w:w="1627" w:type="dxa"/>
            <w:vAlign w:val="center"/>
            <w:textDirection w:val="lrTb"/>
            <w:noWrap/>
          </w:tcPr>
          <w:p>
            <w:pPr>
              <w:jc w:val="center"/>
              <w:rPr>
                <w:rFonts w:ascii="宋体" w:hAnsi="宋体" w:cs="宋体"/>
                <w:color w:val="000000"/>
                <w:highlight w:val="none"/>
              </w:rPr>
            </w:pPr>
            <w:r>
              <w:rPr>
                <w:rFonts w:hint="eastAsia" w:ascii="宋体" w:hAnsi="宋体" w:cs="宋体"/>
                <w:color w:val="000000"/>
                <w:highlight w:val="none"/>
              </w:rPr>
              <w:t xml:space="preserve">2660</w:t>
            </w:r>
            <w:r/>
          </w:p>
        </w:tc>
        <w:tc>
          <w:tcPr>
            <w:tcW w:w="153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参考</w:t>
            </w:r>
            <w:r/>
          </w:p>
        </w:tc>
      </w:tr>
      <w:tr>
        <w:trPr>
          <w:trHeight w:val="1073" w:hRule="exact"/>
        </w:trPr>
        <w:tc>
          <w:tcPr>
            <w:tcW w:w="736"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2</w:t>
            </w:r>
            <w:r/>
          </w:p>
        </w:tc>
        <w:tc>
          <w:tcPr>
            <w:tcW w:w="1748"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社保单位计提费用</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缴费基数（≥4952）*缴费比例（≥24.7%）</w:t>
            </w:r>
            <w:r/>
          </w:p>
        </w:tc>
        <w:tc>
          <w:tcPr>
            <w:tcW w:w="1627" w:type="dxa"/>
            <w:vAlign w:val="center"/>
            <w:textDirection w:val="lrTb"/>
            <w:noWrap/>
          </w:tcPr>
          <w:p>
            <w:pPr>
              <w:jc w:val="center"/>
              <w:rPr>
                <w:rFonts w:ascii="宋体" w:hAnsi="宋体" w:cs="宋体"/>
                <w:color w:val="000000"/>
                <w:highlight w:val="none"/>
              </w:rPr>
            </w:pPr>
            <w:r>
              <w:rPr>
                <w:rFonts w:hint="eastAsia" w:ascii="宋体" w:hAnsi="宋体" w:cs="宋体"/>
                <w:color w:val="000000"/>
                <w:highlight w:val="none"/>
              </w:rPr>
              <w:t xml:space="preserve">≥1223.144</w:t>
            </w:r>
            <w:r/>
          </w:p>
        </w:tc>
        <w:tc>
          <w:tcPr>
            <w:tcW w:w="1537" w:type="dxa"/>
            <w:vAlign w:val="center"/>
            <w:textDirection w:val="lrTb"/>
            <w:noWrap/>
          </w:tcPr>
          <w:p>
            <w:pPr>
              <w:jc w:val="left"/>
              <w:rPr>
                <w:rFonts w:hint="eastAsia" w:ascii="宋体" w:hAnsi="宋体" w:cs="宋体"/>
                <w:b/>
                <w:bCs/>
                <w:color w:val="000000"/>
                <w:highlight w:val="none"/>
              </w:rPr>
            </w:pPr>
            <w:r>
              <w:rPr>
                <w:rFonts w:hint="eastAsia" w:ascii="宋体" w:hAnsi="宋体" w:cs="宋体"/>
                <w:b/>
                <w:bCs/>
                <w:color w:val="000000"/>
                <w:highlight w:val="none"/>
              </w:rPr>
              <w:t xml:space="preserve">如保留小数点后两位测算，</w:t>
            </w:r>
            <w:r/>
          </w:p>
          <w:p>
            <w:pPr>
              <w:jc w:val="left"/>
              <w:rPr>
                <w:rFonts w:ascii="宋体" w:hAnsi="宋体" w:cs="宋体"/>
                <w:color w:val="000000"/>
                <w:highlight w:val="none"/>
              </w:rPr>
            </w:pPr>
            <w:r>
              <w:rPr>
                <w:rFonts w:hint="eastAsia" w:ascii="宋体" w:hAnsi="宋体" w:cs="宋体"/>
                <w:b/>
                <w:bCs/>
                <w:color w:val="000000"/>
                <w:highlight w:val="none"/>
              </w:rPr>
              <w:t xml:space="preserve">金额≥1223.15</w:t>
            </w:r>
            <w:r/>
          </w:p>
        </w:tc>
      </w:tr>
      <w:tr>
        <w:trPr>
          <w:trHeight w:val="732" w:hRule="exact"/>
        </w:trPr>
        <w:tc>
          <w:tcPr>
            <w:tcW w:w="736"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3</w:t>
            </w:r>
            <w:r/>
          </w:p>
        </w:tc>
        <w:tc>
          <w:tcPr>
            <w:tcW w:w="1748"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公积金单位计提费用</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缴存基数（≥2660）*缴存比例（≥5%）</w:t>
            </w:r>
            <w:r/>
          </w:p>
        </w:tc>
        <w:tc>
          <w:tcPr>
            <w:tcW w:w="1627" w:type="dxa"/>
            <w:vAlign w:val="center"/>
            <w:textDirection w:val="lrTb"/>
            <w:noWrap/>
          </w:tcPr>
          <w:p>
            <w:pPr>
              <w:jc w:val="center"/>
              <w:rPr>
                <w:rFonts w:ascii="宋体" w:hAnsi="宋体" w:cs="宋体"/>
                <w:color w:val="000000"/>
                <w:highlight w:val="none"/>
              </w:rPr>
            </w:pPr>
            <w:r>
              <w:rPr>
                <w:rFonts w:hint="eastAsia" w:ascii="宋体" w:hAnsi="宋体" w:cs="宋体"/>
                <w:color w:val="000000"/>
                <w:highlight w:val="none"/>
              </w:rPr>
              <w:t xml:space="preserve">≥133</w:t>
            </w:r>
            <w:r/>
          </w:p>
        </w:tc>
        <w:tc>
          <w:tcPr>
            <w:tcW w:w="153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r>
            <w:r/>
          </w:p>
        </w:tc>
      </w:tr>
      <w:tr>
        <w:trPr>
          <w:trHeight w:val="1741" w:hRule="exact"/>
        </w:trPr>
        <w:tc>
          <w:tcPr>
            <w:tcW w:w="736"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4</w:t>
            </w:r>
            <w:r/>
          </w:p>
        </w:tc>
        <w:tc>
          <w:tcPr>
            <w:tcW w:w="1748" w:type="dxa"/>
            <w:vAlign w:val="center"/>
            <w:textDirection w:val="lrTb"/>
            <w:noWrap/>
          </w:tcPr>
          <w:p>
            <w:pPr>
              <w:jc w:val="center"/>
              <w:rPr>
                <w:rFonts w:ascii="宋体" w:hAnsi="宋体" w:cs="宋体"/>
                <w:color w:val="000000"/>
                <w:highlight w:val="none"/>
              </w:rPr>
            </w:pPr>
            <w:r>
              <w:rPr>
                <w:rFonts w:hint="eastAsia" w:ascii="宋体" w:hAnsi="宋体" w:cs="宋体"/>
                <w:color w:val="000000"/>
                <w:highlight w:val="none"/>
              </w:rPr>
              <w:t xml:space="preserve">公积金个人计提费用</w:t>
            </w:r>
            <w:r/>
          </w:p>
        </w:tc>
        <w:tc>
          <w:tcPr>
            <w:tcW w:w="4257" w:type="dxa"/>
            <w:vAlign w:val="center"/>
            <w:textDirection w:val="lrTb"/>
            <w:noWrap/>
          </w:tcPr>
          <w:p>
            <w:pPr>
              <w:jc w:val="center"/>
              <w:rPr>
                <w:rFonts w:hint="eastAsia" w:ascii="宋体" w:hAnsi="宋体" w:cs="宋体"/>
                <w:color w:val="000000"/>
                <w:highlight w:val="none"/>
              </w:rPr>
            </w:pPr>
            <w:r>
              <w:rPr>
                <w:rFonts w:hint="eastAsia" w:ascii="宋体" w:hAnsi="宋体" w:cs="宋体"/>
                <w:color w:val="000000"/>
                <w:highlight w:val="none"/>
              </w:rPr>
              <w:t xml:space="preserve">缴存基数（≥2660）*缴存比例（≥5%）</w:t>
            </w:r>
            <w:r/>
          </w:p>
        </w:tc>
        <w:tc>
          <w:tcPr>
            <w:tcW w:w="1627" w:type="dxa"/>
            <w:vAlign w:val="center"/>
            <w:textDirection w:val="lrTb"/>
            <w:noWrap/>
          </w:tcPr>
          <w:p>
            <w:pPr>
              <w:jc w:val="center"/>
              <w:rPr>
                <w:rFonts w:ascii="宋体" w:hAnsi="宋体" w:cs="宋体"/>
                <w:color w:val="000000"/>
                <w:highlight w:val="none"/>
              </w:rPr>
            </w:pPr>
            <w:r>
              <w:rPr>
                <w:rFonts w:hint="eastAsia" w:ascii="宋体" w:hAnsi="宋体" w:cs="宋体"/>
                <w:color w:val="000000"/>
                <w:highlight w:val="none"/>
              </w:rPr>
              <w:t xml:space="preserve">≥133</w:t>
            </w:r>
            <w:r/>
          </w:p>
        </w:tc>
        <w:tc>
          <w:tcPr>
            <w:tcW w:w="1537" w:type="dxa"/>
            <w:vAlign w:val="center"/>
            <w:textDirection w:val="lrTb"/>
            <w:noWrap/>
          </w:tcPr>
          <w:p>
            <w:pPr>
              <w:jc w:val="left"/>
              <w:rPr>
                <w:rFonts w:hint="eastAsia" w:ascii="宋体" w:hAnsi="宋体" w:cs="宋体"/>
                <w:color w:val="000000"/>
                <w:highlight w:val="none"/>
              </w:rPr>
            </w:pPr>
            <w:r>
              <w:rPr>
                <w:rFonts w:hint="eastAsia" w:ascii="宋体" w:hAnsi="宋体" w:cs="宋体"/>
                <w:color w:val="000000"/>
                <w:highlight w:val="none"/>
              </w:rPr>
              <w:t xml:space="preserve">最低工资不包含劳动者按下限缴存的住房公积金，由用人单位按规定另行支付。</w:t>
            </w:r>
            <w:r/>
          </w:p>
        </w:tc>
      </w:tr>
    </w:tbl>
    <w:p>
      <w:pPr>
        <w:ind w:firstLine="420"/>
        <w:jc w:val="left"/>
        <w:rPr>
          <w:rFonts w:hint="eastAsia" w:ascii="宋体" w:hAnsi="宋体" w:cs="宋体"/>
          <w:color w:val="000000"/>
          <w:highlight w:val="none"/>
        </w:rPr>
      </w:pPr>
      <w:r>
        <w:rPr>
          <w:rFonts w:hint="eastAsia" w:ascii="宋体" w:hAnsi="宋体" w:cs="宋体"/>
          <w:color w:val="000000"/>
          <w:highlight w:val="none"/>
        </w:rPr>
      </w:r>
      <w:r/>
    </w:p>
    <w:p>
      <w:pPr>
        <w:jc w:val="left"/>
        <w:rPr>
          <w:rFonts w:hint="eastAsia"/>
          <w:color w:val="000000"/>
          <w:highlight w:val="none"/>
        </w:rPr>
      </w:pPr>
      <w:r>
        <w:rPr>
          <w:rFonts w:hint="eastAsia" w:ascii="宋体" w:hAnsi="宋体" w:cs="宋体"/>
          <w:color w:val="000000"/>
          <w:sz w:val="24"/>
          <w:szCs w:val="24"/>
          <w:highlight w:val="none"/>
        </w:rPr>
        <w:t xml:space="preserve">表2：社会保险最低缴费比例（参考）</w:t>
      </w:r>
      <w:r/>
    </w:p>
    <w:tbl>
      <w:tblPr>
        <w:tblStyle w:val="89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widowControl/>
              <w:rPr>
                <w:rFonts w:hint="eastAsia" w:ascii="宋体" w:hAnsi="宋体" w:cs="宋体"/>
                <w:b/>
                <w:bCs/>
                <w:color w:val="000000"/>
                <w:highlight w:val="none"/>
                <w:lang w:bidi="en-US"/>
              </w:rPr>
            </w:pPr>
            <w:r>
              <w:rPr>
                <w:rFonts w:hint="eastAsia" w:ascii="宋体" w:hAnsi="宋体" w:cs="宋体"/>
                <w:b/>
                <w:bCs/>
                <w:color w:val="000000"/>
                <w:highlight w:val="none"/>
                <w:lang w:bidi="en-US"/>
              </w:rPr>
              <w:t xml:space="preserve">序号</w:t>
            </w:r>
            <w:r/>
          </w:p>
        </w:tc>
        <w:tc>
          <w:tcPr>
            <w:tcW w:w="2595" w:type="dxa"/>
            <w:vAlign w:val="top"/>
            <w:textDirection w:val="lrTb"/>
            <w:noWrap w:val="false"/>
          </w:tcPr>
          <w:p>
            <w:pPr>
              <w:jc w:val="center"/>
              <w:widowControl/>
              <w:rPr>
                <w:rFonts w:hint="eastAsia" w:ascii="宋体" w:hAnsi="宋体" w:cs="宋体"/>
                <w:b/>
                <w:bCs/>
                <w:color w:val="000000"/>
                <w:highlight w:val="none"/>
                <w:lang w:bidi="en-US"/>
              </w:rPr>
            </w:pPr>
            <w:r>
              <w:rPr>
                <w:rFonts w:hint="eastAsia" w:ascii="宋体" w:hAnsi="宋体" w:cs="宋体"/>
                <w:b/>
                <w:bCs/>
                <w:color w:val="000000"/>
                <w:highlight w:val="none"/>
                <w:lang w:bidi="en-US"/>
              </w:rPr>
              <w:t xml:space="preserve">险种</w:t>
            </w:r>
            <w:r/>
          </w:p>
        </w:tc>
        <w:tc>
          <w:tcPr>
            <w:tcW w:w="3406" w:type="dxa"/>
            <w:vAlign w:val="top"/>
            <w:textDirection w:val="lrTb"/>
            <w:noWrap w:val="false"/>
          </w:tcPr>
          <w:p>
            <w:pPr>
              <w:jc w:val="center"/>
              <w:widowControl/>
              <w:rPr>
                <w:rFonts w:hint="eastAsia" w:ascii="宋体" w:hAnsi="宋体" w:cs="宋体"/>
                <w:b/>
                <w:bCs/>
                <w:color w:val="000000"/>
                <w:highlight w:val="none"/>
                <w:lang w:bidi="en-US"/>
              </w:rPr>
            </w:pPr>
            <w:r>
              <w:rPr>
                <w:rFonts w:hint="eastAsia" w:ascii="宋体" w:hAnsi="宋体" w:cs="宋体"/>
                <w:b/>
                <w:bCs/>
                <w:color w:val="000000"/>
                <w:highlight w:val="none"/>
                <w:lang w:bidi="en-US"/>
              </w:rPr>
              <w:t xml:space="preserve">单位缴纳比例</w:t>
            </w:r>
            <w:r/>
          </w:p>
        </w:tc>
        <w:tc>
          <w:tcPr>
            <w:tcW w:w="3074" w:type="dxa"/>
            <w:vAlign w:val="top"/>
            <w:textDirection w:val="lrTb"/>
            <w:noWrap w:val="false"/>
          </w:tcPr>
          <w:p>
            <w:pPr>
              <w:jc w:val="center"/>
              <w:widowControl/>
              <w:rPr>
                <w:rFonts w:hint="eastAsia" w:ascii="宋体" w:hAnsi="宋体" w:cs="宋体"/>
                <w:b/>
                <w:bCs/>
                <w:color w:val="000000"/>
                <w:highlight w:val="none"/>
                <w:lang w:bidi="en-US"/>
              </w:rPr>
            </w:pPr>
            <w:r>
              <w:rPr>
                <w:rFonts w:hint="eastAsia" w:ascii="宋体" w:hAnsi="宋体" w:cs="宋体"/>
                <w:b/>
                <w:bCs/>
                <w:color w:val="000000"/>
                <w:highlight w:val="none"/>
                <w:lang w:bidi="en-US"/>
              </w:rPr>
              <w:t xml:space="preserve">个人缴纳比例及金额</w:t>
            </w:r>
            <w:r/>
          </w:p>
        </w:tc>
      </w:tr>
      <w:tr>
        <w:trPr/>
        <w:tc>
          <w:tcPr>
            <w:tcW w:w="773"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1</w:t>
            </w:r>
            <w:r/>
          </w:p>
        </w:tc>
        <w:tc>
          <w:tcPr>
            <w:tcW w:w="2595"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养老保险</w:t>
            </w:r>
            <w:r/>
          </w:p>
        </w:tc>
        <w:tc>
          <w:tcPr>
            <w:tcW w:w="3406"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16%</w:t>
            </w:r>
            <w:r/>
          </w:p>
        </w:tc>
        <w:tc>
          <w:tcPr>
            <w:tcW w:w="3074"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8%</w:t>
            </w:r>
            <w:r/>
          </w:p>
        </w:tc>
      </w:tr>
      <w:tr>
        <w:trPr/>
        <w:tc>
          <w:tcPr>
            <w:tcW w:w="773"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2</w:t>
            </w:r>
            <w:r/>
          </w:p>
        </w:tc>
        <w:tc>
          <w:tcPr>
            <w:tcW w:w="2595"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医疗保险</w:t>
            </w:r>
            <w:r/>
          </w:p>
        </w:tc>
        <w:tc>
          <w:tcPr>
            <w:tcW w:w="3406"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7%   </w:t>
            </w:r>
            <w:r/>
          </w:p>
        </w:tc>
        <w:tc>
          <w:tcPr>
            <w:tcW w:w="3074"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2%</w:t>
            </w:r>
            <w:r/>
          </w:p>
        </w:tc>
      </w:tr>
      <w:tr>
        <w:trPr/>
        <w:tc>
          <w:tcPr>
            <w:tcW w:w="773"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3</w:t>
            </w:r>
            <w:r/>
          </w:p>
        </w:tc>
        <w:tc>
          <w:tcPr>
            <w:tcW w:w="2595"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工伤保险</w:t>
            </w:r>
            <w:r/>
          </w:p>
        </w:tc>
        <w:tc>
          <w:tcPr>
            <w:tcW w:w="3406"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0.4%</w:t>
            </w:r>
            <w:r/>
          </w:p>
        </w:tc>
        <w:tc>
          <w:tcPr>
            <w:tcW w:w="3074"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w:t>
            </w:r>
            <w:r/>
          </w:p>
        </w:tc>
      </w:tr>
      <w:tr>
        <w:trPr/>
        <w:tc>
          <w:tcPr>
            <w:tcW w:w="773"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4</w:t>
            </w:r>
            <w:r/>
          </w:p>
        </w:tc>
        <w:tc>
          <w:tcPr>
            <w:tcW w:w="2595"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失业保险</w:t>
            </w:r>
            <w:r/>
          </w:p>
        </w:tc>
        <w:tc>
          <w:tcPr>
            <w:tcW w:w="3406"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0.5%</w:t>
            </w:r>
            <w:r/>
          </w:p>
        </w:tc>
        <w:tc>
          <w:tcPr>
            <w:tcW w:w="3074"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0.5%</w:t>
            </w:r>
            <w:r/>
          </w:p>
        </w:tc>
      </w:tr>
      <w:tr>
        <w:trPr/>
        <w:tc>
          <w:tcPr>
            <w:tcW w:w="773"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5</w:t>
            </w:r>
            <w:r/>
          </w:p>
        </w:tc>
        <w:tc>
          <w:tcPr>
            <w:tcW w:w="2595"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生育保险</w:t>
            </w:r>
            <w:r/>
          </w:p>
        </w:tc>
        <w:tc>
          <w:tcPr>
            <w:tcW w:w="3406"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0.8%</w:t>
            </w:r>
            <w:r/>
          </w:p>
        </w:tc>
        <w:tc>
          <w:tcPr>
            <w:tcW w:w="3074"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w:t>
            </w:r>
            <w:r/>
          </w:p>
        </w:tc>
      </w:tr>
      <w:tr>
        <w:trPr/>
        <w:tc>
          <w:tcPr>
            <w:tcW w:w="773"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6</w:t>
            </w:r>
            <w:r/>
          </w:p>
        </w:tc>
        <w:tc>
          <w:tcPr>
            <w:tcW w:w="2595"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大病医疗救助</w:t>
            </w:r>
            <w:r/>
          </w:p>
        </w:tc>
        <w:tc>
          <w:tcPr>
            <w:tcW w:w="3406"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w:t>
            </w:r>
            <w:r/>
          </w:p>
        </w:tc>
        <w:tc>
          <w:tcPr>
            <w:tcW w:w="3074" w:type="dxa"/>
            <w:vAlign w:val="top"/>
            <w:textDirection w:val="lrTb"/>
            <w:noWrap w:val="false"/>
          </w:tcPr>
          <w:p>
            <w:pPr>
              <w:jc w:val="center"/>
              <w:rPr>
                <w:rFonts w:hint="eastAsia" w:ascii="宋体" w:hAnsi="宋体" w:cs="宋体"/>
                <w:color w:val="000000"/>
                <w:highlight w:val="none"/>
              </w:rPr>
            </w:pPr>
            <w:r>
              <w:rPr>
                <w:rFonts w:hint="eastAsia" w:ascii="宋体" w:hAnsi="宋体" w:cs="宋体"/>
                <w:color w:val="000000"/>
                <w:highlight w:val="none"/>
              </w:rPr>
              <w:t xml:space="preserve">10元/月</w:t>
            </w:r>
            <w:r/>
          </w:p>
        </w:tc>
      </w:tr>
    </w:tbl>
    <w:p>
      <w:pPr>
        <w:pStyle w:val="1001"/>
        <w:rPr>
          <w:rFonts w:ascii="宋体" w:hAnsi="宋体" w:eastAsia="宋体"/>
          <w:color w:val="000000"/>
          <w:sz w:val="24"/>
          <w:szCs w:val="24"/>
          <w:highlight w:val="none"/>
          <w:lang w:val="en-US"/>
        </w:rPr>
      </w:pPr>
      <w:r>
        <w:rPr>
          <w:rFonts w:ascii="宋体" w:hAnsi="宋体" w:eastAsia="宋体"/>
          <w:color w:val="000000"/>
          <w:sz w:val="24"/>
          <w:szCs w:val="24"/>
          <w:highlight w:val="none"/>
          <w:lang w:val="en-US"/>
        </w:rPr>
      </w:r>
      <w:r/>
    </w:p>
    <w:p>
      <w:pPr>
        <w:pStyle w:val="1001"/>
        <w:rPr>
          <w:color w:val="000000"/>
          <w:highlight w:val="none"/>
          <w:lang w:val="en-US"/>
        </w:rPr>
      </w:pPr>
      <w:r>
        <w:rPr>
          <w:color w:val="000000"/>
          <w:highlight w:val="none"/>
          <w:lang w:val="en-US"/>
        </w:rPr>
      </w:r>
      <w:r/>
    </w:p>
    <w:p>
      <w:pPr>
        <w:spacing w:line="480" w:lineRule="exact"/>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七、技术要求响应及偏离表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技术要求响应及偏离表</w:t>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p>
    <w:p>
      <w:pPr>
        <w:pStyle w:val="895"/>
        <w:ind w:firstLine="480"/>
        <w:rPr>
          <w:rFonts w:hint="eastAsia"/>
          <w:color w:val="000000"/>
          <w:highlight w:val="none"/>
        </w:rPr>
      </w:pPr>
      <w:r>
        <w:rPr>
          <w:rFonts w:hint="eastAsia"/>
          <w:color w:val="000000"/>
          <w:sz w:val="24"/>
          <w:szCs w:val="24"/>
          <w:highlight w:val="none"/>
        </w:rPr>
        <w:t xml:space="preserve">项目编号：                                   采购包号：</w:t>
      </w:r>
      <w:r/>
    </w:p>
    <w:tbl>
      <w:tblPr>
        <w:tblStyle w:val="8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92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86"/>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6"/>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98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1.供应商须对招标文件技术要求中的实质性要求（斜体下划线内容或打“★”内容）做出明确响应，否则视为无效投标。</w:t>
      </w:r>
      <w:r/>
    </w:p>
    <w:p>
      <w:pPr>
        <w:pStyle w:val="98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p>
    <w:p>
      <w:pPr>
        <w:pStyle w:val="98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center"/>
        <w:rPr>
          <w:rFonts w:hint="eastAsia" w:ascii="黑体" w:hAnsi="Arial" w:eastAsia="黑体"/>
          <w:b/>
          <w:color w:val="000000"/>
          <w:sz w:val="36"/>
          <w:highlight w:val="none"/>
        </w:rPr>
      </w:pPr>
      <w:r>
        <w:rPr>
          <w:rFonts w:hint="eastAsia" w:ascii="黑体" w:hAnsi="Arial" w:eastAsia="黑体"/>
          <w:b/>
          <w:color w:val="000000"/>
          <w:sz w:val="36"/>
          <w:highlight w:val="none"/>
        </w:rPr>
      </w:r>
      <w:r/>
    </w:p>
    <w:p>
      <w:pPr>
        <w:rPr>
          <w:rFonts w:hint="eastAsia" w:ascii="黑体" w:hAnsi="黑体" w:eastAsia="黑体"/>
          <w:iCs/>
          <w:color w:val="000000"/>
          <w:sz w:val="32"/>
          <w:szCs w:val="32"/>
          <w:highlight w:val="none"/>
        </w:rPr>
      </w:pPr>
      <w:r/>
      <w:bookmarkStart w:id="207" w:name="_Hlt26955054"/>
      <w:r/>
      <w:bookmarkEnd w:id="207"/>
      <w:r>
        <w:rPr>
          <w:rFonts w:hint="eastAsia" w:ascii="黑体" w:hAnsi="黑体" w:eastAsia="黑体"/>
          <w:iCs/>
          <w:color w:val="000000"/>
          <w:sz w:val="32"/>
          <w:szCs w:val="32"/>
          <w:highlight w:val="none"/>
        </w:rPr>
        <w:br w:type="page" w:clear="all"/>
      </w:r>
      <w:r>
        <w:rPr>
          <w:rFonts w:hint="eastAsia" w:ascii="黑体" w:hAnsi="黑体" w:eastAsia="黑体"/>
          <w:iCs/>
          <w:color w:val="000000"/>
          <w:sz w:val="32"/>
          <w:szCs w:val="32"/>
          <w:highlight w:val="none"/>
        </w:rPr>
        <w:t xml:space="preserve">八、商务要求响应及偏离表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right="180"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p>
    <w:p>
      <w:pPr>
        <w:pStyle w:val="895"/>
        <w:ind w:firstLine="480"/>
        <w:rPr>
          <w:rFonts w:hint="eastAsia"/>
          <w:color w:val="000000"/>
          <w:highlight w:val="none"/>
        </w:rPr>
      </w:pPr>
      <w:r>
        <w:rPr>
          <w:rFonts w:hint="eastAsia"/>
          <w:color w:val="000000"/>
          <w:sz w:val="24"/>
          <w:szCs w:val="24"/>
          <w:highlight w:val="none"/>
        </w:rPr>
        <w:t xml:space="preserve">项目编号：                                   采购包号：</w:t>
      </w:r>
      <w:r/>
    </w:p>
    <w:tbl>
      <w:tblPr>
        <w:tblStyle w:val="8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sz w:val="24"/>
                <w:szCs w:val="24"/>
                <w:highlight w:val="none"/>
              </w:rPr>
            </w:pPr>
            <w:r/>
            <w:bookmarkStart w:id="208" w:name="_Hlt26782999"/>
            <w:r/>
            <w:bookmarkEnd w:id="208"/>
            <w:r/>
            <w:bookmarkStart w:id="209" w:name="_Hlt26580838"/>
            <w:r/>
            <w:bookmarkEnd w:id="209"/>
            <w:r/>
            <w:bookmarkStart w:id="210" w:name="_Hlt26609391"/>
            <w:r/>
            <w:bookmarkEnd w:id="210"/>
            <w:r/>
            <w:bookmarkStart w:id="211" w:name="_Hlt24879081"/>
            <w:r/>
            <w:bookmarkEnd w:id="211"/>
            <w:r/>
            <w:bookmarkStart w:id="212" w:name="_Hlt26671372"/>
            <w:r/>
            <w:bookmarkEnd w:id="212"/>
            <w:r/>
            <w:bookmarkStart w:id="213" w:name="_Hlt26955064"/>
            <w:r/>
            <w:bookmarkEnd w:id="213"/>
            <w:r/>
            <w:bookmarkStart w:id="214" w:name="_Hlt26955056"/>
            <w:r/>
            <w:bookmarkEnd w:id="214"/>
            <w:r/>
            <w:bookmarkStart w:id="215" w:name="_Hlt26671343"/>
            <w:r/>
            <w:bookmarkEnd w:id="215"/>
            <w:r>
              <w:rPr>
                <w:rFonts w:hint="eastAsia" w:ascii="宋体" w:hAnsi="宋体"/>
                <w:color w:val="000000"/>
                <w:sz w:val="24"/>
                <w:szCs w:val="24"/>
                <w:highlight w:val="none"/>
              </w:rPr>
              <w:t xml:space="preserve">序号</w:t>
            </w:r>
            <w:r/>
          </w:p>
        </w:tc>
        <w:tc>
          <w:tcPr>
            <w:tcW w:w="283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86"/>
        <w:jc w:val="both"/>
        <w:spacing w:before="0" w:beforeAutospacing="0" w:after="0" w:afterAutospacing="0"/>
        <w:rPr>
          <w:color w:val="000000"/>
          <w:highlight w:val="none"/>
        </w:rPr>
      </w:pPr>
      <w:r>
        <w:rPr>
          <w:color w:val="000000"/>
          <w:highlight w:val="none"/>
        </w:rPr>
      </w:r>
      <w:r/>
    </w:p>
    <w:p>
      <w:pPr>
        <w:ind w:right="180"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8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p>
    <w:p>
      <w:pPr>
        <w:pStyle w:val="986"/>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p>
    <w:p>
      <w:pPr>
        <w:pStyle w:val="986"/>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rPr>
          <w:color w:val="000000"/>
          <w:highlight w:val="none"/>
        </w:rPr>
      </w:pPr>
      <w:r>
        <w:rPr>
          <w:color w:val="000000"/>
          <w:highlight w:val="none"/>
        </w:rPr>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0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r>
      <w:r/>
    </w:p>
    <w:p>
      <w:pPr>
        <w:rPr>
          <w:rFonts w:hint="eastAsia" w:ascii="黑体" w:hAnsi="黑体" w:eastAsia="黑体"/>
          <w:iCs/>
          <w:color w:val="000000"/>
          <w:sz w:val="32"/>
          <w:szCs w:val="32"/>
          <w:highlight w:val="none"/>
        </w:rPr>
      </w:pPr>
      <w:r>
        <w:rPr>
          <w:rFonts w:hint="eastAsia" w:ascii="黑体" w:hAnsi="黑体" w:eastAsia="黑体"/>
          <w:iCs/>
          <w:color w:val="000000"/>
          <w:sz w:val="32"/>
          <w:szCs w:val="32"/>
          <w:highlight w:val="none"/>
        </w:rPr>
        <w:t xml:space="preserve">九、中小企业声明函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中小企业声明函（服务）</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行业（招标文件中明确的所属行业）；承接企业为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spacing w:line="360" w:lineRule="auto"/>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widowControl/>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jc w:val="left"/>
        <w:spacing w:line="360" w:lineRule="auto"/>
        <w:rPr>
          <w:rFonts w:hint="eastAsia" w:ascii="黑体" w:hAnsi="黑体" w:eastAsia="黑体"/>
          <w:color w:val="000000"/>
          <w:sz w:val="32"/>
          <w:szCs w:val="32"/>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中标结果同时公告，接受社会监督。</w:t>
      </w:r>
      <w:r>
        <w:rPr>
          <w:rFonts w:hint="eastAsia" w:ascii="宋体" w:hAnsi="宋体"/>
          <w:b/>
          <w:bCs/>
          <w:color w:val="000000"/>
          <w:sz w:val="24"/>
          <w:szCs w:val="24"/>
          <w:highlight w:val="none"/>
        </w:rPr>
        <w:t xml:space="preserve">4.</w:t>
      </w:r>
      <w:r>
        <w:rPr>
          <w:rFonts w:hint="eastAsia" w:ascii="宋体" w:hAnsi="宋体"/>
          <w:color w:val="000000"/>
          <w:sz w:val="24"/>
          <w:szCs w:val="24"/>
          <w:highlight w:val="none"/>
        </w:rPr>
        <w:t xml:space="preserve">服务采购项目中，服务的承接商应当为中小企业</w:t>
      </w:r>
      <w:bookmarkStart w:id="216" w:name="OLE_LINK6"/>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服务由中小企业承接，即提供服务的人员为中小企业依照《中华人民共和国劳动合同法》订立劳动合同的从业人员</w:t>
      </w:r>
      <w:r>
        <w:rPr>
          <w:rFonts w:hint="eastAsia" w:ascii="宋体" w:hAnsi="宋体"/>
          <w:color w:val="000000"/>
          <w:sz w:val="24"/>
          <w:szCs w:val="24"/>
          <w:highlight w:val="none"/>
        </w:rPr>
        <w:t xml:space="preserve">）</w:t>
      </w:r>
      <w:bookmarkEnd w:id="216"/>
      <w:r>
        <w:rPr>
          <w:rFonts w:hint="eastAsia" w:ascii="宋体" w:hAnsi="宋体"/>
          <w:color w:val="000000"/>
          <w:sz w:val="24"/>
          <w:szCs w:val="24"/>
          <w:highlight w:val="none"/>
        </w:rPr>
        <w:t xml:space="preserve">，不对其中涉及的货物的制造商、工程的承建商作出要求。</w:t>
      </w:r>
      <w:r>
        <w:rPr>
          <w:rFonts w:ascii="黑体" w:hAnsi="黑体" w:eastAsia="黑体"/>
          <w:b/>
          <w:color w:val="000000"/>
          <w:sz w:val="32"/>
          <w:szCs w:val="32"/>
          <w:highlight w:val="none"/>
        </w:rPr>
        <w:br w:type="page" w:clear="all"/>
      </w:r>
      <w:r>
        <w:rPr>
          <w:rFonts w:hint="eastAsia" w:ascii="黑体" w:hAnsi="黑体" w:eastAsia="黑体"/>
          <w:iCs/>
          <w:color w:val="000000"/>
          <w:sz w:val="32"/>
          <w:szCs w:val="32"/>
          <w:highlight w:val="none"/>
        </w:rPr>
        <w:t xml:space="preserve">十、</w:t>
      </w:r>
      <w:r>
        <w:rPr>
          <w:rFonts w:hint="eastAsia" w:ascii="黑体" w:hAnsi="黑体" w:eastAsia="黑体"/>
          <w:color w:val="000000"/>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项目（采购包号：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服务全部由本单位提供</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pStyle w:val="1001"/>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1.供应商如不提供此声明函，价格将不作相应扣除。</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p>
    <w:p>
      <w:pPr>
        <w:ind w:firstLine="480"/>
        <w:spacing w:line="480" w:lineRule="exact"/>
        <w:rPr>
          <w:rFonts w:ascii="宋体" w:hAnsi="宋体"/>
          <w:color w:val="000000"/>
          <w:sz w:val="24"/>
          <w:highlight w:val="none"/>
        </w:rPr>
      </w:pPr>
      <w:r>
        <w:rPr>
          <w:rFonts w:ascii="宋体" w:hAnsi="宋体"/>
          <w:color w:val="000000"/>
          <w:sz w:val="24"/>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采购包号：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4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  期：    </w:t>
      </w:r>
      <w:r/>
    </w:p>
    <w:p>
      <w:pPr>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w:t>
      </w:r>
      <w:r>
        <w:rPr>
          <w:rFonts w:hint="eastAsia" w:ascii="宋体" w:hAnsi="宋体" w:cs="仿宋"/>
          <w:b/>
          <w:bCs/>
          <w:color w:val="000000"/>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sectPr>
      <w:headerReference w:type="default" r:id="rId10"/>
      <w:footerReference w:type="default" r:id="rId16"/>
      <w:footerReference w:type="even" r:id="rId17"/>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Gothic">
    <w:panose1 w:val="020B060907020508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方正黑体_GBK">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245" cy="30670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420" cy="306678"/>
                      </a:xfrm>
                      <a:prstGeom prst="rect">
                        <a:avLst/>
                      </a:prstGeom>
                      <a:noFill/>
                      <a:ln w="6350">
                        <a:noFill/>
                      </a:ln>
                    </wps:spPr>
                    <wps:txbx>
                      <w:txbxContent>
                        <w:p>
                          <w:pPr>
                            <w:pStyle w:val="972"/>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3pt;height:24.1pt;mso-wrap-distance-left:9.0pt;mso-wrap-distance-top:0.0pt;mso-wrap-distance-right:9.0pt;mso-wrap-distance-bottom:0.0pt;visibility:visible;" filled="f" stroked="f" strokeweight="0.50pt">
              <v:textbox inset="0,0,0,0">
                <w:txbxContent>
                  <w:p>
                    <w:pPr>
                      <w:pStyle w:val="972"/>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0340"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0340" cy="301625"/>
                      </a:xfrm>
                      <a:prstGeom prst="rect">
                        <a:avLst/>
                      </a:prstGeom>
                      <a:noFill/>
                      <a:ln>
                        <a:noFill/>
                      </a:ln>
                    </wps:spPr>
                    <wps:txbx>
                      <w:txbxContent>
                        <w:p>
                          <w:pPr>
                            <w:pStyle w:val="1181"/>
                            <w:tabs>
                              <w:tab w:val="clear" w:pos="4153" w:leader="none"/>
                              <w:tab w:val="clear" w:pos="8306" w:leader="none"/>
                            </w:tabs>
                            <w:rPr>
                              <w:rStyle w:val="1206"/>
                              <w:rFonts w:hint="eastAsia" w:ascii="宋体" w:hAnsi="宋体"/>
                            </w:rPr>
                          </w:pPr>
                          <w:r>
                            <w:rPr>
                              <w:rFonts w:ascii="宋体" w:hAnsi="宋体"/>
                            </w:rPr>
                            <w:fldChar w:fldCharType="begin"/>
                          </w:r>
                          <w:r>
                            <w:rPr>
                              <w:rStyle w:val="1206"/>
                              <w:rFonts w:ascii="宋体" w:hAnsi="宋体"/>
                            </w:rPr>
                            <w:instrText xml:space="preserve">PAGE  </w:instrText>
                          </w:r>
                          <w:r>
                            <w:rPr>
                              <w:rFonts w:ascii="宋体" w:hAnsi="宋体"/>
                            </w:rPr>
                            <w:fldChar w:fldCharType="separate"/>
                          </w:r>
                          <w:r>
                            <w:rPr>
                              <w:rStyle w:val="1206"/>
                              <w:rFonts w:ascii="宋体" w:hAnsi="宋体"/>
                            </w:rPr>
                            <w:t xml:space="preserve">３５</w:t>
                          </w:r>
                          <w:r>
                            <w:rPr>
                              <w:rFonts w:ascii="宋体" w:hAnsi="宋体"/>
                            </w:rPr>
                            <w:fldChar w:fldCharType="end"/>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2pt;height:23.8pt;mso-wrap-distance-left:9.0pt;mso-wrap-distance-top:0.0pt;mso-wrap-distance-right:9.0pt;mso-wrap-distance-bottom:0.0pt;visibility:visible;" filled="f" stroked="f">
              <v:textbox inset="0,0,0,0">
                <w:txbxContent>
                  <w:p>
                    <w:pPr>
                      <w:pStyle w:val="1181"/>
                      <w:tabs>
                        <w:tab w:val="clear" w:pos="4153" w:leader="none"/>
                        <w:tab w:val="clear" w:pos="8306" w:leader="none"/>
                      </w:tabs>
                      <w:rPr>
                        <w:rStyle w:val="1206"/>
                        <w:rFonts w:hint="eastAsia" w:ascii="宋体" w:hAnsi="宋体"/>
                      </w:rPr>
                    </w:pPr>
                    <w:r>
                      <w:rPr>
                        <w:rFonts w:ascii="宋体" w:hAnsi="宋体"/>
                      </w:rPr>
                      <w:fldChar w:fldCharType="begin"/>
                    </w:r>
                    <w:r>
                      <w:rPr>
                        <w:rStyle w:val="1206"/>
                        <w:rFonts w:ascii="宋体" w:hAnsi="宋体"/>
                      </w:rPr>
                      <w:instrText xml:space="preserve">PAGE  </w:instrText>
                    </w:r>
                    <w:r>
                      <w:rPr>
                        <w:rFonts w:ascii="宋体" w:hAnsi="宋体"/>
                      </w:rPr>
                      <w:fldChar w:fldCharType="separate"/>
                    </w:r>
                    <w:r>
                      <w:rPr>
                        <w:rStyle w:val="1206"/>
                        <w:rFonts w:ascii="宋体" w:hAnsi="宋体"/>
                      </w:rPr>
                      <w:t xml:space="preserve">３５</w:t>
                    </w:r>
                    <w:r>
                      <w:rPr>
                        <w:rFonts w:ascii="宋体" w:hAnsi="宋体"/>
                      </w:rPr>
                      <w:fldChar w:fldCharType="end"/>
                    </w:r>
                    <w:r/>
                  </w:p>
                  <w:p>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6"/>
      </w:rPr>
      <w:framePr w:wrap="around" w:vAnchor="text" w:hAnchor="margin" w:xAlign="center" w:y="1"/>
    </w:pPr>
    <w:r>
      <w:fldChar w:fldCharType="begin"/>
    </w:r>
    <w:r>
      <w:rPr>
        <w:rStyle w:val="1206"/>
      </w:rPr>
      <w:instrText xml:space="preserve">PAGE  </w:instrText>
    </w:r>
    <w:r>
      <w:fldChar w:fldCharType="separate"/>
    </w:r>
    <w:r>
      <w:rPr>
        <w:rStyle w:val="1206"/>
      </w:rPr>
      <w:t xml:space="preserve">1</w:t>
    </w:r>
    <w:r>
      <w:fldChar w:fldCharType="end"/>
    </w:r>
    <w:r/>
  </w:p>
  <w:p>
    <w:pPr>
      <w:pStyle w:val="118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8905" cy="459740"/>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28881" cy="460018"/>
                      </a:xfrm>
                      <a:prstGeom prst="rect">
                        <a:avLst/>
                      </a:prstGeom>
                      <a:noFill/>
                      <a:ln>
                        <a:noFill/>
                      </a:ln>
                    </wps:spPr>
                    <wps:txbx>
                      <w:txbxContent>
                        <w:p>
                          <w:pPr>
                            <w:pStyle w:val="12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0.2pt;height:36.2pt;mso-wrap-distance-left:9.0pt;mso-wrap-distance-top:0.0pt;mso-wrap-distance-right:9.0pt;mso-wrap-distance-bottom:0.0pt;visibility:visible;" filled="f" stroked="f">
              <v:textbox inset="0,0,0,0">
                <w:txbxContent>
                  <w:p>
                    <w:pPr>
                      <w:pStyle w:val="126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6"/>
        <w:rFonts w:ascii="宋体" w:hAnsi="宋体"/>
      </w:rPr>
      <w:framePr w:wrap="around" w:vAnchor="text" w:hAnchor="margin" w:xAlign="center" w:y="1"/>
    </w:pPr>
    <w:r>
      <w:rPr>
        <w:rFonts w:ascii="宋体" w:hAnsi="宋体"/>
      </w:rPr>
      <w:fldChar w:fldCharType="begin"/>
    </w:r>
    <w:r>
      <w:rPr>
        <w:rStyle w:val="1206"/>
        <w:rFonts w:ascii="宋体" w:hAnsi="宋体"/>
      </w:rPr>
      <w:instrText xml:space="preserve">PAGE  </w:instrText>
    </w:r>
    <w:r>
      <w:rPr>
        <w:rFonts w:ascii="宋体" w:hAnsi="宋体"/>
      </w:rPr>
      <w:fldChar w:fldCharType="separate"/>
    </w:r>
    <w:r>
      <w:rPr>
        <w:rStyle w:val="1206"/>
        <w:rFonts w:ascii="宋体" w:hAnsi="宋体"/>
      </w:rPr>
      <w:t xml:space="preserve">３５</w:t>
    </w:r>
    <w:r>
      <w:rPr>
        <w:rFonts w:ascii="宋体" w:hAnsi="宋体"/>
      </w:rPr>
      <w:fldChar w:fldCharType="end"/>
    </w:r>
    <w:r/>
  </w:p>
  <w:p>
    <w:pPr>
      <w:pStyle w:val="1181"/>
      <w:jc w:val="center"/>
      <w:rPr>
        <w:rFonts w:hint="eastAsia"/>
        <w:b/>
        <w:i/>
      </w:rPr>
    </w:pP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6"/>
      </w:rPr>
      <w:framePr w:wrap="around" w:vAnchor="text" w:hAnchor="margin" w:xAlign="center" w:y="1"/>
    </w:pPr>
    <w:r>
      <w:fldChar w:fldCharType="begin"/>
    </w:r>
    <w:r>
      <w:rPr>
        <w:rStyle w:val="1206"/>
      </w:rPr>
      <w:instrText xml:space="preserve">PAGE  </w:instrText>
    </w:r>
    <w:r>
      <w:fldChar w:fldCharType="separate"/>
    </w:r>
    <w:r>
      <w:rPr>
        <w:rStyle w:val="1206"/>
      </w:rPr>
      <w:t xml:space="preserve">1</w:t>
    </w:r>
    <w:r>
      <w:fldChar w:fldCharType="end"/>
    </w:r>
    <w:r/>
  </w:p>
  <w:p>
    <w:pPr>
      <w:pStyle w:val="11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2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7"/>
      <w:isLgl w:val="false"/>
      <w:suff w:val="nothing"/>
      <w:lvlText w:val=""/>
      <w:lvlJc w:val="left"/>
      <w:pPr>
        <w:ind w:left="0" w:firstLine="0"/>
      </w:pPr>
      <w:rPr>
        <w:rFonts w:hint="eastAsia"/>
      </w:rPr>
    </w:lvl>
    <w:lvl w:ilvl="6">
      <w:start w:val="1"/>
      <w:numFmt w:val="decimal"/>
      <w:pStyle w:val="1149"/>
      <w:isLgl w:val="false"/>
      <w:suff w:val="nothing"/>
      <w:lvlText w:val=""/>
      <w:lvlJc w:val="left"/>
      <w:pPr>
        <w:ind w:left="0" w:firstLine="0"/>
      </w:pPr>
      <w:rPr>
        <w:rFonts w:hint="eastAsia"/>
      </w:rPr>
    </w:lvl>
    <w:lvl w:ilvl="7">
      <w:start w:val="1"/>
      <w:numFmt w:val="decimal"/>
      <w:pStyle w:val="1151"/>
      <w:isLgl w:val="false"/>
      <w:suff w:val="nothing"/>
      <w:lvlText w:val=""/>
      <w:lvlJc w:val="left"/>
      <w:pPr>
        <w:ind w:left="0" w:firstLine="0"/>
      </w:pPr>
      <w:rPr>
        <w:rFonts w:hint="eastAsia"/>
      </w:rPr>
    </w:lvl>
    <w:lvl w:ilvl="8">
      <w:start w:val="1"/>
      <w:numFmt w:val="decimal"/>
      <w:pStyle w:val="115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84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3" w:default="1">
    <w:name w:val="Normal"/>
    <w:next w:val="895"/>
    <w:link w:val="12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84">
    <w:name w:val="Heading 1"/>
    <w:basedOn w:val="883"/>
    <w:next w:val="883"/>
    <w:link w:val="919"/>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20"/>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21"/>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22"/>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23"/>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24"/>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26"/>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27"/>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semiHidden/>
    <w:unhideWhenUsed/>
  </w:style>
  <w:style w:type="table" w:styleId="894" w:default="1">
    <w:name w:val="Normal Table"/>
    <w:uiPriority w:val="99"/>
    <w:semiHidden/>
    <w:unhideWhenUsed/>
    <w:tblPr>
      <w:tblCellMar>
        <w:left w:w="108" w:type="dxa"/>
        <w:top w:w="0" w:type="dxa"/>
        <w:right w:w="108" w:type="dxa"/>
        <w:bottom w:w="0" w:type="dxa"/>
      </w:tblCellMar>
    </w:tblPr>
  </w:style>
  <w:style w:type="paragraph" w:styleId="895" w:customStyle="1">
    <w:name w:val="正文首行缩进 2111"/>
    <w:basedOn w:val="896"/>
    <w:next w:val="883"/>
    <w:uiPriority w:val="0"/>
    <w:qFormat/>
    <w:pPr>
      <w:ind w:left="0" w:firstLine="420"/>
      <w:spacing w:after="0" w:line="360" w:lineRule="auto"/>
    </w:pPr>
    <w:rPr>
      <w:rFonts w:ascii="宋体" w:hAnsi="宋体" w:eastAsia="宋体" w:cs="Times New Roman"/>
      <w:szCs w:val="20"/>
    </w:rPr>
  </w:style>
  <w:style w:type="paragraph" w:styleId="896" w:customStyle="1">
    <w:name w:val="正文文本缩进111"/>
    <w:basedOn w:val="883"/>
    <w:next w:val="897"/>
    <w:uiPriority w:val="0"/>
    <w:unhideWhenUsed/>
    <w:qFormat/>
    <w:pPr>
      <w:ind w:left="420"/>
      <w:spacing w:after="120"/>
    </w:pPr>
  </w:style>
  <w:style w:type="paragraph" w:styleId="897" w:customStyle="1">
    <w:name w:val="寄信人地址11"/>
    <w:basedOn w:val="883"/>
    <w:uiPriority w:val="0"/>
    <w:qFormat/>
    <w:rPr>
      <w:rFonts w:ascii="Arial" w:hAnsi="Arial" w:eastAsia="宋体" w:cs="宋体"/>
    </w:rPr>
  </w:style>
  <w:style w:type="paragraph" w:styleId="898">
    <w:name w:val="toc 7"/>
    <w:basedOn w:val="883"/>
    <w:next w:val="883"/>
    <w:uiPriority w:val="39"/>
    <w:unhideWhenUsed/>
    <w:qFormat/>
    <w:pPr>
      <w:ind w:left="1701" w:right="0" w:firstLine="0"/>
      <w:spacing w:after="57"/>
    </w:pPr>
  </w:style>
  <w:style w:type="paragraph" w:styleId="899">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toc 5"/>
    <w:basedOn w:val="883"/>
    <w:next w:val="883"/>
    <w:uiPriority w:val="39"/>
    <w:unhideWhenUsed/>
    <w:qFormat/>
    <w:pPr>
      <w:ind w:left="1134" w:right="0" w:firstLine="0"/>
      <w:spacing w:after="57"/>
    </w:pPr>
  </w:style>
  <w:style w:type="paragraph" w:styleId="901">
    <w:name w:val="toc 3"/>
    <w:basedOn w:val="883"/>
    <w:next w:val="883"/>
    <w:uiPriority w:val="39"/>
    <w:unhideWhenUsed/>
    <w:qFormat/>
    <w:pPr>
      <w:ind w:left="567" w:right="0" w:firstLine="0"/>
      <w:spacing w:after="57"/>
    </w:pPr>
  </w:style>
  <w:style w:type="paragraph" w:styleId="902">
    <w:name w:val="toc 8"/>
    <w:basedOn w:val="883"/>
    <w:next w:val="883"/>
    <w:uiPriority w:val="39"/>
    <w:unhideWhenUsed/>
    <w:qFormat/>
    <w:pPr>
      <w:ind w:left="1984" w:right="0" w:firstLine="0"/>
      <w:spacing w:after="57"/>
    </w:pPr>
  </w:style>
  <w:style w:type="paragraph" w:styleId="903">
    <w:name w:val="endnote text"/>
    <w:basedOn w:val="883"/>
    <w:link w:val="939"/>
    <w:uiPriority w:val="99"/>
    <w:semiHidden/>
    <w:unhideWhenUsed/>
    <w:qFormat/>
    <w:pPr>
      <w:spacing w:after="0" w:line="240" w:lineRule="auto"/>
    </w:pPr>
    <w:rPr>
      <w:sz w:val="20"/>
    </w:rPr>
  </w:style>
  <w:style w:type="paragraph" w:styleId="904">
    <w:name w:val="Footer"/>
    <w:basedOn w:val="883"/>
    <w:link w:val="937"/>
    <w:uiPriority w:val="99"/>
    <w:unhideWhenUsed/>
    <w:qFormat/>
    <w:pPr>
      <w:spacing w:after="0" w:line="240" w:lineRule="auto"/>
      <w:tabs>
        <w:tab w:val="center" w:pos="7143" w:leader="none"/>
        <w:tab w:val="right" w:pos="14287" w:leader="none"/>
      </w:tabs>
    </w:pPr>
  </w:style>
  <w:style w:type="paragraph" w:styleId="905">
    <w:name w:val="Header"/>
    <w:basedOn w:val="883"/>
    <w:link w:val="936"/>
    <w:uiPriority w:val="99"/>
    <w:unhideWhenUsed/>
    <w:qFormat/>
    <w:pPr>
      <w:spacing w:after="0" w:line="240" w:lineRule="auto"/>
      <w:tabs>
        <w:tab w:val="center" w:pos="7143" w:leader="none"/>
        <w:tab w:val="right" w:pos="14287" w:leader="none"/>
      </w:tabs>
    </w:pPr>
  </w:style>
  <w:style w:type="paragraph" w:styleId="906">
    <w:name w:val="toc 1"/>
    <w:basedOn w:val="883"/>
    <w:next w:val="883"/>
    <w:uiPriority w:val="39"/>
    <w:unhideWhenUsed/>
    <w:qFormat/>
    <w:pPr>
      <w:ind w:left="0" w:right="0" w:firstLine="0"/>
      <w:spacing w:after="57"/>
    </w:pPr>
  </w:style>
  <w:style w:type="paragraph" w:styleId="907">
    <w:name w:val="toc 4"/>
    <w:basedOn w:val="883"/>
    <w:next w:val="883"/>
    <w:uiPriority w:val="39"/>
    <w:unhideWhenUsed/>
    <w:qFormat/>
    <w:pPr>
      <w:ind w:left="850" w:right="0" w:firstLine="0"/>
      <w:spacing w:after="57"/>
    </w:pPr>
  </w:style>
  <w:style w:type="paragraph" w:styleId="908">
    <w:name w:val="Subtitle"/>
    <w:basedOn w:val="883"/>
    <w:next w:val="883"/>
    <w:link w:val="931"/>
    <w:uiPriority w:val="11"/>
    <w:qFormat/>
    <w:pPr>
      <w:spacing w:before="200" w:after="200"/>
    </w:pPr>
    <w:rPr>
      <w:sz w:val="24"/>
      <w:szCs w:val="24"/>
    </w:rPr>
  </w:style>
  <w:style w:type="paragraph" w:styleId="909">
    <w:name w:val="footnote text"/>
    <w:basedOn w:val="883"/>
    <w:link w:val="938"/>
    <w:uiPriority w:val="99"/>
    <w:semiHidden/>
    <w:unhideWhenUsed/>
    <w:qFormat/>
    <w:pPr>
      <w:spacing w:after="40" w:line="240" w:lineRule="auto"/>
    </w:pPr>
    <w:rPr>
      <w:sz w:val="18"/>
    </w:rPr>
  </w:style>
  <w:style w:type="paragraph" w:styleId="910">
    <w:name w:val="toc 6"/>
    <w:basedOn w:val="883"/>
    <w:next w:val="883"/>
    <w:uiPriority w:val="39"/>
    <w:unhideWhenUsed/>
    <w:qFormat/>
    <w:pPr>
      <w:ind w:left="1417" w:right="0" w:firstLine="0"/>
      <w:spacing w:after="57"/>
    </w:pPr>
  </w:style>
  <w:style w:type="paragraph" w:styleId="911">
    <w:name w:val="table of figures"/>
    <w:basedOn w:val="883"/>
    <w:next w:val="883"/>
    <w:uiPriority w:val="99"/>
    <w:unhideWhenUsed/>
    <w:qFormat/>
    <w:pPr>
      <w:spacing w:after="0" w:afterAutospacing="0"/>
    </w:pPr>
  </w:style>
  <w:style w:type="paragraph" w:styleId="912">
    <w:name w:val="toc 2"/>
    <w:basedOn w:val="883"/>
    <w:next w:val="883"/>
    <w:uiPriority w:val="39"/>
    <w:unhideWhenUsed/>
    <w:qFormat/>
    <w:pPr>
      <w:ind w:left="283" w:right="0" w:firstLine="0"/>
      <w:spacing w:after="57"/>
    </w:pPr>
  </w:style>
  <w:style w:type="paragraph" w:styleId="913">
    <w:name w:val="toc 9"/>
    <w:basedOn w:val="883"/>
    <w:next w:val="883"/>
    <w:uiPriority w:val="39"/>
    <w:unhideWhenUsed/>
    <w:qFormat/>
    <w:pPr>
      <w:ind w:left="2268" w:right="0" w:firstLine="0"/>
      <w:spacing w:after="57"/>
    </w:pPr>
  </w:style>
  <w:style w:type="paragraph" w:styleId="914">
    <w:name w:val="Title"/>
    <w:basedOn w:val="883"/>
    <w:next w:val="883"/>
    <w:link w:val="930"/>
    <w:uiPriority w:val="10"/>
    <w:qFormat/>
    <w:pPr>
      <w:contextualSpacing/>
      <w:spacing w:before="300" w:after="200"/>
    </w:pPr>
    <w:rPr>
      <w:sz w:val="48"/>
      <w:szCs w:val="48"/>
    </w:rPr>
  </w:style>
  <w:style w:type="table" w:styleId="9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endnote reference"/>
    <w:uiPriority w:val="99"/>
    <w:semiHidden/>
    <w:unhideWhenUsed/>
    <w:qFormat/>
    <w:rPr>
      <w:vertAlign w:val="superscript"/>
    </w:rPr>
  </w:style>
  <w:style w:type="character" w:styleId="917">
    <w:name w:val="Hyperlink"/>
    <w:uiPriority w:val="99"/>
    <w:unhideWhenUsed/>
    <w:qFormat/>
    <w:rPr>
      <w:color w:val="0000ff" w:themeColor="hyperlink"/>
      <w:u w:val="single"/>
      <w14:textFill>
        <w14:solidFill>
          <w14:schemeClr w14:val="hlink"/>
        </w14:solidFill>
      </w14:textFill>
    </w:rPr>
  </w:style>
  <w:style w:type="character" w:styleId="918">
    <w:name w:val="footnote reference"/>
    <w:uiPriority w:val="99"/>
    <w:unhideWhenUsed/>
    <w:qFormat/>
    <w:rPr>
      <w:vertAlign w:val="superscript"/>
    </w:rPr>
  </w:style>
  <w:style w:type="character" w:styleId="919" w:customStyle="1">
    <w:name w:val="Heading 1 Char"/>
    <w:link w:val="884"/>
    <w:uiPriority w:val="9"/>
    <w:rPr>
      <w:rFonts w:ascii="Arial" w:hAnsi="Arial" w:eastAsia="Arial" w:cs="Arial"/>
      <w:sz w:val="40"/>
      <w:szCs w:val="40"/>
    </w:rPr>
  </w:style>
  <w:style w:type="character" w:styleId="920" w:customStyle="1">
    <w:name w:val="Heading 2 Char"/>
    <w:link w:val="885"/>
    <w:uiPriority w:val="9"/>
    <w:rPr>
      <w:rFonts w:ascii="Arial" w:hAnsi="Arial" w:eastAsia="Arial" w:cs="Arial"/>
      <w:sz w:val="34"/>
    </w:rPr>
  </w:style>
  <w:style w:type="character" w:styleId="921" w:customStyle="1">
    <w:name w:val="Heading 3 Char"/>
    <w:link w:val="886"/>
    <w:uiPriority w:val="9"/>
    <w:rPr>
      <w:rFonts w:ascii="Arial" w:hAnsi="Arial" w:eastAsia="Arial" w:cs="Arial"/>
      <w:sz w:val="30"/>
      <w:szCs w:val="30"/>
    </w:rPr>
  </w:style>
  <w:style w:type="character" w:styleId="922" w:customStyle="1">
    <w:name w:val="Heading 4 Char"/>
    <w:link w:val="887"/>
    <w:uiPriority w:val="9"/>
    <w:qFormat/>
    <w:rPr>
      <w:rFonts w:ascii="Arial" w:hAnsi="Arial" w:eastAsia="Arial" w:cs="Arial"/>
      <w:b/>
      <w:bCs/>
      <w:sz w:val="26"/>
      <w:szCs w:val="26"/>
    </w:rPr>
  </w:style>
  <w:style w:type="character" w:styleId="923" w:customStyle="1">
    <w:name w:val="Heading 5 Char"/>
    <w:link w:val="888"/>
    <w:uiPriority w:val="9"/>
    <w:qFormat/>
    <w:rPr>
      <w:rFonts w:ascii="Arial" w:hAnsi="Arial" w:eastAsia="Arial" w:cs="Arial"/>
      <w:b/>
      <w:bCs/>
      <w:sz w:val="24"/>
      <w:szCs w:val="24"/>
    </w:rPr>
  </w:style>
  <w:style w:type="character" w:styleId="924" w:customStyle="1">
    <w:name w:val="Heading 6 Char"/>
    <w:link w:val="889"/>
    <w:uiPriority w:val="9"/>
    <w:qFormat/>
    <w:rPr>
      <w:rFonts w:ascii="Arial" w:hAnsi="Arial" w:eastAsia="Arial" w:cs="Arial"/>
      <w:b/>
      <w:bCs/>
      <w:sz w:val="22"/>
      <w:szCs w:val="22"/>
    </w:rPr>
  </w:style>
  <w:style w:type="character" w:styleId="925" w:customStyle="1">
    <w:name w:val="Heading 7 Char"/>
    <w:link w:val="890"/>
    <w:uiPriority w:val="9"/>
    <w:qFormat/>
    <w:rPr>
      <w:rFonts w:ascii="Arial" w:hAnsi="Arial" w:eastAsia="Arial" w:cs="Arial"/>
      <w:b/>
      <w:bCs/>
      <w:i/>
      <w:iCs/>
      <w:sz w:val="22"/>
      <w:szCs w:val="22"/>
    </w:rPr>
  </w:style>
  <w:style w:type="character" w:styleId="926" w:customStyle="1">
    <w:name w:val="Heading 8 Char"/>
    <w:link w:val="891"/>
    <w:uiPriority w:val="9"/>
    <w:qFormat/>
    <w:rPr>
      <w:rFonts w:ascii="Arial" w:hAnsi="Arial" w:eastAsia="Arial" w:cs="Arial"/>
      <w:i/>
      <w:iCs/>
      <w:sz w:val="22"/>
      <w:szCs w:val="22"/>
    </w:rPr>
  </w:style>
  <w:style w:type="character" w:styleId="927" w:customStyle="1">
    <w:name w:val="Heading 9 Char"/>
    <w:link w:val="892"/>
    <w:uiPriority w:val="9"/>
    <w:qFormat/>
    <w:rPr>
      <w:rFonts w:ascii="Arial" w:hAnsi="Arial" w:eastAsia="Arial" w:cs="Arial"/>
      <w:i/>
      <w:iCs/>
      <w:sz w:val="21"/>
      <w:szCs w:val="21"/>
    </w:rPr>
  </w:style>
  <w:style w:type="paragraph" w:styleId="928">
    <w:name w:val="List Paragraph"/>
    <w:basedOn w:val="883"/>
    <w:uiPriority w:val="34"/>
    <w:qFormat/>
    <w:pPr>
      <w:contextualSpacing/>
      <w:ind w:left="720"/>
    </w:pPr>
  </w:style>
  <w:style w:type="paragraph" w:styleId="929">
    <w:name w:val="No Spacing"/>
    <w:uiPriority w:val="1"/>
    <w:qFormat/>
    <w:pPr>
      <w:spacing w:before="0" w:after="0" w:line="240" w:lineRule="auto"/>
    </w:pPr>
    <w:rPr>
      <w:rFonts w:hint="default" w:ascii="Times New Roman" w:hAnsi="Times New Roman" w:eastAsia="宋体" w:cs="Times New Roman"/>
    </w:rPr>
  </w:style>
  <w:style w:type="character" w:styleId="930" w:customStyle="1">
    <w:name w:val="Title Char"/>
    <w:link w:val="914"/>
    <w:uiPriority w:val="10"/>
    <w:qFormat/>
    <w:rPr>
      <w:sz w:val="48"/>
      <w:szCs w:val="48"/>
    </w:rPr>
  </w:style>
  <w:style w:type="character" w:styleId="931" w:customStyle="1">
    <w:name w:val="Subtitle Char"/>
    <w:link w:val="908"/>
    <w:uiPriority w:val="11"/>
    <w:qFormat/>
    <w:rPr>
      <w:sz w:val="24"/>
      <w:szCs w:val="24"/>
    </w:rPr>
  </w:style>
  <w:style w:type="paragraph" w:styleId="932">
    <w:name w:val="Quote"/>
    <w:basedOn w:val="883"/>
    <w:next w:val="883"/>
    <w:link w:val="933"/>
    <w:uiPriority w:val="29"/>
    <w:qFormat/>
    <w:pPr>
      <w:ind w:left="720" w:right="720"/>
    </w:pPr>
    <w:rPr>
      <w:i/>
    </w:rPr>
  </w:style>
  <w:style w:type="character" w:styleId="933" w:customStyle="1">
    <w:name w:val="Quote Char"/>
    <w:link w:val="932"/>
    <w:uiPriority w:val="29"/>
    <w:qFormat/>
    <w:rPr>
      <w:i/>
    </w:rPr>
  </w:style>
  <w:style w:type="paragraph" w:styleId="934">
    <w:name w:val="Intense Quote"/>
    <w:basedOn w:val="883"/>
    <w:next w:val="883"/>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customStyle="1">
    <w:name w:val="Intense Quote Char"/>
    <w:link w:val="934"/>
    <w:uiPriority w:val="30"/>
    <w:qFormat/>
    <w:rPr>
      <w:i/>
    </w:rPr>
  </w:style>
  <w:style w:type="character" w:styleId="936" w:customStyle="1">
    <w:name w:val="Header Char"/>
    <w:link w:val="905"/>
    <w:uiPriority w:val="99"/>
    <w:qFormat/>
  </w:style>
  <w:style w:type="character" w:styleId="937" w:customStyle="1">
    <w:name w:val="Footer Char"/>
    <w:link w:val="904"/>
    <w:uiPriority w:val="99"/>
  </w:style>
  <w:style w:type="character" w:styleId="938" w:customStyle="1">
    <w:name w:val="Footnote Text Char"/>
    <w:link w:val="909"/>
    <w:uiPriority w:val="99"/>
    <w:qFormat/>
    <w:rPr>
      <w:sz w:val="18"/>
    </w:rPr>
  </w:style>
  <w:style w:type="character" w:styleId="939" w:customStyle="1">
    <w:name w:val="Endnote Text Char"/>
    <w:link w:val="903"/>
    <w:uiPriority w:val="99"/>
    <w:qFormat/>
    <w:rPr>
      <w:sz w:val="20"/>
    </w:rPr>
  </w:style>
  <w:style w:type="paragraph" w:styleId="940" w:customStyle="1">
    <w:name w:val="标题 111"/>
    <w:basedOn w:val="883"/>
    <w:next w:val="883"/>
    <w:link w:val="952"/>
    <w:uiPriority w:val="9"/>
    <w:qFormat/>
    <w:pPr>
      <w:keepLines/>
      <w:keepNext/>
      <w:spacing w:before="480" w:after="200"/>
      <w:outlineLvl w:val="0"/>
    </w:pPr>
    <w:rPr>
      <w:rFonts w:ascii="Arial" w:hAnsi="Arial" w:eastAsia="Arial" w:cs="Arial"/>
      <w:sz w:val="40"/>
      <w:szCs w:val="40"/>
    </w:rPr>
  </w:style>
  <w:style w:type="paragraph" w:styleId="941" w:customStyle="1">
    <w:name w:val="标题 211"/>
    <w:basedOn w:val="883"/>
    <w:next w:val="883"/>
    <w:link w:val="953"/>
    <w:uiPriority w:val="9"/>
    <w:qFormat/>
    <w:pPr>
      <w:keepLines/>
      <w:keepNext/>
      <w:spacing w:before="360" w:after="200"/>
      <w:outlineLvl w:val="1"/>
    </w:pPr>
    <w:rPr>
      <w:rFonts w:ascii="Arial" w:hAnsi="Arial" w:eastAsia="Arial" w:cs="Arial"/>
      <w:sz w:val="34"/>
    </w:rPr>
  </w:style>
  <w:style w:type="paragraph" w:styleId="942" w:customStyle="1">
    <w:name w:val="标题 312"/>
    <w:basedOn w:val="883"/>
    <w:next w:val="943"/>
    <w:link w:val="954"/>
    <w:uiPriority w:val="9"/>
    <w:qFormat/>
    <w:pPr>
      <w:keepLines/>
      <w:keepNext/>
      <w:spacing w:before="320" w:after="200"/>
      <w:outlineLvl w:val="2"/>
    </w:pPr>
    <w:rPr>
      <w:rFonts w:ascii="Arial" w:hAnsi="Arial" w:eastAsia="Arial" w:cs="Arial"/>
      <w:sz w:val="30"/>
      <w:szCs w:val="30"/>
    </w:rPr>
  </w:style>
  <w:style w:type="paragraph" w:styleId="943" w:customStyle="1">
    <w:name w:val="正文缩进12"/>
    <w:basedOn w:val="883"/>
    <w:uiPriority w:val="0"/>
    <w:qFormat/>
    <w:pPr>
      <w:ind w:firstLine="420"/>
    </w:pPr>
  </w:style>
  <w:style w:type="paragraph" w:styleId="944" w:customStyle="1">
    <w:name w:val="标题 411"/>
    <w:basedOn w:val="883"/>
    <w:next w:val="943"/>
    <w:link w:val="955"/>
    <w:uiPriority w:val="9"/>
    <w:qFormat/>
    <w:pPr>
      <w:keepLines/>
      <w:keepNext/>
      <w:spacing w:before="320" w:after="200"/>
      <w:outlineLvl w:val="3"/>
    </w:pPr>
    <w:rPr>
      <w:rFonts w:ascii="Arial" w:hAnsi="Arial" w:eastAsia="Arial" w:cs="Arial"/>
      <w:b/>
      <w:bCs/>
      <w:sz w:val="26"/>
      <w:szCs w:val="26"/>
    </w:rPr>
  </w:style>
  <w:style w:type="paragraph" w:styleId="945" w:customStyle="1">
    <w:name w:val="标题 511"/>
    <w:basedOn w:val="883"/>
    <w:next w:val="883"/>
    <w:link w:val="956"/>
    <w:uiPriority w:val="9"/>
    <w:qFormat/>
    <w:pPr>
      <w:keepLines/>
      <w:keepNext/>
      <w:spacing w:before="320" w:after="200"/>
      <w:outlineLvl w:val="4"/>
    </w:pPr>
    <w:rPr>
      <w:rFonts w:ascii="Arial" w:hAnsi="Arial" w:eastAsia="Arial" w:cs="Arial"/>
      <w:b/>
      <w:bCs/>
      <w:sz w:val="24"/>
      <w:szCs w:val="24"/>
    </w:rPr>
  </w:style>
  <w:style w:type="paragraph" w:styleId="946" w:customStyle="1">
    <w:name w:val="标题 611"/>
    <w:basedOn w:val="883"/>
    <w:next w:val="883"/>
    <w:link w:val="957"/>
    <w:uiPriority w:val="9"/>
    <w:qFormat/>
    <w:pPr>
      <w:keepLines/>
      <w:keepNext/>
      <w:spacing w:before="320" w:after="200"/>
      <w:outlineLvl w:val="5"/>
    </w:pPr>
    <w:rPr>
      <w:rFonts w:ascii="Arial" w:hAnsi="Arial" w:eastAsia="Arial" w:cs="Arial"/>
      <w:b/>
      <w:bCs/>
      <w:sz w:val="22"/>
      <w:szCs w:val="22"/>
    </w:rPr>
  </w:style>
  <w:style w:type="paragraph" w:styleId="947" w:customStyle="1">
    <w:name w:val="标题 711"/>
    <w:basedOn w:val="883"/>
    <w:next w:val="883"/>
    <w:link w:val="958"/>
    <w:uiPriority w:val="9"/>
    <w:qFormat/>
    <w:pPr>
      <w:keepLines/>
      <w:keepNext/>
      <w:spacing w:before="320" w:after="200"/>
      <w:outlineLvl w:val="6"/>
    </w:pPr>
    <w:rPr>
      <w:rFonts w:ascii="Arial" w:hAnsi="Arial" w:eastAsia="Arial" w:cs="Arial"/>
      <w:b/>
      <w:bCs/>
      <w:i/>
      <w:iCs/>
      <w:sz w:val="22"/>
      <w:szCs w:val="22"/>
    </w:rPr>
  </w:style>
  <w:style w:type="paragraph" w:styleId="948" w:customStyle="1">
    <w:name w:val="标题 811"/>
    <w:basedOn w:val="883"/>
    <w:next w:val="883"/>
    <w:link w:val="959"/>
    <w:uiPriority w:val="9"/>
    <w:qFormat/>
    <w:pPr>
      <w:keepLines/>
      <w:keepNext/>
      <w:spacing w:before="320" w:after="200"/>
      <w:outlineLvl w:val="7"/>
    </w:pPr>
    <w:rPr>
      <w:rFonts w:ascii="Arial" w:hAnsi="Arial" w:eastAsia="Arial" w:cs="Arial"/>
      <w:i/>
      <w:iCs/>
      <w:sz w:val="22"/>
      <w:szCs w:val="22"/>
    </w:rPr>
  </w:style>
  <w:style w:type="paragraph" w:styleId="949" w:customStyle="1">
    <w:name w:val="标题 911"/>
    <w:basedOn w:val="883"/>
    <w:next w:val="883"/>
    <w:link w:val="960"/>
    <w:uiPriority w:val="9"/>
    <w:qFormat/>
    <w:pPr>
      <w:keepLines/>
      <w:keepNext/>
      <w:spacing w:before="320" w:after="200"/>
      <w:outlineLvl w:val="8"/>
    </w:pPr>
    <w:rPr>
      <w:rFonts w:ascii="Arial" w:hAnsi="Arial" w:eastAsia="Arial" w:cs="Arial"/>
      <w:i/>
      <w:iCs/>
      <w:sz w:val="21"/>
      <w:szCs w:val="21"/>
    </w:rPr>
  </w:style>
  <w:style w:type="character" w:styleId="950" w:customStyle="1">
    <w:name w:val="默认段落字体11"/>
    <w:link w:val="883"/>
    <w:uiPriority w:val="1"/>
    <w:unhideWhenUsed/>
    <w:qFormat/>
  </w:style>
  <w:style w:type="table" w:styleId="951" w:customStyle="1">
    <w:name w:val="普通表格12"/>
    <w:uiPriority w:val="99"/>
    <w:unhideWhenUsed/>
    <w:qFormat/>
    <w:tblPr/>
  </w:style>
  <w:style w:type="character" w:styleId="952" w:customStyle="1">
    <w:name w:val="标题 1 字符"/>
    <w:link w:val="940"/>
    <w:uiPriority w:val="9"/>
    <w:qFormat/>
    <w:rPr>
      <w:rFonts w:ascii="Arial" w:hAnsi="Arial" w:eastAsia="Arial" w:cs="Arial"/>
      <w:sz w:val="40"/>
      <w:szCs w:val="40"/>
    </w:rPr>
  </w:style>
  <w:style w:type="character" w:styleId="953" w:customStyle="1">
    <w:name w:val="标题 2 字符"/>
    <w:link w:val="941"/>
    <w:uiPriority w:val="9"/>
    <w:qFormat/>
    <w:rPr>
      <w:rFonts w:ascii="Arial" w:hAnsi="Arial" w:eastAsia="Arial" w:cs="Arial"/>
      <w:sz w:val="34"/>
    </w:rPr>
  </w:style>
  <w:style w:type="character" w:styleId="954" w:customStyle="1">
    <w:name w:val="标题 3 字符"/>
    <w:link w:val="942"/>
    <w:uiPriority w:val="9"/>
    <w:qFormat/>
    <w:rPr>
      <w:rFonts w:ascii="Arial" w:hAnsi="Arial" w:eastAsia="Arial" w:cs="Arial"/>
      <w:sz w:val="30"/>
      <w:szCs w:val="30"/>
    </w:rPr>
  </w:style>
  <w:style w:type="character" w:styleId="955" w:customStyle="1">
    <w:name w:val="标题 4 字符"/>
    <w:link w:val="944"/>
    <w:uiPriority w:val="9"/>
    <w:qFormat/>
    <w:rPr>
      <w:rFonts w:ascii="Arial" w:hAnsi="Arial" w:eastAsia="Arial" w:cs="Arial"/>
      <w:b/>
      <w:bCs/>
      <w:sz w:val="26"/>
      <w:szCs w:val="26"/>
    </w:rPr>
  </w:style>
  <w:style w:type="character" w:styleId="956" w:customStyle="1">
    <w:name w:val="标题 5 字符"/>
    <w:link w:val="945"/>
    <w:uiPriority w:val="9"/>
    <w:qFormat/>
    <w:rPr>
      <w:rFonts w:ascii="Arial" w:hAnsi="Arial" w:eastAsia="Arial" w:cs="Arial"/>
      <w:b/>
      <w:bCs/>
      <w:sz w:val="24"/>
      <w:szCs w:val="24"/>
    </w:rPr>
  </w:style>
  <w:style w:type="character" w:styleId="957" w:customStyle="1">
    <w:name w:val="标题 6 字符"/>
    <w:link w:val="946"/>
    <w:uiPriority w:val="9"/>
    <w:qFormat/>
    <w:rPr>
      <w:rFonts w:ascii="Arial" w:hAnsi="Arial" w:eastAsia="Arial" w:cs="Arial"/>
      <w:b/>
      <w:bCs/>
      <w:sz w:val="22"/>
      <w:szCs w:val="22"/>
    </w:rPr>
  </w:style>
  <w:style w:type="character" w:styleId="958" w:customStyle="1">
    <w:name w:val="标题 7 字符"/>
    <w:link w:val="947"/>
    <w:uiPriority w:val="9"/>
    <w:qFormat/>
    <w:rPr>
      <w:rFonts w:ascii="Arial" w:hAnsi="Arial" w:eastAsia="Arial" w:cs="Arial"/>
      <w:b/>
      <w:bCs/>
      <w:i/>
      <w:iCs/>
      <w:sz w:val="22"/>
      <w:szCs w:val="22"/>
    </w:rPr>
  </w:style>
  <w:style w:type="character" w:styleId="959" w:customStyle="1">
    <w:name w:val="标题 8 字符"/>
    <w:link w:val="948"/>
    <w:uiPriority w:val="9"/>
    <w:qFormat/>
    <w:rPr>
      <w:rFonts w:ascii="Arial" w:hAnsi="Arial" w:eastAsia="Arial" w:cs="Arial"/>
      <w:i/>
      <w:iCs/>
      <w:sz w:val="22"/>
      <w:szCs w:val="22"/>
    </w:rPr>
  </w:style>
  <w:style w:type="character" w:styleId="960" w:customStyle="1">
    <w:name w:val="标题 9 字符"/>
    <w:link w:val="949"/>
    <w:uiPriority w:val="9"/>
    <w:qFormat/>
    <w:rPr>
      <w:rFonts w:ascii="Arial" w:hAnsi="Arial" w:eastAsia="Arial" w:cs="Arial"/>
      <w:i/>
      <w:iCs/>
      <w:sz w:val="21"/>
      <w:szCs w:val="21"/>
    </w:rPr>
  </w:style>
  <w:style w:type="paragraph" w:styleId="961" w:customStyle="1">
    <w:name w:val="目录 711"/>
    <w:basedOn w:val="883"/>
    <w:next w:val="883"/>
    <w:uiPriority w:val="39"/>
    <w:unhideWhenUsed/>
    <w:qFormat/>
    <w:pPr>
      <w:ind w:left="1701" w:right="0" w:firstLine="0"/>
      <w:spacing w:after="57"/>
    </w:pPr>
  </w:style>
  <w:style w:type="paragraph" w:styleId="962" w:customStyle="1">
    <w:name w:val="题注1"/>
    <w:basedOn w:val="883"/>
    <w:next w:val="883"/>
    <w:uiPriority w:val="35"/>
    <w:qFormat/>
    <w:pPr>
      <w:spacing w:line="276" w:lineRule="auto"/>
    </w:pPr>
    <w:rPr>
      <w:b/>
      <w:bCs/>
      <w:color w:val="4f81bd"/>
      <w:sz w:val="18"/>
      <w:szCs w:val="18"/>
    </w:rPr>
  </w:style>
  <w:style w:type="paragraph" w:styleId="963" w:customStyle="1">
    <w:name w:val="批注文字11"/>
    <w:basedOn w:val="883"/>
    <w:link w:val="964"/>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4" w:customStyle="1">
    <w:name w:val="批注文字 字符"/>
    <w:link w:val="963"/>
    <w:uiPriority w:val="99"/>
    <w:rPr>
      <w:sz w:val="21"/>
      <w:szCs w:val="21"/>
    </w:rPr>
  </w:style>
  <w:style w:type="paragraph" w:styleId="965" w:customStyle="1">
    <w:name w:val="正文文本122"/>
    <w:basedOn w:val="883"/>
    <w:next w:val="883"/>
    <w:uiPriority w:val="1"/>
    <w:qFormat/>
    <w:pPr>
      <w:ind w:left="120"/>
    </w:pPr>
    <w:rPr>
      <w:rFonts w:ascii="宋体" w:hAnsi="宋体" w:eastAsia="宋体" w:cs="宋体"/>
      <w:sz w:val="21"/>
      <w:szCs w:val="21"/>
      <w:lang w:val="zh-CN" w:eastAsia="zh-CN" w:bidi="zh-CN"/>
    </w:rPr>
  </w:style>
  <w:style w:type="paragraph" w:styleId="966" w:customStyle="1">
    <w:name w:val="目录 511"/>
    <w:basedOn w:val="883"/>
    <w:next w:val="883"/>
    <w:uiPriority w:val="39"/>
    <w:unhideWhenUsed/>
    <w:qFormat/>
    <w:pPr>
      <w:ind w:left="1134" w:right="0" w:firstLine="0"/>
      <w:spacing w:after="57"/>
    </w:pPr>
  </w:style>
  <w:style w:type="paragraph" w:styleId="967" w:customStyle="1">
    <w:name w:val="目录 311"/>
    <w:basedOn w:val="883"/>
    <w:next w:val="883"/>
    <w:uiPriority w:val="39"/>
    <w:unhideWhenUsed/>
    <w:qFormat/>
    <w:pPr>
      <w:ind w:left="567" w:right="0" w:firstLine="0"/>
      <w:spacing w:after="57"/>
    </w:pPr>
  </w:style>
  <w:style w:type="paragraph" w:styleId="968" w:customStyle="1">
    <w:name w:val="纯文本11"/>
    <w:basedOn w:val="883"/>
    <w:uiPriority w:val="0"/>
    <w:qFormat/>
    <w:rPr>
      <w:rFonts w:ascii="宋体" w:hAnsi="Courier New" w:cs="Courier New"/>
    </w:rPr>
  </w:style>
  <w:style w:type="paragraph" w:styleId="969" w:customStyle="1">
    <w:name w:val="目录 811"/>
    <w:basedOn w:val="883"/>
    <w:next w:val="883"/>
    <w:uiPriority w:val="39"/>
    <w:unhideWhenUsed/>
    <w:qFormat/>
    <w:pPr>
      <w:ind w:left="1984" w:right="0" w:firstLine="0"/>
      <w:spacing w:after="57"/>
    </w:pPr>
  </w:style>
  <w:style w:type="paragraph" w:styleId="970" w:customStyle="1">
    <w:name w:val="尾注文本1"/>
    <w:basedOn w:val="883"/>
    <w:link w:val="971"/>
    <w:uiPriority w:val="99"/>
    <w:unhideWhenUsed/>
    <w:qFormat/>
    <w:pPr>
      <w:spacing w:after="0" w:line="240" w:lineRule="auto"/>
    </w:pPr>
    <w:rPr>
      <w:sz w:val="20"/>
    </w:rPr>
  </w:style>
  <w:style w:type="character" w:styleId="971" w:customStyle="1">
    <w:name w:val="尾注文本 字符"/>
    <w:link w:val="970"/>
    <w:uiPriority w:val="99"/>
    <w:qFormat/>
    <w:rPr>
      <w:sz w:val="20"/>
    </w:rPr>
  </w:style>
  <w:style w:type="paragraph" w:styleId="972" w:customStyle="1">
    <w:name w:val="页脚111"/>
    <w:basedOn w:val="883"/>
    <w:link w:val="998"/>
    <w:uiPriority w:val="99"/>
    <w:unhideWhenUsed/>
    <w:qFormat/>
    <w:pPr>
      <w:spacing w:after="0" w:line="240" w:lineRule="auto"/>
      <w:tabs>
        <w:tab w:val="center" w:pos="7143" w:leader="none"/>
        <w:tab w:val="right" w:pos="14287" w:leader="none"/>
      </w:tabs>
    </w:pPr>
  </w:style>
  <w:style w:type="character" w:styleId="973" w:customStyle="1">
    <w:name w:val="Caption Char"/>
    <w:link w:val="972"/>
    <w:uiPriority w:val="99"/>
    <w:qFormat/>
  </w:style>
  <w:style w:type="paragraph" w:styleId="974" w:customStyle="1">
    <w:name w:val="页眉11"/>
    <w:basedOn w:val="883"/>
    <w:link w:val="975"/>
    <w:uiPriority w:val="99"/>
    <w:unhideWhenUsed/>
    <w:qFormat/>
    <w:pPr>
      <w:spacing w:after="0" w:line="240" w:lineRule="auto"/>
      <w:tabs>
        <w:tab w:val="center" w:pos="7143" w:leader="none"/>
        <w:tab w:val="right" w:pos="14287" w:leader="none"/>
      </w:tabs>
    </w:pPr>
  </w:style>
  <w:style w:type="character" w:styleId="975" w:customStyle="1">
    <w:name w:val="页眉 字符"/>
    <w:link w:val="974"/>
    <w:uiPriority w:val="99"/>
    <w:qFormat/>
  </w:style>
  <w:style w:type="paragraph" w:styleId="976" w:customStyle="1">
    <w:name w:val="目录 111"/>
    <w:basedOn w:val="883"/>
    <w:next w:val="883"/>
    <w:uiPriority w:val="39"/>
    <w:unhideWhenUsed/>
    <w:qFormat/>
    <w:pPr>
      <w:ind w:left="0" w:right="0" w:firstLine="0"/>
      <w:spacing w:after="57"/>
    </w:pPr>
  </w:style>
  <w:style w:type="paragraph" w:styleId="977" w:customStyle="1">
    <w:name w:val="目录 411"/>
    <w:basedOn w:val="883"/>
    <w:next w:val="883"/>
    <w:uiPriority w:val="39"/>
    <w:unhideWhenUsed/>
    <w:qFormat/>
    <w:pPr>
      <w:ind w:left="850" w:right="0" w:firstLine="0"/>
      <w:spacing w:after="57"/>
    </w:pPr>
  </w:style>
  <w:style w:type="paragraph" w:styleId="978" w:customStyle="1">
    <w:name w:val="副标题1"/>
    <w:basedOn w:val="883"/>
    <w:next w:val="883"/>
    <w:link w:val="979"/>
    <w:uiPriority w:val="11"/>
    <w:qFormat/>
    <w:pPr>
      <w:spacing w:before="200" w:after="200"/>
    </w:pPr>
    <w:rPr>
      <w:sz w:val="24"/>
      <w:szCs w:val="24"/>
    </w:rPr>
  </w:style>
  <w:style w:type="character" w:styleId="979" w:customStyle="1">
    <w:name w:val="副标题 字符"/>
    <w:link w:val="978"/>
    <w:uiPriority w:val="11"/>
    <w:qFormat/>
    <w:rPr>
      <w:sz w:val="24"/>
      <w:szCs w:val="24"/>
    </w:rPr>
  </w:style>
  <w:style w:type="paragraph" w:styleId="980" w:customStyle="1">
    <w:name w:val="脚注文本1"/>
    <w:basedOn w:val="883"/>
    <w:link w:val="981"/>
    <w:uiPriority w:val="99"/>
    <w:unhideWhenUsed/>
    <w:qFormat/>
    <w:pPr>
      <w:spacing w:after="40" w:line="240" w:lineRule="auto"/>
    </w:pPr>
    <w:rPr>
      <w:sz w:val="18"/>
    </w:rPr>
  </w:style>
  <w:style w:type="character" w:styleId="981" w:customStyle="1">
    <w:name w:val="脚注文本 字符"/>
    <w:link w:val="980"/>
    <w:uiPriority w:val="99"/>
    <w:qFormat/>
    <w:rPr>
      <w:sz w:val="18"/>
    </w:rPr>
  </w:style>
  <w:style w:type="paragraph" w:styleId="982" w:customStyle="1">
    <w:name w:val="目录 611"/>
    <w:basedOn w:val="883"/>
    <w:next w:val="883"/>
    <w:uiPriority w:val="39"/>
    <w:unhideWhenUsed/>
    <w:qFormat/>
    <w:pPr>
      <w:ind w:left="1417" w:right="0" w:firstLine="0"/>
      <w:spacing w:after="57"/>
    </w:pPr>
  </w:style>
  <w:style w:type="paragraph" w:styleId="983" w:customStyle="1">
    <w:name w:val="图表目录11"/>
    <w:basedOn w:val="883"/>
    <w:next w:val="883"/>
    <w:uiPriority w:val="99"/>
    <w:unhideWhenUsed/>
    <w:qFormat/>
    <w:pPr>
      <w:spacing w:after="0" w:afterAutospacing="0"/>
    </w:pPr>
  </w:style>
  <w:style w:type="paragraph" w:styleId="984" w:customStyle="1">
    <w:name w:val="目录 211"/>
    <w:basedOn w:val="883"/>
    <w:next w:val="883"/>
    <w:uiPriority w:val="39"/>
    <w:unhideWhenUsed/>
    <w:qFormat/>
    <w:pPr>
      <w:ind w:left="283" w:right="0" w:firstLine="0"/>
      <w:spacing w:after="57"/>
    </w:pPr>
  </w:style>
  <w:style w:type="paragraph" w:styleId="985" w:customStyle="1">
    <w:name w:val="目录 911"/>
    <w:basedOn w:val="883"/>
    <w:next w:val="883"/>
    <w:uiPriority w:val="39"/>
    <w:unhideWhenUsed/>
    <w:qFormat/>
    <w:pPr>
      <w:ind w:left="2268" w:right="0" w:firstLine="0"/>
      <w:spacing w:after="57"/>
    </w:pPr>
  </w:style>
  <w:style w:type="paragraph" w:styleId="986" w:customStyle="1">
    <w:name w:val="普通(网站)11"/>
    <w:basedOn w:val="883"/>
    <w:uiPriority w:val="99"/>
    <w:qFormat/>
    <w:pPr>
      <w:jc w:val="left"/>
      <w:spacing w:before="100" w:beforeAutospacing="1" w:after="100" w:afterAutospacing="1"/>
      <w:widowControl/>
    </w:pPr>
    <w:rPr>
      <w:rFonts w:ascii="宋体" w:hAnsi="宋体" w:cs="宋体"/>
      <w:sz w:val="24"/>
      <w:szCs w:val="24"/>
    </w:rPr>
  </w:style>
  <w:style w:type="paragraph" w:styleId="987" w:customStyle="1">
    <w:name w:val="标题11"/>
    <w:basedOn w:val="883"/>
    <w:next w:val="883"/>
    <w:link w:val="988"/>
    <w:uiPriority w:val="10"/>
    <w:qFormat/>
    <w:pPr>
      <w:contextualSpacing/>
      <w:spacing w:before="300" w:after="200"/>
    </w:pPr>
    <w:rPr>
      <w:sz w:val="48"/>
      <w:szCs w:val="48"/>
    </w:rPr>
  </w:style>
  <w:style w:type="character" w:styleId="988" w:customStyle="1">
    <w:name w:val="标题 字符"/>
    <w:link w:val="987"/>
    <w:uiPriority w:val="10"/>
    <w:qFormat/>
    <w:rPr>
      <w:sz w:val="48"/>
      <w:szCs w:val="48"/>
    </w:rPr>
  </w:style>
  <w:style w:type="paragraph" w:styleId="989" w:customStyle="1">
    <w:name w:val="批注主题11"/>
    <w:basedOn w:val="963"/>
    <w:next w:val="963"/>
    <w:link w:val="990"/>
    <w:uiPriority w:val="99"/>
    <w:unhideWhenUsed/>
    <w:rPr>
      <w:b/>
      <w:bCs/>
    </w:rPr>
  </w:style>
  <w:style w:type="character" w:styleId="990" w:customStyle="1">
    <w:name w:val="批注主题 字符"/>
    <w:link w:val="989"/>
    <w:uiPriority w:val="99"/>
    <w:semiHidden/>
    <w:rPr>
      <w:b/>
      <w:bCs/>
      <w:sz w:val="21"/>
      <w:szCs w:val="21"/>
    </w:rPr>
  </w:style>
  <w:style w:type="table" w:styleId="991" w:customStyle="1">
    <w:name w:val="网格型12"/>
    <w:uiPriority w:val="59"/>
    <w:qFormat/>
    <w:rPr>
      <w:lang w:val="en-US" w:eastAsia="zh-CN" w:bidi="ar-SA"/>
    </w:rPr>
    <w:tblPr/>
  </w:style>
  <w:style w:type="character" w:styleId="992" w:customStyle="1">
    <w:name w:val="尾注引用1"/>
    <w:link w:val="883"/>
    <w:uiPriority w:val="99"/>
    <w:unhideWhenUsed/>
    <w:qFormat/>
    <w:rPr>
      <w:vertAlign w:val="superscript"/>
    </w:rPr>
  </w:style>
  <w:style w:type="character" w:styleId="993" w:customStyle="1">
    <w:name w:val="页码11"/>
    <w:link w:val="883"/>
    <w:uiPriority w:val="0"/>
    <w:qFormat/>
  </w:style>
  <w:style w:type="character" w:styleId="994" w:customStyle="1">
    <w:name w:val="已访问的超链接11"/>
    <w:link w:val="883"/>
    <w:uiPriority w:val="0"/>
    <w:qFormat/>
    <w:rPr>
      <w:color w:val="800080"/>
      <w:u w:val="single"/>
    </w:rPr>
  </w:style>
  <w:style w:type="character" w:styleId="995" w:customStyle="1">
    <w:name w:val="超链接11"/>
    <w:link w:val="883"/>
    <w:uiPriority w:val="99"/>
    <w:unhideWhenUsed/>
    <w:qFormat/>
    <w:rPr>
      <w:color w:val="0000ff"/>
      <w:u w:val="single"/>
    </w:rPr>
  </w:style>
  <w:style w:type="character" w:styleId="996" w:customStyle="1">
    <w:name w:val="批注引用11"/>
    <w:link w:val="883"/>
    <w:uiPriority w:val="99"/>
    <w:unhideWhenUsed/>
    <w:rPr>
      <w:sz w:val="21"/>
      <w:szCs w:val="21"/>
    </w:rPr>
  </w:style>
  <w:style w:type="character" w:styleId="997" w:customStyle="1">
    <w:name w:val="脚注引用1"/>
    <w:link w:val="883"/>
    <w:uiPriority w:val="99"/>
    <w:unhideWhenUsed/>
    <w:qFormat/>
    <w:rPr>
      <w:vertAlign w:val="superscript"/>
    </w:rPr>
  </w:style>
  <w:style w:type="character" w:styleId="998" w:customStyle="1">
    <w:name w:val="页脚 字符"/>
    <w:link w:val="972"/>
    <w:uiPriority w:val="99"/>
    <w:qFormat/>
  </w:style>
  <w:style w:type="paragraph" w:styleId="999" w:customStyle="1">
    <w:name w:val="正文1"/>
    <w:basedOn w:val="883"/>
    <w:uiPriority w:val="0"/>
    <w:qFormat/>
    <w:pPr>
      <w:ind w:left="350" w:firstLine="0"/>
    </w:pPr>
    <w:rPr>
      <w:rFonts w:cs="Times New Roman"/>
      <w:sz w:val="20"/>
      <w:szCs w:val="24"/>
    </w:rPr>
  </w:style>
  <w:style w:type="paragraph" w:styleId="1000" w:customStyle="1">
    <w:name w:val="标题3"/>
    <w:basedOn w:val="883"/>
    <w:next w:val="883"/>
    <w:uiPriority w:val="0"/>
    <w:qFormat/>
    <w:pPr>
      <w:ind w:firstLine="624"/>
      <w:spacing w:line="590" w:lineRule="atLeast"/>
    </w:pPr>
    <w:rPr>
      <w:rFonts w:ascii="方正黑体_GBK" w:eastAsia="方正黑体_GBK"/>
      <w:sz w:val="32"/>
      <w:szCs w:val="32"/>
    </w:rPr>
  </w:style>
  <w:style w:type="paragraph" w:styleId="1001" w:customStyle="1">
    <w:name w:val="索引 41"/>
    <w:basedOn w:val="883"/>
    <w:next w:val="883"/>
    <w:uiPriority w:val="0"/>
    <w:semiHidden/>
    <w:qFormat/>
    <w:pPr>
      <w:ind w:left="1260"/>
    </w:pPr>
    <w:rPr>
      <w:rFonts w:ascii="Calibri" w:hAnsi="Calibri" w:eastAsia="Calibri" w:cs="宋体"/>
      <w:sz w:val="20"/>
      <w:lang w:val="zh-CN"/>
    </w:rPr>
  </w:style>
  <w:style w:type="paragraph" w:styleId="1002" w:customStyle="1">
    <w:name w:val="正文文本121"/>
    <w:basedOn w:val="883"/>
    <w:uiPriority w:val="0"/>
    <w:qFormat/>
    <w:pPr>
      <w:ind w:left="120"/>
    </w:pPr>
    <w:rPr>
      <w:rFonts w:ascii="宋体" w:eastAsia="宋体" w:cs="宋体"/>
      <w:sz w:val="21"/>
      <w:szCs w:val="21"/>
      <w:lang w:val="zh-CN" w:eastAsia="zh-CN" w:bidi="zh-CN"/>
    </w:rPr>
  </w:style>
  <w:style w:type="paragraph" w:styleId="1003" w:customStyle="1">
    <w:name w:val="列表段落"/>
    <w:basedOn w:val="883"/>
    <w:uiPriority w:val="34"/>
    <w:qFormat/>
    <w:pPr>
      <w:contextualSpacing/>
      <w:ind w:left="720"/>
    </w:pPr>
  </w:style>
  <w:style w:type="paragraph" w:styleId="1004" w:customStyle="1">
    <w:name w:val="无间隔"/>
    <w:uiPriority w:val="1"/>
    <w:qFormat/>
    <w:rPr>
      <w:rFonts w:hint="default" w:ascii="Times New Roman" w:hAnsi="Times New Roman" w:eastAsia="宋体" w:cs="Times New Roman"/>
      <w:lang w:val="en-US" w:eastAsia="zh-CN" w:bidi="ar-SA"/>
    </w:rPr>
  </w:style>
  <w:style w:type="paragraph" w:styleId="1005" w:customStyle="1">
    <w:name w:val="引用"/>
    <w:basedOn w:val="883"/>
    <w:next w:val="883"/>
    <w:link w:val="1006"/>
    <w:uiPriority w:val="29"/>
    <w:qFormat/>
    <w:pPr>
      <w:ind w:left="720" w:right="720"/>
    </w:pPr>
    <w:rPr>
      <w:i/>
    </w:rPr>
  </w:style>
  <w:style w:type="character" w:styleId="1006" w:customStyle="1">
    <w:name w:val="引用 字符"/>
    <w:link w:val="1005"/>
    <w:uiPriority w:val="29"/>
    <w:qFormat/>
    <w:rPr>
      <w:i/>
    </w:rPr>
  </w:style>
  <w:style w:type="paragraph" w:styleId="1007" w:customStyle="1">
    <w:name w:val="明显引用"/>
    <w:basedOn w:val="883"/>
    <w:next w:val="883"/>
    <w:link w:val="10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8" w:customStyle="1">
    <w:name w:val="明显引用 字符"/>
    <w:link w:val="1007"/>
    <w:uiPriority w:val="30"/>
    <w:qFormat/>
    <w:rPr>
      <w:i/>
    </w:rPr>
  </w:style>
  <w:style w:type="table" w:styleId="1009" w:customStyle="1">
    <w:name w:val="Table Grid Light"/>
    <w:uiPriority w:val="59"/>
    <w:qFormat/>
    <w:rPr>
      <w:lang w:val="en-US" w:eastAsia="zh-CN" w:bidi="ar-SA"/>
    </w:rPr>
    <w:tblPr/>
  </w:style>
  <w:style w:type="table" w:styleId="1010" w:customStyle="1">
    <w:name w:val="Plain Table 1"/>
    <w:uiPriority w:val="59"/>
    <w:qFormat/>
    <w:rPr>
      <w:lang w:val="en-US" w:eastAsia="zh-CN" w:bidi="ar-SA"/>
    </w:rPr>
    <w:tblPr/>
  </w:style>
  <w:style w:type="table" w:styleId="1011" w:customStyle="1">
    <w:name w:val="Plain Table 2"/>
    <w:uiPriority w:val="59"/>
    <w:qFormat/>
    <w:rPr>
      <w:lang w:val="en-US" w:eastAsia="zh-CN" w:bidi="ar-SA"/>
    </w:rPr>
    <w:tblPr/>
  </w:style>
  <w:style w:type="table" w:styleId="1012" w:customStyle="1">
    <w:name w:val="Plain Table 3"/>
    <w:uiPriority w:val="99"/>
    <w:qFormat/>
    <w:rPr>
      <w:lang w:val="en-US" w:eastAsia="zh-CN" w:bidi="ar-SA"/>
    </w:rPr>
    <w:tblPr/>
  </w:style>
  <w:style w:type="table" w:styleId="1013" w:customStyle="1">
    <w:name w:val="Plain Table 4"/>
    <w:uiPriority w:val="99"/>
    <w:qFormat/>
    <w:rPr>
      <w:lang w:val="en-US" w:eastAsia="zh-CN" w:bidi="ar-SA"/>
    </w:rPr>
    <w:tblPr/>
  </w:style>
  <w:style w:type="table" w:styleId="1014" w:customStyle="1">
    <w:name w:val="Plain Table 5"/>
    <w:uiPriority w:val="99"/>
    <w:qFormat/>
    <w:rPr>
      <w:lang w:val="en-US" w:eastAsia="zh-CN" w:bidi="ar-SA"/>
    </w:rPr>
    <w:tblPr/>
  </w:style>
  <w:style w:type="table" w:styleId="1015" w:customStyle="1">
    <w:name w:val="Grid Table 1 Light"/>
    <w:uiPriority w:val="99"/>
    <w:qFormat/>
    <w:rPr>
      <w:lang w:val="en-US" w:eastAsia="zh-CN" w:bidi="ar-SA"/>
    </w:rPr>
    <w:tblPr/>
  </w:style>
  <w:style w:type="table" w:styleId="1016" w:customStyle="1">
    <w:name w:val="Grid Table 1 Light - Accent 1"/>
    <w:uiPriority w:val="99"/>
    <w:qFormat/>
    <w:rPr>
      <w:lang w:val="en-US" w:eastAsia="zh-CN" w:bidi="ar-SA"/>
    </w:rPr>
    <w:tblPr/>
  </w:style>
  <w:style w:type="table" w:styleId="1017" w:customStyle="1">
    <w:name w:val="Grid Table 1 Light - Accent 2"/>
    <w:uiPriority w:val="99"/>
    <w:qFormat/>
    <w:rPr>
      <w:lang w:val="en-US" w:eastAsia="zh-CN" w:bidi="ar-SA"/>
    </w:rPr>
    <w:tblPr/>
  </w:style>
  <w:style w:type="table" w:styleId="1018" w:customStyle="1">
    <w:name w:val="Grid Table 1 Light - Accent 3"/>
    <w:uiPriority w:val="99"/>
    <w:qFormat/>
    <w:rPr>
      <w:lang w:val="en-US" w:eastAsia="zh-CN" w:bidi="ar-SA"/>
    </w:rPr>
    <w:tblPr/>
  </w:style>
  <w:style w:type="table" w:styleId="1019" w:customStyle="1">
    <w:name w:val="Grid Table 1 Light - Accent 4"/>
    <w:uiPriority w:val="99"/>
    <w:qFormat/>
    <w:rPr>
      <w:lang w:val="en-US" w:eastAsia="zh-CN" w:bidi="ar-SA"/>
    </w:rPr>
    <w:tblPr/>
  </w:style>
  <w:style w:type="table" w:styleId="1020" w:customStyle="1">
    <w:name w:val="Grid Table 1 Light - Accent 5"/>
    <w:uiPriority w:val="99"/>
    <w:qFormat/>
    <w:rPr>
      <w:lang w:val="en-US" w:eastAsia="zh-CN" w:bidi="ar-SA"/>
    </w:rPr>
    <w:tblPr/>
  </w:style>
  <w:style w:type="table" w:styleId="1021" w:customStyle="1">
    <w:name w:val="Grid Table 1 Light - Accent 6"/>
    <w:uiPriority w:val="99"/>
    <w:qFormat/>
    <w:rPr>
      <w:lang w:val="en-US" w:eastAsia="zh-CN" w:bidi="ar-SA"/>
    </w:rPr>
    <w:tblPr/>
  </w:style>
  <w:style w:type="table" w:styleId="1022" w:customStyle="1">
    <w:name w:val="Grid Table 2"/>
    <w:uiPriority w:val="99"/>
    <w:qFormat/>
    <w:rPr>
      <w:lang w:val="en-US" w:eastAsia="zh-CN" w:bidi="ar-SA"/>
    </w:rPr>
    <w:tblPr/>
  </w:style>
  <w:style w:type="table" w:styleId="1023" w:customStyle="1">
    <w:name w:val="Grid Table 2 - Accent 1"/>
    <w:uiPriority w:val="99"/>
    <w:qFormat/>
    <w:rPr>
      <w:lang w:val="en-US" w:eastAsia="zh-CN" w:bidi="ar-SA"/>
    </w:rPr>
    <w:tblPr/>
  </w:style>
  <w:style w:type="table" w:styleId="1024" w:customStyle="1">
    <w:name w:val="Grid Table 2 - Accent 2"/>
    <w:uiPriority w:val="99"/>
    <w:qFormat/>
    <w:rPr>
      <w:lang w:val="en-US" w:eastAsia="zh-CN" w:bidi="ar-SA"/>
    </w:rPr>
    <w:tblPr/>
  </w:style>
  <w:style w:type="table" w:styleId="1025" w:customStyle="1">
    <w:name w:val="Grid Table 2 - Accent 3"/>
    <w:uiPriority w:val="99"/>
    <w:qFormat/>
    <w:rPr>
      <w:lang w:val="en-US" w:eastAsia="zh-CN" w:bidi="ar-SA"/>
    </w:rPr>
    <w:tblPr/>
  </w:style>
  <w:style w:type="table" w:styleId="1026" w:customStyle="1">
    <w:name w:val="Grid Table 2 - Accent 4"/>
    <w:uiPriority w:val="99"/>
    <w:qFormat/>
    <w:rPr>
      <w:lang w:val="en-US" w:eastAsia="zh-CN" w:bidi="ar-SA"/>
    </w:rPr>
    <w:tblPr/>
  </w:style>
  <w:style w:type="table" w:styleId="1027" w:customStyle="1">
    <w:name w:val="Grid Table 2 - Accent 5"/>
    <w:uiPriority w:val="99"/>
    <w:qFormat/>
    <w:rPr>
      <w:lang w:val="en-US" w:eastAsia="zh-CN" w:bidi="ar-SA"/>
    </w:rPr>
    <w:tblPr/>
  </w:style>
  <w:style w:type="table" w:styleId="1028" w:customStyle="1">
    <w:name w:val="Grid Table 2 - Accent 6"/>
    <w:uiPriority w:val="99"/>
    <w:qFormat/>
    <w:rPr>
      <w:lang w:val="en-US" w:eastAsia="zh-CN" w:bidi="ar-SA"/>
    </w:rPr>
    <w:tblPr/>
  </w:style>
  <w:style w:type="table" w:styleId="1029" w:customStyle="1">
    <w:name w:val="Grid Table 3"/>
    <w:uiPriority w:val="99"/>
    <w:qFormat/>
    <w:rPr>
      <w:lang w:val="en-US" w:eastAsia="zh-CN" w:bidi="ar-SA"/>
    </w:rPr>
    <w:tblPr/>
  </w:style>
  <w:style w:type="table" w:styleId="1030" w:customStyle="1">
    <w:name w:val="Grid Table 3 - Accent 1"/>
    <w:uiPriority w:val="99"/>
    <w:qFormat/>
    <w:rPr>
      <w:lang w:val="en-US" w:eastAsia="zh-CN" w:bidi="ar-SA"/>
    </w:rPr>
    <w:tblPr/>
  </w:style>
  <w:style w:type="table" w:styleId="1031" w:customStyle="1">
    <w:name w:val="Grid Table 3 - Accent 2"/>
    <w:uiPriority w:val="99"/>
    <w:qFormat/>
    <w:rPr>
      <w:lang w:val="en-US" w:eastAsia="zh-CN" w:bidi="ar-SA"/>
    </w:rPr>
    <w:tblPr/>
  </w:style>
  <w:style w:type="table" w:styleId="1032" w:customStyle="1">
    <w:name w:val="Grid Table 3 - Accent 3"/>
    <w:uiPriority w:val="99"/>
    <w:qFormat/>
    <w:rPr>
      <w:lang w:val="en-US" w:eastAsia="zh-CN" w:bidi="ar-SA"/>
    </w:rPr>
    <w:tblPr/>
  </w:style>
  <w:style w:type="table" w:styleId="1033" w:customStyle="1">
    <w:name w:val="Grid Table 3 - Accent 4"/>
    <w:uiPriority w:val="99"/>
    <w:qFormat/>
    <w:rPr>
      <w:lang w:val="en-US" w:eastAsia="zh-CN" w:bidi="ar-SA"/>
    </w:rPr>
    <w:tblPr/>
  </w:style>
  <w:style w:type="table" w:styleId="1034" w:customStyle="1">
    <w:name w:val="Grid Table 3 - Accent 5"/>
    <w:uiPriority w:val="99"/>
    <w:qFormat/>
    <w:rPr>
      <w:lang w:val="en-US" w:eastAsia="zh-CN" w:bidi="ar-SA"/>
    </w:rPr>
    <w:tblPr/>
  </w:style>
  <w:style w:type="table" w:styleId="1035" w:customStyle="1">
    <w:name w:val="Grid Table 3 - Accent 6"/>
    <w:uiPriority w:val="99"/>
    <w:qFormat/>
    <w:rPr>
      <w:lang w:val="en-US" w:eastAsia="zh-CN" w:bidi="ar-SA"/>
    </w:rPr>
    <w:tblPr/>
  </w:style>
  <w:style w:type="table" w:styleId="1036" w:customStyle="1">
    <w:name w:val="Grid Table 4"/>
    <w:uiPriority w:val="59"/>
    <w:qFormat/>
    <w:rPr>
      <w:lang w:val="en-US" w:eastAsia="zh-CN" w:bidi="ar-SA"/>
    </w:rPr>
    <w:tblPr/>
  </w:style>
  <w:style w:type="table" w:styleId="1037" w:customStyle="1">
    <w:name w:val="Grid Table 4 - Accent 1"/>
    <w:uiPriority w:val="59"/>
    <w:qFormat/>
    <w:rPr>
      <w:lang w:val="en-US" w:eastAsia="zh-CN" w:bidi="ar-SA"/>
    </w:rPr>
    <w:tblPr/>
  </w:style>
  <w:style w:type="table" w:styleId="1038" w:customStyle="1">
    <w:name w:val="Grid Table 4 - Accent 2"/>
    <w:uiPriority w:val="59"/>
    <w:qFormat/>
    <w:rPr>
      <w:lang w:val="en-US" w:eastAsia="zh-CN" w:bidi="ar-SA"/>
    </w:rPr>
    <w:tblPr/>
  </w:style>
  <w:style w:type="table" w:styleId="1039" w:customStyle="1">
    <w:name w:val="Grid Table 4 - Accent 3"/>
    <w:uiPriority w:val="59"/>
    <w:qFormat/>
    <w:rPr>
      <w:lang w:val="en-US" w:eastAsia="zh-CN" w:bidi="ar-SA"/>
    </w:rPr>
    <w:tblPr/>
  </w:style>
  <w:style w:type="table" w:styleId="1040" w:customStyle="1">
    <w:name w:val="Grid Table 4 - Accent 4"/>
    <w:uiPriority w:val="59"/>
    <w:qFormat/>
    <w:rPr>
      <w:lang w:val="en-US" w:eastAsia="zh-CN" w:bidi="ar-SA"/>
    </w:rPr>
    <w:tblPr/>
  </w:style>
  <w:style w:type="table" w:styleId="1041" w:customStyle="1">
    <w:name w:val="Grid Table 4 - Accent 5"/>
    <w:uiPriority w:val="59"/>
    <w:qFormat/>
    <w:rPr>
      <w:lang w:val="en-US" w:eastAsia="zh-CN" w:bidi="ar-SA"/>
    </w:rPr>
    <w:tblPr/>
  </w:style>
  <w:style w:type="table" w:styleId="1042" w:customStyle="1">
    <w:name w:val="Grid Table 4 - Accent 6"/>
    <w:uiPriority w:val="59"/>
    <w:qFormat/>
    <w:rPr>
      <w:lang w:val="en-US" w:eastAsia="zh-CN" w:bidi="ar-SA"/>
    </w:rPr>
    <w:tblPr/>
  </w:style>
  <w:style w:type="table" w:styleId="1043" w:customStyle="1">
    <w:name w:val="Grid Table 5 Dark"/>
    <w:uiPriority w:val="99"/>
    <w:qFormat/>
    <w:rPr>
      <w:lang w:val="en-US" w:eastAsia="zh-CN" w:bidi="ar-SA"/>
    </w:rPr>
    <w:tblPr/>
  </w:style>
  <w:style w:type="table" w:styleId="1044" w:customStyle="1">
    <w:name w:val="Grid Table 5 Dark- Accent 1"/>
    <w:uiPriority w:val="99"/>
    <w:qFormat/>
    <w:rPr>
      <w:lang w:val="en-US" w:eastAsia="zh-CN" w:bidi="ar-SA"/>
    </w:rPr>
    <w:tblPr/>
  </w:style>
  <w:style w:type="table" w:styleId="1045" w:customStyle="1">
    <w:name w:val="Grid Table 5 Dark - Accent 2"/>
    <w:uiPriority w:val="99"/>
    <w:qFormat/>
    <w:rPr>
      <w:lang w:val="en-US" w:eastAsia="zh-CN" w:bidi="ar-SA"/>
    </w:rPr>
    <w:tblPr/>
  </w:style>
  <w:style w:type="table" w:styleId="1046" w:customStyle="1">
    <w:name w:val="Grid Table 5 Dark - Accent 3"/>
    <w:uiPriority w:val="99"/>
    <w:qFormat/>
    <w:rPr>
      <w:lang w:val="en-US" w:eastAsia="zh-CN" w:bidi="ar-SA"/>
    </w:rPr>
    <w:tblPr/>
  </w:style>
  <w:style w:type="table" w:styleId="1047" w:customStyle="1">
    <w:name w:val="Grid Table 5 Dark- Accent 4"/>
    <w:uiPriority w:val="99"/>
    <w:qFormat/>
    <w:rPr>
      <w:lang w:val="en-US" w:eastAsia="zh-CN" w:bidi="ar-SA"/>
    </w:rPr>
    <w:tblPr/>
  </w:style>
  <w:style w:type="table" w:styleId="1048" w:customStyle="1">
    <w:name w:val="Grid Table 5 Dark - Accent 5"/>
    <w:uiPriority w:val="99"/>
    <w:qFormat/>
    <w:rPr>
      <w:lang w:val="en-US" w:eastAsia="zh-CN" w:bidi="ar-SA"/>
    </w:rPr>
    <w:tblPr/>
  </w:style>
  <w:style w:type="table" w:styleId="1049" w:customStyle="1">
    <w:name w:val="Grid Table 5 Dark - Accent 6"/>
    <w:uiPriority w:val="99"/>
    <w:qFormat/>
    <w:rPr>
      <w:lang w:val="en-US" w:eastAsia="zh-CN" w:bidi="ar-SA"/>
    </w:rPr>
    <w:tblPr/>
  </w:style>
  <w:style w:type="table" w:styleId="1050" w:customStyle="1">
    <w:name w:val="Grid Table 6 Colorful"/>
    <w:uiPriority w:val="99"/>
    <w:qFormat/>
    <w:rPr>
      <w:lang w:val="en-US" w:eastAsia="zh-CN" w:bidi="ar-SA"/>
    </w:rPr>
    <w:tblPr/>
  </w:style>
  <w:style w:type="table" w:styleId="1051" w:customStyle="1">
    <w:name w:val="Grid Table 6 Colorful - Accent 1"/>
    <w:uiPriority w:val="99"/>
    <w:qFormat/>
    <w:rPr>
      <w:lang w:val="en-US" w:eastAsia="zh-CN" w:bidi="ar-SA"/>
    </w:rPr>
    <w:tblPr/>
  </w:style>
  <w:style w:type="table" w:styleId="1052" w:customStyle="1">
    <w:name w:val="Grid Table 6 Colorful - Accent 2"/>
    <w:uiPriority w:val="99"/>
    <w:qFormat/>
    <w:rPr>
      <w:lang w:val="en-US" w:eastAsia="zh-CN" w:bidi="ar-SA"/>
    </w:rPr>
    <w:tblPr/>
  </w:style>
  <w:style w:type="table" w:styleId="1053" w:customStyle="1">
    <w:name w:val="Grid Table 6 Colorful - Accent 3"/>
    <w:uiPriority w:val="99"/>
    <w:qFormat/>
    <w:rPr>
      <w:lang w:val="en-US" w:eastAsia="zh-CN" w:bidi="ar-SA"/>
    </w:rPr>
    <w:tblPr/>
  </w:style>
  <w:style w:type="table" w:styleId="1054" w:customStyle="1">
    <w:name w:val="Grid Table 6 Colorful - Accent 4"/>
    <w:uiPriority w:val="99"/>
    <w:qFormat/>
    <w:rPr>
      <w:lang w:val="en-US" w:eastAsia="zh-CN" w:bidi="ar-SA"/>
    </w:rPr>
    <w:tblPr/>
  </w:style>
  <w:style w:type="table" w:styleId="1055" w:customStyle="1">
    <w:name w:val="Grid Table 6 Colorful - Accent 5"/>
    <w:uiPriority w:val="99"/>
    <w:qFormat/>
    <w:rPr>
      <w:lang w:val="en-US" w:eastAsia="zh-CN" w:bidi="ar-SA"/>
    </w:rPr>
    <w:tblPr/>
  </w:style>
  <w:style w:type="table" w:styleId="1056" w:customStyle="1">
    <w:name w:val="Grid Table 6 Colorful - Accent 6"/>
    <w:uiPriority w:val="99"/>
    <w:qFormat/>
    <w:rPr>
      <w:lang w:val="en-US" w:eastAsia="zh-CN" w:bidi="ar-SA"/>
    </w:rPr>
    <w:tblPr/>
  </w:style>
  <w:style w:type="table" w:styleId="1057" w:customStyle="1">
    <w:name w:val="Grid Table 7 Colorful"/>
    <w:uiPriority w:val="99"/>
    <w:qFormat/>
    <w:rPr>
      <w:lang w:val="en-US" w:eastAsia="zh-CN" w:bidi="ar-SA"/>
    </w:rPr>
    <w:tblPr/>
  </w:style>
  <w:style w:type="table" w:styleId="1058" w:customStyle="1">
    <w:name w:val="Grid Table 7 Colorful - Accent 1"/>
    <w:uiPriority w:val="99"/>
    <w:qFormat/>
    <w:rPr>
      <w:lang w:val="en-US" w:eastAsia="zh-CN" w:bidi="ar-SA"/>
    </w:rPr>
    <w:tblPr/>
  </w:style>
  <w:style w:type="table" w:styleId="1059" w:customStyle="1">
    <w:name w:val="Grid Table 7 Colorful - Accent 2"/>
    <w:uiPriority w:val="99"/>
    <w:qFormat/>
    <w:rPr>
      <w:lang w:val="en-US" w:eastAsia="zh-CN" w:bidi="ar-SA"/>
    </w:rPr>
    <w:tblPr/>
  </w:style>
  <w:style w:type="table" w:styleId="1060" w:customStyle="1">
    <w:name w:val="Grid Table 7 Colorful - Accent 3"/>
    <w:uiPriority w:val="99"/>
    <w:qFormat/>
    <w:rPr>
      <w:lang w:val="en-US" w:eastAsia="zh-CN" w:bidi="ar-SA"/>
    </w:rPr>
    <w:tblPr/>
  </w:style>
  <w:style w:type="table" w:styleId="1061" w:customStyle="1">
    <w:name w:val="Grid Table 7 Colorful - Accent 4"/>
    <w:uiPriority w:val="99"/>
    <w:qFormat/>
    <w:rPr>
      <w:lang w:val="en-US" w:eastAsia="zh-CN" w:bidi="ar-SA"/>
    </w:rPr>
    <w:tblPr/>
  </w:style>
  <w:style w:type="table" w:styleId="1062" w:customStyle="1">
    <w:name w:val="Grid Table 7 Colorful - Accent 5"/>
    <w:uiPriority w:val="99"/>
    <w:qFormat/>
    <w:rPr>
      <w:lang w:val="en-US" w:eastAsia="zh-CN" w:bidi="ar-SA"/>
    </w:rPr>
    <w:tblPr/>
  </w:style>
  <w:style w:type="table" w:styleId="1063" w:customStyle="1">
    <w:name w:val="Grid Table 7 Colorful - Accent 6"/>
    <w:uiPriority w:val="99"/>
    <w:qFormat/>
    <w:rPr>
      <w:lang w:val="en-US" w:eastAsia="zh-CN" w:bidi="ar-SA"/>
    </w:rPr>
    <w:tblPr/>
  </w:style>
  <w:style w:type="table" w:styleId="1064" w:customStyle="1">
    <w:name w:val="List Table 1 Light"/>
    <w:uiPriority w:val="99"/>
    <w:qFormat/>
    <w:rPr>
      <w:lang w:val="en-US" w:eastAsia="zh-CN" w:bidi="ar-SA"/>
    </w:rPr>
    <w:tblPr/>
  </w:style>
  <w:style w:type="table" w:styleId="1065" w:customStyle="1">
    <w:name w:val="List Table 1 Light - Accent 1"/>
    <w:uiPriority w:val="99"/>
    <w:qFormat/>
    <w:rPr>
      <w:lang w:val="en-US" w:eastAsia="zh-CN" w:bidi="ar-SA"/>
    </w:rPr>
    <w:tblPr/>
  </w:style>
  <w:style w:type="table" w:styleId="1066" w:customStyle="1">
    <w:name w:val="List Table 1 Light - Accent 2"/>
    <w:uiPriority w:val="99"/>
    <w:qFormat/>
    <w:rPr>
      <w:lang w:val="en-US" w:eastAsia="zh-CN" w:bidi="ar-SA"/>
    </w:rPr>
    <w:tblPr/>
  </w:style>
  <w:style w:type="table" w:styleId="1067" w:customStyle="1">
    <w:name w:val="List Table 1 Light - Accent 3"/>
    <w:uiPriority w:val="99"/>
    <w:qFormat/>
    <w:rPr>
      <w:lang w:val="en-US" w:eastAsia="zh-CN" w:bidi="ar-SA"/>
    </w:rPr>
    <w:tblPr/>
  </w:style>
  <w:style w:type="table" w:styleId="1068" w:customStyle="1">
    <w:name w:val="List Table 1 Light - Accent 4"/>
    <w:uiPriority w:val="99"/>
    <w:qFormat/>
    <w:rPr>
      <w:lang w:val="en-US" w:eastAsia="zh-CN" w:bidi="ar-SA"/>
    </w:rPr>
    <w:tblPr/>
  </w:style>
  <w:style w:type="table" w:styleId="1069" w:customStyle="1">
    <w:name w:val="List Table 1 Light - Accent 5"/>
    <w:uiPriority w:val="99"/>
    <w:qFormat/>
    <w:rPr>
      <w:lang w:val="en-US" w:eastAsia="zh-CN" w:bidi="ar-SA"/>
    </w:rPr>
    <w:tblPr/>
  </w:style>
  <w:style w:type="table" w:styleId="1070" w:customStyle="1">
    <w:name w:val="List Table 1 Light - Accent 6"/>
    <w:uiPriority w:val="99"/>
    <w:qFormat/>
    <w:rPr>
      <w:lang w:val="en-US" w:eastAsia="zh-CN" w:bidi="ar-SA"/>
    </w:rPr>
    <w:tblPr/>
  </w:style>
  <w:style w:type="table" w:styleId="1071" w:customStyle="1">
    <w:name w:val="List Table 2"/>
    <w:uiPriority w:val="99"/>
    <w:qFormat/>
    <w:rPr>
      <w:lang w:val="en-US" w:eastAsia="zh-CN" w:bidi="ar-SA"/>
    </w:rPr>
    <w:tblPr/>
  </w:style>
  <w:style w:type="table" w:styleId="1072" w:customStyle="1">
    <w:name w:val="List Table 2 - Accent 1"/>
    <w:uiPriority w:val="99"/>
    <w:qFormat/>
    <w:rPr>
      <w:lang w:val="en-US" w:eastAsia="zh-CN" w:bidi="ar-SA"/>
    </w:rPr>
    <w:tblPr/>
  </w:style>
  <w:style w:type="table" w:styleId="1073" w:customStyle="1">
    <w:name w:val="List Table 2 - Accent 2"/>
    <w:uiPriority w:val="99"/>
    <w:qFormat/>
    <w:rPr>
      <w:lang w:val="en-US" w:eastAsia="zh-CN" w:bidi="ar-SA"/>
    </w:rPr>
    <w:tblPr/>
  </w:style>
  <w:style w:type="table" w:styleId="1074" w:customStyle="1">
    <w:name w:val="List Table 2 - Accent 3"/>
    <w:uiPriority w:val="99"/>
    <w:qFormat/>
    <w:rPr>
      <w:lang w:val="en-US" w:eastAsia="zh-CN" w:bidi="ar-SA"/>
    </w:rPr>
    <w:tblPr/>
  </w:style>
  <w:style w:type="table" w:styleId="1075" w:customStyle="1">
    <w:name w:val="List Table 2 - Accent 4"/>
    <w:uiPriority w:val="99"/>
    <w:qFormat/>
    <w:rPr>
      <w:lang w:val="en-US" w:eastAsia="zh-CN" w:bidi="ar-SA"/>
    </w:rPr>
    <w:tblPr/>
  </w:style>
  <w:style w:type="table" w:styleId="1076" w:customStyle="1">
    <w:name w:val="List Table 2 - Accent 5"/>
    <w:uiPriority w:val="99"/>
    <w:qFormat/>
    <w:rPr>
      <w:lang w:val="en-US" w:eastAsia="zh-CN" w:bidi="ar-SA"/>
    </w:rPr>
    <w:tblPr/>
  </w:style>
  <w:style w:type="table" w:styleId="1077" w:customStyle="1">
    <w:name w:val="List Table 2 - Accent 6"/>
    <w:uiPriority w:val="99"/>
    <w:qFormat/>
    <w:rPr>
      <w:lang w:val="en-US" w:eastAsia="zh-CN" w:bidi="ar-SA"/>
    </w:rPr>
    <w:tblPr/>
  </w:style>
  <w:style w:type="table" w:styleId="1078" w:customStyle="1">
    <w:name w:val="List Table 3"/>
    <w:uiPriority w:val="99"/>
    <w:qFormat/>
    <w:rPr>
      <w:lang w:val="en-US" w:eastAsia="zh-CN" w:bidi="ar-SA"/>
    </w:rPr>
    <w:tblPr/>
  </w:style>
  <w:style w:type="table" w:styleId="1079" w:customStyle="1">
    <w:name w:val="List Table 3 - Accent 1"/>
    <w:uiPriority w:val="99"/>
    <w:qFormat/>
    <w:rPr>
      <w:lang w:val="en-US" w:eastAsia="zh-CN" w:bidi="ar-SA"/>
    </w:rPr>
    <w:tblPr/>
  </w:style>
  <w:style w:type="table" w:styleId="1080" w:customStyle="1">
    <w:name w:val="List Table 3 - Accent 2"/>
    <w:uiPriority w:val="99"/>
    <w:qFormat/>
    <w:rPr>
      <w:lang w:val="en-US" w:eastAsia="zh-CN" w:bidi="ar-SA"/>
    </w:rPr>
    <w:tblPr/>
  </w:style>
  <w:style w:type="table" w:styleId="1081" w:customStyle="1">
    <w:name w:val="List Table 3 - Accent 3"/>
    <w:uiPriority w:val="99"/>
    <w:qFormat/>
    <w:rPr>
      <w:lang w:val="en-US" w:eastAsia="zh-CN" w:bidi="ar-SA"/>
    </w:rPr>
    <w:tblPr/>
  </w:style>
  <w:style w:type="table" w:styleId="1082" w:customStyle="1">
    <w:name w:val="List Table 3 - Accent 4"/>
    <w:uiPriority w:val="99"/>
    <w:qFormat/>
    <w:rPr>
      <w:lang w:val="en-US" w:eastAsia="zh-CN" w:bidi="ar-SA"/>
    </w:rPr>
    <w:tblPr/>
  </w:style>
  <w:style w:type="table" w:styleId="1083" w:customStyle="1">
    <w:name w:val="List Table 3 - Accent 5"/>
    <w:uiPriority w:val="99"/>
    <w:qFormat/>
    <w:rPr>
      <w:lang w:val="en-US" w:eastAsia="zh-CN" w:bidi="ar-SA"/>
    </w:rPr>
    <w:tblPr/>
  </w:style>
  <w:style w:type="table" w:styleId="1084" w:customStyle="1">
    <w:name w:val="List Table 3 - Accent 6"/>
    <w:uiPriority w:val="99"/>
    <w:qFormat/>
    <w:rPr>
      <w:lang w:val="en-US" w:eastAsia="zh-CN" w:bidi="ar-SA"/>
    </w:rPr>
    <w:tblPr/>
  </w:style>
  <w:style w:type="table" w:styleId="1085" w:customStyle="1">
    <w:name w:val="List Table 4"/>
    <w:uiPriority w:val="99"/>
    <w:qFormat/>
    <w:rPr>
      <w:lang w:val="en-US" w:eastAsia="zh-CN" w:bidi="ar-SA"/>
    </w:rPr>
    <w:tblPr/>
  </w:style>
  <w:style w:type="table" w:styleId="1086" w:customStyle="1">
    <w:name w:val="List Table 4 - Accent 1"/>
    <w:uiPriority w:val="99"/>
    <w:qFormat/>
    <w:rPr>
      <w:lang w:val="en-US" w:eastAsia="zh-CN" w:bidi="ar-SA"/>
    </w:rPr>
    <w:tblPr/>
  </w:style>
  <w:style w:type="table" w:styleId="1087" w:customStyle="1">
    <w:name w:val="List Table 4 - Accent 2"/>
    <w:uiPriority w:val="99"/>
    <w:qFormat/>
    <w:rPr>
      <w:lang w:val="en-US" w:eastAsia="zh-CN" w:bidi="ar-SA"/>
    </w:rPr>
    <w:tblPr/>
  </w:style>
  <w:style w:type="table" w:styleId="1088" w:customStyle="1">
    <w:name w:val="List Table 4 - Accent 3"/>
    <w:uiPriority w:val="99"/>
    <w:qFormat/>
    <w:rPr>
      <w:lang w:val="en-US" w:eastAsia="zh-CN" w:bidi="ar-SA"/>
    </w:rPr>
    <w:tblPr/>
  </w:style>
  <w:style w:type="table" w:styleId="1089" w:customStyle="1">
    <w:name w:val="List Table 4 - Accent 4"/>
    <w:uiPriority w:val="99"/>
    <w:qFormat/>
    <w:rPr>
      <w:lang w:val="en-US" w:eastAsia="zh-CN" w:bidi="ar-SA"/>
    </w:rPr>
    <w:tblPr/>
  </w:style>
  <w:style w:type="table" w:styleId="1090" w:customStyle="1">
    <w:name w:val="List Table 4 - Accent 5"/>
    <w:uiPriority w:val="99"/>
    <w:qFormat/>
    <w:rPr>
      <w:lang w:val="en-US" w:eastAsia="zh-CN" w:bidi="ar-SA"/>
    </w:rPr>
    <w:tblPr/>
  </w:style>
  <w:style w:type="table" w:styleId="1091" w:customStyle="1">
    <w:name w:val="List Table 4 - Accent 6"/>
    <w:uiPriority w:val="99"/>
    <w:qFormat/>
    <w:rPr>
      <w:lang w:val="en-US" w:eastAsia="zh-CN" w:bidi="ar-SA"/>
    </w:rPr>
    <w:tblPr/>
  </w:style>
  <w:style w:type="table" w:styleId="1092" w:customStyle="1">
    <w:name w:val="List Table 5 Dark"/>
    <w:uiPriority w:val="99"/>
    <w:qFormat/>
    <w:rPr>
      <w:lang w:val="en-US" w:eastAsia="zh-CN" w:bidi="ar-SA"/>
    </w:rPr>
    <w:tblPr/>
  </w:style>
  <w:style w:type="table" w:styleId="1093" w:customStyle="1">
    <w:name w:val="List Table 5 Dark - Accent 1"/>
    <w:uiPriority w:val="99"/>
    <w:qFormat/>
    <w:rPr>
      <w:lang w:val="en-US" w:eastAsia="zh-CN" w:bidi="ar-SA"/>
    </w:rPr>
    <w:tblPr/>
  </w:style>
  <w:style w:type="table" w:styleId="1094" w:customStyle="1">
    <w:name w:val="List Table 5 Dark - Accent 2"/>
    <w:uiPriority w:val="99"/>
    <w:qFormat/>
    <w:rPr>
      <w:lang w:val="en-US" w:eastAsia="zh-CN" w:bidi="ar-SA"/>
    </w:rPr>
    <w:tblPr/>
  </w:style>
  <w:style w:type="table" w:styleId="1095" w:customStyle="1">
    <w:name w:val="List Table 5 Dark - Accent 3"/>
    <w:uiPriority w:val="99"/>
    <w:qFormat/>
    <w:rPr>
      <w:lang w:val="en-US" w:eastAsia="zh-CN" w:bidi="ar-SA"/>
    </w:rPr>
    <w:tblPr/>
  </w:style>
  <w:style w:type="table" w:styleId="1096" w:customStyle="1">
    <w:name w:val="List Table 5 Dark - Accent 4"/>
    <w:uiPriority w:val="99"/>
    <w:qFormat/>
    <w:rPr>
      <w:lang w:val="en-US" w:eastAsia="zh-CN" w:bidi="ar-SA"/>
    </w:rPr>
    <w:tblPr/>
  </w:style>
  <w:style w:type="table" w:styleId="1097" w:customStyle="1">
    <w:name w:val="List Table 5 Dark - Accent 5"/>
    <w:uiPriority w:val="99"/>
    <w:qFormat/>
    <w:rPr>
      <w:lang w:val="en-US" w:eastAsia="zh-CN" w:bidi="ar-SA"/>
    </w:rPr>
    <w:tblPr/>
  </w:style>
  <w:style w:type="table" w:styleId="1098" w:customStyle="1">
    <w:name w:val="List Table 5 Dark - Accent 6"/>
    <w:uiPriority w:val="99"/>
    <w:qFormat/>
    <w:rPr>
      <w:lang w:val="en-US" w:eastAsia="zh-CN" w:bidi="ar-SA"/>
    </w:rPr>
    <w:tblPr/>
  </w:style>
  <w:style w:type="table" w:styleId="1099" w:customStyle="1">
    <w:name w:val="List Table 6 Colorful"/>
    <w:uiPriority w:val="99"/>
    <w:qFormat/>
    <w:rPr>
      <w:lang w:val="en-US" w:eastAsia="zh-CN" w:bidi="ar-SA"/>
    </w:rPr>
    <w:tblPr/>
  </w:style>
  <w:style w:type="table" w:styleId="1100" w:customStyle="1">
    <w:name w:val="List Table 6 Colorful - Accent 1"/>
    <w:uiPriority w:val="99"/>
    <w:qFormat/>
    <w:rPr>
      <w:lang w:val="en-US" w:eastAsia="zh-CN" w:bidi="ar-SA"/>
    </w:rPr>
    <w:tblPr/>
  </w:style>
  <w:style w:type="table" w:styleId="1101" w:customStyle="1">
    <w:name w:val="List Table 6 Colorful - Accent 2"/>
    <w:uiPriority w:val="99"/>
    <w:qFormat/>
    <w:rPr>
      <w:lang w:val="en-US" w:eastAsia="zh-CN" w:bidi="ar-SA"/>
    </w:rPr>
    <w:tblPr/>
  </w:style>
  <w:style w:type="table" w:styleId="1102" w:customStyle="1">
    <w:name w:val="List Table 6 Colorful - Accent 3"/>
    <w:uiPriority w:val="99"/>
    <w:qFormat/>
    <w:rPr>
      <w:lang w:val="en-US" w:eastAsia="zh-CN" w:bidi="ar-SA"/>
    </w:rPr>
    <w:tblPr/>
  </w:style>
  <w:style w:type="table" w:styleId="1103" w:customStyle="1">
    <w:name w:val="List Table 6 Colorful - Accent 4"/>
    <w:uiPriority w:val="99"/>
    <w:qFormat/>
    <w:rPr>
      <w:lang w:val="en-US" w:eastAsia="zh-CN" w:bidi="ar-SA"/>
    </w:rPr>
    <w:tblPr/>
  </w:style>
  <w:style w:type="table" w:styleId="1104" w:customStyle="1">
    <w:name w:val="List Table 6 Colorful - Accent 5"/>
    <w:uiPriority w:val="99"/>
    <w:qFormat/>
    <w:rPr>
      <w:lang w:val="en-US" w:eastAsia="zh-CN" w:bidi="ar-SA"/>
    </w:rPr>
    <w:tblPr/>
  </w:style>
  <w:style w:type="table" w:styleId="1105" w:customStyle="1">
    <w:name w:val="List Table 6 Colorful - Accent 6"/>
    <w:uiPriority w:val="99"/>
    <w:qFormat/>
    <w:rPr>
      <w:lang w:val="en-US" w:eastAsia="zh-CN" w:bidi="ar-SA"/>
    </w:rPr>
    <w:tblPr/>
  </w:style>
  <w:style w:type="table" w:styleId="1106" w:customStyle="1">
    <w:name w:val="List Table 7 Colorful"/>
    <w:uiPriority w:val="99"/>
    <w:qFormat/>
    <w:rPr>
      <w:lang w:val="en-US" w:eastAsia="zh-CN" w:bidi="ar-SA"/>
    </w:rPr>
    <w:tblPr/>
  </w:style>
  <w:style w:type="table" w:styleId="1107" w:customStyle="1">
    <w:name w:val="List Table 7 Colorful - Accent 1"/>
    <w:uiPriority w:val="99"/>
    <w:qFormat/>
    <w:rPr>
      <w:lang w:val="en-US" w:eastAsia="zh-CN" w:bidi="ar-SA"/>
    </w:rPr>
    <w:tblPr/>
  </w:style>
  <w:style w:type="table" w:styleId="1108" w:customStyle="1">
    <w:name w:val="List Table 7 Colorful - Accent 2"/>
    <w:uiPriority w:val="99"/>
    <w:qFormat/>
    <w:rPr>
      <w:lang w:val="en-US" w:eastAsia="zh-CN" w:bidi="ar-SA"/>
    </w:rPr>
    <w:tblPr/>
  </w:style>
  <w:style w:type="table" w:styleId="1109" w:customStyle="1">
    <w:name w:val="List Table 7 Colorful - Accent 3"/>
    <w:uiPriority w:val="99"/>
    <w:qFormat/>
    <w:rPr>
      <w:lang w:val="en-US" w:eastAsia="zh-CN" w:bidi="ar-SA"/>
    </w:rPr>
    <w:tblPr/>
  </w:style>
  <w:style w:type="table" w:styleId="1110" w:customStyle="1">
    <w:name w:val="List Table 7 Colorful - Accent 4"/>
    <w:uiPriority w:val="99"/>
    <w:qFormat/>
    <w:rPr>
      <w:lang w:val="en-US" w:eastAsia="zh-CN" w:bidi="ar-SA"/>
    </w:rPr>
    <w:tblPr/>
  </w:style>
  <w:style w:type="table" w:styleId="1111" w:customStyle="1">
    <w:name w:val="List Table 7 Colorful - Accent 5"/>
    <w:uiPriority w:val="99"/>
    <w:qFormat/>
    <w:rPr>
      <w:lang w:val="en-US" w:eastAsia="zh-CN" w:bidi="ar-SA"/>
    </w:rPr>
    <w:tblPr/>
  </w:style>
  <w:style w:type="table" w:styleId="1112" w:customStyle="1">
    <w:name w:val="List Table 7 Colorful - Accent 6"/>
    <w:uiPriority w:val="99"/>
    <w:qFormat/>
    <w:rPr>
      <w:lang w:val="en-US" w:eastAsia="zh-CN" w:bidi="ar-SA"/>
    </w:rPr>
    <w:tblPr/>
  </w:style>
  <w:style w:type="table" w:styleId="1113" w:customStyle="1">
    <w:name w:val="Lined - Accent"/>
    <w:uiPriority w:val="99"/>
    <w:qFormat/>
    <w:rPr>
      <w:color w:val="404040"/>
      <w:lang w:val="en-US" w:eastAsia="zh-CN" w:bidi="ar-SA"/>
    </w:rPr>
    <w:tblPr/>
  </w:style>
  <w:style w:type="table" w:styleId="1114" w:customStyle="1">
    <w:name w:val="Lined - Accent 1"/>
    <w:uiPriority w:val="99"/>
    <w:qFormat/>
    <w:rPr>
      <w:color w:val="404040"/>
      <w:lang w:val="en-US" w:eastAsia="zh-CN" w:bidi="ar-SA"/>
    </w:rPr>
    <w:tblPr/>
  </w:style>
  <w:style w:type="table" w:styleId="1115" w:customStyle="1">
    <w:name w:val="Lined - Accent 2"/>
    <w:uiPriority w:val="99"/>
    <w:qFormat/>
    <w:rPr>
      <w:color w:val="404040"/>
      <w:lang w:val="en-US" w:eastAsia="zh-CN" w:bidi="ar-SA"/>
    </w:rPr>
    <w:tblPr/>
  </w:style>
  <w:style w:type="table" w:styleId="1116" w:customStyle="1">
    <w:name w:val="Lined - Accent 3"/>
    <w:uiPriority w:val="99"/>
    <w:qFormat/>
    <w:rPr>
      <w:color w:val="404040"/>
      <w:lang w:val="en-US" w:eastAsia="zh-CN" w:bidi="ar-SA"/>
    </w:rPr>
    <w:tblPr/>
  </w:style>
  <w:style w:type="table" w:styleId="1117" w:customStyle="1">
    <w:name w:val="Lined - Accent 4"/>
    <w:uiPriority w:val="99"/>
    <w:qFormat/>
    <w:rPr>
      <w:color w:val="404040"/>
      <w:lang w:val="en-US" w:eastAsia="zh-CN" w:bidi="ar-SA"/>
    </w:rPr>
    <w:tblPr/>
  </w:style>
  <w:style w:type="table" w:styleId="1118" w:customStyle="1">
    <w:name w:val="Lined - Accent 5"/>
    <w:uiPriority w:val="99"/>
    <w:qFormat/>
    <w:rPr>
      <w:color w:val="404040"/>
      <w:lang w:val="en-US" w:eastAsia="zh-CN" w:bidi="ar-SA"/>
    </w:rPr>
    <w:tblPr/>
  </w:style>
  <w:style w:type="table" w:styleId="1119" w:customStyle="1">
    <w:name w:val="Lined - Accent 6"/>
    <w:uiPriority w:val="99"/>
    <w:qFormat/>
    <w:rPr>
      <w:color w:val="404040"/>
      <w:lang w:val="en-US" w:eastAsia="zh-CN" w:bidi="ar-SA"/>
    </w:rPr>
    <w:tblPr/>
  </w:style>
  <w:style w:type="table" w:styleId="1120" w:customStyle="1">
    <w:name w:val="Bordered &amp; Lined - Accent"/>
    <w:uiPriority w:val="99"/>
    <w:qFormat/>
    <w:rPr>
      <w:color w:val="404040"/>
      <w:lang w:val="en-US" w:eastAsia="zh-CN" w:bidi="ar-SA"/>
    </w:rPr>
    <w:tblPr/>
  </w:style>
  <w:style w:type="table" w:styleId="1121" w:customStyle="1">
    <w:name w:val="Bordered &amp; Lined - Accent 1"/>
    <w:uiPriority w:val="99"/>
    <w:qFormat/>
    <w:rPr>
      <w:color w:val="404040"/>
      <w:lang w:val="en-US" w:eastAsia="zh-CN" w:bidi="ar-SA"/>
    </w:rPr>
    <w:tblPr/>
  </w:style>
  <w:style w:type="table" w:styleId="1122" w:customStyle="1">
    <w:name w:val="Bordered &amp; Lined - Accent 2"/>
    <w:uiPriority w:val="99"/>
    <w:qFormat/>
    <w:rPr>
      <w:color w:val="404040"/>
      <w:lang w:val="en-US" w:eastAsia="zh-CN" w:bidi="ar-SA"/>
    </w:rPr>
    <w:tblPr/>
  </w:style>
  <w:style w:type="table" w:styleId="1123" w:customStyle="1">
    <w:name w:val="Bordered &amp; Lined - Accent 3"/>
    <w:uiPriority w:val="99"/>
    <w:qFormat/>
    <w:rPr>
      <w:color w:val="404040"/>
      <w:lang w:val="en-US" w:eastAsia="zh-CN" w:bidi="ar-SA"/>
    </w:rPr>
    <w:tblPr/>
  </w:style>
  <w:style w:type="table" w:styleId="1124" w:customStyle="1">
    <w:name w:val="Bordered &amp; Lined - Accent 4"/>
    <w:uiPriority w:val="99"/>
    <w:qFormat/>
    <w:rPr>
      <w:color w:val="404040"/>
      <w:lang w:val="en-US" w:eastAsia="zh-CN" w:bidi="ar-SA"/>
    </w:rPr>
    <w:tblPr/>
  </w:style>
  <w:style w:type="table" w:styleId="1125" w:customStyle="1">
    <w:name w:val="Bordered &amp; Lined - Accent 5"/>
    <w:uiPriority w:val="99"/>
    <w:qFormat/>
    <w:rPr>
      <w:color w:val="404040"/>
      <w:lang w:val="en-US" w:eastAsia="zh-CN" w:bidi="ar-SA"/>
    </w:rPr>
    <w:tblPr/>
  </w:style>
  <w:style w:type="table" w:styleId="1126" w:customStyle="1">
    <w:name w:val="Bordered &amp; Lined - Accent 6"/>
    <w:uiPriority w:val="99"/>
    <w:qFormat/>
    <w:rPr>
      <w:color w:val="404040"/>
      <w:lang w:val="en-US" w:eastAsia="zh-CN" w:bidi="ar-SA"/>
    </w:rPr>
    <w:tblPr/>
  </w:style>
  <w:style w:type="table" w:styleId="1127" w:customStyle="1">
    <w:name w:val="Bordered"/>
    <w:uiPriority w:val="99"/>
    <w:qFormat/>
    <w:rPr>
      <w:lang w:val="en-US" w:eastAsia="zh-CN" w:bidi="ar-SA"/>
    </w:rPr>
    <w:tblPr/>
  </w:style>
  <w:style w:type="table" w:styleId="1128" w:customStyle="1">
    <w:name w:val="Bordered - Accent 1"/>
    <w:uiPriority w:val="99"/>
    <w:qFormat/>
    <w:rPr>
      <w:lang w:val="en-US" w:eastAsia="zh-CN" w:bidi="ar-SA"/>
    </w:rPr>
    <w:tblPr/>
  </w:style>
  <w:style w:type="table" w:styleId="1129" w:customStyle="1">
    <w:name w:val="Bordered - Accent 2"/>
    <w:uiPriority w:val="99"/>
    <w:qFormat/>
    <w:rPr>
      <w:lang w:val="en-US" w:eastAsia="zh-CN" w:bidi="ar-SA"/>
    </w:rPr>
    <w:tblPr/>
  </w:style>
  <w:style w:type="table" w:styleId="1130" w:customStyle="1">
    <w:name w:val="Bordered - Accent 3"/>
    <w:uiPriority w:val="99"/>
    <w:qFormat/>
    <w:rPr>
      <w:lang w:val="en-US" w:eastAsia="zh-CN" w:bidi="ar-SA"/>
    </w:rPr>
    <w:tblPr/>
  </w:style>
  <w:style w:type="table" w:styleId="1131" w:customStyle="1">
    <w:name w:val="Bordered - Accent 4"/>
    <w:uiPriority w:val="99"/>
    <w:qFormat/>
    <w:rPr>
      <w:lang w:val="en-US" w:eastAsia="zh-CN" w:bidi="ar-SA"/>
    </w:rPr>
    <w:tblPr/>
  </w:style>
  <w:style w:type="table" w:styleId="1132" w:customStyle="1">
    <w:name w:val="Bordered - Accent 5"/>
    <w:uiPriority w:val="99"/>
    <w:qFormat/>
    <w:rPr>
      <w:lang w:val="en-US" w:eastAsia="zh-CN" w:bidi="ar-SA"/>
    </w:rPr>
    <w:tblPr/>
  </w:style>
  <w:style w:type="table" w:styleId="1133" w:customStyle="1">
    <w:name w:val="Bordered - Accent 6"/>
    <w:uiPriority w:val="99"/>
    <w:qFormat/>
    <w:rPr>
      <w:lang w:val="en-US" w:eastAsia="zh-CN" w:bidi="ar-SA"/>
    </w:rPr>
    <w:tblPr/>
  </w:style>
  <w:style w:type="paragraph" w:styleId="1134" w:customStyle="1">
    <w:name w:val="TOC Heading"/>
    <w:uiPriority w:val="39"/>
    <w:unhideWhenUsed/>
    <w:qFormat/>
    <w:rPr>
      <w:rFonts w:hint="default" w:ascii="Times New Roman" w:hAnsi="Times New Roman" w:eastAsia="宋体" w:cs="Times New Roman"/>
      <w:lang w:val="en-US" w:eastAsia="zh-CN" w:bidi="ar-SA"/>
    </w:rPr>
  </w:style>
  <w:style w:type="paragraph" w:styleId="1135" w:customStyle="1">
    <w:name w:val="标题 11"/>
    <w:basedOn w:val="883"/>
    <w:next w:val="883"/>
    <w:link w:val="1136"/>
    <w:uiPriority w:val="0"/>
    <w:qFormat/>
    <w:pPr>
      <w:jc w:val="center"/>
      <w:keepNext/>
      <w:outlineLvl w:val="0"/>
    </w:pPr>
    <w:rPr>
      <w:rFonts w:ascii="楷体_GB2312" w:eastAsia="楷体_GB2312"/>
      <w:sz w:val="28"/>
      <w:szCs w:val="28"/>
    </w:rPr>
  </w:style>
  <w:style w:type="character" w:styleId="1136" w:customStyle="1">
    <w:name w:val="标题 1 Char"/>
    <w:link w:val="1135"/>
    <w:uiPriority w:val="0"/>
    <w:qFormat/>
    <w:rPr>
      <w:rFonts w:ascii="楷体_GB2312" w:hAnsi="Times New Roman" w:eastAsia="楷体_GB2312" w:cs="Times New Roman"/>
      <w:sz w:val="28"/>
      <w:szCs w:val="28"/>
    </w:rPr>
  </w:style>
  <w:style w:type="paragraph" w:styleId="1137" w:customStyle="1">
    <w:name w:val="标题 21"/>
    <w:basedOn w:val="883"/>
    <w:next w:val="1138"/>
    <w:link w:val="113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38" w:customStyle="1">
    <w:name w:val="正文缩进11"/>
    <w:basedOn w:val="883"/>
    <w:link w:val="1140"/>
    <w:uiPriority w:val="0"/>
    <w:qFormat/>
    <w:pPr>
      <w:ind w:firstLine="420"/>
    </w:pPr>
  </w:style>
  <w:style w:type="character" w:styleId="1139" w:customStyle="1">
    <w:name w:val="标题 2 Char"/>
    <w:link w:val="1137"/>
    <w:uiPriority w:val="0"/>
    <w:qFormat/>
    <w:rPr>
      <w:rFonts w:ascii="Arial" w:hAnsi="Arial" w:eastAsia="幼圆" w:cs="Arial"/>
      <w:b/>
      <w:bCs/>
      <w:sz w:val="44"/>
      <w:szCs w:val="44"/>
    </w:rPr>
  </w:style>
  <w:style w:type="character" w:styleId="1140" w:customStyle="1">
    <w:name w:val="正文缩进 Char"/>
    <w:link w:val="1138"/>
    <w:uiPriority w:val="0"/>
    <w:qFormat/>
    <w:rPr>
      <w:rFonts w:ascii="Times New Roman" w:hAnsi="Times New Roman" w:eastAsia="宋体" w:cs="Times New Roman"/>
      <w:szCs w:val="21"/>
    </w:rPr>
  </w:style>
  <w:style w:type="paragraph" w:styleId="1141" w:customStyle="1">
    <w:name w:val="标题 311"/>
    <w:basedOn w:val="883"/>
    <w:next w:val="1138"/>
    <w:link w:val="1142"/>
    <w:uiPriority w:val="0"/>
    <w:qFormat/>
    <w:pPr>
      <w:keepLines/>
      <w:keepNext/>
      <w:spacing w:before="260" w:after="260" w:line="416" w:lineRule="auto"/>
      <w:outlineLvl w:val="2"/>
    </w:pPr>
    <w:rPr>
      <w:b/>
      <w:bCs/>
      <w:sz w:val="32"/>
      <w:szCs w:val="32"/>
    </w:rPr>
  </w:style>
  <w:style w:type="character" w:styleId="1142" w:customStyle="1">
    <w:name w:val="标题 3 Char"/>
    <w:link w:val="1141"/>
    <w:uiPriority w:val="0"/>
    <w:qFormat/>
    <w:rPr>
      <w:rFonts w:ascii="Times New Roman" w:hAnsi="Times New Roman" w:eastAsia="宋体" w:cs="Times New Roman"/>
      <w:b/>
      <w:bCs/>
      <w:sz w:val="32"/>
      <w:szCs w:val="32"/>
    </w:rPr>
  </w:style>
  <w:style w:type="paragraph" w:styleId="1143" w:customStyle="1">
    <w:name w:val="标题 41"/>
    <w:basedOn w:val="883"/>
    <w:next w:val="1138"/>
    <w:link w:val="1144"/>
    <w:uiPriority w:val="0"/>
    <w:qFormat/>
    <w:pPr>
      <w:keepLines/>
      <w:keepNext/>
      <w:spacing w:before="280" w:after="290" w:line="376" w:lineRule="auto"/>
      <w:outlineLvl w:val="3"/>
    </w:pPr>
    <w:rPr>
      <w:rFonts w:ascii="Arial" w:hAnsi="Arial" w:eastAsia="黑体" w:cs="Arial"/>
      <w:b/>
      <w:bCs/>
      <w:sz w:val="28"/>
      <w:szCs w:val="28"/>
    </w:rPr>
  </w:style>
  <w:style w:type="character" w:styleId="1144" w:customStyle="1">
    <w:name w:val="标题 4 Char"/>
    <w:link w:val="1143"/>
    <w:uiPriority w:val="0"/>
    <w:qFormat/>
    <w:rPr>
      <w:rFonts w:ascii="Arial" w:hAnsi="Arial" w:eastAsia="黑体" w:cs="Arial"/>
      <w:b/>
      <w:bCs/>
      <w:sz w:val="28"/>
      <w:szCs w:val="28"/>
    </w:rPr>
  </w:style>
  <w:style w:type="paragraph" w:styleId="1145" w:customStyle="1">
    <w:name w:val="标题 51"/>
    <w:basedOn w:val="883"/>
    <w:next w:val="1138"/>
    <w:link w:val="1146"/>
    <w:uiPriority w:val="0"/>
    <w:qFormat/>
    <w:pPr>
      <w:keepNext/>
      <w:outlineLvl w:val="4"/>
    </w:pPr>
    <w:rPr>
      <w:rFonts w:ascii="宋体"/>
      <w:color w:val="000000"/>
      <w:sz w:val="28"/>
      <w:szCs w:val="28"/>
    </w:rPr>
  </w:style>
  <w:style w:type="character" w:styleId="1146" w:customStyle="1">
    <w:name w:val="标题 5 Char"/>
    <w:link w:val="1145"/>
    <w:uiPriority w:val="0"/>
    <w:qFormat/>
    <w:rPr>
      <w:rFonts w:ascii="宋体" w:hAnsi="Times New Roman" w:eastAsia="宋体" w:cs="Times New Roman"/>
      <w:color w:val="000000"/>
      <w:sz w:val="28"/>
      <w:szCs w:val="28"/>
    </w:rPr>
  </w:style>
  <w:style w:type="paragraph" w:styleId="1147" w:customStyle="1">
    <w:name w:val="标题 61"/>
    <w:basedOn w:val="883"/>
    <w:next w:val="883"/>
    <w:link w:val="114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148" w:customStyle="1">
    <w:name w:val="标题 6 Char"/>
    <w:link w:val="1147"/>
    <w:uiPriority w:val="0"/>
    <w:qFormat/>
    <w:rPr>
      <w:rFonts w:ascii="Arial" w:hAnsi="Arial" w:eastAsia="黑体" w:cs="Times New Roman"/>
      <w:b/>
      <w:bCs/>
      <w:sz w:val="24"/>
      <w:szCs w:val="24"/>
    </w:rPr>
  </w:style>
  <w:style w:type="paragraph" w:styleId="1149" w:customStyle="1">
    <w:name w:val="标题 71"/>
    <w:basedOn w:val="883"/>
    <w:next w:val="883"/>
    <w:link w:val="1150"/>
    <w:uiPriority w:val="0"/>
    <w:qFormat/>
    <w:pPr>
      <w:numPr>
        <w:ilvl w:val="6"/>
        <w:numId w:val="1"/>
      </w:numPr>
      <w:keepLines/>
      <w:keepNext/>
      <w:spacing w:before="240" w:after="64" w:line="320" w:lineRule="auto"/>
      <w:outlineLvl w:val="6"/>
    </w:pPr>
    <w:rPr>
      <w:b/>
      <w:bCs/>
      <w:sz w:val="24"/>
      <w:szCs w:val="24"/>
    </w:rPr>
  </w:style>
  <w:style w:type="character" w:styleId="1150" w:customStyle="1">
    <w:name w:val="标题 7 Char"/>
    <w:link w:val="1149"/>
    <w:uiPriority w:val="0"/>
    <w:qFormat/>
    <w:rPr>
      <w:rFonts w:ascii="Times New Roman" w:hAnsi="Times New Roman" w:eastAsia="宋体" w:cs="Times New Roman"/>
      <w:b/>
      <w:bCs/>
      <w:sz w:val="24"/>
      <w:szCs w:val="24"/>
    </w:rPr>
  </w:style>
  <w:style w:type="paragraph" w:styleId="1151" w:customStyle="1">
    <w:name w:val="标题 81"/>
    <w:basedOn w:val="883"/>
    <w:next w:val="883"/>
    <w:link w:val="115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152" w:customStyle="1">
    <w:name w:val="标题 8 Char"/>
    <w:link w:val="1151"/>
    <w:uiPriority w:val="0"/>
    <w:qFormat/>
    <w:rPr>
      <w:rFonts w:ascii="Arial" w:hAnsi="Arial" w:eastAsia="黑体" w:cs="Times New Roman"/>
      <w:sz w:val="24"/>
      <w:szCs w:val="24"/>
    </w:rPr>
  </w:style>
  <w:style w:type="paragraph" w:styleId="1153" w:customStyle="1">
    <w:name w:val="标题 91"/>
    <w:basedOn w:val="883"/>
    <w:next w:val="883"/>
    <w:link w:val="1154"/>
    <w:uiPriority w:val="0"/>
    <w:qFormat/>
    <w:pPr>
      <w:numPr>
        <w:ilvl w:val="8"/>
        <w:numId w:val="1"/>
      </w:numPr>
      <w:keepLines/>
      <w:keepNext/>
      <w:spacing w:before="240" w:after="64" w:line="320" w:lineRule="auto"/>
      <w:outlineLvl w:val="8"/>
    </w:pPr>
    <w:rPr>
      <w:rFonts w:ascii="Arial" w:hAnsi="Arial" w:eastAsia="黑体"/>
    </w:rPr>
  </w:style>
  <w:style w:type="character" w:styleId="1154" w:customStyle="1">
    <w:name w:val="标题 9 Char"/>
    <w:link w:val="1153"/>
    <w:uiPriority w:val="0"/>
    <w:qFormat/>
    <w:rPr>
      <w:rFonts w:ascii="Arial" w:hAnsi="Arial" w:eastAsia="黑体" w:cs="Times New Roman"/>
      <w:szCs w:val="21"/>
    </w:rPr>
  </w:style>
  <w:style w:type="character" w:styleId="1155" w:customStyle="1">
    <w:name w:val="默认段落字体1"/>
    <w:link w:val="883"/>
    <w:uiPriority w:val="1"/>
    <w:unhideWhenUsed/>
    <w:qFormat/>
  </w:style>
  <w:style w:type="table" w:styleId="1156" w:customStyle="1">
    <w:name w:val="普通表格11"/>
    <w:uiPriority w:val="99"/>
    <w:unhideWhenUsed/>
    <w:qFormat/>
    <w:rPr>
      <w:lang w:val="en-US" w:eastAsia="zh-CN" w:bidi="ar-SA"/>
    </w:rPr>
    <w:tblPr/>
  </w:style>
  <w:style w:type="paragraph" w:styleId="1157" w:customStyle="1">
    <w:name w:val="列表 31"/>
    <w:basedOn w:val="883"/>
    <w:uiPriority w:val="0"/>
    <w:qFormat/>
    <w:pPr>
      <w:ind w:left="100" w:hanging="200"/>
    </w:pPr>
  </w:style>
  <w:style w:type="paragraph" w:styleId="1158" w:customStyle="1">
    <w:name w:val="目录 71"/>
    <w:basedOn w:val="883"/>
    <w:next w:val="883"/>
    <w:uiPriority w:val="0"/>
    <w:semiHidden/>
    <w:qFormat/>
    <w:pPr>
      <w:ind w:left="1260"/>
      <w:jc w:val="left"/>
    </w:pPr>
  </w:style>
  <w:style w:type="paragraph" w:styleId="1159" w:customStyle="1">
    <w:name w:val="文档结构图1"/>
    <w:basedOn w:val="883"/>
    <w:link w:val="1160"/>
    <w:uiPriority w:val="0"/>
    <w:semiHidden/>
    <w:qFormat/>
    <w:pPr>
      <w:shd w:val="clear" w:color="auto" w:fill="000080"/>
    </w:pPr>
  </w:style>
  <w:style w:type="character" w:styleId="1160" w:customStyle="1">
    <w:name w:val="文档结构图 Char"/>
    <w:link w:val="1159"/>
    <w:uiPriority w:val="0"/>
    <w:semiHidden/>
    <w:qFormat/>
    <w:rPr>
      <w:rFonts w:ascii="Times New Roman" w:hAnsi="Times New Roman" w:eastAsia="宋体" w:cs="Times New Roman"/>
      <w:szCs w:val="21"/>
      <w:shd w:val="clear" w:color="auto" w:fill="000080"/>
    </w:rPr>
  </w:style>
  <w:style w:type="paragraph" w:styleId="1161" w:customStyle="1">
    <w:name w:val="批注文字1"/>
    <w:basedOn w:val="883"/>
    <w:link w:val="1162"/>
    <w:uiPriority w:val="0"/>
    <w:semiHidden/>
    <w:qFormat/>
    <w:pPr>
      <w:jc w:val="left"/>
    </w:pPr>
  </w:style>
  <w:style w:type="character" w:styleId="1162" w:customStyle="1">
    <w:name w:val="批注文字 Char"/>
    <w:link w:val="1161"/>
    <w:uiPriority w:val="0"/>
    <w:semiHidden/>
    <w:qFormat/>
    <w:rPr>
      <w:rFonts w:ascii="Times New Roman" w:hAnsi="Times New Roman" w:eastAsia="宋体" w:cs="Times New Roman"/>
      <w:szCs w:val="21"/>
    </w:rPr>
  </w:style>
  <w:style w:type="paragraph" w:styleId="1163" w:customStyle="1">
    <w:name w:val="正文文本 31"/>
    <w:basedOn w:val="883"/>
    <w:link w:val="1164"/>
    <w:uiPriority w:val="0"/>
    <w:qFormat/>
    <w:rPr>
      <w:rFonts w:ascii="仿宋_GB2312" w:hAnsi="Arial" w:eastAsia="仿宋_GB2312"/>
      <w:sz w:val="32"/>
      <w:szCs w:val="32"/>
    </w:rPr>
  </w:style>
  <w:style w:type="character" w:styleId="1164" w:customStyle="1">
    <w:name w:val="正文文本 3 Char"/>
    <w:link w:val="1163"/>
    <w:uiPriority w:val="0"/>
    <w:qFormat/>
    <w:rPr>
      <w:rFonts w:ascii="仿宋_GB2312" w:hAnsi="Arial" w:eastAsia="仿宋_GB2312" w:cs="Times New Roman"/>
      <w:sz w:val="32"/>
      <w:szCs w:val="32"/>
    </w:rPr>
  </w:style>
  <w:style w:type="paragraph" w:styleId="1165" w:customStyle="1">
    <w:name w:val="正文文本11"/>
    <w:basedOn w:val="883"/>
    <w:link w:val="1166"/>
    <w:uiPriority w:val="0"/>
    <w:qFormat/>
    <w:rPr>
      <w:rFonts w:ascii="楷体_GB2312" w:hAnsi="Arial" w:eastAsia="楷体_GB2312"/>
      <w:sz w:val="28"/>
      <w:szCs w:val="28"/>
    </w:rPr>
  </w:style>
  <w:style w:type="character" w:styleId="1166" w:customStyle="1">
    <w:name w:val="正文文本 Char"/>
    <w:link w:val="1165"/>
    <w:uiPriority w:val="0"/>
    <w:qFormat/>
    <w:rPr>
      <w:rFonts w:ascii="楷体_GB2312" w:hAnsi="Arial" w:eastAsia="楷体_GB2312" w:cs="Times New Roman"/>
      <w:sz w:val="28"/>
      <w:szCs w:val="28"/>
    </w:rPr>
  </w:style>
  <w:style w:type="paragraph" w:styleId="1167" w:customStyle="1">
    <w:name w:val="正文文本缩进1"/>
    <w:basedOn w:val="883"/>
    <w:link w:val="1168"/>
    <w:uiPriority w:val="0"/>
    <w:qFormat/>
    <w:pPr>
      <w:ind w:firstLine="645"/>
    </w:pPr>
    <w:rPr>
      <w:rFonts w:ascii="楷体_GB2312" w:eastAsia="楷体_GB2312"/>
      <w:sz w:val="32"/>
      <w:szCs w:val="32"/>
    </w:rPr>
  </w:style>
  <w:style w:type="character" w:styleId="1168" w:customStyle="1">
    <w:name w:val="正文文本缩进 Char"/>
    <w:link w:val="1167"/>
    <w:uiPriority w:val="0"/>
    <w:qFormat/>
    <w:rPr>
      <w:rFonts w:ascii="楷体_GB2312" w:hAnsi="Times New Roman" w:eastAsia="楷体_GB2312" w:cs="Times New Roman"/>
      <w:sz w:val="32"/>
      <w:szCs w:val="32"/>
    </w:rPr>
  </w:style>
  <w:style w:type="paragraph" w:styleId="1169" w:customStyle="1">
    <w:name w:val="列表 21"/>
    <w:basedOn w:val="883"/>
    <w:uiPriority w:val="0"/>
    <w:qFormat/>
    <w:pPr>
      <w:ind w:left="100" w:hanging="200"/>
    </w:pPr>
  </w:style>
  <w:style w:type="paragraph" w:styleId="1170" w:customStyle="1">
    <w:name w:val="目录 51"/>
    <w:basedOn w:val="883"/>
    <w:next w:val="883"/>
    <w:uiPriority w:val="0"/>
    <w:semiHidden/>
    <w:qFormat/>
    <w:pPr>
      <w:ind w:left="840"/>
      <w:jc w:val="left"/>
    </w:pPr>
  </w:style>
  <w:style w:type="paragraph" w:styleId="1171" w:customStyle="1">
    <w:name w:val="目录 31"/>
    <w:basedOn w:val="883"/>
    <w:next w:val="883"/>
    <w:uiPriority w:val="0"/>
    <w:semiHidden/>
    <w:qFormat/>
    <w:pPr>
      <w:ind w:left="420"/>
      <w:jc w:val="left"/>
    </w:pPr>
    <w:rPr>
      <w:i/>
      <w:iCs/>
      <w:szCs w:val="24"/>
    </w:rPr>
  </w:style>
  <w:style w:type="paragraph" w:styleId="1172" w:customStyle="1">
    <w:name w:val="纯文本1"/>
    <w:basedOn w:val="883"/>
    <w:link w:val="1173"/>
    <w:uiPriority w:val="0"/>
    <w:qFormat/>
    <w:rPr>
      <w:rFonts w:ascii="宋体" w:hAnsi="Courier New" w:cs="Courier New"/>
    </w:rPr>
  </w:style>
  <w:style w:type="character" w:styleId="1173" w:customStyle="1">
    <w:name w:val="纯文本 Char"/>
    <w:link w:val="1172"/>
    <w:uiPriority w:val="0"/>
    <w:qFormat/>
    <w:rPr>
      <w:rFonts w:ascii="宋体" w:hAnsi="Courier New" w:eastAsia="宋体" w:cs="Courier New"/>
      <w:szCs w:val="21"/>
    </w:rPr>
  </w:style>
  <w:style w:type="paragraph" w:styleId="1174" w:customStyle="1">
    <w:name w:val="目录 81"/>
    <w:basedOn w:val="883"/>
    <w:next w:val="883"/>
    <w:uiPriority w:val="0"/>
    <w:semiHidden/>
    <w:qFormat/>
    <w:pPr>
      <w:ind w:left="1470"/>
      <w:jc w:val="left"/>
    </w:pPr>
  </w:style>
  <w:style w:type="paragraph" w:styleId="1175" w:customStyle="1">
    <w:name w:val="日期1"/>
    <w:basedOn w:val="883"/>
    <w:next w:val="883"/>
    <w:link w:val="1176"/>
    <w:uiPriority w:val="0"/>
    <w:qFormat/>
    <w:rPr>
      <w:sz w:val="24"/>
      <w:szCs w:val="24"/>
    </w:rPr>
  </w:style>
  <w:style w:type="character" w:styleId="1176" w:customStyle="1">
    <w:name w:val="日期 Char"/>
    <w:link w:val="1175"/>
    <w:uiPriority w:val="0"/>
    <w:qFormat/>
    <w:rPr>
      <w:rFonts w:ascii="Times New Roman" w:hAnsi="Times New Roman" w:eastAsia="宋体" w:cs="Times New Roman"/>
      <w:sz w:val="24"/>
      <w:szCs w:val="24"/>
    </w:rPr>
  </w:style>
  <w:style w:type="paragraph" w:styleId="1177" w:customStyle="1">
    <w:name w:val="正文文本缩进 21"/>
    <w:basedOn w:val="883"/>
    <w:link w:val="1178"/>
    <w:uiPriority w:val="0"/>
    <w:qFormat/>
    <w:pPr>
      <w:ind w:left="630" w:firstLine="645"/>
    </w:pPr>
    <w:rPr>
      <w:rFonts w:ascii="Arial" w:hAnsi="Arial" w:eastAsia="仿宋_GB2312" w:cs="Arial"/>
      <w:sz w:val="32"/>
      <w:szCs w:val="32"/>
    </w:rPr>
  </w:style>
  <w:style w:type="character" w:styleId="1178" w:customStyle="1">
    <w:name w:val="正文文本缩进 2 Char"/>
    <w:link w:val="1177"/>
    <w:uiPriority w:val="0"/>
    <w:qFormat/>
    <w:rPr>
      <w:rFonts w:ascii="Arial" w:hAnsi="Arial" w:eastAsia="仿宋_GB2312" w:cs="Arial"/>
      <w:sz w:val="32"/>
      <w:szCs w:val="32"/>
    </w:rPr>
  </w:style>
  <w:style w:type="paragraph" w:styleId="1179" w:customStyle="1">
    <w:name w:val="批注框文本1"/>
    <w:basedOn w:val="883"/>
    <w:link w:val="1180"/>
    <w:uiPriority w:val="0"/>
    <w:semiHidden/>
    <w:qFormat/>
    <w:rPr>
      <w:sz w:val="18"/>
      <w:szCs w:val="18"/>
    </w:rPr>
  </w:style>
  <w:style w:type="character" w:styleId="1180" w:customStyle="1">
    <w:name w:val="批注框文本 Char"/>
    <w:link w:val="1179"/>
    <w:uiPriority w:val="0"/>
    <w:semiHidden/>
    <w:qFormat/>
    <w:rPr>
      <w:rFonts w:ascii="Times New Roman" w:hAnsi="Times New Roman" w:eastAsia="宋体" w:cs="Times New Roman"/>
      <w:sz w:val="18"/>
      <w:szCs w:val="18"/>
    </w:rPr>
  </w:style>
  <w:style w:type="paragraph" w:styleId="1181" w:customStyle="1">
    <w:name w:val="页脚1"/>
    <w:basedOn w:val="883"/>
    <w:link w:val="1182"/>
    <w:uiPriority w:val="0"/>
    <w:qFormat/>
    <w:pPr>
      <w:jc w:val="left"/>
      <w:tabs>
        <w:tab w:val="center" w:pos="4153" w:leader="none"/>
        <w:tab w:val="right" w:pos="8306" w:leader="none"/>
      </w:tabs>
    </w:pPr>
    <w:rPr>
      <w:sz w:val="18"/>
      <w:szCs w:val="18"/>
    </w:rPr>
  </w:style>
  <w:style w:type="character" w:styleId="1182" w:customStyle="1">
    <w:name w:val="页脚 Char"/>
    <w:link w:val="1181"/>
    <w:uiPriority w:val="0"/>
    <w:qFormat/>
    <w:rPr>
      <w:rFonts w:ascii="Times New Roman" w:hAnsi="Times New Roman" w:eastAsia="宋体" w:cs="Times New Roman"/>
      <w:sz w:val="18"/>
      <w:szCs w:val="18"/>
    </w:rPr>
  </w:style>
  <w:style w:type="paragraph" w:styleId="1183" w:customStyle="1">
    <w:name w:val="页眉1"/>
    <w:basedOn w:val="883"/>
    <w:link w:val="1184"/>
    <w:uiPriority w:val="0"/>
    <w:qFormat/>
    <w:pPr>
      <w:jc w:val="center"/>
      <w:tabs>
        <w:tab w:val="center" w:pos="4153" w:leader="none"/>
        <w:tab w:val="right" w:pos="8306" w:leader="none"/>
      </w:tabs>
      <w:pBdr>
        <w:bottom w:val="single" w:color="000000" w:sz="6" w:space="1"/>
      </w:pBdr>
    </w:pPr>
    <w:rPr>
      <w:sz w:val="18"/>
      <w:szCs w:val="18"/>
    </w:rPr>
  </w:style>
  <w:style w:type="character" w:styleId="1184" w:customStyle="1">
    <w:name w:val="页眉 Char"/>
    <w:link w:val="1183"/>
    <w:uiPriority w:val="0"/>
    <w:qFormat/>
    <w:rPr>
      <w:rFonts w:ascii="Times New Roman" w:hAnsi="Times New Roman" w:eastAsia="宋体" w:cs="Times New Roman"/>
      <w:sz w:val="18"/>
      <w:szCs w:val="18"/>
    </w:rPr>
  </w:style>
  <w:style w:type="paragraph" w:styleId="1185" w:customStyle="1">
    <w:name w:val="目录 11"/>
    <w:basedOn w:val="883"/>
    <w:next w:val="883"/>
    <w:uiPriority w:val="0"/>
    <w:semiHidden/>
    <w:qFormat/>
    <w:pPr>
      <w:jc w:val="left"/>
      <w:spacing w:before="120" w:after="120" w:line="400" w:lineRule="exact"/>
      <w:tabs>
        <w:tab w:val="right" w:pos="8720" w:leader="dot"/>
      </w:tabs>
    </w:pPr>
    <w:rPr>
      <w:rFonts w:ascii="宋体" w:hAnsi="宋体"/>
      <w:caps/>
      <w:sz w:val="24"/>
      <w:szCs w:val="24"/>
    </w:rPr>
  </w:style>
  <w:style w:type="paragraph" w:styleId="1186" w:customStyle="1">
    <w:name w:val="目录 41"/>
    <w:basedOn w:val="883"/>
    <w:next w:val="883"/>
    <w:uiPriority w:val="0"/>
    <w:semiHidden/>
    <w:qFormat/>
    <w:pPr>
      <w:ind w:left="630"/>
      <w:jc w:val="left"/>
    </w:pPr>
  </w:style>
  <w:style w:type="paragraph" w:styleId="1187" w:customStyle="1">
    <w:name w:val="列表1"/>
    <w:basedOn w:val="883"/>
    <w:uiPriority w:val="0"/>
    <w:qFormat/>
    <w:pPr>
      <w:ind w:left="200" w:hanging="200"/>
    </w:pPr>
  </w:style>
  <w:style w:type="paragraph" w:styleId="1188" w:customStyle="1">
    <w:name w:val="目录 61"/>
    <w:basedOn w:val="883"/>
    <w:next w:val="883"/>
    <w:uiPriority w:val="0"/>
    <w:semiHidden/>
    <w:qFormat/>
    <w:pPr>
      <w:ind w:left="1050"/>
      <w:jc w:val="left"/>
    </w:pPr>
  </w:style>
  <w:style w:type="paragraph" w:styleId="1189" w:customStyle="1">
    <w:name w:val="正文文本缩进 31"/>
    <w:basedOn w:val="883"/>
    <w:link w:val="1190"/>
    <w:uiPriority w:val="0"/>
    <w:qFormat/>
    <w:pPr>
      <w:ind w:left="645" w:firstLine="645"/>
    </w:pPr>
    <w:rPr>
      <w:rFonts w:ascii="Arial" w:hAnsi="Arial" w:eastAsia="仿宋_GB2312" w:cs="Arial"/>
      <w:color w:val="ffff00"/>
      <w:sz w:val="32"/>
      <w:szCs w:val="32"/>
    </w:rPr>
  </w:style>
  <w:style w:type="character" w:styleId="1190" w:customStyle="1">
    <w:name w:val="正文文本缩进 3 Char"/>
    <w:link w:val="1189"/>
    <w:uiPriority w:val="0"/>
    <w:qFormat/>
    <w:rPr>
      <w:rFonts w:ascii="Arial" w:hAnsi="Arial" w:eastAsia="仿宋_GB2312" w:cs="Arial"/>
      <w:color w:val="ffff00"/>
      <w:sz w:val="32"/>
      <w:szCs w:val="32"/>
    </w:rPr>
  </w:style>
  <w:style w:type="paragraph" w:styleId="1191" w:customStyle="1">
    <w:name w:val="图表目录1"/>
    <w:basedOn w:val="883"/>
    <w:next w:val="883"/>
    <w:uiPriority w:val="0"/>
    <w:semiHidden/>
    <w:qFormat/>
    <w:pPr>
      <w:ind w:left="840" w:hanging="420"/>
    </w:pPr>
  </w:style>
  <w:style w:type="paragraph" w:styleId="1192" w:customStyle="1">
    <w:name w:val="目录 21"/>
    <w:basedOn w:val="883"/>
    <w:next w:val="883"/>
    <w:uiPriority w:val="0"/>
    <w:semiHidden/>
    <w:qFormat/>
    <w:pPr>
      <w:ind w:left="210"/>
      <w:jc w:val="left"/>
    </w:pPr>
    <w:rPr>
      <w:smallCaps/>
      <w:szCs w:val="24"/>
    </w:rPr>
  </w:style>
  <w:style w:type="paragraph" w:styleId="1193" w:customStyle="1">
    <w:name w:val="目录 91"/>
    <w:basedOn w:val="883"/>
    <w:next w:val="883"/>
    <w:uiPriority w:val="0"/>
    <w:semiHidden/>
    <w:qFormat/>
    <w:pPr>
      <w:ind w:left="1680"/>
      <w:jc w:val="left"/>
    </w:pPr>
  </w:style>
  <w:style w:type="paragraph" w:styleId="1194" w:customStyle="1">
    <w:name w:val="正文文本 21"/>
    <w:basedOn w:val="883"/>
    <w:link w:val="1195"/>
    <w:uiPriority w:val="0"/>
    <w:qFormat/>
    <w:pPr>
      <w:jc w:val="center"/>
      <w:widowControl/>
    </w:pPr>
    <w:rPr>
      <w:rFonts w:ascii="楷体_GB2312" w:eastAsia="楷体_GB2312"/>
      <w:sz w:val="28"/>
      <w:szCs w:val="28"/>
    </w:rPr>
  </w:style>
  <w:style w:type="character" w:styleId="1195" w:customStyle="1">
    <w:name w:val="正文文本 2 Char"/>
    <w:link w:val="1194"/>
    <w:uiPriority w:val="0"/>
    <w:qFormat/>
    <w:rPr>
      <w:rFonts w:ascii="楷体_GB2312" w:hAnsi="Times New Roman" w:eastAsia="楷体_GB2312" w:cs="Times New Roman"/>
      <w:sz w:val="28"/>
      <w:szCs w:val="28"/>
    </w:rPr>
  </w:style>
  <w:style w:type="paragraph" w:styleId="1196" w:customStyle="1">
    <w:name w:val="普通(网站)1"/>
    <w:basedOn w:val="883"/>
    <w:uiPriority w:val="99"/>
    <w:qFormat/>
    <w:pPr>
      <w:jc w:val="left"/>
      <w:spacing w:before="100" w:beforeAutospacing="1" w:after="100" w:afterAutospacing="1"/>
      <w:widowControl/>
    </w:pPr>
    <w:rPr>
      <w:rFonts w:ascii="宋体" w:hAnsi="宋体" w:cs="宋体"/>
      <w:sz w:val="24"/>
      <w:szCs w:val="24"/>
    </w:rPr>
  </w:style>
  <w:style w:type="paragraph" w:styleId="1197" w:customStyle="1">
    <w:name w:val="索引 11"/>
    <w:basedOn w:val="883"/>
    <w:next w:val="883"/>
    <w:uiPriority w:val="0"/>
    <w:semiHidden/>
    <w:qFormat/>
    <w:pPr>
      <w:spacing w:line="240" w:lineRule="atLeast"/>
    </w:pPr>
    <w:rPr>
      <w:b/>
      <w:bCs/>
    </w:rPr>
  </w:style>
  <w:style w:type="paragraph" w:styleId="1198" w:customStyle="1">
    <w:name w:val="批注主题1"/>
    <w:basedOn w:val="1161"/>
    <w:next w:val="1161"/>
    <w:link w:val="1199"/>
    <w:uiPriority w:val="0"/>
    <w:semiHidden/>
    <w:qFormat/>
    <w:rPr>
      <w:b/>
      <w:bCs/>
    </w:rPr>
  </w:style>
  <w:style w:type="character" w:styleId="1199" w:customStyle="1">
    <w:name w:val="批注主题 Char"/>
    <w:link w:val="1198"/>
    <w:uiPriority w:val="0"/>
    <w:semiHidden/>
    <w:qFormat/>
    <w:rPr>
      <w:rFonts w:ascii="Times New Roman" w:hAnsi="Times New Roman" w:eastAsia="宋体" w:cs="Times New Roman"/>
      <w:b/>
      <w:bCs/>
      <w:szCs w:val="21"/>
    </w:rPr>
  </w:style>
  <w:style w:type="paragraph" w:styleId="1200" w:customStyle="1">
    <w:name w:val="正文首行缩进1"/>
    <w:basedOn w:val="883"/>
    <w:link w:val="1201"/>
    <w:uiPriority w:val="0"/>
    <w:qFormat/>
    <w:pPr>
      <w:ind w:firstLine="200"/>
      <w:spacing w:line="360" w:lineRule="auto"/>
    </w:pPr>
    <w:rPr>
      <w:rFonts w:ascii="仿宋_GB2312" w:eastAsia="仿宋_GB2312"/>
      <w:sz w:val="30"/>
      <w:szCs w:val="30"/>
    </w:rPr>
  </w:style>
  <w:style w:type="character" w:styleId="1201" w:customStyle="1">
    <w:name w:val="正文首行缩进 Char"/>
    <w:link w:val="1200"/>
    <w:uiPriority w:val="0"/>
    <w:qFormat/>
    <w:rPr>
      <w:rFonts w:ascii="仿宋_GB2312" w:hAnsi="Times New Roman" w:eastAsia="仿宋_GB2312" w:cs="Times New Roman"/>
      <w:sz w:val="30"/>
      <w:szCs w:val="30"/>
    </w:rPr>
  </w:style>
  <w:style w:type="paragraph" w:styleId="1202" w:customStyle="1">
    <w:name w:val="正文首行缩进 21"/>
    <w:basedOn w:val="1167"/>
    <w:link w:val="1203"/>
    <w:uiPriority w:val="0"/>
    <w:qFormat/>
    <w:pPr>
      <w:ind w:firstLine="420"/>
      <w:spacing w:line="360" w:lineRule="auto"/>
    </w:pPr>
    <w:rPr>
      <w:rFonts w:ascii="宋体" w:hAnsi="宋体" w:eastAsia="宋体"/>
      <w:sz w:val="21"/>
      <w:szCs w:val="20"/>
    </w:rPr>
  </w:style>
  <w:style w:type="character" w:styleId="1203" w:customStyle="1">
    <w:name w:val="正文首行缩进 2 Char"/>
    <w:link w:val="1202"/>
    <w:uiPriority w:val="0"/>
    <w:qFormat/>
    <w:rPr>
      <w:rFonts w:ascii="宋体" w:hAnsi="宋体" w:eastAsia="宋体" w:cs="Times New Roman"/>
      <w:sz w:val="32"/>
      <w:szCs w:val="20"/>
    </w:rPr>
  </w:style>
  <w:style w:type="table" w:styleId="1204" w:customStyle="1">
    <w:name w:val="网格型11"/>
    <w:basedOn w:val="1156"/>
    <w:uiPriority w:val="0"/>
    <w:qFormat/>
    <w:pPr>
      <w:jc w:val="both"/>
      <w:widowControl w:val="off"/>
    </w:pPr>
    <w:rPr>
      <w:rFonts w:ascii="Times New Roman" w:hAnsi="Times New Roman" w:eastAsia="宋体" w:cs="Times New Roman"/>
      <w:sz w:val="20"/>
      <w:szCs w:val="20"/>
    </w:rPr>
    <w:tblPr/>
  </w:style>
  <w:style w:type="character" w:styleId="1205" w:customStyle="1">
    <w:name w:val="要点1"/>
    <w:link w:val="883"/>
    <w:uiPriority w:val="0"/>
    <w:qFormat/>
    <w:rPr>
      <w:b/>
      <w:bCs/>
    </w:rPr>
  </w:style>
  <w:style w:type="character" w:styleId="1206" w:customStyle="1">
    <w:name w:val="页码1"/>
    <w:link w:val="883"/>
    <w:uiPriority w:val="0"/>
    <w:qFormat/>
  </w:style>
  <w:style w:type="character" w:styleId="1207" w:customStyle="1">
    <w:name w:val="已访问的超链接1"/>
    <w:link w:val="883"/>
    <w:uiPriority w:val="0"/>
    <w:qFormat/>
    <w:rPr>
      <w:color w:val="800080"/>
      <w:u w:val="single"/>
    </w:rPr>
  </w:style>
  <w:style w:type="character" w:styleId="1208" w:customStyle="1">
    <w:name w:val="超链接1"/>
    <w:link w:val="883"/>
    <w:uiPriority w:val="0"/>
    <w:qFormat/>
    <w:rPr>
      <w:color w:val="0000ff"/>
      <w:u w:val="single"/>
    </w:rPr>
  </w:style>
  <w:style w:type="character" w:styleId="1209" w:customStyle="1">
    <w:name w:val="批注引用1"/>
    <w:link w:val="883"/>
    <w:uiPriority w:val="0"/>
    <w:semiHidden/>
    <w:qFormat/>
    <w:rPr>
      <w:sz w:val="21"/>
      <w:szCs w:val="21"/>
    </w:rPr>
  </w:style>
  <w:style w:type="paragraph" w:styleId="1210" w:customStyle="1">
    <w:name w:val="正文文本1"/>
    <w:basedOn w:val="883"/>
    <w:next w:val="883"/>
    <w:uiPriority w:val="0"/>
    <w:semiHidden/>
    <w:qFormat/>
    <w:rPr>
      <w:rFonts w:ascii="Arial" w:hAnsi="Arial" w:eastAsia="Arial" w:cs="Arial"/>
      <w:sz w:val="21"/>
      <w:szCs w:val="21"/>
      <w:lang w:val="en-US" w:eastAsia="en-US" w:bidi="ar-SA"/>
    </w:rPr>
  </w:style>
  <w:style w:type="paragraph" w:styleId="1211" w:customStyle="1">
    <w:name w:val="正文文本12"/>
    <w:basedOn w:val="883"/>
    <w:uiPriority w:val="1"/>
    <w:qFormat/>
    <w:pPr>
      <w:ind w:left="120"/>
    </w:pPr>
    <w:rPr>
      <w:rFonts w:ascii="宋体" w:hAnsi="宋体" w:eastAsia="宋体" w:cs="宋体"/>
      <w:sz w:val="21"/>
      <w:szCs w:val="21"/>
      <w:lang w:val="zh-CN" w:eastAsia="zh-CN" w:bidi="zh-CN"/>
    </w:rPr>
  </w:style>
  <w:style w:type="character" w:styleId="1212" w:customStyle="1">
    <w:name w:val="font5 Char"/>
    <w:link w:val="883"/>
    <w:uiPriority w:val="0"/>
    <w:qFormat/>
    <w:rPr>
      <w:rFonts w:ascii="宋体" w:hAnsi="宋体" w:eastAsia="宋体"/>
      <w:sz w:val="28"/>
      <w:szCs w:val="28"/>
      <w:lang w:val="en-US" w:eastAsia="zh-CN" w:bidi="ar-SA"/>
    </w:rPr>
  </w:style>
  <w:style w:type="character" w:styleId="1213" w:customStyle="1">
    <w:name w:val="二级目录 Char"/>
    <w:link w:val="1214"/>
    <w:uiPriority w:val="0"/>
    <w:qFormat/>
    <w:rPr>
      <w:b/>
      <w:sz w:val="30"/>
      <w:szCs w:val="28"/>
    </w:rPr>
  </w:style>
  <w:style w:type="paragraph" w:styleId="1214" w:customStyle="1">
    <w:name w:val="二级目录"/>
    <w:next w:val="883"/>
    <w:link w:val="121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5" w:customStyle="1">
    <w:name w:val="列出段落 Char"/>
    <w:link w:val="1216"/>
    <w:uiPriority w:val="0"/>
    <w:qFormat/>
    <w:rPr>
      <w:rFonts w:ascii="Calibri" w:hAnsi="Calibri"/>
      <w:sz w:val="24"/>
      <w:szCs w:val="24"/>
      <w:lang w:eastAsia="en-US" w:bidi="en-US"/>
    </w:rPr>
  </w:style>
  <w:style w:type="paragraph" w:styleId="1216" w:customStyle="1">
    <w:name w:val="列出段落1"/>
    <w:basedOn w:val="883"/>
    <w:link w:val="1215"/>
    <w:uiPriority w:val="0"/>
    <w:qFormat/>
    <w:pPr>
      <w:contextualSpacing/>
      <w:ind w:left="720"/>
      <w:jc w:val="left"/>
      <w:widowControl/>
    </w:pPr>
    <w:rPr>
      <w:rFonts w:ascii="Calibri" w:hAnsi="Calibri" w:eastAsia="宋体" w:cs="Times New Roman"/>
      <w:sz w:val="24"/>
      <w:szCs w:val="24"/>
      <w:lang w:eastAsia="en-US" w:bidi="en-US"/>
    </w:rPr>
  </w:style>
  <w:style w:type="paragraph" w:styleId="1217" w:customStyle="1">
    <w:name w:val="Body Text(ch)"/>
    <w:basedOn w:val="883"/>
    <w:next w:val="1165"/>
    <w:uiPriority w:val="0"/>
    <w:qFormat/>
    <w:pPr>
      <w:spacing w:after="120"/>
    </w:pPr>
    <w:rPr>
      <w:rFonts w:ascii="宋体" w:hAnsi="Arial"/>
      <w:bCs/>
      <w:iCs/>
      <w:szCs w:val="24"/>
    </w:rPr>
  </w:style>
  <w:style w:type="paragraph" w:styleId="1218" w:customStyle="1">
    <w:name w:val="xl27"/>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9" w:customStyle="1">
    <w:name w:val="xl26"/>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0" w:customStyle="1">
    <w:name w:val="Char"/>
    <w:basedOn w:val="883"/>
    <w:uiPriority w:val="0"/>
    <w:qFormat/>
    <w:pPr>
      <w:ind w:firstLine="200"/>
      <w:tabs>
        <w:tab w:val="left" w:pos="360" w:leader="none"/>
      </w:tabs>
    </w:pPr>
    <w:rPr>
      <w:sz w:val="28"/>
      <w:szCs w:val="30"/>
    </w:rPr>
  </w:style>
  <w:style w:type="paragraph" w:styleId="1221" w:customStyle="1">
    <w:name w:val=" Char"/>
    <w:basedOn w:val="1159"/>
    <w:uiPriority w:val="0"/>
    <w:qFormat/>
    <w:rPr>
      <w:rFonts w:ascii="Tahoma" w:hAnsi="Tahoma"/>
      <w:sz w:val="24"/>
      <w:szCs w:val="24"/>
    </w:rPr>
  </w:style>
  <w:style w:type="paragraph" w:styleId="1222" w:customStyle="1">
    <w:name w:val="普通正文"/>
    <w:basedOn w:val="883"/>
    <w:uiPriority w:val="0"/>
    <w:qFormat/>
    <w:pPr>
      <w:ind w:firstLine="480"/>
      <w:jc w:val="left"/>
      <w:spacing w:before="120" w:after="120" w:line="360" w:lineRule="auto"/>
    </w:pPr>
    <w:rPr>
      <w:rFonts w:ascii="Arial" w:hAnsi="Arial"/>
      <w:sz w:val="24"/>
      <w:szCs w:val="24"/>
    </w:rPr>
  </w:style>
  <w:style w:type="paragraph" w:styleId="1223" w:customStyle="1">
    <w:name w:val="table_lines"/>
    <w:basedOn w:val="883"/>
    <w:uiPriority w:val="0"/>
    <w:qFormat/>
    <w:pPr>
      <w:jc w:val="left"/>
      <w:widowControl/>
    </w:pPr>
    <w:rPr>
      <w:sz w:val="20"/>
      <w:szCs w:val="20"/>
      <w:lang w:val="de-DE" w:eastAsia="de-DE"/>
    </w:rPr>
  </w:style>
  <w:style w:type="paragraph" w:styleId="122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25" w:customStyle="1">
    <w:name w:val="font7"/>
    <w:basedOn w:val="883"/>
    <w:uiPriority w:val="0"/>
    <w:qFormat/>
    <w:pPr>
      <w:jc w:val="left"/>
      <w:spacing w:before="100" w:beforeAutospacing="1" w:after="100" w:afterAutospacing="1"/>
      <w:widowControl/>
    </w:pPr>
    <w:rPr>
      <w:rFonts w:hint="eastAsia" w:ascii="宋体" w:hAnsi="宋体"/>
      <w:sz w:val="18"/>
      <w:szCs w:val="18"/>
    </w:rPr>
  </w:style>
  <w:style w:type="paragraph" w:styleId="1226" w:customStyle="1">
    <w:name w:val=" Char Char Char Char"/>
    <w:basedOn w:val="1159"/>
    <w:uiPriority w:val="0"/>
    <w:qFormat/>
    <w:pPr>
      <w:spacing w:line="360" w:lineRule="auto"/>
    </w:pPr>
    <w:rPr>
      <w:rFonts w:ascii="Tahoma" w:hAnsi="Tahoma"/>
      <w:sz w:val="24"/>
      <w:szCs w:val="24"/>
    </w:rPr>
  </w:style>
  <w:style w:type="paragraph" w:styleId="1227" w:customStyle="1">
    <w:name w:val="列出段落"/>
    <w:basedOn w:val="883"/>
    <w:uiPriority w:val="0"/>
    <w:qFormat/>
    <w:pPr>
      <w:contextualSpacing/>
      <w:ind w:left="720"/>
      <w:jc w:val="left"/>
      <w:widowControl/>
    </w:pPr>
    <w:rPr>
      <w:rFonts w:ascii="Calibri" w:hAnsi="Calibri"/>
      <w:sz w:val="24"/>
      <w:szCs w:val="24"/>
      <w:lang w:eastAsia="en-US" w:bidi="en-US"/>
    </w:rPr>
  </w:style>
  <w:style w:type="paragraph" w:styleId="1228" w:customStyle="1">
    <w:name w:val="4"/>
    <w:basedOn w:val="883"/>
    <w:next w:val="1189"/>
    <w:uiPriority w:val="0"/>
    <w:qFormat/>
    <w:pPr>
      <w:ind w:firstLine="420"/>
      <w:spacing w:line="360" w:lineRule="auto"/>
    </w:pPr>
    <w:rPr>
      <w:color w:val="ff0000"/>
      <w:sz w:val="24"/>
      <w:szCs w:val="24"/>
    </w:rPr>
  </w:style>
  <w:style w:type="paragraph" w:styleId="1229" w:customStyle="1">
    <w:name w:val="普通 (Web)"/>
    <w:basedOn w:val="883"/>
    <w:uiPriority w:val="0"/>
    <w:qFormat/>
    <w:pPr>
      <w:jc w:val="left"/>
      <w:spacing w:before="100" w:beforeAutospacing="1" w:after="100" w:afterAutospacing="1"/>
      <w:widowControl/>
    </w:pPr>
    <w:rPr>
      <w:rFonts w:ascii="宋体" w:hAnsi="宋体"/>
      <w:sz w:val="24"/>
      <w:szCs w:val="24"/>
    </w:rPr>
  </w:style>
  <w:style w:type="paragraph" w:styleId="1230" w:customStyle="1">
    <w:name w:val=" Char Char Char Char Char Char Char Char Char Char"/>
    <w:basedOn w:val="883"/>
    <w:uiPriority w:val="0"/>
    <w:qFormat/>
    <w:pPr>
      <w:spacing w:line="360" w:lineRule="auto"/>
    </w:pPr>
    <w:rPr>
      <w:sz w:val="24"/>
      <w:szCs w:val="20"/>
    </w:rPr>
  </w:style>
  <w:style w:type="paragraph" w:styleId="1231" w:customStyle="1">
    <w:name w:val="样式1"/>
    <w:basedOn w:val="883"/>
    <w:uiPriority w:val="0"/>
    <w:qFormat/>
    <w:pPr>
      <w:numPr>
        <w:ilvl w:val="0"/>
        <w:numId w:val="3"/>
      </w:numPr>
    </w:pPr>
    <w:rPr>
      <w:rFonts w:ascii="宋体" w:hAnsi="宋体"/>
    </w:rPr>
  </w:style>
  <w:style w:type="paragraph" w:styleId="1232" w:customStyle="1">
    <w:name w:val="font6"/>
    <w:basedOn w:val="883"/>
    <w:uiPriority w:val="0"/>
    <w:qFormat/>
    <w:pPr>
      <w:jc w:val="left"/>
      <w:spacing w:before="100" w:beforeAutospacing="1" w:after="100" w:afterAutospacing="1"/>
      <w:widowControl/>
    </w:pPr>
    <w:rPr>
      <w:rFonts w:hint="eastAsia" w:ascii="宋体" w:hAnsi="宋体"/>
      <w:sz w:val="28"/>
      <w:szCs w:val="28"/>
      <w:u w:val="single"/>
    </w:rPr>
  </w:style>
  <w:style w:type="paragraph" w:styleId="1233" w:customStyle="1">
    <w:name w:val="xl25"/>
    <w:basedOn w:val="88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4" w:customStyle="1">
    <w:name w:val="图标"/>
    <w:basedOn w:val="883"/>
    <w:next w:val="88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5" w:customStyle="1">
    <w:name w:val="xl24"/>
    <w:basedOn w:val="8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6" w:customStyle="1">
    <w:name w:val="xl29"/>
    <w:basedOn w:val="88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7" w:customStyle="1">
    <w:name w:val="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1238" w:customStyle="1">
    <w:name w:val="xl2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9" w:customStyle="1">
    <w:name w:val=" 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1240" w:customStyle="1">
    <w:name w:val="xl30"/>
    <w:basedOn w:val="883"/>
    <w:uiPriority w:val="0"/>
    <w:qFormat/>
    <w:pPr>
      <w:jc w:val="center"/>
      <w:spacing w:before="100" w:beforeAutospacing="1" w:after="100" w:afterAutospacing="1"/>
      <w:widowControl/>
    </w:pPr>
    <w:rPr>
      <w:rFonts w:ascii="宋体" w:hAnsi="宋体"/>
      <w:b/>
      <w:bCs/>
      <w:sz w:val="36"/>
      <w:szCs w:val="36"/>
    </w:rPr>
  </w:style>
  <w:style w:type="paragraph" w:styleId="1241" w:customStyle="1">
    <w:name w:val="Char Char Char Char"/>
    <w:basedOn w:val="1159"/>
    <w:uiPriority w:val="0"/>
    <w:qFormat/>
    <w:pPr>
      <w:spacing w:line="360" w:lineRule="auto"/>
    </w:pPr>
    <w:rPr>
      <w:rFonts w:ascii="Tahoma" w:hAnsi="Tahoma"/>
      <w:sz w:val="24"/>
      <w:szCs w:val="24"/>
    </w:rPr>
  </w:style>
  <w:style w:type="paragraph" w:styleId="1242" w:customStyle="1">
    <w:name w:val="table_1stline"/>
    <w:basedOn w:val="883"/>
    <w:uiPriority w:val="0"/>
    <w:qFormat/>
    <w:pPr>
      <w:jc w:val="left"/>
      <w:spacing w:before="120"/>
      <w:widowControl/>
    </w:pPr>
    <w:rPr>
      <w:bCs/>
      <w:sz w:val="20"/>
      <w:szCs w:val="20"/>
      <w:lang w:val="de-DE" w:eastAsia="de-DE"/>
    </w:rPr>
  </w:style>
  <w:style w:type="paragraph" w:styleId="1243" w:customStyle="1">
    <w:name w:val="font5"/>
    <w:basedOn w:val="883"/>
    <w:uiPriority w:val="0"/>
    <w:qFormat/>
    <w:pPr>
      <w:jc w:val="left"/>
      <w:spacing w:before="100" w:beforeAutospacing="1" w:after="100" w:afterAutospacing="1"/>
      <w:widowControl/>
    </w:pPr>
    <w:rPr>
      <w:rFonts w:hint="eastAsia" w:ascii="宋体" w:hAnsi="宋体"/>
      <w:sz w:val="28"/>
      <w:szCs w:val="28"/>
    </w:rPr>
  </w:style>
  <w:style w:type="paragraph" w:styleId="1244" w:customStyle="1">
    <w:name w:val="标题1"/>
    <w:basedOn w:val="883"/>
    <w:next w:val="88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4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7" w:customStyle="1">
    <w:name w:val="正文文本 211"/>
    <w:basedOn w:val="883"/>
    <w:uiPriority w:val="99"/>
    <w:qFormat/>
    <w:pPr>
      <w:jc w:val="center"/>
    </w:pPr>
    <w:rPr>
      <w:b/>
      <w:bCs/>
      <w:sz w:val="20"/>
      <w:szCs w:val="20"/>
    </w:rPr>
  </w:style>
  <w:style w:type="table" w:styleId="1248" w:customStyle="1">
    <w:name w:val="Table Normal_0"/>
    <w:uiPriority w:val="0"/>
    <w:qFormat/>
    <w:rPr>
      <w:lang w:val="en-US" w:eastAsia="zh-CN" w:bidi="ar-SA"/>
    </w:rPr>
    <w:tblPr/>
  </w:style>
  <w:style w:type="character" w:styleId="1249" w:customStyle="1">
    <w:name w:val="font71"/>
    <w:link w:val="883"/>
    <w:uiPriority w:val="0"/>
    <w:qFormat/>
    <w:rPr>
      <w:rFonts w:hint="eastAsia" w:ascii="仿宋" w:hAnsi="仿宋" w:eastAsia="仿宋" w:cs="仿宋"/>
      <w:color w:val="000000"/>
      <w:sz w:val="24"/>
      <w:szCs w:val="24"/>
      <w:u w:val="single"/>
    </w:rPr>
  </w:style>
  <w:style w:type="character" w:styleId="1250" w:customStyle="1">
    <w:name w:val="font41"/>
    <w:link w:val="883"/>
    <w:uiPriority w:val="0"/>
    <w:qFormat/>
    <w:rPr>
      <w:rFonts w:hint="eastAsia" w:ascii="仿宋" w:hAnsi="仿宋" w:eastAsia="仿宋" w:cs="仿宋"/>
      <w:color w:val="000000"/>
      <w:sz w:val="24"/>
      <w:szCs w:val="24"/>
      <w:u w:val="none"/>
    </w:rPr>
  </w:style>
  <w:style w:type="character" w:styleId="1251" w:customStyle="1">
    <w:name w:val="font81"/>
    <w:link w:val="883"/>
    <w:uiPriority w:val="0"/>
    <w:qFormat/>
    <w:rPr>
      <w:rFonts w:hint="eastAsia" w:ascii="宋体" w:hAnsi="宋体" w:eastAsia="宋体" w:cs="宋体"/>
      <w:color w:val="000000"/>
      <w:sz w:val="24"/>
      <w:szCs w:val="24"/>
      <w:u w:val="single"/>
    </w:rPr>
  </w:style>
  <w:style w:type="paragraph" w:styleId="1252" w:customStyle="1">
    <w:name w:val="Table Paragraph"/>
    <w:basedOn w:val="883"/>
    <w:uiPriority w:val="1"/>
    <w:qFormat/>
    <w:pPr>
      <w:jc w:val="left"/>
    </w:pPr>
    <w:rPr>
      <w:rFonts w:ascii="宋体" w:hAnsi="宋体" w:eastAsia="宋体" w:cs="宋体"/>
      <w:sz w:val="22"/>
      <w:szCs w:val="22"/>
      <w:lang w:val="zh-CN" w:bidi="zh-CN"/>
    </w:rPr>
  </w:style>
  <w:style w:type="table" w:styleId="1253" w:customStyle="1">
    <w:name w:val="网格型1"/>
    <w:basedOn w:val="1254"/>
    <w:uiPriority w:val="0"/>
    <w:qFormat/>
    <w:pPr>
      <w:jc w:val="both"/>
      <w:widowControl w:val="off"/>
    </w:pPr>
    <w:tblPr/>
  </w:style>
  <w:style w:type="table" w:styleId="1254" w:customStyle="1">
    <w:name w:val="普通表格1"/>
    <w:uiPriority w:val="0"/>
    <w:semiHidden/>
    <w:qFormat/>
    <w:rPr>
      <w:lang w:val="en-US" w:eastAsia="zh-CN" w:bidi="ar-SA"/>
    </w:rPr>
    <w:tblPr/>
  </w:style>
  <w:style w:type="paragraph" w:styleId="1255" w:customStyle="1">
    <w:name w:val="首行缩进"/>
    <w:basedOn w:val="883"/>
    <w:uiPriority w:val="0"/>
    <w:qFormat/>
    <w:pPr>
      <w:ind w:firstLine="480"/>
    </w:pPr>
    <w:rPr>
      <w:lang w:val="zh-CN"/>
    </w:rPr>
  </w:style>
  <w:style w:type="paragraph" w:styleId="1256" w:customStyle="1">
    <w:name w:val="标题 31"/>
    <w:basedOn w:val="883"/>
    <w:next w:val="883"/>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257" w:customStyle="1">
    <w:name w:val="正文缩进1"/>
    <w:basedOn w:val="883"/>
    <w:uiPriority w:val="0"/>
    <w:qFormat/>
    <w:pPr>
      <w:ind w:firstLine="420"/>
      <w:spacing w:line="360" w:lineRule="auto"/>
    </w:pPr>
    <w:rPr>
      <w:sz w:val="24"/>
    </w:rPr>
  </w:style>
  <w:style w:type="table" w:styleId="1258" w:customStyle="1">
    <w:name w:val="Table Normal"/>
    <w:uiPriority w:val="0"/>
    <w:qFormat/>
    <w:rPr>
      <w:lang w:val="en-US" w:eastAsia="zh-CN" w:bidi="ar-SA"/>
    </w:rPr>
    <w:tblPr/>
  </w:style>
  <w:style w:type="character" w:styleId="1259" w:customStyle="1">
    <w:name w:val="15"/>
    <w:link w:val="883"/>
    <w:uiPriority w:val="0"/>
    <w:rPr>
      <w:rFonts w:ascii="Times New Roman" w:hAnsi="Times New Roman" w:cs="Times New Roman"/>
    </w:rPr>
  </w:style>
  <w:style w:type="paragraph" w:styleId="1260" w:customStyle="1">
    <w:name w:val="正文首行缩进 211"/>
    <w:basedOn w:val="1261"/>
    <w:next w:val="883"/>
    <w:uiPriority w:val="0"/>
    <w:qFormat/>
    <w:pPr>
      <w:ind w:left="0" w:firstLine="420"/>
      <w:spacing w:after="0" w:line="360" w:lineRule="auto"/>
    </w:pPr>
    <w:rPr>
      <w:rFonts w:ascii="宋体" w:hAnsi="宋体" w:eastAsia="宋体" w:cs="Times New Roman"/>
      <w:szCs w:val="20"/>
    </w:rPr>
  </w:style>
  <w:style w:type="paragraph" w:styleId="1261" w:customStyle="1">
    <w:name w:val="正文文本缩进11"/>
    <w:basedOn w:val="883"/>
    <w:next w:val="1262"/>
    <w:uiPriority w:val="0"/>
    <w:unhideWhenUsed/>
    <w:qFormat/>
    <w:pPr>
      <w:ind w:left="420"/>
      <w:spacing w:after="120"/>
    </w:pPr>
  </w:style>
  <w:style w:type="paragraph" w:styleId="1262" w:customStyle="1">
    <w:name w:val="寄信人地址1"/>
    <w:basedOn w:val="883"/>
    <w:uiPriority w:val="0"/>
    <w:qFormat/>
    <w:rPr>
      <w:rFonts w:ascii="Arial" w:hAnsi="Arial" w:eastAsia="宋体" w:cs="宋体"/>
    </w:rPr>
  </w:style>
  <w:style w:type="paragraph" w:styleId="1263" w:customStyle="1">
    <w:name w:val="页脚11"/>
    <w:basedOn w:val="883"/>
    <w:uiPriority w:val="99"/>
    <w:unhideWhenUsed/>
    <w:qFormat/>
    <w:pPr>
      <w:tabs>
        <w:tab w:val="center" w:pos="7143" w:leader="none"/>
        <w:tab w:val="right" w:pos="14287" w:leader="none"/>
      </w:tabs>
    </w:pPr>
  </w:style>
  <w:style w:type="numbering" w:styleId="1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孙祥</cp:lastModifiedBy>
  <cp:revision>10</cp:revision>
  <dcterms:created xsi:type="dcterms:W3CDTF">2023-03-16T10:16:00Z</dcterms:created>
  <dcterms:modified xsi:type="dcterms:W3CDTF">2026-08-04T09:18:17Z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81F010ECFD7940A194CC36AB4A44D768</vt:lpwstr>
  </property>
</Properties>
</file>