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D2B19C">
      <w:pPr>
        <w:spacing w:line="276" w:lineRule="auto"/>
        <w:ind w:firstLine="1687"/>
        <w:jc w:val="center"/>
        <w:rPr>
          <w:rFonts w:ascii="宋体" w:hAnsi="宋体" w:cs="宋体"/>
          <w:b/>
          <w:sz w:val="84"/>
          <w:szCs w:val="84"/>
        </w:rPr>
      </w:pPr>
      <w:bookmarkStart w:id="0" w:name="_Toc25976"/>
    </w:p>
    <w:p w14:paraId="56827E47">
      <w:pPr>
        <w:spacing w:line="276" w:lineRule="auto"/>
        <w:ind w:firstLine="1687"/>
        <w:rPr>
          <w:rFonts w:ascii="宋体" w:hAnsi="宋体" w:cs="宋体"/>
          <w:b/>
          <w:sz w:val="72"/>
          <w:szCs w:val="72"/>
        </w:rPr>
      </w:pPr>
      <w:r>
        <w:rPr>
          <w:rFonts w:hint="eastAsia" w:ascii="宋体" w:hAnsi="宋体" w:cs="宋体"/>
          <w:b/>
          <w:sz w:val="84"/>
          <w:szCs w:val="84"/>
        </w:rPr>
        <w:t>苏 州 政 府 采 购</w:t>
      </w:r>
    </w:p>
    <w:p w14:paraId="7E9B0BA0">
      <w:pPr>
        <w:spacing w:line="276" w:lineRule="auto"/>
        <w:ind w:firstLine="1687"/>
        <w:jc w:val="center"/>
        <w:outlineLvl w:val="9"/>
        <w:rPr>
          <w:rFonts w:ascii="宋体" w:hAnsi="宋体" w:cs="宋体"/>
          <w:sz w:val="24"/>
        </w:rPr>
      </w:pPr>
      <w:bookmarkStart w:id="1" w:name="_Toc20418"/>
      <w:r>
        <w:rPr>
          <w:rFonts w:hint="eastAsia" w:ascii="宋体" w:hAnsi="宋体" w:cs="宋体"/>
          <w:b/>
          <w:sz w:val="84"/>
          <w:szCs w:val="84"/>
        </w:rPr>
        <w:t>竞争性磋商文件</w:t>
      </w:r>
      <w:bookmarkEnd w:id="1"/>
    </w:p>
    <w:p w14:paraId="1FEEA063">
      <w:pPr>
        <w:pStyle w:val="198"/>
        <w:ind w:firstLine="420"/>
        <w:jc w:val="left"/>
        <w:rPr>
          <w:rFonts w:ascii="宋体" w:hAnsi="宋体" w:cs="宋体"/>
          <w:szCs w:val="21"/>
          <w:lang w:val="en-US"/>
        </w:rPr>
      </w:pPr>
    </w:p>
    <w:p w14:paraId="7E0E2389">
      <w:pPr>
        <w:pStyle w:val="198"/>
        <w:ind w:firstLine="0"/>
        <w:jc w:val="center"/>
        <w:rPr>
          <w:rFonts w:ascii="宋体" w:hAnsi="宋体" w:cs="宋体"/>
          <w:b/>
          <w:sz w:val="72"/>
        </w:rPr>
      </w:pPr>
    </w:p>
    <w:p w14:paraId="686BC518">
      <w:pPr>
        <w:pStyle w:val="198"/>
        <w:ind w:firstLine="0"/>
        <w:jc w:val="center"/>
        <w:rPr>
          <w:rFonts w:ascii="宋体" w:hAnsi="宋体" w:cs="宋体"/>
          <w:b/>
          <w:sz w:val="72"/>
        </w:rPr>
      </w:pPr>
    </w:p>
    <w:p w14:paraId="76DCB4BD">
      <w:pPr>
        <w:pStyle w:val="198"/>
        <w:ind w:firstLine="0"/>
        <w:jc w:val="center"/>
        <w:rPr>
          <w:rFonts w:ascii="宋体" w:hAnsi="宋体" w:cs="宋体"/>
          <w:b/>
          <w:sz w:val="72"/>
        </w:rPr>
      </w:pPr>
    </w:p>
    <w:p w14:paraId="1F5E26DE">
      <w:pPr>
        <w:pStyle w:val="198"/>
        <w:ind w:firstLine="0"/>
        <w:jc w:val="center"/>
        <w:rPr>
          <w:rFonts w:ascii="宋体" w:hAnsi="宋体" w:cs="宋体"/>
          <w:b/>
          <w:sz w:val="72"/>
        </w:rPr>
      </w:pPr>
    </w:p>
    <w:p w14:paraId="2C1D2E9C">
      <w:pPr>
        <w:pStyle w:val="208"/>
        <w:spacing w:line="360" w:lineRule="auto"/>
        <w:rPr>
          <w:rFonts w:ascii="宋体" w:hAnsi="宋体" w:cs="宋体"/>
          <w:color w:val="auto"/>
          <w:sz w:val="24"/>
          <w:szCs w:val="24"/>
        </w:rPr>
      </w:pPr>
    </w:p>
    <w:p w14:paraId="60F954B5">
      <w:pPr>
        <w:pStyle w:val="208"/>
        <w:spacing w:line="360" w:lineRule="auto"/>
        <w:ind w:firstLine="643"/>
        <w:rPr>
          <w:rFonts w:hint="eastAsia" w:ascii="宋体" w:hAnsi="宋体" w:eastAsia="宋体" w:cs="宋体"/>
          <w:b/>
          <w:color w:val="auto"/>
          <w:sz w:val="32"/>
          <w:szCs w:val="32"/>
          <w:lang w:eastAsia="zh-CN"/>
        </w:rPr>
      </w:pPr>
      <w:r>
        <w:rPr>
          <w:rFonts w:hint="eastAsia" w:ascii="宋体" w:hAnsi="宋体" w:cs="宋体"/>
          <w:b/>
          <w:color w:val="auto"/>
          <w:sz w:val="32"/>
          <w:szCs w:val="32"/>
        </w:rPr>
        <w:t>采购编号：</w:t>
      </w:r>
      <w:r>
        <w:rPr>
          <w:rFonts w:hint="eastAsia" w:ascii="宋体" w:hAnsi="宋体" w:cs="宋体"/>
          <w:b/>
          <w:color w:val="auto"/>
          <w:sz w:val="32"/>
          <w:szCs w:val="32"/>
          <w:lang w:eastAsia="zh-CN"/>
        </w:rPr>
        <w:t>JSZC-320507-JSZQ-C2026-0007</w:t>
      </w:r>
    </w:p>
    <w:p w14:paraId="16AF33DC">
      <w:pPr>
        <w:pStyle w:val="208"/>
        <w:spacing w:line="360" w:lineRule="auto"/>
        <w:ind w:firstLine="643"/>
        <w:rPr>
          <w:rFonts w:hint="eastAsia" w:ascii="宋体" w:hAnsi="宋体" w:eastAsia="宋体" w:cs="宋体"/>
          <w:b/>
          <w:color w:val="auto"/>
          <w:sz w:val="32"/>
          <w:szCs w:val="32"/>
          <w:lang w:eastAsia="zh-CN"/>
        </w:rPr>
      </w:pPr>
      <w:r>
        <w:rPr>
          <w:rFonts w:hint="eastAsia" w:ascii="宋体" w:hAnsi="宋体" w:cs="宋体"/>
          <w:b/>
          <w:color w:val="auto"/>
          <w:sz w:val="32"/>
          <w:szCs w:val="32"/>
        </w:rPr>
        <w:t>采 购 人：</w:t>
      </w:r>
      <w:r>
        <w:rPr>
          <w:rFonts w:hint="eastAsia" w:ascii="宋体" w:hAnsi="宋体" w:cs="宋体"/>
          <w:b/>
          <w:color w:val="auto"/>
          <w:sz w:val="32"/>
          <w:szCs w:val="32"/>
          <w:lang w:eastAsia="zh-CN"/>
        </w:rPr>
        <w:t>苏州市相城区望亭镇人民政府</w:t>
      </w:r>
    </w:p>
    <w:p w14:paraId="743D267B">
      <w:pPr>
        <w:pStyle w:val="208"/>
        <w:spacing w:line="360" w:lineRule="auto"/>
        <w:ind w:firstLine="643" w:firstLineChars="200"/>
        <w:outlineLvl w:val="9"/>
        <w:rPr>
          <w:rFonts w:hint="eastAsia" w:ascii="宋体" w:hAnsi="宋体" w:eastAsia="宋体" w:cs="宋体"/>
          <w:b/>
          <w:color w:val="auto"/>
          <w:sz w:val="32"/>
          <w:szCs w:val="32"/>
          <w:lang w:eastAsia="zh-CN"/>
        </w:rPr>
      </w:pPr>
      <w:bookmarkStart w:id="2" w:name="_Toc17005"/>
      <w:r>
        <w:rPr>
          <w:rFonts w:hint="eastAsia" w:ascii="宋体" w:hAnsi="宋体" w:cs="宋体"/>
          <w:b/>
          <w:color w:val="auto"/>
          <w:sz w:val="32"/>
          <w:szCs w:val="32"/>
        </w:rPr>
        <w:t>项目名称：</w:t>
      </w:r>
      <w:bookmarkEnd w:id="2"/>
      <w:r>
        <w:rPr>
          <w:rFonts w:hint="eastAsia" w:ascii="宋体" w:hAnsi="宋体" w:cs="宋体"/>
          <w:b/>
          <w:color w:val="auto"/>
          <w:sz w:val="32"/>
          <w:szCs w:val="32"/>
          <w:lang w:eastAsia="zh-CN"/>
        </w:rPr>
        <w:t>望亭镇2026年农村生活污水提升泵站养护服务</w:t>
      </w:r>
    </w:p>
    <w:p w14:paraId="668A06D3">
      <w:pPr>
        <w:pStyle w:val="208"/>
        <w:spacing w:line="360" w:lineRule="auto"/>
        <w:ind w:firstLine="643"/>
        <w:rPr>
          <w:rFonts w:ascii="宋体" w:hAnsi="宋体" w:cs="宋体"/>
          <w:b/>
          <w:sz w:val="32"/>
          <w:szCs w:val="32"/>
        </w:rPr>
      </w:pPr>
      <w:r>
        <w:rPr>
          <w:rFonts w:hint="eastAsia" w:ascii="宋体" w:hAnsi="宋体" w:cs="宋体"/>
          <w:b/>
          <w:sz w:val="32"/>
          <w:szCs w:val="32"/>
        </w:rPr>
        <w:t xml:space="preserve">类    别：服务类 </w:t>
      </w:r>
    </w:p>
    <w:p w14:paraId="47D87DD7">
      <w:pPr>
        <w:ind w:firstLine="0"/>
        <w:jc w:val="left"/>
        <w:rPr>
          <w:rFonts w:ascii="宋体" w:hAnsi="宋体" w:cs="宋体"/>
          <w:b/>
          <w:bCs/>
          <w:sz w:val="36"/>
          <w:szCs w:val="36"/>
        </w:rPr>
      </w:pPr>
    </w:p>
    <w:p w14:paraId="2E210711">
      <w:pPr>
        <w:spacing w:line="360" w:lineRule="auto"/>
        <w:ind w:firstLine="723"/>
        <w:jc w:val="center"/>
        <w:outlineLvl w:val="9"/>
        <w:rPr>
          <w:rFonts w:hint="eastAsia" w:ascii="宋体" w:hAnsi="宋体" w:eastAsia="宋体" w:cs="宋体"/>
          <w:b/>
          <w:sz w:val="36"/>
          <w:szCs w:val="28"/>
          <w:lang w:eastAsia="zh-CN"/>
        </w:rPr>
      </w:pPr>
      <w:r>
        <w:rPr>
          <w:rFonts w:hint="eastAsia" w:ascii="宋体" w:hAnsi="宋体" w:cs="宋体"/>
          <w:b/>
          <w:sz w:val="36"/>
          <w:szCs w:val="28"/>
          <w:lang w:eastAsia="zh-CN"/>
        </w:rPr>
        <w:t>江苏正琦工程咨询有限公司</w:t>
      </w:r>
    </w:p>
    <w:p w14:paraId="05C1DCAA">
      <w:pPr>
        <w:spacing w:line="360" w:lineRule="auto"/>
        <w:ind w:firstLine="723"/>
        <w:jc w:val="center"/>
        <w:rPr>
          <w:rFonts w:ascii="宋体" w:hAnsi="宋体" w:cs="宋体"/>
          <w:b/>
          <w:bCs/>
          <w:sz w:val="44"/>
          <w:szCs w:val="44"/>
        </w:rPr>
        <w:sectPr>
          <w:headerReference r:id="rId3" w:type="default"/>
          <w:pgSz w:w="11906" w:h="16838"/>
          <w:pgMar w:top="1440" w:right="1080" w:bottom="1440" w:left="1080" w:header="567" w:footer="567" w:gutter="0"/>
          <w:cols w:space="720" w:num="1"/>
          <w:docGrid w:linePitch="360" w:charSpace="0"/>
        </w:sectPr>
      </w:pPr>
      <w:r>
        <w:rPr>
          <w:rFonts w:hint="eastAsia" w:ascii="宋体" w:hAnsi="宋体" w:cs="宋体"/>
          <w:b/>
          <w:sz w:val="36"/>
          <w:szCs w:val="21"/>
        </w:rPr>
        <w:t>二○二</w:t>
      </w:r>
      <w:r>
        <w:rPr>
          <w:rFonts w:hint="eastAsia" w:ascii="宋体" w:hAnsi="宋体" w:cs="宋体"/>
          <w:b/>
          <w:sz w:val="36"/>
          <w:szCs w:val="21"/>
          <w:lang w:val="en-US" w:eastAsia="zh-CN"/>
        </w:rPr>
        <w:t>六</w:t>
      </w:r>
      <w:r>
        <w:rPr>
          <w:rFonts w:hint="eastAsia" w:ascii="宋体" w:hAnsi="宋体" w:cs="宋体"/>
          <w:b/>
          <w:sz w:val="36"/>
          <w:szCs w:val="21"/>
        </w:rPr>
        <w:t>年</w:t>
      </w:r>
      <w:r>
        <w:rPr>
          <w:rFonts w:hint="eastAsia" w:ascii="宋体" w:hAnsi="宋体" w:cs="宋体"/>
          <w:b/>
          <w:sz w:val="36"/>
          <w:szCs w:val="21"/>
          <w:lang w:val="en-US" w:eastAsia="zh-CN"/>
        </w:rPr>
        <w:t>八</w:t>
      </w:r>
      <w:r>
        <w:rPr>
          <w:rFonts w:hint="eastAsia" w:ascii="宋体" w:hAnsi="宋体" w:cs="宋体"/>
          <w:b/>
          <w:sz w:val="36"/>
          <w:szCs w:val="21"/>
        </w:rPr>
        <w:t>月</w:t>
      </w:r>
    </w:p>
    <w:p w14:paraId="4D0556A1">
      <w:pPr>
        <w:spacing w:line="360" w:lineRule="auto"/>
        <w:ind w:firstLine="883"/>
        <w:jc w:val="center"/>
        <w:rPr>
          <w:rFonts w:ascii="宋体" w:hAnsi="宋体" w:cs="宋体"/>
          <w:b/>
          <w:bCs/>
          <w:sz w:val="28"/>
          <w:szCs w:val="28"/>
        </w:rPr>
      </w:pPr>
      <w:r>
        <w:rPr>
          <w:rFonts w:hint="eastAsia" w:ascii="宋体" w:hAnsi="宋体" w:cs="宋体"/>
          <w:b/>
          <w:bCs/>
          <w:sz w:val="44"/>
          <w:szCs w:val="44"/>
        </w:rPr>
        <w:t>目   录</w:t>
      </w:r>
    </w:p>
    <w:p w14:paraId="567FF9A6">
      <w:pPr>
        <w:pStyle w:val="28"/>
        <w:tabs>
          <w:tab w:val="right" w:leader="dot" w:pos="9746"/>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"1-3" \h \u </w:instrText>
      </w:r>
      <w:r>
        <w:rPr>
          <w:rFonts w:hint="eastAsia" w:ascii="宋体" w:hAnsi="宋体" w:eastAsia="宋体" w:cs="宋体"/>
          <w:sz w:val="28"/>
          <w:szCs w:val="28"/>
        </w:rP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_Toc10801 </w:instrText>
      </w:r>
      <w:r>
        <w:rPr>
          <w:rFonts w:hint="eastAsia" w:ascii="宋体" w:hAnsi="宋体" w:eastAsia="宋体" w:cs="宋体"/>
          <w:sz w:val="28"/>
          <w:szCs w:val="28"/>
        </w:rPr>
        <w:fldChar w:fldCharType="separate"/>
      </w:r>
      <w:r>
        <w:rPr>
          <w:rFonts w:hint="eastAsia" w:ascii="宋体" w:hAnsi="宋体" w:eastAsia="宋体" w:cs="宋体"/>
          <w:sz w:val="28"/>
          <w:szCs w:val="28"/>
        </w:rPr>
        <w:t>第一章 竞争性磋商公告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_Toc10801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3D29C33A">
      <w:pPr>
        <w:pStyle w:val="28"/>
        <w:tabs>
          <w:tab w:val="right" w:leader="dot" w:pos="9746"/>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_Toc2661 </w:instrText>
      </w:r>
      <w:r>
        <w:rPr>
          <w:rFonts w:hint="eastAsia" w:ascii="宋体" w:hAnsi="宋体" w:eastAsia="宋体" w:cs="宋体"/>
          <w:sz w:val="28"/>
          <w:szCs w:val="28"/>
        </w:rPr>
        <w:fldChar w:fldCharType="separate"/>
      </w:r>
      <w:r>
        <w:rPr>
          <w:rFonts w:hint="eastAsia" w:ascii="宋体" w:hAnsi="宋体" w:eastAsia="宋体" w:cs="宋体"/>
          <w:bCs/>
          <w:sz w:val="28"/>
          <w:szCs w:val="28"/>
          <w:lang w:val="en-US"/>
        </w:rPr>
        <w:t>第二章 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_Toc2661 \h </w:instrText>
      </w:r>
      <w:r>
        <w:rPr>
          <w:rFonts w:hint="eastAsia" w:ascii="宋体" w:hAnsi="宋体" w:eastAsia="宋体" w:cs="宋体"/>
          <w:sz w:val="28"/>
          <w:szCs w:val="28"/>
        </w:rPr>
        <w:fldChar w:fldCharType="separate"/>
      </w:r>
      <w:r>
        <w:rPr>
          <w:rFonts w:hint="eastAsia"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47CDDC8C">
      <w:pPr>
        <w:pStyle w:val="28"/>
        <w:tabs>
          <w:tab w:val="right" w:leader="dot" w:pos="9746"/>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_Toc16237 </w:instrText>
      </w:r>
      <w:r>
        <w:rPr>
          <w:rFonts w:hint="eastAsia" w:ascii="宋体" w:hAnsi="宋体" w:eastAsia="宋体" w:cs="宋体"/>
          <w:sz w:val="28"/>
          <w:szCs w:val="28"/>
        </w:rPr>
        <w:fldChar w:fldCharType="separate"/>
      </w:r>
      <w:r>
        <w:rPr>
          <w:rFonts w:hint="eastAsia" w:ascii="宋体" w:hAnsi="宋体" w:eastAsia="宋体" w:cs="宋体"/>
          <w:sz w:val="28"/>
          <w:szCs w:val="28"/>
        </w:rPr>
        <w:t>第三章</w:t>
      </w:r>
      <w:r>
        <w:rPr>
          <w:rFonts w:hint="eastAsia" w:ascii="宋体" w:hAnsi="宋体" w:eastAsia="宋体" w:cs="宋体"/>
          <w:sz w:val="28"/>
          <w:szCs w:val="28"/>
          <w:lang w:val="en-US"/>
        </w:rPr>
        <w:t xml:space="preserve"> </w:t>
      </w:r>
      <w:r>
        <w:rPr>
          <w:rFonts w:hint="eastAsia" w:ascii="宋体" w:hAnsi="宋体" w:eastAsia="宋体" w:cs="宋体"/>
          <w:sz w:val="28"/>
          <w:szCs w:val="28"/>
        </w:rPr>
        <w:t>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_Toc16237 \h </w:instrText>
      </w:r>
      <w:r>
        <w:rPr>
          <w:rFonts w:hint="eastAsia" w:ascii="宋体" w:hAnsi="宋体" w:eastAsia="宋体" w:cs="宋体"/>
          <w:sz w:val="28"/>
          <w:szCs w:val="28"/>
        </w:rPr>
        <w:fldChar w:fldCharType="separate"/>
      </w:r>
      <w:r>
        <w:rPr>
          <w:rFonts w:hint="eastAsia" w:ascii="宋体" w:hAnsi="宋体" w:eastAsia="宋体" w:cs="宋体"/>
          <w:sz w:val="28"/>
          <w:szCs w:val="28"/>
        </w:rPr>
        <w:t>19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23381422">
      <w:pPr>
        <w:pStyle w:val="28"/>
        <w:tabs>
          <w:tab w:val="right" w:leader="dot" w:pos="9746"/>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_Toc8095 </w:instrText>
      </w:r>
      <w:r>
        <w:rPr>
          <w:rFonts w:hint="eastAsia" w:ascii="宋体" w:hAnsi="宋体" w:eastAsia="宋体" w:cs="宋体"/>
          <w:sz w:val="28"/>
          <w:szCs w:val="28"/>
        </w:rPr>
        <w:fldChar w:fldCharType="separate"/>
      </w:r>
      <w:r>
        <w:rPr>
          <w:rFonts w:hint="eastAsia" w:ascii="宋体" w:hAnsi="宋体" w:eastAsia="宋体" w:cs="宋体"/>
          <w:sz w:val="28"/>
          <w:szCs w:val="28"/>
        </w:rPr>
        <w:t>第四章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_Toc8095 \h </w:instrText>
      </w:r>
      <w:r>
        <w:rPr>
          <w:rFonts w:hint="eastAsia" w:ascii="宋体" w:hAnsi="宋体" w:eastAsia="宋体" w:cs="宋体"/>
          <w:sz w:val="28"/>
          <w:szCs w:val="28"/>
        </w:rPr>
        <w:fldChar w:fldCharType="separate"/>
      </w:r>
      <w:r>
        <w:rPr>
          <w:rFonts w:hint="eastAsia" w:ascii="宋体" w:hAnsi="宋体" w:eastAsia="宋体" w:cs="宋体"/>
          <w:sz w:val="28"/>
          <w:szCs w:val="28"/>
        </w:rPr>
        <w:t>36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384D5FCB">
      <w:pPr>
        <w:pStyle w:val="28"/>
        <w:tabs>
          <w:tab w:val="right" w:leader="dot" w:pos="9746"/>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_Toc16541 </w:instrText>
      </w:r>
      <w:r>
        <w:rPr>
          <w:rFonts w:hint="eastAsia" w:ascii="宋体" w:hAnsi="宋体" w:eastAsia="宋体" w:cs="宋体"/>
          <w:sz w:val="28"/>
          <w:szCs w:val="28"/>
        </w:rPr>
        <w:fldChar w:fldCharType="separate"/>
      </w:r>
      <w:r>
        <w:rPr>
          <w:rFonts w:hint="eastAsia" w:ascii="宋体" w:hAnsi="宋体" w:eastAsia="宋体" w:cs="宋体"/>
          <w:sz w:val="28"/>
          <w:szCs w:val="28"/>
        </w:rPr>
        <w:t>第五章</w:t>
      </w:r>
      <w:r>
        <w:rPr>
          <w:rFonts w:hint="eastAsia" w:ascii="宋体" w:hAnsi="宋体" w:eastAsia="宋体" w:cs="宋体"/>
          <w:sz w:val="28"/>
          <w:szCs w:val="28"/>
          <w:lang w:val="en-US"/>
        </w:rPr>
        <w:t xml:space="preserve"> </w:t>
      </w:r>
      <w:r>
        <w:rPr>
          <w:rFonts w:hint="eastAsia" w:ascii="宋体" w:hAnsi="宋体" w:eastAsia="宋体" w:cs="宋体"/>
          <w:sz w:val="28"/>
          <w:szCs w:val="28"/>
        </w:rPr>
        <w:t>合同主要条款</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_Toc16541 \h </w:instrText>
      </w:r>
      <w:r>
        <w:rPr>
          <w:rFonts w:hint="eastAsia" w:ascii="宋体" w:hAnsi="宋体" w:eastAsia="宋体" w:cs="宋体"/>
          <w:sz w:val="28"/>
          <w:szCs w:val="28"/>
        </w:rPr>
        <w:fldChar w:fldCharType="separate"/>
      </w:r>
      <w:r>
        <w:rPr>
          <w:rFonts w:hint="eastAsia" w:ascii="宋体" w:hAnsi="宋体" w:eastAsia="宋体" w:cs="宋体"/>
          <w:sz w:val="28"/>
          <w:szCs w:val="28"/>
        </w:rPr>
        <w:t>43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3788644B">
      <w:pPr>
        <w:pStyle w:val="28"/>
        <w:tabs>
          <w:tab w:val="right" w:leader="dot" w:pos="9746"/>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_Toc6804 </w:instrText>
      </w:r>
      <w:r>
        <w:rPr>
          <w:rFonts w:hint="eastAsia" w:ascii="宋体" w:hAnsi="宋体" w:eastAsia="宋体" w:cs="宋体"/>
          <w:sz w:val="28"/>
          <w:szCs w:val="28"/>
        </w:rPr>
        <w:fldChar w:fldCharType="separate"/>
      </w:r>
      <w:r>
        <w:rPr>
          <w:rFonts w:hint="eastAsia" w:ascii="宋体" w:hAnsi="宋体" w:eastAsia="宋体" w:cs="宋体"/>
          <w:sz w:val="28"/>
          <w:szCs w:val="28"/>
          <w:lang w:val="en-US"/>
        </w:rPr>
        <w:t>第六章 评审办法</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_Toc6804 \h </w:instrText>
      </w:r>
      <w:r>
        <w:rPr>
          <w:rFonts w:hint="eastAsia" w:ascii="宋体" w:hAnsi="宋体" w:eastAsia="宋体" w:cs="宋体"/>
          <w:sz w:val="28"/>
          <w:szCs w:val="28"/>
        </w:rPr>
        <w:fldChar w:fldCharType="separate"/>
      </w:r>
      <w:r>
        <w:rPr>
          <w:rFonts w:hint="eastAsia" w:ascii="宋体" w:hAnsi="宋体" w:eastAsia="宋体" w:cs="宋体"/>
          <w:sz w:val="28"/>
          <w:szCs w:val="28"/>
        </w:rPr>
        <w:t>47</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60347BFB">
      <w:pPr>
        <w:ind w:firstLine="440"/>
      </w:pPr>
      <w:r>
        <w:rPr>
          <w:rFonts w:hint="eastAsia" w:ascii="宋体" w:hAnsi="宋体" w:eastAsia="宋体" w:cs="宋体"/>
          <w:sz w:val="28"/>
          <w:szCs w:val="28"/>
        </w:rPr>
        <w:fldChar w:fldCharType="end"/>
      </w:r>
    </w:p>
    <w:p w14:paraId="7EE97A4A">
      <w:pPr>
        <w:spacing w:line="360" w:lineRule="auto"/>
        <w:ind w:firstLine="883"/>
        <w:jc w:val="center"/>
        <w:outlineLvl w:val="9"/>
        <w:rPr>
          <w:rStyle w:val="200"/>
          <w:rFonts w:ascii="宋体" w:hAnsi="宋体" w:eastAsia="宋体" w:cs="宋体"/>
        </w:rPr>
        <w:sectPr>
          <w:footerReference r:id="rId4" w:type="default"/>
          <w:pgSz w:w="11906" w:h="16838"/>
          <w:pgMar w:top="1440" w:right="1080" w:bottom="1440" w:left="1080" w:header="567" w:footer="567" w:gutter="0"/>
          <w:pgNumType w:start="2"/>
          <w:cols w:space="720" w:num="1"/>
          <w:docGrid w:linePitch="360" w:charSpace="0"/>
        </w:sectPr>
      </w:pPr>
    </w:p>
    <w:p w14:paraId="575B333E">
      <w:pPr>
        <w:spacing w:line="360" w:lineRule="auto"/>
        <w:ind w:firstLine="883"/>
        <w:jc w:val="center"/>
        <w:outlineLvl w:val="0"/>
        <w:rPr>
          <w:rStyle w:val="200"/>
          <w:rFonts w:ascii="宋体" w:hAnsi="宋体" w:eastAsia="宋体" w:cs="宋体"/>
        </w:rPr>
      </w:pPr>
      <w:bookmarkStart w:id="3" w:name="_Toc10801"/>
      <w:bookmarkStart w:id="4" w:name="_Toc15281"/>
      <w:r>
        <w:rPr>
          <w:rStyle w:val="200"/>
          <w:rFonts w:hint="eastAsia" w:ascii="宋体" w:hAnsi="宋体" w:eastAsia="宋体" w:cs="宋体"/>
        </w:rPr>
        <w:t>第一章 竞争性磋商公告</w:t>
      </w:r>
      <w:bookmarkEnd w:id="3"/>
      <w:bookmarkEnd w:id="4"/>
    </w:p>
    <w:tbl>
      <w:tblPr>
        <w:tblStyle w:val="41"/>
        <w:tblW w:w="9696" w:type="dxa"/>
        <w:tblInd w:w="2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6"/>
      </w:tblGrid>
      <w:tr w14:paraId="225DF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6" w:type="dxa"/>
            <w:noWrap w:val="0"/>
          </w:tcPr>
          <w:p w14:paraId="45DEAD0C">
            <w:pPr>
              <w:spacing w:line="348" w:lineRule="auto"/>
              <w:ind w:firstLine="480"/>
              <w:rPr>
                <w:rFonts w:ascii="宋体" w:hAnsi="宋体" w:cs="宋体"/>
                <w:color w:val="auto"/>
                <w:sz w:val="24"/>
              </w:rPr>
            </w:pPr>
            <w:bookmarkStart w:id="5" w:name="OLE_LINK2"/>
            <w:bookmarkStart w:id="6" w:name="OLE_LINK1"/>
            <w:r>
              <w:rPr>
                <w:rFonts w:hint="eastAsia" w:ascii="宋体" w:hAnsi="宋体" w:cs="宋体"/>
                <w:color w:val="auto"/>
                <w:sz w:val="24"/>
              </w:rPr>
              <w:t>项目概况</w:t>
            </w:r>
          </w:p>
          <w:p w14:paraId="5F4295FA">
            <w:pPr>
              <w:spacing w:line="348" w:lineRule="auto"/>
              <w:ind w:firstLine="480"/>
              <w:rPr>
                <w:rFonts w:ascii="宋体" w:hAnsi="宋体" w:cs="宋体"/>
                <w:color w:val="auto"/>
                <w:sz w:val="24"/>
              </w:rPr>
            </w:pPr>
            <w:r>
              <w:rPr>
                <w:rFonts w:hint="eastAsia" w:ascii="宋体" w:hAnsi="宋体" w:cs="宋体"/>
                <w:color w:val="auto"/>
                <w:sz w:val="24"/>
                <w:u w:val="single"/>
                <w:lang w:eastAsia="zh-CN"/>
              </w:rPr>
              <w:t>望亭镇2026年农村生活污水提升泵站养护服务</w:t>
            </w:r>
            <w:r>
              <w:rPr>
                <w:rFonts w:hint="eastAsia" w:ascii="宋体" w:hAnsi="宋体" w:cs="宋体"/>
                <w:color w:val="auto"/>
                <w:sz w:val="24"/>
              </w:rPr>
              <w:t>项目的潜在供应商应在</w:t>
            </w:r>
            <w:r>
              <w:rPr>
                <w:rFonts w:hint="eastAsia" w:ascii="宋体" w:hAnsi="宋体" w:cs="宋体"/>
                <w:color w:val="auto"/>
                <w:sz w:val="24"/>
                <w:u w:val="single"/>
              </w:rPr>
              <w:t>苏采云系统</w:t>
            </w:r>
            <w:r>
              <w:rPr>
                <w:rFonts w:hint="eastAsia" w:ascii="宋体" w:hAnsi="宋体" w:cs="宋体"/>
                <w:color w:val="auto"/>
                <w:sz w:val="24"/>
              </w:rPr>
              <w:t>获取采购文件，并于</w:t>
            </w:r>
            <w:r>
              <w:rPr>
                <w:rFonts w:hint="eastAsia" w:ascii="宋体" w:hAnsi="宋体" w:cs="宋体"/>
                <w:color w:val="auto"/>
                <w:sz w:val="24"/>
                <w:u w:val="single"/>
              </w:rPr>
              <w:t>202</w:t>
            </w:r>
            <w:r>
              <w:rPr>
                <w:rFonts w:hint="eastAsia" w:ascii="宋体" w:hAnsi="宋体" w:cs="宋体"/>
                <w:color w:val="auto"/>
                <w:sz w:val="24"/>
                <w:u w:val="single"/>
                <w:lang w:val="en-US" w:eastAsia="zh-CN"/>
              </w:rPr>
              <w:t>6</w:t>
            </w:r>
            <w:r>
              <w:rPr>
                <w:rFonts w:hint="eastAsia" w:ascii="宋体" w:hAnsi="宋体" w:cs="宋体"/>
                <w:color w:val="auto"/>
                <w:sz w:val="24"/>
                <w:u w:val="single"/>
              </w:rPr>
              <w:t>年</w:t>
            </w:r>
            <w:r>
              <w:rPr>
                <w:rFonts w:hint="eastAsia" w:ascii="宋体" w:hAnsi="宋体" w:cs="宋体"/>
                <w:color w:val="auto"/>
                <w:sz w:val="24"/>
                <w:u w:val="single"/>
                <w:lang w:val="en-US" w:eastAsia="zh-CN"/>
              </w:rPr>
              <w:t>8</w:t>
            </w:r>
            <w:r>
              <w:rPr>
                <w:rFonts w:hint="eastAsia" w:ascii="宋体" w:hAnsi="宋体" w:cs="宋体"/>
                <w:color w:val="auto"/>
                <w:sz w:val="24"/>
                <w:u w:val="single"/>
              </w:rPr>
              <w:t>月</w:t>
            </w:r>
            <w:r>
              <w:rPr>
                <w:rFonts w:hint="eastAsia" w:ascii="宋体" w:hAnsi="宋体" w:cs="宋体"/>
                <w:color w:val="auto"/>
                <w:sz w:val="24"/>
                <w:u w:val="single"/>
                <w:lang w:val="en-US" w:eastAsia="zh-CN"/>
              </w:rPr>
              <w:t>24</w:t>
            </w:r>
            <w:r>
              <w:rPr>
                <w:rFonts w:hint="eastAsia" w:ascii="宋体" w:hAnsi="宋体" w:cs="宋体"/>
                <w:color w:val="auto"/>
                <w:sz w:val="24"/>
                <w:u w:val="single"/>
              </w:rPr>
              <w:t>日</w:t>
            </w:r>
            <w:r>
              <w:rPr>
                <w:rFonts w:hint="eastAsia" w:ascii="宋体" w:hAnsi="宋体" w:cs="宋体"/>
                <w:color w:val="auto"/>
                <w:sz w:val="24"/>
                <w:u w:val="single"/>
                <w:lang w:val="en-US" w:eastAsia="zh-CN"/>
              </w:rPr>
              <w:t>13</w:t>
            </w:r>
            <w:r>
              <w:rPr>
                <w:rFonts w:hint="eastAsia" w:ascii="宋体" w:hAnsi="宋体" w:cs="宋体"/>
                <w:color w:val="auto"/>
                <w:sz w:val="24"/>
                <w:u w:val="single"/>
              </w:rPr>
              <w:t>点</w:t>
            </w:r>
            <w:r>
              <w:rPr>
                <w:rFonts w:hint="eastAsia" w:ascii="宋体" w:hAnsi="宋体" w:cs="宋体"/>
                <w:color w:val="auto"/>
                <w:sz w:val="24"/>
                <w:u w:val="single"/>
                <w:lang w:val="en-US" w:eastAsia="zh-CN"/>
              </w:rPr>
              <w:t>30</w:t>
            </w:r>
            <w:r>
              <w:rPr>
                <w:rFonts w:hint="eastAsia" w:ascii="宋体" w:hAnsi="宋体" w:cs="宋体"/>
                <w:color w:val="auto"/>
                <w:sz w:val="24"/>
                <w:u w:val="single"/>
              </w:rPr>
              <w:t>分</w:t>
            </w:r>
            <w:r>
              <w:rPr>
                <w:rFonts w:hint="eastAsia" w:ascii="宋体" w:hAnsi="宋体" w:cs="宋体"/>
                <w:color w:val="auto"/>
                <w:sz w:val="24"/>
              </w:rPr>
              <w:t>（北京时间）前提交响应文件。</w:t>
            </w:r>
            <w:bookmarkEnd w:id="5"/>
            <w:bookmarkEnd w:id="6"/>
          </w:p>
        </w:tc>
      </w:tr>
    </w:tbl>
    <w:p w14:paraId="44652719">
      <w:pPr>
        <w:spacing w:line="348" w:lineRule="auto"/>
        <w:ind w:firstLine="480"/>
        <w:rPr>
          <w:rFonts w:ascii="宋体" w:hAnsi="宋体" w:cs="宋体"/>
          <w:color w:val="auto"/>
          <w:sz w:val="24"/>
        </w:rPr>
      </w:pPr>
      <w:r>
        <w:rPr>
          <w:rFonts w:hint="eastAsia" w:ascii="宋体" w:hAnsi="宋体" w:cs="宋体"/>
          <w:color w:val="auto"/>
          <w:sz w:val="24"/>
        </w:rPr>
        <w:t>一、项目基本情况：</w:t>
      </w:r>
    </w:p>
    <w:p w14:paraId="3DADE1A0">
      <w:pPr>
        <w:spacing w:line="348"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rPr>
        <w:t>采购编号：</w:t>
      </w:r>
      <w:r>
        <w:rPr>
          <w:rFonts w:hint="eastAsia" w:ascii="宋体" w:hAnsi="宋体" w:cs="宋体"/>
          <w:color w:val="auto"/>
          <w:sz w:val="24"/>
          <w:highlight w:val="none"/>
          <w:lang w:eastAsia="zh-CN"/>
        </w:rPr>
        <w:t>JSZC-320507-JSZQ-C2026-0007</w:t>
      </w:r>
      <w:r>
        <w:rPr>
          <w:color w:val="auto"/>
        </w:rPr>
        <w:t xml:space="preserve"> </w:t>
      </w:r>
    </w:p>
    <w:p w14:paraId="140B518B">
      <w:pPr>
        <w:spacing w:line="348"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望亭镇2026年农村生活污水提升泵站养护服务</w:t>
      </w:r>
    </w:p>
    <w:p w14:paraId="677E5681">
      <w:pPr>
        <w:spacing w:line="348" w:lineRule="auto"/>
        <w:ind w:firstLine="480"/>
        <w:rPr>
          <w:rFonts w:ascii="宋体" w:hAnsi="宋体" w:cs="宋体"/>
          <w:color w:val="auto"/>
          <w:sz w:val="24"/>
          <w:highlight w:val="none"/>
        </w:rPr>
      </w:pPr>
      <w:r>
        <w:rPr>
          <w:rFonts w:hint="eastAsia" w:ascii="宋体" w:hAnsi="宋体" w:cs="宋体"/>
          <w:color w:val="auto"/>
          <w:sz w:val="24"/>
          <w:highlight w:val="none"/>
        </w:rPr>
        <w:t>采购方式：竞争性磋商</w:t>
      </w:r>
    </w:p>
    <w:p w14:paraId="2A7A2763">
      <w:pPr>
        <w:spacing w:line="348"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rPr>
        <w:t>采购预算：</w:t>
      </w:r>
      <w:r>
        <w:rPr>
          <w:rFonts w:hint="eastAsia" w:ascii="宋体" w:hAnsi="宋体" w:cs="宋体"/>
          <w:color w:val="auto"/>
          <w:sz w:val="24"/>
          <w:highlight w:val="none"/>
          <w:lang w:eastAsia="zh-CN"/>
        </w:rPr>
        <w:t>人民币壹佰捌拾捌万陆仟叁佰玖拾捌元整（￥1886398.00）</w:t>
      </w:r>
    </w:p>
    <w:p w14:paraId="62E8BCC6">
      <w:pPr>
        <w:spacing w:line="348" w:lineRule="auto"/>
        <w:ind w:firstLine="480"/>
        <w:rPr>
          <w:rFonts w:hint="eastAsia" w:ascii="宋体" w:hAnsi="宋体" w:cs="宋体"/>
          <w:color w:val="auto"/>
          <w:sz w:val="24"/>
          <w:highlight w:val="none"/>
        </w:rPr>
      </w:pPr>
      <w:r>
        <w:rPr>
          <w:rFonts w:hint="eastAsia" w:ascii="宋体" w:hAnsi="宋体" w:cs="宋体"/>
          <w:color w:val="auto"/>
          <w:sz w:val="24"/>
          <w:highlight w:val="none"/>
        </w:rPr>
        <w:t>最高限价：</w:t>
      </w:r>
      <w:r>
        <w:rPr>
          <w:rFonts w:hint="eastAsia" w:ascii="宋体" w:hAnsi="宋体" w:cs="宋体"/>
          <w:color w:val="auto"/>
          <w:sz w:val="24"/>
          <w:highlight w:val="none"/>
          <w:lang w:eastAsia="zh-CN"/>
        </w:rPr>
        <w:t>人民币壹佰捌拾捌万陆仟叁佰玖拾捌元整（￥1886398.00）</w:t>
      </w:r>
    </w:p>
    <w:p w14:paraId="59AACB1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采购需求：</w:t>
      </w:r>
      <w:r>
        <w:rPr>
          <w:rFonts w:hint="eastAsia" w:ascii="宋体" w:hAnsi="宋体" w:eastAsia="宋体" w:cs="宋体"/>
          <w:color w:val="auto"/>
          <w:sz w:val="24"/>
          <w:szCs w:val="24"/>
          <w:highlight w:val="none"/>
        </w:rPr>
        <w:t>本项目为</w:t>
      </w:r>
      <w:r>
        <w:rPr>
          <w:rFonts w:hint="eastAsia" w:ascii="宋体" w:hAnsi="宋体" w:cs="宋体"/>
          <w:color w:val="auto"/>
          <w:sz w:val="24"/>
          <w:highlight w:val="none"/>
          <w:lang w:eastAsia="zh-CN"/>
        </w:rPr>
        <w:t>望亭镇2026年农村生活污水提升泵站养护服务</w:t>
      </w:r>
      <w:r>
        <w:rPr>
          <w:rFonts w:hint="eastAsia" w:ascii="宋体" w:hAnsi="宋体" w:eastAsia="宋体" w:cs="宋体"/>
          <w:color w:val="auto"/>
          <w:sz w:val="24"/>
          <w:szCs w:val="24"/>
          <w:highlight w:val="none"/>
        </w:rPr>
        <w:t>，主要包含：潜水泵、法兰阀门、配电单元、污水井及配电箱等</w:t>
      </w:r>
      <w:r>
        <w:rPr>
          <w:rFonts w:hint="eastAsia" w:ascii="宋体" w:hAnsi="宋体" w:eastAsia="宋体" w:cs="宋体"/>
          <w:color w:val="auto"/>
          <w:sz w:val="24"/>
          <w:szCs w:val="24"/>
          <w:highlight w:val="none"/>
          <w:lang w:eastAsia="zh-CN"/>
        </w:rPr>
        <w:t>。</w:t>
      </w:r>
    </w:p>
    <w:p w14:paraId="4CA8E6AD">
      <w:pPr>
        <w:spacing w:line="348"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rPr>
        <w:t>服务期限：</w:t>
      </w:r>
      <w:r>
        <w:rPr>
          <w:rFonts w:hint="eastAsia" w:ascii="宋体" w:hAnsi="宋体" w:cs="宋体"/>
          <w:color w:val="auto"/>
          <w:sz w:val="24"/>
          <w:highlight w:val="none"/>
          <w:lang w:val="en-US" w:eastAsia="zh-CN"/>
        </w:rPr>
        <w:t>自合同签订之日起至2027年12月31日</w:t>
      </w:r>
      <w:r>
        <w:rPr>
          <w:rFonts w:hint="eastAsia" w:ascii="宋体" w:hAnsi="宋体" w:cs="宋体"/>
          <w:color w:val="auto"/>
          <w:sz w:val="24"/>
          <w:highlight w:val="none"/>
          <w:lang w:eastAsia="zh-CN"/>
        </w:rPr>
        <w:t>。</w:t>
      </w:r>
    </w:p>
    <w:p w14:paraId="2D19F98E">
      <w:pPr>
        <w:spacing w:line="348" w:lineRule="auto"/>
        <w:ind w:firstLine="480"/>
        <w:rPr>
          <w:rFonts w:ascii="宋体" w:hAnsi="宋体" w:cs="宋体"/>
          <w:color w:val="auto"/>
          <w:sz w:val="24"/>
          <w:highlight w:val="none"/>
        </w:rPr>
      </w:pPr>
      <w:bookmarkStart w:id="7" w:name="_Toc28359090"/>
      <w:bookmarkStart w:id="8" w:name="_Toc28359013"/>
      <w:bookmarkStart w:id="9" w:name="_Toc35393799"/>
      <w:bookmarkStart w:id="10" w:name="_Toc35393630"/>
      <w:r>
        <w:rPr>
          <w:rFonts w:hint="eastAsia" w:ascii="宋体" w:hAnsi="宋体" w:cs="宋体"/>
          <w:color w:val="auto"/>
          <w:sz w:val="24"/>
          <w:highlight w:val="none"/>
        </w:rPr>
        <w:t>二、申请人的资格要求：</w:t>
      </w:r>
      <w:bookmarkEnd w:id="7"/>
      <w:bookmarkEnd w:id="8"/>
      <w:bookmarkEnd w:id="9"/>
      <w:bookmarkEnd w:id="10"/>
    </w:p>
    <w:p w14:paraId="5331EE10">
      <w:pPr>
        <w:spacing w:line="348" w:lineRule="auto"/>
        <w:ind w:firstLine="480"/>
        <w:rPr>
          <w:rFonts w:ascii="宋体" w:hAnsi="宋体" w:cs="宋体"/>
          <w:color w:val="auto"/>
          <w:sz w:val="24"/>
          <w:highlight w:val="none"/>
        </w:rPr>
      </w:pPr>
      <w:r>
        <w:rPr>
          <w:rFonts w:hint="eastAsia" w:ascii="宋体" w:hAnsi="宋体" w:cs="宋体"/>
          <w:color w:val="auto"/>
          <w:sz w:val="24"/>
          <w:highlight w:val="none"/>
        </w:rPr>
        <w:t>1.满足《中华人民共和国政府采购法》第二十二条规定：</w:t>
      </w:r>
    </w:p>
    <w:p w14:paraId="7619FA58">
      <w:pPr>
        <w:spacing w:line="348" w:lineRule="auto"/>
        <w:ind w:firstLine="480"/>
        <w:rPr>
          <w:rFonts w:ascii="宋体" w:hAnsi="宋体" w:cs="宋体"/>
          <w:color w:val="auto"/>
          <w:sz w:val="24"/>
          <w:highlight w:val="none"/>
        </w:rPr>
      </w:pPr>
      <w:r>
        <w:rPr>
          <w:rFonts w:hint="eastAsia" w:ascii="宋体" w:hAnsi="宋体" w:cs="宋体"/>
          <w:color w:val="auto"/>
          <w:sz w:val="24"/>
          <w:highlight w:val="none"/>
        </w:rPr>
        <w:t>1.1具有独立承担民事责任的能力；</w:t>
      </w:r>
    </w:p>
    <w:p w14:paraId="33F4C504">
      <w:pPr>
        <w:spacing w:line="348" w:lineRule="auto"/>
        <w:ind w:firstLine="480"/>
        <w:rPr>
          <w:rFonts w:ascii="宋体" w:hAnsi="宋体" w:cs="宋体"/>
          <w:color w:val="auto"/>
          <w:sz w:val="24"/>
          <w:highlight w:val="none"/>
        </w:rPr>
      </w:pPr>
      <w:r>
        <w:rPr>
          <w:rFonts w:hint="eastAsia" w:ascii="宋体" w:hAnsi="宋体" w:cs="宋体"/>
          <w:color w:val="auto"/>
          <w:sz w:val="24"/>
          <w:highlight w:val="none"/>
        </w:rPr>
        <w:t>1.2具有良好的商业信誉和健全的财务会计制度；</w:t>
      </w:r>
    </w:p>
    <w:p w14:paraId="2B4C1F6B">
      <w:pPr>
        <w:spacing w:line="348" w:lineRule="auto"/>
        <w:ind w:firstLine="480"/>
        <w:rPr>
          <w:rFonts w:ascii="宋体" w:hAnsi="宋体" w:cs="宋体"/>
          <w:color w:val="auto"/>
          <w:sz w:val="24"/>
          <w:highlight w:val="none"/>
        </w:rPr>
      </w:pPr>
      <w:r>
        <w:rPr>
          <w:rFonts w:hint="eastAsia" w:ascii="宋体" w:hAnsi="宋体" w:cs="宋体"/>
          <w:color w:val="auto"/>
          <w:sz w:val="24"/>
          <w:highlight w:val="none"/>
        </w:rPr>
        <w:t>1.3具有履行合同所必需的设备和专业技术能力；</w:t>
      </w:r>
    </w:p>
    <w:p w14:paraId="32D3335F">
      <w:pPr>
        <w:spacing w:line="348" w:lineRule="auto"/>
        <w:ind w:firstLine="480"/>
        <w:rPr>
          <w:rFonts w:ascii="宋体" w:hAnsi="宋体" w:cs="宋体"/>
          <w:color w:val="auto"/>
          <w:sz w:val="24"/>
          <w:highlight w:val="none"/>
        </w:rPr>
      </w:pPr>
      <w:r>
        <w:rPr>
          <w:rFonts w:hint="eastAsia" w:ascii="宋体" w:hAnsi="宋体" w:cs="宋体"/>
          <w:color w:val="auto"/>
          <w:sz w:val="24"/>
          <w:highlight w:val="none"/>
        </w:rPr>
        <w:t>1.4有依法缴纳税收和社会保障资金的良好记录；</w:t>
      </w:r>
    </w:p>
    <w:p w14:paraId="3628BB3B">
      <w:pPr>
        <w:spacing w:line="348" w:lineRule="auto"/>
        <w:ind w:firstLine="480"/>
        <w:rPr>
          <w:rFonts w:ascii="宋体" w:hAnsi="宋体" w:cs="宋体"/>
          <w:color w:val="auto"/>
          <w:sz w:val="24"/>
          <w:highlight w:val="none"/>
        </w:rPr>
      </w:pPr>
      <w:r>
        <w:rPr>
          <w:rFonts w:hint="eastAsia" w:ascii="宋体" w:hAnsi="宋体" w:cs="宋体"/>
          <w:color w:val="auto"/>
          <w:sz w:val="24"/>
          <w:highlight w:val="none"/>
        </w:rPr>
        <w:t>1.5参加政府采购活动前三年内，在经营活动中没有重大违法记录；</w:t>
      </w:r>
    </w:p>
    <w:p w14:paraId="44145259">
      <w:pPr>
        <w:spacing w:line="348" w:lineRule="auto"/>
        <w:ind w:firstLine="480"/>
        <w:rPr>
          <w:rFonts w:ascii="宋体" w:hAnsi="宋体" w:cs="宋体"/>
          <w:color w:val="auto"/>
          <w:sz w:val="24"/>
          <w:highlight w:val="none"/>
        </w:rPr>
      </w:pPr>
      <w:r>
        <w:rPr>
          <w:rFonts w:hint="eastAsia" w:ascii="宋体" w:hAnsi="宋体" w:cs="宋体"/>
          <w:color w:val="auto"/>
          <w:sz w:val="24"/>
          <w:highlight w:val="none"/>
        </w:rPr>
        <w:t>1.6法律、行政法规规定的其他条件。</w:t>
      </w:r>
    </w:p>
    <w:p w14:paraId="2A53D214">
      <w:pPr>
        <w:spacing w:line="360" w:lineRule="auto"/>
        <w:ind w:firstLine="480"/>
        <w:rPr>
          <w:color w:val="auto"/>
        </w:rPr>
      </w:pPr>
      <w:bookmarkStart w:id="11" w:name="_Toc28359014"/>
      <w:bookmarkStart w:id="12" w:name="_Toc28359091"/>
      <w:r>
        <w:rPr>
          <w:rFonts w:hint="eastAsia" w:ascii="宋体" w:hAnsi="宋体" w:cs="宋体"/>
          <w:color w:val="auto"/>
          <w:sz w:val="24"/>
          <w:highlight w:val="none"/>
        </w:rPr>
        <w:t>2.落实政府采购政策需满足的资格要求：根据《政府采购促进中小企业发展管理办法》的相关规定，本项目专门面向中小企业,所属行业为其他未列明行业,供应商所提供服务的所有承接商应为中小微企业、监狱企业、残疾人福利性单位。</w:t>
      </w:r>
    </w:p>
    <w:p w14:paraId="12B32B64">
      <w:pPr>
        <w:spacing w:line="360" w:lineRule="auto"/>
        <w:ind w:firstLine="480"/>
        <w:rPr>
          <w:rFonts w:hint="eastAsia" w:ascii="宋体" w:hAnsi="宋体" w:cs="宋体"/>
          <w:color w:val="auto"/>
          <w:sz w:val="24"/>
        </w:rPr>
      </w:pPr>
      <w:r>
        <w:rPr>
          <w:rFonts w:hint="eastAsia" w:ascii="宋体" w:hAnsi="宋体" w:cs="宋体"/>
          <w:color w:val="auto"/>
          <w:sz w:val="24"/>
        </w:rPr>
        <w:t>3.本项目的特定资格要求：</w:t>
      </w:r>
      <w:bookmarkEnd w:id="11"/>
      <w:bookmarkEnd w:id="12"/>
      <w:bookmarkStart w:id="13" w:name="_Toc28359001"/>
      <w:bookmarkStart w:id="14" w:name="_Toc35393789"/>
    </w:p>
    <w:p w14:paraId="4F8A15B1">
      <w:pPr>
        <w:spacing w:line="360" w:lineRule="auto"/>
        <w:ind w:firstLine="480"/>
        <w:rPr>
          <w:rFonts w:ascii="宋体" w:hAnsi="宋体" w:cs="宋体"/>
          <w:color w:val="auto"/>
          <w:sz w:val="24"/>
        </w:rPr>
      </w:pPr>
      <w:r>
        <w:rPr>
          <w:rFonts w:hint="eastAsia" w:ascii="宋体" w:hAnsi="宋体" w:cs="宋体"/>
          <w:color w:val="auto"/>
          <w:sz w:val="24"/>
        </w:rPr>
        <w:t>（1）未被“信用中国”网站（www.creditchina.gov.cn）或“中国政府采购网”网站（www.ccgp.gov.cn）列入失信被执行人、重大税收违法案件当事人名单、政府采购严重失信行为记录名单；</w:t>
      </w:r>
    </w:p>
    <w:p w14:paraId="3E0BE1FE">
      <w:pPr>
        <w:spacing w:line="360" w:lineRule="auto"/>
        <w:ind w:firstLine="480"/>
        <w:rPr>
          <w:rFonts w:ascii="宋体" w:hAnsi="宋体" w:cs="宋体"/>
          <w:color w:val="auto"/>
          <w:sz w:val="24"/>
        </w:rPr>
      </w:pPr>
      <w:r>
        <w:rPr>
          <w:rFonts w:hint="eastAsia" w:ascii="宋体" w:hAnsi="宋体" w:cs="宋体"/>
          <w:color w:val="auto"/>
          <w:sz w:val="24"/>
        </w:rPr>
        <w:t>（2）本项目</w:t>
      </w:r>
      <w:r>
        <w:rPr>
          <w:rFonts w:hint="eastAsia" w:ascii="宋体" w:hAnsi="宋体" w:cs="宋体"/>
          <w:color w:val="auto"/>
          <w:sz w:val="24"/>
          <w:u w:val="single"/>
        </w:rPr>
        <w:t xml:space="preserve"> 不接受 </w:t>
      </w:r>
      <w:r>
        <w:rPr>
          <w:rFonts w:hint="eastAsia" w:ascii="宋体" w:hAnsi="宋体" w:cs="宋体"/>
          <w:color w:val="auto"/>
          <w:sz w:val="24"/>
        </w:rPr>
        <w:t>联合体响应；</w:t>
      </w:r>
    </w:p>
    <w:p w14:paraId="3F386437">
      <w:pPr>
        <w:spacing w:line="360" w:lineRule="auto"/>
        <w:ind w:firstLine="480"/>
        <w:rPr>
          <w:rFonts w:ascii="宋体" w:hAnsi="宋体" w:cs="宋体"/>
          <w:color w:val="auto"/>
          <w:sz w:val="24"/>
        </w:rPr>
      </w:pPr>
      <w:r>
        <w:rPr>
          <w:rFonts w:hint="eastAsia" w:ascii="宋体" w:hAnsi="宋体" w:cs="宋体"/>
          <w:color w:val="auto"/>
          <w:sz w:val="24"/>
        </w:rPr>
        <w:t>（3）单位负责人为同一人或者存在直接控股、管理关系的不同供应商（包含法定代表人为同一个人的两个及两个以上法人，母公司、全资子公司及其控股公司），不得参加同一合同项下的政府采购活动；</w:t>
      </w:r>
    </w:p>
    <w:p w14:paraId="67822DFC">
      <w:pPr>
        <w:spacing w:line="360" w:lineRule="auto"/>
        <w:ind w:firstLine="480"/>
        <w:rPr>
          <w:rFonts w:ascii="宋体" w:hAnsi="宋体" w:cs="宋体"/>
          <w:color w:val="auto"/>
          <w:sz w:val="24"/>
        </w:rPr>
      </w:pPr>
      <w:r>
        <w:rPr>
          <w:rFonts w:hint="eastAsia" w:ascii="宋体" w:hAnsi="宋体" w:cs="宋体"/>
          <w:color w:val="auto"/>
          <w:sz w:val="24"/>
        </w:rPr>
        <w:t>（4）凡为采购项目提供整体设计、规范编制或者项目管理、监理、检测等服务的供应商，不得再参加本项目的采购活动；</w:t>
      </w:r>
    </w:p>
    <w:p w14:paraId="2EDD8537">
      <w:pPr>
        <w:spacing w:line="360" w:lineRule="auto"/>
        <w:ind w:firstLine="480"/>
        <w:rPr>
          <w:rFonts w:ascii="宋体" w:hAnsi="宋体" w:cs="宋体"/>
          <w:color w:val="auto"/>
          <w:sz w:val="24"/>
        </w:rPr>
      </w:pPr>
      <w:r>
        <w:rPr>
          <w:rFonts w:hint="eastAsia" w:ascii="宋体" w:hAnsi="宋体" w:cs="宋体"/>
          <w:color w:val="auto"/>
          <w:sz w:val="24"/>
        </w:rPr>
        <w:t>（5）法人的分支机构不得参加投标（除银行、保险、石油石化、电力、电信等行业特殊情况外）。</w:t>
      </w:r>
    </w:p>
    <w:p w14:paraId="7154FD3E">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三、报名及采购文件的获取</w:t>
      </w:r>
    </w:p>
    <w:p w14:paraId="5D7424FD">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1.报名截止时间：自公告发布之日起5个工作日。</w:t>
      </w:r>
      <w:bookmarkEnd w:id="13"/>
      <w:bookmarkEnd w:id="14"/>
    </w:p>
    <w:p w14:paraId="56851565">
      <w:pPr>
        <w:spacing w:line="360" w:lineRule="auto"/>
        <w:ind w:firstLine="480"/>
        <w:rPr>
          <w:rFonts w:ascii="宋体" w:hAnsi="宋体" w:cs="宋体"/>
          <w:color w:val="auto"/>
          <w:sz w:val="24"/>
          <w:highlight w:val="none"/>
        </w:rPr>
      </w:pPr>
      <w:bookmarkStart w:id="15" w:name="_Toc28359092"/>
      <w:bookmarkStart w:id="16" w:name="_Toc35393801"/>
      <w:bookmarkStart w:id="17" w:name="_Toc35393632"/>
      <w:bookmarkStart w:id="18" w:name="_Toc28359015"/>
      <w:r>
        <w:rPr>
          <w:rFonts w:hint="eastAsia" w:ascii="宋体" w:hAnsi="宋体" w:cs="宋体"/>
          <w:color w:val="auto"/>
          <w:sz w:val="24"/>
          <w:highlight w:val="none"/>
        </w:rPr>
        <w:t>2.地点：“苏采云”系统</w:t>
      </w:r>
    </w:p>
    <w:bookmarkEnd w:id="15"/>
    <w:bookmarkEnd w:id="16"/>
    <w:bookmarkEnd w:id="17"/>
    <w:bookmarkEnd w:id="18"/>
    <w:p w14:paraId="7AFF36F9">
      <w:pPr>
        <w:spacing w:line="348" w:lineRule="auto"/>
        <w:ind w:firstLine="480"/>
        <w:rPr>
          <w:rFonts w:hint="eastAsia" w:ascii="宋体" w:hAnsi="宋体" w:cs="宋体"/>
          <w:color w:val="auto"/>
          <w:sz w:val="24"/>
          <w:highlight w:val="none"/>
        </w:rPr>
      </w:pPr>
      <w:r>
        <w:rPr>
          <w:rFonts w:hint="eastAsia" w:ascii="宋体" w:hAnsi="宋体" w:cs="宋体"/>
          <w:color w:val="auto"/>
          <w:sz w:val="24"/>
          <w:highlight w:val="none"/>
        </w:rPr>
        <w:t>3.报名方式（网上报名）</w:t>
      </w:r>
    </w:p>
    <w:p w14:paraId="4D35D0FF">
      <w:pPr>
        <w:spacing w:line="348" w:lineRule="auto"/>
        <w:ind w:firstLine="480"/>
        <w:rPr>
          <w:rFonts w:hint="eastAsia" w:ascii="宋体" w:hAnsi="宋体" w:cs="宋体"/>
          <w:color w:val="auto"/>
          <w:sz w:val="24"/>
          <w:highlight w:val="none"/>
        </w:rPr>
      </w:pPr>
      <w:r>
        <w:rPr>
          <w:rFonts w:hint="eastAsia" w:ascii="宋体" w:hAnsi="宋体" w:cs="宋体"/>
          <w:color w:val="auto"/>
          <w:sz w:val="24"/>
          <w:highlight w:val="none"/>
        </w:rPr>
        <w:t>（1）CA证书办理</w:t>
      </w:r>
    </w:p>
    <w:p w14:paraId="7CB84631">
      <w:pPr>
        <w:spacing w:line="348" w:lineRule="auto"/>
        <w:ind w:firstLine="480"/>
        <w:rPr>
          <w:rFonts w:hint="eastAsia" w:ascii="宋体" w:hAnsi="宋体" w:cs="宋体"/>
          <w:color w:val="auto"/>
          <w:sz w:val="24"/>
          <w:highlight w:val="none"/>
        </w:rPr>
      </w:pPr>
      <w:r>
        <w:rPr>
          <w:rFonts w:hint="eastAsia" w:ascii="宋体" w:hAnsi="宋体" w:cs="宋体"/>
          <w:color w:val="auto"/>
          <w:sz w:val="24"/>
          <w:highlight w:val="none"/>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w:t>
      </w:r>
      <w:r>
        <w:rPr>
          <w:rFonts w:hint="eastAsia" w:ascii="宋体" w:hAnsi="宋体" w:cs="宋体"/>
          <w:color w:val="auto"/>
          <w:sz w:val="24"/>
          <w:highlight w:val="none"/>
          <w:lang w:eastAsia="zh-CN"/>
        </w:rPr>
        <w:t>邓尉路</w:t>
      </w:r>
      <w:r>
        <w:rPr>
          <w:rFonts w:hint="eastAsia" w:ascii="宋体" w:hAnsi="宋体" w:cs="宋体"/>
          <w:color w:val="auto"/>
          <w:sz w:val="24"/>
          <w:highlight w:val="none"/>
          <w:lang w:val="en-US"/>
        </w:rPr>
        <w:t>105</w:t>
      </w:r>
      <w:r>
        <w:rPr>
          <w:rFonts w:hint="eastAsia" w:ascii="宋体" w:hAnsi="宋体" w:cs="宋体"/>
          <w:color w:val="auto"/>
          <w:sz w:val="24"/>
          <w:highlight w:val="none"/>
        </w:rPr>
        <w:t>号狮山科技馆一楼服务大厅，咨询电话：</w:t>
      </w:r>
      <w:r>
        <w:rPr>
          <w:rFonts w:hint="eastAsia" w:ascii="宋体" w:hAnsi="宋体" w:cs="宋体"/>
          <w:color w:val="auto"/>
          <w:sz w:val="24"/>
          <w:highlight w:val="none"/>
          <w:lang w:val="en-US"/>
        </w:rPr>
        <w:t>0512-65737699</w:t>
      </w:r>
      <w:r>
        <w:rPr>
          <w:rFonts w:hint="eastAsia" w:ascii="宋体" w:hAnsi="宋体" w:cs="宋体"/>
          <w:color w:val="auto"/>
          <w:sz w:val="24"/>
          <w:highlight w:val="none"/>
        </w:rPr>
        <w:t>。</w:t>
      </w:r>
    </w:p>
    <w:p w14:paraId="3CF05F8F">
      <w:pPr>
        <w:spacing w:line="348" w:lineRule="auto"/>
        <w:ind w:firstLine="480"/>
        <w:rPr>
          <w:rFonts w:hint="eastAsia" w:ascii="宋体" w:hAnsi="宋体" w:cs="宋体"/>
          <w:color w:val="auto"/>
          <w:sz w:val="24"/>
          <w:highlight w:val="none"/>
        </w:rPr>
      </w:pPr>
      <w:r>
        <w:rPr>
          <w:rFonts w:hint="eastAsia" w:ascii="宋体" w:hAnsi="宋体" w:cs="宋体"/>
          <w:color w:val="auto"/>
          <w:sz w:val="24"/>
          <w:highlight w:val="none"/>
        </w:rPr>
        <w:t>（2）参与采购活动</w:t>
      </w:r>
    </w:p>
    <w:p w14:paraId="69DDFD11">
      <w:pPr>
        <w:spacing w:line="348" w:lineRule="auto"/>
        <w:ind w:firstLine="480"/>
        <w:rPr>
          <w:rFonts w:hint="eastAsia" w:ascii="宋体" w:hAnsi="宋体" w:cs="宋体"/>
          <w:color w:val="auto"/>
          <w:sz w:val="24"/>
          <w:highlight w:val="none"/>
        </w:rPr>
      </w:pPr>
      <w:r>
        <w:rPr>
          <w:rFonts w:hint="eastAsia" w:ascii="宋体" w:hAnsi="宋体" w:cs="宋体"/>
          <w:color w:val="auto"/>
          <w:sz w:val="24"/>
          <w:highlight w:val="none"/>
        </w:rPr>
        <w:t>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64905E78">
      <w:pPr>
        <w:spacing w:line="348" w:lineRule="auto"/>
        <w:ind w:firstLine="480"/>
        <w:rPr>
          <w:rFonts w:hint="eastAsia" w:ascii="宋体" w:hAnsi="宋体" w:cs="宋体"/>
          <w:color w:val="auto"/>
          <w:sz w:val="24"/>
          <w:highlight w:val="none"/>
        </w:rPr>
      </w:pPr>
      <w:r>
        <w:rPr>
          <w:rFonts w:hint="eastAsia" w:ascii="宋体" w:hAnsi="宋体" w:cs="宋体"/>
          <w:color w:val="auto"/>
          <w:sz w:val="24"/>
          <w:highlight w:val="none"/>
        </w:rPr>
        <w:t>（3）电子投标准备</w:t>
      </w:r>
    </w:p>
    <w:p w14:paraId="54160141">
      <w:pPr>
        <w:spacing w:line="348" w:lineRule="auto"/>
        <w:ind w:firstLine="480"/>
        <w:rPr>
          <w:rFonts w:hint="eastAsia" w:ascii="宋体" w:hAnsi="宋体" w:cs="宋体"/>
          <w:color w:val="auto"/>
          <w:sz w:val="24"/>
          <w:highlight w:val="none"/>
        </w:rPr>
      </w:pPr>
      <w:r>
        <w:rPr>
          <w:rFonts w:hint="eastAsia" w:ascii="宋体" w:hAnsi="宋体" w:cs="宋体"/>
          <w:color w:val="auto"/>
          <w:sz w:val="24"/>
          <w:highlight w:val="none"/>
        </w:rPr>
        <w:t>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p>
    <w:p w14:paraId="0502EF3D">
      <w:pPr>
        <w:spacing w:line="348" w:lineRule="auto"/>
        <w:ind w:firstLine="480"/>
        <w:rPr>
          <w:rFonts w:hint="eastAsia" w:ascii="宋体" w:hAnsi="宋体" w:cs="宋体"/>
          <w:color w:val="auto"/>
          <w:sz w:val="24"/>
          <w:highlight w:val="none"/>
        </w:rPr>
      </w:pPr>
      <w:r>
        <w:rPr>
          <w:rFonts w:hint="eastAsia" w:ascii="宋体" w:hAnsi="宋体" w:cs="宋体"/>
          <w:color w:val="auto"/>
          <w:sz w:val="24"/>
          <w:highlight w:val="none"/>
        </w:rPr>
        <w:t>注册咨询：18261002950；</w:t>
      </w:r>
    </w:p>
    <w:p w14:paraId="2A51677A">
      <w:pPr>
        <w:spacing w:line="348" w:lineRule="auto"/>
        <w:ind w:firstLine="480"/>
        <w:rPr>
          <w:rFonts w:hint="eastAsia" w:ascii="宋体" w:hAnsi="宋体" w:cs="宋体"/>
          <w:color w:val="auto"/>
          <w:sz w:val="24"/>
          <w:highlight w:val="none"/>
        </w:rPr>
      </w:pPr>
      <w:r>
        <w:rPr>
          <w:rFonts w:hint="eastAsia" w:ascii="宋体" w:hAnsi="宋体" w:cs="宋体"/>
          <w:color w:val="auto"/>
          <w:sz w:val="24"/>
          <w:highlight w:val="none"/>
        </w:rPr>
        <w:t>CA技术咨询电话：400-608-6099；</w:t>
      </w:r>
    </w:p>
    <w:p w14:paraId="7946F31F">
      <w:pPr>
        <w:spacing w:line="348" w:lineRule="auto"/>
        <w:ind w:firstLine="480"/>
        <w:rPr>
          <w:rFonts w:hint="eastAsia" w:ascii="宋体" w:hAnsi="宋体" w:cs="宋体"/>
          <w:color w:val="auto"/>
          <w:sz w:val="24"/>
          <w:highlight w:val="none"/>
        </w:rPr>
      </w:pPr>
      <w:r>
        <w:rPr>
          <w:rFonts w:hint="eastAsia" w:ascii="宋体" w:hAnsi="宋体" w:cs="宋体"/>
          <w:color w:val="auto"/>
          <w:sz w:val="24"/>
          <w:highlight w:val="none"/>
        </w:rPr>
        <w:t>签章使用问题：025-83633811、025-83633812、15380932027、15371015030；</w:t>
      </w:r>
    </w:p>
    <w:p w14:paraId="3FA09F89">
      <w:pPr>
        <w:spacing w:line="348" w:lineRule="auto"/>
        <w:ind w:firstLine="480"/>
        <w:rPr>
          <w:rFonts w:hint="eastAsia" w:ascii="宋体" w:hAnsi="宋体" w:cs="宋体"/>
          <w:color w:val="auto"/>
          <w:sz w:val="24"/>
          <w:highlight w:val="none"/>
        </w:rPr>
      </w:pPr>
      <w:r>
        <w:rPr>
          <w:rFonts w:hint="eastAsia" w:ascii="宋体" w:hAnsi="宋体" w:cs="宋体"/>
          <w:color w:val="auto"/>
          <w:sz w:val="24"/>
          <w:highlight w:val="none"/>
        </w:rPr>
        <w:t>系统使用指导与咨询：联系电话：18261002950；QQ：3048755361、1315179389、895706745。</w:t>
      </w:r>
    </w:p>
    <w:p w14:paraId="5A2C4477">
      <w:pPr>
        <w:spacing w:line="348" w:lineRule="auto"/>
        <w:ind w:firstLine="480"/>
        <w:rPr>
          <w:rFonts w:ascii="宋体" w:hAnsi="宋体" w:cs="宋体"/>
          <w:color w:val="auto"/>
          <w:sz w:val="24"/>
          <w:highlight w:val="none"/>
        </w:rPr>
      </w:pPr>
      <w:r>
        <w:rPr>
          <w:rFonts w:hint="eastAsia" w:ascii="宋体" w:hAnsi="宋体" w:cs="宋体"/>
          <w:color w:val="auto"/>
          <w:sz w:val="24"/>
          <w:highlight w:val="none"/>
        </w:rPr>
        <w:t>4.售价：免费</w:t>
      </w:r>
    </w:p>
    <w:p w14:paraId="67E99F26">
      <w:pPr>
        <w:spacing w:line="348" w:lineRule="auto"/>
        <w:ind w:firstLine="480"/>
        <w:rPr>
          <w:rFonts w:ascii="宋体" w:hAnsi="宋体" w:cs="宋体"/>
          <w:color w:val="auto"/>
          <w:sz w:val="24"/>
          <w:highlight w:val="none"/>
        </w:rPr>
      </w:pPr>
      <w:bookmarkStart w:id="19" w:name="_Toc28359094"/>
      <w:bookmarkStart w:id="20" w:name="_Toc35393803"/>
      <w:bookmarkStart w:id="21" w:name="_Toc35393634"/>
      <w:bookmarkStart w:id="22" w:name="_Toc28359017"/>
      <w:r>
        <w:rPr>
          <w:rFonts w:hint="eastAsia" w:ascii="宋体" w:hAnsi="宋体" w:cs="宋体"/>
          <w:color w:val="auto"/>
          <w:sz w:val="24"/>
          <w:highlight w:val="none"/>
        </w:rPr>
        <w:t>四、响应文件提交</w:t>
      </w:r>
    </w:p>
    <w:p w14:paraId="3414A731">
      <w:pPr>
        <w:spacing w:line="348" w:lineRule="auto"/>
        <w:ind w:firstLine="480"/>
        <w:rPr>
          <w:rFonts w:ascii="宋体" w:hAnsi="宋体" w:cs="宋体"/>
          <w:color w:val="auto"/>
          <w:sz w:val="24"/>
          <w:highlight w:val="none"/>
        </w:rPr>
      </w:pPr>
      <w:r>
        <w:rPr>
          <w:rFonts w:hint="eastAsia" w:ascii="宋体" w:hAnsi="宋体" w:cs="宋体"/>
          <w:color w:val="auto"/>
          <w:sz w:val="24"/>
          <w:highlight w:val="none"/>
        </w:rPr>
        <w:t>1.递交响应文件截止时间：202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24</w:t>
      </w:r>
      <w:r>
        <w:rPr>
          <w:rFonts w:hint="eastAsia" w:ascii="宋体" w:hAnsi="宋体" w:cs="宋体"/>
          <w:color w:val="auto"/>
          <w:sz w:val="24"/>
          <w:highlight w:val="none"/>
        </w:rPr>
        <w:t>日13点30分（北京时间）；</w:t>
      </w:r>
    </w:p>
    <w:p w14:paraId="0A101629">
      <w:pPr>
        <w:spacing w:line="348" w:lineRule="auto"/>
        <w:ind w:firstLine="480"/>
        <w:rPr>
          <w:rFonts w:ascii="宋体" w:hAnsi="宋体" w:cs="宋体"/>
          <w:color w:val="auto"/>
          <w:sz w:val="24"/>
          <w:highlight w:val="none"/>
        </w:rPr>
      </w:pPr>
      <w:r>
        <w:rPr>
          <w:rFonts w:hint="eastAsia" w:ascii="宋体" w:hAnsi="宋体" w:cs="宋体"/>
          <w:color w:val="auto"/>
          <w:sz w:val="24"/>
          <w:highlight w:val="none"/>
        </w:rPr>
        <w:t>2.地点：“苏采云”系统（网址：http://jszfcg.jsczt.cn/）。响应文件网上递交，不需要现场参加采购活动，无需提供纸质响应文件。</w:t>
      </w:r>
    </w:p>
    <w:p w14:paraId="7F5AE811">
      <w:pPr>
        <w:spacing w:line="348" w:lineRule="auto"/>
        <w:ind w:firstLine="480"/>
        <w:rPr>
          <w:rFonts w:ascii="宋体" w:hAnsi="宋体" w:cs="宋体"/>
          <w:color w:val="auto"/>
          <w:sz w:val="24"/>
          <w:highlight w:val="none"/>
        </w:rPr>
      </w:pPr>
      <w:r>
        <w:rPr>
          <w:rFonts w:hint="eastAsia" w:ascii="宋体" w:hAnsi="宋体" w:cs="宋体"/>
          <w:color w:val="auto"/>
          <w:sz w:val="24"/>
          <w:highlight w:val="none"/>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 </w:t>
      </w:r>
    </w:p>
    <w:p w14:paraId="5AD659B8">
      <w:pPr>
        <w:spacing w:line="348" w:lineRule="auto"/>
        <w:ind w:firstLine="480"/>
        <w:rPr>
          <w:rFonts w:ascii="宋体" w:hAnsi="宋体" w:cs="宋体"/>
          <w:color w:val="auto"/>
          <w:sz w:val="24"/>
          <w:highlight w:val="none"/>
        </w:rPr>
      </w:pPr>
      <w:r>
        <w:rPr>
          <w:rFonts w:hint="eastAsia" w:ascii="宋体" w:hAnsi="宋体" w:cs="宋体"/>
          <w:color w:val="auto"/>
          <w:sz w:val="24"/>
          <w:highlight w:val="none"/>
        </w:rPr>
        <w:t>五、开启</w:t>
      </w:r>
    </w:p>
    <w:p w14:paraId="030423B4">
      <w:pPr>
        <w:spacing w:line="348" w:lineRule="auto"/>
        <w:ind w:firstLine="480"/>
        <w:rPr>
          <w:rFonts w:ascii="宋体" w:hAnsi="宋体" w:cs="宋体"/>
          <w:color w:val="auto"/>
          <w:sz w:val="24"/>
          <w:highlight w:val="none"/>
        </w:rPr>
      </w:pPr>
      <w:r>
        <w:rPr>
          <w:rFonts w:hint="eastAsia" w:ascii="宋体" w:hAnsi="宋体" w:cs="宋体"/>
          <w:color w:val="auto"/>
          <w:sz w:val="24"/>
          <w:highlight w:val="none"/>
          <w:lang w:val="zh-CN"/>
        </w:rPr>
        <w:t>1.时间：</w:t>
      </w: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24</w:t>
      </w:r>
      <w:r>
        <w:rPr>
          <w:rFonts w:hint="eastAsia" w:ascii="宋体" w:hAnsi="宋体" w:cs="宋体"/>
          <w:color w:val="auto"/>
          <w:sz w:val="24"/>
          <w:highlight w:val="none"/>
        </w:rPr>
        <w:t>日13点30分</w:t>
      </w:r>
      <w:r>
        <w:rPr>
          <w:rFonts w:hint="eastAsia" w:ascii="宋体" w:hAnsi="宋体" w:cs="宋体"/>
          <w:color w:val="auto"/>
          <w:sz w:val="24"/>
          <w:highlight w:val="none"/>
          <w:lang w:val="zh-CN"/>
        </w:rPr>
        <w:t>（北京时间）；</w:t>
      </w:r>
    </w:p>
    <w:p w14:paraId="035056B3">
      <w:pPr>
        <w:spacing w:line="348" w:lineRule="auto"/>
        <w:ind w:firstLine="48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zh-CN"/>
        </w:rPr>
        <w:t>地点</w:t>
      </w:r>
      <w:r>
        <w:rPr>
          <w:rFonts w:hint="eastAsia" w:ascii="宋体" w:hAnsi="宋体" w:cs="宋体"/>
          <w:color w:val="auto"/>
          <w:sz w:val="24"/>
          <w:highlight w:val="none"/>
        </w:rPr>
        <w:t>：“</w:t>
      </w:r>
      <w:r>
        <w:rPr>
          <w:rFonts w:hint="eastAsia" w:ascii="宋体" w:hAnsi="宋体" w:cs="宋体"/>
          <w:color w:val="auto"/>
          <w:sz w:val="24"/>
          <w:highlight w:val="none"/>
          <w:lang w:val="zh-CN"/>
        </w:rPr>
        <w:t>苏采云</w:t>
      </w:r>
      <w:r>
        <w:rPr>
          <w:rFonts w:hint="eastAsia" w:ascii="宋体" w:hAnsi="宋体" w:cs="宋体"/>
          <w:color w:val="auto"/>
          <w:sz w:val="24"/>
          <w:highlight w:val="none"/>
        </w:rPr>
        <w:t>”</w:t>
      </w:r>
      <w:r>
        <w:rPr>
          <w:rFonts w:hint="eastAsia" w:ascii="宋体" w:hAnsi="宋体" w:cs="宋体"/>
          <w:color w:val="auto"/>
          <w:sz w:val="24"/>
          <w:highlight w:val="none"/>
          <w:lang w:val="zh-CN"/>
        </w:rPr>
        <w:t>系统</w:t>
      </w:r>
      <w:r>
        <w:rPr>
          <w:rFonts w:hint="eastAsia" w:ascii="宋体" w:hAnsi="宋体" w:cs="宋体"/>
          <w:color w:val="auto"/>
          <w:sz w:val="24"/>
          <w:highlight w:val="none"/>
        </w:rPr>
        <w:t>（</w:t>
      </w:r>
      <w:r>
        <w:rPr>
          <w:rFonts w:hint="eastAsia" w:ascii="宋体" w:hAnsi="宋体" w:cs="宋体"/>
          <w:color w:val="auto"/>
          <w:sz w:val="24"/>
          <w:highlight w:val="none"/>
          <w:lang w:val="zh-CN"/>
        </w:rPr>
        <w:t>网址</w:t>
      </w:r>
      <w:r>
        <w:rPr>
          <w:rFonts w:hint="eastAsia" w:ascii="宋体" w:hAnsi="宋体" w:cs="宋体"/>
          <w:color w:val="auto"/>
          <w:sz w:val="24"/>
          <w:highlight w:val="none"/>
        </w:rPr>
        <w:t>：http://jszfcg.jsczt.cn/）</w:t>
      </w:r>
      <w:r>
        <w:rPr>
          <w:rFonts w:hint="eastAsia" w:ascii="宋体" w:hAnsi="宋体" w:cs="宋体"/>
          <w:color w:val="auto"/>
          <w:sz w:val="24"/>
          <w:highlight w:val="none"/>
          <w:lang w:val="zh-CN"/>
        </w:rPr>
        <w:t>。</w:t>
      </w:r>
    </w:p>
    <w:p w14:paraId="5704572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p>
    <w:p w14:paraId="0FD6EF6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auto"/>
          <w:sz w:val="24"/>
          <w:highlight w:val="none"/>
        </w:rPr>
        <w:t>本项目为不见面磋商项目，开启阶段供应商在【供应商解密】环节必须使用 CA证书解密电子响应文件，如在系统规定的解密时间（响应文件提交截止时间后 30 分钟)内未能完成解密的视为放弃参与本项目。</w:t>
      </w:r>
    </w:p>
    <w:p w14:paraId="12D725BD">
      <w:pPr>
        <w:spacing w:line="348" w:lineRule="auto"/>
        <w:ind w:firstLine="480"/>
        <w:rPr>
          <w:rFonts w:ascii="宋体" w:hAnsi="宋体" w:cs="宋体"/>
          <w:color w:val="auto"/>
          <w:sz w:val="24"/>
        </w:rPr>
      </w:pPr>
      <w:r>
        <w:rPr>
          <w:rFonts w:hint="eastAsia" w:ascii="宋体" w:hAnsi="宋体" w:cs="宋体"/>
          <w:color w:val="auto"/>
          <w:sz w:val="24"/>
          <w:highlight w:val="none"/>
        </w:rPr>
        <w:t>请供应商确保电脑、系统及其他设备（视频输入输出设备等）无误，且开启直至项目结束始终保持系统在线状态。</w:t>
      </w:r>
    </w:p>
    <w:p w14:paraId="060285A3">
      <w:pPr>
        <w:spacing w:line="348" w:lineRule="auto"/>
        <w:ind w:firstLine="480"/>
        <w:rPr>
          <w:rFonts w:ascii="宋体" w:hAnsi="宋体" w:cs="宋体"/>
          <w:color w:val="auto"/>
          <w:sz w:val="24"/>
        </w:rPr>
      </w:pPr>
      <w:r>
        <w:rPr>
          <w:rFonts w:hint="eastAsia" w:ascii="宋体" w:hAnsi="宋体" w:cs="宋体"/>
          <w:color w:val="auto"/>
          <w:sz w:val="24"/>
        </w:rPr>
        <w:t>六、公告期限</w:t>
      </w:r>
      <w:bookmarkEnd w:id="19"/>
      <w:bookmarkEnd w:id="20"/>
      <w:bookmarkEnd w:id="21"/>
      <w:bookmarkEnd w:id="22"/>
    </w:p>
    <w:p w14:paraId="1270FFCF">
      <w:pPr>
        <w:spacing w:line="348" w:lineRule="auto"/>
        <w:ind w:firstLine="480"/>
        <w:rPr>
          <w:rFonts w:ascii="宋体" w:hAnsi="宋体" w:cs="宋体"/>
          <w:color w:val="auto"/>
          <w:sz w:val="24"/>
        </w:rPr>
      </w:pPr>
      <w:r>
        <w:rPr>
          <w:rFonts w:hint="eastAsia" w:ascii="宋体" w:hAnsi="宋体" w:cs="宋体"/>
          <w:color w:val="auto"/>
          <w:sz w:val="24"/>
        </w:rPr>
        <w:t>自本公告发布之日起3个工作日。</w:t>
      </w:r>
    </w:p>
    <w:p w14:paraId="14368EC6">
      <w:pPr>
        <w:spacing w:line="348" w:lineRule="auto"/>
        <w:ind w:firstLine="480"/>
        <w:rPr>
          <w:rFonts w:ascii="宋体" w:hAnsi="宋体" w:cs="宋体"/>
          <w:color w:val="auto"/>
          <w:sz w:val="24"/>
        </w:rPr>
      </w:pPr>
      <w:bookmarkStart w:id="23" w:name="_Toc35393804"/>
      <w:bookmarkStart w:id="24" w:name="_Toc35393635"/>
      <w:r>
        <w:rPr>
          <w:rFonts w:hint="eastAsia" w:ascii="宋体" w:hAnsi="宋体" w:cs="宋体"/>
          <w:color w:val="auto"/>
          <w:sz w:val="24"/>
        </w:rPr>
        <w:t>七、其他补充事宜</w:t>
      </w:r>
      <w:bookmarkEnd w:id="23"/>
      <w:bookmarkEnd w:id="24"/>
    </w:p>
    <w:p w14:paraId="0CF02737">
      <w:pPr>
        <w:widowControl/>
        <w:snapToGrid w:val="0"/>
        <w:spacing w:line="360" w:lineRule="auto"/>
        <w:ind w:firstLine="480" w:firstLineChars="200"/>
        <w:jc w:val="left"/>
        <w:rPr>
          <w:rFonts w:hint="eastAsia" w:ascii="宋体" w:hAnsi="宋体" w:cs="宋体"/>
          <w:color w:val="auto"/>
          <w:sz w:val="24"/>
          <w:highlight w:val="none"/>
        </w:rPr>
      </w:pPr>
      <w:bookmarkStart w:id="25" w:name="_Toc28359018"/>
      <w:bookmarkStart w:id="26" w:name="_Toc35393636"/>
      <w:bookmarkStart w:id="27" w:name="_Toc28359095"/>
      <w:bookmarkStart w:id="28" w:name="_Toc35393805"/>
      <w:r>
        <w:rPr>
          <w:rFonts w:hint="eastAsia" w:ascii="宋体" w:hAnsi="宋体" w:cs="宋体"/>
          <w:color w:val="auto"/>
          <w:sz w:val="24"/>
          <w:lang w:val="en-US" w:eastAsia="zh-CN"/>
        </w:rPr>
        <w:t>1、</w:t>
      </w:r>
      <w:r>
        <w:rPr>
          <w:rFonts w:hint="eastAsia" w:ascii="宋体" w:hAnsi="宋体" w:cs="宋体"/>
          <w:color w:val="auto"/>
          <w:sz w:val="24"/>
          <w:highlight w:val="none"/>
        </w:rPr>
        <w:t>本公告同时在江苏政府采购网、苏州市政府采购网发布。</w:t>
      </w:r>
    </w:p>
    <w:p w14:paraId="287F51DC">
      <w:pPr>
        <w:widowControl/>
        <w:snapToGrid w:val="0"/>
        <w:spacing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政府采购监督电话：0512-67591005、0512-67591006。</w:t>
      </w:r>
    </w:p>
    <w:p w14:paraId="41DCFCD1">
      <w:pPr>
        <w:spacing w:line="348" w:lineRule="auto"/>
        <w:ind w:firstLine="480"/>
        <w:rPr>
          <w:rFonts w:ascii="宋体" w:hAnsi="宋体" w:cs="宋体"/>
          <w:color w:val="auto"/>
          <w:sz w:val="24"/>
        </w:rPr>
      </w:pPr>
      <w:r>
        <w:rPr>
          <w:rFonts w:hint="eastAsia" w:ascii="宋体" w:hAnsi="宋体" w:cs="宋体"/>
          <w:color w:val="auto"/>
          <w:sz w:val="24"/>
          <w:lang w:val="en-US" w:eastAsia="zh-CN"/>
        </w:rPr>
        <w:t>3</w:t>
      </w:r>
      <w:r>
        <w:rPr>
          <w:rFonts w:hint="eastAsia" w:ascii="宋体" w:hAnsi="宋体" w:cs="宋体"/>
          <w:color w:val="auto"/>
          <w:sz w:val="24"/>
        </w:rPr>
        <w:t>、</w:t>
      </w:r>
      <w:r>
        <w:rPr>
          <w:rFonts w:hint="eastAsia" w:ascii="宋体" w:hAnsi="宋体" w:cs="宋体"/>
          <w:color w:val="auto"/>
          <w:sz w:val="24"/>
          <w:lang w:val="zh-CN"/>
        </w:rPr>
        <w:t>本项目获取采购文件截止日期之后仍可以下载采购文件，但截止日期之后下载的采购文件，视为非有效方式且不作为供应商权益受到损害的证明材料和依据。</w:t>
      </w:r>
    </w:p>
    <w:p w14:paraId="52219C5E">
      <w:pPr>
        <w:pBdr>
          <w:top w:val="none" w:color="000000" w:sz="0" w:space="0"/>
          <w:left w:val="none" w:color="000000" w:sz="0" w:space="0"/>
          <w:bottom w:val="none" w:color="000000" w:sz="0" w:space="0"/>
          <w:right w:val="none" w:color="000000" w:sz="0" w:space="0"/>
        </w:pBdr>
        <w:spacing w:before="0" w:after="0" w:line="82" w:lineRule="atLeast"/>
        <w:ind w:left="0" w:right="0" w:firstLine="480"/>
        <w:jc w:val="both"/>
        <w:rPr>
          <w:color w:val="auto"/>
        </w:rPr>
      </w:pPr>
      <w:r>
        <w:rPr>
          <w:rFonts w:hint="eastAsia" w:ascii="宋体" w:hAnsi="宋体" w:cs="宋体"/>
          <w:color w:val="auto"/>
          <w:sz w:val="24"/>
          <w:lang w:val="en-US" w:eastAsia="zh-CN"/>
        </w:rPr>
        <w:t>4</w:t>
      </w:r>
      <w:r>
        <w:rPr>
          <w:rFonts w:ascii="宋体" w:hAnsi="宋体" w:eastAsia="宋体" w:cs="宋体"/>
          <w:color w:val="auto"/>
          <w:sz w:val="24"/>
        </w:rPr>
        <w:t>、本项目支持政府采购合同信用融资。</w:t>
      </w:r>
    </w:p>
    <w:p w14:paraId="02FDB62C">
      <w:pPr>
        <w:spacing w:line="348" w:lineRule="auto"/>
        <w:ind w:firstLine="480"/>
        <w:rPr>
          <w:rFonts w:ascii="宋体" w:hAnsi="宋体" w:cs="宋体"/>
          <w:color w:val="auto"/>
          <w:sz w:val="24"/>
        </w:rPr>
      </w:pPr>
      <w:r>
        <w:rPr>
          <w:rFonts w:hint="eastAsia" w:ascii="宋体" w:hAnsi="宋体" w:cs="宋体"/>
          <w:color w:val="auto"/>
          <w:sz w:val="24"/>
        </w:rPr>
        <w:t>八、凡对本次采购提出询问，请按以下方式联系。</w:t>
      </w:r>
      <w:bookmarkEnd w:id="25"/>
      <w:bookmarkEnd w:id="26"/>
      <w:bookmarkEnd w:id="27"/>
      <w:bookmarkEnd w:id="28"/>
    </w:p>
    <w:p w14:paraId="5507B55E">
      <w:pPr>
        <w:spacing w:line="348" w:lineRule="auto"/>
        <w:ind w:firstLine="480"/>
        <w:rPr>
          <w:rFonts w:ascii="宋体" w:hAnsi="宋体" w:cs="宋体"/>
          <w:color w:val="auto"/>
          <w:sz w:val="24"/>
        </w:rPr>
      </w:pPr>
      <w:bookmarkStart w:id="29" w:name="_Toc35393786"/>
      <w:bookmarkStart w:id="30" w:name="_Toc28358998"/>
      <w:bookmarkStart w:id="31" w:name="_Toc28359075"/>
      <w:bookmarkStart w:id="32" w:name="_Toc35393617"/>
      <w:r>
        <w:rPr>
          <w:rFonts w:hint="eastAsia" w:ascii="宋体" w:hAnsi="宋体" w:cs="宋体"/>
          <w:color w:val="auto"/>
          <w:sz w:val="24"/>
        </w:rPr>
        <w:t>1.采购人信息</w:t>
      </w:r>
      <w:bookmarkEnd w:id="29"/>
      <w:bookmarkEnd w:id="30"/>
      <w:bookmarkEnd w:id="31"/>
      <w:bookmarkEnd w:id="32"/>
    </w:p>
    <w:p w14:paraId="5E10D6D6">
      <w:pPr>
        <w:spacing w:line="348" w:lineRule="auto"/>
        <w:ind w:firstLine="480"/>
        <w:rPr>
          <w:rFonts w:hint="eastAsia" w:ascii="宋体" w:hAnsi="宋体" w:eastAsia="宋体" w:cs="宋体"/>
          <w:color w:val="auto"/>
          <w:sz w:val="24"/>
        </w:rPr>
      </w:pPr>
      <w:r>
        <w:rPr>
          <w:rFonts w:hint="eastAsia" w:ascii="宋体" w:hAnsi="宋体" w:cs="宋体"/>
          <w:color w:val="auto"/>
          <w:sz w:val="24"/>
        </w:rPr>
        <w:t>名称：</w:t>
      </w:r>
      <w:r>
        <w:rPr>
          <w:rFonts w:hint="eastAsia" w:ascii="宋体" w:hAnsi="宋体" w:cs="宋体"/>
          <w:color w:val="auto"/>
          <w:sz w:val="24"/>
          <w:lang w:eastAsia="zh-CN"/>
        </w:rPr>
        <w:t>苏州市相城区望亭镇人民政府</w:t>
      </w:r>
    </w:p>
    <w:p w14:paraId="163120E9">
      <w:pPr>
        <w:spacing w:line="360" w:lineRule="auto"/>
        <w:ind w:firstLine="48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地址：</w:t>
      </w:r>
      <w:r>
        <w:rPr>
          <w:rFonts w:hint="eastAsia" w:ascii="宋体" w:hAnsi="宋体" w:cs="宋体"/>
          <w:color w:val="auto"/>
          <w:sz w:val="24"/>
          <w:szCs w:val="24"/>
          <w:highlight w:val="none"/>
        </w:rPr>
        <w:t>苏州市相城区望亭镇御亭路210号</w:t>
      </w:r>
    </w:p>
    <w:p w14:paraId="0977607C">
      <w:pPr>
        <w:spacing w:line="360" w:lineRule="auto"/>
        <w:ind w:firstLine="480"/>
        <w:rPr>
          <w:rFonts w:ascii="宋体" w:hAnsi="宋体" w:cs="宋体"/>
          <w:color w:val="auto"/>
          <w:sz w:val="24"/>
        </w:rPr>
      </w:pPr>
      <w:r>
        <w:rPr>
          <w:rFonts w:hint="eastAsia" w:ascii="宋体" w:hAnsi="宋体" w:cs="宋体"/>
          <w:color w:val="auto"/>
          <w:sz w:val="24"/>
        </w:rPr>
        <w:t>联系人：</w:t>
      </w:r>
      <w:r>
        <w:rPr>
          <w:rFonts w:hint="eastAsia" w:ascii="宋体" w:hAnsi="宋体" w:eastAsia="宋体" w:cs="宋体"/>
          <w:color w:val="auto"/>
          <w:sz w:val="24"/>
          <w:szCs w:val="24"/>
          <w:highlight w:val="none"/>
          <w:lang w:eastAsia="zh-CN"/>
        </w:rPr>
        <w:t>庄冬明</w:t>
      </w:r>
    </w:p>
    <w:p w14:paraId="01587F01">
      <w:pPr>
        <w:spacing w:line="360" w:lineRule="auto"/>
        <w:ind w:firstLine="480"/>
        <w:rPr>
          <w:rFonts w:hint="eastAsia" w:ascii="宋体" w:hAnsi="宋体" w:eastAsia="宋体" w:cs="宋体"/>
          <w:color w:val="auto"/>
          <w:sz w:val="24"/>
          <w:lang w:eastAsia="zh-CN"/>
        </w:rPr>
      </w:pPr>
      <w:r>
        <w:rPr>
          <w:rFonts w:hint="eastAsia" w:ascii="宋体" w:hAnsi="宋体" w:cs="宋体"/>
          <w:color w:val="auto"/>
          <w:sz w:val="24"/>
        </w:rPr>
        <w:t>联系电话：</w:t>
      </w:r>
      <w:r>
        <w:rPr>
          <w:rFonts w:hint="eastAsia" w:ascii="宋体" w:hAnsi="宋体" w:cs="宋体"/>
          <w:color w:val="auto"/>
          <w:sz w:val="24"/>
          <w:szCs w:val="24"/>
          <w:highlight w:val="none"/>
          <w:lang w:eastAsia="zh-CN"/>
        </w:rPr>
        <w:t>0512-65381624</w:t>
      </w:r>
    </w:p>
    <w:p w14:paraId="1BA503FC">
      <w:pPr>
        <w:spacing w:line="348" w:lineRule="auto"/>
        <w:ind w:firstLine="480"/>
        <w:rPr>
          <w:rFonts w:ascii="宋体" w:hAnsi="宋体" w:cs="宋体"/>
          <w:color w:val="auto"/>
          <w:sz w:val="24"/>
        </w:rPr>
      </w:pPr>
      <w:r>
        <w:rPr>
          <w:rFonts w:hint="eastAsia" w:ascii="宋体" w:hAnsi="宋体" w:cs="宋体"/>
          <w:color w:val="auto"/>
          <w:sz w:val="24"/>
        </w:rPr>
        <w:t>2.代理机构信息</w:t>
      </w:r>
    </w:p>
    <w:p w14:paraId="10C51E5A">
      <w:pPr>
        <w:spacing w:line="348" w:lineRule="auto"/>
        <w:ind w:firstLine="480"/>
        <w:rPr>
          <w:rFonts w:hint="eastAsia" w:ascii="宋体" w:hAnsi="宋体" w:eastAsia="宋体" w:cs="宋体"/>
          <w:color w:val="auto"/>
          <w:sz w:val="24"/>
          <w:lang w:eastAsia="zh-CN"/>
        </w:rPr>
      </w:pPr>
      <w:r>
        <w:rPr>
          <w:rFonts w:hint="eastAsia" w:ascii="宋体" w:hAnsi="宋体" w:cs="宋体"/>
          <w:color w:val="auto"/>
          <w:sz w:val="24"/>
        </w:rPr>
        <w:t>名称：</w:t>
      </w:r>
      <w:r>
        <w:rPr>
          <w:rFonts w:hint="eastAsia" w:ascii="宋体" w:hAnsi="宋体" w:cs="宋体"/>
          <w:color w:val="auto"/>
          <w:sz w:val="24"/>
          <w:lang w:eastAsia="zh-CN"/>
        </w:rPr>
        <w:t>江苏正琦工程咨询有限公司</w:t>
      </w:r>
    </w:p>
    <w:p w14:paraId="37D05638">
      <w:pPr>
        <w:spacing w:line="348" w:lineRule="auto"/>
        <w:ind w:firstLine="480"/>
        <w:rPr>
          <w:rFonts w:hint="eastAsia" w:ascii="宋体" w:hAnsi="宋体" w:eastAsia="宋体" w:cs="宋体"/>
          <w:color w:val="auto"/>
          <w:sz w:val="24"/>
          <w:lang w:eastAsia="zh-CN"/>
        </w:rPr>
      </w:pPr>
      <w:r>
        <w:rPr>
          <w:rFonts w:hint="eastAsia" w:ascii="宋体" w:hAnsi="宋体" w:cs="宋体"/>
          <w:color w:val="auto"/>
          <w:sz w:val="24"/>
        </w:rPr>
        <w:t>地址：</w:t>
      </w:r>
      <w:r>
        <w:rPr>
          <w:rFonts w:hint="eastAsia" w:ascii="宋体" w:hAnsi="宋体" w:cs="宋体"/>
          <w:color w:val="auto"/>
          <w:sz w:val="24"/>
          <w:lang w:eastAsia="zh-CN"/>
        </w:rPr>
        <w:t>苏州市相城区相城大道1609号月星环球港1812室</w:t>
      </w:r>
    </w:p>
    <w:p w14:paraId="5CC5E4DA">
      <w:pPr>
        <w:spacing w:line="348" w:lineRule="auto"/>
        <w:ind w:firstLine="480"/>
        <w:rPr>
          <w:rFonts w:hint="eastAsia" w:ascii="宋体" w:hAnsi="宋体" w:eastAsia="宋体" w:cs="宋体"/>
          <w:color w:val="auto"/>
          <w:sz w:val="24"/>
          <w:lang w:eastAsia="zh-CN"/>
        </w:rPr>
      </w:pPr>
      <w:r>
        <w:rPr>
          <w:rFonts w:hint="eastAsia" w:ascii="宋体" w:hAnsi="宋体" w:cs="宋体"/>
          <w:color w:val="auto"/>
          <w:sz w:val="24"/>
        </w:rPr>
        <w:t>联系人：</w:t>
      </w:r>
      <w:r>
        <w:rPr>
          <w:rFonts w:hint="eastAsia" w:ascii="宋体" w:hAnsi="宋体" w:cs="宋体"/>
          <w:color w:val="auto"/>
          <w:sz w:val="24"/>
          <w:lang w:eastAsia="zh-CN"/>
        </w:rPr>
        <w:t>吴晴叶、储海童</w:t>
      </w:r>
    </w:p>
    <w:p w14:paraId="27688343">
      <w:pPr>
        <w:spacing w:line="348" w:lineRule="auto"/>
        <w:ind w:firstLine="480"/>
        <w:rPr>
          <w:rFonts w:hint="eastAsia" w:ascii="宋体" w:hAnsi="宋体" w:eastAsia="宋体" w:cs="宋体"/>
          <w:color w:val="auto"/>
          <w:sz w:val="24"/>
          <w:lang w:eastAsia="zh-CN"/>
        </w:rPr>
      </w:pPr>
      <w:r>
        <w:rPr>
          <w:rFonts w:hint="eastAsia" w:ascii="宋体" w:hAnsi="宋体" w:cs="宋体"/>
          <w:color w:val="auto"/>
          <w:sz w:val="24"/>
        </w:rPr>
        <w:t>联系方式：0512-</w:t>
      </w:r>
      <w:r>
        <w:rPr>
          <w:rFonts w:hint="eastAsia" w:ascii="宋体" w:hAnsi="宋体" w:cs="宋体"/>
          <w:color w:val="auto"/>
          <w:sz w:val="24"/>
          <w:lang w:eastAsia="zh-CN"/>
        </w:rPr>
        <w:t>66836556</w:t>
      </w:r>
    </w:p>
    <w:p w14:paraId="7334D1FE">
      <w:pPr>
        <w:spacing w:line="348" w:lineRule="auto"/>
        <w:ind w:firstLine="480"/>
        <w:rPr>
          <w:rFonts w:ascii="宋体" w:hAnsi="宋体" w:cs="宋体"/>
          <w:color w:val="auto"/>
          <w:sz w:val="24"/>
        </w:rPr>
      </w:pPr>
      <w:r>
        <w:rPr>
          <w:rFonts w:hint="eastAsia" w:ascii="宋体" w:hAnsi="宋体" w:cs="宋体"/>
          <w:color w:val="auto"/>
          <w:sz w:val="24"/>
        </w:rPr>
        <w:t>3.项目联系方式</w:t>
      </w:r>
    </w:p>
    <w:p w14:paraId="1D0BF954">
      <w:pPr>
        <w:spacing w:line="348" w:lineRule="auto"/>
        <w:ind w:firstLine="480"/>
        <w:rPr>
          <w:rFonts w:hint="eastAsia" w:ascii="宋体" w:hAnsi="宋体" w:eastAsia="宋体" w:cs="宋体"/>
          <w:color w:val="auto"/>
          <w:sz w:val="24"/>
          <w:lang w:eastAsia="zh-CN"/>
        </w:rPr>
      </w:pPr>
      <w:r>
        <w:rPr>
          <w:rFonts w:hint="eastAsia" w:ascii="宋体" w:hAnsi="宋体" w:cs="宋体"/>
          <w:color w:val="auto"/>
          <w:sz w:val="24"/>
        </w:rPr>
        <w:t>项目联系人：</w:t>
      </w:r>
      <w:r>
        <w:rPr>
          <w:rFonts w:hint="eastAsia" w:ascii="宋体" w:hAnsi="宋体" w:cs="宋体"/>
          <w:color w:val="auto"/>
          <w:sz w:val="24"/>
          <w:lang w:eastAsia="zh-CN"/>
        </w:rPr>
        <w:t>吴晴叶、储海童</w:t>
      </w:r>
    </w:p>
    <w:p w14:paraId="33020012">
      <w:pPr>
        <w:spacing w:line="348" w:lineRule="auto"/>
        <w:ind w:firstLine="480"/>
        <w:rPr>
          <w:rFonts w:hint="eastAsia" w:ascii="宋体" w:hAnsi="宋体" w:eastAsia="宋体" w:cs="宋体"/>
          <w:color w:val="auto"/>
          <w:sz w:val="24"/>
          <w:lang w:eastAsia="zh-CN"/>
        </w:rPr>
      </w:pPr>
      <w:r>
        <w:rPr>
          <w:rFonts w:hint="eastAsia" w:ascii="宋体" w:hAnsi="宋体" w:cs="宋体"/>
          <w:color w:val="auto"/>
          <w:sz w:val="24"/>
        </w:rPr>
        <w:t>电话：0512-</w:t>
      </w:r>
      <w:r>
        <w:rPr>
          <w:rFonts w:hint="eastAsia" w:ascii="宋体" w:hAnsi="宋体" w:cs="宋体"/>
          <w:color w:val="auto"/>
          <w:sz w:val="24"/>
          <w:lang w:eastAsia="zh-CN"/>
        </w:rPr>
        <w:t>66836556</w:t>
      </w:r>
    </w:p>
    <w:p w14:paraId="19CCDB99">
      <w:pPr>
        <w:spacing w:line="348" w:lineRule="auto"/>
        <w:ind w:firstLine="480"/>
        <w:jc w:val="right"/>
        <w:outlineLvl w:val="9"/>
        <w:rPr>
          <w:rFonts w:hint="eastAsia" w:ascii="宋体" w:hAnsi="宋体" w:eastAsia="宋体" w:cs="宋体"/>
          <w:color w:val="auto"/>
          <w:sz w:val="24"/>
          <w:szCs w:val="24"/>
          <w:lang w:eastAsia="zh-CN"/>
        </w:rPr>
      </w:pPr>
      <w:r>
        <w:rPr>
          <w:rFonts w:hint="eastAsia" w:ascii="宋体" w:hAnsi="宋体" w:cs="宋体"/>
          <w:color w:val="auto"/>
          <w:sz w:val="24"/>
          <w:lang w:eastAsia="zh-CN"/>
        </w:rPr>
        <w:t>江苏正琦工程咨询有限公司</w:t>
      </w:r>
    </w:p>
    <w:p w14:paraId="249C7D85">
      <w:pPr>
        <w:spacing w:line="348" w:lineRule="auto"/>
        <w:ind w:firstLine="480"/>
        <w:jc w:val="right"/>
        <w:rPr>
          <w:rFonts w:ascii="宋体" w:hAnsi="宋体" w:cs="宋体"/>
          <w:color w:val="auto"/>
          <w:sz w:val="24"/>
          <w:szCs w:val="24"/>
        </w:rPr>
      </w:pPr>
      <w:r>
        <w:rPr>
          <w:rFonts w:hint="eastAsia" w:ascii="宋体" w:hAnsi="宋体" w:cs="宋体"/>
          <w:color w:val="auto"/>
          <w:sz w:val="24"/>
          <w:szCs w:val="24"/>
        </w:rPr>
        <w:t>20</w:t>
      </w:r>
      <w:r>
        <w:rPr>
          <w:rFonts w:hint="eastAsia" w:ascii="宋体" w:hAnsi="宋体" w:cs="宋体"/>
          <w:color w:val="auto"/>
          <w:sz w:val="24"/>
          <w:szCs w:val="24"/>
          <w:lang w:val="en-US" w:eastAsia="zh-CN"/>
        </w:rPr>
        <w:t>26</w:t>
      </w:r>
      <w:r>
        <w:rPr>
          <w:rFonts w:hint="eastAsia" w:ascii="宋体" w:hAnsi="宋体" w:cs="宋体"/>
          <w:color w:val="auto"/>
          <w:sz w:val="24"/>
          <w:szCs w:val="24"/>
        </w:rPr>
        <w:t>年</w:t>
      </w:r>
      <w:r>
        <w:rPr>
          <w:rFonts w:hint="eastAsia" w:ascii="宋体" w:hAnsi="宋体" w:cs="宋体"/>
          <w:color w:val="auto"/>
          <w:sz w:val="24"/>
          <w:szCs w:val="24"/>
          <w:lang w:val="en-US" w:eastAsia="zh-CN"/>
        </w:rPr>
        <w:t>8</w:t>
      </w:r>
      <w:r>
        <w:rPr>
          <w:rFonts w:hint="eastAsia" w:ascii="宋体" w:hAnsi="宋体" w:cs="宋体"/>
          <w:color w:val="auto"/>
          <w:sz w:val="24"/>
          <w:szCs w:val="24"/>
        </w:rPr>
        <w:t>月</w:t>
      </w:r>
      <w:r>
        <w:rPr>
          <w:rFonts w:hint="eastAsia" w:ascii="宋体" w:hAnsi="宋体" w:cs="宋体"/>
          <w:color w:val="auto"/>
          <w:sz w:val="24"/>
          <w:szCs w:val="24"/>
          <w:lang w:val="en-US" w:eastAsia="zh-CN"/>
        </w:rPr>
        <w:t>12</w:t>
      </w:r>
      <w:r>
        <w:rPr>
          <w:rFonts w:hint="eastAsia" w:ascii="宋体" w:hAnsi="宋体" w:cs="宋体"/>
          <w:color w:val="auto"/>
          <w:sz w:val="24"/>
          <w:szCs w:val="24"/>
        </w:rPr>
        <w:t>日</w:t>
      </w:r>
    </w:p>
    <w:p w14:paraId="61FF7CAC">
      <w:pPr>
        <w:pStyle w:val="2"/>
        <w:keepNext w:val="0"/>
        <w:keepLines w:val="0"/>
        <w:spacing w:line="240" w:lineRule="auto"/>
        <w:ind w:firstLine="883"/>
        <w:jc w:val="center"/>
        <w:rPr>
          <w:rStyle w:val="200"/>
          <w:rFonts w:ascii="宋体" w:hAnsi="宋体" w:eastAsia="宋体" w:cs="宋体"/>
          <w:b/>
          <w:bCs/>
          <w:szCs w:val="44"/>
          <w:lang w:val="en-US"/>
        </w:rPr>
      </w:pPr>
      <w:r>
        <w:rPr>
          <w:rStyle w:val="200"/>
          <w:rFonts w:hint="eastAsia" w:ascii="宋体" w:hAnsi="宋体" w:eastAsia="宋体" w:cs="宋体"/>
          <w:b/>
          <w:bCs/>
          <w:szCs w:val="44"/>
          <w:lang w:val="en-US"/>
        </w:rPr>
        <w:br w:type="page" w:clear="all"/>
      </w:r>
      <w:bookmarkStart w:id="33" w:name="_Toc2661"/>
      <w:bookmarkStart w:id="34" w:name="_Toc10661"/>
      <w:r>
        <w:rPr>
          <w:rStyle w:val="200"/>
          <w:rFonts w:hint="eastAsia" w:ascii="宋体" w:hAnsi="宋体" w:eastAsia="宋体" w:cs="宋体"/>
          <w:b/>
          <w:bCs/>
          <w:szCs w:val="44"/>
          <w:lang w:val="en-US"/>
        </w:rPr>
        <w:t>第二章 供应商须知</w:t>
      </w:r>
      <w:bookmarkEnd w:id="0"/>
      <w:bookmarkEnd w:id="33"/>
      <w:bookmarkEnd w:id="34"/>
    </w:p>
    <w:p w14:paraId="3C026C89">
      <w:pPr>
        <w:spacing w:line="360" w:lineRule="auto"/>
        <w:ind w:firstLine="482"/>
        <w:rPr>
          <w:rFonts w:ascii="宋体" w:hAnsi="宋体" w:cs="宋体"/>
          <w:b/>
          <w:bCs/>
          <w:sz w:val="24"/>
        </w:rPr>
      </w:pPr>
      <w:r>
        <w:rPr>
          <w:rFonts w:hint="eastAsia" w:ascii="宋体" w:hAnsi="宋体" w:cs="宋体"/>
          <w:b/>
          <w:bCs/>
          <w:sz w:val="24"/>
        </w:rPr>
        <w:t>一、说明和释义</w:t>
      </w:r>
    </w:p>
    <w:p w14:paraId="01D1B49B">
      <w:pPr>
        <w:spacing w:line="360" w:lineRule="auto"/>
        <w:ind w:firstLine="480"/>
        <w:rPr>
          <w:rFonts w:ascii="宋体" w:hAnsi="宋体" w:cs="宋体"/>
          <w:sz w:val="24"/>
        </w:rPr>
      </w:pPr>
      <w:r>
        <w:rPr>
          <w:rFonts w:hint="eastAsia" w:ascii="宋体" w:hAnsi="宋体" w:cs="宋体"/>
          <w:sz w:val="24"/>
        </w:rPr>
        <w:t>1.说明</w:t>
      </w:r>
    </w:p>
    <w:p w14:paraId="466579E7">
      <w:pPr>
        <w:spacing w:line="360" w:lineRule="auto"/>
        <w:ind w:firstLine="480"/>
        <w:rPr>
          <w:rFonts w:ascii="宋体" w:hAnsi="宋体" w:cs="宋体"/>
          <w:sz w:val="24"/>
        </w:rPr>
      </w:pPr>
      <w:r>
        <w:rPr>
          <w:rFonts w:hint="eastAsia" w:ascii="宋体" w:hAnsi="宋体" w:cs="宋体"/>
          <w:sz w:val="24"/>
        </w:rPr>
        <w:t>1.1本磋商采购文件仅适用于</w:t>
      </w:r>
      <w:r>
        <w:rPr>
          <w:rFonts w:hint="eastAsia" w:ascii="宋体" w:hAnsi="宋体" w:cs="宋体"/>
          <w:sz w:val="24"/>
          <w:lang w:eastAsia="zh-CN"/>
        </w:rPr>
        <w:t>江苏正琦工程咨询有限公司</w:t>
      </w:r>
      <w:r>
        <w:rPr>
          <w:rFonts w:hint="eastAsia" w:ascii="宋体" w:hAnsi="宋体" w:cs="宋体"/>
          <w:sz w:val="24"/>
        </w:rPr>
        <w:t>组织的招标活动。</w:t>
      </w:r>
    </w:p>
    <w:p w14:paraId="0BA0BBA7">
      <w:pPr>
        <w:spacing w:line="360" w:lineRule="auto"/>
        <w:ind w:firstLine="480"/>
        <w:rPr>
          <w:rFonts w:ascii="宋体" w:hAnsi="宋体" w:cs="宋体"/>
          <w:sz w:val="24"/>
        </w:rPr>
      </w:pPr>
      <w:r>
        <w:rPr>
          <w:rFonts w:hint="eastAsia" w:ascii="宋体" w:hAnsi="宋体" w:cs="宋体"/>
          <w:sz w:val="24"/>
        </w:rPr>
        <w:t>1.2本次采购活动及因本次采购产生的合同受中国法律制约和保护。</w:t>
      </w:r>
    </w:p>
    <w:p w14:paraId="5C2FF96C">
      <w:pPr>
        <w:spacing w:line="360" w:lineRule="auto"/>
        <w:ind w:firstLine="480"/>
        <w:rPr>
          <w:rFonts w:ascii="宋体" w:hAnsi="宋体" w:cs="宋体"/>
          <w:sz w:val="24"/>
        </w:rPr>
      </w:pPr>
      <w:r>
        <w:rPr>
          <w:rFonts w:hint="eastAsia" w:ascii="宋体" w:hAnsi="宋体" w:cs="宋体"/>
          <w:sz w:val="24"/>
        </w:rPr>
        <w:t>1.3本磋商采购文件的解释权属于</w:t>
      </w:r>
      <w:r>
        <w:rPr>
          <w:rFonts w:hint="eastAsia" w:ascii="宋体" w:hAnsi="宋体" w:cs="宋体"/>
          <w:sz w:val="24"/>
          <w:lang w:eastAsia="zh-CN"/>
        </w:rPr>
        <w:t>江苏正琦工程咨询有限公司</w:t>
      </w:r>
      <w:r>
        <w:rPr>
          <w:rFonts w:hint="eastAsia" w:ascii="宋体" w:hAnsi="宋体" w:cs="宋体"/>
          <w:sz w:val="24"/>
        </w:rPr>
        <w:t>。</w:t>
      </w:r>
    </w:p>
    <w:p w14:paraId="05750AE2">
      <w:pPr>
        <w:spacing w:line="360" w:lineRule="auto"/>
        <w:ind w:firstLine="480"/>
        <w:rPr>
          <w:rFonts w:ascii="宋体" w:hAnsi="宋体" w:cs="宋体"/>
          <w:sz w:val="24"/>
        </w:rPr>
      </w:pPr>
      <w:r>
        <w:rPr>
          <w:rFonts w:hint="eastAsia" w:ascii="宋体" w:hAnsi="宋体" w:cs="宋体"/>
          <w:sz w:val="24"/>
        </w:rPr>
        <w:t>2.词语释义</w:t>
      </w:r>
    </w:p>
    <w:p w14:paraId="31EBE019">
      <w:pPr>
        <w:spacing w:line="360" w:lineRule="auto"/>
        <w:ind w:firstLine="480"/>
        <w:rPr>
          <w:rFonts w:ascii="宋体" w:hAnsi="宋体" w:cs="宋体"/>
          <w:sz w:val="24"/>
        </w:rPr>
      </w:pPr>
      <w:r>
        <w:rPr>
          <w:rFonts w:hint="eastAsia" w:ascii="宋体" w:hAnsi="宋体" w:cs="宋体"/>
          <w:sz w:val="24"/>
        </w:rPr>
        <w:t>2.1采购人：具体组织实施采购活动的法人。</w:t>
      </w:r>
    </w:p>
    <w:p w14:paraId="1751F176">
      <w:pPr>
        <w:spacing w:line="360" w:lineRule="auto"/>
        <w:ind w:firstLine="480"/>
        <w:rPr>
          <w:rFonts w:ascii="宋体" w:hAnsi="宋体" w:cs="宋体"/>
          <w:sz w:val="24"/>
        </w:rPr>
      </w:pPr>
      <w:r>
        <w:rPr>
          <w:rFonts w:hint="eastAsia" w:ascii="宋体" w:hAnsi="宋体" w:cs="宋体"/>
          <w:sz w:val="24"/>
        </w:rPr>
        <w:t>2.2采购代理机构：指依法接受采购人委托，从事货物、工程和服务等政府采购响应代理业务的社会中介机构。</w:t>
      </w:r>
    </w:p>
    <w:p w14:paraId="5FF41B01">
      <w:pPr>
        <w:spacing w:line="360" w:lineRule="auto"/>
        <w:ind w:firstLine="480"/>
        <w:rPr>
          <w:rFonts w:ascii="宋体" w:hAnsi="宋体" w:cs="宋体"/>
          <w:sz w:val="24"/>
        </w:rPr>
      </w:pPr>
      <w:r>
        <w:rPr>
          <w:rFonts w:hint="eastAsia" w:ascii="宋体" w:hAnsi="宋体" w:cs="宋体"/>
          <w:sz w:val="24"/>
        </w:rPr>
        <w:t>2.3响应供应商：响应招标并且符合磋商采购文件规定资格条件和参加投标竞争的法人、其他组织或者自然人。</w:t>
      </w:r>
    </w:p>
    <w:p w14:paraId="364F197B">
      <w:pPr>
        <w:spacing w:line="360" w:lineRule="auto"/>
        <w:ind w:firstLine="480"/>
        <w:rPr>
          <w:rFonts w:ascii="宋体" w:hAnsi="宋体" w:cs="宋体"/>
          <w:sz w:val="24"/>
        </w:rPr>
      </w:pPr>
      <w:r>
        <w:rPr>
          <w:rFonts w:hint="eastAsia" w:ascii="宋体" w:hAnsi="宋体" w:cs="宋体"/>
          <w:sz w:val="24"/>
        </w:rPr>
        <w:t>2.4响应：响应供应商根据采购人或者采购代理机构发布的磋商采购文件，编制响应文件并按规定投标的行为。</w:t>
      </w:r>
    </w:p>
    <w:p w14:paraId="5A28BC48">
      <w:pPr>
        <w:spacing w:line="360" w:lineRule="auto"/>
        <w:ind w:firstLine="480"/>
        <w:rPr>
          <w:rFonts w:ascii="宋体" w:hAnsi="宋体" w:cs="宋体"/>
          <w:sz w:val="24"/>
        </w:rPr>
      </w:pPr>
      <w:r>
        <w:rPr>
          <w:rFonts w:hint="eastAsia" w:ascii="宋体" w:hAnsi="宋体" w:cs="宋体"/>
          <w:sz w:val="24"/>
        </w:rPr>
        <w:t>2.5合同：采供双方根据磋商采购文件和成交的响应文件及成交通知书规定的内容签署的以书面形式所达成的协议，包括所有的附件、附录和构成协议的所有文件。</w:t>
      </w:r>
    </w:p>
    <w:p w14:paraId="0D0DD0A0">
      <w:pPr>
        <w:spacing w:line="360" w:lineRule="auto"/>
        <w:ind w:firstLine="480"/>
        <w:rPr>
          <w:rFonts w:ascii="宋体" w:hAnsi="宋体" w:cs="宋体"/>
          <w:sz w:val="24"/>
        </w:rPr>
      </w:pPr>
      <w:r>
        <w:rPr>
          <w:rFonts w:hint="eastAsia" w:ascii="宋体" w:hAnsi="宋体" w:cs="宋体"/>
          <w:sz w:val="24"/>
        </w:rPr>
        <w:t>2.6甲方（采购</w:t>
      </w:r>
      <w:r>
        <w:rPr>
          <w:rFonts w:hint="eastAsia" w:ascii="宋体" w:hAnsi="宋体" w:cs="宋体"/>
          <w:sz w:val="24"/>
          <w:lang w:val="en-US" w:eastAsia="zh-CN"/>
        </w:rPr>
        <w:t>人</w:t>
      </w:r>
      <w:r>
        <w:rPr>
          <w:rFonts w:hint="eastAsia" w:ascii="宋体" w:hAnsi="宋体" w:cs="宋体"/>
          <w:sz w:val="24"/>
        </w:rPr>
        <w:t>）：合同中明确规定的实际购买货物和服务的法人或其他组织和自然人(采购方)。</w:t>
      </w:r>
    </w:p>
    <w:p w14:paraId="6E4C321D">
      <w:pPr>
        <w:spacing w:line="360" w:lineRule="auto"/>
        <w:ind w:firstLine="480"/>
        <w:rPr>
          <w:rFonts w:ascii="宋体" w:hAnsi="宋体" w:cs="宋体"/>
          <w:sz w:val="24"/>
        </w:rPr>
      </w:pPr>
      <w:r>
        <w:rPr>
          <w:rFonts w:hint="eastAsia" w:ascii="宋体" w:hAnsi="宋体" w:cs="宋体"/>
          <w:sz w:val="24"/>
        </w:rPr>
        <w:t>2.7乙方（响应供应商）：合同中规定的向采购人提供货物和服务的法人或其他组织和自然人(成交供应商)。</w:t>
      </w:r>
    </w:p>
    <w:p w14:paraId="5C00E96B">
      <w:pPr>
        <w:spacing w:line="360" w:lineRule="auto"/>
        <w:ind w:firstLine="480"/>
        <w:rPr>
          <w:rFonts w:ascii="宋体" w:hAnsi="宋体" w:cs="宋体"/>
          <w:sz w:val="24"/>
        </w:rPr>
      </w:pPr>
      <w:r>
        <w:rPr>
          <w:rFonts w:hint="eastAsia" w:ascii="宋体" w:hAnsi="宋体" w:cs="宋体"/>
          <w:sz w:val="24"/>
        </w:rPr>
        <w:t>2.8货物：系指乙方按招标磋商采购文件规定，应向甲方提供的一切产品、备品、备件、工具、手册及其它有关技术资料和材料。</w:t>
      </w:r>
    </w:p>
    <w:p w14:paraId="5313CF55">
      <w:pPr>
        <w:spacing w:line="360" w:lineRule="auto"/>
        <w:ind w:firstLine="480"/>
        <w:rPr>
          <w:rFonts w:ascii="宋体" w:hAnsi="宋体" w:cs="宋体"/>
          <w:sz w:val="24"/>
        </w:rPr>
      </w:pPr>
      <w:r>
        <w:rPr>
          <w:rFonts w:hint="eastAsia" w:ascii="宋体" w:hAnsi="宋体" w:cs="宋体"/>
          <w:sz w:val="24"/>
        </w:rPr>
        <w:t>2.9服务：系指本次招标磋商采购文件规定乙方应承担的与提供货物和服务有关的辅助服务，比如运输、保险、安装、调试、提供技术援助、培训、配合措施、维修响应及合同中规定乙方应承担的其它义务。</w:t>
      </w:r>
    </w:p>
    <w:p w14:paraId="3F7EF210">
      <w:pPr>
        <w:spacing w:line="360" w:lineRule="auto"/>
        <w:ind w:firstLine="480"/>
        <w:rPr>
          <w:rFonts w:ascii="宋体" w:hAnsi="宋体" w:cs="宋体"/>
          <w:sz w:val="24"/>
        </w:rPr>
      </w:pPr>
      <w:r>
        <w:rPr>
          <w:rFonts w:hint="eastAsia" w:ascii="宋体" w:hAnsi="宋体" w:cs="宋体"/>
          <w:sz w:val="24"/>
        </w:rPr>
        <w:t>2.10知识产权：指专利权、商标权、著作权等无形财产专有权的统称。</w:t>
      </w:r>
    </w:p>
    <w:p w14:paraId="5AC33325">
      <w:pPr>
        <w:spacing w:line="360" w:lineRule="auto"/>
        <w:ind w:firstLine="480"/>
        <w:rPr>
          <w:rFonts w:ascii="宋体" w:hAnsi="宋体" w:cs="宋体"/>
          <w:sz w:val="24"/>
        </w:rPr>
      </w:pPr>
      <w:r>
        <w:rPr>
          <w:rFonts w:hint="eastAsia" w:ascii="宋体" w:hAnsi="宋体" w:cs="宋体"/>
          <w:sz w:val="24"/>
        </w:rPr>
        <w:t>2.11天：日历天。</w:t>
      </w:r>
    </w:p>
    <w:p w14:paraId="7F10B62F">
      <w:pPr>
        <w:spacing w:line="360" w:lineRule="auto"/>
        <w:ind w:firstLine="480"/>
        <w:rPr>
          <w:rFonts w:ascii="宋体" w:hAnsi="宋体" w:cs="宋体"/>
          <w:sz w:val="24"/>
        </w:rPr>
      </w:pPr>
      <w:r>
        <w:rPr>
          <w:rFonts w:hint="eastAsia" w:ascii="宋体" w:hAnsi="宋体" w:cs="宋体"/>
          <w:sz w:val="24"/>
        </w:rPr>
        <w:t>2.12交货地点：合同中明确约定的乙方提交的货物和服务最终到达地点。</w:t>
      </w:r>
    </w:p>
    <w:p w14:paraId="00E8A289">
      <w:pPr>
        <w:spacing w:line="360" w:lineRule="auto"/>
        <w:ind w:firstLine="480"/>
        <w:rPr>
          <w:rFonts w:ascii="宋体" w:hAnsi="宋体" w:cs="宋体"/>
          <w:sz w:val="24"/>
        </w:rPr>
      </w:pPr>
      <w:r>
        <w:rPr>
          <w:rFonts w:hint="eastAsia" w:ascii="宋体" w:hAnsi="宋体" w:cs="宋体"/>
          <w:sz w:val="24"/>
        </w:rPr>
        <w:t>2.13合同价款：根据合同规定，乙方在正确地履行合同义务后甲方应支付乙方的价款。</w:t>
      </w:r>
    </w:p>
    <w:p w14:paraId="6E9688D5">
      <w:pPr>
        <w:spacing w:line="360" w:lineRule="auto"/>
        <w:ind w:firstLine="480"/>
        <w:rPr>
          <w:rFonts w:ascii="宋体" w:hAnsi="宋体" w:cs="宋体"/>
          <w:sz w:val="24"/>
        </w:rPr>
      </w:pPr>
      <w:r>
        <w:rPr>
          <w:rFonts w:hint="eastAsia" w:ascii="宋体" w:hAnsi="宋体" w:cs="宋体"/>
          <w:sz w:val="24"/>
        </w:rPr>
        <w:t>2.14产地：货物开采、生长、生产、最终制造、加工或提供服务的来源地。</w:t>
      </w:r>
    </w:p>
    <w:p w14:paraId="1AC09A8F">
      <w:pPr>
        <w:spacing w:line="360" w:lineRule="auto"/>
        <w:ind w:firstLine="480"/>
        <w:rPr>
          <w:rFonts w:ascii="宋体" w:hAnsi="宋体" w:cs="宋体"/>
          <w:sz w:val="24"/>
        </w:rPr>
      </w:pPr>
      <w:r>
        <w:rPr>
          <w:rFonts w:hint="eastAsia" w:ascii="宋体" w:hAnsi="宋体" w:cs="宋体"/>
          <w:sz w:val="24"/>
        </w:rPr>
        <w:t>2.15不可抗力：不能预见、不能避免并且不能克服的客观情况。</w:t>
      </w:r>
    </w:p>
    <w:p w14:paraId="0F4F4B99">
      <w:pPr>
        <w:spacing w:line="360" w:lineRule="auto"/>
        <w:ind w:firstLine="480"/>
        <w:rPr>
          <w:rFonts w:ascii="宋体" w:hAnsi="宋体" w:cs="宋体"/>
          <w:sz w:val="24"/>
        </w:rPr>
      </w:pPr>
      <w:r>
        <w:rPr>
          <w:rFonts w:hint="eastAsia" w:ascii="宋体" w:hAnsi="宋体" w:cs="宋体"/>
          <w:sz w:val="24"/>
        </w:rPr>
        <w:t>2.16实质性响应：满足有关本次采购标的、数量、质量、价款或者报酬、履行期限、履行地点和方式、违约责任和解决争议方法等要求。</w:t>
      </w:r>
    </w:p>
    <w:p w14:paraId="499FB16B">
      <w:pPr>
        <w:spacing w:line="360" w:lineRule="auto"/>
        <w:ind w:firstLine="480"/>
        <w:rPr>
          <w:rFonts w:ascii="宋体" w:hAnsi="宋体" w:cs="宋体"/>
          <w:sz w:val="24"/>
        </w:rPr>
      </w:pPr>
      <w:r>
        <w:rPr>
          <w:rFonts w:hint="eastAsia" w:ascii="宋体" w:hAnsi="宋体" w:cs="宋体"/>
          <w:sz w:val="24"/>
        </w:rPr>
        <w:t>2.17进口产品：通过中国海关报关验放进入中国境内且产自关境外的产品。</w:t>
      </w:r>
    </w:p>
    <w:p w14:paraId="3A610EE5">
      <w:pPr>
        <w:spacing w:line="360" w:lineRule="auto"/>
        <w:ind w:firstLine="480"/>
        <w:rPr>
          <w:rFonts w:ascii="宋体" w:hAnsi="宋体" w:cs="宋体"/>
          <w:sz w:val="24"/>
        </w:rPr>
      </w:pPr>
      <w:r>
        <w:rPr>
          <w:rFonts w:hint="eastAsia" w:ascii="宋体" w:hAnsi="宋体" w:cs="宋体"/>
          <w:sz w:val="24"/>
        </w:rPr>
        <w:t>2.18书面形式：指书面文字、合同书、信件和传真等可以有形地表现所载内容的形式。</w:t>
      </w:r>
    </w:p>
    <w:p w14:paraId="73CDD9E3">
      <w:pPr>
        <w:spacing w:line="360" w:lineRule="auto"/>
        <w:ind w:firstLine="482"/>
        <w:rPr>
          <w:rFonts w:ascii="宋体" w:hAnsi="宋体" w:cs="宋体"/>
          <w:b/>
          <w:bCs/>
          <w:sz w:val="24"/>
        </w:rPr>
      </w:pPr>
      <w:r>
        <w:rPr>
          <w:rFonts w:hint="eastAsia" w:ascii="宋体" w:hAnsi="宋体" w:cs="宋体"/>
          <w:b/>
          <w:bCs/>
          <w:sz w:val="24"/>
        </w:rPr>
        <w:t>二、响应供应商</w:t>
      </w:r>
    </w:p>
    <w:p w14:paraId="0826E3E2">
      <w:pPr>
        <w:spacing w:line="360" w:lineRule="auto"/>
        <w:ind w:firstLine="480"/>
        <w:rPr>
          <w:rFonts w:ascii="宋体" w:hAnsi="宋体" w:cs="宋体"/>
          <w:sz w:val="24"/>
        </w:rPr>
      </w:pPr>
      <w:r>
        <w:rPr>
          <w:rFonts w:hint="eastAsia" w:ascii="宋体" w:hAnsi="宋体" w:cs="宋体"/>
          <w:sz w:val="24"/>
        </w:rPr>
        <w:t>3.合格供应商的基本条件：</w:t>
      </w:r>
    </w:p>
    <w:p w14:paraId="10C3023F">
      <w:pPr>
        <w:spacing w:line="360" w:lineRule="auto"/>
        <w:ind w:firstLine="480"/>
        <w:rPr>
          <w:rFonts w:ascii="宋体" w:hAnsi="宋体" w:cs="宋体"/>
          <w:sz w:val="24"/>
        </w:rPr>
      </w:pPr>
      <w:r>
        <w:rPr>
          <w:rFonts w:hint="eastAsia" w:ascii="宋体" w:hAnsi="宋体" w:cs="宋体"/>
          <w:sz w:val="24"/>
        </w:rPr>
        <w:t>3.1具有独立承担民事责任的能力；</w:t>
      </w:r>
    </w:p>
    <w:p w14:paraId="4956A6F3">
      <w:pPr>
        <w:spacing w:line="360" w:lineRule="auto"/>
        <w:ind w:firstLine="480"/>
        <w:rPr>
          <w:rFonts w:ascii="宋体" w:hAnsi="宋体" w:cs="宋体"/>
          <w:sz w:val="24"/>
        </w:rPr>
      </w:pPr>
      <w:r>
        <w:rPr>
          <w:rFonts w:hint="eastAsia" w:ascii="宋体" w:hAnsi="宋体" w:cs="宋体"/>
          <w:sz w:val="24"/>
        </w:rPr>
        <w:t>3.2具有良好的商业信誉和健全的财务会计制度；</w:t>
      </w:r>
    </w:p>
    <w:p w14:paraId="31E081AF">
      <w:pPr>
        <w:spacing w:line="360" w:lineRule="auto"/>
        <w:ind w:firstLine="480"/>
        <w:rPr>
          <w:rFonts w:ascii="宋体" w:hAnsi="宋体" w:cs="宋体"/>
          <w:sz w:val="24"/>
        </w:rPr>
      </w:pPr>
      <w:r>
        <w:rPr>
          <w:rFonts w:hint="eastAsia" w:ascii="宋体" w:hAnsi="宋体" w:cs="宋体"/>
          <w:sz w:val="24"/>
        </w:rPr>
        <w:t>3.3具有履行合同所必需的设备和专业技术能力；</w:t>
      </w:r>
    </w:p>
    <w:p w14:paraId="3CE7FE15">
      <w:pPr>
        <w:spacing w:line="360" w:lineRule="auto"/>
        <w:ind w:firstLine="480"/>
        <w:rPr>
          <w:rFonts w:ascii="宋体" w:hAnsi="宋体" w:cs="宋体"/>
          <w:sz w:val="24"/>
        </w:rPr>
      </w:pPr>
      <w:r>
        <w:rPr>
          <w:rFonts w:hint="eastAsia" w:ascii="宋体" w:hAnsi="宋体" w:cs="宋体"/>
          <w:sz w:val="24"/>
        </w:rPr>
        <w:t>3.4有依法缴纳税收和社会保障资金的良好记录；</w:t>
      </w:r>
    </w:p>
    <w:p w14:paraId="5D5E74F6">
      <w:pPr>
        <w:spacing w:line="360" w:lineRule="auto"/>
        <w:ind w:firstLine="480"/>
        <w:rPr>
          <w:rFonts w:ascii="宋体" w:hAnsi="宋体" w:cs="宋体"/>
          <w:sz w:val="24"/>
        </w:rPr>
      </w:pPr>
      <w:r>
        <w:rPr>
          <w:rFonts w:hint="eastAsia" w:ascii="宋体" w:hAnsi="宋体" w:cs="宋体"/>
          <w:sz w:val="24"/>
        </w:rPr>
        <w:t>3.5参加政府采购活动前三年内，在经营活动中没有重大违法记录；</w:t>
      </w:r>
    </w:p>
    <w:p w14:paraId="679BDF23">
      <w:pPr>
        <w:spacing w:line="360" w:lineRule="auto"/>
        <w:ind w:firstLine="480"/>
        <w:rPr>
          <w:rFonts w:ascii="宋体" w:hAnsi="宋体" w:cs="宋体"/>
          <w:sz w:val="24"/>
        </w:rPr>
      </w:pPr>
      <w:r>
        <w:rPr>
          <w:rFonts w:hint="eastAsia" w:ascii="宋体" w:hAnsi="宋体" w:cs="宋体"/>
          <w:sz w:val="24"/>
        </w:rPr>
        <w:t>3.6法律、行政法规规定的其他条件。</w:t>
      </w:r>
    </w:p>
    <w:p w14:paraId="0A679C99">
      <w:pPr>
        <w:spacing w:line="360" w:lineRule="auto"/>
        <w:ind w:firstLine="480"/>
        <w:rPr>
          <w:rFonts w:hint="eastAsia" w:ascii="宋体" w:hAnsi="宋体" w:eastAsia="宋体" w:cs="宋体"/>
          <w:sz w:val="24"/>
          <w:lang w:val="en-US" w:eastAsia="zh-CN"/>
        </w:rPr>
      </w:pPr>
      <w:r>
        <w:rPr>
          <w:rFonts w:hint="eastAsia" w:ascii="宋体" w:hAnsi="宋体" w:cs="宋体"/>
          <w:sz w:val="24"/>
        </w:rPr>
        <w:t>4.合格供应商的特定条件：</w:t>
      </w:r>
      <w:r>
        <w:rPr>
          <w:rFonts w:hint="eastAsia" w:ascii="宋体" w:hAnsi="宋体" w:cs="宋体"/>
          <w:sz w:val="24"/>
          <w:lang w:val="en-US" w:eastAsia="zh-CN"/>
        </w:rPr>
        <w:t>无。</w:t>
      </w:r>
    </w:p>
    <w:p w14:paraId="54C5687F">
      <w:pPr>
        <w:spacing w:line="360" w:lineRule="auto"/>
        <w:ind w:firstLine="480"/>
      </w:pPr>
      <w:r>
        <w:rPr>
          <w:rFonts w:hint="eastAsia" w:ascii="宋体" w:hAnsi="宋体" w:cs="宋体"/>
          <w:sz w:val="24"/>
          <w:lang w:val="en-US" w:eastAsia="zh-CN"/>
        </w:rPr>
        <w:t>4.1</w:t>
      </w:r>
      <w:r>
        <w:rPr>
          <w:rFonts w:hint="eastAsia" w:ascii="宋体" w:hAnsi="宋体" w:cs="宋体"/>
          <w:sz w:val="24"/>
        </w:rPr>
        <w:t>落实政府采购政策需满足的资格要求：根据《政府采购促进中小企业发展管理办法》及《苏州市政府采购促进中小企业发展实施意见》的相关规定，</w:t>
      </w:r>
      <w:r>
        <w:rPr>
          <w:rFonts w:hint="eastAsia" w:ascii="宋体" w:hAnsi="宋体" w:cs="宋体"/>
          <w:b/>
          <w:bCs/>
          <w:sz w:val="24"/>
        </w:rPr>
        <w:t>本项目专门面向中小企业，所属行业：其他未列明行业</w:t>
      </w:r>
      <w:r>
        <w:rPr>
          <w:rFonts w:hint="eastAsia" w:ascii="宋体" w:hAnsi="宋体" w:cs="宋体"/>
          <w:sz w:val="24"/>
        </w:rPr>
        <w:t>，承接本项目的服务单位应为中小微企业、监狱企业、残疾人福利性单位。供应商参加本项目政府采购活动响应文件中需出具相关声明函（详见格式）或证明文件，未提供的视为未实质性响应文件。供应商未按照规定提供声明函内容不实的，属于提供虚假材料谋取成交，依照《中华人民共和国政府采购法》等国家有关规定追究相应责任。</w:t>
      </w:r>
    </w:p>
    <w:p w14:paraId="0C3FF20E">
      <w:pPr>
        <w:spacing w:line="360" w:lineRule="auto"/>
        <w:ind w:firstLine="480"/>
        <w:rPr>
          <w:rFonts w:ascii="宋体" w:hAnsi="宋体" w:cs="宋体"/>
          <w:sz w:val="24"/>
        </w:rPr>
      </w:pPr>
      <w:r>
        <w:rPr>
          <w:rFonts w:hint="eastAsia" w:ascii="宋体" w:hAnsi="宋体" w:cs="宋体"/>
          <w:sz w:val="24"/>
        </w:rPr>
        <w:t>5.响应供应商代表</w:t>
      </w:r>
    </w:p>
    <w:p w14:paraId="523D13C6">
      <w:pPr>
        <w:spacing w:line="360" w:lineRule="auto"/>
        <w:ind w:firstLine="480"/>
        <w:rPr>
          <w:rFonts w:ascii="宋体" w:hAnsi="宋体" w:cs="宋体"/>
          <w:sz w:val="24"/>
        </w:rPr>
      </w:pPr>
      <w:r>
        <w:rPr>
          <w:rFonts w:hint="eastAsia" w:ascii="宋体" w:hAnsi="宋体" w:cs="宋体"/>
          <w:sz w:val="24"/>
        </w:rPr>
        <w:t>指全权代表响应供应商参加投标活动并签署响应文件的人，如果响应供应商代表不是法人代表，须持有《法人代表授权委托书》（详见统一格式）。</w:t>
      </w:r>
    </w:p>
    <w:p w14:paraId="7E86EA33">
      <w:pPr>
        <w:spacing w:line="360" w:lineRule="auto"/>
        <w:ind w:firstLine="480"/>
        <w:rPr>
          <w:rFonts w:ascii="宋体" w:hAnsi="宋体" w:cs="宋体"/>
          <w:sz w:val="24"/>
        </w:rPr>
      </w:pPr>
      <w:r>
        <w:rPr>
          <w:rFonts w:hint="eastAsia" w:ascii="宋体" w:hAnsi="宋体" w:cs="宋体"/>
          <w:sz w:val="24"/>
        </w:rPr>
        <w:t>6.联合投标</w:t>
      </w:r>
    </w:p>
    <w:p w14:paraId="0E6B2E4C">
      <w:pPr>
        <w:spacing w:line="360" w:lineRule="auto"/>
        <w:ind w:firstLine="480"/>
        <w:rPr>
          <w:rFonts w:ascii="宋体" w:hAnsi="宋体" w:cs="宋体"/>
          <w:sz w:val="24"/>
        </w:rPr>
      </w:pPr>
      <w:r>
        <w:rPr>
          <w:rFonts w:hint="eastAsia" w:ascii="宋体" w:hAnsi="宋体" w:cs="宋体"/>
          <w:sz w:val="24"/>
        </w:rPr>
        <w:t>本项目不接受联合体响应。</w:t>
      </w:r>
    </w:p>
    <w:p w14:paraId="7F018709">
      <w:pPr>
        <w:spacing w:line="360" w:lineRule="auto"/>
        <w:ind w:firstLine="480"/>
        <w:rPr>
          <w:rFonts w:ascii="宋体" w:hAnsi="宋体" w:cs="宋体"/>
          <w:sz w:val="24"/>
        </w:rPr>
      </w:pPr>
      <w:r>
        <w:rPr>
          <w:rFonts w:hint="eastAsia" w:ascii="宋体" w:hAnsi="宋体" w:cs="宋体"/>
          <w:sz w:val="24"/>
        </w:rPr>
        <w:t>7.进口产品</w:t>
      </w:r>
    </w:p>
    <w:p w14:paraId="6159DA9C">
      <w:pPr>
        <w:spacing w:line="360" w:lineRule="auto"/>
        <w:ind w:firstLine="480"/>
        <w:rPr>
          <w:rFonts w:ascii="宋体" w:hAnsi="宋体" w:cs="宋体"/>
          <w:sz w:val="24"/>
        </w:rPr>
      </w:pPr>
      <w:r>
        <w:rPr>
          <w:rFonts w:hint="eastAsia" w:ascii="宋体" w:hAnsi="宋体" w:cs="宋体"/>
          <w:sz w:val="24"/>
        </w:rPr>
        <w:t>本项目不接受进口产品。</w:t>
      </w:r>
    </w:p>
    <w:p w14:paraId="2E273B14">
      <w:pPr>
        <w:spacing w:line="360" w:lineRule="auto"/>
        <w:ind w:firstLine="480"/>
        <w:rPr>
          <w:rFonts w:ascii="宋体" w:hAnsi="宋体" w:cs="宋体"/>
          <w:sz w:val="24"/>
        </w:rPr>
      </w:pPr>
      <w:r>
        <w:rPr>
          <w:rFonts w:hint="eastAsia" w:ascii="宋体" w:hAnsi="宋体" w:cs="宋体"/>
          <w:sz w:val="24"/>
        </w:rPr>
        <w:t>8.投标分包</w:t>
      </w:r>
    </w:p>
    <w:p w14:paraId="55ECA113">
      <w:pPr>
        <w:spacing w:line="360" w:lineRule="auto"/>
        <w:ind w:firstLine="480"/>
        <w:rPr>
          <w:rFonts w:ascii="宋体" w:hAnsi="宋体" w:cs="宋体"/>
          <w:sz w:val="24"/>
          <w:szCs w:val="22"/>
          <w:lang w:val="zh-CN"/>
        </w:rPr>
      </w:pPr>
      <w:r>
        <w:rPr>
          <w:rFonts w:hint="eastAsia" w:ascii="宋体" w:hAnsi="宋体" w:cs="宋体"/>
          <w:sz w:val="24"/>
          <w:szCs w:val="22"/>
          <w:lang w:val="zh-CN"/>
        </w:rPr>
        <w:t>本项目不得以任何形式进行转包及分包。</w:t>
      </w:r>
    </w:p>
    <w:p w14:paraId="7F6DF1D9">
      <w:pPr>
        <w:spacing w:line="360" w:lineRule="auto"/>
        <w:ind w:firstLine="480"/>
        <w:rPr>
          <w:rFonts w:ascii="宋体" w:hAnsi="宋体" w:cs="宋体"/>
          <w:sz w:val="24"/>
        </w:rPr>
      </w:pPr>
      <w:r>
        <w:rPr>
          <w:rFonts w:hint="eastAsia" w:ascii="宋体" w:hAnsi="宋体" w:cs="宋体"/>
          <w:sz w:val="24"/>
        </w:rPr>
        <w:t>9.投标费用</w:t>
      </w:r>
    </w:p>
    <w:p w14:paraId="3D8555CB">
      <w:pPr>
        <w:spacing w:line="360" w:lineRule="auto"/>
        <w:ind w:firstLine="480"/>
        <w:rPr>
          <w:rFonts w:ascii="宋体" w:hAnsi="宋体" w:cs="宋体"/>
          <w:sz w:val="24"/>
        </w:rPr>
      </w:pPr>
      <w:r>
        <w:rPr>
          <w:rFonts w:hint="eastAsia" w:ascii="宋体" w:hAnsi="宋体" w:cs="宋体"/>
          <w:sz w:val="24"/>
        </w:rPr>
        <w:t>无论磋商过程中的做法和结果如何，响应供应商自行承担所有与参加磋商有关的全部费用。</w:t>
      </w:r>
    </w:p>
    <w:p w14:paraId="6682715C">
      <w:pPr>
        <w:spacing w:line="360" w:lineRule="auto"/>
        <w:ind w:firstLine="482"/>
        <w:rPr>
          <w:rFonts w:ascii="宋体" w:hAnsi="宋体" w:cs="宋体"/>
          <w:b/>
          <w:bCs/>
          <w:sz w:val="24"/>
        </w:rPr>
      </w:pPr>
      <w:r>
        <w:rPr>
          <w:rFonts w:hint="eastAsia" w:ascii="宋体" w:hAnsi="宋体" w:cs="宋体"/>
          <w:b/>
          <w:bCs/>
          <w:sz w:val="24"/>
        </w:rPr>
        <w:t>三、采购文件的说明</w:t>
      </w:r>
    </w:p>
    <w:p w14:paraId="77C8F8C7">
      <w:pPr>
        <w:spacing w:line="360" w:lineRule="auto"/>
        <w:ind w:firstLine="480"/>
        <w:rPr>
          <w:rFonts w:ascii="宋体" w:hAnsi="宋体" w:cs="宋体"/>
          <w:sz w:val="24"/>
        </w:rPr>
      </w:pPr>
      <w:r>
        <w:rPr>
          <w:rFonts w:hint="eastAsia" w:ascii="宋体" w:hAnsi="宋体" w:cs="宋体"/>
          <w:sz w:val="24"/>
        </w:rPr>
        <w:t>10.采购文件</w:t>
      </w:r>
    </w:p>
    <w:p w14:paraId="74F7A7E6">
      <w:pPr>
        <w:spacing w:line="360" w:lineRule="auto"/>
        <w:ind w:firstLine="480"/>
        <w:rPr>
          <w:rFonts w:ascii="宋体" w:hAnsi="宋体" w:cs="宋体"/>
          <w:sz w:val="24"/>
        </w:rPr>
      </w:pPr>
      <w:r>
        <w:rPr>
          <w:rFonts w:hint="eastAsia" w:ascii="宋体" w:hAnsi="宋体" w:cs="宋体"/>
          <w:sz w:val="24"/>
        </w:rPr>
        <w:t>10.1采购文件由采购文件总目录所列内容组成。响应供应商应详细阅读采购文件的全部内容。不按采购文件的要求提供的响应文件和资料，可能导致投标被拒绝。</w:t>
      </w:r>
    </w:p>
    <w:p w14:paraId="1E467B39">
      <w:pPr>
        <w:spacing w:line="360" w:lineRule="auto"/>
        <w:ind w:firstLine="480"/>
        <w:rPr>
          <w:rFonts w:ascii="宋体" w:hAnsi="宋体" w:cs="宋体"/>
          <w:sz w:val="24"/>
        </w:rPr>
      </w:pPr>
      <w:r>
        <w:rPr>
          <w:rFonts w:hint="eastAsia" w:ascii="宋体" w:hAnsi="宋体" w:cs="宋体"/>
          <w:sz w:val="24"/>
        </w:rPr>
        <w:t>10.2采购文件不是响应供应商进行网上报名后在报名系统中自行下载的，采购人或采购代理机构对采购文件及其补遗的真实性、完整性不承担任何责任。</w:t>
      </w:r>
    </w:p>
    <w:p w14:paraId="061E5F1B">
      <w:pPr>
        <w:spacing w:line="360" w:lineRule="auto"/>
        <w:ind w:firstLine="480"/>
        <w:rPr>
          <w:rFonts w:ascii="宋体" w:hAnsi="宋体" w:cs="宋体"/>
          <w:sz w:val="24"/>
        </w:rPr>
      </w:pPr>
      <w:r>
        <w:rPr>
          <w:rFonts w:hint="eastAsia" w:ascii="宋体" w:hAnsi="宋体" w:cs="宋体"/>
          <w:sz w:val="24"/>
        </w:rPr>
        <w:t>11.现场踏勘</w:t>
      </w:r>
    </w:p>
    <w:p w14:paraId="15A041E3">
      <w:pPr>
        <w:spacing w:line="360" w:lineRule="auto"/>
        <w:ind w:firstLine="480"/>
        <w:rPr>
          <w:rFonts w:ascii="宋体" w:hAnsi="宋体" w:cs="宋体"/>
          <w:sz w:val="24"/>
        </w:rPr>
      </w:pPr>
      <w:r>
        <w:rPr>
          <w:rFonts w:hint="eastAsia" w:ascii="宋体" w:hAnsi="宋体" w:cs="宋体"/>
          <w:sz w:val="24"/>
        </w:rPr>
        <w:t>11.1根据自身需要，响应供应商可对有关现场和周围环境进行踏勘，以获取编制响应文件和签署合同所需的信息。踏勘现场所发生的费用由响应供应商自己承担。</w:t>
      </w:r>
    </w:p>
    <w:p w14:paraId="75C9CFD7">
      <w:pPr>
        <w:spacing w:line="360" w:lineRule="auto"/>
        <w:ind w:firstLine="480"/>
        <w:rPr>
          <w:rFonts w:ascii="宋体" w:hAnsi="宋体" w:cs="宋体"/>
          <w:sz w:val="24"/>
        </w:rPr>
      </w:pPr>
      <w:r>
        <w:rPr>
          <w:rFonts w:hint="eastAsia" w:ascii="宋体" w:hAnsi="宋体" w:cs="宋体"/>
          <w:sz w:val="24"/>
        </w:rPr>
        <w:t>11.2采购人或采购代理机构向响应供应商提供的有关现场的资料和数据，是采购人或采购代理机构现有的并认为能使响应供应商可利用的资料。采购人或采购代理机构对响应供应商由此而做出的推论、理解和结论概不负责。</w:t>
      </w:r>
    </w:p>
    <w:p w14:paraId="512B5D7D">
      <w:pPr>
        <w:spacing w:line="360" w:lineRule="auto"/>
        <w:ind w:firstLine="480"/>
        <w:rPr>
          <w:rFonts w:ascii="宋体" w:hAnsi="宋体" w:cs="宋体"/>
          <w:sz w:val="24"/>
        </w:rPr>
      </w:pPr>
      <w:r>
        <w:rPr>
          <w:rFonts w:hint="eastAsia" w:ascii="宋体" w:hAnsi="宋体" w:cs="宋体"/>
          <w:sz w:val="24"/>
        </w:rPr>
        <w:t>11.3经采购人允许，响应供应商可为踏勘目的进入采购人的项目现场，但响应供应商不得因此使采购人承担有关的责任和蒙受损失。响应供应商应承担踏勘现场的责任和风险。</w:t>
      </w:r>
    </w:p>
    <w:p w14:paraId="3DD0BAC0">
      <w:pPr>
        <w:spacing w:line="360" w:lineRule="auto"/>
        <w:ind w:firstLine="480"/>
        <w:rPr>
          <w:rFonts w:ascii="宋体" w:hAnsi="宋体" w:cs="宋体"/>
          <w:sz w:val="24"/>
        </w:rPr>
      </w:pPr>
      <w:r>
        <w:rPr>
          <w:rFonts w:hint="eastAsia" w:ascii="宋体" w:hAnsi="宋体" w:cs="宋体"/>
          <w:sz w:val="24"/>
        </w:rPr>
        <w:t>11.4响应供应商应在现场踏勘时，熟悉现场及周围交通道路等情况，以获得一切可能影响其投标的直接资料。响应供应商成交后，不得以不完全了解现场情况为理由而向采购人或采购代理机构提出任何索赔的要求，对此采购人或采购代理机构不承担任何责任并将不作任何答复与考虑。</w:t>
      </w:r>
    </w:p>
    <w:p w14:paraId="55BE59FA">
      <w:pPr>
        <w:spacing w:line="360" w:lineRule="auto"/>
        <w:ind w:firstLine="480"/>
        <w:rPr>
          <w:rFonts w:ascii="宋体" w:hAnsi="宋体" w:cs="宋体"/>
          <w:sz w:val="24"/>
        </w:rPr>
      </w:pPr>
      <w:r>
        <w:rPr>
          <w:rFonts w:hint="eastAsia" w:ascii="宋体" w:hAnsi="宋体" w:cs="宋体"/>
          <w:sz w:val="24"/>
        </w:rPr>
        <w:t>12.采购文件的澄清和修改</w:t>
      </w:r>
    </w:p>
    <w:p w14:paraId="3065EB1C">
      <w:pPr>
        <w:spacing w:line="360" w:lineRule="auto"/>
        <w:ind w:firstLine="480"/>
        <w:rPr>
          <w:rFonts w:ascii="宋体" w:hAnsi="宋体" w:cs="宋体"/>
          <w:sz w:val="24"/>
        </w:rPr>
      </w:pPr>
      <w:r>
        <w:rPr>
          <w:rFonts w:hint="eastAsia" w:ascii="宋体" w:hAnsi="宋体" w:cs="宋体"/>
          <w:sz w:val="24"/>
        </w:rPr>
        <w:t>12.1采购人或者采购代理机构无论出于自己的考虑，还是出于对响应供应商提问的澄清，均可对采购文件用更正公告的方式进行澄清或者修改，并通过苏州市政府采购网对外进行发布。</w:t>
      </w:r>
    </w:p>
    <w:p w14:paraId="7B9949E5">
      <w:pPr>
        <w:spacing w:line="360" w:lineRule="auto"/>
        <w:ind w:firstLine="480"/>
        <w:rPr>
          <w:rFonts w:ascii="宋体" w:hAnsi="宋体" w:cs="宋体"/>
          <w:sz w:val="24"/>
        </w:rPr>
      </w:pPr>
      <w:r>
        <w:rPr>
          <w:rFonts w:hint="eastAsia" w:ascii="宋体" w:hAnsi="宋体" w:cs="宋体"/>
          <w:sz w:val="24"/>
        </w:rPr>
        <w:t>12.2对于补充通知（包括更正公告），报名成功的响应供应商通过“苏州市政府采购网”自行查看所报项目的补充通知（包括更正公告）。补充通知（包括更正公告）将作为采购文件的组成部分，对所有响应供应商有约束力。</w:t>
      </w:r>
    </w:p>
    <w:p w14:paraId="1CECF7A8">
      <w:pPr>
        <w:spacing w:line="360" w:lineRule="auto"/>
        <w:ind w:firstLine="480"/>
        <w:rPr>
          <w:rFonts w:ascii="宋体" w:hAnsi="宋体" w:cs="宋体"/>
          <w:sz w:val="24"/>
        </w:rPr>
      </w:pPr>
      <w:r>
        <w:rPr>
          <w:rFonts w:hint="eastAsia" w:ascii="宋体" w:hAnsi="宋体" w:cs="宋体"/>
          <w:sz w:val="24"/>
        </w:rPr>
        <w:t>12.3为使响应供应商有足够的时间按采购文件的修改要求考虑修正响应文件，或出于其他原因，采购人或者采购代理机构有权推迟投标截止日期和开标日期，并将此变更通知以更正公告的形式对外发布。</w:t>
      </w:r>
    </w:p>
    <w:p w14:paraId="46BB1DC5">
      <w:pPr>
        <w:spacing w:line="360" w:lineRule="auto"/>
        <w:ind w:firstLine="480"/>
        <w:rPr>
          <w:rFonts w:ascii="宋体" w:hAnsi="宋体" w:cs="宋体"/>
          <w:sz w:val="24"/>
        </w:rPr>
      </w:pPr>
      <w:r>
        <w:rPr>
          <w:rFonts w:hint="eastAsia" w:ascii="宋体" w:hAnsi="宋体" w:cs="宋体"/>
          <w:sz w:val="24"/>
        </w:rPr>
        <w:t>12.4采购文件的澄清、修改、补充等内容均以苏州政府采购网上发布的为准。</w:t>
      </w:r>
    </w:p>
    <w:p w14:paraId="1FA8B154">
      <w:pPr>
        <w:spacing w:line="360" w:lineRule="auto"/>
        <w:ind w:firstLine="480"/>
        <w:rPr>
          <w:rFonts w:ascii="宋体" w:hAnsi="宋体" w:cs="宋体"/>
          <w:sz w:val="24"/>
        </w:rPr>
      </w:pPr>
      <w:r>
        <w:rPr>
          <w:rFonts w:hint="eastAsia" w:ascii="宋体" w:hAnsi="宋体" w:cs="宋体"/>
          <w:sz w:val="24"/>
        </w:rPr>
        <w:t>12.5响应供应商在获取采购文件后，若对采购文件有疑问应于采购公告规定的方式和时间向采购人或者采购代理机构提出，采购人或者采购代理机构将按规定的方式予以解答，但不说明来源。</w:t>
      </w:r>
    </w:p>
    <w:p w14:paraId="35571048">
      <w:pPr>
        <w:spacing w:line="360" w:lineRule="auto"/>
        <w:ind w:firstLine="482"/>
        <w:rPr>
          <w:rFonts w:ascii="宋体" w:hAnsi="宋体" w:cs="宋体"/>
          <w:b/>
          <w:bCs/>
          <w:sz w:val="24"/>
        </w:rPr>
      </w:pPr>
      <w:r>
        <w:rPr>
          <w:rFonts w:hint="eastAsia" w:ascii="宋体" w:hAnsi="宋体" w:cs="宋体"/>
          <w:b/>
          <w:bCs/>
          <w:sz w:val="24"/>
        </w:rPr>
        <w:t>四、响应文件说明</w:t>
      </w:r>
    </w:p>
    <w:p w14:paraId="1EAF996E">
      <w:pPr>
        <w:spacing w:line="360" w:lineRule="auto"/>
        <w:ind w:firstLine="480"/>
        <w:rPr>
          <w:rFonts w:ascii="宋体" w:hAnsi="宋体" w:cs="宋体"/>
          <w:sz w:val="24"/>
        </w:rPr>
      </w:pPr>
      <w:r>
        <w:rPr>
          <w:rFonts w:hint="eastAsia" w:ascii="宋体" w:hAnsi="宋体" w:cs="宋体"/>
          <w:sz w:val="24"/>
        </w:rPr>
        <w:t>13．提示与要求</w:t>
      </w:r>
    </w:p>
    <w:p w14:paraId="370BDFD4">
      <w:pPr>
        <w:spacing w:line="360" w:lineRule="auto"/>
        <w:ind w:firstLine="480"/>
        <w:rPr>
          <w:rFonts w:ascii="宋体" w:hAnsi="宋体" w:cs="宋体"/>
          <w:sz w:val="24"/>
        </w:rPr>
      </w:pPr>
      <w:r>
        <w:rPr>
          <w:rFonts w:hint="eastAsia" w:ascii="宋体" w:hAnsi="宋体" w:cs="宋体"/>
          <w:sz w:val="24"/>
        </w:rPr>
        <w:t>13.1响应供应商应仔细阅读采购文件的所有内容，按采购文件的要求提供响应文件，并保证所提供的全部资料的真实性，以使其投标对采购文件做出实质性响应，否则，其投标可能被拒绝。</w:t>
      </w:r>
    </w:p>
    <w:p w14:paraId="1382D394">
      <w:pPr>
        <w:spacing w:line="360" w:lineRule="auto"/>
        <w:ind w:firstLine="480"/>
        <w:rPr>
          <w:rFonts w:ascii="宋体" w:hAnsi="宋体" w:cs="宋体"/>
          <w:sz w:val="24"/>
        </w:rPr>
      </w:pPr>
      <w:r>
        <w:rPr>
          <w:rFonts w:hint="eastAsia" w:ascii="宋体" w:hAnsi="宋体" w:cs="宋体"/>
          <w:sz w:val="24"/>
        </w:rPr>
        <w:t>13.2无论是否递交响应文件，响应供应商都应将采购文件及以后的所有通知、文件等视为保密文件。</w:t>
      </w:r>
    </w:p>
    <w:p w14:paraId="15D78CAB">
      <w:pPr>
        <w:spacing w:line="360" w:lineRule="auto"/>
        <w:ind w:firstLine="480"/>
        <w:rPr>
          <w:rFonts w:ascii="宋体" w:hAnsi="宋体" w:cs="宋体"/>
          <w:sz w:val="24"/>
        </w:rPr>
      </w:pPr>
      <w:r>
        <w:rPr>
          <w:rFonts w:hint="eastAsia" w:ascii="宋体" w:hAnsi="宋体" w:cs="宋体"/>
          <w:sz w:val="24"/>
        </w:rPr>
        <w:t>14.响应文件计量单位和使用文字</w:t>
      </w:r>
    </w:p>
    <w:p w14:paraId="4321621B">
      <w:pPr>
        <w:spacing w:line="360" w:lineRule="auto"/>
        <w:ind w:firstLine="480"/>
        <w:rPr>
          <w:rFonts w:ascii="宋体" w:hAnsi="宋体" w:cs="宋体"/>
          <w:sz w:val="24"/>
        </w:rPr>
      </w:pPr>
      <w:r>
        <w:rPr>
          <w:rFonts w:hint="eastAsia" w:ascii="宋体" w:hAnsi="宋体" w:cs="宋体"/>
          <w:sz w:val="24"/>
        </w:rPr>
        <w:t>14.1响应文件中所使用的计量单位，除采购文件中有特殊要求外，均应使用中华人民共和国法定计量单位。</w:t>
      </w:r>
    </w:p>
    <w:p w14:paraId="3E540731">
      <w:pPr>
        <w:spacing w:line="360" w:lineRule="auto"/>
        <w:ind w:firstLine="480"/>
        <w:rPr>
          <w:rFonts w:ascii="宋体" w:hAnsi="宋体" w:cs="宋体"/>
          <w:sz w:val="24"/>
          <w:highlight w:val="none"/>
        </w:rPr>
      </w:pPr>
      <w:r>
        <w:rPr>
          <w:rFonts w:hint="eastAsia" w:ascii="宋体" w:hAnsi="宋体" w:cs="宋体"/>
          <w:sz w:val="24"/>
          <w:highlight w:val="none"/>
        </w:rPr>
        <w:t>14.2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p>
    <w:p w14:paraId="27C81E2E">
      <w:pPr>
        <w:spacing w:line="360" w:lineRule="auto"/>
        <w:ind w:firstLine="482"/>
        <w:rPr>
          <w:rFonts w:ascii="宋体" w:hAnsi="宋体" w:cs="宋体"/>
          <w:b/>
          <w:bCs/>
          <w:sz w:val="24"/>
          <w:highlight w:val="none"/>
        </w:rPr>
      </w:pPr>
      <w:r>
        <w:rPr>
          <w:rFonts w:hint="eastAsia" w:ascii="宋体" w:hAnsi="宋体" w:cs="宋体"/>
          <w:b/>
          <w:bCs/>
          <w:sz w:val="24"/>
          <w:highlight w:val="none"/>
        </w:rPr>
        <w:t>15.响应文件的组成</w:t>
      </w:r>
    </w:p>
    <w:p w14:paraId="5462C6C2">
      <w:pPr>
        <w:spacing w:line="360" w:lineRule="auto"/>
        <w:ind w:firstLine="480"/>
        <w:rPr>
          <w:rFonts w:ascii="宋体" w:hAnsi="宋体" w:cs="宋体"/>
          <w:sz w:val="24"/>
          <w:highlight w:val="none"/>
        </w:rPr>
      </w:pPr>
      <w:r>
        <w:rPr>
          <w:rFonts w:hint="eastAsia" w:ascii="宋体" w:hAnsi="宋体" w:cs="宋体"/>
          <w:sz w:val="24"/>
          <w:highlight w:val="none"/>
        </w:rPr>
        <w:t>15.1封面</w:t>
      </w:r>
    </w:p>
    <w:p w14:paraId="067A26FE">
      <w:pPr>
        <w:spacing w:line="360" w:lineRule="auto"/>
        <w:ind w:firstLine="480"/>
        <w:rPr>
          <w:rFonts w:ascii="宋体" w:hAnsi="宋体" w:cs="宋体"/>
          <w:sz w:val="24"/>
          <w:highlight w:val="none"/>
        </w:rPr>
      </w:pPr>
      <w:r>
        <w:rPr>
          <w:rFonts w:hint="eastAsia" w:ascii="宋体" w:hAnsi="宋体" w:cs="宋体"/>
          <w:sz w:val="24"/>
          <w:highlight w:val="none"/>
        </w:rPr>
        <w:t>15.2开标一览表</w:t>
      </w:r>
    </w:p>
    <w:p w14:paraId="6AC9D3BA">
      <w:pPr>
        <w:spacing w:line="360" w:lineRule="auto"/>
        <w:ind w:firstLine="482"/>
        <w:rPr>
          <w:rFonts w:ascii="宋体" w:hAnsi="宋体" w:cs="宋体"/>
          <w:b/>
          <w:bCs/>
          <w:sz w:val="24"/>
          <w:highlight w:val="none"/>
        </w:rPr>
      </w:pPr>
      <w:r>
        <w:rPr>
          <w:rFonts w:hint="eastAsia" w:ascii="宋体" w:hAnsi="宋体" w:cs="宋体"/>
          <w:b/>
          <w:bCs/>
          <w:sz w:val="24"/>
          <w:highlight w:val="none"/>
        </w:rPr>
        <w:t>15.3资格审查响应文件：</w:t>
      </w:r>
    </w:p>
    <w:p w14:paraId="7FD07898">
      <w:pPr>
        <w:spacing w:line="360" w:lineRule="auto"/>
        <w:ind w:firstLine="480"/>
        <w:rPr>
          <w:rFonts w:ascii="宋体" w:hAnsi="宋体" w:cs="宋体"/>
          <w:sz w:val="24"/>
          <w:highlight w:val="none"/>
        </w:rPr>
      </w:pPr>
      <w:r>
        <w:rPr>
          <w:rFonts w:hint="eastAsia" w:ascii="宋体" w:hAnsi="宋体" w:cs="宋体"/>
          <w:sz w:val="24"/>
          <w:highlight w:val="none"/>
        </w:rPr>
        <w:t>15.3.1关于资格文件的声明函（格式见第三章）；</w:t>
      </w:r>
    </w:p>
    <w:p w14:paraId="6DD1C20E">
      <w:pPr>
        <w:spacing w:line="360" w:lineRule="auto"/>
        <w:ind w:firstLine="480"/>
        <w:rPr>
          <w:rFonts w:ascii="宋体" w:hAnsi="宋体" w:cs="宋体"/>
          <w:sz w:val="24"/>
          <w:highlight w:val="none"/>
        </w:rPr>
      </w:pPr>
      <w:r>
        <w:rPr>
          <w:rFonts w:hint="eastAsia" w:ascii="宋体" w:hAnsi="宋体" w:cs="宋体"/>
          <w:sz w:val="24"/>
          <w:highlight w:val="none"/>
        </w:rPr>
        <w:t>15.3.2</w:t>
      </w:r>
      <w:r>
        <w:rPr>
          <w:rFonts w:hint="eastAsia" w:ascii="宋体" w:hAnsi="宋体" w:cs="宋体"/>
          <w:sz w:val="24"/>
          <w:highlight w:val="none"/>
          <w:lang w:val="en-US" w:eastAsia="zh-CN"/>
        </w:rPr>
        <w:t>《磋商供应商情况表》</w:t>
      </w:r>
      <w:r>
        <w:rPr>
          <w:rFonts w:hint="eastAsia" w:ascii="宋体" w:hAnsi="宋体" w:cs="宋体"/>
          <w:sz w:val="24"/>
          <w:highlight w:val="none"/>
        </w:rPr>
        <w:t>（格式见第三章）；</w:t>
      </w:r>
    </w:p>
    <w:p w14:paraId="114421A4">
      <w:pPr>
        <w:spacing w:line="360" w:lineRule="auto"/>
        <w:ind w:firstLine="480"/>
        <w:rPr>
          <w:rFonts w:ascii="宋体" w:hAnsi="宋体" w:cs="宋体"/>
          <w:sz w:val="24"/>
          <w:highlight w:val="none"/>
        </w:rPr>
      </w:pPr>
      <w:r>
        <w:rPr>
          <w:rFonts w:hint="eastAsia" w:ascii="宋体" w:hAnsi="宋体" w:cs="宋体"/>
          <w:sz w:val="24"/>
          <w:highlight w:val="none"/>
        </w:rPr>
        <w:t>15.3.3供应商法定代表人身份证复印件；</w:t>
      </w:r>
    </w:p>
    <w:p w14:paraId="5A7CB1DC">
      <w:pPr>
        <w:spacing w:line="360" w:lineRule="auto"/>
        <w:ind w:firstLine="480"/>
        <w:rPr>
          <w:rFonts w:ascii="宋体" w:hAnsi="宋体" w:cs="宋体"/>
          <w:sz w:val="24"/>
          <w:highlight w:val="none"/>
        </w:rPr>
      </w:pPr>
      <w:r>
        <w:rPr>
          <w:rFonts w:hint="eastAsia" w:ascii="宋体" w:hAnsi="宋体" w:cs="宋体"/>
          <w:sz w:val="24"/>
          <w:highlight w:val="none"/>
        </w:rPr>
        <w:t>15.3.4法定代表人授权委托书原件（如有授权）（格式见第三章）；</w:t>
      </w:r>
    </w:p>
    <w:p w14:paraId="757F4920">
      <w:pPr>
        <w:spacing w:line="360" w:lineRule="auto"/>
        <w:ind w:firstLine="480"/>
        <w:rPr>
          <w:rFonts w:ascii="宋体" w:hAnsi="宋体" w:cs="宋体"/>
          <w:sz w:val="24"/>
          <w:highlight w:val="none"/>
        </w:rPr>
      </w:pPr>
      <w:r>
        <w:rPr>
          <w:rFonts w:hint="eastAsia" w:ascii="宋体" w:hAnsi="宋体" w:cs="宋体"/>
          <w:sz w:val="24"/>
          <w:highlight w:val="none"/>
        </w:rPr>
        <w:t>15.3.5供应商代理人身份证复印件（如有授权）；</w:t>
      </w:r>
    </w:p>
    <w:p w14:paraId="79496681">
      <w:pPr>
        <w:spacing w:line="360" w:lineRule="auto"/>
        <w:ind w:firstLine="480"/>
        <w:rPr>
          <w:rFonts w:ascii="宋体" w:hAnsi="宋体" w:cs="宋体"/>
          <w:sz w:val="24"/>
          <w:highlight w:val="none"/>
        </w:rPr>
      </w:pPr>
      <w:r>
        <w:rPr>
          <w:rFonts w:hint="eastAsia" w:ascii="宋体" w:hAnsi="宋体" w:cs="宋体"/>
          <w:sz w:val="24"/>
          <w:highlight w:val="none"/>
        </w:rPr>
        <w:t>15.3.6合格供应商的基本条件：</w:t>
      </w:r>
    </w:p>
    <w:p w14:paraId="7BF52502">
      <w:pPr>
        <w:numPr>
          <w:ilvl w:val="0"/>
          <w:numId w:val="0"/>
        </w:numPr>
        <w:spacing w:line="360" w:lineRule="auto"/>
        <w:ind w:firstLine="480"/>
        <w:rPr>
          <w:rFonts w:hint="eastAsia" w:ascii="宋体" w:hAnsi="宋体" w:cs="宋体"/>
          <w:sz w:val="24"/>
        </w:rPr>
      </w:pPr>
      <w:r>
        <w:rPr>
          <w:rFonts w:hint="eastAsia" w:ascii="宋体" w:hAnsi="宋体" w:cs="宋体"/>
          <w:sz w:val="24"/>
          <w:lang w:val="en-US" w:eastAsia="zh-CN"/>
        </w:rPr>
        <w:t>①</w:t>
      </w:r>
      <w:r>
        <w:rPr>
          <w:rFonts w:hint="eastAsia" w:ascii="宋体" w:hAnsi="宋体" w:cs="宋体"/>
          <w:sz w:val="24"/>
        </w:rPr>
        <w:t>有独立承担民事责任的能力证明：法人或者其他组织的营业执照等证明文件，自然人的身份证明；</w:t>
      </w:r>
    </w:p>
    <w:p w14:paraId="387511A2">
      <w:pPr>
        <w:numPr>
          <w:ilvl w:val="0"/>
          <w:numId w:val="0"/>
        </w:numPr>
        <w:spacing w:line="360" w:lineRule="auto"/>
        <w:ind w:firstLine="480"/>
        <w:rPr>
          <w:rFonts w:hint="eastAsia" w:ascii="宋体" w:hAnsi="宋体" w:cs="宋体"/>
          <w:color w:val="auto"/>
          <w:sz w:val="24"/>
          <w:szCs w:val="24"/>
        </w:rPr>
      </w:pPr>
      <w:r>
        <w:rPr>
          <w:rFonts w:hint="eastAsia" w:ascii="宋体" w:hAnsi="宋体" w:cs="宋体"/>
          <w:sz w:val="24"/>
        </w:rPr>
        <w:t>②有良好的商业信誉和健全的财务会计制度证明：包括但不限于最近一期经审计的财务报告，其他组织、自然人及成立未满一年的法人应提供银行出具的资信证明；</w:t>
      </w:r>
    </w:p>
    <w:p w14:paraId="58F02495">
      <w:pPr>
        <w:spacing w:line="360" w:lineRule="auto"/>
        <w:ind w:firstLine="480"/>
        <w:rPr>
          <w:rFonts w:ascii="宋体" w:hAnsi="宋体" w:cs="宋体"/>
          <w:sz w:val="24"/>
        </w:rPr>
      </w:pPr>
      <w:r>
        <w:rPr>
          <w:rFonts w:hint="eastAsia" w:ascii="宋体" w:hAnsi="宋体" w:cs="宋体"/>
          <w:sz w:val="24"/>
        </w:rPr>
        <w:t>③履行合同所必备的设备和专业技术能力的证明材料：履行合同所必备的设备和专业技术能力的证明材料或承诺；</w:t>
      </w:r>
    </w:p>
    <w:p w14:paraId="6F0868B7">
      <w:pPr>
        <w:spacing w:line="360" w:lineRule="auto"/>
        <w:ind w:firstLine="480"/>
        <w:rPr>
          <w:rFonts w:hint="eastAsia" w:ascii="宋体" w:hAnsi="宋体" w:cs="宋体"/>
          <w:sz w:val="24"/>
        </w:rPr>
      </w:pPr>
      <w:r>
        <w:rPr>
          <w:rFonts w:hint="eastAsia" w:ascii="宋体" w:hAnsi="宋体" w:cs="宋体"/>
          <w:sz w:val="24"/>
        </w:rPr>
        <w:t>④依法缴纳税收和社会保障资金的良好记录：如税务登记证(如有)和合理期限内依法缴纳税收的凭据，社会保险登记证和合理期限内依法缴纳社会保险的凭据(专用收据或社会保险缴纳清单)。如为依法免税或不需要缴纳社会保障资金的则须提供相关证明材料；</w:t>
      </w:r>
    </w:p>
    <w:p w14:paraId="4FBF3FFA">
      <w:pPr>
        <w:spacing w:line="360" w:lineRule="auto"/>
        <w:ind w:firstLine="480"/>
        <w:rPr>
          <w:rFonts w:ascii="宋体" w:hAnsi="宋体" w:cs="宋体"/>
          <w:sz w:val="24"/>
          <w:highlight w:val="none"/>
        </w:rPr>
      </w:pPr>
      <w:r>
        <w:rPr>
          <w:rFonts w:hint="eastAsia" w:ascii="宋体" w:hAnsi="宋体" w:cs="宋体"/>
          <w:sz w:val="24"/>
          <w:highlight w:val="none"/>
        </w:rPr>
        <w:t>⑤参加政府采购活动前3年内在经营活动中没有重大违法记录的书面声明；</w:t>
      </w:r>
    </w:p>
    <w:p w14:paraId="00E57C9E">
      <w:pPr>
        <w:spacing w:line="360" w:lineRule="auto"/>
        <w:ind w:firstLine="480"/>
        <w:rPr>
          <w:rFonts w:ascii="宋体" w:hAnsi="宋体" w:cs="宋体"/>
          <w:sz w:val="24"/>
          <w:highlight w:val="none"/>
        </w:rPr>
      </w:pPr>
      <w:r>
        <w:rPr>
          <w:rFonts w:hint="eastAsia" w:ascii="宋体" w:hAnsi="宋体" w:cs="宋体"/>
          <w:sz w:val="24"/>
          <w:highlight w:val="none"/>
        </w:rPr>
        <w:t>⑥未处于被行政或司法机关责令停业或停止投标资格的声明；</w:t>
      </w:r>
    </w:p>
    <w:p w14:paraId="32C688F7">
      <w:pPr>
        <w:spacing w:line="360" w:lineRule="auto"/>
        <w:ind w:firstLine="480"/>
        <w:rPr>
          <w:rFonts w:ascii="宋体" w:hAnsi="宋体" w:cs="宋体"/>
          <w:sz w:val="24"/>
          <w:highlight w:val="none"/>
        </w:rPr>
      </w:pPr>
      <w:r>
        <w:rPr>
          <w:rFonts w:hint="eastAsia" w:ascii="宋体" w:hAnsi="宋体" w:cs="宋体"/>
          <w:sz w:val="24"/>
          <w:highlight w:val="none"/>
        </w:rPr>
        <w:t>⑦中小微企业声明函/残疾人福利性单位声明函/监狱企业证明材料（格式见第三章）；</w:t>
      </w:r>
    </w:p>
    <w:p w14:paraId="1156003E">
      <w:pPr>
        <w:spacing w:line="360" w:lineRule="auto"/>
        <w:ind w:firstLine="480"/>
        <w:rPr>
          <w:rFonts w:ascii="宋体" w:hAnsi="宋体" w:cs="宋体"/>
          <w:sz w:val="24"/>
          <w:highlight w:val="none"/>
        </w:rPr>
      </w:pPr>
      <w:r>
        <w:rPr>
          <w:rFonts w:hint="eastAsia" w:ascii="宋体" w:hAnsi="宋体" w:cs="宋体"/>
          <w:sz w:val="24"/>
          <w:highlight w:val="none"/>
          <w:lang w:val="en-US" w:eastAsia="zh-CN"/>
        </w:rPr>
        <w:t>⑧</w:t>
      </w:r>
      <w:r>
        <w:rPr>
          <w:rFonts w:hint="eastAsia" w:ascii="宋体" w:hAnsi="宋体" w:cs="宋体"/>
          <w:sz w:val="24"/>
          <w:highlight w:val="none"/>
        </w:rPr>
        <w:t>响应供应商与其他单位存在控股、管理关系情况表（格式见第三章）。</w:t>
      </w:r>
    </w:p>
    <w:p w14:paraId="44649220">
      <w:pPr>
        <w:spacing w:line="360" w:lineRule="auto"/>
        <w:ind w:firstLine="480"/>
        <w:rPr>
          <w:rFonts w:ascii="宋体" w:hAnsi="宋体" w:cs="宋体"/>
          <w:sz w:val="24"/>
          <w:highlight w:val="none"/>
        </w:rPr>
      </w:pPr>
      <w:r>
        <w:rPr>
          <w:rFonts w:hint="eastAsia" w:ascii="宋体" w:hAnsi="宋体" w:cs="宋体"/>
          <w:sz w:val="24"/>
          <w:highlight w:val="none"/>
          <w:lang w:val="en-US" w:eastAsia="zh-CN"/>
        </w:rPr>
        <w:t>15.3.7</w:t>
      </w:r>
      <w:r>
        <w:rPr>
          <w:rFonts w:hint="eastAsia" w:ascii="宋体" w:hAnsi="宋体" w:cs="宋体"/>
          <w:sz w:val="24"/>
          <w:highlight w:val="none"/>
        </w:rPr>
        <w:t>其它有关资格证明的文件；</w:t>
      </w:r>
    </w:p>
    <w:p w14:paraId="61D463D0">
      <w:pPr>
        <w:spacing w:line="360" w:lineRule="auto"/>
        <w:ind w:firstLine="482"/>
        <w:rPr>
          <w:rFonts w:ascii="宋体" w:hAnsi="宋体" w:cs="宋体"/>
          <w:b/>
          <w:bCs/>
          <w:sz w:val="24"/>
          <w:highlight w:val="none"/>
        </w:rPr>
      </w:pPr>
      <w:r>
        <w:rPr>
          <w:rFonts w:hint="eastAsia" w:ascii="宋体" w:hAnsi="宋体" w:cs="宋体"/>
          <w:b/>
          <w:bCs/>
          <w:sz w:val="24"/>
          <w:highlight w:val="none"/>
        </w:rPr>
        <w:t>15.4符合性审查响应文件：</w:t>
      </w:r>
    </w:p>
    <w:p w14:paraId="08F1C264">
      <w:pPr>
        <w:spacing w:line="360" w:lineRule="auto"/>
        <w:ind w:firstLine="480"/>
        <w:rPr>
          <w:rFonts w:ascii="宋体" w:hAnsi="宋体" w:cs="宋体"/>
          <w:sz w:val="24"/>
          <w:highlight w:val="none"/>
        </w:rPr>
      </w:pPr>
      <w:r>
        <w:rPr>
          <w:rFonts w:hint="eastAsia" w:ascii="宋体" w:hAnsi="宋体" w:cs="宋体"/>
          <w:sz w:val="24"/>
          <w:highlight w:val="none"/>
        </w:rPr>
        <w:t>15.4.1磋商响应函（格式见第三章）；</w:t>
      </w:r>
    </w:p>
    <w:p w14:paraId="5C1F49EA">
      <w:pPr>
        <w:spacing w:line="360" w:lineRule="auto"/>
        <w:ind w:firstLine="480"/>
        <w:rPr>
          <w:rFonts w:hint="eastAsia" w:ascii="宋体" w:hAnsi="宋体" w:cs="宋体"/>
          <w:sz w:val="24"/>
          <w:highlight w:val="none"/>
        </w:rPr>
      </w:pPr>
      <w:r>
        <w:rPr>
          <w:rFonts w:hint="eastAsia" w:ascii="宋体" w:hAnsi="宋体" w:cs="宋体"/>
          <w:sz w:val="24"/>
          <w:highlight w:val="none"/>
        </w:rPr>
        <w:t>15.4.2磋商响应报价表（格式见第三章）；</w:t>
      </w:r>
    </w:p>
    <w:p w14:paraId="6E8A69F1">
      <w:pPr>
        <w:spacing w:line="360" w:lineRule="auto"/>
        <w:ind w:firstLine="480"/>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15.4.3磋商报价分析表</w:t>
      </w:r>
      <w:r>
        <w:rPr>
          <w:rFonts w:hint="eastAsia" w:ascii="宋体" w:hAnsi="宋体" w:cs="宋体"/>
          <w:sz w:val="24"/>
          <w:highlight w:val="none"/>
        </w:rPr>
        <w:t>（格式见第三章）；</w:t>
      </w:r>
    </w:p>
    <w:p w14:paraId="7DB58297">
      <w:pPr>
        <w:spacing w:line="360" w:lineRule="auto"/>
        <w:ind w:firstLine="480"/>
        <w:rPr>
          <w:rFonts w:ascii="宋体" w:hAnsi="宋体" w:cs="宋体"/>
          <w:sz w:val="24"/>
          <w:highlight w:val="none"/>
        </w:rPr>
      </w:pPr>
      <w:r>
        <w:rPr>
          <w:rFonts w:hint="eastAsia" w:ascii="宋体" w:hAnsi="宋体" w:cs="宋体"/>
          <w:sz w:val="24"/>
          <w:highlight w:val="none"/>
        </w:rPr>
        <w:t>15.4.</w:t>
      </w:r>
      <w:r>
        <w:rPr>
          <w:rFonts w:hint="eastAsia" w:ascii="宋体" w:hAnsi="宋体" w:cs="宋体"/>
          <w:sz w:val="24"/>
          <w:highlight w:val="none"/>
          <w:lang w:val="en-US" w:eastAsia="zh-CN"/>
        </w:rPr>
        <w:t>4</w:t>
      </w:r>
      <w:r>
        <w:rPr>
          <w:rFonts w:hint="eastAsia" w:ascii="宋体" w:hAnsi="宋体" w:cs="宋体"/>
          <w:sz w:val="24"/>
          <w:highlight w:val="none"/>
        </w:rPr>
        <w:t>《服务条款偏离表》《商务条款偏离表》（格式见第三章）；</w:t>
      </w:r>
    </w:p>
    <w:p w14:paraId="253E8121">
      <w:pPr>
        <w:spacing w:line="360" w:lineRule="auto"/>
        <w:ind w:firstLine="480"/>
        <w:rPr>
          <w:rFonts w:hint="eastAsia" w:ascii="宋体" w:hAnsi="宋体" w:eastAsia="宋体" w:cs="宋体"/>
          <w:sz w:val="24"/>
          <w:highlight w:val="none"/>
          <w:lang w:eastAsia="zh-CN"/>
        </w:rPr>
      </w:pPr>
      <w:r>
        <w:rPr>
          <w:rFonts w:hint="eastAsia" w:ascii="宋体" w:hAnsi="宋体" w:cs="宋体"/>
          <w:sz w:val="24"/>
          <w:highlight w:val="none"/>
        </w:rPr>
        <w:t>15.4.</w:t>
      </w:r>
      <w:r>
        <w:rPr>
          <w:rFonts w:hint="eastAsia" w:ascii="宋体" w:hAnsi="宋体" w:cs="宋体"/>
          <w:sz w:val="24"/>
          <w:highlight w:val="none"/>
          <w:lang w:val="en-US" w:eastAsia="zh-CN"/>
        </w:rPr>
        <w:t>5</w:t>
      </w:r>
      <w:r>
        <w:rPr>
          <w:rFonts w:hint="eastAsia" w:ascii="宋体" w:hAnsi="宋体" w:cs="宋体"/>
          <w:sz w:val="24"/>
          <w:highlight w:val="none"/>
        </w:rPr>
        <w:t>《响应保证承诺书》（格式见第三章）</w:t>
      </w:r>
      <w:r>
        <w:rPr>
          <w:rFonts w:hint="eastAsia" w:ascii="宋体" w:hAnsi="宋体" w:cs="宋体"/>
          <w:sz w:val="24"/>
          <w:highlight w:val="none"/>
          <w:lang w:eastAsia="zh-CN"/>
        </w:rPr>
        <w:t>；</w:t>
      </w:r>
    </w:p>
    <w:p w14:paraId="261D2197">
      <w:pPr>
        <w:spacing w:line="360" w:lineRule="auto"/>
        <w:ind w:firstLine="480"/>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15.4.6《</w:t>
      </w:r>
      <w:r>
        <w:rPr>
          <w:rFonts w:hint="eastAsia" w:ascii="宋体" w:hAnsi="宋体" w:cs="宋体"/>
          <w:bCs/>
          <w:sz w:val="24"/>
          <w:highlight w:val="none"/>
          <w:lang w:val="zh-CN"/>
        </w:rPr>
        <w:t>人员配备一览表</w:t>
      </w:r>
      <w:r>
        <w:rPr>
          <w:rFonts w:hint="eastAsia" w:ascii="宋体" w:hAnsi="宋体" w:cs="宋体"/>
          <w:sz w:val="24"/>
          <w:highlight w:val="none"/>
          <w:lang w:val="en-US" w:eastAsia="zh-CN"/>
        </w:rPr>
        <w:t>》</w:t>
      </w:r>
      <w:r>
        <w:rPr>
          <w:rFonts w:hint="eastAsia" w:ascii="宋体" w:hAnsi="宋体" w:cs="宋体"/>
          <w:sz w:val="24"/>
          <w:highlight w:val="none"/>
        </w:rPr>
        <w:t>（格式见第三章）</w:t>
      </w:r>
      <w:r>
        <w:rPr>
          <w:rFonts w:hint="eastAsia" w:ascii="宋体" w:hAnsi="宋体" w:cs="宋体"/>
          <w:sz w:val="24"/>
          <w:highlight w:val="none"/>
          <w:lang w:eastAsia="zh-CN"/>
        </w:rPr>
        <w:t>；</w:t>
      </w:r>
    </w:p>
    <w:p w14:paraId="2C6A429D">
      <w:pPr>
        <w:spacing w:line="360" w:lineRule="auto"/>
        <w:ind w:firstLine="480"/>
        <w:rPr>
          <w:rFonts w:ascii="宋体" w:hAnsi="宋体" w:cs="宋体"/>
          <w:sz w:val="24"/>
          <w:highlight w:val="none"/>
        </w:rPr>
      </w:pPr>
      <w:r>
        <w:rPr>
          <w:rFonts w:hint="eastAsia" w:ascii="宋体" w:hAnsi="宋体" w:cs="宋体"/>
          <w:sz w:val="24"/>
          <w:highlight w:val="none"/>
        </w:rPr>
        <w:t>15.4.</w:t>
      </w:r>
      <w:r>
        <w:rPr>
          <w:rFonts w:hint="eastAsia" w:ascii="宋体" w:hAnsi="宋体" w:cs="宋体"/>
          <w:sz w:val="24"/>
          <w:highlight w:val="none"/>
          <w:lang w:val="en-US" w:eastAsia="zh-CN"/>
        </w:rPr>
        <w:t>7</w:t>
      </w:r>
      <w:r>
        <w:rPr>
          <w:rFonts w:hint="eastAsia" w:ascii="宋体" w:hAnsi="宋体" w:cs="宋体"/>
          <w:sz w:val="24"/>
          <w:highlight w:val="none"/>
        </w:rPr>
        <w:t>其他有关符合性证明的文件；</w:t>
      </w:r>
    </w:p>
    <w:p w14:paraId="475A20B2">
      <w:pPr>
        <w:spacing w:line="360" w:lineRule="auto"/>
        <w:ind w:firstLine="482"/>
        <w:rPr>
          <w:rFonts w:ascii="宋体" w:hAnsi="宋体" w:cs="宋体"/>
          <w:b/>
          <w:bCs/>
          <w:sz w:val="24"/>
        </w:rPr>
      </w:pPr>
      <w:r>
        <w:rPr>
          <w:rFonts w:hint="eastAsia" w:ascii="宋体" w:hAnsi="宋体" w:cs="宋体"/>
          <w:b/>
          <w:bCs/>
          <w:sz w:val="24"/>
        </w:rPr>
        <w:t>15.5综合评审响应文件：</w:t>
      </w:r>
    </w:p>
    <w:p w14:paraId="1B7B5827">
      <w:pPr>
        <w:spacing w:line="360" w:lineRule="auto"/>
        <w:ind w:firstLine="480"/>
        <w:rPr>
          <w:rFonts w:ascii="宋体" w:hAnsi="宋体" w:cs="宋体"/>
          <w:sz w:val="24"/>
        </w:rPr>
      </w:pPr>
      <w:r>
        <w:rPr>
          <w:rFonts w:hint="eastAsia" w:ascii="宋体" w:hAnsi="宋体" w:cs="宋体"/>
          <w:sz w:val="24"/>
        </w:rPr>
        <w:t>15.5.1针对本项目整体服务方案；</w:t>
      </w:r>
    </w:p>
    <w:p w14:paraId="2CD0C82E">
      <w:pPr>
        <w:spacing w:line="360" w:lineRule="auto"/>
        <w:ind w:firstLine="480"/>
        <w:rPr>
          <w:rFonts w:ascii="宋体" w:hAnsi="宋体" w:cs="宋体"/>
          <w:sz w:val="24"/>
        </w:rPr>
      </w:pPr>
      <w:r>
        <w:rPr>
          <w:rFonts w:hint="eastAsia" w:ascii="宋体" w:hAnsi="宋体" w:cs="宋体"/>
          <w:sz w:val="24"/>
        </w:rPr>
        <w:t>15.5.2供应商</w:t>
      </w:r>
      <w:r>
        <w:rPr>
          <w:rFonts w:hint="eastAsia" w:ascii="宋体" w:hAnsi="宋体"/>
          <w:sz w:val="24"/>
        </w:rPr>
        <w:t>综合实力比较；</w:t>
      </w:r>
    </w:p>
    <w:p w14:paraId="1E730B17">
      <w:pPr>
        <w:spacing w:line="360" w:lineRule="auto"/>
        <w:ind w:firstLine="480"/>
        <w:rPr>
          <w:rFonts w:ascii="宋体" w:hAnsi="宋体" w:cs="宋体"/>
          <w:sz w:val="24"/>
        </w:rPr>
      </w:pPr>
      <w:r>
        <w:rPr>
          <w:rFonts w:hint="eastAsia" w:ascii="宋体" w:hAnsi="宋体" w:cs="宋体"/>
          <w:sz w:val="24"/>
        </w:rPr>
        <w:t>15.5.3采购需求及评分标准中所涉及到的其他材料等；</w:t>
      </w:r>
    </w:p>
    <w:p w14:paraId="37320168">
      <w:pPr>
        <w:spacing w:line="360" w:lineRule="auto"/>
        <w:ind w:firstLine="480"/>
        <w:rPr>
          <w:rFonts w:ascii="宋体" w:hAnsi="宋体" w:cs="宋体"/>
          <w:sz w:val="24"/>
        </w:rPr>
      </w:pPr>
      <w:r>
        <w:rPr>
          <w:rFonts w:hint="eastAsia" w:ascii="宋体" w:hAnsi="宋体" w:cs="宋体"/>
          <w:sz w:val="24"/>
        </w:rPr>
        <w:t>15.5.4企业概况、信誉、管理经验、成果和企业发展方向等的综合说明；</w:t>
      </w:r>
    </w:p>
    <w:p w14:paraId="41F2BF2F">
      <w:pPr>
        <w:spacing w:line="360" w:lineRule="auto"/>
        <w:ind w:firstLine="480"/>
        <w:rPr>
          <w:rFonts w:ascii="宋体" w:hAnsi="宋体" w:cs="宋体"/>
          <w:sz w:val="24"/>
        </w:rPr>
      </w:pPr>
      <w:r>
        <w:rPr>
          <w:rFonts w:hint="eastAsia" w:ascii="宋体" w:hAnsi="宋体" w:cs="宋体"/>
          <w:sz w:val="24"/>
        </w:rPr>
        <w:t>15.5.5其他可以证明磋商供应商资信、资质和货物、服务质量的证书、文件、推荐信等资料。</w:t>
      </w:r>
    </w:p>
    <w:p w14:paraId="6DAD7B91">
      <w:pPr>
        <w:pStyle w:val="12"/>
        <w:spacing w:line="360" w:lineRule="auto"/>
        <w:ind w:firstLine="482"/>
        <w:rPr>
          <w:rFonts w:ascii="宋体" w:hAnsi="宋体" w:eastAsia="宋体" w:cs="宋体"/>
          <w:b/>
          <w:bCs/>
        </w:rPr>
      </w:pPr>
      <w:r>
        <w:rPr>
          <w:rFonts w:hint="eastAsia" w:ascii="宋体" w:hAnsi="宋体" w:eastAsia="宋体" w:cs="宋体"/>
          <w:b/>
          <w:bCs/>
        </w:rPr>
        <w:t>注：（1）以上15.3为资格审查要求提供的材料，是作为对供应商资格审查、质疑身份认定的依据，响应供应商必须提供并加盖电子公章（</w:t>
      </w:r>
      <w:r>
        <w:rPr>
          <w:rFonts w:hint="eastAsia" w:ascii="宋体" w:hAnsi="宋体" w:eastAsia="宋体" w:cs="宋体"/>
          <w:b/>
          <w:bCs/>
          <w:lang w:val="en-US" w:eastAsia="zh-CN"/>
        </w:rPr>
        <w:t>响应</w:t>
      </w:r>
      <w:r>
        <w:rPr>
          <w:rFonts w:hint="eastAsia" w:ascii="宋体" w:hAnsi="宋体" w:eastAsia="宋体" w:cs="宋体"/>
          <w:b/>
          <w:bCs/>
        </w:rPr>
        <w:t>文件格式中有“法定代表人或被授权人：（签字或签章）”的，签字或签章必须完整）。否则，磋商响应文件将被认定为不符合资格审查要求。</w:t>
      </w:r>
    </w:p>
    <w:p w14:paraId="49E50FBC">
      <w:pPr>
        <w:pStyle w:val="12"/>
        <w:spacing w:line="360" w:lineRule="auto"/>
        <w:ind w:firstLine="482"/>
        <w:rPr>
          <w:rFonts w:ascii="宋体" w:hAnsi="宋体" w:eastAsia="宋体" w:cs="宋体"/>
          <w:b/>
          <w:bCs/>
        </w:rPr>
      </w:pPr>
      <w:r>
        <w:rPr>
          <w:rFonts w:hint="eastAsia" w:ascii="宋体" w:hAnsi="宋体" w:eastAsia="宋体" w:cs="宋体"/>
          <w:b/>
          <w:bCs/>
        </w:rPr>
        <w:t>（2）以上15.4为符合性审查须提供的资料，响应供应商必须提供并加盖电子公章（</w:t>
      </w:r>
      <w:r>
        <w:rPr>
          <w:rFonts w:hint="eastAsia" w:ascii="宋体" w:hAnsi="宋体" w:eastAsia="宋体" w:cs="宋体"/>
          <w:b/>
          <w:bCs/>
          <w:lang w:val="en-US" w:eastAsia="zh-CN"/>
        </w:rPr>
        <w:t>响应</w:t>
      </w:r>
      <w:r>
        <w:rPr>
          <w:rFonts w:hint="eastAsia" w:ascii="宋体" w:hAnsi="宋体" w:eastAsia="宋体" w:cs="宋体"/>
          <w:b/>
          <w:bCs/>
        </w:rPr>
        <w:t>文件格式中有“法定代表人或被授权人：（签字或签章）”的，签字或签章必须完整）</w:t>
      </w:r>
      <w:r>
        <w:rPr>
          <w:rFonts w:hint="eastAsia" w:ascii="宋体" w:hAnsi="宋体" w:eastAsia="宋体" w:cs="宋体"/>
          <w:b/>
          <w:bCs/>
          <w:lang w:eastAsia="zh-CN"/>
        </w:rPr>
        <w:t>。</w:t>
      </w:r>
      <w:r>
        <w:rPr>
          <w:rFonts w:hint="eastAsia" w:ascii="宋体" w:hAnsi="宋体" w:eastAsia="宋体" w:cs="宋体"/>
          <w:b/>
          <w:bCs/>
        </w:rPr>
        <w:t>否则，磋商响应文件将被认定为未实质性响应。</w:t>
      </w:r>
    </w:p>
    <w:p w14:paraId="68A1D428">
      <w:pPr>
        <w:pStyle w:val="12"/>
        <w:spacing w:line="360" w:lineRule="auto"/>
        <w:ind w:firstLine="482"/>
        <w:rPr>
          <w:rFonts w:ascii="宋体" w:hAnsi="宋体" w:eastAsia="宋体" w:cs="宋体"/>
          <w:b/>
          <w:bCs/>
        </w:rPr>
      </w:pPr>
      <w:r>
        <w:rPr>
          <w:rFonts w:hint="eastAsia" w:ascii="宋体" w:hAnsi="宋体" w:eastAsia="宋体" w:cs="宋体"/>
          <w:b/>
          <w:bCs/>
        </w:rPr>
        <w:t>（3）制作电子响应文件时必须与投标文件制作软件目录一一对应，将相关资料上传至相应模块。</w:t>
      </w:r>
    </w:p>
    <w:p w14:paraId="123F5151">
      <w:pPr>
        <w:pStyle w:val="12"/>
        <w:spacing w:line="360" w:lineRule="auto"/>
        <w:ind w:firstLine="482"/>
        <w:rPr>
          <w:rFonts w:ascii="宋体" w:hAnsi="宋体" w:eastAsia="宋体" w:cs="宋体"/>
          <w:b/>
          <w:bCs/>
        </w:rPr>
      </w:pPr>
      <w:r>
        <w:rPr>
          <w:rFonts w:hint="eastAsia" w:ascii="宋体" w:hAnsi="宋体" w:eastAsia="宋体" w:cs="宋体"/>
          <w:b/>
          <w:bCs/>
        </w:rPr>
        <w:t>（4）磋商响应文件编制要求：本项目采用电子招投标形式，请使用“政府采购一体化平台”工具制作电子响应文件，操作方法详见《苏采云系统供应商操作手册》。电子响应文件制作完成后请于响应文件网上提交截止时间前上传成功，否则视为放弃参加该采购项目。</w:t>
      </w:r>
    </w:p>
    <w:p w14:paraId="3E80A62A">
      <w:pPr>
        <w:pStyle w:val="12"/>
        <w:spacing w:line="360" w:lineRule="auto"/>
        <w:ind w:firstLine="482"/>
        <w:rPr>
          <w:rFonts w:ascii="宋体" w:hAnsi="宋体" w:eastAsia="宋体" w:cs="宋体"/>
          <w:b/>
          <w:bCs/>
        </w:rPr>
      </w:pPr>
      <w:r>
        <w:rPr>
          <w:rFonts w:hint="eastAsia" w:ascii="宋体" w:hAnsi="宋体" w:eastAsia="宋体" w:cs="宋体"/>
          <w:b/>
          <w:bCs/>
        </w:rPr>
        <w:t>（5）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对供应商不利的后果由供应商自行承担。</w:t>
      </w:r>
    </w:p>
    <w:p w14:paraId="0215C96E">
      <w:pPr>
        <w:spacing w:line="360" w:lineRule="auto"/>
        <w:ind w:firstLine="480"/>
        <w:rPr>
          <w:rFonts w:ascii="宋体" w:hAnsi="宋体" w:cs="宋体"/>
          <w:sz w:val="24"/>
        </w:rPr>
      </w:pPr>
      <w:r>
        <w:rPr>
          <w:rFonts w:hint="eastAsia" w:ascii="宋体" w:hAnsi="宋体" w:cs="宋体"/>
          <w:sz w:val="24"/>
        </w:rPr>
        <w:t>16.响应文件编制要求</w:t>
      </w:r>
    </w:p>
    <w:p w14:paraId="4ADD8AF5">
      <w:pPr>
        <w:spacing w:line="360" w:lineRule="auto"/>
        <w:ind w:firstLine="480"/>
        <w:rPr>
          <w:rFonts w:ascii="宋体" w:hAnsi="宋体" w:cs="宋体"/>
          <w:sz w:val="24"/>
        </w:rPr>
      </w:pPr>
      <w:r>
        <w:rPr>
          <w:rFonts w:hint="eastAsia" w:ascii="宋体" w:hAnsi="宋体" w:cs="宋体"/>
          <w:sz w:val="24"/>
        </w:rPr>
        <w:t>16.1响应文件按统一格式编写后上传。</w:t>
      </w:r>
    </w:p>
    <w:p w14:paraId="259966E8">
      <w:pPr>
        <w:spacing w:line="360" w:lineRule="auto"/>
        <w:ind w:firstLine="480"/>
        <w:rPr>
          <w:rFonts w:ascii="宋体" w:hAnsi="宋体" w:cs="宋体"/>
          <w:sz w:val="24"/>
        </w:rPr>
      </w:pPr>
      <w:r>
        <w:rPr>
          <w:rFonts w:hint="eastAsia" w:ascii="宋体" w:hAnsi="宋体" w:cs="宋体"/>
          <w:sz w:val="24"/>
        </w:rPr>
        <w:t>17.响应报价（编制）要求的说明</w:t>
      </w:r>
    </w:p>
    <w:p w14:paraId="6B0796DE">
      <w:pPr>
        <w:spacing w:line="360" w:lineRule="auto"/>
        <w:ind w:firstLine="480"/>
        <w:rPr>
          <w:rFonts w:ascii="宋体" w:hAnsi="宋体" w:cs="宋体"/>
          <w:sz w:val="24"/>
        </w:rPr>
      </w:pPr>
      <w:r>
        <w:rPr>
          <w:rFonts w:hint="eastAsia" w:ascii="宋体" w:hAnsi="宋体" w:cs="宋体"/>
          <w:sz w:val="24"/>
        </w:rPr>
        <w:t>17.1除非合同中另有规定，响应供应商对《标的物清单》中的</w:t>
      </w:r>
      <w:r>
        <w:rPr>
          <w:rFonts w:ascii="宋体" w:hAnsi="宋体" w:cs="宋体"/>
          <w:sz w:val="24"/>
        </w:rPr>
        <w:t>全部服务内容的报价应</w:t>
      </w:r>
      <w:r>
        <w:rPr>
          <w:rFonts w:hint="eastAsia" w:ascii="宋体" w:hAnsi="宋体" w:cs="宋体"/>
          <w:color w:val="auto"/>
          <w:sz w:val="24"/>
          <w:szCs w:val="24"/>
        </w:rPr>
        <w:t>包括人工费及其它辅助费用、设备材料、管理、维护、保养、保险、利润、税金</w:t>
      </w:r>
      <w:r>
        <w:rPr>
          <w:rFonts w:hint="eastAsia" w:ascii="宋体" w:hAnsi="宋体" w:cs="宋体"/>
          <w:color w:val="auto"/>
          <w:sz w:val="24"/>
          <w:szCs w:val="24"/>
          <w:lang w:eastAsia="zh-CN"/>
        </w:rPr>
        <w:t>、</w:t>
      </w:r>
      <w:r>
        <w:rPr>
          <w:rFonts w:hint="eastAsia" w:ascii="宋体" w:hAnsi="宋体" w:cs="宋体"/>
          <w:color w:val="auto"/>
          <w:sz w:val="24"/>
          <w:szCs w:val="24"/>
        </w:rPr>
        <w:t>政策性文件规定及合同包含的所有风险、责任等各项应有费用。响应报价为最终报价，除非因特殊原因并经买卖双方协商同意，响应</w:t>
      </w:r>
      <w:r>
        <w:rPr>
          <w:rFonts w:hint="eastAsia" w:ascii="宋体" w:hAnsi="宋体" w:cs="宋体"/>
          <w:color w:val="auto"/>
          <w:sz w:val="24"/>
          <w:szCs w:val="24"/>
          <w:lang w:val="en-US" w:eastAsia="zh-CN"/>
        </w:rPr>
        <w:t>供应商</w:t>
      </w:r>
      <w:r>
        <w:rPr>
          <w:rFonts w:hint="eastAsia" w:ascii="宋体" w:hAnsi="宋体" w:cs="宋体"/>
          <w:color w:val="auto"/>
          <w:sz w:val="24"/>
          <w:szCs w:val="24"/>
        </w:rPr>
        <w:t>不得再要求追加任何费用。同时，除非合同条款中另有规定，否则，响应</w:t>
      </w:r>
      <w:r>
        <w:rPr>
          <w:rFonts w:hint="eastAsia" w:ascii="宋体" w:hAnsi="宋体" w:cs="宋体"/>
          <w:color w:val="auto"/>
          <w:sz w:val="24"/>
          <w:szCs w:val="24"/>
          <w:lang w:val="en-US" w:eastAsia="zh-CN"/>
        </w:rPr>
        <w:t>供应商</w:t>
      </w:r>
      <w:r>
        <w:rPr>
          <w:rFonts w:hint="eastAsia" w:ascii="宋体" w:hAnsi="宋体" w:cs="宋体"/>
          <w:color w:val="auto"/>
          <w:sz w:val="24"/>
          <w:szCs w:val="24"/>
        </w:rPr>
        <w:t>所报价格在合同实施期间不因市场变化因素而变动。</w:t>
      </w:r>
    </w:p>
    <w:p w14:paraId="323AC8A3">
      <w:pPr>
        <w:spacing w:line="360" w:lineRule="auto"/>
        <w:ind w:firstLine="480"/>
        <w:rPr>
          <w:rFonts w:ascii="宋体" w:hAnsi="宋体" w:cs="宋体"/>
          <w:sz w:val="24"/>
        </w:rPr>
      </w:pPr>
      <w:r>
        <w:rPr>
          <w:rFonts w:hint="eastAsia" w:ascii="宋体" w:hAnsi="宋体" w:cs="宋体"/>
          <w:sz w:val="24"/>
        </w:rPr>
        <w:t>17.2响应供应商应按《响应报价明细表》中的全部货物和服务计算单价和总价。《响应报价明细表》中的每一单项均应计算并填写单价和总价，并由法定代表人或授权委托人签署。</w:t>
      </w:r>
    </w:p>
    <w:p w14:paraId="26087F4E">
      <w:pPr>
        <w:spacing w:line="360" w:lineRule="auto"/>
        <w:ind w:firstLine="480"/>
        <w:rPr>
          <w:rFonts w:ascii="宋体" w:hAnsi="宋体" w:cs="宋体"/>
          <w:sz w:val="24"/>
        </w:rPr>
      </w:pPr>
      <w:r>
        <w:rPr>
          <w:rFonts w:hint="eastAsia" w:ascii="宋体" w:hAnsi="宋体" w:cs="宋体"/>
          <w:sz w:val="24"/>
        </w:rPr>
        <w:t>17.3响应供应商应对采购文件内所要采购的全部内容进行报价，只投其中部分内容者，其标书将被拒绝。但如果采购文件要求分标段投标的，则响应供应商可以有选择的只投其中一个或几个标段，也可以投全部标段，但各标段应分别计算填写单价和总价。</w:t>
      </w:r>
    </w:p>
    <w:p w14:paraId="28B45E7F">
      <w:pPr>
        <w:spacing w:line="360" w:lineRule="auto"/>
        <w:ind w:firstLine="480"/>
        <w:rPr>
          <w:rFonts w:ascii="宋体" w:hAnsi="宋体" w:cs="宋体"/>
          <w:sz w:val="24"/>
        </w:rPr>
      </w:pPr>
      <w:r>
        <w:rPr>
          <w:rFonts w:hint="eastAsia" w:ascii="宋体" w:hAnsi="宋体" w:cs="宋体"/>
          <w:sz w:val="24"/>
        </w:rPr>
        <w:t>17.4一项投标内容只允许一个报价，采购人或者采购代理机构不接受任何有选择性的投标报价。</w:t>
      </w:r>
    </w:p>
    <w:p w14:paraId="30D84D8D">
      <w:pPr>
        <w:spacing w:line="360" w:lineRule="auto"/>
        <w:ind w:firstLine="480"/>
        <w:rPr>
          <w:rFonts w:ascii="宋体" w:hAnsi="宋体" w:cs="宋体"/>
          <w:sz w:val="24"/>
        </w:rPr>
      </w:pPr>
      <w:r>
        <w:rPr>
          <w:rFonts w:hint="eastAsia" w:ascii="宋体" w:hAnsi="宋体" w:cs="宋体"/>
          <w:sz w:val="24"/>
        </w:rPr>
        <w:t>17.5响应文件报价中的单价和总价全部采用人民币表示，除非合同的特殊条款另有规定。</w:t>
      </w:r>
    </w:p>
    <w:p w14:paraId="23E7AB34">
      <w:pPr>
        <w:spacing w:line="360" w:lineRule="auto"/>
        <w:ind w:firstLine="480"/>
        <w:rPr>
          <w:rFonts w:ascii="宋体" w:hAnsi="宋体" w:cs="宋体"/>
          <w:sz w:val="24"/>
        </w:rPr>
      </w:pPr>
      <w:r>
        <w:rPr>
          <w:rFonts w:hint="eastAsia" w:ascii="宋体" w:hAnsi="宋体" w:cs="宋体"/>
          <w:sz w:val="24"/>
        </w:rPr>
        <w:t>17.6最低的投标报价或最高的折扣比例是成交的重要条件，但不是成交的唯一条件。</w:t>
      </w:r>
    </w:p>
    <w:p w14:paraId="0E49A190">
      <w:pPr>
        <w:spacing w:line="360" w:lineRule="auto"/>
        <w:ind w:firstLine="482"/>
        <w:rPr>
          <w:rFonts w:ascii="宋体" w:hAnsi="宋体" w:cs="宋体"/>
          <w:b/>
          <w:bCs/>
          <w:sz w:val="24"/>
        </w:rPr>
      </w:pPr>
      <w:r>
        <w:rPr>
          <w:rFonts w:hint="eastAsia" w:ascii="宋体" w:hAnsi="宋体" w:cs="宋体"/>
          <w:b/>
          <w:bCs/>
          <w:sz w:val="24"/>
        </w:rPr>
        <w:t>18.磋商保证金</w:t>
      </w:r>
    </w:p>
    <w:p w14:paraId="3D4FEFA2">
      <w:pPr>
        <w:spacing w:line="360" w:lineRule="auto"/>
        <w:ind w:firstLine="482"/>
        <w:rPr>
          <w:rFonts w:ascii="宋体" w:hAnsi="宋体" w:cs="宋体"/>
          <w:b/>
          <w:bCs/>
          <w:sz w:val="24"/>
        </w:rPr>
      </w:pPr>
      <w:r>
        <w:rPr>
          <w:rFonts w:hint="eastAsia" w:ascii="宋体" w:hAnsi="宋体" w:cs="宋体"/>
          <w:b/>
          <w:bCs/>
          <w:sz w:val="24"/>
        </w:rPr>
        <w:t>响应供应商应按照前附表规定的要求提交《响应保证承诺书》，如未提供视为无效响应。</w:t>
      </w:r>
    </w:p>
    <w:p w14:paraId="155B4C8F">
      <w:pPr>
        <w:spacing w:line="360" w:lineRule="auto"/>
        <w:ind w:firstLine="480"/>
        <w:rPr>
          <w:rFonts w:ascii="宋体" w:hAnsi="宋体" w:cs="宋体"/>
          <w:sz w:val="24"/>
        </w:rPr>
      </w:pPr>
      <w:r>
        <w:rPr>
          <w:rFonts w:hint="eastAsia" w:ascii="宋体" w:hAnsi="宋体" w:cs="宋体"/>
          <w:sz w:val="24"/>
        </w:rPr>
        <w:t>19.响应文件的有效期</w:t>
      </w:r>
    </w:p>
    <w:p w14:paraId="1B444BE8">
      <w:pPr>
        <w:spacing w:line="360" w:lineRule="auto"/>
        <w:ind w:firstLine="480"/>
        <w:rPr>
          <w:rFonts w:ascii="宋体" w:hAnsi="宋体" w:cs="宋体"/>
          <w:sz w:val="24"/>
        </w:rPr>
      </w:pPr>
      <w:r>
        <w:rPr>
          <w:rFonts w:hint="eastAsia" w:ascii="宋体" w:hAnsi="宋体" w:cs="宋体"/>
          <w:sz w:val="24"/>
        </w:rPr>
        <w:t>19.1磋商响应文件的有效期为</w:t>
      </w:r>
      <w:r>
        <w:rPr>
          <w:rFonts w:hint="eastAsia" w:ascii="宋体" w:hAnsi="宋体" w:cs="宋体"/>
          <w:b/>
          <w:bCs/>
          <w:sz w:val="24"/>
        </w:rPr>
        <w:t>90日历天</w:t>
      </w:r>
      <w:r>
        <w:rPr>
          <w:rFonts w:hint="eastAsia" w:ascii="宋体" w:hAnsi="宋体" w:cs="宋体"/>
          <w:sz w:val="24"/>
        </w:rPr>
        <w:t>，在此期间内，响应文件应保持有效。有效期短于这个规定期限的，将被拒绝。</w:t>
      </w:r>
    </w:p>
    <w:p w14:paraId="7115ED7F">
      <w:pPr>
        <w:spacing w:line="360" w:lineRule="auto"/>
        <w:ind w:firstLine="480"/>
        <w:rPr>
          <w:rFonts w:ascii="宋体" w:hAnsi="宋体" w:cs="宋体"/>
          <w:sz w:val="24"/>
        </w:rPr>
      </w:pPr>
      <w:r>
        <w:rPr>
          <w:rFonts w:hint="eastAsia" w:ascii="宋体" w:hAnsi="宋体" w:cs="宋体"/>
          <w:sz w:val="24"/>
        </w:rPr>
        <w:t>19.2在特殊情况下，采购人或者采购代理机构可与响应供应商协商延长投标书的有效期。这种要求和答复都应以书面形式进行。</w:t>
      </w:r>
    </w:p>
    <w:p w14:paraId="155EF962">
      <w:pPr>
        <w:spacing w:line="360" w:lineRule="auto"/>
        <w:ind w:firstLine="482"/>
        <w:rPr>
          <w:rFonts w:ascii="宋体" w:hAnsi="宋体" w:cs="宋体"/>
          <w:b/>
          <w:bCs/>
          <w:sz w:val="24"/>
        </w:rPr>
      </w:pPr>
      <w:r>
        <w:rPr>
          <w:rFonts w:hint="eastAsia" w:ascii="宋体" w:hAnsi="宋体" w:cs="宋体"/>
          <w:b/>
          <w:bCs/>
          <w:sz w:val="24"/>
        </w:rPr>
        <w:t>五、响应文件递交及要求</w:t>
      </w:r>
    </w:p>
    <w:p w14:paraId="14DC3736">
      <w:pPr>
        <w:spacing w:line="360" w:lineRule="auto"/>
        <w:ind w:firstLine="480"/>
        <w:rPr>
          <w:rFonts w:ascii="宋体" w:hAnsi="宋体" w:cs="宋体"/>
          <w:sz w:val="24"/>
        </w:rPr>
      </w:pPr>
      <w:r>
        <w:rPr>
          <w:rFonts w:hint="eastAsia" w:ascii="宋体" w:hAnsi="宋体" w:cs="宋体"/>
          <w:sz w:val="24"/>
        </w:rPr>
        <w:t>20.响应文件的递交：本项目采用电子网上招投标，无需提供纸质响应文件。</w:t>
      </w:r>
    </w:p>
    <w:p w14:paraId="51A3BCCE">
      <w:pPr>
        <w:spacing w:line="360" w:lineRule="auto"/>
        <w:ind w:firstLine="480"/>
        <w:rPr>
          <w:rFonts w:ascii="宋体" w:hAnsi="宋体" w:cs="宋体"/>
          <w:sz w:val="24"/>
        </w:rPr>
      </w:pPr>
      <w:r>
        <w:rPr>
          <w:rFonts w:hint="eastAsia" w:ascii="宋体" w:hAnsi="宋体" w:cs="宋体"/>
          <w:sz w:val="24"/>
        </w:rPr>
        <w:t>21.响应文件要求：</w:t>
      </w:r>
    </w:p>
    <w:p w14:paraId="75732DC0">
      <w:pPr>
        <w:spacing w:line="360" w:lineRule="auto"/>
        <w:ind w:firstLine="480"/>
        <w:rPr>
          <w:rFonts w:ascii="宋体" w:hAnsi="宋体" w:cs="宋体"/>
          <w:sz w:val="24"/>
        </w:rPr>
      </w:pPr>
      <w:r>
        <w:rPr>
          <w:rFonts w:hint="eastAsia" w:ascii="宋体" w:hAnsi="宋体" w:cs="宋体"/>
          <w:sz w:val="24"/>
        </w:rPr>
        <w:t>21.1供应商通过苏州市政府采购一体化不见面开标大厅在线参与磋商活动。（具体操作详见《苏采云系统供应商操作手册》）。</w:t>
      </w:r>
    </w:p>
    <w:p w14:paraId="0402FC80">
      <w:pPr>
        <w:spacing w:line="360" w:lineRule="auto"/>
        <w:ind w:firstLine="480"/>
        <w:rPr>
          <w:rFonts w:ascii="宋体" w:hAnsi="宋体" w:cs="宋体"/>
          <w:sz w:val="24"/>
        </w:rPr>
      </w:pPr>
      <w:r>
        <w:rPr>
          <w:rFonts w:hint="eastAsia" w:ascii="宋体" w:hAnsi="宋体" w:cs="宋体"/>
          <w:sz w:val="24"/>
        </w:rPr>
        <w:t>21.2响应文件开启时，响应文件使用苏采云的CA证书解密，如由于苏采云系统的CA故障导致不能解密响应文件，则全部响应文件将不被开启，予以退回。由采购人(采购代理机构)另行通知重新开启时间。</w:t>
      </w:r>
    </w:p>
    <w:p w14:paraId="74E897F0">
      <w:pPr>
        <w:spacing w:line="360" w:lineRule="auto"/>
        <w:ind w:firstLine="480"/>
        <w:rPr>
          <w:rFonts w:ascii="宋体" w:hAnsi="宋体" w:cs="宋体"/>
          <w:sz w:val="24"/>
        </w:rPr>
      </w:pPr>
      <w:r>
        <w:rPr>
          <w:rFonts w:hint="eastAsia" w:ascii="宋体" w:hAnsi="宋体" w:cs="宋体"/>
          <w:sz w:val="24"/>
        </w:rPr>
        <w:t>21.3电子响应文件中的资料应按要求加盖电子印章或加盖响应供应商公章上传。</w:t>
      </w:r>
    </w:p>
    <w:p w14:paraId="0EDCD92E">
      <w:pPr>
        <w:spacing w:line="360" w:lineRule="auto"/>
        <w:ind w:firstLine="480"/>
        <w:rPr>
          <w:rFonts w:ascii="宋体" w:hAnsi="宋体" w:cs="宋体"/>
          <w:sz w:val="24"/>
        </w:rPr>
      </w:pPr>
      <w:r>
        <w:rPr>
          <w:rFonts w:hint="eastAsia" w:ascii="宋体" w:hAnsi="宋体" w:cs="宋体"/>
          <w:sz w:val="24"/>
        </w:rPr>
        <w:t>22.投标截止时间</w:t>
      </w:r>
    </w:p>
    <w:p w14:paraId="0A185311">
      <w:pPr>
        <w:spacing w:line="360" w:lineRule="auto"/>
        <w:ind w:firstLine="480"/>
        <w:rPr>
          <w:rFonts w:ascii="宋体" w:hAnsi="宋体" w:cs="宋体"/>
          <w:sz w:val="24"/>
        </w:rPr>
      </w:pPr>
      <w:r>
        <w:rPr>
          <w:rFonts w:hint="eastAsia" w:ascii="宋体" w:hAnsi="宋体" w:cs="宋体"/>
          <w:sz w:val="24"/>
        </w:rPr>
        <w:t>22.1响应供应商应当在采购文件要求提交响应文件的截止时间前，将响应文件上传系统。</w:t>
      </w:r>
    </w:p>
    <w:p w14:paraId="1D4926CA">
      <w:pPr>
        <w:spacing w:line="360" w:lineRule="auto"/>
        <w:ind w:firstLine="480"/>
        <w:rPr>
          <w:rFonts w:ascii="宋体" w:hAnsi="宋体" w:cs="宋体"/>
          <w:sz w:val="24"/>
        </w:rPr>
      </w:pPr>
      <w:r>
        <w:rPr>
          <w:rFonts w:hint="eastAsia" w:ascii="宋体" w:hAnsi="宋体" w:cs="宋体"/>
          <w:sz w:val="24"/>
        </w:rPr>
        <w:t>22.2采购人或者采购代理机构推迟投标截止时间时的，应以网上补充公告形式通知所有响应供应商。在这种情况下，采购人或者采购代理机构和响应供应商的权利和义务将受到新的截止期的约束。</w:t>
      </w:r>
    </w:p>
    <w:p w14:paraId="53666A0A">
      <w:pPr>
        <w:spacing w:line="360" w:lineRule="auto"/>
        <w:ind w:firstLine="480"/>
        <w:rPr>
          <w:rFonts w:ascii="宋体" w:hAnsi="宋体" w:cs="宋体"/>
          <w:sz w:val="24"/>
        </w:rPr>
      </w:pPr>
      <w:r>
        <w:rPr>
          <w:rFonts w:hint="eastAsia" w:ascii="宋体" w:hAnsi="宋体" w:cs="宋体"/>
          <w:sz w:val="24"/>
        </w:rPr>
        <w:t>22.3在投标截止时间止解密的响应文件少于三份，采购人或者采购代理机构有权宣布本次招标失败。</w:t>
      </w:r>
    </w:p>
    <w:p w14:paraId="39F6CF52">
      <w:pPr>
        <w:spacing w:line="360" w:lineRule="auto"/>
        <w:ind w:firstLine="480"/>
        <w:rPr>
          <w:rFonts w:ascii="宋体" w:hAnsi="宋体" w:cs="宋体"/>
          <w:sz w:val="24"/>
        </w:rPr>
      </w:pPr>
      <w:r>
        <w:rPr>
          <w:rFonts w:hint="eastAsia" w:ascii="宋体" w:hAnsi="宋体" w:cs="宋体"/>
          <w:sz w:val="24"/>
        </w:rPr>
        <w:t>23.响应文件的修改和撤回</w:t>
      </w:r>
    </w:p>
    <w:p w14:paraId="39C7EF72">
      <w:pPr>
        <w:spacing w:line="360" w:lineRule="auto"/>
        <w:ind w:firstLine="480"/>
        <w:rPr>
          <w:rFonts w:ascii="宋体" w:hAnsi="宋体" w:cs="宋体"/>
          <w:sz w:val="24"/>
          <w:highlight w:val="red"/>
        </w:rPr>
      </w:pPr>
      <w:r>
        <w:rPr>
          <w:rFonts w:hint="eastAsia" w:ascii="宋体" w:hAnsi="宋体" w:cs="宋体"/>
          <w:sz w:val="24"/>
        </w:rPr>
        <w:t>23.1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p>
    <w:p w14:paraId="6D59E9ED">
      <w:pPr>
        <w:spacing w:line="360" w:lineRule="auto"/>
        <w:ind w:firstLine="482"/>
        <w:rPr>
          <w:rFonts w:ascii="宋体" w:hAnsi="宋体" w:cs="宋体"/>
          <w:b/>
          <w:bCs/>
          <w:sz w:val="24"/>
        </w:rPr>
      </w:pPr>
      <w:r>
        <w:rPr>
          <w:rFonts w:hint="eastAsia" w:ascii="宋体" w:hAnsi="宋体" w:cs="宋体"/>
          <w:b/>
          <w:bCs/>
          <w:sz w:val="24"/>
        </w:rPr>
        <w:t>六、磋商采购程序</w:t>
      </w:r>
    </w:p>
    <w:p w14:paraId="23BA5B38">
      <w:pPr>
        <w:spacing w:line="360" w:lineRule="auto"/>
        <w:ind w:firstLine="480"/>
        <w:rPr>
          <w:rFonts w:ascii="宋体" w:hAnsi="宋体" w:cs="宋体"/>
          <w:sz w:val="24"/>
        </w:rPr>
      </w:pPr>
      <w:r>
        <w:rPr>
          <w:rFonts w:hint="eastAsia" w:ascii="宋体" w:hAnsi="宋体" w:cs="宋体"/>
          <w:sz w:val="24"/>
        </w:rPr>
        <w:t>24.磋商采购程序</w:t>
      </w:r>
    </w:p>
    <w:p w14:paraId="4F343627">
      <w:pPr>
        <w:spacing w:line="360" w:lineRule="auto"/>
        <w:ind w:firstLine="480"/>
        <w:rPr>
          <w:rFonts w:ascii="宋体" w:hAnsi="宋体" w:cs="宋体"/>
          <w:sz w:val="24"/>
        </w:rPr>
      </w:pPr>
      <w:r>
        <w:rPr>
          <w:rFonts w:hint="eastAsia" w:ascii="宋体" w:hAnsi="宋体" w:cs="宋体"/>
          <w:sz w:val="24"/>
        </w:rPr>
        <w:t>24.1采购代理机构按本须知规定的时间、地点主持磋商活动。磋商活动由采购代理机构、采购人、竞争性磋商小组、响应供应商代表及有关方面代表参加。</w:t>
      </w:r>
    </w:p>
    <w:p w14:paraId="67BD9538">
      <w:pPr>
        <w:spacing w:line="360" w:lineRule="auto"/>
        <w:ind w:firstLine="480"/>
        <w:rPr>
          <w:rFonts w:ascii="宋体" w:hAnsi="宋体" w:cs="宋体"/>
          <w:sz w:val="24"/>
        </w:rPr>
      </w:pPr>
      <w:r>
        <w:rPr>
          <w:rFonts w:hint="eastAsia" w:ascii="宋体" w:hAnsi="宋体" w:cs="宋体"/>
          <w:sz w:val="24"/>
        </w:rPr>
        <w:t>24.2本项目采用线上磋商：磋商小组通过“苏采云”系统向供应商发布“磋商函”，供应商可通过查看【磋商响应】菜单中的待办信息，应当按照要求在“苏采云”系统提交“磋商响应函”并加盖CA电子公章，具体操作方式见《操作手册》。</w:t>
      </w:r>
    </w:p>
    <w:p w14:paraId="6B14EC3C">
      <w:pPr>
        <w:spacing w:line="360" w:lineRule="auto"/>
        <w:ind w:firstLine="480"/>
        <w:rPr>
          <w:rFonts w:ascii="宋体" w:hAnsi="宋体" w:cs="宋体"/>
          <w:sz w:val="24"/>
        </w:rPr>
      </w:pPr>
      <w:r>
        <w:rPr>
          <w:rFonts w:hint="eastAsia" w:ascii="宋体" w:hAnsi="宋体" w:cs="宋体"/>
          <w:sz w:val="24"/>
        </w:rPr>
        <w:t>24.3磋商小组认为有必要与供应商进行磋商的，磋商供应商按顺序进行磋商。磋商小组所有成员应当集中与单一供应商分别进行磋商，并给予所有参加磋商的供应商平等的磋商机会。为了便于磋商小组与各供应商及时沟通，供应商应在不见面开标大厅中保持在线状态直至项目磋商结束。</w:t>
      </w:r>
    </w:p>
    <w:p w14:paraId="67060DC5">
      <w:pPr>
        <w:spacing w:line="360" w:lineRule="auto"/>
        <w:ind w:firstLine="480"/>
        <w:rPr>
          <w:rFonts w:ascii="宋体" w:hAnsi="宋体" w:cs="宋体"/>
          <w:sz w:val="24"/>
        </w:rPr>
      </w:pPr>
      <w:r>
        <w:rPr>
          <w:rFonts w:hint="eastAsia" w:ascii="宋体" w:hAnsi="宋体" w:cs="宋体"/>
          <w:sz w:val="24"/>
        </w:rPr>
        <w:t>24.4根据本竞争性磋商文件和磋商情况对采购需求中的价格商讨、技术、服务以及合同草案条款进行磋商；但不得变动磋商文件中的其他内容。实质性变动的内容，须经采购人代表确认。</w:t>
      </w:r>
    </w:p>
    <w:p w14:paraId="7C22C378">
      <w:pPr>
        <w:spacing w:line="360" w:lineRule="auto"/>
        <w:ind w:firstLine="480"/>
        <w:rPr>
          <w:rFonts w:ascii="宋体" w:hAnsi="宋体" w:cs="宋体"/>
          <w:sz w:val="24"/>
        </w:rPr>
      </w:pPr>
      <w:r>
        <w:rPr>
          <w:rFonts w:hint="eastAsia" w:ascii="宋体" w:hAnsi="宋体" w:cs="宋体"/>
          <w:sz w:val="24"/>
        </w:rPr>
        <w:t>对磋商文件作出的实质性变动是磋商文件的有效组成部分，竞争性磋商小组应当及时以书面形式（通过“苏采云”系统）同时通知所有参加磋商的响应供应商。</w:t>
      </w:r>
    </w:p>
    <w:p w14:paraId="06A3B6F4">
      <w:pPr>
        <w:spacing w:line="360" w:lineRule="auto"/>
        <w:ind w:firstLine="480"/>
        <w:rPr>
          <w:rFonts w:ascii="宋体" w:hAnsi="宋体" w:cs="宋体"/>
          <w:sz w:val="24"/>
        </w:rPr>
      </w:pPr>
      <w:r>
        <w:rPr>
          <w:rFonts w:hint="eastAsia" w:ascii="宋体" w:hAnsi="宋体" w:cs="宋体"/>
          <w:sz w:val="24"/>
        </w:rPr>
        <w:t>24.5供应商应当在规定时间内（此处规定时间的计算以采购系统中的倒计时间为准）按照磋商文件的变动情况和磋商小组的要求通过“苏采云”系统重新提交响应文件，并加盖CA电子公章。重新提交的响应文件按磋商文件进行评审。</w:t>
      </w:r>
      <w:r>
        <w:rPr>
          <w:rFonts w:hint="eastAsia" w:ascii="宋体" w:hAnsi="宋体" w:cs="宋体"/>
          <w:b/>
          <w:bCs/>
          <w:sz w:val="24"/>
        </w:rPr>
        <w:t>未按要求重新提交响应文件的按响应无效处理。</w:t>
      </w:r>
    </w:p>
    <w:p w14:paraId="3F2D7B10">
      <w:pPr>
        <w:spacing w:line="360" w:lineRule="auto"/>
        <w:ind w:firstLine="480"/>
        <w:rPr>
          <w:rFonts w:ascii="宋体" w:hAnsi="宋体" w:cs="宋体"/>
          <w:sz w:val="24"/>
        </w:rPr>
      </w:pPr>
      <w:r>
        <w:rPr>
          <w:rFonts w:hint="eastAsia" w:ascii="宋体" w:hAnsi="宋体" w:cs="宋体"/>
          <w:sz w:val="24"/>
        </w:rPr>
        <w:t>24.6磋商结束后，磋商小组将要求所有实质性响应的供应商在规定时间内提交最后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p>
    <w:p w14:paraId="1A6AD4D2">
      <w:pPr>
        <w:spacing w:line="360" w:lineRule="auto"/>
        <w:ind w:firstLine="482"/>
        <w:rPr>
          <w:rFonts w:ascii="宋体" w:hAnsi="宋体" w:cs="宋体"/>
          <w:b/>
          <w:bCs/>
          <w:sz w:val="24"/>
        </w:rPr>
      </w:pPr>
      <w:r>
        <w:rPr>
          <w:rFonts w:hint="eastAsia" w:ascii="宋体" w:hAnsi="宋体" w:cs="宋体"/>
          <w:b/>
          <w:bCs/>
          <w:sz w:val="24"/>
        </w:rPr>
        <w:t>24.7线上二次报价：</w:t>
      </w:r>
      <w:r>
        <w:rPr>
          <w:rFonts w:hint="eastAsia" w:ascii="宋体" w:hAnsi="宋体" w:cs="宋体"/>
          <w:sz w:val="24"/>
        </w:rPr>
        <w:t>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具体操作方式见《操作手册》。</w:t>
      </w:r>
      <w:r>
        <w:rPr>
          <w:rFonts w:hint="eastAsia" w:ascii="宋体" w:hAnsi="宋体" w:cs="宋体"/>
          <w:b/>
          <w:bCs/>
          <w:sz w:val="24"/>
        </w:rPr>
        <w:t>建议各供应商法定代表人或授权委托人始终保持通讯顺畅，时刻关注不见面开标大厅，不离开不见面开标大厅。</w:t>
      </w:r>
    </w:p>
    <w:p w14:paraId="4BEC968B">
      <w:pPr>
        <w:spacing w:line="360" w:lineRule="auto"/>
        <w:ind w:firstLine="480"/>
        <w:rPr>
          <w:rFonts w:ascii="宋体" w:hAnsi="宋体" w:cs="宋体"/>
          <w:sz w:val="24"/>
        </w:rPr>
      </w:pPr>
      <w:r>
        <w:rPr>
          <w:rFonts w:hint="eastAsia" w:ascii="宋体" w:hAnsi="宋体" w:cs="宋体"/>
          <w:sz w:val="24"/>
        </w:rPr>
        <w:t>24.8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p>
    <w:p w14:paraId="08088334">
      <w:pPr>
        <w:pageBreakBefore w:val="0"/>
        <w:widowControl w:val="0"/>
        <w:shd w:val="clear" w:color="auto" w:fill="auto"/>
        <w:spacing w:beforeAutospacing="0" w:afterAutospacing="0" w:line="360" w:lineRule="auto"/>
        <w:ind w:firstLine="420"/>
        <w:jc w:val="both"/>
        <w:rPr>
          <w:rFonts w:hint="eastAsia" w:ascii="宋体" w:hAnsi="宋体" w:eastAsia="宋体" w:cs="宋体"/>
          <w:b/>
          <w:color w:val="000000"/>
          <w:sz w:val="24"/>
          <w:szCs w:val="24"/>
          <w:highlight w:val="none"/>
          <w:lang w:val="en-US" w:eastAsia="zh-CN" w:bidi="ar-SA"/>
        </w:rPr>
      </w:pPr>
      <w:r>
        <w:rPr>
          <w:rFonts w:hint="eastAsia" w:ascii="宋体" w:hAnsi="宋体" w:cs="宋体"/>
          <w:sz w:val="24"/>
        </w:rPr>
        <w:t>24.9</w:t>
      </w:r>
      <w:r>
        <w:rPr>
          <w:rFonts w:hint="eastAsia" w:ascii="宋体" w:hAnsi="宋体" w:cs="宋体"/>
          <w:b/>
          <w:color w:val="auto"/>
          <w:sz w:val="24"/>
          <w:highlight w:val="none"/>
          <w:lang w:val="en-US" w:eastAsia="zh-CN"/>
        </w:rPr>
        <w:t xml:space="preserve"> </w:t>
      </w:r>
      <w:r>
        <w:rPr>
          <w:rFonts w:hint="eastAsia" w:ascii="宋体" w:hAnsi="宋体" w:eastAsia="宋体" w:cs="宋体"/>
          <w:b/>
          <w:color w:val="000000"/>
          <w:sz w:val="24"/>
          <w:szCs w:val="24"/>
          <w:highlight w:val="none"/>
          <w:lang w:val="en-US" w:eastAsia="zh-CN" w:bidi="ar-SA"/>
        </w:rPr>
        <w:t>异常低价投标(响应)审查</w:t>
      </w:r>
    </w:p>
    <w:p w14:paraId="5F37BC15">
      <w:pPr>
        <w:pageBreakBefore w:val="0"/>
        <w:widowControl w:val="0"/>
        <w:spacing w:beforeAutospacing="0" w:afterAutospacing="0" w:line="360" w:lineRule="auto"/>
        <w:ind w:firstLine="482"/>
        <w:jc w:val="left"/>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根据财政部《关于推动解决政府采购异常低价问题的通知》（财库〔2026〕2号）的通知，评审过程中出现下列情形之一的，评审委员会应当启动异常低价投标（响应）审查程序： </w:t>
      </w:r>
    </w:p>
    <w:p w14:paraId="23AAAC3A">
      <w:pPr>
        <w:pageBreakBefore w:val="0"/>
        <w:widowControl w:val="0"/>
        <w:spacing w:beforeAutospacing="0" w:afterAutospacing="0" w:line="360" w:lineRule="auto"/>
        <w:ind w:firstLine="480"/>
        <w:jc w:val="lef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5A109F91">
      <w:pPr>
        <w:pageBreakBefore w:val="0"/>
        <w:widowControl w:val="0"/>
        <w:spacing w:beforeAutospacing="0" w:afterAutospacing="0" w:line="360" w:lineRule="auto"/>
        <w:ind w:firstLine="480"/>
        <w:jc w:val="lef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69448454">
      <w:pPr>
        <w:pageBreakBefore w:val="0"/>
        <w:widowControl w:val="0"/>
        <w:spacing w:beforeAutospacing="0" w:afterAutospacing="0" w:line="360" w:lineRule="auto"/>
        <w:ind w:firstLine="480"/>
        <w:jc w:val="lef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（3）投标（响应）报价低于采购项目最高限价（未设定最高限价的采购项目，以采购项目预算金额作为最高限价）45%的，即投标（响应）报价&lt;采购项目最高限价×45%；</w:t>
      </w:r>
    </w:p>
    <w:p w14:paraId="2C66DD27">
      <w:pPr>
        <w:pageBreakBefore w:val="0"/>
        <w:widowControl w:val="0"/>
        <w:spacing w:beforeAutospacing="0" w:afterAutospacing="0" w:line="360" w:lineRule="auto"/>
        <w:ind w:firstLine="480"/>
        <w:jc w:val="lef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（4）评审委员会基于专业判断，认为供应商报价过低，有可能影响产品质量或者不能诚信履约的其他情形。</w:t>
      </w:r>
    </w:p>
    <w:p w14:paraId="6388D7EC">
      <w:pPr>
        <w:pageBreakBefore w:val="0"/>
        <w:widowControl w:val="0"/>
        <w:spacing w:beforeAutospacing="0" w:afterAutospacing="0" w:line="360" w:lineRule="auto"/>
        <w:ind w:firstLine="480"/>
        <w:jc w:val="lef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启动异常低价投标（响应）审查后，属于上述4项情形的，评审委员会应当要求相关供应商在评审现场</w:t>
      </w:r>
      <w:r>
        <w:rPr>
          <w:rFonts w:hint="eastAsia" w:ascii="宋体" w:hAnsi="宋体" w:eastAsia="宋体" w:cs="宋体"/>
          <w:b/>
          <w:bCs w:val="0"/>
          <w:color w:val="000000"/>
          <w:sz w:val="24"/>
          <w:szCs w:val="24"/>
          <w:highlight w:val="none"/>
          <w:lang w:val="en-US" w:eastAsia="zh-CN" w:bidi="ar-SA"/>
        </w:rPr>
        <w:t>30分钟内</w:t>
      </w:r>
      <w:r>
        <w:rPr>
          <w:rFonts w:hint="eastAsia" w:ascii="宋体" w:hAnsi="宋体" w:eastAsia="宋体" w:cs="宋体"/>
          <w:b w:val="0"/>
          <w:bCs/>
          <w:color w:val="000000"/>
          <w:sz w:val="24"/>
          <w:szCs w:val="24"/>
          <w:highlight w:val="none"/>
          <w:lang w:val="en-US" w:eastAsia="zh-CN" w:bidi="ar-SA"/>
        </w:rPr>
        <w:t>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47327136">
      <w:pPr>
        <w:pageBreakBefore w:val="0"/>
        <w:widowControl w:val="0"/>
        <w:spacing w:beforeAutospacing="0" w:afterAutospacing="0" w:line="360" w:lineRule="auto"/>
        <w:ind w:firstLine="482"/>
        <w:jc w:val="left"/>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67E1280">
      <w:pPr>
        <w:spacing w:line="360" w:lineRule="auto"/>
        <w:ind w:firstLine="480"/>
        <w:rPr>
          <w:rFonts w:ascii="宋体" w:hAnsi="宋体" w:cs="宋体"/>
          <w:sz w:val="24"/>
        </w:rPr>
      </w:pPr>
      <w:r>
        <w:rPr>
          <w:rFonts w:hint="eastAsia" w:ascii="宋体" w:hAnsi="宋体" w:eastAsia="宋体" w:cs="宋体"/>
          <w:b w:val="0"/>
          <w:bCs/>
          <w:color w:val="000000"/>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071080A8">
      <w:pPr>
        <w:spacing w:line="360" w:lineRule="auto"/>
        <w:ind w:firstLine="480"/>
        <w:rPr>
          <w:rFonts w:ascii="宋体" w:hAnsi="宋体" w:cs="宋体"/>
          <w:color w:val="000000"/>
          <w:sz w:val="24"/>
        </w:rPr>
      </w:pPr>
      <w:r>
        <w:rPr>
          <w:rFonts w:hint="eastAsia" w:ascii="宋体" w:hAnsi="宋体" w:cs="宋体"/>
          <w:sz w:val="24"/>
        </w:rPr>
        <w:t>24.10</w:t>
      </w:r>
      <w:r>
        <w:rPr>
          <w:rFonts w:hint="eastAsia" w:ascii="宋体" w:hAnsi="宋体" w:cs="宋体"/>
          <w:color w:val="000000"/>
          <w:sz w:val="24"/>
        </w:rPr>
        <w:t>经磋商确定最终采购需求和提交最后报价的供应商后，由磋商小组采用综合评分法对提交最后报价的供应商的响应文件和最后报价进行综合评分。</w:t>
      </w:r>
    </w:p>
    <w:p w14:paraId="7AACD0EF">
      <w:pPr>
        <w:spacing w:line="360" w:lineRule="auto"/>
        <w:ind w:firstLine="480"/>
        <w:rPr>
          <w:rFonts w:ascii="宋体" w:hAnsi="宋体" w:cs="宋体"/>
          <w:sz w:val="24"/>
        </w:rPr>
      </w:pPr>
      <w:r>
        <w:rPr>
          <w:rFonts w:hint="eastAsia" w:ascii="宋体" w:hAnsi="宋体" w:cs="宋体"/>
          <w:sz w:val="24"/>
        </w:rPr>
        <w:t>24.11最后报价及承诺函是响应供应商响应文件的有效组成部分，且最后报价超采购预算者无成交资格。</w:t>
      </w:r>
    </w:p>
    <w:p w14:paraId="748F0B3F">
      <w:pPr>
        <w:spacing w:line="360" w:lineRule="auto"/>
        <w:ind w:firstLine="480"/>
        <w:rPr>
          <w:rFonts w:ascii="宋体" w:hAnsi="宋体" w:cs="宋体"/>
          <w:sz w:val="24"/>
        </w:rPr>
      </w:pPr>
      <w:r>
        <w:rPr>
          <w:rFonts w:hint="eastAsia" w:ascii="宋体" w:hAnsi="宋体" w:cs="宋体"/>
          <w:sz w:val="24"/>
        </w:rPr>
        <w:t>24.12竞争性磋商小组成员应当按照客观、公正、审慎的原则，根据磋商文件规定的评审程序、评审方法和评审标准进行独立评审。未实质性响应磋商文件的响应文件按无效响应处理，竞争性磋商小组应当告知提交响应文件的响应供应商。</w:t>
      </w:r>
    </w:p>
    <w:p w14:paraId="6F2AA055">
      <w:pPr>
        <w:spacing w:line="360" w:lineRule="auto"/>
        <w:ind w:firstLine="480"/>
        <w:rPr>
          <w:rFonts w:ascii="宋体" w:hAnsi="宋体" w:cs="宋体"/>
          <w:sz w:val="24"/>
        </w:rPr>
      </w:pPr>
      <w:r>
        <w:rPr>
          <w:rFonts w:hint="eastAsia" w:ascii="宋体" w:hAnsi="宋体" w:cs="宋体"/>
          <w:sz w:val="24"/>
        </w:rPr>
        <w:t>24.13</w:t>
      </w:r>
      <w:r>
        <w:rPr>
          <w:rFonts w:hint="eastAsia" w:ascii="宋体" w:hAnsi="宋体" w:cs="宋体"/>
          <w:sz w:val="24"/>
          <w:lang w:val="zh-CN"/>
        </w:rPr>
        <w:t>竞争性磋商小组各成员独立对每个响应供应商的响应文件（包括新的书面承诺函）按磋商文件规定的评审办法进行评审并给出评审意见。</w:t>
      </w:r>
      <w:r>
        <w:rPr>
          <w:rFonts w:hint="eastAsia" w:ascii="宋体" w:hAnsi="宋体" w:cs="宋体"/>
          <w:sz w:val="24"/>
        </w:rPr>
        <w:t>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p>
    <w:p w14:paraId="6323FC16">
      <w:pPr>
        <w:spacing w:line="360" w:lineRule="auto"/>
        <w:ind w:firstLine="480"/>
        <w:rPr>
          <w:rFonts w:ascii="宋体" w:hAnsi="宋体" w:cs="宋体"/>
          <w:sz w:val="24"/>
        </w:rPr>
      </w:pPr>
      <w:r>
        <w:rPr>
          <w:rFonts w:hint="eastAsia" w:ascii="宋体" w:hAnsi="宋体" w:cs="宋体"/>
          <w:sz w:val="24"/>
        </w:rPr>
        <w:t>24.14</w:t>
      </w:r>
      <w:r>
        <w:rPr>
          <w:rFonts w:hint="eastAsia" w:ascii="宋体" w:hAnsi="宋体" w:cs="宋体"/>
          <w:color w:val="000000"/>
          <w:sz w:val="24"/>
        </w:rPr>
        <w:t>如磋商过程中出现本采购文件未尽事宜，由磋商小组根据政府采购有关法律、法规讨论决定。</w:t>
      </w:r>
    </w:p>
    <w:p w14:paraId="68E15EBA">
      <w:pPr>
        <w:spacing w:line="360" w:lineRule="auto"/>
        <w:ind w:firstLine="480"/>
        <w:rPr>
          <w:rFonts w:ascii="宋体" w:hAnsi="宋体" w:cs="宋体"/>
          <w:sz w:val="24"/>
        </w:rPr>
      </w:pPr>
      <w:r>
        <w:rPr>
          <w:rFonts w:hint="eastAsia" w:ascii="宋体" w:hAnsi="宋体" w:cs="宋体"/>
          <w:sz w:val="24"/>
        </w:rPr>
        <w:t>25.磋商小组</w:t>
      </w:r>
    </w:p>
    <w:p w14:paraId="7C9159E2">
      <w:pPr>
        <w:spacing w:line="360" w:lineRule="auto"/>
        <w:ind w:firstLine="480"/>
        <w:rPr>
          <w:rFonts w:ascii="宋体" w:hAnsi="宋体" w:cs="宋体"/>
          <w:sz w:val="24"/>
        </w:rPr>
      </w:pPr>
      <w:r>
        <w:rPr>
          <w:rFonts w:hint="eastAsia" w:ascii="宋体" w:hAnsi="宋体" w:cs="宋体"/>
          <w:sz w:val="24"/>
        </w:rPr>
        <w:t>25.1磋商小组由采购人代表和评审专家共3人以上单数组成，其中评审专家人数不得少于磋商小组成员总数的2/3。采购人代表不得以评审专家身份参加本部门或本单位采购项目的评审。</w:t>
      </w:r>
    </w:p>
    <w:p w14:paraId="0BB30BF8">
      <w:pPr>
        <w:spacing w:line="360" w:lineRule="auto"/>
        <w:ind w:firstLine="480"/>
        <w:rPr>
          <w:rFonts w:ascii="宋体" w:hAnsi="宋体" w:cs="宋体"/>
          <w:sz w:val="24"/>
        </w:rPr>
      </w:pPr>
      <w:r>
        <w:rPr>
          <w:rFonts w:hint="eastAsia" w:ascii="宋体" w:hAnsi="宋体" w:cs="宋体"/>
          <w:sz w:val="24"/>
        </w:rPr>
        <w:t>25.2磋商小组负责具体的磋商事务，并独立履行以下职责：</w:t>
      </w:r>
    </w:p>
    <w:p w14:paraId="790F59E5">
      <w:pPr>
        <w:spacing w:line="360" w:lineRule="auto"/>
        <w:ind w:firstLine="480"/>
        <w:rPr>
          <w:rFonts w:ascii="宋体" w:hAnsi="宋体" w:cs="宋体"/>
          <w:sz w:val="24"/>
        </w:rPr>
      </w:pPr>
      <w:r>
        <w:rPr>
          <w:rFonts w:hint="eastAsia" w:ascii="宋体" w:hAnsi="宋体" w:cs="宋体"/>
          <w:sz w:val="24"/>
        </w:rPr>
        <w:t>25.2.1确认或者制定磋商文件；</w:t>
      </w:r>
    </w:p>
    <w:p w14:paraId="3E9DBD68">
      <w:pPr>
        <w:spacing w:line="360" w:lineRule="auto"/>
        <w:ind w:firstLine="480"/>
        <w:rPr>
          <w:rFonts w:ascii="宋体" w:hAnsi="宋体" w:cs="宋体"/>
          <w:sz w:val="24"/>
        </w:rPr>
      </w:pPr>
      <w:r>
        <w:rPr>
          <w:rFonts w:hint="eastAsia" w:ascii="宋体" w:hAnsi="宋体" w:cs="宋体"/>
          <w:sz w:val="24"/>
        </w:rPr>
        <w:t>25.2.2从符合相应资格条件的磋商响应供应商名单中确定磋商响应供应商参加磋商；</w:t>
      </w:r>
    </w:p>
    <w:p w14:paraId="36CD3993">
      <w:pPr>
        <w:spacing w:line="360" w:lineRule="auto"/>
        <w:ind w:firstLine="480"/>
        <w:rPr>
          <w:rFonts w:ascii="宋体" w:hAnsi="宋体" w:cs="宋体"/>
          <w:sz w:val="24"/>
        </w:rPr>
      </w:pPr>
      <w:r>
        <w:rPr>
          <w:rFonts w:hint="eastAsia" w:ascii="宋体" w:hAnsi="宋体" w:cs="宋体"/>
          <w:sz w:val="24"/>
        </w:rPr>
        <w:t>25.2.3审查磋商响应供应商的响应文件并作出评价；</w:t>
      </w:r>
    </w:p>
    <w:p w14:paraId="6BEAEAB3">
      <w:pPr>
        <w:spacing w:line="360" w:lineRule="auto"/>
        <w:ind w:firstLine="480"/>
        <w:rPr>
          <w:rFonts w:ascii="宋体" w:hAnsi="宋体" w:cs="宋体"/>
          <w:sz w:val="24"/>
        </w:rPr>
      </w:pPr>
      <w:r>
        <w:rPr>
          <w:rFonts w:hint="eastAsia" w:ascii="宋体" w:hAnsi="宋体" w:cs="宋体"/>
          <w:sz w:val="24"/>
        </w:rPr>
        <w:t>25.2.4要求磋商响应供应商解释或者澄清其响应文件；</w:t>
      </w:r>
    </w:p>
    <w:p w14:paraId="0D4006CB">
      <w:pPr>
        <w:spacing w:line="360" w:lineRule="auto"/>
        <w:ind w:firstLine="480"/>
        <w:rPr>
          <w:rFonts w:ascii="宋体" w:hAnsi="宋体" w:cs="宋体"/>
          <w:sz w:val="24"/>
        </w:rPr>
      </w:pPr>
      <w:r>
        <w:rPr>
          <w:rFonts w:hint="eastAsia" w:ascii="宋体" w:hAnsi="宋体" w:cs="宋体"/>
          <w:sz w:val="24"/>
        </w:rPr>
        <w:t>25.2.5编写评审报告；</w:t>
      </w:r>
    </w:p>
    <w:p w14:paraId="3201BAA8">
      <w:pPr>
        <w:spacing w:line="360" w:lineRule="auto"/>
        <w:ind w:firstLine="480"/>
        <w:rPr>
          <w:rFonts w:ascii="宋体" w:hAnsi="宋体" w:cs="宋体"/>
          <w:sz w:val="24"/>
        </w:rPr>
      </w:pPr>
      <w:r>
        <w:rPr>
          <w:rFonts w:hint="eastAsia" w:ascii="宋体" w:hAnsi="宋体" w:cs="宋体"/>
          <w:sz w:val="24"/>
        </w:rPr>
        <w:t>25.2.6告知采购人、采购代理机构在评审过程中发现的磋商响应供应商的违法违规行为。</w:t>
      </w:r>
    </w:p>
    <w:p w14:paraId="32098862">
      <w:pPr>
        <w:spacing w:line="360" w:lineRule="auto"/>
        <w:ind w:firstLine="480"/>
        <w:rPr>
          <w:rFonts w:ascii="宋体" w:hAnsi="宋体" w:cs="宋体"/>
          <w:sz w:val="24"/>
        </w:rPr>
      </w:pPr>
      <w:r>
        <w:rPr>
          <w:rFonts w:hint="eastAsia" w:ascii="宋体" w:hAnsi="宋体" w:cs="宋体"/>
          <w:sz w:val="24"/>
        </w:rPr>
        <w:t>25.3磋商小组成员应当履行下列义务：</w:t>
      </w:r>
    </w:p>
    <w:p w14:paraId="3E66A6E6">
      <w:pPr>
        <w:spacing w:line="360" w:lineRule="auto"/>
        <w:ind w:firstLine="480"/>
        <w:rPr>
          <w:rFonts w:ascii="宋体" w:hAnsi="宋体" w:cs="宋体"/>
          <w:sz w:val="24"/>
        </w:rPr>
      </w:pPr>
      <w:r>
        <w:rPr>
          <w:rFonts w:hint="eastAsia" w:ascii="宋体" w:hAnsi="宋体" w:cs="宋体"/>
          <w:sz w:val="24"/>
        </w:rPr>
        <w:t>25.3.1遵纪守法，客观、公正、廉洁地履行职责；</w:t>
      </w:r>
    </w:p>
    <w:p w14:paraId="470F6260">
      <w:pPr>
        <w:spacing w:line="360" w:lineRule="auto"/>
        <w:ind w:firstLine="480"/>
        <w:rPr>
          <w:rFonts w:ascii="宋体" w:hAnsi="宋体" w:cs="宋体"/>
          <w:sz w:val="24"/>
        </w:rPr>
      </w:pPr>
      <w:r>
        <w:rPr>
          <w:rFonts w:hint="eastAsia" w:ascii="宋体" w:hAnsi="宋体" w:cs="宋体"/>
          <w:sz w:val="24"/>
        </w:rPr>
        <w:t>25.3.2按照磋商文件规定的评审办法独立进行评审，对个人的评审意见承担法律责任；</w:t>
      </w:r>
    </w:p>
    <w:p w14:paraId="38BAA2BB">
      <w:pPr>
        <w:spacing w:line="360" w:lineRule="auto"/>
        <w:ind w:firstLine="480"/>
        <w:rPr>
          <w:rFonts w:ascii="宋体" w:hAnsi="宋体" w:cs="宋体"/>
          <w:sz w:val="24"/>
        </w:rPr>
      </w:pPr>
      <w:r>
        <w:rPr>
          <w:rFonts w:hint="eastAsia" w:ascii="宋体" w:hAnsi="宋体" w:cs="宋体"/>
          <w:sz w:val="24"/>
        </w:rPr>
        <w:t>25.3.3参与评审报告的起草；</w:t>
      </w:r>
    </w:p>
    <w:p w14:paraId="6AD30634">
      <w:pPr>
        <w:spacing w:line="360" w:lineRule="auto"/>
        <w:ind w:firstLine="480"/>
        <w:rPr>
          <w:rFonts w:ascii="宋体" w:hAnsi="宋体" w:cs="宋体"/>
          <w:sz w:val="24"/>
        </w:rPr>
      </w:pPr>
      <w:r>
        <w:rPr>
          <w:rFonts w:hint="eastAsia" w:ascii="宋体" w:hAnsi="宋体" w:cs="宋体"/>
          <w:sz w:val="24"/>
        </w:rPr>
        <w:t>25.3.4配合采购人、采购代理机构答复磋商响应供应商提出的质疑；</w:t>
      </w:r>
    </w:p>
    <w:p w14:paraId="563B57E2">
      <w:pPr>
        <w:spacing w:line="360" w:lineRule="auto"/>
        <w:ind w:firstLine="480"/>
        <w:rPr>
          <w:rFonts w:ascii="宋体" w:hAnsi="宋体" w:cs="宋体"/>
          <w:sz w:val="24"/>
        </w:rPr>
      </w:pPr>
      <w:r>
        <w:rPr>
          <w:rFonts w:hint="eastAsia" w:ascii="宋体" w:hAnsi="宋体" w:cs="宋体"/>
          <w:sz w:val="24"/>
        </w:rPr>
        <w:t>25.3.5配合财政部门的投诉处理和监督检查工作。</w:t>
      </w:r>
    </w:p>
    <w:p w14:paraId="53387497">
      <w:pPr>
        <w:spacing w:line="360" w:lineRule="auto"/>
        <w:ind w:firstLine="480"/>
        <w:rPr>
          <w:rFonts w:ascii="宋体" w:hAnsi="宋体" w:cs="宋体"/>
          <w:sz w:val="24"/>
        </w:rPr>
      </w:pPr>
      <w:r>
        <w:rPr>
          <w:rFonts w:hint="eastAsia" w:ascii="宋体" w:hAnsi="宋体" w:cs="宋体"/>
          <w:sz w:val="24"/>
        </w:rPr>
        <w:t>26.磋商内容的保密</w:t>
      </w:r>
    </w:p>
    <w:p w14:paraId="722423D2">
      <w:pPr>
        <w:spacing w:line="360" w:lineRule="auto"/>
        <w:ind w:firstLine="480"/>
        <w:rPr>
          <w:rFonts w:ascii="宋体" w:hAnsi="宋体" w:cs="宋体"/>
          <w:sz w:val="24"/>
        </w:rPr>
      </w:pPr>
      <w:r>
        <w:rPr>
          <w:rFonts w:hint="eastAsia" w:ascii="宋体" w:hAnsi="宋体" w:cs="宋体"/>
          <w:sz w:val="24"/>
        </w:rPr>
        <w:t>26.1磋商开始后，直到宣布授予成交供应商合同为止，凡属于审查、澄清、评价和比较响应文件的所有资料，有关授予合同的信息都不应向磋商响应供应商或与评审无关的其他人泄露。</w:t>
      </w:r>
    </w:p>
    <w:p w14:paraId="48FD6C66">
      <w:pPr>
        <w:spacing w:line="360" w:lineRule="auto"/>
        <w:ind w:firstLine="480"/>
        <w:rPr>
          <w:rFonts w:ascii="宋体" w:hAnsi="宋体" w:cs="宋体"/>
          <w:sz w:val="24"/>
        </w:rPr>
      </w:pPr>
      <w:r>
        <w:rPr>
          <w:rFonts w:hint="eastAsia" w:ascii="宋体" w:hAnsi="宋体" w:cs="宋体"/>
          <w:sz w:val="24"/>
        </w:rPr>
        <w:t>26.2在响应文件的审查、澄清、评价和比较以及授予合同的过程中，磋商响应供应商对采购人和磋商小组施加影响的任何行为，都将取消其成交资格。</w:t>
      </w:r>
    </w:p>
    <w:p w14:paraId="31544BD5">
      <w:pPr>
        <w:spacing w:line="360" w:lineRule="auto"/>
        <w:ind w:firstLine="480"/>
        <w:rPr>
          <w:rFonts w:ascii="宋体" w:hAnsi="宋体" w:cs="宋体"/>
          <w:sz w:val="24"/>
        </w:rPr>
      </w:pPr>
      <w:r>
        <w:rPr>
          <w:rFonts w:hint="eastAsia" w:ascii="宋体" w:hAnsi="宋体" w:cs="宋体"/>
          <w:sz w:val="24"/>
        </w:rPr>
        <w:t>26.3在评审期间，采购人将通过指定联络人与磋商响应供应商进行联系。</w:t>
      </w:r>
    </w:p>
    <w:p w14:paraId="0D53AE45">
      <w:pPr>
        <w:spacing w:line="360" w:lineRule="auto"/>
        <w:ind w:firstLine="480"/>
        <w:rPr>
          <w:rFonts w:ascii="宋体" w:hAnsi="宋体" w:cs="宋体"/>
          <w:sz w:val="24"/>
        </w:rPr>
      </w:pPr>
      <w:r>
        <w:rPr>
          <w:rFonts w:hint="eastAsia" w:ascii="宋体" w:hAnsi="宋体" w:cs="宋体"/>
          <w:sz w:val="24"/>
        </w:rPr>
        <w:t>27.响应文件的澄清、说明和更正</w:t>
      </w:r>
    </w:p>
    <w:p w14:paraId="6035407F">
      <w:pPr>
        <w:spacing w:line="360" w:lineRule="auto"/>
        <w:ind w:firstLine="480"/>
        <w:rPr>
          <w:rFonts w:ascii="宋体" w:hAnsi="宋体" w:cs="宋体"/>
          <w:sz w:val="24"/>
        </w:rPr>
      </w:pPr>
      <w:r>
        <w:rPr>
          <w:rFonts w:hint="eastAsia" w:ascii="宋体" w:hAnsi="宋体" w:cs="宋体"/>
          <w:sz w:val="24"/>
        </w:rPr>
        <w:t>27.1竞争性磋商小组在对响应文件的有效性、完整性和响应程度进行审查时，可以要求磋商响应供应商对响应文件中含义不明确、同类问题表述不一致或者有明显文字和计算错误的内容等作出必要的澄清、说明或者更正。磋商响应供应商的澄清、说明或者更正不得超出响应文件的范围或者改变响应文件的实质性内容。</w:t>
      </w:r>
    </w:p>
    <w:p w14:paraId="315B2A17">
      <w:pPr>
        <w:spacing w:line="360" w:lineRule="auto"/>
        <w:ind w:firstLine="480"/>
        <w:rPr>
          <w:rFonts w:ascii="宋体" w:hAnsi="宋体" w:cs="宋体"/>
          <w:sz w:val="24"/>
        </w:rPr>
      </w:pPr>
      <w:r>
        <w:rPr>
          <w:rFonts w:hint="eastAsia" w:ascii="宋体" w:hAnsi="宋体" w:cs="宋体"/>
          <w:sz w:val="24"/>
        </w:rPr>
        <w:t>27.2本项目采用线上澄清、说明和更正。线上澄清答复的方式：需要供应商进行澄清、说明和更正的，磋商小组将通过“苏采云”系统向供应商发布“澄清要求函”，接到“澄清要求函”的供应商应当按照要求在规定时间内通过“苏采云”系统中提交“澄清响应函”并加盖CA电子公章。澄清、说明和更正的内容作为响应文件的补充部分（此处规定时间的计算以系统中的倒计时间为准），具体操作方式见《操作手册》。</w:t>
      </w:r>
      <w:r>
        <w:rPr>
          <w:rFonts w:hint="eastAsia" w:ascii="宋体" w:hAnsi="宋体" w:cs="宋体"/>
          <w:b/>
          <w:bCs/>
          <w:sz w:val="24"/>
        </w:rPr>
        <w:t>未加盖CA电子公章的澄清无效。</w:t>
      </w:r>
    </w:p>
    <w:p w14:paraId="6C962A71">
      <w:pPr>
        <w:spacing w:line="360" w:lineRule="auto"/>
        <w:ind w:firstLine="480"/>
        <w:rPr>
          <w:rFonts w:ascii="宋体" w:hAnsi="宋体" w:cs="宋体"/>
          <w:sz w:val="24"/>
        </w:rPr>
      </w:pPr>
      <w:r>
        <w:rPr>
          <w:rFonts w:hint="eastAsia" w:ascii="宋体" w:hAnsi="宋体" w:cs="宋体"/>
          <w:sz w:val="24"/>
        </w:rPr>
        <w:t>27.3接到磋商小组澄清、说明和更正要求的供应商如未按规定做出澄清、说明和更正，其风险由供应商自行承担。</w:t>
      </w:r>
    </w:p>
    <w:p w14:paraId="5E812869">
      <w:pPr>
        <w:spacing w:line="360" w:lineRule="auto"/>
        <w:ind w:firstLine="480"/>
        <w:rPr>
          <w:rFonts w:ascii="宋体" w:hAnsi="宋体" w:cs="宋体"/>
          <w:sz w:val="24"/>
        </w:rPr>
      </w:pPr>
      <w:r>
        <w:rPr>
          <w:rFonts w:hint="eastAsia" w:ascii="宋体" w:hAnsi="宋体" w:cs="宋体"/>
          <w:sz w:val="24"/>
        </w:rPr>
        <w:t>28.无效磋商响应文件</w:t>
      </w:r>
    </w:p>
    <w:p w14:paraId="4D30AE15">
      <w:pPr>
        <w:spacing w:line="360" w:lineRule="auto"/>
        <w:ind w:firstLine="480"/>
        <w:rPr>
          <w:rFonts w:ascii="宋体" w:hAnsi="宋体" w:cs="宋体"/>
          <w:sz w:val="24"/>
        </w:rPr>
      </w:pPr>
      <w:r>
        <w:rPr>
          <w:rFonts w:hint="eastAsia" w:ascii="宋体" w:hAnsi="宋体" w:cs="宋体"/>
          <w:sz w:val="24"/>
        </w:rPr>
        <w:t>发生下列情况之一的磋商响应文件被视为无效：</w:t>
      </w:r>
    </w:p>
    <w:p w14:paraId="2AF16648">
      <w:pPr>
        <w:spacing w:line="360" w:lineRule="auto"/>
        <w:ind w:firstLine="480"/>
        <w:rPr>
          <w:rFonts w:ascii="宋体" w:hAnsi="宋体" w:cs="宋体"/>
          <w:sz w:val="24"/>
        </w:rPr>
      </w:pPr>
      <w:bookmarkStart w:id="35" w:name="_Toc182848980"/>
      <w:r>
        <w:rPr>
          <w:rFonts w:hint="eastAsia" w:ascii="宋体" w:hAnsi="宋体" w:cs="宋体"/>
          <w:sz w:val="24"/>
        </w:rPr>
        <w:t>28.1在竞争性磋商文件递交截止时间以后上传的；</w:t>
      </w:r>
      <w:bookmarkEnd w:id="35"/>
    </w:p>
    <w:p w14:paraId="14B44838">
      <w:pPr>
        <w:spacing w:line="360" w:lineRule="auto"/>
        <w:ind w:firstLine="480"/>
        <w:rPr>
          <w:rFonts w:ascii="宋体" w:hAnsi="宋体" w:cs="宋体"/>
          <w:sz w:val="24"/>
        </w:rPr>
      </w:pPr>
      <w:bookmarkStart w:id="36" w:name="_Toc182848981"/>
      <w:r>
        <w:rPr>
          <w:rFonts w:hint="eastAsia" w:ascii="宋体" w:hAnsi="宋体" w:cs="宋体"/>
          <w:sz w:val="24"/>
        </w:rPr>
        <w:t>28.2</w:t>
      </w:r>
      <w:bookmarkEnd w:id="36"/>
      <w:r>
        <w:rPr>
          <w:rFonts w:hint="eastAsia" w:ascii="宋体" w:hAnsi="宋体" w:cs="宋体"/>
          <w:sz w:val="24"/>
        </w:rPr>
        <w:t>磋商响应供应商未能提供合格的资格文件；</w:t>
      </w:r>
    </w:p>
    <w:p w14:paraId="6B5729FF">
      <w:pPr>
        <w:spacing w:line="360" w:lineRule="auto"/>
        <w:ind w:firstLine="480"/>
        <w:rPr>
          <w:rFonts w:ascii="宋体" w:hAnsi="宋体" w:cs="宋体"/>
          <w:sz w:val="24"/>
        </w:rPr>
      </w:pPr>
      <w:bookmarkStart w:id="37" w:name="_Toc182848983"/>
      <w:r>
        <w:rPr>
          <w:rFonts w:hint="eastAsia" w:ascii="宋体" w:hAnsi="宋体" w:cs="宋体"/>
          <w:sz w:val="24"/>
        </w:rPr>
        <w:t>28.3</w:t>
      </w:r>
      <w:bookmarkEnd w:id="37"/>
      <w:r>
        <w:rPr>
          <w:rFonts w:hint="eastAsia" w:ascii="宋体" w:hAnsi="宋体" w:cs="宋体"/>
          <w:sz w:val="24"/>
        </w:rPr>
        <w:t>对一个标项提供两个磋商响应方案的；</w:t>
      </w:r>
    </w:p>
    <w:p w14:paraId="41949321">
      <w:pPr>
        <w:spacing w:line="360" w:lineRule="auto"/>
        <w:ind w:firstLine="480"/>
        <w:rPr>
          <w:rFonts w:ascii="宋体" w:hAnsi="宋体" w:cs="宋体"/>
          <w:sz w:val="24"/>
        </w:rPr>
      </w:pPr>
      <w:bookmarkStart w:id="38" w:name="_Toc182848984"/>
      <w:r>
        <w:rPr>
          <w:rFonts w:hint="eastAsia" w:ascii="宋体" w:hAnsi="宋体" w:cs="宋体"/>
          <w:sz w:val="24"/>
        </w:rPr>
        <w:t>28.4</w:t>
      </w:r>
      <w:bookmarkEnd w:id="38"/>
      <w:r>
        <w:rPr>
          <w:rFonts w:hint="eastAsia" w:ascii="宋体" w:hAnsi="宋体" w:cs="宋体"/>
          <w:sz w:val="24"/>
        </w:rPr>
        <w:t>与竞争性磋商文件有重大偏离的磋商响应文件；</w:t>
      </w:r>
    </w:p>
    <w:p w14:paraId="4EF825C0">
      <w:pPr>
        <w:spacing w:line="360" w:lineRule="auto"/>
        <w:ind w:firstLine="480"/>
        <w:rPr>
          <w:rFonts w:hint="default" w:ascii="宋体" w:hAnsi="宋体" w:eastAsia="宋体" w:cs="宋体"/>
          <w:sz w:val="24"/>
          <w:lang w:val="en-US" w:eastAsia="zh-CN"/>
        </w:rPr>
      </w:pPr>
      <w:bookmarkStart w:id="39" w:name="_Toc182848985"/>
      <w:r>
        <w:rPr>
          <w:rFonts w:hint="eastAsia" w:ascii="宋体" w:hAnsi="宋体" w:cs="宋体"/>
          <w:sz w:val="24"/>
          <w:lang w:val="en-US" w:eastAsia="zh-CN"/>
        </w:rPr>
        <w:t>28.5</w:t>
      </w:r>
      <w:r>
        <w:rPr>
          <w:rFonts w:ascii="宋体" w:hAnsi="宋体" w:eastAsia="宋体" w:cs="宋体"/>
          <w:color w:val="auto"/>
          <w:sz w:val="24"/>
          <w:szCs w:val="24"/>
          <w:highlight w:val="none"/>
        </w:rPr>
        <w:t>不同</w:t>
      </w:r>
      <w:r>
        <w:rPr>
          <w:rFonts w:hint="eastAsia" w:ascii="宋体" w:hAnsi="宋体" w:eastAsia="宋体" w:cs="宋体"/>
          <w:color w:val="auto"/>
          <w:sz w:val="24"/>
          <w:szCs w:val="24"/>
          <w:highlight w:val="none"/>
          <w:lang w:val="en-US" w:eastAsia="zh-CN"/>
        </w:rPr>
        <w:t>供应商</w:t>
      </w:r>
      <w:r>
        <w:rPr>
          <w:rFonts w:ascii="宋体" w:hAnsi="宋体" w:eastAsia="宋体" w:cs="宋体"/>
          <w:color w:val="auto"/>
          <w:sz w:val="24"/>
          <w:szCs w:val="24"/>
          <w:highlight w:val="none"/>
        </w:rPr>
        <w:t>投标（响应）文件‘机器码一致’</w:t>
      </w:r>
      <w:r>
        <w:rPr>
          <w:rFonts w:hint="eastAsia" w:ascii="宋体" w:hAnsi="宋体" w:eastAsia="宋体" w:cs="宋体"/>
          <w:color w:val="auto"/>
          <w:sz w:val="24"/>
          <w:szCs w:val="24"/>
          <w:highlight w:val="none"/>
          <w:lang w:eastAsia="zh-CN"/>
        </w:rPr>
        <w:t>；</w:t>
      </w:r>
    </w:p>
    <w:p w14:paraId="1B79D490">
      <w:pPr>
        <w:spacing w:line="360" w:lineRule="auto"/>
        <w:ind w:firstLine="480"/>
        <w:rPr>
          <w:rFonts w:ascii="宋体" w:hAnsi="宋体" w:cs="宋体"/>
          <w:sz w:val="24"/>
        </w:rPr>
      </w:pPr>
      <w:r>
        <w:rPr>
          <w:rFonts w:hint="eastAsia" w:ascii="宋体" w:hAnsi="宋体" w:cs="宋体"/>
          <w:sz w:val="24"/>
        </w:rPr>
        <w:t>28.</w:t>
      </w:r>
      <w:bookmarkEnd w:id="39"/>
      <w:r>
        <w:rPr>
          <w:rFonts w:hint="eastAsia" w:ascii="宋体" w:hAnsi="宋体" w:cs="宋体"/>
          <w:sz w:val="24"/>
          <w:lang w:val="en-US" w:eastAsia="zh-CN"/>
        </w:rPr>
        <w:t>6</w:t>
      </w:r>
      <w:r>
        <w:rPr>
          <w:rFonts w:hint="eastAsia" w:ascii="宋体" w:hAnsi="宋体" w:cs="宋体"/>
          <w:sz w:val="24"/>
        </w:rPr>
        <w:t>不符合法律、法规和本竞争性磋商文件规定的其他实质性要求的。</w:t>
      </w:r>
    </w:p>
    <w:p w14:paraId="77CFBE4A">
      <w:pPr>
        <w:spacing w:line="360" w:lineRule="auto"/>
        <w:ind w:firstLine="480"/>
        <w:rPr>
          <w:rFonts w:ascii="宋体" w:hAnsi="宋体" w:cs="宋体"/>
          <w:sz w:val="24"/>
        </w:rPr>
      </w:pPr>
      <w:r>
        <w:rPr>
          <w:rFonts w:hint="eastAsia" w:ascii="宋体" w:hAnsi="宋体" w:cs="宋体"/>
          <w:sz w:val="24"/>
        </w:rPr>
        <w:t>29.成交候选供应商的确认</w:t>
      </w:r>
    </w:p>
    <w:p w14:paraId="248D3BA7">
      <w:pPr>
        <w:spacing w:line="360" w:lineRule="auto"/>
        <w:ind w:firstLine="480"/>
        <w:rPr>
          <w:rFonts w:hint="eastAsia" w:ascii="宋体" w:hAnsi="宋体" w:eastAsia="宋体" w:cs="宋体"/>
          <w:sz w:val="24"/>
        </w:rPr>
      </w:pPr>
      <w:r>
        <w:rPr>
          <w:rFonts w:hint="eastAsia" w:ascii="宋体" w:hAnsi="宋体" w:cs="宋体"/>
          <w:sz w:val="24"/>
        </w:rPr>
        <w:t>29.1本次采购采用综合评分法，即在响应文件满足磋商文件全部实质性要求且按评审因素</w:t>
      </w:r>
      <w:r>
        <w:rPr>
          <w:rFonts w:hint="eastAsia" w:ascii="宋体" w:hAnsi="宋体" w:eastAsia="宋体" w:cs="宋体"/>
          <w:sz w:val="24"/>
        </w:rPr>
        <w:t>的量化指标评审综合得分最高的响应供应商为成交候选供应商。采购人授权磋商小组直接确定成交供应商。</w:t>
      </w:r>
    </w:p>
    <w:p w14:paraId="3ED79E90">
      <w:pPr>
        <w:spacing w:line="360" w:lineRule="auto"/>
        <w:ind w:firstLine="480"/>
        <w:rPr>
          <w:rFonts w:hint="eastAsia" w:ascii="宋体" w:hAnsi="宋体" w:eastAsia="宋体" w:cs="宋体"/>
          <w:sz w:val="24"/>
        </w:rPr>
      </w:pPr>
      <w:r>
        <w:rPr>
          <w:rFonts w:hint="eastAsia" w:ascii="宋体" w:hAnsi="宋体" w:eastAsia="宋体" w:cs="宋体"/>
          <w:sz w:val="24"/>
        </w:rPr>
        <w:t>29.2如出现评标总得分最高的磋商响应供应商有两个以上的，则由代理机构组织以抽签方式确定成交候选供应商。</w:t>
      </w:r>
    </w:p>
    <w:p w14:paraId="7CC91ED1">
      <w:pPr>
        <w:spacing w:line="360" w:lineRule="auto"/>
        <w:ind w:firstLine="480"/>
        <w:rPr>
          <w:rFonts w:hint="eastAsia" w:ascii="宋体" w:hAnsi="宋体" w:eastAsia="宋体" w:cs="宋体"/>
          <w:sz w:val="24"/>
        </w:rPr>
      </w:pPr>
      <w:r>
        <w:rPr>
          <w:rFonts w:hint="eastAsia" w:ascii="宋体" w:hAnsi="宋体" w:eastAsia="宋体" w:cs="宋体"/>
          <w:sz w:val="24"/>
        </w:rPr>
        <w:t>30.成交通知书</w:t>
      </w:r>
    </w:p>
    <w:p w14:paraId="375E33EE">
      <w:pPr>
        <w:spacing w:line="360" w:lineRule="auto"/>
        <w:ind w:firstLine="480"/>
        <w:rPr>
          <w:rFonts w:ascii="宋体" w:hAnsi="宋体" w:cs="宋体"/>
          <w:color w:val="auto"/>
          <w:sz w:val="24"/>
          <w:szCs w:val="24"/>
        </w:rPr>
      </w:pPr>
      <w:r>
        <w:rPr>
          <w:rFonts w:hint="eastAsia" w:ascii="宋体" w:hAnsi="宋体" w:cs="宋体"/>
          <w:color w:val="auto"/>
          <w:sz w:val="24"/>
          <w:szCs w:val="24"/>
        </w:rPr>
        <w:t>3</w:t>
      </w:r>
      <w:r>
        <w:rPr>
          <w:rFonts w:hint="eastAsia" w:ascii="宋体" w:hAnsi="宋体" w:cs="宋体"/>
          <w:color w:val="auto"/>
          <w:sz w:val="24"/>
          <w:szCs w:val="24"/>
          <w:lang w:val="en-US" w:eastAsia="zh-CN"/>
        </w:rPr>
        <w:t>0</w:t>
      </w:r>
      <w:r>
        <w:rPr>
          <w:rFonts w:hint="eastAsia" w:ascii="宋体" w:hAnsi="宋体" w:cs="宋体"/>
          <w:color w:val="auto"/>
          <w:sz w:val="24"/>
          <w:szCs w:val="24"/>
        </w:rPr>
        <w:t>.1采购人或采购代理机构根据相关规定发布成交公告，成交公告发出的同时应当向成交供应商发出《成交通知书》。成交通知书将是采购协议的一个组成部分，对采购人和成交供应商均具有法律效力。成交通知书发出后，采购人改变成交结果，或者成交供应商放弃成交，应当承担相应的法律责任。</w:t>
      </w:r>
    </w:p>
    <w:p w14:paraId="0586A15D">
      <w:pPr>
        <w:spacing w:line="360" w:lineRule="auto"/>
        <w:ind w:firstLine="480"/>
        <w:rPr>
          <w:rFonts w:ascii="宋体" w:hAnsi="宋体" w:cs="宋体"/>
          <w:color w:val="auto"/>
          <w:sz w:val="24"/>
          <w:szCs w:val="24"/>
        </w:rPr>
      </w:pPr>
      <w:r>
        <w:rPr>
          <w:rFonts w:hint="eastAsia" w:ascii="宋体" w:hAnsi="宋体" w:cs="宋体"/>
          <w:color w:val="auto"/>
          <w:sz w:val="24"/>
          <w:szCs w:val="24"/>
        </w:rPr>
        <w:t>3</w:t>
      </w:r>
      <w:r>
        <w:rPr>
          <w:rFonts w:hint="eastAsia" w:ascii="宋体" w:hAnsi="宋体" w:cs="宋体"/>
          <w:color w:val="auto"/>
          <w:sz w:val="24"/>
          <w:szCs w:val="24"/>
          <w:lang w:val="en-US" w:eastAsia="zh-CN"/>
        </w:rPr>
        <w:t>0</w:t>
      </w:r>
      <w:r>
        <w:rPr>
          <w:rFonts w:hint="eastAsia" w:ascii="宋体" w:hAnsi="宋体" w:cs="宋体"/>
          <w:color w:val="auto"/>
          <w:sz w:val="24"/>
          <w:szCs w:val="24"/>
        </w:rPr>
        <w:t>.2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629EC2D9">
      <w:pPr>
        <w:spacing w:line="360" w:lineRule="auto"/>
        <w:ind w:firstLine="480"/>
        <w:rPr>
          <w:rFonts w:ascii="宋体" w:hAnsi="宋体" w:cs="宋体"/>
          <w:sz w:val="24"/>
        </w:rPr>
      </w:pPr>
      <w:r>
        <w:rPr>
          <w:rFonts w:hint="eastAsia" w:ascii="宋体" w:hAnsi="宋体" w:cs="宋体"/>
          <w:sz w:val="24"/>
        </w:rPr>
        <w:t>31.合同的签订</w:t>
      </w:r>
    </w:p>
    <w:p w14:paraId="14D768E3">
      <w:pPr>
        <w:spacing w:line="360" w:lineRule="auto"/>
        <w:ind w:firstLine="480"/>
        <w:rPr>
          <w:rFonts w:ascii="宋体" w:hAnsi="宋体" w:cs="宋体"/>
          <w:color w:val="auto"/>
          <w:sz w:val="24"/>
          <w:szCs w:val="24"/>
        </w:rPr>
      </w:pPr>
      <w:r>
        <w:rPr>
          <w:rFonts w:hint="eastAsia" w:ascii="宋体" w:hAnsi="宋体" w:cs="宋体"/>
          <w:color w:val="auto"/>
          <w:sz w:val="24"/>
          <w:szCs w:val="24"/>
        </w:rPr>
        <w:t>3</w:t>
      </w:r>
      <w:r>
        <w:rPr>
          <w:rFonts w:hint="eastAsia" w:ascii="宋体" w:hAnsi="宋体" w:cs="宋体"/>
          <w:color w:val="auto"/>
          <w:sz w:val="24"/>
          <w:szCs w:val="24"/>
          <w:lang w:val="en-US" w:eastAsia="zh-CN"/>
        </w:rPr>
        <w:t>1</w:t>
      </w:r>
      <w:r>
        <w:rPr>
          <w:rFonts w:hint="eastAsia" w:ascii="宋体" w:hAnsi="宋体" w:cs="宋体"/>
          <w:color w:val="auto"/>
          <w:sz w:val="24"/>
          <w:szCs w:val="24"/>
        </w:rPr>
        <w:t>.1采购人与成交供应商应当在成交通知书发出之日起三十日内，按照采购文件及响应文件确定的事项签订政府采购合同。</w:t>
      </w:r>
    </w:p>
    <w:p w14:paraId="626F8CA3">
      <w:pPr>
        <w:spacing w:line="360" w:lineRule="auto"/>
        <w:ind w:firstLine="480"/>
        <w:rPr>
          <w:rFonts w:ascii="宋体" w:hAnsi="宋体" w:cs="宋体"/>
          <w:color w:val="auto"/>
          <w:sz w:val="24"/>
          <w:szCs w:val="24"/>
        </w:rPr>
      </w:pPr>
      <w:r>
        <w:rPr>
          <w:rFonts w:hint="eastAsia" w:ascii="宋体" w:hAnsi="宋体" w:cs="宋体"/>
          <w:color w:val="auto"/>
          <w:sz w:val="24"/>
          <w:szCs w:val="24"/>
        </w:rPr>
        <w:t>3</w:t>
      </w:r>
      <w:r>
        <w:rPr>
          <w:rFonts w:hint="eastAsia" w:ascii="宋体" w:hAnsi="宋体" w:cs="宋体"/>
          <w:color w:val="auto"/>
          <w:sz w:val="24"/>
          <w:szCs w:val="24"/>
          <w:lang w:val="en-US" w:eastAsia="zh-CN"/>
        </w:rPr>
        <w:t>1</w:t>
      </w:r>
      <w:r>
        <w:rPr>
          <w:rFonts w:hint="eastAsia" w:ascii="宋体" w:hAnsi="宋体" w:cs="宋体"/>
          <w:color w:val="auto"/>
          <w:sz w:val="24"/>
          <w:szCs w:val="24"/>
        </w:rPr>
        <w:t>.2成交供应商应按成交通知书中规定，由法定代表人或授权代理人与采购代表签订合同，否则按放弃成交权处理。</w:t>
      </w:r>
    </w:p>
    <w:p w14:paraId="7148FEB9">
      <w:pPr>
        <w:spacing w:line="360" w:lineRule="auto"/>
        <w:ind w:firstLine="480"/>
        <w:rPr>
          <w:rFonts w:ascii="宋体" w:hAnsi="宋体" w:cs="宋体"/>
          <w:color w:val="auto"/>
          <w:sz w:val="24"/>
          <w:szCs w:val="24"/>
        </w:rPr>
      </w:pPr>
      <w:r>
        <w:rPr>
          <w:rFonts w:hint="eastAsia" w:ascii="宋体" w:hAnsi="宋体" w:cs="宋体"/>
          <w:color w:val="auto"/>
          <w:sz w:val="24"/>
          <w:szCs w:val="24"/>
        </w:rPr>
        <w:t>3</w:t>
      </w:r>
      <w:r>
        <w:rPr>
          <w:rFonts w:hint="eastAsia" w:ascii="宋体" w:hAnsi="宋体" w:cs="宋体"/>
          <w:color w:val="auto"/>
          <w:sz w:val="24"/>
          <w:szCs w:val="24"/>
          <w:lang w:val="en-US" w:eastAsia="zh-CN"/>
        </w:rPr>
        <w:t>1</w:t>
      </w:r>
      <w:r>
        <w:rPr>
          <w:rFonts w:hint="eastAsia" w:ascii="宋体" w:hAnsi="宋体" w:cs="宋体"/>
          <w:color w:val="auto"/>
          <w:sz w:val="24"/>
          <w:szCs w:val="24"/>
        </w:rPr>
        <w:t>.3采购人不得向成交供应商提出任何不合理的要求作为签订合同的条件，不得与成交供应商私下订立背离合同实质性内容的协议。</w:t>
      </w:r>
    </w:p>
    <w:p w14:paraId="4AACB561">
      <w:pPr>
        <w:spacing w:line="360" w:lineRule="auto"/>
        <w:ind w:firstLine="480"/>
        <w:rPr>
          <w:rFonts w:ascii="宋体" w:hAnsi="宋体" w:cs="宋体"/>
          <w:color w:val="auto"/>
          <w:sz w:val="24"/>
          <w:szCs w:val="24"/>
        </w:rPr>
      </w:pPr>
      <w:r>
        <w:rPr>
          <w:rFonts w:hint="eastAsia" w:ascii="宋体" w:hAnsi="宋体" w:cs="宋体"/>
          <w:color w:val="auto"/>
          <w:sz w:val="24"/>
          <w:szCs w:val="24"/>
        </w:rPr>
        <w:t>3</w:t>
      </w:r>
      <w:r>
        <w:rPr>
          <w:rFonts w:hint="eastAsia" w:ascii="宋体" w:hAnsi="宋体" w:cs="宋体"/>
          <w:color w:val="auto"/>
          <w:sz w:val="24"/>
          <w:szCs w:val="24"/>
          <w:lang w:val="en-US" w:eastAsia="zh-CN"/>
        </w:rPr>
        <w:t>1</w:t>
      </w:r>
      <w:r>
        <w:rPr>
          <w:rFonts w:hint="eastAsia" w:ascii="宋体" w:hAnsi="宋体" w:cs="宋体"/>
          <w:color w:val="auto"/>
          <w:sz w:val="24"/>
          <w:szCs w:val="24"/>
        </w:rPr>
        <w:t>.4依据《政府采购促进中小企业发展管理办法》（财库〔2020〕46号）规定，享受扶持政策获得政府采购合同的，小微企业不得将合同分包给大中型企业，中型企业不得将合同分包给大型企业。</w:t>
      </w:r>
    </w:p>
    <w:p w14:paraId="2ED5AE7F">
      <w:pPr>
        <w:spacing w:line="360" w:lineRule="auto"/>
        <w:ind w:firstLine="480"/>
        <w:rPr>
          <w:rFonts w:ascii="宋体" w:hAnsi="宋体" w:cs="宋体"/>
          <w:color w:val="auto"/>
          <w:sz w:val="24"/>
          <w:szCs w:val="24"/>
        </w:rPr>
      </w:pPr>
      <w:r>
        <w:rPr>
          <w:rFonts w:hint="eastAsia" w:ascii="宋体" w:hAnsi="宋体" w:cs="宋体"/>
          <w:color w:val="auto"/>
          <w:sz w:val="24"/>
          <w:szCs w:val="24"/>
        </w:rPr>
        <w:t>3</w:t>
      </w:r>
      <w:r>
        <w:rPr>
          <w:rFonts w:hint="eastAsia" w:ascii="宋体" w:hAnsi="宋体" w:cs="宋体"/>
          <w:color w:val="auto"/>
          <w:sz w:val="24"/>
          <w:szCs w:val="24"/>
          <w:lang w:val="en-US" w:eastAsia="zh-CN"/>
        </w:rPr>
        <w:t>1</w:t>
      </w:r>
      <w:r>
        <w:rPr>
          <w:rFonts w:hint="eastAsia" w:ascii="宋体" w:hAnsi="宋体" w:cs="宋体"/>
          <w:color w:val="auto"/>
          <w:sz w:val="24"/>
          <w:szCs w:val="24"/>
        </w:rPr>
        <w:t>.5签订合同及合同条款应以采购文件和成交供应商的</w:t>
      </w:r>
      <w:r>
        <w:rPr>
          <w:rFonts w:hint="eastAsia" w:ascii="宋体" w:hAnsi="宋体" w:cs="宋体"/>
          <w:color w:val="auto"/>
          <w:sz w:val="24"/>
          <w:szCs w:val="24"/>
          <w:lang w:val="en-US" w:eastAsia="zh-CN"/>
        </w:rPr>
        <w:t>响应</w:t>
      </w:r>
      <w:r>
        <w:rPr>
          <w:rFonts w:hint="eastAsia" w:ascii="宋体" w:hAnsi="宋体" w:cs="宋体"/>
          <w:color w:val="auto"/>
          <w:sz w:val="24"/>
          <w:szCs w:val="24"/>
        </w:rPr>
        <w:t>文件及其澄清文件为依据，所签订的合同不得对采购文件和成交供应商</w:t>
      </w:r>
      <w:r>
        <w:rPr>
          <w:rFonts w:hint="eastAsia" w:ascii="宋体" w:hAnsi="宋体" w:cs="宋体"/>
          <w:color w:val="auto"/>
          <w:sz w:val="24"/>
          <w:szCs w:val="24"/>
          <w:lang w:val="en-US" w:eastAsia="zh-CN"/>
        </w:rPr>
        <w:t>响应</w:t>
      </w:r>
      <w:r>
        <w:rPr>
          <w:rFonts w:hint="eastAsia" w:ascii="宋体" w:hAnsi="宋体" w:cs="宋体"/>
          <w:color w:val="auto"/>
          <w:sz w:val="24"/>
          <w:szCs w:val="24"/>
        </w:rPr>
        <w:t>文件作实质性修改。</w:t>
      </w:r>
    </w:p>
    <w:p w14:paraId="146EB492">
      <w:pPr>
        <w:spacing w:line="360" w:lineRule="auto"/>
        <w:ind w:firstLine="480"/>
        <w:rPr>
          <w:rFonts w:ascii="宋体" w:hAnsi="宋体" w:cs="宋体"/>
          <w:color w:val="auto"/>
          <w:sz w:val="24"/>
          <w:szCs w:val="24"/>
        </w:rPr>
      </w:pPr>
      <w:r>
        <w:rPr>
          <w:rFonts w:hint="eastAsia" w:ascii="宋体" w:hAnsi="宋体" w:cs="宋体"/>
          <w:color w:val="auto"/>
          <w:sz w:val="24"/>
          <w:szCs w:val="24"/>
        </w:rPr>
        <w:t>3</w:t>
      </w:r>
      <w:r>
        <w:rPr>
          <w:rFonts w:hint="eastAsia" w:ascii="宋体" w:hAnsi="宋体" w:cs="宋体"/>
          <w:color w:val="auto"/>
          <w:sz w:val="24"/>
          <w:szCs w:val="24"/>
          <w:lang w:val="en-US" w:eastAsia="zh-CN"/>
        </w:rPr>
        <w:t>1</w:t>
      </w:r>
      <w:r>
        <w:rPr>
          <w:rFonts w:hint="eastAsia" w:ascii="宋体" w:hAnsi="宋体" w:cs="宋体"/>
          <w:color w:val="auto"/>
          <w:sz w:val="24"/>
          <w:szCs w:val="24"/>
        </w:rPr>
        <w:t>.6成交供应商无正当理由不得放弃成交。</w:t>
      </w:r>
    </w:p>
    <w:p w14:paraId="3B8684C3">
      <w:pPr>
        <w:spacing w:line="360" w:lineRule="auto"/>
        <w:ind w:firstLine="480"/>
        <w:rPr>
          <w:rFonts w:ascii="宋体" w:hAnsi="宋体" w:cs="宋体"/>
          <w:color w:val="auto"/>
          <w:sz w:val="24"/>
          <w:szCs w:val="24"/>
        </w:rPr>
      </w:pPr>
      <w:r>
        <w:rPr>
          <w:rFonts w:hint="eastAsia" w:ascii="宋体" w:hAnsi="宋体" w:cs="宋体"/>
          <w:color w:val="auto"/>
          <w:sz w:val="24"/>
          <w:szCs w:val="24"/>
        </w:rPr>
        <w:t>3</w:t>
      </w:r>
      <w:r>
        <w:rPr>
          <w:rFonts w:hint="eastAsia" w:ascii="宋体" w:hAnsi="宋体" w:cs="宋体"/>
          <w:color w:val="auto"/>
          <w:sz w:val="24"/>
          <w:szCs w:val="24"/>
          <w:lang w:val="en-US" w:eastAsia="zh-CN"/>
        </w:rPr>
        <w:t>1</w:t>
      </w:r>
      <w:r>
        <w:rPr>
          <w:rFonts w:hint="eastAsia" w:ascii="宋体" w:hAnsi="宋体" w:cs="宋体"/>
          <w:color w:val="auto"/>
          <w:sz w:val="24"/>
          <w:szCs w:val="24"/>
        </w:rPr>
        <w:t>.7采购合同履行中，采购人需追加与合同标的相同货物、工程或者服务的，在不改变合同其他条款的前提下，可以与供应商协商签订补充合同，但所有补充合同的采购金额不得超过原合同采购金额的百分之十。</w:t>
      </w:r>
    </w:p>
    <w:p w14:paraId="1A92FFDA">
      <w:pPr>
        <w:spacing w:line="360" w:lineRule="auto"/>
        <w:ind w:firstLine="480"/>
        <w:rPr>
          <w:rFonts w:ascii="宋体" w:hAnsi="宋体" w:cs="宋体"/>
          <w:sz w:val="24"/>
        </w:rPr>
      </w:pPr>
      <w:r>
        <w:rPr>
          <w:rFonts w:hint="eastAsia" w:ascii="宋体" w:hAnsi="宋体" w:cs="宋体"/>
          <w:sz w:val="24"/>
        </w:rPr>
        <w:t>七、其他事项</w:t>
      </w:r>
    </w:p>
    <w:p w14:paraId="362A664A">
      <w:pPr>
        <w:spacing w:line="360" w:lineRule="auto"/>
        <w:ind w:firstLine="480"/>
        <w:rPr>
          <w:rFonts w:ascii="宋体" w:hAnsi="宋体" w:cs="宋体"/>
          <w:sz w:val="24"/>
        </w:rPr>
      </w:pPr>
      <w:r>
        <w:rPr>
          <w:rFonts w:hint="eastAsia" w:ascii="宋体" w:hAnsi="宋体" w:cs="宋体"/>
          <w:sz w:val="24"/>
          <w:lang w:val="en-US" w:eastAsia="zh-CN"/>
        </w:rPr>
        <w:t>32.</w:t>
      </w:r>
      <w:r>
        <w:rPr>
          <w:rFonts w:hint="eastAsia" w:ascii="宋体" w:hAnsi="宋体" w:cs="宋体"/>
          <w:sz w:val="24"/>
        </w:rPr>
        <w:t>代理服务费</w:t>
      </w:r>
    </w:p>
    <w:p w14:paraId="3A1739F0">
      <w:pPr>
        <w:spacing w:line="360" w:lineRule="auto"/>
        <w:ind w:firstLine="480"/>
        <w:rPr>
          <w:rFonts w:ascii="宋体" w:hAnsi="宋体" w:cs="宋体"/>
          <w:color w:val="auto"/>
          <w:sz w:val="24"/>
          <w:highlight w:val="none"/>
        </w:rPr>
      </w:pPr>
      <w:r>
        <w:rPr>
          <w:rFonts w:hint="eastAsia" w:ascii="宋体" w:hAnsi="宋体" w:cs="宋体"/>
          <w:sz w:val="24"/>
        </w:rPr>
        <w:t>按</w:t>
      </w:r>
      <w:r>
        <w:rPr>
          <w:rFonts w:hint="eastAsia" w:ascii="宋体" w:hAnsi="宋体" w:cs="宋体"/>
          <w:sz w:val="24"/>
          <w:lang w:val="en-US" w:eastAsia="zh-CN"/>
        </w:rPr>
        <w:t>苏州市政府采购网公示的</w:t>
      </w:r>
      <w:r>
        <w:rPr>
          <w:rFonts w:hint="eastAsia" w:ascii="宋体" w:hAnsi="宋体" w:cs="宋体"/>
          <w:sz w:val="24"/>
        </w:rPr>
        <w:t>收费标准支付代理</w:t>
      </w:r>
      <w:r>
        <w:rPr>
          <w:rFonts w:hint="eastAsia" w:ascii="宋体" w:hAnsi="宋体" w:cs="宋体"/>
          <w:sz w:val="24"/>
          <w:highlight w:val="none"/>
        </w:rPr>
        <w:t>服务费，本项目代理服务</w:t>
      </w:r>
      <w:r>
        <w:rPr>
          <w:rFonts w:hint="eastAsia" w:ascii="宋体" w:hAnsi="宋体" w:cs="宋体"/>
          <w:sz w:val="24"/>
          <w:highlight w:val="none"/>
          <w:u w:val="none"/>
        </w:rPr>
        <w:t>费</w:t>
      </w:r>
      <w:r>
        <w:rPr>
          <w:rFonts w:hint="eastAsia" w:ascii="宋体" w:hAnsi="宋体" w:cs="宋体"/>
          <w:color w:val="auto"/>
          <w:sz w:val="24"/>
          <w:highlight w:val="none"/>
          <w:u w:val="none"/>
        </w:rPr>
        <w:t>为</w:t>
      </w:r>
      <w:r>
        <w:rPr>
          <w:rFonts w:hint="eastAsia" w:ascii="宋体" w:hAnsi="宋体" w:cs="宋体"/>
          <w:color w:val="auto"/>
          <w:sz w:val="24"/>
          <w:highlight w:val="none"/>
          <w:u w:val="none"/>
          <w:lang w:val="en-US" w:eastAsia="zh-CN"/>
        </w:rPr>
        <w:t>14850元</w:t>
      </w:r>
      <w:r>
        <w:rPr>
          <w:rFonts w:hint="eastAsia" w:ascii="宋体" w:hAnsi="宋体" w:cs="宋体"/>
          <w:color w:val="auto"/>
          <w:sz w:val="24"/>
          <w:highlight w:val="none"/>
          <w:u w:val="none"/>
          <w:lang w:eastAsia="zh-CN"/>
        </w:rPr>
        <w:t>，</w:t>
      </w:r>
      <w:r>
        <w:rPr>
          <w:rFonts w:hint="eastAsia" w:ascii="宋体" w:hAnsi="宋体" w:cs="宋体"/>
          <w:color w:val="auto"/>
          <w:sz w:val="24"/>
          <w:highlight w:val="none"/>
          <w:u w:val="none"/>
          <w:lang w:val="en-US" w:eastAsia="zh-CN"/>
        </w:rPr>
        <w:t>由采购人支付</w:t>
      </w:r>
      <w:r>
        <w:rPr>
          <w:rFonts w:hint="eastAsia" w:ascii="宋体" w:hAnsi="宋体" w:cs="宋体"/>
          <w:color w:val="auto"/>
          <w:sz w:val="24"/>
          <w:highlight w:val="none"/>
        </w:rPr>
        <w:t>。</w:t>
      </w:r>
    </w:p>
    <w:p w14:paraId="4BE8BB26">
      <w:pPr>
        <w:spacing w:line="360" w:lineRule="auto"/>
        <w:ind w:firstLine="480"/>
        <w:rPr>
          <w:rFonts w:ascii="宋体" w:hAnsi="宋体" w:cs="宋体"/>
          <w:color w:val="auto"/>
          <w:sz w:val="24"/>
        </w:rPr>
      </w:pPr>
      <w:r>
        <w:rPr>
          <w:rFonts w:hint="eastAsia" w:ascii="宋体" w:hAnsi="宋体" w:cs="宋体"/>
          <w:color w:val="auto"/>
          <w:sz w:val="24"/>
        </w:rPr>
        <w:t>32.1代理服务费收费标准：</w:t>
      </w:r>
    </w:p>
    <w:p w14:paraId="04904674">
      <w:pPr>
        <w:spacing w:line="360" w:lineRule="auto"/>
        <w:ind w:firstLine="480"/>
        <w:rPr>
          <w:rFonts w:ascii="宋体" w:hAnsi="宋体" w:cs="宋体"/>
          <w:sz w:val="24"/>
        </w:rPr>
      </w:pPr>
      <w:r>
        <w:rPr>
          <w:rFonts w:hint="eastAsia" w:ascii="宋体" w:hAnsi="宋体" w:cs="宋体"/>
          <w:color w:val="auto"/>
          <w:sz w:val="24"/>
        </w:rPr>
        <w:t>预算金额100万元以下部分，费率为该部分预算金额</w:t>
      </w:r>
      <w:r>
        <w:rPr>
          <w:rFonts w:hint="eastAsia" w:ascii="宋体" w:hAnsi="宋体" w:cs="宋体"/>
          <w:sz w:val="24"/>
        </w:rPr>
        <w:t>的1.5%；</w:t>
      </w:r>
    </w:p>
    <w:p w14:paraId="5AF943D8">
      <w:pPr>
        <w:spacing w:line="360" w:lineRule="auto"/>
        <w:ind w:firstLine="480"/>
        <w:rPr>
          <w:rFonts w:ascii="宋体" w:hAnsi="宋体" w:cs="宋体"/>
          <w:sz w:val="24"/>
        </w:rPr>
      </w:pPr>
      <w:r>
        <w:rPr>
          <w:rFonts w:hint="eastAsia" w:ascii="宋体" w:hAnsi="宋体" w:cs="宋体"/>
          <w:sz w:val="24"/>
        </w:rPr>
        <w:t>预算金额100万元（含）－500万元部分，费率为该部分预算金额的1.1%；</w:t>
      </w:r>
    </w:p>
    <w:p w14:paraId="2E004B46">
      <w:pPr>
        <w:spacing w:line="360" w:lineRule="auto"/>
        <w:ind w:firstLine="480"/>
        <w:rPr>
          <w:rFonts w:ascii="宋体" w:hAnsi="宋体" w:cs="宋体"/>
          <w:sz w:val="24"/>
        </w:rPr>
      </w:pPr>
      <w:r>
        <w:rPr>
          <w:rFonts w:hint="eastAsia" w:ascii="宋体" w:hAnsi="宋体" w:cs="宋体"/>
          <w:sz w:val="24"/>
        </w:rPr>
        <w:t>预算金额500万元（含）-1000万元部分，费率为该部分预算金额的0.8%；</w:t>
      </w:r>
    </w:p>
    <w:p w14:paraId="4E45ECFF">
      <w:pPr>
        <w:spacing w:line="360" w:lineRule="auto"/>
        <w:ind w:firstLine="480"/>
        <w:rPr>
          <w:rFonts w:ascii="宋体" w:hAnsi="宋体" w:cs="宋体"/>
          <w:sz w:val="24"/>
        </w:rPr>
      </w:pPr>
      <w:r>
        <w:rPr>
          <w:rFonts w:hint="eastAsia" w:ascii="宋体" w:hAnsi="宋体" w:cs="宋体"/>
          <w:sz w:val="24"/>
        </w:rPr>
        <w:t>预算金额1000万元（含）-5000万元部分，费率为该部分预算金额的0.5%；</w:t>
      </w:r>
    </w:p>
    <w:p w14:paraId="4343E5C5">
      <w:pPr>
        <w:spacing w:line="360" w:lineRule="auto"/>
        <w:ind w:firstLine="480"/>
        <w:rPr>
          <w:rFonts w:ascii="宋体" w:hAnsi="宋体" w:cs="宋体"/>
          <w:sz w:val="24"/>
        </w:rPr>
      </w:pPr>
      <w:r>
        <w:rPr>
          <w:rFonts w:hint="eastAsia" w:ascii="宋体" w:hAnsi="宋体" w:cs="宋体"/>
          <w:sz w:val="24"/>
        </w:rPr>
        <w:t>预算金额5000万元以上部分，费率为该部分预算金额的0.25%。</w:t>
      </w:r>
    </w:p>
    <w:p w14:paraId="3C7BBD77">
      <w:pPr>
        <w:spacing w:line="360" w:lineRule="auto"/>
        <w:ind w:firstLine="480"/>
        <w:rPr>
          <w:rFonts w:ascii="宋体" w:hAnsi="宋体" w:cs="宋体"/>
          <w:sz w:val="24"/>
        </w:rPr>
      </w:pPr>
      <w:r>
        <w:rPr>
          <w:rFonts w:hint="eastAsia" w:ascii="宋体" w:hAnsi="宋体" w:cs="宋体"/>
          <w:sz w:val="24"/>
        </w:rPr>
        <w:t>说明：代理服务费以采购预算金额为基数依据，按以上规定的标准和差额定率累进法</w:t>
      </w:r>
      <w:r>
        <w:rPr>
          <w:rFonts w:hint="eastAsia" w:ascii="宋体" w:hAnsi="宋体" w:cs="宋体"/>
          <w:sz w:val="24"/>
          <w:lang w:val="en-US" w:eastAsia="zh-CN"/>
        </w:rPr>
        <w:t>6折</w:t>
      </w:r>
      <w:r>
        <w:rPr>
          <w:rFonts w:hint="eastAsia" w:ascii="宋体" w:hAnsi="宋体" w:cs="宋体"/>
          <w:sz w:val="24"/>
        </w:rPr>
        <w:t>进行计算收取。例：如预算金额为150万元，则代理服务费＝</w:t>
      </w:r>
      <w:r>
        <w:rPr>
          <w:rFonts w:hint="eastAsia" w:ascii="宋体" w:hAnsi="宋体" w:cs="宋体"/>
          <w:sz w:val="24"/>
          <w:lang w:val="en-US" w:eastAsia="zh-CN"/>
        </w:rPr>
        <w:t>[</w:t>
      </w:r>
      <w:r>
        <w:rPr>
          <w:rFonts w:hint="eastAsia" w:ascii="宋体" w:hAnsi="宋体" w:cs="宋体"/>
          <w:sz w:val="24"/>
        </w:rPr>
        <w:t>100万元×1.5%＋（150万元－100万元）×1.1%</w:t>
      </w:r>
      <w:r>
        <w:rPr>
          <w:rFonts w:hint="eastAsia" w:ascii="宋体" w:hAnsi="宋体" w:cs="宋体"/>
          <w:sz w:val="24"/>
          <w:lang w:val="en-US" w:eastAsia="zh-CN"/>
        </w:rPr>
        <w:t>]</w:t>
      </w:r>
      <w:r>
        <w:rPr>
          <w:rFonts w:hint="eastAsia" w:ascii="宋体" w:hAnsi="宋体" w:cs="宋体"/>
          <w:sz w:val="24"/>
        </w:rPr>
        <w:t>×</w:t>
      </w:r>
      <w:r>
        <w:rPr>
          <w:rFonts w:hint="eastAsia" w:ascii="宋体" w:hAnsi="宋体" w:cs="宋体"/>
          <w:sz w:val="24"/>
          <w:lang w:val="en-US" w:eastAsia="zh-CN"/>
        </w:rPr>
        <w:t>60%</w:t>
      </w:r>
      <w:r>
        <w:rPr>
          <w:rFonts w:hint="eastAsia" w:ascii="宋体" w:hAnsi="宋体" w:cs="宋体"/>
          <w:sz w:val="24"/>
        </w:rPr>
        <w:t>。如按上述方法计算的金额低于人民币3000元整的，则本项目代理服务费按人民币3000元整计收。</w:t>
      </w:r>
    </w:p>
    <w:p w14:paraId="4FBB291E">
      <w:pPr>
        <w:spacing w:line="360" w:lineRule="auto"/>
        <w:ind w:firstLine="480"/>
        <w:rPr>
          <w:rFonts w:ascii="宋体" w:hAnsi="宋体" w:cs="宋体"/>
          <w:sz w:val="24"/>
        </w:rPr>
      </w:pPr>
      <w:r>
        <w:rPr>
          <w:rFonts w:hint="eastAsia" w:ascii="宋体" w:hAnsi="宋体" w:cs="宋体"/>
          <w:sz w:val="24"/>
        </w:rPr>
        <w:t>账户名：</w:t>
      </w:r>
      <w:r>
        <w:rPr>
          <w:rFonts w:hint="eastAsia" w:ascii="宋体" w:hAnsi="宋体" w:cs="宋体"/>
          <w:sz w:val="24"/>
          <w:lang w:val="en-US" w:eastAsia="zh-CN"/>
        </w:rPr>
        <w:t>江苏正琦工程咨询有限公司望亭分公司</w:t>
      </w:r>
    </w:p>
    <w:p w14:paraId="246A45C9">
      <w:pPr>
        <w:spacing w:line="360" w:lineRule="auto"/>
        <w:ind w:firstLine="480"/>
        <w:rPr>
          <w:rFonts w:ascii="宋体" w:hAnsi="宋体" w:cs="宋体"/>
          <w:sz w:val="24"/>
        </w:rPr>
      </w:pPr>
      <w:r>
        <w:rPr>
          <w:rFonts w:hint="eastAsia" w:ascii="宋体" w:hAnsi="宋体" w:cs="宋体"/>
          <w:sz w:val="24"/>
        </w:rPr>
        <w:t>开户行：</w:t>
      </w:r>
      <w:r>
        <w:rPr>
          <w:rFonts w:hint="eastAsia" w:ascii="宋体" w:hAnsi="宋体" w:cs="宋体"/>
          <w:sz w:val="24"/>
          <w:lang w:val="en-US" w:eastAsia="zh-CN"/>
        </w:rPr>
        <w:t>中国民生银行股份有限公司苏州相城支行</w:t>
      </w:r>
    </w:p>
    <w:p w14:paraId="47A3F7B1">
      <w:pPr>
        <w:spacing w:line="360" w:lineRule="auto"/>
        <w:ind w:firstLine="480"/>
        <w:jc w:val="both"/>
        <w:rPr>
          <w:rFonts w:hint="default" w:ascii="宋体" w:hAnsi="宋体" w:cs="宋体"/>
          <w:sz w:val="24"/>
          <w:lang w:val="en-US" w:eastAsia="zh-CN"/>
        </w:rPr>
      </w:pPr>
      <w:r>
        <w:rPr>
          <w:rFonts w:hint="eastAsia" w:ascii="宋体" w:hAnsi="宋体" w:cs="宋体"/>
          <w:sz w:val="24"/>
        </w:rPr>
        <w:t>账号：</w:t>
      </w:r>
      <w:r>
        <w:rPr>
          <w:rFonts w:hint="eastAsia" w:ascii="宋体" w:hAnsi="宋体" w:cs="宋体"/>
          <w:sz w:val="24"/>
          <w:lang w:val="en-US" w:eastAsia="zh-CN"/>
        </w:rPr>
        <w:t>645640467</w:t>
      </w:r>
    </w:p>
    <w:p w14:paraId="14D7B677">
      <w:pPr>
        <w:spacing w:line="360" w:lineRule="auto"/>
        <w:ind w:firstLine="480"/>
        <w:jc w:val="both"/>
        <w:rPr>
          <w:rStyle w:val="201"/>
          <w:rFonts w:ascii="宋体" w:hAnsi="宋体" w:cs="宋体"/>
          <w:b w:val="0"/>
          <w:bCs w:val="0"/>
          <w:sz w:val="24"/>
          <w:szCs w:val="24"/>
        </w:rPr>
      </w:pPr>
      <w:r>
        <w:rPr>
          <w:rFonts w:hint="eastAsia" w:ascii="宋体" w:hAnsi="宋体" w:cs="宋体"/>
          <w:sz w:val="24"/>
          <w:lang w:val="en-US" w:eastAsia="zh-CN"/>
        </w:rPr>
        <w:t>33</w:t>
      </w:r>
      <w:r>
        <w:rPr>
          <w:rFonts w:hint="eastAsia" w:ascii="宋体" w:hAnsi="宋体" w:cs="宋体"/>
          <w:sz w:val="24"/>
        </w:rPr>
        <w:t>.未尽事宜按《中华人民共和国政府采购法》及其他有关法律法规的规定执行。</w:t>
      </w:r>
      <w:r>
        <w:rPr>
          <w:rStyle w:val="200"/>
          <w:rFonts w:hint="eastAsia" w:ascii="宋体" w:hAnsi="宋体" w:eastAsia="宋体" w:cs="宋体"/>
        </w:rPr>
        <w:br w:type="page" w:clear="all"/>
      </w:r>
      <w:bookmarkStart w:id="40" w:name="_Toc16237"/>
      <w:bookmarkStart w:id="41" w:name="_Toc3497"/>
      <w:r>
        <w:rPr>
          <w:rStyle w:val="200"/>
          <w:rFonts w:hint="eastAsia" w:ascii="宋体" w:hAnsi="宋体" w:eastAsia="宋体" w:cs="宋体"/>
        </w:rPr>
        <w:t>第三章</w:t>
      </w:r>
      <w:r>
        <w:rPr>
          <w:rStyle w:val="200"/>
          <w:rFonts w:hint="eastAsia" w:ascii="宋体" w:hAnsi="宋体" w:eastAsia="宋体" w:cs="宋体"/>
          <w:lang w:val="en-US"/>
        </w:rPr>
        <w:t xml:space="preserve"> </w:t>
      </w:r>
      <w:r>
        <w:rPr>
          <w:rStyle w:val="200"/>
          <w:rFonts w:hint="eastAsia" w:ascii="宋体" w:hAnsi="宋体" w:eastAsia="宋体" w:cs="宋体"/>
        </w:rPr>
        <w:t>响应文件格式</w:t>
      </w:r>
      <w:bookmarkEnd w:id="40"/>
      <w:bookmarkEnd w:id="41"/>
    </w:p>
    <w:p w14:paraId="5B6A3AAE">
      <w:pPr>
        <w:spacing w:line="360" w:lineRule="auto"/>
        <w:ind w:firstLine="480"/>
        <w:rPr>
          <w:rFonts w:ascii="宋体" w:hAnsi="宋体" w:cs="宋体"/>
          <w:sz w:val="24"/>
        </w:rPr>
      </w:pPr>
      <w:r>
        <w:rPr>
          <w:rFonts w:hint="eastAsia" w:ascii="宋体" w:hAnsi="宋体" w:cs="宋体"/>
          <w:sz w:val="24"/>
        </w:rPr>
        <w:t>说明：</w:t>
      </w:r>
    </w:p>
    <w:p w14:paraId="179B4C5E">
      <w:pPr>
        <w:spacing w:line="360" w:lineRule="auto"/>
        <w:ind w:firstLine="480"/>
        <w:rPr>
          <w:rFonts w:ascii="宋体" w:hAnsi="宋体" w:cs="宋体"/>
          <w:sz w:val="24"/>
        </w:rPr>
      </w:pPr>
      <w:r>
        <w:rPr>
          <w:rFonts w:hint="eastAsia" w:ascii="宋体" w:hAnsi="宋体" w:cs="宋体"/>
          <w:sz w:val="24"/>
        </w:rPr>
        <w:t>对本章所有的格式，供应商可根据自身情况进行补充和修改，但补充和修改不得造成与本格式内容有实质性的违背。</w:t>
      </w:r>
    </w:p>
    <w:p w14:paraId="26CA4DC5">
      <w:pPr>
        <w:spacing w:line="360" w:lineRule="auto"/>
        <w:ind w:firstLine="480"/>
        <w:rPr>
          <w:rFonts w:ascii="宋体" w:hAnsi="宋体" w:cs="宋体"/>
          <w:sz w:val="24"/>
        </w:rPr>
      </w:pPr>
      <w:r>
        <w:rPr>
          <w:rFonts w:hint="eastAsia" w:ascii="宋体" w:hAnsi="宋体" w:cs="宋体"/>
          <w:sz w:val="24"/>
        </w:rPr>
        <w:t>1、法定代表人授权委托书</w:t>
      </w:r>
    </w:p>
    <w:p w14:paraId="6FA4E0CF">
      <w:pPr>
        <w:spacing w:line="360" w:lineRule="auto"/>
        <w:ind w:firstLine="480"/>
        <w:jc w:val="center"/>
        <w:rPr>
          <w:rFonts w:ascii="宋体" w:hAnsi="宋体" w:cs="宋体"/>
          <w:sz w:val="24"/>
        </w:rPr>
      </w:pPr>
    </w:p>
    <w:p w14:paraId="13F7BD54">
      <w:pPr>
        <w:spacing w:line="480" w:lineRule="auto"/>
        <w:jc w:val="center"/>
        <w:rPr>
          <w:rFonts w:ascii="Arial" w:hAnsi="宋体" w:cs="Arial"/>
          <w:sz w:val="24"/>
        </w:rPr>
      </w:pPr>
      <w:r>
        <w:rPr>
          <w:rFonts w:ascii="Arial" w:hAnsi="宋体" w:cs="Arial"/>
          <w:sz w:val="24"/>
        </w:rPr>
        <w:t>授权委托书</w:t>
      </w:r>
    </w:p>
    <w:p w14:paraId="171A8C11">
      <w:pPr>
        <w:spacing w:line="480" w:lineRule="auto"/>
        <w:ind w:firstLine="480"/>
        <w:rPr>
          <w:rFonts w:ascii="Arial" w:hAnsi="Arial" w:cs="Arial"/>
          <w:szCs w:val="21"/>
        </w:rPr>
      </w:pPr>
    </w:p>
    <w:p w14:paraId="62BDABFE">
      <w:pPr>
        <w:spacing w:line="360" w:lineRule="auto"/>
        <w:ind w:firstLine="480"/>
        <w:rPr>
          <w:sz w:val="24"/>
        </w:rPr>
      </w:pPr>
      <w:r>
        <w:rPr>
          <w:sz w:val="24"/>
        </w:rPr>
        <w:t>本授权委托书声明：我</w:t>
      </w:r>
      <w:r>
        <w:rPr>
          <w:sz w:val="24"/>
          <w:u w:val="single"/>
        </w:rPr>
        <w:t xml:space="preserve">     </w:t>
      </w:r>
      <w:r>
        <w:rPr>
          <w:rFonts w:hint="eastAsia"/>
          <w:sz w:val="24"/>
          <w:u w:val="single"/>
        </w:rPr>
        <w:t xml:space="preserve">  </w:t>
      </w:r>
      <w:r>
        <w:rPr>
          <w:sz w:val="24"/>
          <w:u w:val="single"/>
        </w:rPr>
        <w:t>（姓名）</w:t>
      </w:r>
      <w:r>
        <w:rPr>
          <w:sz w:val="24"/>
        </w:rPr>
        <w:t>系</w:t>
      </w:r>
      <w:r>
        <w:rPr>
          <w:sz w:val="24"/>
          <w:u w:val="single"/>
        </w:rPr>
        <w:t xml:space="preserve"> （供应商名称）</w:t>
      </w:r>
      <w:r>
        <w:rPr>
          <w:sz w:val="24"/>
        </w:rPr>
        <w:t>的法定代表人，现授权委托</w:t>
      </w:r>
      <w:r>
        <w:rPr>
          <w:sz w:val="24"/>
          <w:u w:val="single"/>
        </w:rPr>
        <w:t xml:space="preserve">       （供应商名称）</w:t>
      </w:r>
      <w:r>
        <w:rPr>
          <w:sz w:val="24"/>
        </w:rPr>
        <w:t>的</w:t>
      </w:r>
      <w:r>
        <w:rPr>
          <w:sz w:val="24"/>
          <w:u w:val="single"/>
        </w:rPr>
        <w:t xml:space="preserve"> </w:t>
      </w:r>
      <w:r>
        <w:rPr>
          <w:rFonts w:hint="eastAsia"/>
          <w:sz w:val="24"/>
          <w:u w:val="single"/>
        </w:rPr>
        <w:t xml:space="preserve">  </w:t>
      </w:r>
      <w:r>
        <w:rPr>
          <w:sz w:val="24"/>
          <w:u w:val="single"/>
        </w:rPr>
        <w:t>（姓名）</w:t>
      </w:r>
      <w:r>
        <w:rPr>
          <w:rFonts w:hint="eastAsia"/>
          <w:sz w:val="24"/>
          <w:u w:val="single"/>
        </w:rPr>
        <w:t xml:space="preserve">  </w:t>
      </w:r>
      <w:r>
        <w:rPr>
          <w:sz w:val="24"/>
        </w:rPr>
        <w:t>为我公司代理人，以本公司的名义参加</w:t>
      </w:r>
      <w:r>
        <w:rPr>
          <w:rFonts w:hint="eastAsia"/>
          <w:sz w:val="24"/>
          <w:lang w:eastAsia="zh-CN"/>
        </w:rPr>
        <w:t>江苏正琦工程咨询有限公司</w:t>
      </w:r>
      <w:r>
        <w:rPr>
          <w:sz w:val="24"/>
        </w:rPr>
        <w:t>组织实施的编号为</w:t>
      </w:r>
      <w:r>
        <w:rPr>
          <w:rFonts w:hint="eastAsia"/>
          <w:sz w:val="24"/>
          <w:u w:val="single"/>
        </w:rPr>
        <w:t xml:space="preserve">         （标段号） </w:t>
      </w:r>
      <w:r>
        <w:rPr>
          <w:rFonts w:hint="eastAsia"/>
          <w:sz w:val="24"/>
        </w:rPr>
        <w:t>号的磋商活动。授权代表在磋商活动过程中所签署的一切文件和处理与这有关的一切事务，我均予以承认。</w:t>
      </w:r>
    </w:p>
    <w:p w14:paraId="65A2A2C8">
      <w:pPr>
        <w:spacing w:line="360" w:lineRule="auto"/>
        <w:ind w:firstLine="480"/>
        <w:rPr>
          <w:rFonts w:ascii="Arial" w:hAnsi="宋体" w:cs="Arial"/>
          <w:sz w:val="24"/>
        </w:rPr>
      </w:pPr>
      <w:r>
        <w:rPr>
          <w:rFonts w:hint="eastAsia" w:ascii="Arial" w:hAnsi="宋体" w:cs="Arial"/>
          <w:sz w:val="24"/>
        </w:rPr>
        <w:t>授权代表在授权委托书有效期内签署的所有文件不因授权委托的撤销而失效，除非有撤销授权委托的书面通知，本授权委托书自</w:t>
      </w:r>
      <w:r>
        <w:rPr>
          <w:rFonts w:hint="eastAsia" w:ascii="宋体" w:hAnsi="宋体"/>
          <w:sz w:val="24"/>
        </w:rPr>
        <w:t>磋商</w:t>
      </w:r>
      <w:r>
        <w:rPr>
          <w:rFonts w:hint="eastAsia" w:ascii="Arial" w:hAnsi="宋体" w:cs="Arial"/>
          <w:sz w:val="24"/>
        </w:rPr>
        <w:t>活动开始至合同履行完毕止。</w:t>
      </w:r>
    </w:p>
    <w:p w14:paraId="2EA909FC">
      <w:pPr>
        <w:spacing w:line="360" w:lineRule="auto"/>
        <w:ind w:firstLine="480"/>
        <w:rPr>
          <w:rFonts w:ascii="Arial" w:hAnsi="宋体" w:cs="Arial"/>
          <w:sz w:val="24"/>
        </w:rPr>
      </w:pPr>
      <w:r>
        <w:rPr>
          <w:rFonts w:hint="eastAsia" w:ascii="Arial" w:hAnsi="宋体" w:cs="Arial"/>
          <w:sz w:val="24"/>
        </w:rPr>
        <w:t>授权代表无转委托权！</w:t>
      </w:r>
    </w:p>
    <w:p w14:paraId="0731EE6F">
      <w:pPr>
        <w:spacing w:line="360" w:lineRule="auto"/>
        <w:ind w:firstLine="480"/>
        <w:rPr>
          <w:rFonts w:ascii="Arial" w:hAnsi="宋体" w:cs="Arial"/>
          <w:sz w:val="24"/>
        </w:rPr>
      </w:pPr>
      <w:r>
        <w:rPr>
          <w:rFonts w:hint="eastAsia" w:ascii="Arial" w:hAnsi="宋体" w:cs="Arial"/>
          <w:sz w:val="24"/>
        </w:rPr>
        <w:t>特此委托！</w:t>
      </w:r>
    </w:p>
    <w:p w14:paraId="1FFC8320">
      <w:pPr>
        <w:pStyle w:val="206"/>
        <w:spacing w:line="360" w:lineRule="auto"/>
        <w:ind w:left="3400" w:firstLine="480"/>
        <w:rPr>
          <w:rFonts w:eastAsia="宋体" w:cs="宋体"/>
          <w:sz w:val="24"/>
        </w:rPr>
      </w:pPr>
      <w:r>
        <w:rPr>
          <w:rFonts w:hint="eastAsia" w:eastAsia="宋体" w:cs="宋体"/>
          <w:sz w:val="24"/>
        </w:rPr>
        <w:t>供应商：（公章）</w:t>
      </w:r>
    </w:p>
    <w:p w14:paraId="61E39FE5">
      <w:pPr>
        <w:pStyle w:val="206"/>
        <w:spacing w:line="360" w:lineRule="auto"/>
        <w:ind w:left="3400" w:firstLine="480"/>
        <w:rPr>
          <w:rFonts w:eastAsia="宋体" w:cs="宋体"/>
          <w:sz w:val="24"/>
        </w:rPr>
      </w:pPr>
      <w:r>
        <w:rPr>
          <w:rFonts w:hint="eastAsia" w:eastAsia="宋体" w:cs="宋体"/>
          <w:sz w:val="24"/>
        </w:rPr>
        <w:t>法定代表人或代理人：（签字或盖章）</w:t>
      </w:r>
    </w:p>
    <w:p w14:paraId="549B2EB0">
      <w:pPr>
        <w:pStyle w:val="206"/>
        <w:spacing w:line="360" w:lineRule="auto"/>
        <w:ind w:left="3400" w:firstLine="480"/>
        <w:rPr>
          <w:rFonts w:eastAsia="宋体" w:cs="宋体"/>
          <w:sz w:val="24"/>
        </w:rPr>
      </w:pPr>
      <w:r>
        <w:rPr>
          <w:rFonts w:hint="eastAsia" w:eastAsia="宋体" w:cs="宋体"/>
          <w:sz w:val="24"/>
        </w:rPr>
        <w:t>代理人：（签字或盖章）</w:t>
      </w:r>
    </w:p>
    <w:p w14:paraId="09C4666B">
      <w:pPr>
        <w:pStyle w:val="206"/>
        <w:spacing w:line="360" w:lineRule="auto"/>
        <w:ind w:left="3400" w:firstLine="480"/>
        <w:rPr>
          <w:rFonts w:eastAsia="宋体" w:cs="宋体"/>
          <w:sz w:val="24"/>
        </w:rPr>
      </w:pPr>
      <w:r>
        <w:rPr>
          <w:rFonts w:hint="eastAsia" w:eastAsia="宋体" w:cs="宋体"/>
          <w:sz w:val="24"/>
        </w:rPr>
        <w:t>日期：   年   月  日</w:t>
      </w:r>
    </w:p>
    <w:p w14:paraId="66F828FB">
      <w:pPr>
        <w:spacing w:line="360" w:lineRule="auto"/>
        <w:ind w:firstLine="480"/>
        <w:rPr>
          <w:rFonts w:ascii="宋体" w:hAnsi="宋体" w:cs="宋体"/>
          <w:bCs/>
          <w:sz w:val="24"/>
          <w:lang w:val="zh-CN"/>
        </w:rPr>
      </w:pPr>
      <w:r>
        <w:rPr>
          <w:rFonts w:hint="eastAsia" w:ascii="宋体" w:hAnsi="宋体" w:cs="宋体"/>
          <w:bCs/>
          <w:sz w:val="24"/>
          <w:lang w:val="zh-CN"/>
        </w:rPr>
        <w:br w:type="page" w:clear="all"/>
      </w:r>
      <w:r>
        <w:rPr>
          <w:rFonts w:hint="eastAsia" w:ascii="宋体" w:hAnsi="宋体" w:eastAsia="宋体" w:cs="宋体"/>
          <w:sz w:val="24"/>
          <w:lang w:val="zh-CN"/>
        </w:rPr>
        <w:t>2、</w:t>
      </w:r>
      <w:r>
        <w:rPr>
          <w:rFonts w:hint="eastAsia" w:ascii="宋体" w:hAnsi="宋体" w:eastAsia="宋体" w:cs="宋体"/>
          <w:sz w:val="24"/>
        </w:rPr>
        <w:t>磋商</w:t>
      </w:r>
      <w:r>
        <w:rPr>
          <w:rFonts w:hint="eastAsia" w:ascii="宋体" w:hAnsi="宋体" w:eastAsia="宋体" w:cs="宋体"/>
          <w:sz w:val="24"/>
          <w:lang w:val="zh-CN"/>
        </w:rPr>
        <w:t>响应函</w:t>
      </w:r>
    </w:p>
    <w:p w14:paraId="544248E9">
      <w:pPr>
        <w:spacing w:line="360" w:lineRule="auto"/>
        <w:ind w:firstLine="480"/>
        <w:jc w:val="center"/>
        <w:rPr>
          <w:rFonts w:ascii="宋体" w:hAnsi="宋体" w:cs="宋体"/>
          <w:sz w:val="24"/>
        </w:rPr>
      </w:pPr>
      <w:r>
        <w:rPr>
          <w:rFonts w:hint="eastAsia" w:ascii="宋体" w:hAnsi="宋体" w:cs="宋体"/>
          <w:sz w:val="24"/>
        </w:rPr>
        <w:t>磋商响应函</w:t>
      </w:r>
    </w:p>
    <w:p w14:paraId="69DD07FB">
      <w:pPr>
        <w:spacing w:line="360" w:lineRule="auto"/>
        <w:ind w:firstLine="480"/>
        <w:rPr>
          <w:rFonts w:ascii="宋体" w:hAnsi="宋体" w:cs="宋体"/>
          <w:sz w:val="24"/>
        </w:rPr>
      </w:pPr>
      <w:r>
        <w:rPr>
          <w:rFonts w:hint="eastAsia" w:ascii="宋体" w:hAnsi="宋体" w:cs="宋体"/>
          <w:sz w:val="24"/>
          <w:u w:val="single"/>
        </w:rPr>
        <w:t xml:space="preserve">   （采购代理机构）    </w:t>
      </w:r>
      <w:r>
        <w:rPr>
          <w:rFonts w:hint="eastAsia" w:ascii="宋体" w:hAnsi="宋体" w:cs="宋体"/>
          <w:sz w:val="24"/>
        </w:rPr>
        <w:t>：</w:t>
      </w:r>
    </w:p>
    <w:p w14:paraId="2C559DCC">
      <w:pPr>
        <w:spacing w:line="360" w:lineRule="auto"/>
        <w:ind w:firstLine="480"/>
        <w:rPr>
          <w:rFonts w:ascii="宋体" w:hAnsi="宋体" w:cs="宋体"/>
          <w:sz w:val="24"/>
        </w:rPr>
      </w:pPr>
      <w:r>
        <w:rPr>
          <w:rFonts w:hint="eastAsia" w:ascii="宋体" w:hAnsi="宋体" w:cs="宋体"/>
          <w:sz w:val="24"/>
        </w:rPr>
        <w:t>我们收到贵公司</w:t>
      </w:r>
      <w:r>
        <w:rPr>
          <w:rFonts w:hint="eastAsia" w:ascii="宋体" w:hAnsi="宋体" w:cs="宋体"/>
          <w:sz w:val="24"/>
          <w:u w:val="single"/>
        </w:rPr>
        <w:t xml:space="preserve">   （采购编号）</w:t>
      </w:r>
      <w:r>
        <w:rPr>
          <w:rFonts w:hint="eastAsia" w:ascii="宋体" w:hAnsi="宋体" w:cs="宋体"/>
          <w:sz w:val="24"/>
        </w:rPr>
        <w:t>号磋商采购文件，经仔细阅读和研究，我们决定参加磋商活动。</w:t>
      </w:r>
    </w:p>
    <w:p w14:paraId="03DD1A15">
      <w:pPr>
        <w:spacing w:line="360" w:lineRule="auto"/>
        <w:ind w:firstLine="480"/>
        <w:rPr>
          <w:rFonts w:ascii="宋体" w:hAnsi="宋体" w:cs="宋体"/>
          <w:sz w:val="24"/>
        </w:rPr>
      </w:pPr>
      <w:r>
        <w:rPr>
          <w:rFonts w:hint="eastAsia" w:ascii="宋体" w:hAnsi="宋体" w:cs="宋体"/>
          <w:sz w:val="24"/>
        </w:rPr>
        <w:t>1、我们愿意按照磋商文件的一切要求，完成该项目的全部内容。</w:t>
      </w:r>
    </w:p>
    <w:p w14:paraId="56AE7CB0">
      <w:pPr>
        <w:spacing w:line="360" w:lineRule="auto"/>
        <w:ind w:firstLine="480"/>
        <w:rPr>
          <w:rFonts w:ascii="宋体" w:hAnsi="宋体" w:cs="宋体"/>
          <w:sz w:val="24"/>
        </w:rPr>
      </w:pPr>
      <w:r>
        <w:rPr>
          <w:rFonts w:hint="eastAsia" w:ascii="宋体" w:hAnsi="宋体" w:cs="宋体"/>
          <w:sz w:val="24"/>
        </w:rPr>
        <w:t>2、如果我们的磋商响应文件被接受，我们将严格履行磋商文件中规定的每一项要求，按期、按质、按量履行合同的义务。</w:t>
      </w:r>
    </w:p>
    <w:p w14:paraId="2083F14D">
      <w:pPr>
        <w:spacing w:line="360" w:lineRule="auto"/>
        <w:ind w:firstLine="480"/>
        <w:rPr>
          <w:rFonts w:ascii="宋体" w:hAnsi="宋体" w:cs="宋体"/>
          <w:sz w:val="24"/>
        </w:rPr>
      </w:pPr>
      <w:r>
        <w:rPr>
          <w:rFonts w:hint="eastAsia" w:ascii="宋体" w:hAnsi="宋体" w:cs="宋体"/>
          <w:sz w:val="24"/>
        </w:rPr>
        <w:t>3、我们已详细阅读全部磋商文件，包括更正公告(如有)，对磋商文件及更正公告(如有)无任何异议。我们完全理解并同意放弃对这方面有不明及误解的权力。</w:t>
      </w:r>
    </w:p>
    <w:p w14:paraId="3063E831">
      <w:pPr>
        <w:spacing w:line="360" w:lineRule="auto"/>
        <w:ind w:firstLine="480"/>
        <w:rPr>
          <w:rFonts w:ascii="宋体" w:hAnsi="宋体" w:cs="宋体"/>
          <w:sz w:val="24"/>
        </w:rPr>
      </w:pPr>
      <w:r>
        <w:rPr>
          <w:rFonts w:hint="eastAsia" w:ascii="宋体" w:hAnsi="宋体" w:cs="宋体"/>
          <w:sz w:val="24"/>
        </w:rPr>
        <w:t>4、我们同意按磋商文件中的规定，本响应文件的有效期限自提交响应文件截止时间之日起</w:t>
      </w:r>
      <w:r>
        <w:rPr>
          <w:rFonts w:hint="eastAsia" w:ascii="宋体" w:hAnsi="宋体" w:cs="宋体"/>
          <w:sz w:val="24"/>
          <w:u w:val="single"/>
        </w:rPr>
        <w:t xml:space="preserve"> </w:t>
      </w:r>
      <w:r>
        <w:rPr>
          <w:rFonts w:hint="eastAsia" w:ascii="宋体" w:hAnsi="宋体" w:cs="宋体"/>
          <w:sz w:val="24"/>
          <w:u w:val="single"/>
          <w:lang w:val="en-US" w:eastAsia="zh-CN"/>
        </w:rPr>
        <w:t>90</w:t>
      </w:r>
      <w:r>
        <w:rPr>
          <w:rFonts w:hint="eastAsia" w:ascii="宋体" w:hAnsi="宋体" w:cs="宋体"/>
          <w:sz w:val="24"/>
          <w:u w:val="single"/>
        </w:rPr>
        <w:t xml:space="preserve"> </w:t>
      </w:r>
      <w:r>
        <w:rPr>
          <w:rFonts w:hint="eastAsia" w:ascii="宋体" w:hAnsi="宋体" w:cs="宋体"/>
          <w:sz w:val="24"/>
        </w:rPr>
        <w:t>天。</w:t>
      </w:r>
    </w:p>
    <w:p w14:paraId="72EA0A77">
      <w:pPr>
        <w:spacing w:line="360" w:lineRule="auto"/>
        <w:ind w:firstLine="480"/>
        <w:rPr>
          <w:rFonts w:ascii="宋体" w:hAnsi="宋体" w:cs="宋体"/>
          <w:sz w:val="24"/>
        </w:rPr>
      </w:pPr>
      <w:r>
        <w:rPr>
          <w:rFonts w:hint="eastAsia" w:ascii="宋体" w:hAnsi="宋体" w:cs="宋体"/>
          <w:sz w:val="24"/>
        </w:rPr>
        <w:t>5、我们愿意提供采购人在磋商文件中要求的所有资料。</w:t>
      </w:r>
    </w:p>
    <w:p w14:paraId="3AF8CB10">
      <w:pPr>
        <w:spacing w:line="360" w:lineRule="auto"/>
        <w:ind w:firstLine="480"/>
        <w:rPr>
          <w:rFonts w:ascii="宋体" w:hAnsi="宋体" w:cs="宋体"/>
          <w:sz w:val="24"/>
        </w:rPr>
      </w:pPr>
      <w:r>
        <w:rPr>
          <w:rFonts w:hint="eastAsia" w:ascii="宋体" w:hAnsi="宋体" w:cs="宋体"/>
          <w:sz w:val="24"/>
        </w:rPr>
        <w:t>6、我们愿意遵守磋商文件中所列的收费标准。</w:t>
      </w:r>
    </w:p>
    <w:p w14:paraId="1DDE99CC">
      <w:pPr>
        <w:spacing w:line="360" w:lineRule="auto"/>
        <w:ind w:firstLine="480"/>
        <w:rPr>
          <w:rFonts w:ascii="宋体" w:hAnsi="宋体" w:cs="宋体"/>
          <w:sz w:val="24"/>
        </w:rPr>
      </w:pPr>
      <w:r>
        <w:rPr>
          <w:rFonts w:hint="eastAsia" w:ascii="宋体" w:hAnsi="宋体" w:cs="宋体"/>
          <w:sz w:val="24"/>
        </w:rPr>
        <w:t>7、我们承诺该响应文件在磋商开始后的全过程中保持有效，不作任何更改和变动。</w:t>
      </w:r>
    </w:p>
    <w:p w14:paraId="7E5C1EC2">
      <w:pPr>
        <w:spacing w:line="360" w:lineRule="auto"/>
        <w:ind w:firstLine="480"/>
        <w:rPr>
          <w:rFonts w:ascii="宋体" w:hAnsi="宋体" w:cs="宋体"/>
          <w:sz w:val="24"/>
        </w:rPr>
      </w:pPr>
      <w:r>
        <w:rPr>
          <w:rFonts w:hint="eastAsia" w:ascii="宋体" w:hAnsi="宋体" w:cs="宋体"/>
          <w:sz w:val="24"/>
        </w:rPr>
        <w:t>8、我们承诺我公司符合磋商文件供应商须知中“合格供应商的资格条件”的要求，若与真实情况不符，本公司愿意承担由此而产生的一切后果。</w:t>
      </w:r>
    </w:p>
    <w:p w14:paraId="28EFD22F">
      <w:pPr>
        <w:spacing w:line="360" w:lineRule="auto"/>
        <w:ind w:firstLine="480"/>
        <w:rPr>
          <w:rFonts w:ascii="宋体" w:hAnsi="宋体" w:cs="宋体"/>
          <w:sz w:val="24"/>
        </w:rPr>
      </w:pPr>
    </w:p>
    <w:p w14:paraId="53B7C74C">
      <w:pPr>
        <w:spacing w:line="360" w:lineRule="auto"/>
        <w:ind w:firstLine="480"/>
        <w:rPr>
          <w:rFonts w:ascii="宋体" w:hAnsi="宋体" w:cs="宋体"/>
          <w:sz w:val="24"/>
        </w:rPr>
      </w:pPr>
      <w:r>
        <w:rPr>
          <w:rFonts w:hint="eastAsia" w:ascii="宋体" w:hAnsi="宋体" w:cs="宋体"/>
          <w:sz w:val="24"/>
        </w:rPr>
        <w:t>所有有关磋商文件的函电，请按下列地址联系：</w:t>
      </w:r>
    </w:p>
    <w:p w14:paraId="24209852">
      <w:pPr>
        <w:spacing w:line="360" w:lineRule="auto"/>
        <w:ind w:firstLine="480"/>
        <w:rPr>
          <w:rFonts w:ascii="宋体" w:hAnsi="宋体" w:cs="宋体"/>
          <w:sz w:val="24"/>
        </w:rPr>
      </w:pPr>
      <w:r>
        <w:rPr>
          <w:rFonts w:hint="eastAsia" w:ascii="宋体" w:hAnsi="宋体" w:cs="宋体"/>
          <w:sz w:val="24"/>
        </w:rPr>
        <w:t>单位：                             联系人：</w:t>
      </w:r>
    </w:p>
    <w:p w14:paraId="7072275B">
      <w:pPr>
        <w:spacing w:line="360" w:lineRule="auto"/>
        <w:ind w:firstLine="480"/>
        <w:rPr>
          <w:rFonts w:ascii="宋体" w:hAnsi="宋体" w:cs="宋体"/>
          <w:sz w:val="24"/>
        </w:rPr>
      </w:pPr>
      <w:r>
        <w:rPr>
          <w:rFonts w:hint="eastAsia" w:ascii="宋体" w:hAnsi="宋体" w:cs="宋体"/>
          <w:sz w:val="24"/>
        </w:rPr>
        <w:t>地址：                             邮政编码：</w:t>
      </w:r>
    </w:p>
    <w:p w14:paraId="196DF438">
      <w:pPr>
        <w:spacing w:line="360" w:lineRule="auto"/>
        <w:ind w:firstLine="480"/>
        <w:rPr>
          <w:rFonts w:ascii="宋体" w:hAnsi="宋体" w:cs="宋体"/>
          <w:sz w:val="24"/>
        </w:rPr>
      </w:pPr>
      <w:r>
        <w:rPr>
          <w:rFonts w:hint="eastAsia" w:ascii="宋体" w:hAnsi="宋体" w:cs="宋体"/>
          <w:sz w:val="24"/>
        </w:rPr>
        <w:t>联系电话：                         传真：</w:t>
      </w:r>
    </w:p>
    <w:p w14:paraId="48942F55">
      <w:pPr>
        <w:spacing w:line="360" w:lineRule="auto"/>
        <w:ind w:firstLine="480"/>
        <w:rPr>
          <w:rFonts w:ascii="宋体" w:hAnsi="宋体" w:cs="宋体"/>
          <w:sz w:val="24"/>
        </w:rPr>
      </w:pPr>
    </w:p>
    <w:p w14:paraId="3E63B751">
      <w:pPr>
        <w:spacing w:line="360" w:lineRule="auto"/>
        <w:ind w:firstLine="480"/>
        <w:rPr>
          <w:rFonts w:ascii="宋体" w:hAnsi="宋体" w:cs="宋体"/>
          <w:sz w:val="24"/>
        </w:rPr>
      </w:pPr>
      <w:r>
        <w:rPr>
          <w:rFonts w:hint="eastAsia" w:ascii="宋体" w:hAnsi="宋体" w:cs="宋体"/>
          <w:sz w:val="24"/>
        </w:rPr>
        <w:t>供应商：（公章）</w:t>
      </w:r>
    </w:p>
    <w:p w14:paraId="3022CCE6">
      <w:pPr>
        <w:spacing w:line="360" w:lineRule="auto"/>
        <w:ind w:firstLine="480"/>
        <w:rPr>
          <w:rFonts w:ascii="宋体" w:hAnsi="宋体" w:cs="宋体"/>
          <w:sz w:val="24"/>
        </w:rPr>
      </w:pPr>
      <w:r>
        <w:rPr>
          <w:rFonts w:hint="eastAsia" w:ascii="宋体" w:hAnsi="宋体" w:cs="宋体"/>
          <w:sz w:val="24"/>
        </w:rPr>
        <w:t>法定代表人或代理人：（签字或盖章）</w:t>
      </w:r>
    </w:p>
    <w:p w14:paraId="0AFD2831">
      <w:pPr>
        <w:spacing w:line="360" w:lineRule="auto"/>
        <w:ind w:firstLine="480"/>
        <w:rPr>
          <w:rFonts w:ascii="宋体" w:hAnsi="宋体" w:cs="宋体"/>
          <w:sz w:val="24"/>
        </w:rPr>
      </w:pPr>
      <w:r>
        <w:rPr>
          <w:rFonts w:hint="eastAsia" w:ascii="宋体" w:hAnsi="宋体" w:cs="宋体"/>
          <w:sz w:val="24"/>
        </w:rPr>
        <w:t>日期：    年    月    日</w:t>
      </w:r>
    </w:p>
    <w:p w14:paraId="1B96103D">
      <w:pPr>
        <w:spacing w:line="360" w:lineRule="auto"/>
        <w:ind w:firstLine="480"/>
        <w:rPr>
          <w:rFonts w:eastAsia="宋体" w:cs="宋体"/>
          <w:sz w:val="24"/>
        </w:rPr>
      </w:pPr>
      <w:r>
        <w:rPr>
          <w:rFonts w:hint="eastAsia" w:eastAsia="宋体" w:cs="宋体"/>
          <w:bCs/>
          <w:sz w:val="24"/>
        </w:rPr>
        <w:br w:type="page" w:clear="all"/>
      </w:r>
      <w:r>
        <w:rPr>
          <w:rFonts w:hint="eastAsia" w:ascii="宋体" w:hAnsi="宋体" w:eastAsia="宋体" w:cs="宋体"/>
          <w:sz w:val="24"/>
        </w:rPr>
        <w:t>3、磋商响应报价表</w:t>
      </w:r>
    </w:p>
    <w:p w14:paraId="3DA1D854">
      <w:pPr>
        <w:spacing w:line="360" w:lineRule="auto"/>
        <w:ind w:firstLine="480"/>
        <w:jc w:val="center"/>
        <w:rPr>
          <w:rFonts w:ascii="宋体" w:hAnsi="宋体"/>
          <w:sz w:val="24"/>
        </w:rPr>
      </w:pPr>
      <w:r>
        <w:rPr>
          <w:rFonts w:hint="eastAsia" w:ascii="宋体" w:hAnsi="宋体"/>
          <w:sz w:val="24"/>
        </w:rPr>
        <w:t>磋商响应报价表</w:t>
      </w:r>
    </w:p>
    <w:p w14:paraId="45FCF5B4">
      <w:pPr>
        <w:pStyle w:val="14"/>
        <w:jc w:val="center"/>
      </w:pPr>
      <w:r>
        <w:rPr>
          <w:rFonts w:hint="eastAsia" w:hAnsi="宋体" w:cs="宋体"/>
          <w:sz w:val="24"/>
          <w:szCs w:val="24"/>
        </w:rPr>
        <w:t>项目名称：                                          采购编号：</w:t>
      </w:r>
    </w:p>
    <w:tbl>
      <w:tblPr>
        <w:tblStyle w:val="41"/>
        <w:tblW w:w="97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991"/>
        <w:gridCol w:w="2229"/>
        <w:gridCol w:w="2432"/>
        <w:gridCol w:w="1221"/>
      </w:tblGrid>
      <w:tr w14:paraId="404DF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900" w:type="dxa"/>
            <w:noWrap w:val="0"/>
            <w:vAlign w:val="center"/>
          </w:tcPr>
          <w:p w14:paraId="7B413B90">
            <w:pPr>
              <w:jc w:val="center"/>
              <w:rPr>
                <w:rFonts w:ascii="宋体" w:hAnsi="宋体"/>
                <w:color w:val="auto"/>
                <w:sz w:val="24"/>
                <w:szCs w:val="24"/>
              </w:rPr>
            </w:pPr>
            <w:r>
              <w:rPr>
                <w:rFonts w:hint="eastAsia" w:ascii="宋体" w:hAnsi="宋体"/>
                <w:color w:val="auto"/>
                <w:sz w:val="24"/>
                <w:szCs w:val="24"/>
              </w:rPr>
              <w:t>序号</w:t>
            </w:r>
          </w:p>
        </w:tc>
        <w:tc>
          <w:tcPr>
            <w:tcW w:w="2991" w:type="dxa"/>
            <w:noWrap w:val="0"/>
            <w:vAlign w:val="center"/>
          </w:tcPr>
          <w:p w14:paraId="0BAA306B">
            <w:pPr>
              <w:jc w:val="center"/>
              <w:rPr>
                <w:rFonts w:ascii="宋体" w:hAnsi="宋体"/>
                <w:color w:val="auto"/>
                <w:sz w:val="24"/>
                <w:szCs w:val="24"/>
              </w:rPr>
            </w:pPr>
            <w:r>
              <w:rPr>
                <w:rFonts w:hint="eastAsia" w:ascii="宋体" w:hAnsi="宋体"/>
                <w:color w:val="auto"/>
                <w:sz w:val="24"/>
                <w:szCs w:val="24"/>
              </w:rPr>
              <w:t>项目名称</w:t>
            </w:r>
          </w:p>
        </w:tc>
        <w:tc>
          <w:tcPr>
            <w:tcW w:w="2229" w:type="dxa"/>
            <w:noWrap w:val="0"/>
            <w:vAlign w:val="center"/>
          </w:tcPr>
          <w:p w14:paraId="30500727">
            <w:pPr>
              <w:jc w:val="center"/>
              <w:rPr>
                <w:rFonts w:ascii="宋体" w:hAnsi="宋体"/>
                <w:color w:val="auto"/>
                <w:sz w:val="24"/>
                <w:szCs w:val="24"/>
              </w:rPr>
            </w:pPr>
            <w:r>
              <w:rPr>
                <w:rFonts w:hint="eastAsia" w:ascii="宋体" w:hAnsi="宋体"/>
                <w:color w:val="auto"/>
                <w:sz w:val="24"/>
                <w:szCs w:val="24"/>
                <w:lang w:val="zh-CN"/>
              </w:rPr>
              <w:t>磋商响应报价</w:t>
            </w:r>
          </w:p>
        </w:tc>
        <w:tc>
          <w:tcPr>
            <w:tcW w:w="2432" w:type="dxa"/>
            <w:noWrap w:val="0"/>
            <w:vAlign w:val="center"/>
          </w:tcPr>
          <w:p w14:paraId="36211B48">
            <w:pPr>
              <w:spacing w:line="360" w:lineRule="auto"/>
              <w:jc w:val="center"/>
              <w:rPr>
                <w:rFonts w:ascii="宋体" w:hAnsi="宋体"/>
                <w:color w:val="auto"/>
                <w:sz w:val="24"/>
                <w:szCs w:val="24"/>
              </w:rPr>
            </w:pPr>
            <w:r>
              <w:rPr>
                <w:rFonts w:hint="eastAsia" w:ascii="宋体" w:hAnsi="宋体"/>
                <w:bCs/>
                <w:color w:val="auto"/>
                <w:sz w:val="24"/>
                <w:szCs w:val="24"/>
              </w:rPr>
              <w:t>合同履行期限</w:t>
            </w:r>
          </w:p>
        </w:tc>
        <w:tc>
          <w:tcPr>
            <w:tcW w:w="1221" w:type="dxa"/>
            <w:noWrap w:val="0"/>
            <w:vAlign w:val="center"/>
          </w:tcPr>
          <w:p w14:paraId="3F7F868F">
            <w:pPr>
              <w:jc w:val="center"/>
              <w:rPr>
                <w:rFonts w:ascii="宋体" w:hAnsi="宋体"/>
                <w:color w:val="auto"/>
                <w:sz w:val="24"/>
                <w:szCs w:val="24"/>
              </w:rPr>
            </w:pPr>
            <w:r>
              <w:rPr>
                <w:rFonts w:hint="eastAsia" w:ascii="宋体" w:hAnsi="宋体"/>
                <w:color w:val="auto"/>
                <w:sz w:val="24"/>
                <w:szCs w:val="24"/>
              </w:rPr>
              <w:t>备注</w:t>
            </w:r>
          </w:p>
        </w:tc>
      </w:tr>
      <w:tr w14:paraId="434E7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7" w:hRule="atLeast"/>
          <w:jc w:val="center"/>
        </w:trPr>
        <w:tc>
          <w:tcPr>
            <w:tcW w:w="900" w:type="dxa"/>
            <w:noWrap w:val="0"/>
            <w:vAlign w:val="center"/>
          </w:tcPr>
          <w:p w14:paraId="5638352A">
            <w:pPr>
              <w:jc w:val="center"/>
              <w:rPr>
                <w:rFonts w:ascii="宋体" w:hAnsi="宋体"/>
                <w:color w:val="auto"/>
                <w:sz w:val="24"/>
                <w:szCs w:val="24"/>
              </w:rPr>
            </w:pPr>
            <w:r>
              <w:rPr>
                <w:rFonts w:hint="eastAsia" w:ascii="宋体" w:hAnsi="宋体"/>
                <w:color w:val="auto"/>
                <w:sz w:val="24"/>
                <w:szCs w:val="24"/>
              </w:rPr>
              <w:t>1</w:t>
            </w:r>
          </w:p>
        </w:tc>
        <w:tc>
          <w:tcPr>
            <w:tcW w:w="2991" w:type="dxa"/>
            <w:noWrap w:val="0"/>
            <w:vAlign w:val="center"/>
          </w:tcPr>
          <w:p w14:paraId="707EAB66">
            <w:pPr>
              <w:jc w:val="center"/>
              <w:rPr>
                <w:rFonts w:ascii="宋体" w:hAnsi="宋体"/>
                <w:color w:val="auto"/>
                <w:sz w:val="24"/>
                <w:szCs w:val="24"/>
              </w:rPr>
            </w:pPr>
          </w:p>
        </w:tc>
        <w:tc>
          <w:tcPr>
            <w:tcW w:w="2229" w:type="dxa"/>
            <w:noWrap w:val="0"/>
            <w:vAlign w:val="center"/>
          </w:tcPr>
          <w:p w14:paraId="0AD19879">
            <w:pPr>
              <w:jc w:val="center"/>
              <w:rPr>
                <w:rFonts w:ascii="宋体" w:hAnsi="宋体"/>
                <w:color w:val="auto"/>
                <w:sz w:val="24"/>
                <w:szCs w:val="24"/>
              </w:rPr>
            </w:pPr>
          </w:p>
        </w:tc>
        <w:tc>
          <w:tcPr>
            <w:tcW w:w="2432" w:type="dxa"/>
            <w:noWrap w:val="0"/>
            <w:vAlign w:val="center"/>
          </w:tcPr>
          <w:p w14:paraId="505AB450">
            <w:pPr>
              <w:jc w:val="center"/>
              <w:rPr>
                <w:rFonts w:ascii="宋体" w:hAnsi="宋体"/>
                <w:color w:val="auto"/>
                <w:sz w:val="24"/>
                <w:szCs w:val="24"/>
              </w:rPr>
            </w:pPr>
          </w:p>
        </w:tc>
        <w:tc>
          <w:tcPr>
            <w:tcW w:w="1221" w:type="dxa"/>
            <w:noWrap w:val="0"/>
            <w:vAlign w:val="center"/>
          </w:tcPr>
          <w:p w14:paraId="4B59629A">
            <w:pPr>
              <w:jc w:val="center"/>
              <w:rPr>
                <w:rFonts w:ascii="宋体" w:hAnsi="宋体"/>
                <w:color w:val="auto"/>
                <w:sz w:val="24"/>
                <w:szCs w:val="24"/>
              </w:rPr>
            </w:pPr>
          </w:p>
        </w:tc>
      </w:tr>
      <w:tr w14:paraId="2F6F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9773" w:type="dxa"/>
            <w:gridSpan w:val="5"/>
            <w:noWrap w:val="0"/>
            <w:vAlign w:val="center"/>
          </w:tcPr>
          <w:p w14:paraId="09528D90">
            <w:pPr>
              <w:jc w:val="center"/>
              <w:rPr>
                <w:rFonts w:ascii="宋体" w:hAnsi="宋体"/>
                <w:color w:val="auto"/>
                <w:sz w:val="24"/>
                <w:szCs w:val="24"/>
              </w:rPr>
            </w:pPr>
            <w:r>
              <w:rPr>
                <w:rFonts w:hint="eastAsia" w:ascii="宋体" w:hAnsi="宋体"/>
                <w:color w:val="auto"/>
                <w:sz w:val="24"/>
                <w:szCs w:val="24"/>
              </w:rPr>
              <w:t>合计（人民币）大写金额：</w:t>
            </w:r>
            <w:r>
              <w:rPr>
                <w:rFonts w:hint="eastAsia" w:ascii="宋体" w:hAnsi="宋体"/>
                <w:color w:val="auto"/>
                <w:sz w:val="24"/>
                <w:szCs w:val="24"/>
                <w:u w:val="single"/>
              </w:rPr>
              <w:t xml:space="preserve">                       </w:t>
            </w:r>
            <w:r>
              <w:rPr>
                <w:rFonts w:hint="eastAsia" w:ascii="宋体" w:hAnsi="宋体"/>
                <w:color w:val="auto"/>
                <w:sz w:val="24"/>
                <w:szCs w:val="24"/>
              </w:rPr>
              <w:t>小写金额：</w:t>
            </w:r>
            <w:r>
              <w:rPr>
                <w:rFonts w:hint="eastAsia" w:ascii="宋体" w:hAnsi="宋体"/>
                <w:color w:val="auto"/>
                <w:sz w:val="24"/>
                <w:szCs w:val="24"/>
                <w:u w:val="single"/>
              </w:rPr>
              <w:t>（￥     ）</w:t>
            </w:r>
          </w:p>
        </w:tc>
      </w:tr>
    </w:tbl>
    <w:p w14:paraId="409D1370">
      <w:pPr>
        <w:pStyle w:val="12"/>
        <w:spacing w:line="360" w:lineRule="auto"/>
        <w:ind w:right="420" w:firstLine="480"/>
        <w:rPr>
          <w:rFonts w:hint="eastAsia" w:ascii="宋体" w:hAnsi="宋体" w:eastAsia="宋体" w:cs="宋体"/>
          <w:szCs w:val="24"/>
          <w:highlight w:val="none"/>
        </w:rPr>
      </w:pPr>
      <w:r>
        <w:rPr>
          <w:rFonts w:hint="eastAsia" w:ascii="宋体" w:hAnsi="宋体" w:eastAsia="宋体" w:cs="宋体"/>
          <w:szCs w:val="24"/>
          <w:highlight w:val="none"/>
        </w:rPr>
        <w:t>注：1、报价包含一切由响应供应商承担的费用；</w:t>
      </w:r>
    </w:p>
    <w:p w14:paraId="2C3DCE44">
      <w:pPr>
        <w:pStyle w:val="12"/>
        <w:spacing w:line="360" w:lineRule="auto"/>
        <w:ind w:right="420" w:firstLine="480"/>
        <w:rPr>
          <w:rFonts w:hint="eastAsia" w:ascii="宋体" w:hAnsi="宋体" w:eastAsia="宋体" w:cs="宋体"/>
          <w:szCs w:val="24"/>
          <w:highlight w:val="none"/>
        </w:rPr>
      </w:pPr>
      <w:r>
        <w:rPr>
          <w:rFonts w:hint="eastAsia" w:ascii="宋体" w:hAnsi="宋体" w:eastAsia="宋体" w:cs="宋体"/>
          <w:szCs w:val="24"/>
          <w:highlight w:val="none"/>
        </w:rPr>
        <w:t>2、响应供应商需自行逐条列出报价项目明细。</w:t>
      </w:r>
    </w:p>
    <w:p w14:paraId="2DC4FFD8">
      <w:pPr>
        <w:pStyle w:val="12"/>
        <w:spacing w:line="360" w:lineRule="auto"/>
        <w:ind w:right="420" w:firstLine="480"/>
        <w:rPr>
          <w:rFonts w:ascii="宋体" w:hAnsi="宋体" w:eastAsia="宋体" w:cs="宋体"/>
        </w:rPr>
      </w:pPr>
    </w:p>
    <w:p w14:paraId="7ED3A3A8">
      <w:pPr>
        <w:pStyle w:val="12"/>
        <w:spacing w:line="360" w:lineRule="auto"/>
        <w:ind w:right="420" w:firstLine="480"/>
        <w:rPr>
          <w:rFonts w:ascii="宋体" w:hAnsi="宋体" w:eastAsia="宋体" w:cs="宋体"/>
        </w:rPr>
      </w:pPr>
    </w:p>
    <w:p w14:paraId="49FA184E">
      <w:pPr>
        <w:pStyle w:val="12"/>
        <w:spacing w:line="360" w:lineRule="auto"/>
        <w:ind w:right="420" w:firstLine="480"/>
        <w:rPr>
          <w:rFonts w:ascii="宋体" w:hAnsi="宋体" w:eastAsia="宋体" w:cs="宋体"/>
        </w:rPr>
      </w:pPr>
      <w:r>
        <w:rPr>
          <w:rFonts w:hint="eastAsia" w:ascii="宋体" w:hAnsi="宋体" w:eastAsia="宋体" w:cs="宋体"/>
        </w:rPr>
        <w:t>供应商：（单位盖章）</w:t>
      </w:r>
    </w:p>
    <w:p w14:paraId="707BF08D">
      <w:pPr>
        <w:pStyle w:val="12"/>
        <w:spacing w:line="360" w:lineRule="auto"/>
        <w:ind w:right="420" w:firstLine="480"/>
        <w:rPr>
          <w:rFonts w:ascii="宋体" w:hAnsi="宋体" w:eastAsia="宋体" w:cs="宋体"/>
        </w:rPr>
      </w:pPr>
      <w:r>
        <w:rPr>
          <w:rFonts w:hint="eastAsia" w:ascii="宋体" w:hAnsi="宋体" w:eastAsia="宋体" w:cs="宋体"/>
        </w:rPr>
        <w:t>法定代表人或代理人：（签字或盖章）</w:t>
      </w:r>
    </w:p>
    <w:p w14:paraId="2AD767EB">
      <w:pPr>
        <w:pStyle w:val="12"/>
        <w:spacing w:line="360" w:lineRule="auto"/>
        <w:ind w:right="420" w:firstLine="480"/>
        <w:rPr>
          <w:rFonts w:ascii="宋体" w:hAnsi="宋体" w:cs="宋体"/>
          <w:b/>
        </w:rPr>
      </w:pPr>
      <w:r>
        <w:rPr>
          <w:rFonts w:hint="eastAsia" w:ascii="宋体" w:hAnsi="宋体" w:eastAsia="宋体" w:cs="宋体"/>
        </w:rPr>
        <w:t>日期：    年    月    日</w:t>
      </w:r>
    </w:p>
    <w:p w14:paraId="598BB86D">
      <w:pPr>
        <w:rPr>
          <w:rFonts w:hint="eastAsia" w:ascii="宋体" w:hAnsi="宋体" w:cs="宋体"/>
          <w:bCs/>
          <w:sz w:val="24"/>
        </w:rPr>
      </w:pPr>
    </w:p>
    <w:p w14:paraId="74EB4E59">
      <w:pPr>
        <w:rPr>
          <w:rFonts w:hint="eastAsia" w:ascii="宋体" w:hAnsi="宋体" w:cs="宋体"/>
          <w:bCs/>
          <w:sz w:val="24"/>
        </w:rPr>
      </w:pPr>
    </w:p>
    <w:p w14:paraId="3EF5983B">
      <w:pPr>
        <w:rPr>
          <w:rFonts w:hint="eastAsia" w:ascii="宋体" w:hAnsi="宋体" w:cs="宋体"/>
          <w:bCs/>
          <w:sz w:val="24"/>
        </w:rPr>
      </w:pPr>
    </w:p>
    <w:p w14:paraId="381A9DF3">
      <w:pPr>
        <w:rPr>
          <w:rFonts w:hint="eastAsia" w:ascii="宋体" w:hAnsi="宋体" w:cs="宋体"/>
          <w:bCs/>
          <w:sz w:val="24"/>
        </w:rPr>
      </w:pPr>
    </w:p>
    <w:p w14:paraId="336C2AA4">
      <w:pPr>
        <w:rPr>
          <w:rFonts w:hint="eastAsia" w:ascii="宋体" w:hAnsi="宋体" w:cs="宋体"/>
          <w:bCs/>
          <w:sz w:val="24"/>
        </w:rPr>
      </w:pPr>
    </w:p>
    <w:p w14:paraId="7922C267">
      <w:pPr>
        <w:rPr>
          <w:rFonts w:hint="eastAsia" w:ascii="宋体" w:hAnsi="宋体" w:cs="宋体"/>
          <w:bCs/>
          <w:sz w:val="24"/>
        </w:rPr>
      </w:pPr>
    </w:p>
    <w:p w14:paraId="097005E4">
      <w:pPr>
        <w:rPr>
          <w:rFonts w:hint="eastAsia" w:ascii="宋体" w:hAnsi="宋体" w:cs="宋体"/>
          <w:bCs/>
          <w:sz w:val="24"/>
        </w:rPr>
      </w:pPr>
    </w:p>
    <w:p w14:paraId="6A803C85">
      <w:pPr>
        <w:rPr>
          <w:rFonts w:hint="eastAsia" w:ascii="宋体" w:hAnsi="宋体" w:cs="宋体"/>
          <w:bCs/>
          <w:sz w:val="24"/>
        </w:rPr>
      </w:pPr>
    </w:p>
    <w:p w14:paraId="2DD3A8A8">
      <w:pPr>
        <w:rPr>
          <w:rFonts w:hint="eastAsia" w:ascii="宋体" w:hAnsi="宋体" w:cs="宋体"/>
          <w:bCs/>
          <w:sz w:val="24"/>
        </w:rPr>
      </w:pPr>
    </w:p>
    <w:p w14:paraId="28672285">
      <w:pPr>
        <w:rPr>
          <w:rFonts w:hint="eastAsia" w:ascii="宋体" w:hAnsi="宋体" w:cs="宋体"/>
          <w:bCs/>
          <w:sz w:val="24"/>
        </w:rPr>
      </w:pPr>
    </w:p>
    <w:p w14:paraId="128F676D">
      <w:pPr>
        <w:rPr>
          <w:rFonts w:hint="eastAsia" w:ascii="宋体" w:hAnsi="宋体" w:cs="宋体"/>
          <w:bCs/>
          <w:sz w:val="24"/>
        </w:rPr>
      </w:pPr>
    </w:p>
    <w:p w14:paraId="25AB075E">
      <w:pPr>
        <w:rPr>
          <w:rFonts w:hint="eastAsia" w:ascii="宋体" w:hAnsi="宋体" w:cs="宋体"/>
          <w:bCs/>
          <w:sz w:val="24"/>
        </w:rPr>
      </w:pPr>
    </w:p>
    <w:p w14:paraId="45CB1384">
      <w:pPr>
        <w:rPr>
          <w:rFonts w:hint="eastAsia" w:ascii="宋体" w:hAnsi="宋体" w:cs="宋体"/>
          <w:bCs/>
          <w:sz w:val="24"/>
        </w:rPr>
      </w:pPr>
    </w:p>
    <w:p w14:paraId="59DED3A8">
      <w:pPr>
        <w:rPr>
          <w:rFonts w:hint="eastAsia" w:ascii="宋体" w:hAnsi="宋体" w:cs="宋体"/>
          <w:bCs/>
          <w:sz w:val="24"/>
        </w:rPr>
      </w:pPr>
    </w:p>
    <w:p w14:paraId="40590635">
      <w:pPr>
        <w:rPr>
          <w:rFonts w:hint="eastAsia" w:ascii="宋体" w:hAnsi="宋体" w:cs="宋体"/>
          <w:bCs/>
          <w:sz w:val="24"/>
        </w:rPr>
      </w:pPr>
    </w:p>
    <w:p w14:paraId="11A2B7D1">
      <w:pPr>
        <w:rPr>
          <w:rFonts w:hint="eastAsia" w:ascii="宋体" w:hAnsi="宋体" w:cs="宋体"/>
          <w:bCs/>
          <w:sz w:val="24"/>
        </w:rPr>
      </w:pPr>
    </w:p>
    <w:p w14:paraId="6A6296DC">
      <w:pPr>
        <w:rPr>
          <w:rFonts w:hint="eastAsia" w:ascii="宋体" w:hAnsi="宋体" w:cs="宋体"/>
          <w:bCs/>
          <w:sz w:val="24"/>
        </w:rPr>
      </w:pPr>
    </w:p>
    <w:p w14:paraId="2B3E414B">
      <w:pPr>
        <w:rPr>
          <w:rFonts w:hint="eastAsia" w:ascii="宋体" w:hAnsi="宋体" w:cs="宋体"/>
          <w:bCs/>
          <w:sz w:val="24"/>
        </w:rPr>
      </w:pPr>
    </w:p>
    <w:p w14:paraId="45FCF9DE">
      <w:pPr>
        <w:rPr>
          <w:rFonts w:hint="eastAsia" w:ascii="宋体" w:hAnsi="宋体" w:cs="宋体"/>
          <w:bCs/>
          <w:sz w:val="24"/>
        </w:rPr>
      </w:pPr>
    </w:p>
    <w:p w14:paraId="5AA6B3CB">
      <w:pPr>
        <w:pStyle w:val="219"/>
        <w:spacing w:line="360" w:lineRule="auto"/>
        <w:ind w:firstLine="0"/>
        <w:jc w:val="both"/>
        <w:outlineLvl w:val="1"/>
        <w:rPr>
          <w:rFonts w:ascii="宋体" w:hAnsi="宋体" w:eastAsia="宋体"/>
          <w:b/>
          <w:color w:val="auto"/>
          <w:szCs w:val="24"/>
          <w:highlight w:val="none"/>
        </w:rPr>
      </w:pPr>
      <w:r>
        <w:rPr>
          <w:rFonts w:hint="eastAsia" w:ascii="宋体" w:hAnsi="宋体" w:eastAsia="宋体"/>
          <w:b/>
          <w:color w:val="auto"/>
          <w:szCs w:val="24"/>
          <w:highlight w:val="none"/>
        </w:rPr>
        <w:t>4、磋商报价分析表</w:t>
      </w:r>
    </w:p>
    <w:p w14:paraId="45E7BDE0">
      <w:pPr>
        <w:pStyle w:val="220"/>
        <w:ind w:firstLine="0"/>
        <w:jc w:val="center"/>
        <w:rPr>
          <w:b/>
          <w:color w:val="auto"/>
          <w:highlight w:val="none"/>
          <w:lang w:val="zh-CN"/>
        </w:rPr>
      </w:pPr>
      <w:r>
        <w:rPr>
          <w:rFonts w:hint="eastAsia"/>
          <w:b/>
          <w:color w:val="auto"/>
          <w:highlight w:val="none"/>
        </w:rPr>
        <w:t>磋商报价分析表</w:t>
      </w:r>
    </w:p>
    <w:p w14:paraId="60E39C5B">
      <w:pPr>
        <w:rPr>
          <w:rFonts w:hint="eastAsia" w:ascii="宋体" w:hAnsi="宋体" w:cs="宋体"/>
          <w:bCs/>
          <w:sz w:val="24"/>
        </w:rPr>
      </w:pPr>
    </w:p>
    <w:tbl>
      <w:tblPr>
        <w:tblStyle w:val="41"/>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03"/>
        <w:gridCol w:w="807"/>
        <w:gridCol w:w="1350"/>
        <w:gridCol w:w="3075"/>
        <w:gridCol w:w="616"/>
        <w:gridCol w:w="576"/>
        <w:gridCol w:w="936"/>
        <w:gridCol w:w="936"/>
        <w:gridCol w:w="1063"/>
      </w:tblGrid>
      <w:tr w14:paraId="488FB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BD6248">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序号</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AC10FF">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项目名称</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B3AA8D">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类别</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1851BA">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工作内容</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6B8C67">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单位</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E6873B">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数量</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820D75">
            <w:pPr>
              <w:keepNext w:val="0"/>
              <w:keepLines w:val="0"/>
              <w:widowControl/>
              <w:suppressLineNumbers w:val="0"/>
              <w:jc w:val="center"/>
              <w:rPr>
                <w:rFonts w:hint="default" w:ascii="宋体" w:hAnsi="宋体" w:eastAsia="宋体" w:cs="宋体"/>
                <w:i w:val="0"/>
                <w:iCs w:val="0"/>
                <w:color w:val="000000"/>
                <w:sz w:val="24"/>
                <w:szCs w:val="24"/>
                <w:u w:val="none"/>
                <w:lang w:val="en-US" w:eastAsia="zh-CN" w:bidi="ar"/>
              </w:rPr>
            </w:pPr>
            <w:r>
              <w:rPr>
                <w:rFonts w:hint="eastAsia" w:ascii="宋体" w:hAnsi="宋体" w:cs="宋体"/>
                <w:i w:val="0"/>
                <w:iCs w:val="0"/>
                <w:color w:val="000000"/>
                <w:sz w:val="24"/>
                <w:szCs w:val="24"/>
                <w:u w:val="none"/>
                <w:lang w:val="en-US" w:eastAsia="zh-CN" w:bidi="ar"/>
              </w:rPr>
              <w:t>单价最高限价（元）</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7918A4">
            <w:pPr>
              <w:keepNext w:val="0"/>
              <w:keepLines w:val="0"/>
              <w:widowControl/>
              <w:suppressLineNumbers w:val="0"/>
              <w:jc w:val="center"/>
              <w:rPr>
                <w:rFonts w:hint="default" w:ascii="宋体" w:hAnsi="宋体" w:eastAsia="宋体" w:cs="宋体"/>
                <w:i w:val="0"/>
                <w:iCs w:val="0"/>
                <w:color w:val="000000"/>
                <w:sz w:val="24"/>
                <w:szCs w:val="24"/>
                <w:u w:val="none"/>
                <w:lang w:val="en-US" w:eastAsia="zh-CN" w:bidi="ar"/>
              </w:rPr>
            </w:pPr>
            <w:r>
              <w:rPr>
                <w:rFonts w:hint="eastAsia" w:ascii="宋体" w:hAnsi="宋体" w:cs="宋体"/>
                <w:i w:val="0"/>
                <w:iCs w:val="0"/>
                <w:color w:val="000000"/>
                <w:sz w:val="24"/>
                <w:szCs w:val="24"/>
                <w:u w:val="none"/>
                <w:lang w:val="en-US" w:eastAsia="zh-CN" w:bidi="ar"/>
              </w:rPr>
              <w:t>单价（元）</w:t>
            </w: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BC28E6">
            <w:pPr>
              <w:keepNext w:val="0"/>
              <w:keepLines w:val="0"/>
              <w:widowControl/>
              <w:suppressLineNumbers w:val="0"/>
              <w:jc w:val="center"/>
              <w:rPr>
                <w:rFonts w:hint="default" w:ascii="宋体" w:hAnsi="宋体" w:eastAsia="宋体" w:cs="宋体"/>
                <w:i w:val="0"/>
                <w:iCs w:val="0"/>
                <w:color w:val="000000"/>
                <w:sz w:val="24"/>
                <w:szCs w:val="24"/>
                <w:u w:val="none"/>
                <w:lang w:val="en-US" w:eastAsia="zh-CN" w:bidi="ar"/>
              </w:rPr>
            </w:pPr>
            <w:r>
              <w:rPr>
                <w:rFonts w:hint="eastAsia" w:ascii="宋体" w:hAnsi="宋体" w:cs="宋体"/>
                <w:i w:val="0"/>
                <w:iCs w:val="0"/>
                <w:color w:val="000000"/>
                <w:sz w:val="24"/>
                <w:szCs w:val="24"/>
                <w:u w:val="none"/>
                <w:lang w:val="en-US" w:eastAsia="zh-CN" w:bidi="ar"/>
              </w:rPr>
              <w:t>合价（元）</w:t>
            </w:r>
          </w:p>
        </w:tc>
      </w:tr>
      <w:tr w14:paraId="49C3C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63"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395041">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FA80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潜水泵</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1C41F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WQ200-37KW无堵塞污水泵</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167989">
            <w:pPr>
              <w:keepNext w:val="0"/>
              <w:keepLines w:val="0"/>
              <w:widowControl/>
              <w:suppressLineNumbers w:val="0"/>
              <w:jc w:val="left"/>
              <w:textAlignment w:val="center"/>
              <w:rPr>
                <w:rFonts w:hint="eastAsia" w:ascii="宋体" w:hAnsi="宋体" w:eastAsia="宋体" w:cs="宋体"/>
                <w:bCs w:val="0"/>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1、下井拆除旧水泵、旧泵吊出泵井、运至招标人指定位置；                 2、安装新水泵及相关配件（更换固定螺栓、减震垫、更换加长电缆）；                      3、井内污水抽干、通风检测后方可更换                      4、安装、接线完成后水泵调试</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94DA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5212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F104D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16700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58207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BBCFF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3373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10"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283EFA">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71C8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潜水泵</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4A3C3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WQ50-1.5KW不锈钢切割泵</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DE06A5">
            <w:pPr>
              <w:keepNext w:val="0"/>
              <w:keepLines w:val="0"/>
              <w:widowControl/>
              <w:numPr>
                <w:ilvl w:val="0"/>
                <w:numId w:val="2"/>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下井拆除旧水泵、旧泵吊出泵井、运至招标人指定位置；                 2、安装新水泵及相关配件（更换固定螺栓、减震垫、更换加长电缆）；                      3、井内污水抽干、通风检测后方可更换                      </w:t>
            </w:r>
          </w:p>
          <w:p w14:paraId="76EDFA92">
            <w:pPr>
              <w:keepNext w:val="0"/>
              <w:keepLines w:val="0"/>
              <w:widowControl/>
              <w:numPr>
                <w:ilvl w:val="0"/>
                <w:numId w:val="0"/>
              </w:numPr>
              <w:suppressLineNumbers w:val="0"/>
              <w:jc w:val="left"/>
              <w:textAlignment w:val="center"/>
              <w:rPr>
                <w:rFonts w:hint="eastAsia" w:ascii="宋体" w:hAnsi="宋体" w:eastAsia="宋体" w:cs="宋体"/>
                <w:bCs w:val="0"/>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4、安装、接线完成后水泵调试</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B55C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17F0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B0F7F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3667</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8B059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AC1CC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AEF6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1"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A6ACBC">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70D3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潜水泵</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B3881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WQ65-2.2KW不锈钢切割泵</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FA2B8E">
            <w:pPr>
              <w:keepNext w:val="0"/>
              <w:keepLines w:val="0"/>
              <w:widowControl/>
              <w:numPr>
                <w:ilvl w:val="0"/>
                <w:numId w:val="3"/>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下井拆除旧水泵、旧泵吊出泵井、运至招标人指定位置；                 2、安装新水泵及相关配件（更换固定螺栓、减震垫、更换加长电缆）；                      3、井内污水抽干、通风检测后方可更换                     </w:t>
            </w:r>
          </w:p>
          <w:p w14:paraId="537FB4F2">
            <w:pPr>
              <w:keepNext w:val="0"/>
              <w:keepLines w:val="0"/>
              <w:widowControl/>
              <w:numPr>
                <w:ilvl w:val="0"/>
                <w:numId w:val="0"/>
              </w:numPr>
              <w:suppressLineNumbers w:val="0"/>
              <w:jc w:val="left"/>
              <w:textAlignment w:val="center"/>
              <w:rPr>
                <w:rFonts w:hint="eastAsia" w:ascii="宋体" w:hAnsi="宋体" w:eastAsia="宋体" w:cs="宋体"/>
                <w:bCs w:val="0"/>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4、安装、接线完成后水泵调试</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F08E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4E7E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7C85C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4333</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0A7AD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03789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6484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7"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550E69">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4</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B9F7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潜水泵</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DE56C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WQ65-3KW不锈钢切割泵</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B9ADA5">
            <w:pPr>
              <w:keepNext w:val="0"/>
              <w:keepLines w:val="0"/>
              <w:widowControl/>
              <w:numPr>
                <w:ilvl w:val="0"/>
                <w:numId w:val="4"/>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下井拆除旧水泵、旧泵吊出泵井、运至招标人指定位置；                 2、安装新水泵及相关配件（更换固定螺栓、减震垫、更换加长电缆）；                      3、井内污水抽干、通风检测后方可更换                      </w:t>
            </w:r>
          </w:p>
          <w:p w14:paraId="488AD1B0">
            <w:pPr>
              <w:keepNext w:val="0"/>
              <w:keepLines w:val="0"/>
              <w:widowControl/>
              <w:numPr>
                <w:ilvl w:val="0"/>
                <w:numId w:val="0"/>
              </w:numPr>
              <w:suppressLineNumbers w:val="0"/>
              <w:jc w:val="left"/>
              <w:textAlignment w:val="center"/>
              <w:rPr>
                <w:rFonts w:hint="eastAsia" w:ascii="宋体" w:hAnsi="宋体" w:eastAsia="宋体" w:cs="宋体"/>
                <w:bCs w:val="0"/>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4、安装、接线完成后水泵调试</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E9E0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86A5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BD0AF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5250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AF753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F5702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B8AB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CF7887">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5</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2EA6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潜水泵</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91363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WQ80-15KW不锈钢切割泵</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D79DED">
            <w:pPr>
              <w:keepNext w:val="0"/>
              <w:keepLines w:val="0"/>
              <w:widowControl/>
              <w:numPr>
                <w:ilvl w:val="0"/>
                <w:numId w:val="5"/>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下井拆除旧水泵、旧泵吊出泵井、运至招标人指定位置；                 2、安装新水泵及相关配件（更换固定螺栓、减震垫、更换加长电缆）；                      3、井内污水抽干、通风检测后方可更换                      </w:t>
            </w:r>
          </w:p>
          <w:p w14:paraId="0D2F171B">
            <w:pPr>
              <w:keepNext w:val="0"/>
              <w:keepLines w:val="0"/>
              <w:widowControl/>
              <w:numPr>
                <w:ilvl w:val="0"/>
                <w:numId w:val="0"/>
              </w:numPr>
              <w:suppressLineNumbers w:val="0"/>
              <w:jc w:val="left"/>
              <w:textAlignment w:val="center"/>
              <w:rPr>
                <w:rFonts w:hint="eastAsia" w:ascii="宋体" w:hAnsi="宋体" w:eastAsia="宋体" w:cs="宋体"/>
                <w:bCs w:val="0"/>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4、安装、接线完成后水泵调试</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E415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90FA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A8208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10500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4C374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ADE19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E25A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18A5D5">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6</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75A0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配管</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9DD3A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镀锌钢管SC50</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D0F29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1、沟槽开挖回填                   2、中粗砂包裹        </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64C3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3147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4E93C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49</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FE03E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11186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01E6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E329C3">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7</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1D8C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塑料管</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925F8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DN65钢丝水管</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A75F8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1、井下钢丝管拆除、安装</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E643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305C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763CB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57</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FBD04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A422B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535D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65D13C">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8</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78D7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法兰阀门</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A206D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DN100不锈钢止回阀</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2D05E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1、下井清理淤积物；                2、拆除止回阀，运至招标人指定位置                        3、更换新止回阀；                     4、井内污水抽干、通风检测后方可更换 </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BCD6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164F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FE0E2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1600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521D9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D39DA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0E01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22CDFD">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9</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003D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法兰阀门</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FDB47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DN不锈钢闸阀</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0F912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1、下井清理淤积物；                2、拆除闸阀，运至招标人指定位置                          3、更换新闸阀；                    4、井内污水抽干、通风检测后方可更换 </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FE57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92A3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1C1F2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1500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78A7F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2590A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FFE1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65A59B">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10</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AFAC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法兰软接</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7AD93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DN100不锈钢软接</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463D7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1、下井清理淤积物；                2、拆除软接，运至招标人指定位置                          3、更换新软接；                   4、井内污水抽干、通风检测后方可更换 </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4A27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95EA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A9B66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345</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B48AE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11F26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2A2A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A2CBA4">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11</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8D44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配电单元</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8A70B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热继电器/LRD22C10-18</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195C3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1、拆除旧元件运至招标人指定位置                          2、安装新元件                      3、系统测试</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6641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9BBC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66DD6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179</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01501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FC218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09AE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0E0BEC">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12</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745A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配电单元</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84765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中间直流继电器/RXM2LB2BD</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BF906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1、拆除旧元件运至招标人指定位置                          2、安装新元件                     3、系统测试</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8985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6858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403FC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190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51D4C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58399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F87B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B2FEEE">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13</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9413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配电单元</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1E0AE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旋钮开关/XB2BD43C</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10CA7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1、拆除旧元件运至招标人指定位置                          2、安装新元件                     3、系统测试</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5DDD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B1F3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AC31D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81</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DDFE9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7C4E0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627F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F9CF55">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14</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7CC7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配电单元</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BD4C9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漏电开关/E9-3P+N-63A</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A8117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1、拆除旧元件运至招标人指定位置                          2、安装新元件                     3、系统测试</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3FD8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E7FB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C2BD7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323</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97EE5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4CD5A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58ED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268F5A">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15</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D703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配电单元</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82A67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空气开关/IC65N-3P-63A</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96AEB7">
            <w:pPr>
              <w:keepNext w:val="0"/>
              <w:keepLines w:val="0"/>
              <w:widowControl/>
              <w:suppressLineNumbers w:val="0"/>
              <w:jc w:val="left"/>
              <w:textAlignment w:val="center"/>
              <w:rPr>
                <w:rFonts w:hint="eastAsia" w:ascii="宋体" w:hAnsi="宋体" w:eastAsia="宋体" w:cs="宋体"/>
                <w:bCs w:val="0"/>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1、拆除旧元件运至招标人指定位置                          2、安装新元件                     3、系统测试</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93D9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5450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0EFFB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275</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69AED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23EE8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6D99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121E3D">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16</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E8FF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配电单元</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FC760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接触器/LC1N1810CC5N</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3F818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1、拆除旧元件运至招标人指定位置                          2、安装新元件                     3、系统测试</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FB0D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8935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6250F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269</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98566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FDF71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649A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D411AB">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17</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61BA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配电单元</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48C4F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自动液位控制器/10米变送器/4-20MA</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CE684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1、拆除旧元件运至招标人指定位置                          2、安装新元件                     3、系统测试</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E62D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6BC4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125</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FDF90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475</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7EC50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30717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AC028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5AAE79">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18</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2DB6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配电单元</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3D5D2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智能控制器/西门子PLC-216-2BD23-0XB8/B0</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6D5A4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1、拆除旧元件运至招标人指定位置                          2、安装新元件                     3、系统测试</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B910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701C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B7BFF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1450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08A41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70075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5264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C81A5C">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19</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B2B3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配电单元</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19320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智能液晶显示屏/西门子6AV6647-0AD11-3AX0-10寸</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E266E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1、拆除旧元件运至招标人指定位置                          2、安装新元件                     3、系统测试</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AB67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875B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1AEAA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3650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373F6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72501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C5A0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66B19A">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20</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5EED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配电单元</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5FA57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6L2-450V电压表</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80334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1、拆除旧元件运至招标人指定位置                          2、安装新元件                     3、系统测试</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B4B9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B952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BFFC1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82919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1BEF7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E3BA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58E891">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21</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0355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配电单元</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9269C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6L2-100/5电流表</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73951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1、拆除旧元件运至招标人指定位置                          2、安装新元件                     3、系统测试</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F6D2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10B0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5A6BE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65</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7D23B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901E9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F193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AF5021">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22</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BE3A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配电单元</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2225F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LED指示灯/LD11-22</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A0A24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1、拆除旧元件运至招标人指定位置                          2、安装新元件                     3、系统测试</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0121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2F43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CC299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77</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6C0F7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3CC64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AC9C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436D6B">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23</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02B9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配电单元</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98DB6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LADLAD-22C接触器辅助头</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FB193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1、拆除旧元件运至招标人指定位置                          2、安装新元件                     3、系统测试</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98C3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9671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A1D6C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116</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F8625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A7F3E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DB34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9F5485">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24</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6099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配电单元</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3D7FB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架线钢丝绳</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C5418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1、电线杆上架设钢丝绳；             2、净空＞6m。</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70E4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C4F9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216F8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25</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F598A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D9F60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E63C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2637A4">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25</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D3AA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路面</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5A8BA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混凝土路面开挖，开挖厚度15cm</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94AA6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1、切缝后开槽；                    2、路面破碎</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7B47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8F54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51AED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22</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7C5A2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DCB81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3D9F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C92E63">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26</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020F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路面</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51CD7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混凝土路面修复</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6750E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1、路面恢复</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775D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0ACF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894E3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105</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99749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B6EAF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1011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6"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91076C">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27</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DBED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污水井</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67A3D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预制混凝土盖板</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C8D58D">
            <w:pPr>
              <w:keepNext w:val="0"/>
              <w:keepLines w:val="0"/>
              <w:widowControl/>
              <w:suppressLineNumbers w:val="0"/>
              <w:jc w:val="left"/>
              <w:textAlignment w:val="center"/>
              <w:rPr>
                <w:color w:val="000000" w:themeColor="text1"/>
                <w:sz w:val="24"/>
                <w:szCs w:val="24"/>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1、更换损坏钢纤维盖板B125</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CC08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EF56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2F2B1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250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ED10B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6723F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7676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57A2C7">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28</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F9B8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污水井</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16AC3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蛙人潜水气囊封堵污水管道</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27270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1、气囊临时封堵                    2、DN300</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AADD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处</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CC04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B5C08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1550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4D1BC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0C9E0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54E7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E71DA1">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29</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6295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污水井</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1AEF8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污水池漏点修复</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90640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1、渗漏处粉刷聚合物水泥砂浆</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BDD6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处</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AE8A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375CE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985BF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F986C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3655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D0F883">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30</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396B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污水井</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9DA6F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砌筑井1*1m，深2米</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0B3E8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1、砌筑污水检查井</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7934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座</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266B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E69F2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1298</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2EF9A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8519C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553D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693790">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31</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3721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盖板</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2045F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玻璃钢盖板</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DB2F1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1、更换玻璃钢盖板；                2、尺寸1.2*1.2m。</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39E0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50F9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1CDF6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1890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9FF13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E9855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BED0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1BFAD0">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32</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16FF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电缆</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2BD65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电缆YJV22-0.3/1KV-5*16</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53F04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1、管内穿电缆</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A6FD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FEF6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1CA1D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93</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F4C8A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1CEF5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F18A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AE542C">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33</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E657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电缆</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353C6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电缆YJV22-5*6</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3D8A8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1、管内穿电缆</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702A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D8D9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699B0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47</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9657E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2F067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3331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02F1F2">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34</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3F60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配管</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2E8DD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地埋管PE50</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367BE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1、沟槽开挖回填；                  2、埋管</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C99D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E258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3588E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57D12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72F6F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7ED5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09D1A7">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35</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EBF1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配管</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BABF7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砂包裹</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24973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1、一般埋设穿线管                   2、中粗砂包裹</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9638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m3</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9FAD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F1E0B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210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91FED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6F1C1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154C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ADE6E3">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36</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9D4C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配管</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AE139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砼包裹</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59ACC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1、机耕路及村道及埋深不足0.7m处埋设穿线管                            2、砼包裹</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61A5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m3</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3212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972C9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564</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B6430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F8A6E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97F5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3"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11A6FD">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37</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F84C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6CB84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排水泵控制箱APps1</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6039F4">
            <w:pPr>
              <w:keepNext w:val="0"/>
              <w:keepLines w:val="0"/>
              <w:widowControl/>
              <w:suppressLineNumbers w:val="0"/>
              <w:jc w:val="left"/>
              <w:textAlignment w:val="center"/>
              <w:rPr>
                <w:rFonts w:hint="eastAsia" w:ascii="宋体" w:hAnsi="宋体" w:eastAsia="宋体" w:cs="宋体"/>
                <w:bCs w:val="0"/>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1、智能泵井控制箱GXL-2，不锈钢304外壳，外壳防护等级IP65；             2、落地安装、C20基础高300；        3、液位自动控制及智能控制；        4、接线端子、接地安装；            5、接电系统调试、自动控制系统调试。</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821B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只</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5A57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705DD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5200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6DA8A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42C80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C3E4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8"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F0D67C">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38</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EEB7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隔离网</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19CB2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隔离网H=1.8</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C3870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1、镀塑钢丝网片维护</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39E5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0AF1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1F99A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9DC45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02DAD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F277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1" w:hRule="atLeast"/>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3C5866">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39</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12D6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提升泵站巡查、养护</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C4F1B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提升泵站巡查、养护</w:t>
            </w:r>
          </w:p>
        </w:tc>
        <w:tc>
          <w:tcPr>
            <w:tcW w:w="30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423F6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1、井内淤积物定期清理，清理频次＞4次/月，淤积物人工清理后外运；                         2、泵井巡查、系统调试、电器元件检测、巡查养护频次＞4次/月，按招标人要求报送相关影响及记录文件；                      3、水泵清理、排水管道清疏，保证排水系统运行正常，养护频次＞4次/月；                    4、泵井及泵井周边保洁、清理杂草、整修                                5、配合紧急排涝和应急抢修，响应时间30分钟之内。                      6、巡查车：3辆，满足项目需求；维修技工7名，持证上岗。</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9544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座</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6CF4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146</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9DE4E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3700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E3F62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F35CA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7DF3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1" w:hRule="atLeast"/>
          <w:jc w:val="center"/>
        </w:trPr>
        <w:tc>
          <w:tcPr>
            <w:tcW w:w="2760"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82ED7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olor w:val="auto"/>
                <w:sz w:val="24"/>
                <w:szCs w:val="24"/>
                <w:highlight w:val="none"/>
              </w:rPr>
              <w:t>合计总报价</w:t>
            </w:r>
          </w:p>
        </w:tc>
        <w:tc>
          <w:tcPr>
            <w:tcW w:w="7202" w:type="dxa"/>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FE3186">
            <w:pPr>
              <w:keepNext w:val="0"/>
              <w:keepLines w:val="0"/>
              <w:widowControl/>
              <w:suppressLineNumbers w:val="0"/>
              <w:jc w:val="left"/>
              <w:textAlignment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人民币（小写）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元</w:t>
            </w:r>
          </w:p>
        </w:tc>
      </w:tr>
    </w:tbl>
    <w:p w14:paraId="58AA7603">
      <w:pPr>
        <w:widowControl/>
        <w:shd w:val="clear" w:color="auto" w:fill="FFFFFF"/>
        <w:tabs>
          <w:tab w:val="left" w:pos="315"/>
          <w:tab w:val="center" w:pos="4153"/>
        </w:tabs>
        <w:spacing w:line="560" w:lineRule="exact"/>
        <w:ind w:firstLine="480"/>
        <w:rPr>
          <w:rFonts w:ascii="宋体" w:hAnsi="宋体" w:eastAsia="宋体"/>
          <w:bCs/>
          <w:color w:val="auto"/>
          <w:sz w:val="24"/>
          <w:szCs w:val="24"/>
          <w:highlight w:val="none"/>
        </w:rPr>
      </w:pPr>
      <w:r>
        <w:rPr>
          <w:rFonts w:ascii="宋体" w:hAnsi="宋体" w:eastAsia="宋体"/>
          <w:bCs/>
          <w:color w:val="auto"/>
          <w:sz w:val="24"/>
          <w:szCs w:val="24"/>
          <w:highlight w:val="none"/>
        </w:rPr>
        <w:t>注：</w:t>
      </w:r>
      <w:r>
        <w:rPr>
          <w:rFonts w:hint="eastAsia" w:ascii="宋体" w:hAnsi="宋体"/>
          <w:bCs/>
          <w:color w:val="auto"/>
          <w:sz w:val="24"/>
          <w:szCs w:val="24"/>
          <w:highlight w:val="none"/>
          <w:lang w:val="en-US" w:eastAsia="zh-CN"/>
        </w:rPr>
        <w:t>1.</w:t>
      </w:r>
      <w:r>
        <w:rPr>
          <w:rFonts w:ascii="宋体" w:hAnsi="宋体" w:eastAsia="宋体"/>
          <w:bCs/>
          <w:color w:val="auto"/>
          <w:sz w:val="24"/>
          <w:szCs w:val="24"/>
          <w:highlight w:val="none"/>
        </w:rPr>
        <w:t>磋商响应报价明细表包含响应单位各项成本核算和投入的成本明细，合计金额应与开标一览表金额一致；否则，以开标一览表为准。</w:t>
      </w:r>
    </w:p>
    <w:p w14:paraId="3053D48E">
      <w:pPr>
        <w:widowControl/>
        <w:shd w:val="clear" w:color="auto" w:fill="FFFFFF"/>
        <w:tabs>
          <w:tab w:val="left" w:pos="315"/>
          <w:tab w:val="center" w:pos="4153"/>
        </w:tabs>
        <w:spacing w:line="560" w:lineRule="exact"/>
        <w:ind w:firstLine="480"/>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2.磋商响应单价不得超过单价最高限价，否则为无效标。最终</w:t>
      </w:r>
      <w:r>
        <w:rPr>
          <w:rFonts w:hint="eastAsia" w:ascii="宋体" w:hAnsi="宋体" w:eastAsia="宋体" w:cs="宋体"/>
          <w:b w:val="0"/>
          <w:bCs w:val="0"/>
          <w:color w:val="auto"/>
          <w:sz w:val="24"/>
          <w:highlight w:val="none"/>
          <w:lang w:val="en-US" w:eastAsia="zh-CN"/>
        </w:rPr>
        <w:t>按实际完成维修量结算，最终支付金额不得超过合同金额。</w:t>
      </w:r>
    </w:p>
    <w:p w14:paraId="61EE2E6C">
      <w:pPr>
        <w:pStyle w:val="221"/>
        <w:rPr>
          <w:rFonts w:ascii="宋体" w:hAnsi="宋体"/>
          <w:color w:val="auto"/>
          <w:highlight w:val="none"/>
        </w:rPr>
      </w:pPr>
    </w:p>
    <w:p w14:paraId="76485490">
      <w:pPr>
        <w:pStyle w:val="222"/>
        <w:spacing w:line="360" w:lineRule="auto"/>
        <w:ind w:firstLine="480"/>
        <w:rPr>
          <w:rFonts w:hAnsi="宋体" w:eastAsia="宋体"/>
          <w:color w:val="auto"/>
          <w:sz w:val="24"/>
          <w:szCs w:val="24"/>
          <w:highlight w:val="none"/>
        </w:rPr>
      </w:pPr>
      <w:r>
        <w:rPr>
          <w:rFonts w:hint="eastAsia" w:hAnsi="宋体" w:eastAsia="宋体"/>
          <w:color w:val="auto"/>
          <w:sz w:val="24"/>
          <w:szCs w:val="24"/>
          <w:highlight w:val="none"/>
        </w:rPr>
        <w:t>供应商：（公章）</w:t>
      </w:r>
    </w:p>
    <w:p w14:paraId="650CD6B1">
      <w:pPr>
        <w:pStyle w:val="222"/>
        <w:spacing w:line="360" w:lineRule="auto"/>
        <w:ind w:firstLine="480"/>
        <w:rPr>
          <w:rFonts w:hAnsi="宋体" w:eastAsia="宋体"/>
          <w:color w:val="auto"/>
          <w:sz w:val="24"/>
          <w:szCs w:val="24"/>
          <w:highlight w:val="none"/>
        </w:rPr>
      </w:pPr>
      <w:r>
        <w:rPr>
          <w:rFonts w:hint="eastAsia" w:hAnsi="宋体" w:eastAsia="宋体"/>
          <w:color w:val="auto"/>
          <w:sz w:val="24"/>
          <w:szCs w:val="24"/>
          <w:highlight w:val="none"/>
        </w:rPr>
        <w:t>法定代表人或代理人：（签字或盖章）</w:t>
      </w:r>
    </w:p>
    <w:p w14:paraId="4C437BF6">
      <w:pPr>
        <w:pStyle w:val="222"/>
        <w:spacing w:line="360" w:lineRule="auto"/>
        <w:ind w:firstLine="480"/>
        <w:rPr>
          <w:rFonts w:hAnsi="宋体" w:eastAsia="宋体"/>
          <w:color w:val="auto"/>
          <w:sz w:val="24"/>
          <w:szCs w:val="24"/>
          <w:highlight w:val="none"/>
        </w:rPr>
      </w:pPr>
      <w:r>
        <w:rPr>
          <w:rFonts w:hint="eastAsia" w:hAnsi="宋体" w:eastAsia="宋体"/>
          <w:color w:val="auto"/>
          <w:sz w:val="24"/>
          <w:szCs w:val="24"/>
          <w:highlight w:val="none"/>
        </w:rPr>
        <w:t>日期：   年   月   日</w:t>
      </w:r>
    </w:p>
    <w:p w14:paraId="2318C7BD">
      <w:pPr>
        <w:rPr>
          <w:rFonts w:ascii="宋体" w:hAnsi="宋体" w:cs="宋体"/>
          <w:bCs/>
          <w:sz w:val="24"/>
        </w:rPr>
      </w:pPr>
      <w:r>
        <w:rPr>
          <w:rFonts w:hint="eastAsia" w:ascii="宋体" w:hAnsi="宋体" w:cs="宋体"/>
          <w:bCs/>
          <w:sz w:val="24"/>
        </w:rPr>
        <w:br w:type="page" w:clear="all"/>
      </w:r>
    </w:p>
    <w:p w14:paraId="28DCFF75">
      <w:pPr>
        <w:spacing w:line="360" w:lineRule="auto"/>
        <w:ind w:firstLine="480"/>
        <w:rPr>
          <w:rFonts w:hint="eastAsia" w:ascii="宋体" w:hAnsi="宋体" w:eastAsia="宋体" w:cs="宋体"/>
          <w:sz w:val="24"/>
          <w:lang w:val="zh-CN"/>
        </w:rPr>
      </w:pPr>
      <w:r>
        <w:rPr>
          <w:rFonts w:hint="eastAsia" w:ascii="宋体" w:hAnsi="宋体" w:eastAsia="宋体" w:cs="宋体"/>
          <w:sz w:val="24"/>
        </w:rPr>
        <w:t>4</w:t>
      </w:r>
      <w:r>
        <w:rPr>
          <w:rFonts w:hint="eastAsia" w:ascii="宋体" w:hAnsi="宋体" w:eastAsia="宋体" w:cs="宋体"/>
          <w:sz w:val="24"/>
          <w:lang w:val="zh-CN"/>
        </w:rPr>
        <w:t>、人员配备一览表</w:t>
      </w:r>
    </w:p>
    <w:p w14:paraId="089A44EC">
      <w:pPr>
        <w:pStyle w:val="17"/>
        <w:jc w:val="center"/>
        <w:rPr>
          <w:color w:val="auto"/>
        </w:rPr>
      </w:pPr>
      <w:r>
        <w:rPr>
          <w:rFonts w:hint="eastAsia" w:hAnsi="宋体" w:cs="宋体"/>
          <w:bCs/>
          <w:color w:val="auto"/>
          <w:lang w:val="zh-CN"/>
        </w:rPr>
        <w:t>人员配备一览表</w:t>
      </w:r>
    </w:p>
    <w:tbl>
      <w:tblPr>
        <w:tblStyle w:val="41"/>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536"/>
        <w:gridCol w:w="1276"/>
        <w:gridCol w:w="992"/>
        <w:gridCol w:w="1299"/>
        <w:gridCol w:w="1560"/>
        <w:gridCol w:w="1417"/>
        <w:gridCol w:w="1152"/>
      </w:tblGrid>
      <w:tr w14:paraId="52DA2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732" w:type="dxa"/>
            <w:noWrap w:val="0"/>
            <w:vAlign w:val="center"/>
          </w:tcPr>
          <w:p w14:paraId="21DB569B">
            <w:pPr>
              <w:spacing w:line="360" w:lineRule="exact"/>
              <w:jc w:val="center"/>
              <w:rPr>
                <w:rFonts w:ascii="宋体" w:hAnsi="宋体" w:cs="宋体"/>
                <w:color w:val="auto"/>
                <w:sz w:val="24"/>
                <w:szCs w:val="24"/>
              </w:rPr>
            </w:pPr>
            <w:r>
              <w:rPr>
                <w:rFonts w:hint="eastAsia" w:ascii="宋体" w:hAnsi="宋体" w:cs="宋体"/>
                <w:color w:val="auto"/>
                <w:sz w:val="24"/>
                <w:szCs w:val="24"/>
              </w:rPr>
              <w:t>序号</w:t>
            </w:r>
          </w:p>
        </w:tc>
        <w:tc>
          <w:tcPr>
            <w:tcW w:w="1536" w:type="dxa"/>
            <w:noWrap w:val="0"/>
            <w:vAlign w:val="center"/>
          </w:tcPr>
          <w:p w14:paraId="460D6194">
            <w:pPr>
              <w:jc w:val="center"/>
              <w:rPr>
                <w:rFonts w:ascii="宋体" w:hAnsi="宋体" w:cs="宋体"/>
                <w:color w:val="auto"/>
                <w:sz w:val="24"/>
                <w:szCs w:val="24"/>
              </w:rPr>
            </w:pPr>
            <w:r>
              <w:rPr>
                <w:rFonts w:hint="eastAsia" w:ascii="宋体" w:hAnsi="宋体" w:cs="宋体"/>
                <w:color w:val="auto"/>
                <w:sz w:val="24"/>
                <w:szCs w:val="24"/>
              </w:rPr>
              <w:t>岗位</w:t>
            </w:r>
          </w:p>
        </w:tc>
        <w:tc>
          <w:tcPr>
            <w:tcW w:w="1276" w:type="dxa"/>
            <w:noWrap w:val="0"/>
            <w:vAlign w:val="center"/>
          </w:tcPr>
          <w:p w14:paraId="582ECB40">
            <w:pPr>
              <w:jc w:val="center"/>
              <w:rPr>
                <w:rFonts w:ascii="宋体" w:hAnsi="宋体" w:cs="宋体"/>
                <w:color w:val="auto"/>
                <w:sz w:val="24"/>
                <w:szCs w:val="24"/>
              </w:rPr>
            </w:pPr>
            <w:r>
              <w:rPr>
                <w:rFonts w:hint="eastAsia" w:ascii="宋体" w:hAnsi="宋体" w:cs="宋体"/>
                <w:color w:val="auto"/>
                <w:sz w:val="24"/>
                <w:szCs w:val="24"/>
              </w:rPr>
              <w:t>姓名</w:t>
            </w:r>
          </w:p>
        </w:tc>
        <w:tc>
          <w:tcPr>
            <w:tcW w:w="992" w:type="dxa"/>
            <w:noWrap w:val="0"/>
            <w:vAlign w:val="center"/>
          </w:tcPr>
          <w:p w14:paraId="3B6EEB35">
            <w:pPr>
              <w:jc w:val="center"/>
              <w:rPr>
                <w:rFonts w:ascii="宋体" w:hAnsi="宋体" w:cs="宋体"/>
                <w:color w:val="auto"/>
                <w:sz w:val="24"/>
                <w:szCs w:val="24"/>
              </w:rPr>
            </w:pPr>
            <w:r>
              <w:rPr>
                <w:rFonts w:hint="eastAsia" w:ascii="宋体" w:hAnsi="宋体" w:cs="宋体"/>
                <w:color w:val="auto"/>
                <w:sz w:val="24"/>
                <w:szCs w:val="24"/>
              </w:rPr>
              <w:t>性别</w:t>
            </w:r>
          </w:p>
        </w:tc>
        <w:tc>
          <w:tcPr>
            <w:tcW w:w="1299" w:type="dxa"/>
            <w:noWrap w:val="0"/>
            <w:vAlign w:val="center"/>
          </w:tcPr>
          <w:p w14:paraId="33A98F88">
            <w:pPr>
              <w:jc w:val="center"/>
              <w:rPr>
                <w:rFonts w:ascii="宋体" w:hAnsi="宋体" w:cs="宋体"/>
                <w:color w:val="auto"/>
                <w:sz w:val="24"/>
                <w:szCs w:val="24"/>
              </w:rPr>
            </w:pPr>
            <w:r>
              <w:rPr>
                <w:rFonts w:hint="eastAsia" w:ascii="宋体" w:hAnsi="宋体" w:cs="宋体"/>
                <w:color w:val="auto"/>
                <w:sz w:val="24"/>
                <w:szCs w:val="24"/>
              </w:rPr>
              <w:t>年龄</w:t>
            </w:r>
          </w:p>
        </w:tc>
        <w:tc>
          <w:tcPr>
            <w:tcW w:w="1560" w:type="dxa"/>
            <w:noWrap w:val="0"/>
            <w:vAlign w:val="center"/>
          </w:tcPr>
          <w:p w14:paraId="0A59C0AF">
            <w:pPr>
              <w:jc w:val="center"/>
              <w:rPr>
                <w:rFonts w:ascii="宋体" w:hAnsi="宋体" w:cs="宋体"/>
                <w:color w:val="auto"/>
                <w:sz w:val="24"/>
                <w:szCs w:val="24"/>
              </w:rPr>
            </w:pPr>
            <w:r>
              <w:rPr>
                <w:rFonts w:hint="eastAsia" w:ascii="宋体" w:hAnsi="宋体" w:cs="宋体"/>
                <w:color w:val="auto"/>
                <w:sz w:val="24"/>
                <w:szCs w:val="24"/>
              </w:rPr>
              <w:t>学历</w:t>
            </w:r>
          </w:p>
        </w:tc>
        <w:tc>
          <w:tcPr>
            <w:tcW w:w="1417" w:type="dxa"/>
            <w:noWrap w:val="0"/>
            <w:vAlign w:val="center"/>
          </w:tcPr>
          <w:p w14:paraId="70D1CBAA">
            <w:pPr>
              <w:spacing w:line="360" w:lineRule="exact"/>
              <w:jc w:val="center"/>
              <w:rPr>
                <w:rFonts w:ascii="宋体" w:hAnsi="宋体" w:cs="宋体"/>
                <w:color w:val="auto"/>
                <w:sz w:val="24"/>
                <w:szCs w:val="24"/>
              </w:rPr>
            </w:pPr>
            <w:r>
              <w:rPr>
                <w:rFonts w:hint="eastAsia" w:ascii="宋体" w:hAnsi="宋体" w:cs="宋体"/>
                <w:color w:val="auto"/>
                <w:sz w:val="24"/>
                <w:szCs w:val="24"/>
              </w:rPr>
              <w:t>职称或专业资格证书</w:t>
            </w:r>
          </w:p>
        </w:tc>
        <w:tc>
          <w:tcPr>
            <w:tcW w:w="1152" w:type="dxa"/>
            <w:noWrap w:val="0"/>
            <w:vAlign w:val="center"/>
          </w:tcPr>
          <w:p w14:paraId="0AF84A7E">
            <w:pPr>
              <w:spacing w:line="360" w:lineRule="exact"/>
              <w:jc w:val="center"/>
              <w:rPr>
                <w:rFonts w:ascii="宋体" w:hAnsi="宋体" w:cs="宋体"/>
                <w:color w:val="auto"/>
                <w:sz w:val="24"/>
                <w:szCs w:val="24"/>
              </w:rPr>
            </w:pPr>
            <w:r>
              <w:rPr>
                <w:rFonts w:hint="eastAsia" w:ascii="宋体" w:hAnsi="宋体" w:cs="宋体"/>
                <w:color w:val="auto"/>
                <w:sz w:val="24"/>
                <w:szCs w:val="24"/>
              </w:rPr>
              <w:t>备注</w:t>
            </w:r>
          </w:p>
        </w:tc>
      </w:tr>
      <w:tr w14:paraId="48D46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32" w:type="dxa"/>
            <w:noWrap w:val="0"/>
          </w:tcPr>
          <w:p w14:paraId="1EE95384">
            <w:pPr>
              <w:spacing w:line="400" w:lineRule="exact"/>
              <w:jc w:val="center"/>
              <w:rPr>
                <w:rFonts w:ascii="宋体" w:hAnsi="宋体" w:cs="宋体"/>
                <w:color w:val="auto"/>
                <w:sz w:val="24"/>
                <w:szCs w:val="24"/>
              </w:rPr>
            </w:pPr>
          </w:p>
        </w:tc>
        <w:tc>
          <w:tcPr>
            <w:tcW w:w="1536" w:type="dxa"/>
            <w:noWrap w:val="0"/>
            <w:vAlign w:val="center"/>
          </w:tcPr>
          <w:p w14:paraId="715602C6">
            <w:pPr>
              <w:jc w:val="center"/>
              <w:rPr>
                <w:rFonts w:ascii="宋体" w:hAnsi="宋体" w:cs="宋体"/>
                <w:color w:val="auto"/>
                <w:sz w:val="24"/>
                <w:szCs w:val="24"/>
              </w:rPr>
            </w:pPr>
          </w:p>
        </w:tc>
        <w:tc>
          <w:tcPr>
            <w:tcW w:w="1276" w:type="dxa"/>
            <w:noWrap w:val="0"/>
            <w:vAlign w:val="center"/>
          </w:tcPr>
          <w:p w14:paraId="55A1BDF3">
            <w:pPr>
              <w:jc w:val="center"/>
              <w:rPr>
                <w:rFonts w:ascii="宋体" w:hAnsi="宋体" w:cs="宋体"/>
                <w:color w:val="auto"/>
                <w:sz w:val="24"/>
                <w:szCs w:val="24"/>
              </w:rPr>
            </w:pPr>
          </w:p>
        </w:tc>
        <w:tc>
          <w:tcPr>
            <w:tcW w:w="992" w:type="dxa"/>
            <w:noWrap w:val="0"/>
          </w:tcPr>
          <w:p w14:paraId="724D88D8">
            <w:pPr>
              <w:spacing w:line="400" w:lineRule="exact"/>
              <w:jc w:val="center"/>
              <w:rPr>
                <w:rFonts w:ascii="宋体" w:hAnsi="宋体" w:cs="宋体"/>
                <w:color w:val="auto"/>
                <w:sz w:val="24"/>
                <w:szCs w:val="24"/>
              </w:rPr>
            </w:pPr>
          </w:p>
        </w:tc>
        <w:tc>
          <w:tcPr>
            <w:tcW w:w="1299" w:type="dxa"/>
            <w:noWrap w:val="0"/>
            <w:vAlign w:val="center"/>
          </w:tcPr>
          <w:p w14:paraId="0562207C">
            <w:pPr>
              <w:spacing w:line="400" w:lineRule="exact"/>
              <w:jc w:val="center"/>
              <w:rPr>
                <w:rFonts w:ascii="宋体" w:hAnsi="宋体" w:cs="宋体"/>
                <w:color w:val="auto"/>
                <w:sz w:val="24"/>
                <w:szCs w:val="24"/>
              </w:rPr>
            </w:pPr>
          </w:p>
        </w:tc>
        <w:tc>
          <w:tcPr>
            <w:tcW w:w="1560" w:type="dxa"/>
            <w:noWrap w:val="0"/>
            <w:vAlign w:val="center"/>
          </w:tcPr>
          <w:p w14:paraId="425CD850">
            <w:pPr>
              <w:spacing w:line="400" w:lineRule="exact"/>
              <w:jc w:val="center"/>
              <w:rPr>
                <w:rFonts w:ascii="宋体" w:hAnsi="宋体" w:cs="宋体"/>
                <w:color w:val="auto"/>
                <w:sz w:val="24"/>
                <w:szCs w:val="24"/>
              </w:rPr>
            </w:pPr>
          </w:p>
        </w:tc>
        <w:tc>
          <w:tcPr>
            <w:tcW w:w="1417" w:type="dxa"/>
            <w:noWrap w:val="0"/>
            <w:vAlign w:val="center"/>
          </w:tcPr>
          <w:p w14:paraId="73E2386F">
            <w:pPr>
              <w:spacing w:line="400" w:lineRule="exact"/>
              <w:jc w:val="center"/>
              <w:rPr>
                <w:rFonts w:ascii="宋体" w:hAnsi="宋体" w:cs="宋体"/>
                <w:color w:val="auto"/>
                <w:sz w:val="24"/>
                <w:szCs w:val="24"/>
              </w:rPr>
            </w:pPr>
          </w:p>
        </w:tc>
        <w:tc>
          <w:tcPr>
            <w:tcW w:w="1152" w:type="dxa"/>
            <w:noWrap w:val="0"/>
          </w:tcPr>
          <w:p w14:paraId="45404969">
            <w:pPr>
              <w:spacing w:line="400" w:lineRule="exact"/>
              <w:jc w:val="center"/>
              <w:rPr>
                <w:rFonts w:ascii="宋体" w:hAnsi="宋体" w:cs="宋体"/>
                <w:color w:val="auto"/>
                <w:sz w:val="24"/>
                <w:szCs w:val="24"/>
              </w:rPr>
            </w:pPr>
          </w:p>
        </w:tc>
      </w:tr>
      <w:tr w14:paraId="25055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32" w:type="dxa"/>
            <w:noWrap w:val="0"/>
          </w:tcPr>
          <w:p w14:paraId="2274E9D1">
            <w:pPr>
              <w:spacing w:line="400" w:lineRule="exact"/>
              <w:jc w:val="center"/>
              <w:rPr>
                <w:rFonts w:ascii="宋体" w:hAnsi="宋体" w:cs="宋体"/>
                <w:color w:val="auto"/>
                <w:sz w:val="24"/>
                <w:szCs w:val="24"/>
              </w:rPr>
            </w:pPr>
          </w:p>
        </w:tc>
        <w:tc>
          <w:tcPr>
            <w:tcW w:w="1536" w:type="dxa"/>
            <w:noWrap w:val="0"/>
            <w:vAlign w:val="center"/>
          </w:tcPr>
          <w:p w14:paraId="68E1ABFF">
            <w:pPr>
              <w:jc w:val="center"/>
              <w:rPr>
                <w:rFonts w:ascii="宋体" w:hAnsi="宋体" w:cs="宋体"/>
                <w:color w:val="auto"/>
                <w:sz w:val="24"/>
                <w:szCs w:val="24"/>
              </w:rPr>
            </w:pPr>
          </w:p>
        </w:tc>
        <w:tc>
          <w:tcPr>
            <w:tcW w:w="1276" w:type="dxa"/>
            <w:noWrap w:val="0"/>
            <w:vAlign w:val="center"/>
          </w:tcPr>
          <w:p w14:paraId="0FEFFA25">
            <w:pPr>
              <w:jc w:val="center"/>
              <w:rPr>
                <w:rFonts w:ascii="宋体" w:hAnsi="宋体" w:cs="宋体"/>
                <w:color w:val="auto"/>
                <w:sz w:val="24"/>
                <w:szCs w:val="24"/>
              </w:rPr>
            </w:pPr>
          </w:p>
        </w:tc>
        <w:tc>
          <w:tcPr>
            <w:tcW w:w="992" w:type="dxa"/>
            <w:noWrap w:val="0"/>
            <w:vAlign w:val="center"/>
          </w:tcPr>
          <w:p w14:paraId="37C96453">
            <w:pPr>
              <w:spacing w:line="400" w:lineRule="exact"/>
              <w:jc w:val="center"/>
              <w:rPr>
                <w:rFonts w:ascii="宋体" w:hAnsi="宋体" w:cs="宋体"/>
                <w:color w:val="auto"/>
                <w:sz w:val="24"/>
                <w:szCs w:val="24"/>
              </w:rPr>
            </w:pPr>
          </w:p>
        </w:tc>
        <w:tc>
          <w:tcPr>
            <w:tcW w:w="1299" w:type="dxa"/>
            <w:noWrap w:val="0"/>
            <w:vAlign w:val="center"/>
          </w:tcPr>
          <w:p w14:paraId="427D91E9">
            <w:pPr>
              <w:spacing w:line="400" w:lineRule="exact"/>
              <w:jc w:val="center"/>
              <w:rPr>
                <w:rFonts w:ascii="宋体" w:hAnsi="宋体" w:cs="宋体"/>
                <w:color w:val="auto"/>
                <w:sz w:val="24"/>
                <w:szCs w:val="24"/>
              </w:rPr>
            </w:pPr>
          </w:p>
        </w:tc>
        <w:tc>
          <w:tcPr>
            <w:tcW w:w="1560" w:type="dxa"/>
            <w:noWrap w:val="0"/>
            <w:vAlign w:val="center"/>
          </w:tcPr>
          <w:p w14:paraId="01B31D36">
            <w:pPr>
              <w:spacing w:line="400" w:lineRule="exact"/>
              <w:jc w:val="center"/>
              <w:rPr>
                <w:rFonts w:ascii="宋体" w:hAnsi="宋体" w:cs="宋体"/>
                <w:color w:val="auto"/>
                <w:sz w:val="24"/>
                <w:szCs w:val="24"/>
              </w:rPr>
            </w:pPr>
          </w:p>
        </w:tc>
        <w:tc>
          <w:tcPr>
            <w:tcW w:w="1417" w:type="dxa"/>
            <w:noWrap w:val="0"/>
            <w:vAlign w:val="center"/>
          </w:tcPr>
          <w:p w14:paraId="5D996B5A">
            <w:pPr>
              <w:spacing w:line="400" w:lineRule="exact"/>
              <w:jc w:val="center"/>
              <w:rPr>
                <w:rFonts w:ascii="宋体" w:hAnsi="宋体" w:cs="宋体"/>
                <w:color w:val="auto"/>
                <w:sz w:val="24"/>
                <w:szCs w:val="24"/>
              </w:rPr>
            </w:pPr>
          </w:p>
        </w:tc>
        <w:tc>
          <w:tcPr>
            <w:tcW w:w="1152" w:type="dxa"/>
            <w:noWrap w:val="0"/>
          </w:tcPr>
          <w:p w14:paraId="39AF6D7D">
            <w:pPr>
              <w:spacing w:line="400" w:lineRule="exact"/>
              <w:jc w:val="center"/>
              <w:rPr>
                <w:rFonts w:ascii="宋体" w:hAnsi="宋体" w:cs="宋体"/>
                <w:color w:val="auto"/>
                <w:sz w:val="24"/>
                <w:szCs w:val="24"/>
              </w:rPr>
            </w:pPr>
          </w:p>
        </w:tc>
      </w:tr>
      <w:tr w14:paraId="3969D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732" w:type="dxa"/>
            <w:noWrap w:val="0"/>
          </w:tcPr>
          <w:p w14:paraId="02B2F4FD">
            <w:pPr>
              <w:spacing w:line="400" w:lineRule="exact"/>
              <w:jc w:val="center"/>
              <w:rPr>
                <w:rFonts w:ascii="宋体" w:hAnsi="宋体" w:cs="宋体"/>
                <w:color w:val="auto"/>
                <w:sz w:val="24"/>
                <w:szCs w:val="24"/>
              </w:rPr>
            </w:pPr>
          </w:p>
        </w:tc>
        <w:tc>
          <w:tcPr>
            <w:tcW w:w="1536" w:type="dxa"/>
            <w:noWrap w:val="0"/>
            <w:vAlign w:val="center"/>
          </w:tcPr>
          <w:p w14:paraId="1472A41B">
            <w:pPr>
              <w:jc w:val="center"/>
              <w:rPr>
                <w:rFonts w:ascii="宋体" w:hAnsi="宋体" w:cs="宋体"/>
                <w:color w:val="auto"/>
                <w:sz w:val="24"/>
                <w:szCs w:val="24"/>
              </w:rPr>
            </w:pPr>
          </w:p>
        </w:tc>
        <w:tc>
          <w:tcPr>
            <w:tcW w:w="1276" w:type="dxa"/>
            <w:noWrap w:val="0"/>
            <w:vAlign w:val="center"/>
          </w:tcPr>
          <w:p w14:paraId="29B74139">
            <w:pPr>
              <w:jc w:val="center"/>
              <w:rPr>
                <w:rFonts w:ascii="宋体" w:hAnsi="宋体" w:cs="宋体"/>
                <w:color w:val="auto"/>
                <w:sz w:val="24"/>
                <w:szCs w:val="24"/>
              </w:rPr>
            </w:pPr>
          </w:p>
        </w:tc>
        <w:tc>
          <w:tcPr>
            <w:tcW w:w="992" w:type="dxa"/>
            <w:noWrap w:val="0"/>
            <w:vAlign w:val="center"/>
          </w:tcPr>
          <w:p w14:paraId="742C9B4F">
            <w:pPr>
              <w:spacing w:line="400" w:lineRule="exact"/>
              <w:jc w:val="center"/>
              <w:rPr>
                <w:rFonts w:ascii="宋体" w:hAnsi="宋体" w:cs="宋体"/>
                <w:color w:val="auto"/>
                <w:sz w:val="24"/>
                <w:szCs w:val="24"/>
              </w:rPr>
            </w:pPr>
          </w:p>
        </w:tc>
        <w:tc>
          <w:tcPr>
            <w:tcW w:w="1299" w:type="dxa"/>
            <w:noWrap w:val="0"/>
            <w:vAlign w:val="center"/>
          </w:tcPr>
          <w:p w14:paraId="0CE60CB6">
            <w:pPr>
              <w:spacing w:line="400" w:lineRule="exact"/>
              <w:jc w:val="center"/>
              <w:rPr>
                <w:rFonts w:ascii="宋体" w:hAnsi="宋体" w:cs="宋体"/>
                <w:color w:val="auto"/>
                <w:sz w:val="24"/>
                <w:szCs w:val="24"/>
              </w:rPr>
            </w:pPr>
          </w:p>
        </w:tc>
        <w:tc>
          <w:tcPr>
            <w:tcW w:w="1560" w:type="dxa"/>
            <w:noWrap w:val="0"/>
            <w:vAlign w:val="center"/>
          </w:tcPr>
          <w:p w14:paraId="0628BFB6">
            <w:pPr>
              <w:spacing w:line="400" w:lineRule="exact"/>
              <w:jc w:val="center"/>
              <w:rPr>
                <w:rFonts w:ascii="宋体" w:hAnsi="宋体" w:cs="宋体"/>
                <w:color w:val="auto"/>
                <w:sz w:val="24"/>
                <w:szCs w:val="24"/>
              </w:rPr>
            </w:pPr>
          </w:p>
        </w:tc>
        <w:tc>
          <w:tcPr>
            <w:tcW w:w="1417" w:type="dxa"/>
            <w:noWrap w:val="0"/>
            <w:vAlign w:val="center"/>
          </w:tcPr>
          <w:p w14:paraId="43B6E167">
            <w:pPr>
              <w:spacing w:line="400" w:lineRule="exact"/>
              <w:jc w:val="center"/>
              <w:rPr>
                <w:rFonts w:ascii="宋体" w:hAnsi="宋体" w:cs="宋体"/>
                <w:color w:val="auto"/>
                <w:sz w:val="24"/>
                <w:szCs w:val="24"/>
              </w:rPr>
            </w:pPr>
          </w:p>
        </w:tc>
        <w:tc>
          <w:tcPr>
            <w:tcW w:w="1152" w:type="dxa"/>
            <w:noWrap w:val="0"/>
          </w:tcPr>
          <w:p w14:paraId="206B0EC7">
            <w:pPr>
              <w:spacing w:line="400" w:lineRule="exact"/>
              <w:jc w:val="center"/>
              <w:rPr>
                <w:rFonts w:ascii="宋体" w:hAnsi="宋体" w:cs="宋体"/>
                <w:color w:val="auto"/>
                <w:sz w:val="24"/>
                <w:szCs w:val="24"/>
              </w:rPr>
            </w:pPr>
          </w:p>
        </w:tc>
      </w:tr>
      <w:tr w14:paraId="4F220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32" w:type="dxa"/>
            <w:noWrap w:val="0"/>
          </w:tcPr>
          <w:p w14:paraId="7D9A8F77">
            <w:pPr>
              <w:spacing w:line="400" w:lineRule="exact"/>
              <w:jc w:val="center"/>
              <w:rPr>
                <w:rFonts w:ascii="宋体" w:hAnsi="宋体" w:cs="宋体"/>
                <w:color w:val="auto"/>
                <w:sz w:val="24"/>
                <w:szCs w:val="24"/>
              </w:rPr>
            </w:pPr>
          </w:p>
        </w:tc>
        <w:tc>
          <w:tcPr>
            <w:tcW w:w="1536" w:type="dxa"/>
            <w:noWrap w:val="0"/>
            <w:vAlign w:val="center"/>
          </w:tcPr>
          <w:p w14:paraId="43D550BF">
            <w:pPr>
              <w:jc w:val="center"/>
              <w:rPr>
                <w:rFonts w:ascii="宋体" w:hAnsi="宋体" w:cs="宋体"/>
                <w:color w:val="auto"/>
                <w:sz w:val="24"/>
                <w:szCs w:val="24"/>
              </w:rPr>
            </w:pPr>
          </w:p>
        </w:tc>
        <w:tc>
          <w:tcPr>
            <w:tcW w:w="1276" w:type="dxa"/>
            <w:noWrap w:val="0"/>
            <w:vAlign w:val="center"/>
          </w:tcPr>
          <w:p w14:paraId="65BD2E5C">
            <w:pPr>
              <w:jc w:val="center"/>
              <w:rPr>
                <w:rFonts w:ascii="宋体" w:hAnsi="宋体" w:cs="宋体"/>
                <w:color w:val="auto"/>
                <w:sz w:val="24"/>
                <w:szCs w:val="24"/>
              </w:rPr>
            </w:pPr>
          </w:p>
        </w:tc>
        <w:tc>
          <w:tcPr>
            <w:tcW w:w="992" w:type="dxa"/>
            <w:noWrap w:val="0"/>
            <w:vAlign w:val="center"/>
          </w:tcPr>
          <w:p w14:paraId="2E30C389">
            <w:pPr>
              <w:spacing w:line="400" w:lineRule="exact"/>
              <w:jc w:val="center"/>
              <w:rPr>
                <w:rFonts w:ascii="宋体" w:hAnsi="宋体" w:cs="宋体"/>
                <w:color w:val="auto"/>
                <w:sz w:val="24"/>
                <w:szCs w:val="24"/>
              </w:rPr>
            </w:pPr>
          </w:p>
        </w:tc>
        <w:tc>
          <w:tcPr>
            <w:tcW w:w="1299" w:type="dxa"/>
            <w:noWrap w:val="0"/>
            <w:vAlign w:val="center"/>
          </w:tcPr>
          <w:p w14:paraId="66B1AC00">
            <w:pPr>
              <w:spacing w:line="400" w:lineRule="exact"/>
              <w:jc w:val="center"/>
              <w:rPr>
                <w:rFonts w:ascii="宋体" w:hAnsi="宋体" w:cs="宋体"/>
                <w:color w:val="auto"/>
                <w:sz w:val="24"/>
                <w:szCs w:val="24"/>
              </w:rPr>
            </w:pPr>
          </w:p>
        </w:tc>
        <w:tc>
          <w:tcPr>
            <w:tcW w:w="1560" w:type="dxa"/>
            <w:noWrap w:val="0"/>
            <w:vAlign w:val="center"/>
          </w:tcPr>
          <w:p w14:paraId="211C9A7A">
            <w:pPr>
              <w:spacing w:line="400" w:lineRule="exact"/>
              <w:jc w:val="center"/>
              <w:rPr>
                <w:rFonts w:ascii="宋体" w:hAnsi="宋体" w:cs="宋体"/>
                <w:color w:val="auto"/>
                <w:sz w:val="24"/>
                <w:szCs w:val="24"/>
              </w:rPr>
            </w:pPr>
          </w:p>
        </w:tc>
        <w:tc>
          <w:tcPr>
            <w:tcW w:w="1417" w:type="dxa"/>
            <w:noWrap w:val="0"/>
            <w:vAlign w:val="center"/>
          </w:tcPr>
          <w:p w14:paraId="7EF00938">
            <w:pPr>
              <w:spacing w:line="400" w:lineRule="exact"/>
              <w:jc w:val="center"/>
              <w:rPr>
                <w:rFonts w:ascii="宋体" w:hAnsi="宋体" w:cs="宋体"/>
                <w:color w:val="auto"/>
                <w:sz w:val="24"/>
                <w:szCs w:val="24"/>
              </w:rPr>
            </w:pPr>
          </w:p>
        </w:tc>
        <w:tc>
          <w:tcPr>
            <w:tcW w:w="1152" w:type="dxa"/>
            <w:noWrap w:val="0"/>
          </w:tcPr>
          <w:p w14:paraId="5A66D104">
            <w:pPr>
              <w:spacing w:line="400" w:lineRule="exact"/>
              <w:jc w:val="center"/>
              <w:rPr>
                <w:rFonts w:ascii="宋体" w:hAnsi="宋体" w:cs="宋体"/>
                <w:color w:val="auto"/>
                <w:sz w:val="24"/>
                <w:szCs w:val="24"/>
              </w:rPr>
            </w:pPr>
          </w:p>
        </w:tc>
      </w:tr>
      <w:tr w14:paraId="51746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32" w:type="dxa"/>
            <w:noWrap w:val="0"/>
          </w:tcPr>
          <w:p w14:paraId="2399FEEF">
            <w:pPr>
              <w:spacing w:line="400" w:lineRule="exact"/>
              <w:jc w:val="center"/>
              <w:rPr>
                <w:rFonts w:ascii="宋体" w:hAnsi="宋体" w:cs="宋体"/>
                <w:color w:val="auto"/>
                <w:sz w:val="24"/>
                <w:szCs w:val="24"/>
              </w:rPr>
            </w:pPr>
          </w:p>
        </w:tc>
        <w:tc>
          <w:tcPr>
            <w:tcW w:w="1536" w:type="dxa"/>
            <w:noWrap w:val="0"/>
            <w:vAlign w:val="center"/>
          </w:tcPr>
          <w:p w14:paraId="5A49DE9E">
            <w:pPr>
              <w:jc w:val="center"/>
              <w:rPr>
                <w:rFonts w:ascii="宋体" w:hAnsi="宋体" w:cs="宋体"/>
                <w:color w:val="auto"/>
                <w:sz w:val="24"/>
                <w:szCs w:val="24"/>
              </w:rPr>
            </w:pPr>
          </w:p>
        </w:tc>
        <w:tc>
          <w:tcPr>
            <w:tcW w:w="1276" w:type="dxa"/>
            <w:noWrap w:val="0"/>
            <w:vAlign w:val="center"/>
          </w:tcPr>
          <w:p w14:paraId="6DC74D89">
            <w:pPr>
              <w:jc w:val="center"/>
              <w:rPr>
                <w:rFonts w:ascii="宋体" w:hAnsi="宋体" w:cs="宋体"/>
                <w:color w:val="auto"/>
                <w:sz w:val="24"/>
                <w:szCs w:val="24"/>
              </w:rPr>
            </w:pPr>
          </w:p>
        </w:tc>
        <w:tc>
          <w:tcPr>
            <w:tcW w:w="992" w:type="dxa"/>
            <w:noWrap w:val="0"/>
            <w:vAlign w:val="center"/>
          </w:tcPr>
          <w:p w14:paraId="7B06A38E">
            <w:pPr>
              <w:spacing w:line="400" w:lineRule="exact"/>
              <w:jc w:val="center"/>
              <w:rPr>
                <w:rFonts w:ascii="宋体" w:hAnsi="宋体" w:cs="宋体"/>
                <w:color w:val="auto"/>
                <w:sz w:val="24"/>
                <w:szCs w:val="24"/>
              </w:rPr>
            </w:pPr>
          </w:p>
        </w:tc>
        <w:tc>
          <w:tcPr>
            <w:tcW w:w="1299" w:type="dxa"/>
            <w:noWrap w:val="0"/>
            <w:vAlign w:val="center"/>
          </w:tcPr>
          <w:p w14:paraId="7F619C05">
            <w:pPr>
              <w:spacing w:line="400" w:lineRule="exact"/>
              <w:jc w:val="center"/>
              <w:rPr>
                <w:rFonts w:ascii="宋体" w:hAnsi="宋体" w:cs="宋体"/>
                <w:color w:val="auto"/>
                <w:sz w:val="24"/>
                <w:szCs w:val="24"/>
              </w:rPr>
            </w:pPr>
          </w:p>
        </w:tc>
        <w:tc>
          <w:tcPr>
            <w:tcW w:w="1560" w:type="dxa"/>
            <w:noWrap w:val="0"/>
            <w:vAlign w:val="center"/>
          </w:tcPr>
          <w:p w14:paraId="0A60EEB8">
            <w:pPr>
              <w:spacing w:line="400" w:lineRule="exact"/>
              <w:jc w:val="center"/>
              <w:rPr>
                <w:rFonts w:ascii="宋体" w:hAnsi="宋体" w:cs="宋体"/>
                <w:color w:val="auto"/>
                <w:sz w:val="24"/>
                <w:szCs w:val="24"/>
              </w:rPr>
            </w:pPr>
          </w:p>
        </w:tc>
        <w:tc>
          <w:tcPr>
            <w:tcW w:w="1417" w:type="dxa"/>
            <w:noWrap w:val="0"/>
            <w:vAlign w:val="center"/>
          </w:tcPr>
          <w:p w14:paraId="24903385">
            <w:pPr>
              <w:spacing w:line="400" w:lineRule="exact"/>
              <w:jc w:val="center"/>
              <w:rPr>
                <w:rFonts w:ascii="宋体" w:hAnsi="宋体" w:cs="宋体"/>
                <w:color w:val="auto"/>
                <w:sz w:val="24"/>
                <w:szCs w:val="24"/>
              </w:rPr>
            </w:pPr>
          </w:p>
        </w:tc>
        <w:tc>
          <w:tcPr>
            <w:tcW w:w="1152" w:type="dxa"/>
            <w:noWrap w:val="0"/>
          </w:tcPr>
          <w:p w14:paraId="1CB87A79">
            <w:pPr>
              <w:spacing w:line="400" w:lineRule="exact"/>
              <w:jc w:val="center"/>
              <w:rPr>
                <w:rFonts w:ascii="宋体" w:hAnsi="宋体" w:cs="宋体"/>
                <w:color w:val="auto"/>
                <w:sz w:val="24"/>
                <w:szCs w:val="24"/>
              </w:rPr>
            </w:pPr>
          </w:p>
        </w:tc>
      </w:tr>
      <w:tr w14:paraId="1A1F5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32" w:type="dxa"/>
            <w:noWrap w:val="0"/>
          </w:tcPr>
          <w:p w14:paraId="07F13C4F">
            <w:pPr>
              <w:spacing w:line="400" w:lineRule="exact"/>
              <w:jc w:val="center"/>
              <w:rPr>
                <w:rFonts w:ascii="宋体" w:hAnsi="宋体" w:cs="宋体"/>
                <w:color w:val="auto"/>
                <w:sz w:val="24"/>
                <w:szCs w:val="24"/>
              </w:rPr>
            </w:pPr>
          </w:p>
        </w:tc>
        <w:tc>
          <w:tcPr>
            <w:tcW w:w="1536" w:type="dxa"/>
            <w:noWrap w:val="0"/>
            <w:vAlign w:val="center"/>
          </w:tcPr>
          <w:p w14:paraId="1FFB6A69">
            <w:pPr>
              <w:jc w:val="center"/>
              <w:rPr>
                <w:rFonts w:ascii="宋体" w:hAnsi="宋体" w:cs="宋体"/>
                <w:color w:val="auto"/>
                <w:sz w:val="24"/>
                <w:szCs w:val="24"/>
              </w:rPr>
            </w:pPr>
          </w:p>
        </w:tc>
        <w:tc>
          <w:tcPr>
            <w:tcW w:w="1276" w:type="dxa"/>
            <w:noWrap w:val="0"/>
            <w:vAlign w:val="center"/>
          </w:tcPr>
          <w:p w14:paraId="71B98902">
            <w:pPr>
              <w:jc w:val="center"/>
              <w:rPr>
                <w:rFonts w:ascii="宋体" w:hAnsi="宋体" w:cs="宋体"/>
                <w:color w:val="auto"/>
                <w:sz w:val="24"/>
                <w:szCs w:val="24"/>
              </w:rPr>
            </w:pPr>
          </w:p>
        </w:tc>
        <w:tc>
          <w:tcPr>
            <w:tcW w:w="992" w:type="dxa"/>
            <w:noWrap w:val="0"/>
            <w:vAlign w:val="center"/>
          </w:tcPr>
          <w:p w14:paraId="5EC47A74">
            <w:pPr>
              <w:spacing w:line="400" w:lineRule="exact"/>
              <w:jc w:val="center"/>
              <w:rPr>
                <w:rFonts w:ascii="宋体" w:hAnsi="宋体" w:cs="宋体"/>
                <w:color w:val="auto"/>
                <w:sz w:val="24"/>
                <w:szCs w:val="24"/>
              </w:rPr>
            </w:pPr>
          </w:p>
        </w:tc>
        <w:tc>
          <w:tcPr>
            <w:tcW w:w="1299" w:type="dxa"/>
            <w:noWrap w:val="0"/>
            <w:vAlign w:val="center"/>
          </w:tcPr>
          <w:p w14:paraId="18E88718">
            <w:pPr>
              <w:spacing w:line="400" w:lineRule="exact"/>
              <w:jc w:val="center"/>
              <w:rPr>
                <w:rFonts w:ascii="宋体" w:hAnsi="宋体" w:cs="宋体"/>
                <w:color w:val="auto"/>
                <w:sz w:val="24"/>
                <w:szCs w:val="24"/>
              </w:rPr>
            </w:pPr>
          </w:p>
        </w:tc>
        <w:tc>
          <w:tcPr>
            <w:tcW w:w="1560" w:type="dxa"/>
            <w:noWrap w:val="0"/>
            <w:vAlign w:val="center"/>
          </w:tcPr>
          <w:p w14:paraId="72933639">
            <w:pPr>
              <w:spacing w:line="400" w:lineRule="exact"/>
              <w:jc w:val="center"/>
              <w:rPr>
                <w:rFonts w:ascii="宋体" w:hAnsi="宋体" w:cs="宋体"/>
                <w:color w:val="auto"/>
                <w:sz w:val="24"/>
                <w:szCs w:val="24"/>
              </w:rPr>
            </w:pPr>
          </w:p>
        </w:tc>
        <w:tc>
          <w:tcPr>
            <w:tcW w:w="1417" w:type="dxa"/>
            <w:noWrap w:val="0"/>
            <w:vAlign w:val="center"/>
          </w:tcPr>
          <w:p w14:paraId="6DF8C26A">
            <w:pPr>
              <w:spacing w:line="400" w:lineRule="exact"/>
              <w:jc w:val="center"/>
              <w:rPr>
                <w:rFonts w:ascii="宋体" w:hAnsi="宋体" w:cs="宋体"/>
                <w:color w:val="auto"/>
                <w:sz w:val="24"/>
                <w:szCs w:val="24"/>
              </w:rPr>
            </w:pPr>
          </w:p>
        </w:tc>
        <w:tc>
          <w:tcPr>
            <w:tcW w:w="1152" w:type="dxa"/>
            <w:noWrap w:val="0"/>
          </w:tcPr>
          <w:p w14:paraId="59D75250">
            <w:pPr>
              <w:spacing w:line="400" w:lineRule="exact"/>
              <w:jc w:val="center"/>
              <w:rPr>
                <w:rFonts w:ascii="宋体" w:hAnsi="宋体" w:cs="宋体"/>
                <w:color w:val="auto"/>
                <w:sz w:val="24"/>
                <w:szCs w:val="24"/>
              </w:rPr>
            </w:pPr>
          </w:p>
        </w:tc>
      </w:tr>
      <w:tr w14:paraId="5B70B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32" w:type="dxa"/>
            <w:noWrap w:val="0"/>
          </w:tcPr>
          <w:p w14:paraId="6CA76E19">
            <w:pPr>
              <w:spacing w:line="400" w:lineRule="exact"/>
              <w:jc w:val="center"/>
              <w:rPr>
                <w:rFonts w:ascii="宋体" w:hAnsi="宋体" w:cs="宋体"/>
                <w:color w:val="auto"/>
                <w:sz w:val="24"/>
                <w:szCs w:val="24"/>
              </w:rPr>
            </w:pPr>
          </w:p>
        </w:tc>
        <w:tc>
          <w:tcPr>
            <w:tcW w:w="1536" w:type="dxa"/>
            <w:noWrap w:val="0"/>
            <w:vAlign w:val="center"/>
          </w:tcPr>
          <w:p w14:paraId="16BB84CA">
            <w:pPr>
              <w:jc w:val="center"/>
              <w:rPr>
                <w:rFonts w:ascii="宋体" w:hAnsi="宋体" w:cs="宋体"/>
                <w:color w:val="auto"/>
                <w:sz w:val="24"/>
                <w:szCs w:val="24"/>
              </w:rPr>
            </w:pPr>
          </w:p>
        </w:tc>
        <w:tc>
          <w:tcPr>
            <w:tcW w:w="1276" w:type="dxa"/>
            <w:noWrap w:val="0"/>
            <w:vAlign w:val="center"/>
          </w:tcPr>
          <w:p w14:paraId="5A187E31">
            <w:pPr>
              <w:jc w:val="center"/>
              <w:rPr>
                <w:rFonts w:ascii="宋体" w:hAnsi="宋体" w:cs="宋体"/>
                <w:color w:val="auto"/>
                <w:sz w:val="24"/>
                <w:szCs w:val="24"/>
              </w:rPr>
            </w:pPr>
          </w:p>
        </w:tc>
        <w:tc>
          <w:tcPr>
            <w:tcW w:w="992" w:type="dxa"/>
            <w:noWrap w:val="0"/>
            <w:vAlign w:val="center"/>
          </w:tcPr>
          <w:p w14:paraId="7B27348F">
            <w:pPr>
              <w:spacing w:line="400" w:lineRule="exact"/>
              <w:jc w:val="center"/>
              <w:rPr>
                <w:rFonts w:ascii="宋体" w:hAnsi="宋体" w:cs="宋体"/>
                <w:color w:val="auto"/>
                <w:sz w:val="24"/>
                <w:szCs w:val="24"/>
              </w:rPr>
            </w:pPr>
          </w:p>
        </w:tc>
        <w:tc>
          <w:tcPr>
            <w:tcW w:w="1299" w:type="dxa"/>
            <w:noWrap w:val="0"/>
            <w:vAlign w:val="center"/>
          </w:tcPr>
          <w:p w14:paraId="5CFFF651">
            <w:pPr>
              <w:spacing w:line="400" w:lineRule="exact"/>
              <w:jc w:val="center"/>
              <w:rPr>
                <w:rFonts w:ascii="宋体" w:hAnsi="宋体" w:cs="宋体"/>
                <w:color w:val="auto"/>
                <w:sz w:val="24"/>
                <w:szCs w:val="24"/>
              </w:rPr>
            </w:pPr>
          </w:p>
        </w:tc>
        <w:tc>
          <w:tcPr>
            <w:tcW w:w="1560" w:type="dxa"/>
            <w:noWrap w:val="0"/>
            <w:vAlign w:val="center"/>
          </w:tcPr>
          <w:p w14:paraId="25367257">
            <w:pPr>
              <w:spacing w:line="400" w:lineRule="exact"/>
              <w:jc w:val="center"/>
              <w:rPr>
                <w:rFonts w:ascii="宋体" w:hAnsi="宋体" w:cs="宋体"/>
                <w:color w:val="auto"/>
                <w:sz w:val="24"/>
                <w:szCs w:val="24"/>
              </w:rPr>
            </w:pPr>
          </w:p>
        </w:tc>
        <w:tc>
          <w:tcPr>
            <w:tcW w:w="1417" w:type="dxa"/>
            <w:noWrap w:val="0"/>
            <w:vAlign w:val="center"/>
          </w:tcPr>
          <w:p w14:paraId="43F8209E">
            <w:pPr>
              <w:spacing w:line="400" w:lineRule="exact"/>
              <w:jc w:val="center"/>
              <w:rPr>
                <w:rFonts w:ascii="宋体" w:hAnsi="宋体" w:cs="宋体"/>
                <w:color w:val="auto"/>
                <w:sz w:val="24"/>
                <w:szCs w:val="24"/>
              </w:rPr>
            </w:pPr>
          </w:p>
        </w:tc>
        <w:tc>
          <w:tcPr>
            <w:tcW w:w="1152" w:type="dxa"/>
            <w:noWrap w:val="0"/>
          </w:tcPr>
          <w:p w14:paraId="2D89E77A">
            <w:pPr>
              <w:spacing w:line="400" w:lineRule="exact"/>
              <w:jc w:val="center"/>
              <w:rPr>
                <w:rFonts w:ascii="宋体" w:hAnsi="宋体" w:cs="宋体"/>
                <w:color w:val="auto"/>
                <w:sz w:val="24"/>
                <w:szCs w:val="24"/>
              </w:rPr>
            </w:pPr>
          </w:p>
        </w:tc>
      </w:tr>
      <w:tr w14:paraId="752BF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32" w:type="dxa"/>
            <w:noWrap w:val="0"/>
          </w:tcPr>
          <w:p w14:paraId="5266A15F">
            <w:pPr>
              <w:spacing w:line="400" w:lineRule="exact"/>
              <w:jc w:val="center"/>
              <w:rPr>
                <w:rFonts w:ascii="宋体" w:hAnsi="宋体" w:cs="宋体"/>
                <w:color w:val="auto"/>
                <w:sz w:val="24"/>
                <w:szCs w:val="24"/>
              </w:rPr>
            </w:pPr>
          </w:p>
        </w:tc>
        <w:tc>
          <w:tcPr>
            <w:tcW w:w="1536" w:type="dxa"/>
            <w:noWrap w:val="0"/>
            <w:vAlign w:val="center"/>
          </w:tcPr>
          <w:p w14:paraId="4D07F16A">
            <w:pPr>
              <w:jc w:val="center"/>
              <w:rPr>
                <w:rFonts w:ascii="宋体" w:hAnsi="宋体" w:cs="宋体"/>
                <w:color w:val="auto"/>
                <w:sz w:val="24"/>
                <w:szCs w:val="24"/>
              </w:rPr>
            </w:pPr>
          </w:p>
        </w:tc>
        <w:tc>
          <w:tcPr>
            <w:tcW w:w="1276" w:type="dxa"/>
            <w:noWrap w:val="0"/>
            <w:vAlign w:val="center"/>
          </w:tcPr>
          <w:p w14:paraId="7E999A4E">
            <w:pPr>
              <w:jc w:val="center"/>
              <w:rPr>
                <w:rFonts w:ascii="宋体" w:hAnsi="宋体" w:cs="宋体"/>
                <w:color w:val="auto"/>
                <w:sz w:val="24"/>
                <w:szCs w:val="24"/>
              </w:rPr>
            </w:pPr>
          </w:p>
        </w:tc>
        <w:tc>
          <w:tcPr>
            <w:tcW w:w="992" w:type="dxa"/>
            <w:noWrap w:val="0"/>
            <w:vAlign w:val="center"/>
          </w:tcPr>
          <w:p w14:paraId="3682501E">
            <w:pPr>
              <w:spacing w:line="400" w:lineRule="exact"/>
              <w:jc w:val="center"/>
              <w:rPr>
                <w:rFonts w:ascii="宋体" w:hAnsi="宋体" w:cs="宋体"/>
                <w:color w:val="auto"/>
                <w:sz w:val="24"/>
                <w:szCs w:val="24"/>
              </w:rPr>
            </w:pPr>
          </w:p>
        </w:tc>
        <w:tc>
          <w:tcPr>
            <w:tcW w:w="1299" w:type="dxa"/>
            <w:noWrap w:val="0"/>
            <w:vAlign w:val="center"/>
          </w:tcPr>
          <w:p w14:paraId="4204A0E7">
            <w:pPr>
              <w:spacing w:line="400" w:lineRule="exact"/>
              <w:jc w:val="center"/>
              <w:rPr>
                <w:rFonts w:ascii="宋体" w:hAnsi="宋体" w:cs="宋体"/>
                <w:color w:val="auto"/>
                <w:sz w:val="24"/>
                <w:szCs w:val="24"/>
              </w:rPr>
            </w:pPr>
          </w:p>
        </w:tc>
        <w:tc>
          <w:tcPr>
            <w:tcW w:w="1560" w:type="dxa"/>
            <w:noWrap w:val="0"/>
            <w:vAlign w:val="center"/>
          </w:tcPr>
          <w:p w14:paraId="3B8ECC32">
            <w:pPr>
              <w:spacing w:line="400" w:lineRule="exact"/>
              <w:jc w:val="center"/>
              <w:rPr>
                <w:rFonts w:ascii="宋体" w:hAnsi="宋体" w:cs="宋体"/>
                <w:color w:val="auto"/>
                <w:sz w:val="24"/>
                <w:szCs w:val="24"/>
              </w:rPr>
            </w:pPr>
          </w:p>
        </w:tc>
        <w:tc>
          <w:tcPr>
            <w:tcW w:w="1417" w:type="dxa"/>
            <w:noWrap w:val="0"/>
            <w:vAlign w:val="center"/>
          </w:tcPr>
          <w:p w14:paraId="4EEAAB42">
            <w:pPr>
              <w:spacing w:line="400" w:lineRule="exact"/>
              <w:jc w:val="center"/>
              <w:rPr>
                <w:rFonts w:ascii="宋体" w:hAnsi="宋体" w:cs="宋体"/>
                <w:color w:val="auto"/>
                <w:sz w:val="24"/>
                <w:szCs w:val="24"/>
              </w:rPr>
            </w:pPr>
          </w:p>
        </w:tc>
        <w:tc>
          <w:tcPr>
            <w:tcW w:w="1152" w:type="dxa"/>
            <w:noWrap w:val="0"/>
          </w:tcPr>
          <w:p w14:paraId="275488CF">
            <w:pPr>
              <w:spacing w:line="400" w:lineRule="exact"/>
              <w:jc w:val="center"/>
              <w:rPr>
                <w:rFonts w:ascii="宋体" w:hAnsi="宋体" w:cs="宋体"/>
                <w:color w:val="auto"/>
                <w:sz w:val="24"/>
                <w:szCs w:val="24"/>
              </w:rPr>
            </w:pPr>
          </w:p>
        </w:tc>
      </w:tr>
      <w:tr w14:paraId="25E11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32" w:type="dxa"/>
            <w:noWrap w:val="0"/>
          </w:tcPr>
          <w:p w14:paraId="6F8E68E6">
            <w:pPr>
              <w:spacing w:line="400" w:lineRule="exact"/>
              <w:jc w:val="center"/>
              <w:rPr>
                <w:rFonts w:ascii="宋体" w:hAnsi="宋体" w:cs="宋体"/>
                <w:color w:val="auto"/>
                <w:sz w:val="24"/>
                <w:szCs w:val="24"/>
              </w:rPr>
            </w:pPr>
          </w:p>
        </w:tc>
        <w:tc>
          <w:tcPr>
            <w:tcW w:w="1536" w:type="dxa"/>
            <w:noWrap w:val="0"/>
            <w:vAlign w:val="center"/>
          </w:tcPr>
          <w:p w14:paraId="002F1168">
            <w:pPr>
              <w:jc w:val="center"/>
              <w:rPr>
                <w:rFonts w:ascii="宋体" w:hAnsi="宋体" w:cs="宋体"/>
                <w:color w:val="auto"/>
                <w:sz w:val="24"/>
                <w:szCs w:val="24"/>
              </w:rPr>
            </w:pPr>
          </w:p>
        </w:tc>
        <w:tc>
          <w:tcPr>
            <w:tcW w:w="1276" w:type="dxa"/>
            <w:noWrap w:val="0"/>
            <w:vAlign w:val="center"/>
          </w:tcPr>
          <w:p w14:paraId="166FB6DE">
            <w:pPr>
              <w:jc w:val="center"/>
              <w:rPr>
                <w:rFonts w:ascii="宋体" w:hAnsi="宋体" w:cs="宋体"/>
                <w:color w:val="auto"/>
                <w:sz w:val="24"/>
                <w:szCs w:val="24"/>
              </w:rPr>
            </w:pPr>
          </w:p>
        </w:tc>
        <w:tc>
          <w:tcPr>
            <w:tcW w:w="992" w:type="dxa"/>
            <w:noWrap w:val="0"/>
            <w:vAlign w:val="center"/>
          </w:tcPr>
          <w:p w14:paraId="1432BF15">
            <w:pPr>
              <w:spacing w:line="400" w:lineRule="exact"/>
              <w:jc w:val="center"/>
              <w:rPr>
                <w:rFonts w:ascii="宋体" w:hAnsi="宋体" w:cs="宋体"/>
                <w:color w:val="auto"/>
                <w:sz w:val="24"/>
                <w:szCs w:val="24"/>
              </w:rPr>
            </w:pPr>
          </w:p>
        </w:tc>
        <w:tc>
          <w:tcPr>
            <w:tcW w:w="1299" w:type="dxa"/>
            <w:noWrap w:val="0"/>
            <w:vAlign w:val="center"/>
          </w:tcPr>
          <w:p w14:paraId="0991CC89">
            <w:pPr>
              <w:spacing w:line="400" w:lineRule="exact"/>
              <w:jc w:val="center"/>
              <w:rPr>
                <w:rFonts w:ascii="宋体" w:hAnsi="宋体" w:cs="宋体"/>
                <w:color w:val="auto"/>
                <w:sz w:val="24"/>
                <w:szCs w:val="24"/>
              </w:rPr>
            </w:pPr>
          </w:p>
        </w:tc>
        <w:tc>
          <w:tcPr>
            <w:tcW w:w="1560" w:type="dxa"/>
            <w:noWrap w:val="0"/>
            <w:vAlign w:val="center"/>
          </w:tcPr>
          <w:p w14:paraId="2346A5A8">
            <w:pPr>
              <w:spacing w:line="400" w:lineRule="exact"/>
              <w:jc w:val="center"/>
              <w:rPr>
                <w:rFonts w:ascii="宋体" w:hAnsi="宋体" w:cs="宋体"/>
                <w:color w:val="auto"/>
                <w:sz w:val="24"/>
                <w:szCs w:val="24"/>
              </w:rPr>
            </w:pPr>
          </w:p>
        </w:tc>
        <w:tc>
          <w:tcPr>
            <w:tcW w:w="1417" w:type="dxa"/>
            <w:noWrap w:val="0"/>
            <w:vAlign w:val="center"/>
          </w:tcPr>
          <w:p w14:paraId="23710AC8">
            <w:pPr>
              <w:spacing w:line="400" w:lineRule="exact"/>
              <w:jc w:val="center"/>
              <w:rPr>
                <w:rFonts w:ascii="宋体" w:hAnsi="宋体" w:cs="宋体"/>
                <w:color w:val="auto"/>
                <w:sz w:val="24"/>
                <w:szCs w:val="24"/>
              </w:rPr>
            </w:pPr>
          </w:p>
        </w:tc>
        <w:tc>
          <w:tcPr>
            <w:tcW w:w="1152" w:type="dxa"/>
            <w:noWrap w:val="0"/>
          </w:tcPr>
          <w:p w14:paraId="3D7E9069">
            <w:pPr>
              <w:spacing w:line="400" w:lineRule="exact"/>
              <w:jc w:val="center"/>
              <w:rPr>
                <w:rFonts w:ascii="宋体" w:hAnsi="宋体" w:cs="宋体"/>
                <w:color w:val="auto"/>
                <w:sz w:val="24"/>
                <w:szCs w:val="24"/>
              </w:rPr>
            </w:pPr>
          </w:p>
        </w:tc>
      </w:tr>
      <w:tr w14:paraId="64320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32" w:type="dxa"/>
            <w:noWrap w:val="0"/>
          </w:tcPr>
          <w:p w14:paraId="2E8DA7CC">
            <w:pPr>
              <w:spacing w:line="400" w:lineRule="exact"/>
              <w:jc w:val="center"/>
              <w:rPr>
                <w:rFonts w:ascii="宋体" w:hAnsi="宋体" w:cs="宋体"/>
                <w:color w:val="auto"/>
                <w:sz w:val="24"/>
                <w:szCs w:val="24"/>
              </w:rPr>
            </w:pPr>
          </w:p>
        </w:tc>
        <w:tc>
          <w:tcPr>
            <w:tcW w:w="1536" w:type="dxa"/>
            <w:noWrap w:val="0"/>
            <w:vAlign w:val="center"/>
          </w:tcPr>
          <w:p w14:paraId="6B2FF93E">
            <w:pPr>
              <w:jc w:val="center"/>
              <w:rPr>
                <w:rFonts w:ascii="宋体" w:hAnsi="宋体" w:cs="宋体"/>
                <w:color w:val="auto"/>
                <w:sz w:val="24"/>
                <w:szCs w:val="24"/>
              </w:rPr>
            </w:pPr>
          </w:p>
        </w:tc>
        <w:tc>
          <w:tcPr>
            <w:tcW w:w="1276" w:type="dxa"/>
            <w:noWrap w:val="0"/>
            <w:vAlign w:val="center"/>
          </w:tcPr>
          <w:p w14:paraId="4ADA05FC">
            <w:pPr>
              <w:jc w:val="center"/>
              <w:rPr>
                <w:rFonts w:ascii="宋体" w:hAnsi="宋体" w:cs="宋体"/>
                <w:color w:val="auto"/>
                <w:sz w:val="24"/>
                <w:szCs w:val="24"/>
              </w:rPr>
            </w:pPr>
          </w:p>
        </w:tc>
        <w:tc>
          <w:tcPr>
            <w:tcW w:w="992" w:type="dxa"/>
            <w:noWrap w:val="0"/>
            <w:vAlign w:val="center"/>
          </w:tcPr>
          <w:p w14:paraId="49F601D2">
            <w:pPr>
              <w:spacing w:line="400" w:lineRule="exact"/>
              <w:jc w:val="center"/>
              <w:rPr>
                <w:rFonts w:ascii="宋体" w:hAnsi="宋体" w:cs="宋体"/>
                <w:color w:val="auto"/>
                <w:sz w:val="24"/>
                <w:szCs w:val="24"/>
              </w:rPr>
            </w:pPr>
          </w:p>
        </w:tc>
        <w:tc>
          <w:tcPr>
            <w:tcW w:w="1299" w:type="dxa"/>
            <w:noWrap w:val="0"/>
            <w:vAlign w:val="center"/>
          </w:tcPr>
          <w:p w14:paraId="0723478B">
            <w:pPr>
              <w:spacing w:line="400" w:lineRule="exact"/>
              <w:jc w:val="center"/>
              <w:rPr>
                <w:rFonts w:ascii="宋体" w:hAnsi="宋体" w:cs="宋体"/>
                <w:color w:val="auto"/>
                <w:sz w:val="24"/>
                <w:szCs w:val="24"/>
              </w:rPr>
            </w:pPr>
          </w:p>
        </w:tc>
        <w:tc>
          <w:tcPr>
            <w:tcW w:w="1560" w:type="dxa"/>
            <w:noWrap w:val="0"/>
            <w:vAlign w:val="center"/>
          </w:tcPr>
          <w:p w14:paraId="0AC31006">
            <w:pPr>
              <w:spacing w:line="400" w:lineRule="exact"/>
              <w:jc w:val="center"/>
              <w:rPr>
                <w:rFonts w:ascii="宋体" w:hAnsi="宋体" w:cs="宋体"/>
                <w:color w:val="auto"/>
                <w:sz w:val="24"/>
                <w:szCs w:val="24"/>
              </w:rPr>
            </w:pPr>
          </w:p>
        </w:tc>
        <w:tc>
          <w:tcPr>
            <w:tcW w:w="1417" w:type="dxa"/>
            <w:noWrap w:val="0"/>
            <w:vAlign w:val="center"/>
          </w:tcPr>
          <w:p w14:paraId="10787DFC">
            <w:pPr>
              <w:spacing w:line="400" w:lineRule="exact"/>
              <w:jc w:val="center"/>
              <w:rPr>
                <w:rFonts w:ascii="宋体" w:hAnsi="宋体" w:cs="宋体"/>
                <w:color w:val="auto"/>
                <w:sz w:val="24"/>
                <w:szCs w:val="24"/>
              </w:rPr>
            </w:pPr>
          </w:p>
        </w:tc>
        <w:tc>
          <w:tcPr>
            <w:tcW w:w="1152" w:type="dxa"/>
            <w:noWrap w:val="0"/>
          </w:tcPr>
          <w:p w14:paraId="7EC1675E">
            <w:pPr>
              <w:spacing w:line="400" w:lineRule="exact"/>
              <w:jc w:val="center"/>
              <w:rPr>
                <w:rFonts w:ascii="宋体" w:hAnsi="宋体" w:cs="宋体"/>
                <w:color w:val="auto"/>
                <w:sz w:val="24"/>
                <w:szCs w:val="24"/>
              </w:rPr>
            </w:pPr>
          </w:p>
        </w:tc>
      </w:tr>
      <w:tr w14:paraId="3540E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32" w:type="dxa"/>
            <w:noWrap w:val="0"/>
          </w:tcPr>
          <w:p w14:paraId="2061FC82">
            <w:pPr>
              <w:spacing w:line="400" w:lineRule="exact"/>
              <w:jc w:val="center"/>
              <w:rPr>
                <w:rFonts w:ascii="宋体" w:hAnsi="宋体" w:cs="宋体"/>
                <w:color w:val="auto"/>
                <w:sz w:val="24"/>
                <w:szCs w:val="24"/>
              </w:rPr>
            </w:pPr>
          </w:p>
        </w:tc>
        <w:tc>
          <w:tcPr>
            <w:tcW w:w="1536" w:type="dxa"/>
            <w:noWrap w:val="0"/>
            <w:vAlign w:val="center"/>
          </w:tcPr>
          <w:p w14:paraId="5969AD7A">
            <w:pPr>
              <w:spacing w:line="400" w:lineRule="exact"/>
              <w:jc w:val="center"/>
              <w:rPr>
                <w:rFonts w:ascii="宋体" w:hAnsi="宋体" w:cs="宋体"/>
                <w:color w:val="auto"/>
                <w:sz w:val="24"/>
                <w:szCs w:val="24"/>
              </w:rPr>
            </w:pPr>
          </w:p>
        </w:tc>
        <w:tc>
          <w:tcPr>
            <w:tcW w:w="1276" w:type="dxa"/>
            <w:noWrap w:val="0"/>
            <w:vAlign w:val="center"/>
          </w:tcPr>
          <w:p w14:paraId="51DB66BD">
            <w:pPr>
              <w:spacing w:line="400" w:lineRule="exact"/>
              <w:jc w:val="center"/>
              <w:rPr>
                <w:rFonts w:ascii="宋体" w:hAnsi="宋体" w:cs="宋体"/>
                <w:color w:val="auto"/>
                <w:sz w:val="24"/>
                <w:szCs w:val="24"/>
              </w:rPr>
            </w:pPr>
          </w:p>
        </w:tc>
        <w:tc>
          <w:tcPr>
            <w:tcW w:w="992" w:type="dxa"/>
            <w:noWrap w:val="0"/>
            <w:vAlign w:val="center"/>
          </w:tcPr>
          <w:p w14:paraId="226CB9E7">
            <w:pPr>
              <w:spacing w:line="400" w:lineRule="exact"/>
              <w:jc w:val="center"/>
              <w:rPr>
                <w:rFonts w:ascii="宋体" w:hAnsi="宋体" w:cs="宋体"/>
                <w:color w:val="auto"/>
                <w:sz w:val="24"/>
                <w:szCs w:val="24"/>
              </w:rPr>
            </w:pPr>
          </w:p>
        </w:tc>
        <w:tc>
          <w:tcPr>
            <w:tcW w:w="1299" w:type="dxa"/>
            <w:noWrap w:val="0"/>
            <w:vAlign w:val="center"/>
          </w:tcPr>
          <w:p w14:paraId="0958FF5F">
            <w:pPr>
              <w:spacing w:line="400" w:lineRule="exact"/>
              <w:jc w:val="center"/>
              <w:rPr>
                <w:rFonts w:ascii="宋体" w:hAnsi="宋体" w:cs="宋体"/>
                <w:color w:val="auto"/>
                <w:sz w:val="24"/>
                <w:szCs w:val="24"/>
              </w:rPr>
            </w:pPr>
          </w:p>
        </w:tc>
        <w:tc>
          <w:tcPr>
            <w:tcW w:w="1560" w:type="dxa"/>
            <w:noWrap w:val="0"/>
            <w:vAlign w:val="center"/>
          </w:tcPr>
          <w:p w14:paraId="09570E89">
            <w:pPr>
              <w:spacing w:line="400" w:lineRule="exact"/>
              <w:jc w:val="center"/>
              <w:rPr>
                <w:rFonts w:ascii="宋体" w:hAnsi="宋体" w:cs="宋体"/>
                <w:color w:val="auto"/>
                <w:sz w:val="24"/>
                <w:szCs w:val="24"/>
              </w:rPr>
            </w:pPr>
          </w:p>
        </w:tc>
        <w:tc>
          <w:tcPr>
            <w:tcW w:w="1417" w:type="dxa"/>
            <w:noWrap w:val="0"/>
            <w:vAlign w:val="center"/>
          </w:tcPr>
          <w:p w14:paraId="0D424EDD">
            <w:pPr>
              <w:spacing w:line="400" w:lineRule="exact"/>
              <w:jc w:val="center"/>
              <w:rPr>
                <w:rFonts w:ascii="宋体" w:hAnsi="宋体" w:cs="宋体"/>
                <w:color w:val="auto"/>
                <w:sz w:val="24"/>
                <w:szCs w:val="24"/>
              </w:rPr>
            </w:pPr>
          </w:p>
        </w:tc>
        <w:tc>
          <w:tcPr>
            <w:tcW w:w="1152" w:type="dxa"/>
            <w:noWrap w:val="0"/>
          </w:tcPr>
          <w:p w14:paraId="73509161">
            <w:pPr>
              <w:spacing w:line="400" w:lineRule="exact"/>
              <w:jc w:val="center"/>
              <w:rPr>
                <w:rFonts w:ascii="宋体" w:hAnsi="宋体" w:cs="宋体"/>
                <w:color w:val="auto"/>
                <w:sz w:val="24"/>
                <w:szCs w:val="24"/>
              </w:rPr>
            </w:pPr>
          </w:p>
        </w:tc>
      </w:tr>
      <w:tr w14:paraId="6FCA1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32" w:type="dxa"/>
            <w:noWrap w:val="0"/>
          </w:tcPr>
          <w:p w14:paraId="609291DA">
            <w:pPr>
              <w:spacing w:line="400" w:lineRule="exact"/>
              <w:jc w:val="center"/>
              <w:rPr>
                <w:rFonts w:ascii="宋体" w:hAnsi="宋体" w:cs="宋体"/>
                <w:color w:val="auto"/>
                <w:sz w:val="24"/>
                <w:szCs w:val="24"/>
              </w:rPr>
            </w:pPr>
          </w:p>
        </w:tc>
        <w:tc>
          <w:tcPr>
            <w:tcW w:w="1536" w:type="dxa"/>
            <w:noWrap w:val="0"/>
            <w:vAlign w:val="center"/>
          </w:tcPr>
          <w:p w14:paraId="19D8E8F3">
            <w:pPr>
              <w:spacing w:line="400" w:lineRule="exact"/>
              <w:jc w:val="center"/>
              <w:rPr>
                <w:rFonts w:ascii="宋体" w:hAnsi="宋体" w:cs="宋体"/>
                <w:color w:val="auto"/>
                <w:sz w:val="24"/>
                <w:szCs w:val="24"/>
              </w:rPr>
            </w:pPr>
          </w:p>
        </w:tc>
        <w:tc>
          <w:tcPr>
            <w:tcW w:w="1276" w:type="dxa"/>
            <w:noWrap w:val="0"/>
            <w:vAlign w:val="center"/>
          </w:tcPr>
          <w:p w14:paraId="6C0A57CF">
            <w:pPr>
              <w:spacing w:line="400" w:lineRule="exact"/>
              <w:jc w:val="center"/>
              <w:rPr>
                <w:rFonts w:ascii="宋体" w:hAnsi="宋体" w:cs="宋体"/>
                <w:color w:val="auto"/>
                <w:sz w:val="24"/>
                <w:szCs w:val="24"/>
              </w:rPr>
            </w:pPr>
          </w:p>
        </w:tc>
        <w:tc>
          <w:tcPr>
            <w:tcW w:w="992" w:type="dxa"/>
            <w:noWrap w:val="0"/>
            <w:vAlign w:val="center"/>
          </w:tcPr>
          <w:p w14:paraId="4418EFD1">
            <w:pPr>
              <w:spacing w:line="400" w:lineRule="exact"/>
              <w:jc w:val="center"/>
              <w:rPr>
                <w:rFonts w:ascii="宋体" w:hAnsi="宋体" w:cs="宋体"/>
                <w:color w:val="auto"/>
                <w:sz w:val="24"/>
                <w:szCs w:val="24"/>
              </w:rPr>
            </w:pPr>
          </w:p>
        </w:tc>
        <w:tc>
          <w:tcPr>
            <w:tcW w:w="1299" w:type="dxa"/>
            <w:noWrap w:val="0"/>
            <w:vAlign w:val="center"/>
          </w:tcPr>
          <w:p w14:paraId="35D26875">
            <w:pPr>
              <w:spacing w:line="400" w:lineRule="exact"/>
              <w:jc w:val="center"/>
              <w:rPr>
                <w:rFonts w:ascii="宋体" w:hAnsi="宋体" w:cs="宋体"/>
                <w:color w:val="auto"/>
                <w:sz w:val="24"/>
                <w:szCs w:val="24"/>
              </w:rPr>
            </w:pPr>
          </w:p>
        </w:tc>
        <w:tc>
          <w:tcPr>
            <w:tcW w:w="1560" w:type="dxa"/>
            <w:noWrap w:val="0"/>
            <w:vAlign w:val="center"/>
          </w:tcPr>
          <w:p w14:paraId="33219B10">
            <w:pPr>
              <w:spacing w:line="400" w:lineRule="exact"/>
              <w:jc w:val="center"/>
              <w:rPr>
                <w:rFonts w:ascii="宋体" w:hAnsi="宋体" w:cs="宋体"/>
                <w:color w:val="auto"/>
                <w:sz w:val="24"/>
                <w:szCs w:val="24"/>
              </w:rPr>
            </w:pPr>
          </w:p>
        </w:tc>
        <w:tc>
          <w:tcPr>
            <w:tcW w:w="1417" w:type="dxa"/>
            <w:noWrap w:val="0"/>
            <w:vAlign w:val="center"/>
          </w:tcPr>
          <w:p w14:paraId="0A696B5B">
            <w:pPr>
              <w:spacing w:line="400" w:lineRule="exact"/>
              <w:jc w:val="center"/>
              <w:rPr>
                <w:rFonts w:ascii="宋体" w:hAnsi="宋体" w:cs="宋体"/>
                <w:color w:val="auto"/>
                <w:sz w:val="24"/>
                <w:szCs w:val="24"/>
              </w:rPr>
            </w:pPr>
          </w:p>
        </w:tc>
        <w:tc>
          <w:tcPr>
            <w:tcW w:w="1152" w:type="dxa"/>
            <w:noWrap w:val="0"/>
          </w:tcPr>
          <w:p w14:paraId="768FE2C1">
            <w:pPr>
              <w:spacing w:line="400" w:lineRule="exact"/>
              <w:jc w:val="center"/>
              <w:rPr>
                <w:rFonts w:ascii="宋体" w:hAnsi="宋体" w:cs="宋体"/>
                <w:color w:val="auto"/>
                <w:sz w:val="24"/>
                <w:szCs w:val="24"/>
              </w:rPr>
            </w:pPr>
          </w:p>
        </w:tc>
      </w:tr>
      <w:tr w14:paraId="5A63B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32" w:type="dxa"/>
            <w:noWrap w:val="0"/>
          </w:tcPr>
          <w:p w14:paraId="652BE315">
            <w:pPr>
              <w:spacing w:line="400" w:lineRule="exact"/>
              <w:jc w:val="center"/>
              <w:rPr>
                <w:rFonts w:ascii="宋体" w:hAnsi="宋体" w:cs="宋体"/>
                <w:color w:val="auto"/>
                <w:sz w:val="24"/>
                <w:szCs w:val="24"/>
              </w:rPr>
            </w:pPr>
          </w:p>
        </w:tc>
        <w:tc>
          <w:tcPr>
            <w:tcW w:w="1536" w:type="dxa"/>
            <w:noWrap w:val="0"/>
            <w:vAlign w:val="center"/>
          </w:tcPr>
          <w:p w14:paraId="1F368F4C">
            <w:pPr>
              <w:spacing w:line="400" w:lineRule="exact"/>
              <w:jc w:val="center"/>
              <w:rPr>
                <w:rFonts w:ascii="宋体" w:hAnsi="宋体" w:cs="宋体"/>
                <w:color w:val="auto"/>
                <w:sz w:val="24"/>
                <w:szCs w:val="24"/>
              </w:rPr>
            </w:pPr>
          </w:p>
        </w:tc>
        <w:tc>
          <w:tcPr>
            <w:tcW w:w="1276" w:type="dxa"/>
            <w:noWrap w:val="0"/>
            <w:vAlign w:val="center"/>
          </w:tcPr>
          <w:p w14:paraId="4E610891">
            <w:pPr>
              <w:spacing w:line="400" w:lineRule="exact"/>
              <w:jc w:val="center"/>
              <w:rPr>
                <w:rFonts w:ascii="宋体" w:hAnsi="宋体" w:cs="宋体"/>
                <w:color w:val="auto"/>
                <w:sz w:val="24"/>
                <w:szCs w:val="24"/>
              </w:rPr>
            </w:pPr>
          </w:p>
        </w:tc>
        <w:tc>
          <w:tcPr>
            <w:tcW w:w="992" w:type="dxa"/>
            <w:noWrap w:val="0"/>
            <w:vAlign w:val="center"/>
          </w:tcPr>
          <w:p w14:paraId="7A8FC45A">
            <w:pPr>
              <w:spacing w:line="400" w:lineRule="exact"/>
              <w:jc w:val="center"/>
              <w:rPr>
                <w:rFonts w:ascii="宋体" w:hAnsi="宋体" w:cs="宋体"/>
                <w:color w:val="auto"/>
                <w:sz w:val="24"/>
                <w:szCs w:val="24"/>
              </w:rPr>
            </w:pPr>
          </w:p>
        </w:tc>
        <w:tc>
          <w:tcPr>
            <w:tcW w:w="1299" w:type="dxa"/>
            <w:noWrap w:val="0"/>
            <w:vAlign w:val="center"/>
          </w:tcPr>
          <w:p w14:paraId="64716501">
            <w:pPr>
              <w:spacing w:line="400" w:lineRule="exact"/>
              <w:jc w:val="center"/>
              <w:rPr>
                <w:rFonts w:ascii="宋体" w:hAnsi="宋体" w:cs="宋体"/>
                <w:color w:val="auto"/>
                <w:sz w:val="24"/>
                <w:szCs w:val="24"/>
              </w:rPr>
            </w:pPr>
          </w:p>
        </w:tc>
        <w:tc>
          <w:tcPr>
            <w:tcW w:w="1560" w:type="dxa"/>
            <w:noWrap w:val="0"/>
            <w:vAlign w:val="center"/>
          </w:tcPr>
          <w:p w14:paraId="51F218F4">
            <w:pPr>
              <w:spacing w:line="400" w:lineRule="exact"/>
              <w:jc w:val="center"/>
              <w:rPr>
                <w:rFonts w:ascii="宋体" w:hAnsi="宋体" w:cs="宋体"/>
                <w:color w:val="auto"/>
                <w:sz w:val="24"/>
                <w:szCs w:val="24"/>
              </w:rPr>
            </w:pPr>
          </w:p>
        </w:tc>
        <w:tc>
          <w:tcPr>
            <w:tcW w:w="1417" w:type="dxa"/>
            <w:noWrap w:val="0"/>
            <w:vAlign w:val="center"/>
          </w:tcPr>
          <w:p w14:paraId="78F5F2E5">
            <w:pPr>
              <w:spacing w:line="400" w:lineRule="exact"/>
              <w:jc w:val="center"/>
              <w:rPr>
                <w:rFonts w:ascii="宋体" w:hAnsi="宋体" w:cs="宋体"/>
                <w:color w:val="auto"/>
                <w:sz w:val="24"/>
                <w:szCs w:val="24"/>
              </w:rPr>
            </w:pPr>
          </w:p>
        </w:tc>
        <w:tc>
          <w:tcPr>
            <w:tcW w:w="1152" w:type="dxa"/>
            <w:noWrap w:val="0"/>
          </w:tcPr>
          <w:p w14:paraId="0A672DE5">
            <w:pPr>
              <w:spacing w:line="400" w:lineRule="exact"/>
              <w:jc w:val="center"/>
              <w:rPr>
                <w:rFonts w:ascii="宋体" w:hAnsi="宋体" w:cs="宋体"/>
                <w:color w:val="auto"/>
                <w:sz w:val="24"/>
                <w:szCs w:val="24"/>
              </w:rPr>
            </w:pPr>
          </w:p>
        </w:tc>
      </w:tr>
    </w:tbl>
    <w:p w14:paraId="144C3450">
      <w:pPr>
        <w:spacing w:line="360" w:lineRule="auto"/>
        <w:ind w:firstLine="482"/>
        <w:jc w:val="center"/>
        <w:rPr>
          <w:rFonts w:ascii="宋体" w:hAnsi="宋体" w:cs="宋体"/>
          <w:b/>
          <w:bCs/>
          <w:sz w:val="24"/>
        </w:rPr>
      </w:pPr>
    </w:p>
    <w:p w14:paraId="33C7DE6A">
      <w:pPr>
        <w:spacing w:line="360" w:lineRule="auto"/>
        <w:ind w:firstLine="480"/>
        <w:jc w:val="left"/>
        <w:rPr>
          <w:rFonts w:ascii="宋体" w:hAnsi="宋体" w:cs="宋体"/>
          <w:bCs/>
          <w:sz w:val="24"/>
        </w:rPr>
      </w:pPr>
      <w:r>
        <w:rPr>
          <w:rFonts w:hint="eastAsia" w:ascii="宋体" w:hAnsi="宋体" w:cs="宋体"/>
          <w:bCs/>
          <w:sz w:val="24"/>
        </w:rPr>
        <w:t>供应商：（公章）</w:t>
      </w:r>
    </w:p>
    <w:p w14:paraId="0B65A548">
      <w:pPr>
        <w:spacing w:line="360" w:lineRule="auto"/>
        <w:ind w:firstLine="480"/>
        <w:jc w:val="left"/>
        <w:rPr>
          <w:rFonts w:ascii="宋体" w:hAnsi="宋体" w:cs="宋体"/>
          <w:bCs/>
          <w:sz w:val="24"/>
        </w:rPr>
      </w:pPr>
      <w:r>
        <w:rPr>
          <w:rFonts w:hint="eastAsia" w:ascii="宋体" w:hAnsi="宋体" w:cs="宋体"/>
          <w:bCs/>
          <w:sz w:val="24"/>
        </w:rPr>
        <w:t>法定代表人或代理人（签字或盖章）：</w:t>
      </w:r>
    </w:p>
    <w:p w14:paraId="315A9246">
      <w:pPr>
        <w:spacing w:line="360" w:lineRule="auto"/>
        <w:ind w:firstLine="480"/>
        <w:jc w:val="left"/>
        <w:rPr>
          <w:rFonts w:ascii="宋体" w:hAnsi="宋体" w:cs="宋体"/>
          <w:sz w:val="24"/>
          <w:lang w:val="zh-CN"/>
        </w:rPr>
      </w:pPr>
      <w:r>
        <w:rPr>
          <w:rFonts w:hint="eastAsia" w:ascii="宋体" w:hAnsi="宋体" w:cs="宋体"/>
          <w:sz w:val="24"/>
          <w:lang w:val="zh-CN"/>
        </w:rPr>
        <w:t>日期：    年   月   日</w:t>
      </w:r>
    </w:p>
    <w:p w14:paraId="326F6BB4">
      <w:pPr>
        <w:spacing w:line="360" w:lineRule="auto"/>
        <w:ind w:firstLine="420"/>
        <w:rPr>
          <w:rFonts w:ascii="宋体" w:hAnsi="宋体" w:eastAsia="宋体" w:cs="宋体"/>
          <w:b/>
        </w:rPr>
      </w:pPr>
      <w:r>
        <w:rPr>
          <w:rFonts w:hint="eastAsia" w:hAnsi="宋体" w:eastAsia="宋体" w:cs="宋体"/>
        </w:rPr>
        <w:br w:type="page" w:clear="all"/>
      </w:r>
      <w:r>
        <w:rPr>
          <w:rFonts w:hint="eastAsia" w:ascii="宋体" w:hAnsi="宋体" w:eastAsia="宋体" w:cs="宋体"/>
          <w:sz w:val="24"/>
        </w:rPr>
        <w:t>5</w:t>
      </w:r>
      <w:r>
        <w:rPr>
          <w:rFonts w:hint="eastAsia" w:ascii="宋体" w:hAnsi="宋体" w:eastAsia="宋体" w:cs="宋体"/>
          <w:sz w:val="24"/>
          <w:lang w:val="zh-CN"/>
        </w:rPr>
        <w:t>、</w:t>
      </w:r>
      <w:r>
        <w:rPr>
          <w:rFonts w:hint="eastAsia" w:ascii="宋体" w:hAnsi="宋体" w:eastAsia="宋体" w:cs="宋体"/>
          <w:sz w:val="24"/>
        </w:rPr>
        <w:t>类似业绩一览表</w:t>
      </w:r>
    </w:p>
    <w:p w14:paraId="2DEB97B6">
      <w:pPr>
        <w:spacing w:line="360" w:lineRule="auto"/>
        <w:ind w:firstLine="480"/>
        <w:jc w:val="center"/>
        <w:rPr>
          <w:rFonts w:ascii="宋体" w:hAnsi="宋体"/>
          <w:bCs/>
          <w:sz w:val="24"/>
        </w:rPr>
      </w:pPr>
      <w:r>
        <w:rPr>
          <w:rFonts w:hint="eastAsia" w:ascii="宋体" w:hAnsi="宋体"/>
          <w:bCs/>
          <w:sz w:val="24"/>
        </w:rPr>
        <w:t>类似业绩一览表</w:t>
      </w:r>
    </w:p>
    <w:p w14:paraId="52CD40FE">
      <w:pPr>
        <w:pStyle w:val="203"/>
        <w:spacing w:line="360" w:lineRule="auto"/>
        <w:ind w:firstLine="480"/>
        <w:rPr>
          <w:rFonts w:hAnsi="宋体" w:cs="宋体"/>
          <w:color w:val="auto"/>
          <w:sz w:val="24"/>
        </w:rPr>
      </w:pPr>
      <w:r>
        <w:rPr>
          <w:rFonts w:hint="eastAsia" w:hAnsi="宋体" w:cs="宋体"/>
          <w:color w:val="auto"/>
          <w:sz w:val="24"/>
        </w:rPr>
        <w:t>项目名称：                                                    采购编号：</w:t>
      </w:r>
    </w:p>
    <w:tbl>
      <w:tblPr>
        <w:tblStyle w:val="41"/>
        <w:tblW w:w="98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116"/>
        <w:gridCol w:w="1804"/>
        <w:gridCol w:w="1804"/>
        <w:gridCol w:w="2146"/>
        <w:gridCol w:w="1889"/>
        <w:gridCol w:w="1043"/>
      </w:tblGrid>
      <w:tr w14:paraId="597ED6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80" w:hRule="atLeast"/>
          <w:jc w:val="center"/>
        </w:trPr>
        <w:tc>
          <w:tcPr>
            <w:tcW w:w="1116" w:type="dxa"/>
            <w:noWrap w:val="0"/>
            <w:vAlign w:val="center"/>
          </w:tcPr>
          <w:p w14:paraId="15F17F1B">
            <w:pPr>
              <w:pStyle w:val="203"/>
              <w:spacing w:line="360" w:lineRule="auto"/>
              <w:jc w:val="center"/>
              <w:rPr>
                <w:rFonts w:hAnsi="宋体" w:cs="宋体"/>
                <w:color w:val="auto"/>
                <w:sz w:val="24"/>
              </w:rPr>
            </w:pPr>
            <w:r>
              <w:rPr>
                <w:rFonts w:hint="eastAsia" w:hAnsi="宋体" w:cs="宋体"/>
                <w:color w:val="auto"/>
                <w:sz w:val="24"/>
              </w:rPr>
              <w:t>序号</w:t>
            </w:r>
          </w:p>
        </w:tc>
        <w:tc>
          <w:tcPr>
            <w:tcW w:w="1804" w:type="dxa"/>
            <w:noWrap w:val="0"/>
            <w:vAlign w:val="center"/>
          </w:tcPr>
          <w:p w14:paraId="2AF2E93D">
            <w:pPr>
              <w:pStyle w:val="203"/>
              <w:spacing w:line="360" w:lineRule="auto"/>
              <w:jc w:val="center"/>
              <w:rPr>
                <w:rFonts w:hAnsi="宋体" w:cs="宋体"/>
                <w:color w:val="auto"/>
                <w:sz w:val="24"/>
              </w:rPr>
            </w:pPr>
            <w:r>
              <w:rPr>
                <w:rFonts w:hint="eastAsia" w:hAnsi="宋体" w:cs="宋体"/>
                <w:color w:val="auto"/>
                <w:sz w:val="24"/>
              </w:rPr>
              <w:t>项目名称</w:t>
            </w:r>
          </w:p>
        </w:tc>
        <w:tc>
          <w:tcPr>
            <w:tcW w:w="1804" w:type="dxa"/>
            <w:noWrap w:val="0"/>
            <w:vAlign w:val="center"/>
          </w:tcPr>
          <w:p w14:paraId="1453CE33">
            <w:pPr>
              <w:pStyle w:val="203"/>
              <w:spacing w:line="360" w:lineRule="auto"/>
              <w:jc w:val="center"/>
              <w:rPr>
                <w:rFonts w:hAnsi="宋体" w:cs="宋体"/>
                <w:color w:val="auto"/>
                <w:sz w:val="24"/>
              </w:rPr>
            </w:pPr>
            <w:r>
              <w:rPr>
                <w:rFonts w:hint="eastAsia" w:hAnsi="宋体" w:cs="宋体"/>
                <w:color w:val="auto"/>
                <w:sz w:val="24"/>
              </w:rPr>
              <w:t>合同期</w:t>
            </w:r>
          </w:p>
        </w:tc>
        <w:tc>
          <w:tcPr>
            <w:tcW w:w="2146" w:type="dxa"/>
            <w:tcBorders>
              <w:right w:val="single" w:color="auto" w:sz="4" w:space="0"/>
            </w:tcBorders>
            <w:noWrap w:val="0"/>
            <w:vAlign w:val="center"/>
          </w:tcPr>
          <w:p w14:paraId="032E321F">
            <w:pPr>
              <w:pStyle w:val="203"/>
              <w:spacing w:line="360" w:lineRule="auto"/>
              <w:jc w:val="center"/>
              <w:rPr>
                <w:rFonts w:hAnsi="宋体" w:cs="宋体"/>
                <w:color w:val="auto"/>
                <w:sz w:val="24"/>
              </w:rPr>
            </w:pPr>
            <w:r>
              <w:rPr>
                <w:rFonts w:hint="eastAsia" w:hAnsi="宋体" w:cs="宋体"/>
                <w:color w:val="auto"/>
                <w:sz w:val="24"/>
              </w:rPr>
              <w:t>项目内容</w:t>
            </w:r>
          </w:p>
        </w:tc>
        <w:tc>
          <w:tcPr>
            <w:tcW w:w="1889" w:type="dxa"/>
            <w:tcBorders>
              <w:left w:val="single" w:color="auto" w:sz="4" w:space="0"/>
              <w:right w:val="single" w:color="auto" w:sz="4" w:space="0"/>
            </w:tcBorders>
            <w:noWrap w:val="0"/>
            <w:vAlign w:val="center"/>
          </w:tcPr>
          <w:p w14:paraId="4116F207">
            <w:pPr>
              <w:pStyle w:val="203"/>
              <w:spacing w:line="360" w:lineRule="auto"/>
              <w:jc w:val="center"/>
              <w:rPr>
                <w:rFonts w:hAnsi="宋体" w:cs="宋体"/>
                <w:color w:val="auto"/>
                <w:sz w:val="24"/>
              </w:rPr>
            </w:pPr>
            <w:r>
              <w:rPr>
                <w:rFonts w:hint="eastAsia" w:hAnsi="宋体" w:cs="宋体"/>
                <w:color w:val="auto"/>
                <w:sz w:val="24"/>
              </w:rPr>
              <w:t>合同金额（万元）</w:t>
            </w:r>
          </w:p>
        </w:tc>
        <w:tc>
          <w:tcPr>
            <w:tcW w:w="1043" w:type="dxa"/>
            <w:noWrap w:val="0"/>
            <w:vAlign w:val="center"/>
          </w:tcPr>
          <w:p w14:paraId="22788693">
            <w:pPr>
              <w:pStyle w:val="203"/>
              <w:spacing w:line="360" w:lineRule="auto"/>
              <w:jc w:val="center"/>
              <w:rPr>
                <w:rFonts w:hAnsi="宋体" w:cs="宋体"/>
                <w:color w:val="auto"/>
                <w:sz w:val="24"/>
              </w:rPr>
            </w:pPr>
            <w:r>
              <w:rPr>
                <w:rFonts w:hint="eastAsia" w:hAnsi="宋体" w:cs="宋体"/>
                <w:color w:val="auto"/>
                <w:sz w:val="24"/>
              </w:rPr>
              <w:t>备注</w:t>
            </w:r>
          </w:p>
        </w:tc>
      </w:tr>
      <w:tr w14:paraId="778544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80" w:hRule="atLeast"/>
          <w:jc w:val="center"/>
        </w:trPr>
        <w:tc>
          <w:tcPr>
            <w:tcW w:w="1116" w:type="dxa"/>
            <w:noWrap w:val="0"/>
            <w:vAlign w:val="center"/>
          </w:tcPr>
          <w:p w14:paraId="09D0B912">
            <w:pPr>
              <w:spacing w:line="360" w:lineRule="auto"/>
              <w:jc w:val="center"/>
              <w:rPr>
                <w:rFonts w:ascii="宋体" w:hAnsi="宋体" w:cs="宋体"/>
                <w:color w:val="auto"/>
                <w:sz w:val="24"/>
                <w:szCs w:val="24"/>
              </w:rPr>
            </w:pPr>
          </w:p>
        </w:tc>
        <w:tc>
          <w:tcPr>
            <w:tcW w:w="1804" w:type="dxa"/>
            <w:noWrap w:val="0"/>
            <w:vAlign w:val="center"/>
          </w:tcPr>
          <w:p w14:paraId="38EA82C0">
            <w:pPr>
              <w:spacing w:line="360" w:lineRule="auto"/>
              <w:ind w:left="420"/>
              <w:rPr>
                <w:rFonts w:ascii="宋体" w:hAnsi="宋体" w:cs="宋体"/>
                <w:color w:val="auto"/>
                <w:sz w:val="24"/>
                <w:szCs w:val="24"/>
              </w:rPr>
            </w:pPr>
          </w:p>
        </w:tc>
        <w:tc>
          <w:tcPr>
            <w:tcW w:w="1804" w:type="dxa"/>
            <w:noWrap w:val="0"/>
            <w:vAlign w:val="center"/>
          </w:tcPr>
          <w:p w14:paraId="44179A64">
            <w:pPr>
              <w:spacing w:line="360" w:lineRule="auto"/>
              <w:ind w:left="420"/>
              <w:rPr>
                <w:rFonts w:ascii="宋体" w:hAnsi="宋体" w:cs="宋体"/>
                <w:color w:val="auto"/>
                <w:sz w:val="24"/>
                <w:szCs w:val="24"/>
              </w:rPr>
            </w:pPr>
          </w:p>
        </w:tc>
        <w:tc>
          <w:tcPr>
            <w:tcW w:w="2146" w:type="dxa"/>
            <w:tcBorders>
              <w:right w:val="single" w:color="auto" w:sz="4" w:space="0"/>
            </w:tcBorders>
            <w:noWrap w:val="0"/>
            <w:vAlign w:val="center"/>
          </w:tcPr>
          <w:p w14:paraId="1F1FFF2B">
            <w:pPr>
              <w:spacing w:line="360" w:lineRule="auto"/>
              <w:ind w:left="420"/>
              <w:rPr>
                <w:rFonts w:ascii="宋体" w:hAnsi="宋体" w:cs="宋体"/>
                <w:color w:val="auto"/>
                <w:sz w:val="24"/>
                <w:szCs w:val="24"/>
              </w:rPr>
            </w:pPr>
          </w:p>
        </w:tc>
        <w:tc>
          <w:tcPr>
            <w:tcW w:w="1889" w:type="dxa"/>
            <w:tcBorders>
              <w:left w:val="single" w:color="auto" w:sz="4" w:space="0"/>
              <w:right w:val="single" w:color="auto" w:sz="4" w:space="0"/>
            </w:tcBorders>
            <w:noWrap w:val="0"/>
            <w:vAlign w:val="center"/>
          </w:tcPr>
          <w:p w14:paraId="4EEF93AB">
            <w:pPr>
              <w:spacing w:line="360" w:lineRule="auto"/>
              <w:ind w:left="420"/>
              <w:rPr>
                <w:rFonts w:ascii="宋体" w:hAnsi="宋体" w:cs="宋体"/>
                <w:color w:val="auto"/>
                <w:sz w:val="24"/>
                <w:szCs w:val="24"/>
              </w:rPr>
            </w:pPr>
          </w:p>
        </w:tc>
        <w:tc>
          <w:tcPr>
            <w:tcW w:w="1043" w:type="dxa"/>
            <w:noWrap w:val="0"/>
            <w:vAlign w:val="center"/>
          </w:tcPr>
          <w:p w14:paraId="08B586E9">
            <w:pPr>
              <w:spacing w:line="360" w:lineRule="auto"/>
              <w:ind w:left="420"/>
              <w:rPr>
                <w:rFonts w:ascii="宋体" w:hAnsi="宋体" w:cs="宋体"/>
                <w:color w:val="auto"/>
                <w:sz w:val="24"/>
                <w:szCs w:val="24"/>
              </w:rPr>
            </w:pPr>
          </w:p>
        </w:tc>
      </w:tr>
      <w:tr w14:paraId="139F5E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80" w:hRule="atLeast"/>
          <w:jc w:val="center"/>
        </w:trPr>
        <w:tc>
          <w:tcPr>
            <w:tcW w:w="1116" w:type="dxa"/>
            <w:noWrap w:val="0"/>
            <w:vAlign w:val="center"/>
          </w:tcPr>
          <w:p w14:paraId="1B2E5538">
            <w:pPr>
              <w:spacing w:line="360" w:lineRule="auto"/>
              <w:jc w:val="center"/>
              <w:rPr>
                <w:rFonts w:ascii="宋体" w:hAnsi="宋体" w:cs="宋体"/>
                <w:color w:val="auto"/>
                <w:sz w:val="24"/>
                <w:szCs w:val="24"/>
              </w:rPr>
            </w:pPr>
          </w:p>
        </w:tc>
        <w:tc>
          <w:tcPr>
            <w:tcW w:w="1804" w:type="dxa"/>
            <w:noWrap w:val="0"/>
            <w:vAlign w:val="center"/>
          </w:tcPr>
          <w:p w14:paraId="3AADDC6C">
            <w:pPr>
              <w:spacing w:line="360" w:lineRule="auto"/>
              <w:ind w:left="420"/>
              <w:rPr>
                <w:rFonts w:ascii="宋体" w:hAnsi="宋体" w:cs="宋体"/>
                <w:color w:val="auto"/>
                <w:sz w:val="24"/>
                <w:szCs w:val="24"/>
              </w:rPr>
            </w:pPr>
          </w:p>
        </w:tc>
        <w:tc>
          <w:tcPr>
            <w:tcW w:w="1804" w:type="dxa"/>
            <w:noWrap w:val="0"/>
            <w:vAlign w:val="center"/>
          </w:tcPr>
          <w:p w14:paraId="49FF3483">
            <w:pPr>
              <w:spacing w:line="360" w:lineRule="auto"/>
              <w:ind w:left="420"/>
              <w:rPr>
                <w:rFonts w:ascii="宋体" w:hAnsi="宋体" w:cs="宋体"/>
                <w:color w:val="auto"/>
                <w:sz w:val="24"/>
                <w:szCs w:val="24"/>
              </w:rPr>
            </w:pPr>
          </w:p>
        </w:tc>
        <w:tc>
          <w:tcPr>
            <w:tcW w:w="2146" w:type="dxa"/>
            <w:tcBorders>
              <w:right w:val="single" w:color="auto" w:sz="4" w:space="0"/>
            </w:tcBorders>
            <w:noWrap w:val="0"/>
            <w:vAlign w:val="center"/>
          </w:tcPr>
          <w:p w14:paraId="1083E7E6">
            <w:pPr>
              <w:spacing w:line="360" w:lineRule="auto"/>
              <w:ind w:left="420"/>
              <w:rPr>
                <w:rFonts w:ascii="宋体" w:hAnsi="宋体" w:cs="宋体"/>
                <w:color w:val="auto"/>
                <w:sz w:val="24"/>
                <w:szCs w:val="24"/>
              </w:rPr>
            </w:pPr>
          </w:p>
        </w:tc>
        <w:tc>
          <w:tcPr>
            <w:tcW w:w="1889" w:type="dxa"/>
            <w:tcBorders>
              <w:left w:val="single" w:color="auto" w:sz="4" w:space="0"/>
              <w:right w:val="single" w:color="auto" w:sz="4" w:space="0"/>
            </w:tcBorders>
            <w:noWrap w:val="0"/>
            <w:vAlign w:val="center"/>
          </w:tcPr>
          <w:p w14:paraId="295BFCEA">
            <w:pPr>
              <w:spacing w:line="360" w:lineRule="auto"/>
              <w:ind w:left="420"/>
              <w:rPr>
                <w:rFonts w:ascii="宋体" w:hAnsi="宋体" w:cs="宋体"/>
                <w:color w:val="auto"/>
                <w:sz w:val="24"/>
                <w:szCs w:val="24"/>
              </w:rPr>
            </w:pPr>
          </w:p>
        </w:tc>
        <w:tc>
          <w:tcPr>
            <w:tcW w:w="1043" w:type="dxa"/>
            <w:noWrap w:val="0"/>
            <w:vAlign w:val="center"/>
          </w:tcPr>
          <w:p w14:paraId="05B6ABB5">
            <w:pPr>
              <w:spacing w:line="360" w:lineRule="auto"/>
              <w:ind w:left="420"/>
              <w:rPr>
                <w:rFonts w:ascii="宋体" w:hAnsi="宋体" w:cs="宋体"/>
                <w:color w:val="auto"/>
                <w:sz w:val="24"/>
                <w:szCs w:val="24"/>
              </w:rPr>
            </w:pPr>
          </w:p>
        </w:tc>
      </w:tr>
      <w:tr w14:paraId="3758B5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80" w:hRule="atLeast"/>
          <w:jc w:val="center"/>
        </w:trPr>
        <w:tc>
          <w:tcPr>
            <w:tcW w:w="1116" w:type="dxa"/>
            <w:noWrap w:val="0"/>
            <w:vAlign w:val="center"/>
          </w:tcPr>
          <w:p w14:paraId="00CD174C">
            <w:pPr>
              <w:spacing w:line="360" w:lineRule="auto"/>
              <w:jc w:val="center"/>
              <w:rPr>
                <w:rFonts w:ascii="宋体" w:hAnsi="宋体" w:cs="宋体"/>
                <w:color w:val="auto"/>
                <w:sz w:val="24"/>
                <w:szCs w:val="24"/>
              </w:rPr>
            </w:pPr>
          </w:p>
        </w:tc>
        <w:tc>
          <w:tcPr>
            <w:tcW w:w="1804" w:type="dxa"/>
            <w:noWrap w:val="0"/>
            <w:vAlign w:val="center"/>
          </w:tcPr>
          <w:p w14:paraId="4C03D6C7">
            <w:pPr>
              <w:spacing w:line="360" w:lineRule="auto"/>
              <w:ind w:left="420"/>
              <w:rPr>
                <w:rFonts w:ascii="宋体" w:hAnsi="宋体" w:cs="宋体"/>
                <w:color w:val="auto"/>
                <w:sz w:val="24"/>
                <w:szCs w:val="24"/>
              </w:rPr>
            </w:pPr>
          </w:p>
        </w:tc>
        <w:tc>
          <w:tcPr>
            <w:tcW w:w="1804" w:type="dxa"/>
            <w:noWrap w:val="0"/>
            <w:vAlign w:val="center"/>
          </w:tcPr>
          <w:p w14:paraId="4231DF6B">
            <w:pPr>
              <w:spacing w:line="360" w:lineRule="auto"/>
              <w:ind w:left="420"/>
              <w:rPr>
                <w:rFonts w:ascii="宋体" w:hAnsi="宋体" w:cs="宋体"/>
                <w:color w:val="auto"/>
                <w:sz w:val="24"/>
                <w:szCs w:val="24"/>
              </w:rPr>
            </w:pPr>
          </w:p>
        </w:tc>
        <w:tc>
          <w:tcPr>
            <w:tcW w:w="2146" w:type="dxa"/>
            <w:tcBorders>
              <w:right w:val="single" w:color="auto" w:sz="4" w:space="0"/>
            </w:tcBorders>
            <w:noWrap w:val="0"/>
            <w:vAlign w:val="center"/>
          </w:tcPr>
          <w:p w14:paraId="1BAF7BFB">
            <w:pPr>
              <w:spacing w:line="360" w:lineRule="auto"/>
              <w:ind w:left="420"/>
              <w:rPr>
                <w:rFonts w:ascii="宋体" w:hAnsi="宋体" w:cs="宋体"/>
                <w:color w:val="auto"/>
                <w:sz w:val="24"/>
                <w:szCs w:val="24"/>
              </w:rPr>
            </w:pPr>
          </w:p>
        </w:tc>
        <w:tc>
          <w:tcPr>
            <w:tcW w:w="1889" w:type="dxa"/>
            <w:tcBorders>
              <w:left w:val="single" w:color="auto" w:sz="4" w:space="0"/>
              <w:right w:val="single" w:color="auto" w:sz="4" w:space="0"/>
            </w:tcBorders>
            <w:noWrap w:val="0"/>
            <w:vAlign w:val="center"/>
          </w:tcPr>
          <w:p w14:paraId="7FB5DBE0">
            <w:pPr>
              <w:spacing w:line="360" w:lineRule="auto"/>
              <w:ind w:left="420"/>
              <w:rPr>
                <w:rFonts w:ascii="宋体" w:hAnsi="宋体" w:cs="宋体"/>
                <w:color w:val="auto"/>
                <w:sz w:val="24"/>
                <w:szCs w:val="24"/>
              </w:rPr>
            </w:pPr>
          </w:p>
        </w:tc>
        <w:tc>
          <w:tcPr>
            <w:tcW w:w="1043" w:type="dxa"/>
            <w:noWrap w:val="0"/>
            <w:vAlign w:val="center"/>
          </w:tcPr>
          <w:p w14:paraId="2641696A">
            <w:pPr>
              <w:spacing w:line="360" w:lineRule="auto"/>
              <w:ind w:left="420"/>
              <w:rPr>
                <w:rFonts w:ascii="宋体" w:hAnsi="宋体" w:cs="宋体"/>
                <w:color w:val="auto"/>
                <w:sz w:val="24"/>
                <w:szCs w:val="24"/>
              </w:rPr>
            </w:pPr>
          </w:p>
        </w:tc>
      </w:tr>
      <w:tr w14:paraId="157FFF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80" w:hRule="atLeast"/>
          <w:jc w:val="center"/>
        </w:trPr>
        <w:tc>
          <w:tcPr>
            <w:tcW w:w="1116" w:type="dxa"/>
            <w:noWrap w:val="0"/>
            <w:vAlign w:val="center"/>
          </w:tcPr>
          <w:p w14:paraId="7D214A4C">
            <w:pPr>
              <w:spacing w:line="360" w:lineRule="auto"/>
              <w:jc w:val="center"/>
              <w:rPr>
                <w:rFonts w:ascii="宋体" w:hAnsi="宋体" w:cs="宋体"/>
                <w:color w:val="auto"/>
                <w:sz w:val="24"/>
                <w:szCs w:val="24"/>
              </w:rPr>
            </w:pPr>
          </w:p>
        </w:tc>
        <w:tc>
          <w:tcPr>
            <w:tcW w:w="1804" w:type="dxa"/>
            <w:noWrap w:val="0"/>
            <w:vAlign w:val="center"/>
          </w:tcPr>
          <w:p w14:paraId="01786364">
            <w:pPr>
              <w:spacing w:line="360" w:lineRule="auto"/>
              <w:ind w:left="420"/>
              <w:rPr>
                <w:rFonts w:ascii="宋体" w:hAnsi="宋体" w:cs="宋体"/>
                <w:color w:val="auto"/>
                <w:sz w:val="24"/>
                <w:szCs w:val="24"/>
              </w:rPr>
            </w:pPr>
          </w:p>
        </w:tc>
        <w:tc>
          <w:tcPr>
            <w:tcW w:w="1804" w:type="dxa"/>
            <w:noWrap w:val="0"/>
            <w:vAlign w:val="center"/>
          </w:tcPr>
          <w:p w14:paraId="05945F15">
            <w:pPr>
              <w:spacing w:line="360" w:lineRule="auto"/>
              <w:ind w:left="420"/>
              <w:rPr>
                <w:rFonts w:ascii="宋体" w:hAnsi="宋体" w:cs="宋体"/>
                <w:color w:val="auto"/>
                <w:sz w:val="24"/>
                <w:szCs w:val="24"/>
              </w:rPr>
            </w:pPr>
          </w:p>
        </w:tc>
        <w:tc>
          <w:tcPr>
            <w:tcW w:w="2146" w:type="dxa"/>
            <w:tcBorders>
              <w:right w:val="single" w:color="auto" w:sz="4" w:space="0"/>
            </w:tcBorders>
            <w:noWrap w:val="0"/>
            <w:vAlign w:val="center"/>
          </w:tcPr>
          <w:p w14:paraId="66F97470">
            <w:pPr>
              <w:spacing w:line="360" w:lineRule="auto"/>
              <w:ind w:left="420"/>
              <w:rPr>
                <w:rFonts w:ascii="宋体" w:hAnsi="宋体" w:cs="宋体"/>
                <w:color w:val="auto"/>
                <w:sz w:val="24"/>
                <w:szCs w:val="24"/>
              </w:rPr>
            </w:pPr>
          </w:p>
        </w:tc>
        <w:tc>
          <w:tcPr>
            <w:tcW w:w="1889" w:type="dxa"/>
            <w:tcBorders>
              <w:left w:val="single" w:color="auto" w:sz="4" w:space="0"/>
              <w:right w:val="single" w:color="auto" w:sz="4" w:space="0"/>
            </w:tcBorders>
            <w:noWrap w:val="0"/>
            <w:vAlign w:val="center"/>
          </w:tcPr>
          <w:p w14:paraId="1AC16AF5">
            <w:pPr>
              <w:spacing w:line="360" w:lineRule="auto"/>
              <w:ind w:left="420"/>
              <w:rPr>
                <w:rFonts w:ascii="宋体" w:hAnsi="宋体" w:cs="宋体"/>
                <w:color w:val="auto"/>
                <w:sz w:val="24"/>
                <w:szCs w:val="24"/>
              </w:rPr>
            </w:pPr>
          </w:p>
        </w:tc>
        <w:tc>
          <w:tcPr>
            <w:tcW w:w="1043" w:type="dxa"/>
            <w:noWrap w:val="0"/>
            <w:vAlign w:val="center"/>
          </w:tcPr>
          <w:p w14:paraId="607A5CFC">
            <w:pPr>
              <w:spacing w:line="360" w:lineRule="auto"/>
              <w:ind w:left="420"/>
              <w:rPr>
                <w:rFonts w:ascii="宋体" w:hAnsi="宋体" w:cs="宋体"/>
                <w:color w:val="auto"/>
                <w:sz w:val="24"/>
                <w:szCs w:val="24"/>
              </w:rPr>
            </w:pPr>
          </w:p>
        </w:tc>
      </w:tr>
      <w:tr w14:paraId="4517C9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80" w:hRule="atLeast"/>
          <w:jc w:val="center"/>
        </w:trPr>
        <w:tc>
          <w:tcPr>
            <w:tcW w:w="1116" w:type="dxa"/>
            <w:noWrap w:val="0"/>
            <w:vAlign w:val="center"/>
          </w:tcPr>
          <w:p w14:paraId="6282E3A9">
            <w:pPr>
              <w:spacing w:line="360" w:lineRule="auto"/>
              <w:jc w:val="center"/>
              <w:rPr>
                <w:rFonts w:ascii="宋体" w:hAnsi="宋体" w:cs="宋体"/>
                <w:color w:val="auto"/>
                <w:sz w:val="24"/>
                <w:szCs w:val="24"/>
              </w:rPr>
            </w:pPr>
          </w:p>
        </w:tc>
        <w:tc>
          <w:tcPr>
            <w:tcW w:w="1804" w:type="dxa"/>
            <w:noWrap w:val="0"/>
            <w:vAlign w:val="center"/>
          </w:tcPr>
          <w:p w14:paraId="3806682B">
            <w:pPr>
              <w:spacing w:line="360" w:lineRule="auto"/>
              <w:ind w:left="420"/>
              <w:rPr>
                <w:rFonts w:ascii="宋体" w:hAnsi="宋体" w:cs="宋体"/>
                <w:color w:val="auto"/>
                <w:sz w:val="24"/>
                <w:szCs w:val="24"/>
              </w:rPr>
            </w:pPr>
          </w:p>
        </w:tc>
        <w:tc>
          <w:tcPr>
            <w:tcW w:w="1804" w:type="dxa"/>
            <w:noWrap w:val="0"/>
            <w:vAlign w:val="center"/>
          </w:tcPr>
          <w:p w14:paraId="3104D2EA">
            <w:pPr>
              <w:spacing w:line="360" w:lineRule="auto"/>
              <w:ind w:left="420"/>
              <w:rPr>
                <w:rFonts w:ascii="宋体" w:hAnsi="宋体" w:cs="宋体"/>
                <w:color w:val="auto"/>
                <w:sz w:val="24"/>
                <w:szCs w:val="24"/>
              </w:rPr>
            </w:pPr>
          </w:p>
        </w:tc>
        <w:tc>
          <w:tcPr>
            <w:tcW w:w="2146" w:type="dxa"/>
            <w:tcBorders>
              <w:right w:val="single" w:color="auto" w:sz="4" w:space="0"/>
            </w:tcBorders>
            <w:noWrap w:val="0"/>
            <w:vAlign w:val="center"/>
          </w:tcPr>
          <w:p w14:paraId="4EFC5CFF">
            <w:pPr>
              <w:spacing w:line="360" w:lineRule="auto"/>
              <w:ind w:left="420"/>
              <w:rPr>
                <w:rFonts w:ascii="宋体" w:hAnsi="宋体" w:cs="宋体"/>
                <w:color w:val="auto"/>
                <w:sz w:val="24"/>
                <w:szCs w:val="24"/>
              </w:rPr>
            </w:pPr>
          </w:p>
        </w:tc>
        <w:tc>
          <w:tcPr>
            <w:tcW w:w="1889" w:type="dxa"/>
            <w:tcBorders>
              <w:left w:val="single" w:color="auto" w:sz="4" w:space="0"/>
              <w:right w:val="single" w:color="auto" w:sz="4" w:space="0"/>
            </w:tcBorders>
            <w:noWrap w:val="0"/>
            <w:vAlign w:val="center"/>
          </w:tcPr>
          <w:p w14:paraId="2CF14C45">
            <w:pPr>
              <w:spacing w:line="360" w:lineRule="auto"/>
              <w:ind w:left="420"/>
              <w:rPr>
                <w:rFonts w:ascii="宋体" w:hAnsi="宋体" w:cs="宋体"/>
                <w:color w:val="auto"/>
                <w:sz w:val="24"/>
                <w:szCs w:val="24"/>
              </w:rPr>
            </w:pPr>
          </w:p>
        </w:tc>
        <w:tc>
          <w:tcPr>
            <w:tcW w:w="1043" w:type="dxa"/>
            <w:noWrap w:val="0"/>
            <w:vAlign w:val="center"/>
          </w:tcPr>
          <w:p w14:paraId="7726E264">
            <w:pPr>
              <w:spacing w:line="360" w:lineRule="auto"/>
              <w:ind w:left="420"/>
              <w:rPr>
                <w:rFonts w:ascii="宋体" w:hAnsi="宋体" w:cs="宋体"/>
                <w:color w:val="auto"/>
                <w:sz w:val="24"/>
                <w:szCs w:val="24"/>
              </w:rPr>
            </w:pPr>
          </w:p>
        </w:tc>
      </w:tr>
      <w:tr w14:paraId="7BAAD6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80" w:hRule="atLeast"/>
          <w:jc w:val="center"/>
        </w:trPr>
        <w:tc>
          <w:tcPr>
            <w:tcW w:w="1116" w:type="dxa"/>
            <w:noWrap w:val="0"/>
            <w:vAlign w:val="center"/>
          </w:tcPr>
          <w:p w14:paraId="34B858A8">
            <w:pPr>
              <w:spacing w:line="360" w:lineRule="auto"/>
              <w:jc w:val="center"/>
              <w:rPr>
                <w:rFonts w:ascii="宋体" w:hAnsi="宋体" w:cs="宋体"/>
                <w:color w:val="auto"/>
                <w:sz w:val="24"/>
                <w:szCs w:val="24"/>
              </w:rPr>
            </w:pPr>
          </w:p>
        </w:tc>
        <w:tc>
          <w:tcPr>
            <w:tcW w:w="1804" w:type="dxa"/>
            <w:noWrap w:val="0"/>
            <w:vAlign w:val="center"/>
          </w:tcPr>
          <w:p w14:paraId="0068D471">
            <w:pPr>
              <w:spacing w:line="360" w:lineRule="auto"/>
              <w:ind w:left="420"/>
              <w:rPr>
                <w:rFonts w:ascii="宋体" w:hAnsi="宋体" w:cs="宋体"/>
                <w:color w:val="auto"/>
                <w:sz w:val="24"/>
                <w:szCs w:val="24"/>
              </w:rPr>
            </w:pPr>
          </w:p>
        </w:tc>
        <w:tc>
          <w:tcPr>
            <w:tcW w:w="1804" w:type="dxa"/>
            <w:noWrap w:val="0"/>
            <w:vAlign w:val="center"/>
          </w:tcPr>
          <w:p w14:paraId="011AE0C7">
            <w:pPr>
              <w:spacing w:line="360" w:lineRule="auto"/>
              <w:ind w:left="420"/>
              <w:rPr>
                <w:rFonts w:ascii="宋体" w:hAnsi="宋体" w:cs="宋体"/>
                <w:color w:val="auto"/>
                <w:sz w:val="24"/>
                <w:szCs w:val="24"/>
              </w:rPr>
            </w:pPr>
          </w:p>
        </w:tc>
        <w:tc>
          <w:tcPr>
            <w:tcW w:w="2146" w:type="dxa"/>
            <w:tcBorders>
              <w:right w:val="single" w:color="auto" w:sz="4" w:space="0"/>
            </w:tcBorders>
            <w:noWrap w:val="0"/>
            <w:vAlign w:val="center"/>
          </w:tcPr>
          <w:p w14:paraId="5EF2DCCB">
            <w:pPr>
              <w:spacing w:line="360" w:lineRule="auto"/>
              <w:ind w:left="420"/>
              <w:rPr>
                <w:rFonts w:ascii="宋体" w:hAnsi="宋体" w:cs="宋体"/>
                <w:color w:val="auto"/>
                <w:sz w:val="24"/>
                <w:szCs w:val="24"/>
              </w:rPr>
            </w:pPr>
          </w:p>
        </w:tc>
        <w:tc>
          <w:tcPr>
            <w:tcW w:w="1889" w:type="dxa"/>
            <w:tcBorders>
              <w:left w:val="single" w:color="auto" w:sz="4" w:space="0"/>
              <w:right w:val="single" w:color="auto" w:sz="4" w:space="0"/>
            </w:tcBorders>
            <w:noWrap w:val="0"/>
            <w:vAlign w:val="center"/>
          </w:tcPr>
          <w:p w14:paraId="1D49D5B1">
            <w:pPr>
              <w:spacing w:line="360" w:lineRule="auto"/>
              <w:ind w:left="420"/>
              <w:rPr>
                <w:rFonts w:ascii="宋体" w:hAnsi="宋体" w:cs="宋体"/>
                <w:color w:val="auto"/>
                <w:sz w:val="24"/>
                <w:szCs w:val="24"/>
              </w:rPr>
            </w:pPr>
          </w:p>
        </w:tc>
        <w:tc>
          <w:tcPr>
            <w:tcW w:w="1043" w:type="dxa"/>
            <w:noWrap w:val="0"/>
            <w:vAlign w:val="center"/>
          </w:tcPr>
          <w:p w14:paraId="7D7E6B21">
            <w:pPr>
              <w:spacing w:line="360" w:lineRule="auto"/>
              <w:ind w:left="420"/>
              <w:rPr>
                <w:rFonts w:ascii="宋体" w:hAnsi="宋体" w:cs="宋体"/>
                <w:color w:val="auto"/>
                <w:sz w:val="24"/>
                <w:szCs w:val="24"/>
              </w:rPr>
            </w:pPr>
          </w:p>
        </w:tc>
      </w:tr>
      <w:tr w14:paraId="1931AE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80" w:hRule="atLeast"/>
          <w:jc w:val="center"/>
        </w:trPr>
        <w:tc>
          <w:tcPr>
            <w:tcW w:w="1116" w:type="dxa"/>
            <w:noWrap w:val="0"/>
            <w:vAlign w:val="center"/>
          </w:tcPr>
          <w:p w14:paraId="5BB0253C">
            <w:pPr>
              <w:spacing w:line="360" w:lineRule="auto"/>
              <w:jc w:val="center"/>
              <w:rPr>
                <w:rFonts w:ascii="宋体" w:hAnsi="宋体" w:cs="宋体"/>
                <w:color w:val="auto"/>
                <w:sz w:val="24"/>
                <w:szCs w:val="24"/>
              </w:rPr>
            </w:pPr>
          </w:p>
        </w:tc>
        <w:tc>
          <w:tcPr>
            <w:tcW w:w="1804" w:type="dxa"/>
            <w:noWrap w:val="0"/>
            <w:vAlign w:val="center"/>
          </w:tcPr>
          <w:p w14:paraId="17C36140">
            <w:pPr>
              <w:spacing w:line="360" w:lineRule="auto"/>
              <w:jc w:val="center"/>
              <w:rPr>
                <w:rFonts w:ascii="宋体" w:hAnsi="宋体" w:cs="宋体"/>
                <w:color w:val="auto"/>
                <w:sz w:val="24"/>
                <w:szCs w:val="24"/>
              </w:rPr>
            </w:pPr>
          </w:p>
        </w:tc>
        <w:tc>
          <w:tcPr>
            <w:tcW w:w="1804" w:type="dxa"/>
            <w:noWrap w:val="0"/>
            <w:vAlign w:val="center"/>
          </w:tcPr>
          <w:p w14:paraId="4E20FF69">
            <w:pPr>
              <w:spacing w:line="360" w:lineRule="auto"/>
              <w:jc w:val="center"/>
              <w:rPr>
                <w:rFonts w:ascii="宋体" w:hAnsi="宋体" w:cs="宋体"/>
                <w:color w:val="auto"/>
                <w:sz w:val="24"/>
                <w:szCs w:val="24"/>
              </w:rPr>
            </w:pPr>
          </w:p>
        </w:tc>
        <w:tc>
          <w:tcPr>
            <w:tcW w:w="2146" w:type="dxa"/>
            <w:tcBorders>
              <w:right w:val="single" w:color="auto" w:sz="4" w:space="0"/>
            </w:tcBorders>
            <w:noWrap w:val="0"/>
            <w:vAlign w:val="center"/>
          </w:tcPr>
          <w:p w14:paraId="6085927F">
            <w:pPr>
              <w:spacing w:line="360" w:lineRule="auto"/>
              <w:jc w:val="center"/>
              <w:rPr>
                <w:rFonts w:ascii="宋体" w:hAnsi="宋体" w:cs="宋体"/>
                <w:color w:val="auto"/>
                <w:sz w:val="24"/>
                <w:szCs w:val="24"/>
              </w:rPr>
            </w:pPr>
          </w:p>
        </w:tc>
        <w:tc>
          <w:tcPr>
            <w:tcW w:w="1889" w:type="dxa"/>
            <w:tcBorders>
              <w:left w:val="single" w:color="auto" w:sz="4" w:space="0"/>
              <w:right w:val="single" w:color="auto" w:sz="4" w:space="0"/>
            </w:tcBorders>
            <w:noWrap w:val="0"/>
            <w:vAlign w:val="center"/>
          </w:tcPr>
          <w:p w14:paraId="4E89181A">
            <w:pPr>
              <w:spacing w:line="360" w:lineRule="auto"/>
              <w:jc w:val="center"/>
              <w:rPr>
                <w:rFonts w:ascii="宋体" w:hAnsi="宋体" w:cs="宋体"/>
                <w:color w:val="auto"/>
                <w:sz w:val="24"/>
                <w:szCs w:val="24"/>
              </w:rPr>
            </w:pPr>
          </w:p>
        </w:tc>
        <w:tc>
          <w:tcPr>
            <w:tcW w:w="1043" w:type="dxa"/>
            <w:noWrap w:val="0"/>
            <w:vAlign w:val="center"/>
          </w:tcPr>
          <w:p w14:paraId="372A66EF">
            <w:pPr>
              <w:spacing w:line="360" w:lineRule="auto"/>
              <w:jc w:val="center"/>
              <w:rPr>
                <w:rFonts w:ascii="宋体" w:hAnsi="宋体" w:cs="宋体"/>
                <w:color w:val="auto"/>
                <w:sz w:val="24"/>
                <w:szCs w:val="24"/>
              </w:rPr>
            </w:pPr>
          </w:p>
        </w:tc>
      </w:tr>
      <w:tr w14:paraId="7777BE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80" w:hRule="atLeast"/>
          <w:jc w:val="center"/>
        </w:trPr>
        <w:tc>
          <w:tcPr>
            <w:tcW w:w="1116" w:type="dxa"/>
            <w:noWrap w:val="0"/>
            <w:vAlign w:val="center"/>
          </w:tcPr>
          <w:p w14:paraId="2402BD00">
            <w:pPr>
              <w:spacing w:line="360" w:lineRule="auto"/>
              <w:jc w:val="center"/>
              <w:rPr>
                <w:rFonts w:ascii="宋体" w:hAnsi="宋体" w:cs="宋体"/>
                <w:color w:val="auto"/>
                <w:sz w:val="24"/>
                <w:szCs w:val="24"/>
              </w:rPr>
            </w:pPr>
          </w:p>
        </w:tc>
        <w:tc>
          <w:tcPr>
            <w:tcW w:w="1804" w:type="dxa"/>
            <w:noWrap w:val="0"/>
            <w:vAlign w:val="center"/>
          </w:tcPr>
          <w:p w14:paraId="24C52AA9">
            <w:pPr>
              <w:spacing w:line="360" w:lineRule="auto"/>
              <w:jc w:val="center"/>
              <w:rPr>
                <w:rFonts w:ascii="宋体" w:hAnsi="宋体" w:cs="宋体"/>
                <w:color w:val="auto"/>
                <w:sz w:val="24"/>
                <w:szCs w:val="24"/>
              </w:rPr>
            </w:pPr>
          </w:p>
        </w:tc>
        <w:tc>
          <w:tcPr>
            <w:tcW w:w="1804" w:type="dxa"/>
            <w:noWrap w:val="0"/>
            <w:vAlign w:val="center"/>
          </w:tcPr>
          <w:p w14:paraId="1EB5685A">
            <w:pPr>
              <w:spacing w:line="360" w:lineRule="auto"/>
              <w:jc w:val="center"/>
              <w:rPr>
                <w:rFonts w:ascii="宋体" w:hAnsi="宋体" w:cs="宋体"/>
                <w:color w:val="auto"/>
                <w:sz w:val="24"/>
                <w:szCs w:val="24"/>
              </w:rPr>
            </w:pPr>
          </w:p>
        </w:tc>
        <w:tc>
          <w:tcPr>
            <w:tcW w:w="2146" w:type="dxa"/>
            <w:tcBorders>
              <w:right w:val="single" w:color="auto" w:sz="4" w:space="0"/>
            </w:tcBorders>
            <w:noWrap w:val="0"/>
            <w:vAlign w:val="center"/>
          </w:tcPr>
          <w:p w14:paraId="51CBD5BA">
            <w:pPr>
              <w:spacing w:line="360" w:lineRule="auto"/>
              <w:jc w:val="center"/>
              <w:rPr>
                <w:rFonts w:ascii="宋体" w:hAnsi="宋体" w:cs="宋体"/>
                <w:color w:val="auto"/>
                <w:sz w:val="24"/>
                <w:szCs w:val="24"/>
              </w:rPr>
            </w:pPr>
          </w:p>
        </w:tc>
        <w:tc>
          <w:tcPr>
            <w:tcW w:w="1889" w:type="dxa"/>
            <w:tcBorders>
              <w:left w:val="single" w:color="auto" w:sz="4" w:space="0"/>
              <w:right w:val="single" w:color="auto" w:sz="4" w:space="0"/>
            </w:tcBorders>
            <w:noWrap w:val="0"/>
            <w:vAlign w:val="center"/>
          </w:tcPr>
          <w:p w14:paraId="24790001">
            <w:pPr>
              <w:spacing w:line="360" w:lineRule="auto"/>
              <w:jc w:val="center"/>
              <w:rPr>
                <w:rFonts w:ascii="宋体" w:hAnsi="宋体" w:cs="宋体"/>
                <w:color w:val="auto"/>
                <w:sz w:val="24"/>
                <w:szCs w:val="24"/>
              </w:rPr>
            </w:pPr>
          </w:p>
        </w:tc>
        <w:tc>
          <w:tcPr>
            <w:tcW w:w="1043" w:type="dxa"/>
            <w:noWrap w:val="0"/>
            <w:vAlign w:val="center"/>
          </w:tcPr>
          <w:p w14:paraId="7136CD6A">
            <w:pPr>
              <w:spacing w:line="360" w:lineRule="auto"/>
              <w:jc w:val="center"/>
              <w:rPr>
                <w:rFonts w:ascii="宋体" w:hAnsi="宋体" w:cs="宋体"/>
                <w:color w:val="auto"/>
                <w:sz w:val="24"/>
                <w:szCs w:val="24"/>
              </w:rPr>
            </w:pPr>
          </w:p>
        </w:tc>
      </w:tr>
    </w:tbl>
    <w:p w14:paraId="2D52A029">
      <w:pPr>
        <w:pStyle w:val="203"/>
        <w:spacing w:line="360" w:lineRule="auto"/>
        <w:ind w:firstLine="480"/>
        <w:rPr>
          <w:rFonts w:hint="eastAsia" w:hAnsi="宋体" w:cs="宋体"/>
          <w:color w:val="auto"/>
          <w:sz w:val="24"/>
        </w:rPr>
      </w:pPr>
    </w:p>
    <w:p w14:paraId="16958E18">
      <w:pPr>
        <w:spacing w:line="360" w:lineRule="auto"/>
        <w:ind w:firstLine="480"/>
        <w:jc w:val="left"/>
        <w:rPr>
          <w:rFonts w:ascii="宋体" w:hAnsi="宋体" w:cs="宋体"/>
          <w:bCs/>
          <w:sz w:val="24"/>
        </w:rPr>
      </w:pPr>
      <w:r>
        <w:rPr>
          <w:rFonts w:hint="eastAsia" w:ascii="宋体" w:hAnsi="宋体" w:cs="宋体"/>
          <w:bCs/>
          <w:sz w:val="24"/>
        </w:rPr>
        <w:t>供应商：（公章）</w:t>
      </w:r>
    </w:p>
    <w:p w14:paraId="0CCA01D7">
      <w:pPr>
        <w:spacing w:line="360" w:lineRule="auto"/>
        <w:ind w:firstLine="480"/>
        <w:jc w:val="left"/>
        <w:rPr>
          <w:rFonts w:ascii="宋体" w:hAnsi="宋体" w:cs="宋体"/>
          <w:bCs/>
          <w:sz w:val="24"/>
        </w:rPr>
      </w:pPr>
      <w:r>
        <w:rPr>
          <w:rFonts w:hint="eastAsia" w:ascii="宋体" w:hAnsi="宋体" w:cs="宋体"/>
          <w:bCs/>
          <w:sz w:val="24"/>
        </w:rPr>
        <w:t>法定代表人或代理人（签字或盖章）：</w:t>
      </w:r>
    </w:p>
    <w:p w14:paraId="780F6316">
      <w:pPr>
        <w:spacing w:line="360" w:lineRule="auto"/>
        <w:ind w:firstLine="480"/>
        <w:jc w:val="left"/>
        <w:rPr>
          <w:rFonts w:ascii="宋体" w:hAnsi="宋体" w:cs="宋体"/>
          <w:sz w:val="24"/>
          <w:lang w:val="zh-CN"/>
        </w:rPr>
      </w:pPr>
      <w:r>
        <w:rPr>
          <w:rFonts w:hint="eastAsia" w:ascii="宋体" w:hAnsi="宋体" w:cs="宋体"/>
          <w:sz w:val="24"/>
          <w:lang w:val="zh-CN"/>
        </w:rPr>
        <w:t>日期：    年   月   日</w:t>
      </w:r>
    </w:p>
    <w:p w14:paraId="5E993387">
      <w:pPr>
        <w:pStyle w:val="12"/>
        <w:spacing w:line="360" w:lineRule="auto"/>
        <w:ind w:firstLine="480"/>
        <w:rPr>
          <w:rFonts w:ascii="宋体" w:hAnsi="宋体" w:eastAsia="宋体" w:cs="宋体"/>
          <w:bCs/>
        </w:rPr>
      </w:pPr>
      <w:r>
        <w:rPr>
          <w:rFonts w:hint="eastAsia" w:ascii="宋体" w:hAnsi="宋体" w:eastAsia="宋体" w:cs="宋体"/>
          <w:lang w:val="zh-CN"/>
        </w:rPr>
        <w:br w:type="page" w:clear="all"/>
      </w:r>
      <w:r>
        <w:rPr>
          <w:rFonts w:hint="eastAsia" w:ascii="宋体" w:hAnsi="宋体" w:cs="宋体"/>
        </w:rPr>
        <w:t>6、</w:t>
      </w:r>
      <w:r>
        <w:rPr>
          <w:rFonts w:hint="eastAsia" w:ascii="宋体" w:hAnsi="宋体" w:eastAsia="宋体" w:cs="宋体"/>
          <w:bCs/>
        </w:rPr>
        <w:t>偏离表</w:t>
      </w:r>
    </w:p>
    <w:p w14:paraId="2709B345">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（服务内容、服务要求）偏离表</w:t>
      </w:r>
    </w:p>
    <w:tbl>
      <w:tblPr>
        <w:tblStyle w:val="41"/>
        <w:tblW w:w="99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8"/>
        <w:gridCol w:w="2282"/>
        <w:gridCol w:w="2589"/>
        <w:gridCol w:w="2276"/>
        <w:gridCol w:w="1913"/>
      </w:tblGrid>
      <w:tr w14:paraId="08C83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898" w:type="dxa"/>
            <w:noWrap w:val="0"/>
            <w:vAlign w:val="center"/>
          </w:tcPr>
          <w:p w14:paraId="016F5F7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282" w:type="dxa"/>
            <w:noWrap w:val="0"/>
            <w:vAlign w:val="center"/>
          </w:tcPr>
          <w:p w14:paraId="419653C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采购要求</w:t>
            </w:r>
          </w:p>
        </w:tc>
        <w:tc>
          <w:tcPr>
            <w:tcW w:w="2589" w:type="dxa"/>
            <w:noWrap w:val="0"/>
            <w:vAlign w:val="center"/>
          </w:tcPr>
          <w:p w14:paraId="78C668E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响应内容</w:t>
            </w:r>
          </w:p>
        </w:tc>
        <w:tc>
          <w:tcPr>
            <w:tcW w:w="2276" w:type="dxa"/>
            <w:noWrap w:val="0"/>
            <w:vAlign w:val="center"/>
          </w:tcPr>
          <w:p w14:paraId="73D3E42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偏离说明</w:t>
            </w:r>
          </w:p>
        </w:tc>
        <w:tc>
          <w:tcPr>
            <w:tcW w:w="1913" w:type="dxa"/>
            <w:noWrap w:val="0"/>
            <w:vAlign w:val="center"/>
          </w:tcPr>
          <w:p w14:paraId="6A0F6F1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证明材料页码</w:t>
            </w:r>
          </w:p>
        </w:tc>
      </w:tr>
      <w:tr w14:paraId="5F20E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898" w:type="dxa"/>
            <w:noWrap w:val="0"/>
            <w:vAlign w:val="center"/>
          </w:tcPr>
          <w:p w14:paraId="7983E76A">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2282" w:type="dxa"/>
            <w:noWrap w:val="0"/>
            <w:vAlign w:val="center"/>
          </w:tcPr>
          <w:p w14:paraId="58F3A810">
            <w:pPr>
              <w:jc w:val="center"/>
              <w:rPr>
                <w:rFonts w:hint="eastAsia" w:ascii="宋体" w:hAnsi="宋体" w:eastAsia="宋体" w:cs="宋体"/>
                <w:color w:val="auto"/>
                <w:sz w:val="24"/>
                <w:szCs w:val="24"/>
                <w:highlight w:val="none"/>
              </w:rPr>
            </w:pPr>
          </w:p>
        </w:tc>
        <w:tc>
          <w:tcPr>
            <w:tcW w:w="2589" w:type="dxa"/>
            <w:noWrap w:val="0"/>
            <w:vAlign w:val="center"/>
          </w:tcPr>
          <w:p w14:paraId="68AD4A2A">
            <w:pPr>
              <w:jc w:val="center"/>
              <w:rPr>
                <w:rFonts w:hint="eastAsia" w:ascii="宋体" w:hAnsi="宋体" w:eastAsia="宋体" w:cs="宋体"/>
                <w:color w:val="auto"/>
                <w:sz w:val="24"/>
                <w:szCs w:val="24"/>
                <w:highlight w:val="none"/>
              </w:rPr>
            </w:pPr>
          </w:p>
        </w:tc>
        <w:tc>
          <w:tcPr>
            <w:tcW w:w="2276" w:type="dxa"/>
            <w:noWrap w:val="0"/>
            <w:vAlign w:val="center"/>
          </w:tcPr>
          <w:p w14:paraId="38CE2D71">
            <w:pPr>
              <w:jc w:val="center"/>
              <w:rPr>
                <w:rFonts w:hint="eastAsia" w:ascii="宋体" w:hAnsi="宋体" w:eastAsia="宋体" w:cs="宋体"/>
                <w:color w:val="auto"/>
                <w:sz w:val="24"/>
                <w:szCs w:val="24"/>
                <w:highlight w:val="none"/>
              </w:rPr>
            </w:pPr>
          </w:p>
        </w:tc>
        <w:tc>
          <w:tcPr>
            <w:tcW w:w="1913" w:type="dxa"/>
            <w:noWrap w:val="0"/>
            <w:vAlign w:val="center"/>
          </w:tcPr>
          <w:p w14:paraId="79B297DE">
            <w:pPr>
              <w:jc w:val="center"/>
              <w:rPr>
                <w:rFonts w:hint="eastAsia" w:ascii="宋体" w:hAnsi="宋体" w:eastAsia="宋体" w:cs="宋体"/>
                <w:color w:val="auto"/>
                <w:sz w:val="24"/>
                <w:szCs w:val="24"/>
                <w:highlight w:val="none"/>
              </w:rPr>
            </w:pPr>
          </w:p>
        </w:tc>
      </w:tr>
      <w:tr w14:paraId="1E734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898" w:type="dxa"/>
            <w:noWrap w:val="0"/>
            <w:vAlign w:val="center"/>
          </w:tcPr>
          <w:p w14:paraId="4DD3C572">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2282" w:type="dxa"/>
            <w:noWrap w:val="0"/>
            <w:vAlign w:val="center"/>
          </w:tcPr>
          <w:p w14:paraId="70C9329C">
            <w:pPr>
              <w:jc w:val="center"/>
              <w:rPr>
                <w:rFonts w:hint="eastAsia" w:ascii="宋体" w:hAnsi="宋体" w:eastAsia="宋体" w:cs="宋体"/>
                <w:color w:val="auto"/>
                <w:sz w:val="24"/>
                <w:szCs w:val="24"/>
                <w:highlight w:val="none"/>
              </w:rPr>
            </w:pPr>
          </w:p>
        </w:tc>
        <w:tc>
          <w:tcPr>
            <w:tcW w:w="2589" w:type="dxa"/>
            <w:noWrap w:val="0"/>
            <w:vAlign w:val="center"/>
          </w:tcPr>
          <w:p w14:paraId="4020431D">
            <w:pPr>
              <w:jc w:val="center"/>
              <w:rPr>
                <w:rFonts w:hint="eastAsia" w:ascii="宋体" w:hAnsi="宋体" w:eastAsia="宋体" w:cs="宋体"/>
                <w:color w:val="auto"/>
                <w:sz w:val="24"/>
                <w:szCs w:val="24"/>
                <w:highlight w:val="none"/>
              </w:rPr>
            </w:pPr>
          </w:p>
        </w:tc>
        <w:tc>
          <w:tcPr>
            <w:tcW w:w="2276" w:type="dxa"/>
            <w:noWrap w:val="0"/>
            <w:vAlign w:val="center"/>
          </w:tcPr>
          <w:p w14:paraId="227C5C48">
            <w:pPr>
              <w:jc w:val="center"/>
              <w:rPr>
                <w:rFonts w:hint="eastAsia" w:ascii="宋体" w:hAnsi="宋体" w:eastAsia="宋体" w:cs="宋体"/>
                <w:color w:val="auto"/>
                <w:sz w:val="24"/>
                <w:szCs w:val="24"/>
                <w:highlight w:val="none"/>
              </w:rPr>
            </w:pPr>
          </w:p>
        </w:tc>
        <w:tc>
          <w:tcPr>
            <w:tcW w:w="1913" w:type="dxa"/>
            <w:noWrap w:val="0"/>
            <w:vAlign w:val="center"/>
          </w:tcPr>
          <w:p w14:paraId="760D2CDE">
            <w:pPr>
              <w:jc w:val="center"/>
              <w:rPr>
                <w:rFonts w:hint="eastAsia" w:ascii="宋体" w:hAnsi="宋体" w:eastAsia="宋体" w:cs="宋体"/>
                <w:color w:val="auto"/>
                <w:sz w:val="24"/>
                <w:szCs w:val="24"/>
                <w:highlight w:val="none"/>
              </w:rPr>
            </w:pPr>
          </w:p>
        </w:tc>
      </w:tr>
      <w:tr w14:paraId="56B3A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898" w:type="dxa"/>
            <w:noWrap w:val="0"/>
            <w:vAlign w:val="center"/>
          </w:tcPr>
          <w:p w14:paraId="584F5E74">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p>
        </w:tc>
        <w:tc>
          <w:tcPr>
            <w:tcW w:w="2282" w:type="dxa"/>
            <w:noWrap w:val="0"/>
            <w:vAlign w:val="center"/>
          </w:tcPr>
          <w:p w14:paraId="7FD7E046">
            <w:pPr>
              <w:jc w:val="center"/>
              <w:rPr>
                <w:rFonts w:hint="eastAsia" w:ascii="宋体" w:hAnsi="宋体" w:eastAsia="宋体" w:cs="宋体"/>
                <w:color w:val="auto"/>
                <w:sz w:val="24"/>
                <w:szCs w:val="24"/>
                <w:highlight w:val="none"/>
              </w:rPr>
            </w:pPr>
          </w:p>
        </w:tc>
        <w:tc>
          <w:tcPr>
            <w:tcW w:w="2589" w:type="dxa"/>
            <w:noWrap w:val="0"/>
            <w:vAlign w:val="center"/>
          </w:tcPr>
          <w:p w14:paraId="10F44655">
            <w:pPr>
              <w:jc w:val="center"/>
              <w:rPr>
                <w:rFonts w:hint="eastAsia" w:ascii="宋体" w:hAnsi="宋体" w:eastAsia="宋体" w:cs="宋体"/>
                <w:color w:val="auto"/>
                <w:sz w:val="24"/>
                <w:szCs w:val="24"/>
                <w:highlight w:val="none"/>
              </w:rPr>
            </w:pPr>
          </w:p>
        </w:tc>
        <w:tc>
          <w:tcPr>
            <w:tcW w:w="2276" w:type="dxa"/>
            <w:noWrap w:val="0"/>
            <w:vAlign w:val="center"/>
          </w:tcPr>
          <w:p w14:paraId="1704B809">
            <w:pPr>
              <w:jc w:val="center"/>
              <w:rPr>
                <w:rFonts w:hint="eastAsia" w:ascii="宋体" w:hAnsi="宋体" w:eastAsia="宋体" w:cs="宋体"/>
                <w:color w:val="auto"/>
                <w:sz w:val="24"/>
                <w:szCs w:val="24"/>
                <w:highlight w:val="none"/>
              </w:rPr>
            </w:pPr>
          </w:p>
        </w:tc>
        <w:tc>
          <w:tcPr>
            <w:tcW w:w="1913" w:type="dxa"/>
            <w:noWrap w:val="0"/>
            <w:vAlign w:val="center"/>
          </w:tcPr>
          <w:p w14:paraId="7848587C">
            <w:pPr>
              <w:jc w:val="center"/>
              <w:rPr>
                <w:rFonts w:hint="eastAsia" w:ascii="宋体" w:hAnsi="宋体" w:eastAsia="宋体" w:cs="宋体"/>
                <w:color w:val="auto"/>
                <w:sz w:val="24"/>
                <w:szCs w:val="24"/>
                <w:highlight w:val="none"/>
              </w:rPr>
            </w:pPr>
          </w:p>
        </w:tc>
      </w:tr>
      <w:tr w14:paraId="6E6B4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898" w:type="dxa"/>
            <w:noWrap w:val="0"/>
            <w:vAlign w:val="center"/>
          </w:tcPr>
          <w:p w14:paraId="27BCA58C">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tc>
        <w:tc>
          <w:tcPr>
            <w:tcW w:w="2282" w:type="dxa"/>
            <w:noWrap w:val="0"/>
          </w:tcPr>
          <w:p w14:paraId="20AF12A5">
            <w:pPr>
              <w:jc w:val="center"/>
              <w:rPr>
                <w:rFonts w:hint="eastAsia" w:ascii="宋体" w:hAnsi="宋体" w:eastAsia="宋体" w:cs="宋体"/>
                <w:color w:val="auto"/>
                <w:sz w:val="24"/>
                <w:szCs w:val="24"/>
                <w:highlight w:val="none"/>
              </w:rPr>
            </w:pPr>
          </w:p>
        </w:tc>
        <w:tc>
          <w:tcPr>
            <w:tcW w:w="2589" w:type="dxa"/>
            <w:noWrap w:val="0"/>
          </w:tcPr>
          <w:p w14:paraId="5FBD654D">
            <w:pPr>
              <w:jc w:val="center"/>
              <w:rPr>
                <w:rFonts w:hint="eastAsia" w:ascii="宋体" w:hAnsi="宋体" w:eastAsia="宋体" w:cs="宋体"/>
                <w:color w:val="auto"/>
                <w:sz w:val="24"/>
                <w:szCs w:val="24"/>
                <w:highlight w:val="none"/>
              </w:rPr>
            </w:pPr>
          </w:p>
        </w:tc>
        <w:tc>
          <w:tcPr>
            <w:tcW w:w="2276" w:type="dxa"/>
            <w:noWrap w:val="0"/>
          </w:tcPr>
          <w:p w14:paraId="07C853C5">
            <w:pPr>
              <w:jc w:val="center"/>
              <w:rPr>
                <w:rFonts w:hint="eastAsia" w:ascii="宋体" w:hAnsi="宋体" w:eastAsia="宋体" w:cs="宋体"/>
                <w:color w:val="auto"/>
                <w:sz w:val="24"/>
                <w:szCs w:val="24"/>
                <w:highlight w:val="none"/>
              </w:rPr>
            </w:pPr>
          </w:p>
        </w:tc>
        <w:tc>
          <w:tcPr>
            <w:tcW w:w="1913" w:type="dxa"/>
            <w:noWrap w:val="0"/>
          </w:tcPr>
          <w:p w14:paraId="724C229C">
            <w:pPr>
              <w:jc w:val="center"/>
              <w:rPr>
                <w:rFonts w:hint="eastAsia" w:ascii="宋体" w:hAnsi="宋体" w:eastAsia="宋体" w:cs="宋体"/>
                <w:color w:val="auto"/>
                <w:sz w:val="24"/>
                <w:szCs w:val="24"/>
                <w:highlight w:val="none"/>
              </w:rPr>
            </w:pPr>
          </w:p>
        </w:tc>
      </w:tr>
    </w:tbl>
    <w:p w14:paraId="7F07C0EC">
      <w:pPr>
        <w:spacing w:line="360" w:lineRule="auto"/>
        <w:ind w:firstLine="480"/>
        <w:jc w:val="left"/>
        <w:rPr>
          <w:rFonts w:ascii="宋体" w:hAnsi="宋体" w:cs="宋体"/>
          <w:bCs/>
          <w:sz w:val="24"/>
        </w:rPr>
      </w:pPr>
      <w:r>
        <w:rPr>
          <w:rFonts w:hint="eastAsia" w:ascii="宋体" w:hAnsi="宋体" w:cs="宋体"/>
          <w:bCs/>
          <w:sz w:val="24"/>
        </w:rPr>
        <w:t>供应商：（公章）</w:t>
      </w:r>
    </w:p>
    <w:p w14:paraId="4BA254B5">
      <w:pPr>
        <w:spacing w:line="360" w:lineRule="auto"/>
        <w:ind w:firstLine="480"/>
        <w:jc w:val="left"/>
        <w:rPr>
          <w:rFonts w:ascii="宋体" w:hAnsi="宋体" w:cs="宋体"/>
          <w:bCs/>
          <w:sz w:val="24"/>
        </w:rPr>
      </w:pPr>
      <w:r>
        <w:rPr>
          <w:rFonts w:hint="eastAsia" w:ascii="宋体" w:hAnsi="宋体" w:cs="宋体"/>
          <w:bCs/>
          <w:sz w:val="24"/>
        </w:rPr>
        <w:t>法定代表人或代理人（签字或盖章）：</w:t>
      </w:r>
    </w:p>
    <w:p w14:paraId="3E24B9B0">
      <w:pPr>
        <w:spacing w:line="360" w:lineRule="auto"/>
        <w:ind w:firstLine="480"/>
        <w:jc w:val="left"/>
        <w:rPr>
          <w:rFonts w:ascii="宋体" w:hAnsi="宋体" w:cs="宋体"/>
          <w:sz w:val="24"/>
          <w:lang w:val="zh-CN"/>
        </w:rPr>
      </w:pPr>
      <w:r>
        <w:rPr>
          <w:rFonts w:hint="eastAsia" w:ascii="宋体" w:hAnsi="宋体" w:cs="宋体"/>
          <w:sz w:val="24"/>
          <w:lang w:val="zh-CN"/>
        </w:rPr>
        <w:t>日期：    年   月   日</w:t>
      </w:r>
    </w:p>
    <w:p w14:paraId="62550AE1">
      <w:pPr>
        <w:spacing w:line="360" w:lineRule="auto"/>
        <w:ind w:firstLine="48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商务条款偏离表</w:t>
      </w:r>
    </w:p>
    <w:tbl>
      <w:tblPr>
        <w:tblStyle w:val="41"/>
        <w:tblW w:w="99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3"/>
        <w:gridCol w:w="2907"/>
        <w:gridCol w:w="2565"/>
        <w:gridCol w:w="1965"/>
        <w:gridCol w:w="1648"/>
      </w:tblGrid>
      <w:tr w14:paraId="654FE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873" w:type="dxa"/>
            <w:noWrap w:val="0"/>
            <w:vAlign w:val="center"/>
          </w:tcPr>
          <w:p w14:paraId="6C199D3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907" w:type="dxa"/>
            <w:noWrap w:val="0"/>
            <w:vAlign w:val="center"/>
          </w:tcPr>
          <w:p w14:paraId="0481251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采购要求</w:t>
            </w:r>
          </w:p>
        </w:tc>
        <w:tc>
          <w:tcPr>
            <w:tcW w:w="2565" w:type="dxa"/>
            <w:noWrap w:val="0"/>
            <w:vAlign w:val="center"/>
          </w:tcPr>
          <w:p w14:paraId="7C4AA44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响应内容</w:t>
            </w:r>
          </w:p>
        </w:tc>
        <w:tc>
          <w:tcPr>
            <w:tcW w:w="1965" w:type="dxa"/>
            <w:noWrap w:val="0"/>
            <w:vAlign w:val="center"/>
          </w:tcPr>
          <w:p w14:paraId="7580410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偏离说明</w:t>
            </w:r>
          </w:p>
        </w:tc>
        <w:tc>
          <w:tcPr>
            <w:tcW w:w="1648" w:type="dxa"/>
            <w:noWrap w:val="0"/>
            <w:vAlign w:val="center"/>
          </w:tcPr>
          <w:p w14:paraId="77F8252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50CE6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873" w:type="dxa"/>
            <w:noWrap w:val="0"/>
            <w:vAlign w:val="center"/>
          </w:tcPr>
          <w:p w14:paraId="2A3DA90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w:t>
            </w:r>
          </w:p>
        </w:tc>
        <w:tc>
          <w:tcPr>
            <w:tcW w:w="2907" w:type="dxa"/>
            <w:noWrap w:val="0"/>
            <w:vAlign w:val="center"/>
          </w:tcPr>
          <w:p w14:paraId="6166B5BE">
            <w:pPr>
              <w:rPr>
                <w:rFonts w:hint="eastAsia" w:ascii="宋体" w:hAnsi="宋体" w:eastAsia="宋体" w:cs="宋体"/>
                <w:color w:val="auto"/>
                <w:sz w:val="24"/>
                <w:szCs w:val="24"/>
                <w:highlight w:val="none"/>
              </w:rPr>
            </w:pPr>
          </w:p>
        </w:tc>
        <w:tc>
          <w:tcPr>
            <w:tcW w:w="2565" w:type="dxa"/>
            <w:noWrap w:val="0"/>
            <w:vAlign w:val="center"/>
          </w:tcPr>
          <w:p w14:paraId="25CF5149">
            <w:pPr>
              <w:rPr>
                <w:rFonts w:hint="eastAsia" w:ascii="宋体" w:hAnsi="宋体" w:eastAsia="宋体" w:cs="宋体"/>
                <w:color w:val="auto"/>
                <w:sz w:val="24"/>
                <w:szCs w:val="24"/>
                <w:highlight w:val="none"/>
              </w:rPr>
            </w:pPr>
          </w:p>
        </w:tc>
        <w:tc>
          <w:tcPr>
            <w:tcW w:w="1965" w:type="dxa"/>
            <w:noWrap w:val="0"/>
            <w:vAlign w:val="center"/>
          </w:tcPr>
          <w:p w14:paraId="265961CC">
            <w:pPr>
              <w:rPr>
                <w:rFonts w:hint="eastAsia" w:ascii="宋体" w:hAnsi="宋体" w:eastAsia="宋体" w:cs="宋体"/>
                <w:color w:val="auto"/>
                <w:sz w:val="24"/>
                <w:szCs w:val="24"/>
                <w:highlight w:val="none"/>
              </w:rPr>
            </w:pPr>
          </w:p>
        </w:tc>
        <w:tc>
          <w:tcPr>
            <w:tcW w:w="1648" w:type="dxa"/>
            <w:noWrap w:val="0"/>
            <w:vAlign w:val="center"/>
          </w:tcPr>
          <w:p w14:paraId="75479679">
            <w:pPr>
              <w:rPr>
                <w:rFonts w:hint="eastAsia" w:ascii="宋体" w:hAnsi="宋体" w:eastAsia="宋体" w:cs="宋体"/>
                <w:color w:val="auto"/>
                <w:sz w:val="24"/>
                <w:szCs w:val="24"/>
                <w:highlight w:val="none"/>
              </w:rPr>
            </w:pPr>
          </w:p>
        </w:tc>
      </w:tr>
      <w:tr w14:paraId="3E0EF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873" w:type="dxa"/>
            <w:noWrap w:val="0"/>
            <w:vAlign w:val="center"/>
          </w:tcPr>
          <w:p w14:paraId="795214F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w:t>
            </w:r>
          </w:p>
        </w:tc>
        <w:tc>
          <w:tcPr>
            <w:tcW w:w="2907" w:type="dxa"/>
            <w:noWrap w:val="0"/>
            <w:vAlign w:val="center"/>
          </w:tcPr>
          <w:p w14:paraId="29B913E5">
            <w:pPr>
              <w:rPr>
                <w:rFonts w:hint="eastAsia" w:ascii="宋体" w:hAnsi="宋体" w:eastAsia="宋体" w:cs="宋体"/>
                <w:color w:val="auto"/>
                <w:sz w:val="24"/>
                <w:szCs w:val="24"/>
                <w:highlight w:val="none"/>
              </w:rPr>
            </w:pPr>
          </w:p>
        </w:tc>
        <w:tc>
          <w:tcPr>
            <w:tcW w:w="2565" w:type="dxa"/>
            <w:noWrap w:val="0"/>
            <w:vAlign w:val="center"/>
          </w:tcPr>
          <w:p w14:paraId="55D22CA3">
            <w:pPr>
              <w:rPr>
                <w:rFonts w:hint="eastAsia" w:ascii="宋体" w:hAnsi="宋体" w:eastAsia="宋体" w:cs="宋体"/>
                <w:color w:val="auto"/>
                <w:sz w:val="24"/>
                <w:szCs w:val="24"/>
                <w:highlight w:val="none"/>
              </w:rPr>
            </w:pPr>
          </w:p>
        </w:tc>
        <w:tc>
          <w:tcPr>
            <w:tcW w:w="1965" w:type="dxa"/>
            <w:noWrap w:val="0"/>
            <w:vAlign w:val="center"/>
          </w:tcPr>
          <w:p w14:paraId="51FA5BEC">
            <w:pPr>
              <w:rPr>
                <w:rFonts w:hint="eastAsia" w:ascii="宋体" w:hAnsi="宋体" w:eastAsia="宋体" w:cs="宋体"/>
                <w:color w:val="auto"/>
                <w:sz w:val="24"/>
                <w:szCs w:val="24"/>
                <w:highlight w:val="none"/>
              </w:rPr>
            </w:pPr>
          </w:p>
        </w:tc>
        <w:tc>
          <w:tcPr>
            <w:tcW w:w="1648" w:type="dxa"/>
            <w:noWrap w:val="0"/>
            <w:vAlign w:val="center"/>
          </w:tcPr>
          <w:p w14:paraId="7BCE61AA">
            <w:pPr>
              <w:rPr>
                <w:rFonts w:hint="eastAsia" w:ascii="宋体" w:hAnsi="宋体" w:eastAsia="宋体" w:cs="宋体"/>
                <w:color w:val="auto"/>
                <w:sz w:val="24"/>
                <w:szCs w:val="24"/>
                <w:highlight w:val="none"/>
              </w:rPr>
            </w:pPr>
          </w:p>
        </w:tc>
      </w:tr>
      <w:tr w14:paraId="69AB1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873" w:type="dxa"/>
            <w:noWrap w:val="0"/>
            <w:vAlign w:val="center"/>
          </w:tcPr>
          <w:p w14:paraId="384AAF0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p>
        </w:tc>
        <w:tc>
          <w:tcPr>
            <w:tcW w:w="2907" w:type="dxa"/>
            <w:noWrap w:val="0"/>
            <w:vAlign w:val="center"/>
          </w:tcPr>
          <w:p w14:paraId="3D91BF4C">
            <w:pPr>
              <w:rPr>
                <w:rFonts w:hint="eastAsia" w:ascii="宋体" w:hAnsi="宋体" w:eastAsia="宋体" w:cs="宋体"/>
                <w:color w:val="auto"/>
                <w:sz w:val="24"/>
                <w:szCs w:val="24"/>
                <w:highlight w:val="none"/>
              </w:rPr>
            </w:pPr>
          </w:p>
        </w:tc>
        <w:tc>
          <w:tcPr>
            <w:tcW w:w="2565" w:type="dxa"/>
            <w:noWrap w:val="0"/>
            <w:vAlign w:val="center"/>
          </w:tcPr>
          <w:p w14:paraId="48E30260">
            <w:pPr>
              <w:rPr>
                <w:rFonts w:hint="eastAsia" w:ascii="宋体" w:hAnsi="宋体" w:eastAsia="宋体" w:cs="宋体"/>
                <w:color w:val="auto"/>
                <w:sz w:val="24"/>
                <w:szCs w:val="24"/>
                <w:highlight w:val="none"/>
              </w:rPr>
            </w:pPr>
          </w:p>
        </w:tc>
        <w:tc>
          <w:tcPr>
            <w:tcW w:w="1965" w:type="dxa"/>
            <w:noWrap w:val="0"/>
            <w:vAlign w:val="center"/>
          </w:tcPr>
          <w:p w14:paraId="361D5C0F">
            <w:pPr>
              <w:rPr>
                <w:rFonts w:hint="eastAsia" w:ascii="宋体" w:hAnsi="宋体" w:eastAsia="宋体" w:cs="宋体"/>
                <w:color w:val="auto"/>
                <w:sz w:val="24"/>
                <w:szCs w:val="24"/>
                <w:highlight w:val="none"/>
              </w:rPr>
            </w:pPr>
          </w:p>
        </w:tc>
        <w:tc>
          <w:tcPr>
            <w:tcW w:w="1648" w:type="dxa"/>
            <w:noWrap w:val="0"/>
            <w:vAlign w:val="center"/>
          </w:tcPr>
          <w:p w14:paraId="29B8A969">
            <w:pPr>
              <w:rPr>
                <w:rFonts w:hint="eastAsia" w:ascii="宋体" w:hAnsi="宋体" w:eastAsia="宋体" w:cs="宋体"/>
                <w:color w:val="auto"/>
                <w:sz w:val="24"/>
                <w:szCs w:val="24"/>
                <w:highlight w:val="none"/>
              </w:rPr>
            </w:pPr>
          </w:p>
        </w:tc>
      </w:tr>
      <w:tr w14:paraId="7C268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873" w:type="dxa"/>
            <w:noWrap w:val="0"/>
          </w:tcPr>
          <w:p w14:paraId="68C31A2B">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w:t>
            </w:r>
          </w:p>
        </w:tc>
        <w:tc>
          <w:tcPr>
            <w:tcW w:w="2907" w:type="dxa"/>
            <w:noWrap w:val="0"/>
            <w:vAlign w:val="center"/>
          </w:tcPr>
          <w:p w14:paraId="72437007">
            <w:pPr>
              <w:rPr>
                <w:rFonts w:hint="eastAsia" w:ascii="宋体" w:hAnsi="宋体" w:eastAsia="宋体" w:cs="宋体"/>
                <w:color w:val="auto"/>
                <w:sz w:val="24"/>
                <w:szCs w:val="24"/>
                <w:highlight w:val="none"/>
              </w:rPr>
            </w:pPr>
          </w:p>
        </w:tc>
        <w:tc>
          <w:tcPr>
            <w:tcW w:w="2565" w:type="dxa"/>
            <w:noWrap w:val="0"/>
            <w:vAlign w:val="center"/>
          </w:tcPr>
          <w:p w14:paraId="2E03F38D">
            <w:pPr>
              <w:rPr>
                <w:rFonts w:hint="eastAsia" w:ascii="宋体" w:hAnsi="宋体" w:eastAsia="宋体" w:cs="宋体"/>
                <w:color w:val="auto"/>
                <w:sz w:val="24"/>
                <w:szCs w:val="24"/>
                <w:highlight w:val="none"/>
              </w:rPr>
            </w:pPr>
          </w:p>
        </w:tc>
        <w:tc>
          <w:tcPr>
            <w:tcW w:w="1965" w:type="dxa"/>
            <w:noWrap w:val="0"/>
            <w:vAlign w:val="center"/>
          </w:tcPr>
          <w:p w14:paraId="17C16100">
            <w:pPr>
              <w:rPr>
                <w:rFonts w:hint="eastAsia" w:ascii="宋体" w:hAnsi="宋体" w:eastAsia="宋体" w:cs="宋体"/>
                <w:color w:val="auto"/>
                <w:sz w:val="24"/>
                <w:szCs w:val="24"/>
                <w:highlight w:val="none"/>
              </w:rPr>
            </w:pPr>
          </w:p>
        </w:tc>
        <w:tc>
          <w:tcPr>
            <w:tcW w:w="1648" w:type="dxa"/>
            <w:noWrap w:val="0"/>
            <w:vAlign w:val="center"/>
          </w:tcPr>
          <w:p w14:paraId="61BDD5ED">
            <w:pPr>
              <w:rPr>
                <w:rFonts w:hint="eastAsia" w:ascii="宋体" w:hAnsi="宋体" w:eastAsia="宋体" w:cs="宋体"/>
                <w:color w:val="auto"/>
                <w:sz w:val="24"/>
                <w:szCs w:val="24"/>
                <w:highlight w:val="none"/>
              </w:rPr>
            </w:pPr>
          </w:p>
        </w:tc>
      </w:tr>
    </w:tbl>
    <w:p w14:paraId="37AB929E">
      <w:pPr>
        <w:spacing w:line="360" w:lineRule="auto"/>
        <w:ind w:firstLine="480"/>
        <w:jc w:val="left"/>
        <w:rPr>
          <w:rFonts w:ascii="宋体" w:hAnsi="宋体" w:cs="宋体"/>
          <w:bCs/>
          <w:sz w:val="24"/>
        </w:rPr>
      </w:pPr>
      <w:r>
        <w:rPr>
          <w:rFonts w:hint="eastAsia" w:ascii="宋体" w:hAnsi="宋体" w:cs="宋体"/>
          <w:bCs/>
          <w:sz w:val="24"/>
        </w:rPr>
        <w:t>供应商：（公章）</w:t>
      </w:r>
    </w:p>
    <w:p w14:paraId="04E76724">
      <w:pPr>
        <w:spacing w:line="360" w:lineRule="auto"/>
        <w:ind w:firstLine="480"/>
        <w:jc w:val="left"/>
        <w:rPr>
          <w:rFonts w:ascii="宋体" w:hAnsi="宋体" w:cs="宋体"/>
          <w:bCs/>
          <w:sz w:val="24"/>
        </w:rPr>
      </w:pPr>
      <w:r>
        <w:rPr>
          <w:rFonts w:hint="eastAsia" w:ascii="宋体" w:hAnsi="宋体" w:cs="宋体"/>
          <w:bCs/>
          <w:sz w:val="24"/>
        </w:rPr>
        <w:t>法定代表人或代理人（签字或盖章）：</w:t>
      </w:r>
    </w:p>
    <w:p w14:paraId="04079FE2">
      <w:pPr>
        <w:spacing w:line="360" w:lineRule="auto"/>
        <w:ind w:firstLine="480"/>
        <w:jc w:val="left"/>
        <w:rPr>
          <w:rFonts w:ascii="宋体" w:hAnsi="宋体" w:cs="宋体"/>
          <w:sz w:val="24"/>
          <w:lang w:val="zh-CN"/>
        </w:rPr>
      </w:pPr>
      <w:r>
        <w:rPr>
          <w:rFonts w:hint="eastAsia" w:ascii="宋体" w:hAnsi="宋体" w:cs="宋体"/>
          <w:sz w:val="24"/>
          <w:lang w:val="zh-CN"/>
        </w:rPr>
        <w:t>日期：    年   月   日</w:t>
      </w:r>
    </w:p>
    <w:p w14:paraId="57505330">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注：</w:t>
      </w: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投标人的投标文件与招标文件的</w:t>
      </w:r>
      <w:r>
        <w:rPr>
          <w:rFonts w:hint="eastAsia" w:ascii="宋体" w:hAnsi="宋体" w:cs="宋体"/>
          <w:color w:val="auto"/>
          <w:sz w:val="24"/>
          <w:szCs w:val="24"/>
          <w:highlight w:val="none"/>
        </w:rPr>
        <w:t>要求有偏离的须逐项对应列出，并在“偏离说明”项下填写以下内容：优于的，填写“正偏离”；低于的，填写“负偏离”。</w:t>
      </w:r>
    </w:p>
    <w:p w14:paraId="7533E9F5">
      <w:pPr>
        <w:widowControl/>
        <w:spacing w:line="360" w:lineRule="auto"/>
        <w:ind w:firstLine="480"/>
        <w:jc w:val="left"/>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rPr>
        <w:t>2.填写“</w:t>
      </w:r>
      <w:r>
        <w:rPr>
          <w:rFonts w:hint="eastAsia" w:ascii="宋体" w:hAnsi="宋体" w:eastAsia="宋体" w:cs="宋体"/>
          <w:color w:val="auto"/>
          <w:sz w:val="24"/>
          <w:szCs w:val="24"/>
          <w:highlight w:val="none"/>
        </w:rPr>
        <w:t>无偏离”或未在上表中说明的，如在投标文件其他内容中已有文字说明的，则以已有文字说明为准，否则，将被认为完全响应招标文件的规定。但该表不作为投标人对所投标项目关于技术、服务、商务等详细描述和说明的替代</w:t>
      </w:r>
      <w:r>
        <w:rPr>
          <w:rFonts w:hint="eastAsia" w:ascii="宋体" w:hAnsi="宋体" w:eastAsia="宋体" w:cs="宋体"/>
          <w:color w:val="auto"/>
          <w:sz w:val="24"/>
          <w:szCs w:val="24"/>
          <w:highlight w:val="none"/>
          <w:lang w:val="zh-CN"/>
        </w:rPr>
        <w:t>。</w:t>
      </w:r>
    </w:p>
    <w:p w14:paraId="47797EA7">
      <w:pPr>
        <w:widowControl/>
        <w:spacing w:line="360" w:lineRule="auto"/>
        <w:ind w:firstLine="480"/>
        <w:jc w:val="left"/>
        <w:rPr>
          <w:rFonts w:ascii="宋体" w:hAnsi="宋体" w:cs="宋体"/>
          <w:sz w:val="24"/>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、若事项较多，</w:t>
      </w: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val="zh-CN"/>
        </w:rPr>
        <w:t>可根据</w:t>
      </w:r>
      <w:r>
        <w:rPr>
          <w:rFonts w:hint="eastAsia" w:ascii="宋体" w:hAnsi="宋体" w:eastAsia="宋体" w:cs="宋体"/>
          <w:color w:val="auto"/>
          <w:sz w:val="24"/>
          <w:szCs w:val="24"/>
          <w:highlight w:val="none"/>
        </w:rPr>
        <w:t>招标</w:t>
      </w:r>
      <w:r>
        <w:rPr>
          <w:rFonts w:hint="eastAsia" w:ascii="宋体" w:hAnsi="宋体" w:eastAsia="宋体" w:cs="宋体"/>
          <w:color w:val="auto"/>
          <w:sz w:val="24"/>
          <w:szCs w:val="24"/>
          <w:highlight w:val="none"/>
          <w:lang w:val="zh-CN"/>
        </w:rPr>
        <w:t>内容的实际情况另纸说明。</w:t>
      </w:r>
      <w:r>
        <w:rPr>
          <w:rFonts w:hint="eastAsia" w:ascii="宋体" w:hAnsi="宋体" w:cs="宋体"/>
          <w:sz w:val="24"/>
        </w:rPr>
        <w:br w:type="page" w:clear="all"/>
      </w:r>
      <w:r>
        <w:rPr>
          <w:rFonts w:hint="eastAsia" w:ascii="宋体" w:hAnsi="宋体" w:cs="宋体"/>
          <w:sz w:val="24"/>
        </w:rPr>
        <w:t>7、资格证明文件</w:t>
      </w:r>
    </w:p>
    <w:p w14:paraId="29383DF9">
      <w:pPr>
        <w:pStyle w:val="12"/>
        <w:spacing w:line="360" w:lineRule="auto"/>
        <w:ind w:firstLine="480"/>
        <w:rPr>
          <w:rFonts w:ascii="宋体" w:hAnsi="宋体" w:eastAsia="宋体" w:cs="宋体"/>
          <w:bCs/>
        </w:rPr>
      </w:pPr>
      <w:r>
        <w:rPr>
          <w:rFonts w:hint="eastAsia" w:ascii="宋体" w:hAnsi="宋体" w:eastAsia="宋体" w:cs="宋体"/>
          <w:bCs/>
        </w:rPr>
        <w:t>(1)资格文件的声明函</w:t>
      </w:r>
    </w:p>
    <w:p w14:paraId="410217EB">
      <w:pPr>
        <w:pStyle w:val="21"/>
        <w:spacing w:line="360" w:lineRule="auto"/>
        <w:ind w:firstLine="480"/>
        <w:jc w:val="center"/>
        <w:rPr>
          <w:rFonts w:hAnsi="宋体" w:eastAsia="宋体" w:cs="宋体"/>
          <w:bCs/>
          <w:sz w:val="24"/>
        </w:rPr>
      </w:pPr>
      <w:r>
        <w:rPr>
          <w:rFonts w:hint="eastAsia" w:hAnsi="宋体" w:eastAsia="宋体" w:cs="宋体"/>
          <w:bCs/>
          <w:sz w:val="24"/>
        </w:rPr>
        <w:t>资格文件的声明函</w:t>
      </w:r>
    </w:p>
    <w:p w14:paraId="582A10E1">
      <w:pPr>
        <w:pStyle w:val="21"/>
        <w:spacing w:line="360" w:lineRule="auto"/>
        <w:ind w:firstLine="480"/>
        <w:jc w:val="center"/>
        <w:rPr>
          <w:rFonts w:hAnsi="宋体" w:eastAsia="宋体" w:cs="宋体"/>
          <w:bCs/>
          <w:sz w:val="24"/>
        </w:rPr>
      </w:pPr>
    </w:p>
    <w:p w14:paraId="0EC3C385">
      <w:pPr>
        <w:pStyle w:val="12"/>
        <w:spacing w:line="360" w:lineRule="auto"/>
        <w:ind w:firstLine="480"/>
        <w:rPr>
          <w:rFonts w:ascii="宋体" w:hAnsi="宋体" w:eastAsia="宋体" w:cs="宋体"/>
        </w:rPr>
      </w:pPr>
      <w:r>
        <w:rPr>
          <w:rFonts w:hint="eastAsia" w:ascii="宋体" w:hAnsi="宋体" w:eastAsia="宋体" w:cs="宋体"/>
          <w:u w:val="single"/>
        </w:rPr>
        <w:t xml:space="preserve">                   </w:t>
      </w:r>
      <w:r>
        <w:rPr>
          <w:rFonts w:hint="eastAsia" w:ascii="宋体" w:hAnsi="宋体" w:eastAsia="宋体" w:cs="宋体"/>
        </w:rPr>
        <w:t>：</w:t>
      </w:r>
    </w:p>
    <w:p w14:paraId="5F645E24">
      <w:pPr>
        <w:pStyle w:val="12"/>
        <w:spacing w:line="360" w:lineRule="auto"/>
        <w:ind w:firstLine="480"/>
        <w:rPr>
          <w:rFonts w:ascii="宋体" w:hAnsi="宋体" w:eastAsia="宋体" w:cs="宋体"/>
        </w:rPr>
      </w:pPr>
      <w:r>
        <w:rPr>
          <w:rFonts w:hint="eastAsia" w:ascii="宋体" w:hAnsi="宋体" w:eastAsia="宋体" w:cs="宋体"/>
        </w:rPr>
        <w:t>本公司愿就由贵公司组织实施的编号为</w:t>
      </w:r>
      <w:r>
        <w:rPr>
          <w:rFonts w:hint="eastAsia" w:ascii="宋体" w:hAnsi="宋体" w:eastAsia="宋体" w:cs="宋体"/>
          <w:u w:val="single"/>
        </w:rPr>
        <w:t xml:space="preserve">                </w:t>
      </w:r>
      <w:r>
        <w:rPr>
          <w:rFonts w:hint="eastAsia" w:ascii="宋体" w:hAnsi="宋体" w:eastAsia="宋体" w:cs="宋体"/>
        </w:rPr>
        <w:t>号的磋商采购活动进行响应。本公司所提交的响应文件中所有关于响应文件、证明和陈述均是真实的、准确的、有效的。若与真实情况不符，本公司愿意承担由此而产生的一切后果。</w:t>
      </w:r>
    </w:p>
    <w:p w14:paraId="76890536">
      <w:pPr>
        <w:pStyle w:val="12"/>
        <w:spacing w:line="360" w:lineRule="auto"/>
        <w:ind w:firstLine="480"/>
        <w:rPr>
          <w:rFonts w:ascii="宋体" w:hAnsi="宋体" w:eastAsia="宋体" w:cs="宋体"/>
        </w:rPr>
      </w:pPr>
    </w:p>
    <w:p w14:paraId="1B9F7FAD">
      <w:pPr>
        <w:pStyle w:val="12"/>
        <w:spacing w:line="360" w:lineRule="auto"/>
        <w:ind w:firstLine="480"/>
        <w:rPr>
          <w:rFonts w:ascii="宋体" w:hAnsi="宋体" w:eastAsia="宋体" w:cs="宋体"/>
        </w:rPr>
      </w:pPr>
    </w:p>
    <w:p w14:paraId="2C4845BE">
      <w:pPr>
        <w:pStyle w:val="12"/>
        <w:spacing w:line="360" w:lineRule="auto"/>
        <w:ind w:firstLine="480"/>
        <w:rPr>
          <w:rFonts w:ascii="宋体" w:hAnsi="宋体" w:eastAsia="宋体" w:cs="宋体"/>
        </w:rPr>
      </w:pPr>
    </w:p>
    <w:p w14:paraId="3A8E26F6">
      <w:pPr>
        <w:spacing w:line="360" w:lineRule="auto"/>
        <w:ind w:firstLine="480"/>
        <w:jc w:val="left"/>
        <w:rPr>
          <w:rFonts w:ascii="宋体" w:hAnsi="宋体" w:cs="宋体"/>
          <w:bCs/>
          <w:sz w:val="24"/>
        </w:rPr>
      </w:pPr>
      <w:r>
        <w:rPr>
          <w:rFonts w:hint="eastAsia" w:ascii="宋体" w:hAnsi="宋体" w:cs="宋体"/>
          <w:bCs/>
          <w:sz w:val="24"/>
        </w:rPr>
        <w:t>供应商：（公章）</w:t>
      </w:r>
    </w:p>
    <w:p w14:paraId="7E61E669">
      <w:pPr>
        <w:spacing w:line="360" w:lineRule="auto"/>
        <w:ind w:firstLine="480"/>
        <w:jc w:val="left"/>
        <w:rPr>
          <w:rFonts w:ascii="宋体" w:hAnsi="宋体" w:cs="宋体"/>
          <w:bCs/>
          <w:sz w:val="24"/>
        </w:rPr>
      </w:pPr>
      <w:r>
        <w:rPr>
          <w:rFonts w:hint="eastAsia" w:ascii="宋体" w:hAnsi="宋体" w:cs="宋体"/>
          <w:bCs/>
          <w:sz w:val="24"/>
        </w:rPr>
        <w:t>法定代表人或代理人（签字或盖章）：</w:t>
      </w:r>
    </w:p>
    <w:p w14:paraId="419193B0">
      <w:pPr>
        <w:spacing w:line="360" w:lineRule="auto"/>
        <w:ind w:firstLine="480"/>
        <w:jc w:val="left"/>
        <w:rPr>
          <w:rFonts w:ascii="宋体" w:hAnsi="宋体" w:cs="宋体"/>
          <w:sz w:val="24"/>
          <w:lang w:val="zh-CN"/>
        </w:rPr>
      </w:pPr>
      <w:r>
        <w:rPr>
          <w:rFonts w:hint="eastAsia" w:ascii="宋体" w:hAnsi="宋体" w:cs="宋体"/>
          <w:sz w:val="24"/>
          <w:lang w:val="zh-CN"/>
        </w:rPr>
        <w:t>日期：    年   月   日</w:t>
      </w:r>
    </w:p>
    <w:p w14:paraId="544492C9">
      <w:pPr>
        <w:pStyle w:val="12"/>
        <w:spacing w:line="360" w:lineRule="auto"/>
        <w:ind w:firstLine="480"/>
        <w:rPr>
          <w:rFonts w:ascii="宋体" w:hAnsi="宋体" w:eastAsia="宋体" w:cs="宋体"/>
          <w:bCs/>
        </w:rPr>
      </w:pPr>
      <w:r>
        <w:rPr>
          <w:rFonts w:hint="eastAsia" w:ascii="宋体" w:hAnsi="宋体" w:eastAsia="宋体" w:cs="宋体"/>
        </w:rPr>
        <w:br w:type="page" w:clear="all"/>
      </w:r>
      <w:r>
        <w:rPr>
          <w:rFonts w:hint="eastAsia" w:ascii="宋体" w:hAnsi="宋体" w:eastAsia="宋体" w:cs="宋体"/>
          <w:bCs/>
        </w:rPr>
        <w:t>(2)磋商供应商情况表</w:t>
      </w:r>
    </w:p>
    <w:p w14:paraId="49A0D2A0">
      <w:pPr>
        <w:pStyle w:val="12"/>
        <w:spacing w:line="360" w:lineRule="auto"/>
        <w:ind w:firstLine="480"/>
        <w:jc w:val="center"/>
        <w:rPr>
          <w:rFonts w:ascii="宋体" w:hAnsi="宋体" w:eastAsia="宋体" w:cs="宋体"/>
        </w:rPr>
      </w:pPr>
      <w:r>
        <w:rPr>
          <w:rFonts w:hint="eastAsia" w:ascii="宋体" w:hAnsi="宋体" w:eastAsia="宋体" w:cs="宋体"/>
          <w:bCs/>
        </w:rPr>
        <w:t>磋商</w:t>
      </w:r>
      <w:r>
        <w:rPr>
          <w:rFonts w:hint="eastAsia" w:ascii="宋体" w:hAnsi="宋体" w:eastAsia="宋体" w:cs="宋体"/>
        </w:rPr>
        <w:t>供应商情况表</w:t>
      </w:r>
    </w:p>
    <w:p w14:paraId="1B7D56E6">
      <w:pPr>
        <w:pStyle w:val="12"/>
        <w:spacing w:line="360" w:lineRule="auto"/>
        <w:ind w:firstLine="480"/>
        <w:rPr>
          <w:rFonts w:hint="eastAsia" w:ascii="宋体" w:hAnsi="宋体" w:eastAsia="宋体" w:cs="宋体"/>
          <w:lang w:eastAsia="zh-CN"/>
        </w:rPr>
      </w:pPr>
      <w:r>
        <w:rPr>
          <w:rFonts w:hint="eastAsia" w:ascii="宋体" w:hAnsi="宋体" w:eastAsia="宋体" w:cs="宋体"/>
        </w:rPr>
        <w:t>单位名称</w:t>
      </w:r>
      <w:r>
        <w:rPr>
          <w:rFonts w:hint="eastAsia" w:ascii="宋体" w:hAnsi="宋体" w:eastAsia="宋体" w:cs="宋体"/>
          <w:lang w:eastAsia="zh-CN"/>
        </w:rPr>
        <w:t>：</w:t>
      </w:r>
    </w:p>
    <w:tbl>
      <w:tblPr>
        <w:tblStyle w:val="41"/>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510"/>
        <w:gridCol w:w="2005"/>
        <w:gridCol w:w="1461"/>
        <w:gridCol w:w="2056"/>
        <w:gridCol w:w="1236"/>
      </w:tblGrid>
      <w:tr w14:paraId="564BC4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510" w:type="dxa"/>
            <w:noWrap w:val="0"/>
          </w:tcPr>
          <w:p w14:paraId="262FAA0E">
            <w:pPr>
              <w:pStyle w:val="12"/>
              <w:spacing w:line="360" w:lineRule="auto"/>
              <w:ind w:left="0" w:firstLine="0"/>
              <w:jc w:val="left"/>
              <w:rPr>
                <w:rFonts w:ascii="宋体" w:hAnsi="宋体" w:eastAsia="宋体" w:cs="宋体"/>
              </w:rPr>
            </w:pPr>
            <w:r>
              <w:rPr>
                <w:rFonts w:hint="eastAsia" w:ascii="宋体" w:hAnsi="宋体" w:eastAsia="宋体" w:cs="宋体"/>
              </w:rPr>
              <w:t>法定代表人</w:t>
            </w:r>
          </w:p>
        </w:tc>
        <w:tc>
          <w:tcPr>
            <w:tcW w:w="2005" w:type="dxa"/>
            <w:noWrap w:val="0"/>
          </w:tcPr>
          <w:p w14:paraId="509164B9">
            <w:pPr>
              <w:pStyle w:val="12"/>
              <w:spacing w:line="360" w:lineRule="auto"/>
              <w:ind w:firstLine="480"/>
              <w:rPr>
                <w:rFonts w:ascii="宋体" w:hAnsi="宋体" w:eastAsia="宋体" w:cs="宋体"/>
              </w:rPr>
            </w:pPr>
          </w:p>
        </w:tc>
        <w:tc>
          <w:tcPr>
            <w:tcW w:w="1461" w:type="dxa"/>
            <w:noWrap w:val="0"/>
          </w:tcPr>
          <w:p w14:paraId="03138C58">
            <w:pPr>
              <w:pStyle w:val="12"/>
              <w:spacing w:line="360" w:lineRule="auto"/>
              <w:ind w:left="0" w:firstLine="0"/>
              <w:rPr>
                <w:rFonts w:ascii="宋体" w:hAnsi="宋体" w:eastAsia="宋体" w:cs="宋体"/>
              </w:rPr>
            </w:pPr>
            <w:r>
              <w:rPr>
                <w:rFonts w:hint="eastAsia" w:ascii="宋体" w:hAnsi="宋体" w:eastAsia="宋体" w:cs="宋体"/>
              </w:rPr>
              <w:t>成立日期</w:t>
            </w:r>
          </w:p>
        </w:tc>
        <w:tc>
          <w:tcPr>
            <w:tcW w:w="3292" w:type="dxa"/>
            <w:gridSpan w:val="2"/>
            <w:noWrap w:val="0"/>
          </w:tcPr>
          <w:p w14:paraId="356FBDFF">
            <w:pPr>
              <w:pStyle w:val="12"/>
              <w:spacing w:line="360" w:lineRule="auto"/>
              <w:ind w:firstLine="480"/>
              <w:rPr>
                <w:rFonts w:ascii="宋体" w:hAnsi="宋体" w:eastAsia="宋体" w:cs="宋体"/>
              </w:rPr>
            </w:pPr>
          </w:p>
        </w:tc>
      </w:tr>
      <w:tr w14:paraId="72E7FF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510" w:type="dxa"/>
            <w:noWrap w:val="0"/>
          </w:tcPr>
          <w:p w14:paraId="3325BB37">
            <w:pPr>
              <w:pStyle w:val="12"/>
              <w:spacing w:line="360" w:lineRule="auto"/>
              <w:ind w:left="0" w:firstLine="0"/>
              <w:jc w:val="left"/>
              <w:rPr>
                <w:rFonts w:ascii="宋体" w:hAnsi="宋体" w:eastAsia="宋体" w:cs="宋体"/>
              </w:rPr>
            </w:pPr>
            <w:r>
              <w:rPr>
                <w:rFonts w:hint="eastAsia" w:ascii="宋体" w:hAnsi="宋体" w:eastAsia="宋体" w:cs="宋体"/>
              </w:rPr>
              <w:t>企业地址</w:t>
            </w:r>
          </w:p>
        </w:tc>
        <w:tc>
          <w:tcPr>
            <w:tcW w:w="2005" w:type="dxa"/>
            <w:noWrap w:val="0"/>
          </w:tcPr>
          <w:p w14:paraId="4FDCF658">
            <w:pPr>
              <w:pStyle w:val="12"/>
              <w:spacing w:line="360" w:lineRule="auto"/>
              <w:ind w:firstLine="480"/>
              <w:rPr>
                <w:rFonts w:ascii="宋体" w:hAnsi="宋体" w:eastAsia="宋体" w:cs="宋体"/>
              </w:rPr>
            </w:pPr>
          </w:p>
        </w:tc>
        <w:tc>
          <w:tcPr>
            <w:tcW w:w="1461" w:type="dxa"/>
            <w:noWrap w:val="0"/>
          </w:tcPr>
          <w:p w14:paraId="35D604CA">
            <w:pPr>
              <w:pStyle w:val="12"/>
              <w:spacing w:line="360" w:lineRule="auto"/>
              <w:ind w:left="0" w:firstLine="0"/>
              <w:rPr>
                <w:rFonts w:ascii="宋体" w:hAnsi="宋体" w:eastAsia="宋体" w:cs="宋体"/>
              </w:rPr>
            </w:pPr>
            <w:r>
              <w:rPr>
                <w:rFonts w:hint="eastAsia" w:ascii="宋体" w:hAnsi="宋体" w:eastAsia="宋体" w:cs="宋体"/>
              </w:rPr>
              <w:t>注册资本</w:t>
            </w:r>
          </w:p>
        </w:tc>
        <w:tc>
          <w:tcPr>
            <w:tcW w:w="3292" w:type="dxa"/>
            <w:gridSpan w:val="2"/>
            <w:noWrap w:val="0"/>
          </w:tcPr>
          <w:p w14:paraId="0CA4F5A6">
            <w:pPr>
              <w:pStyle w:val="12"/>
              <w:spacing w:line="360" w:lineRule="auto"/>
              <w:ind w:firstLine="480"/>
              <w:rPr>
                <w:rFonts w:ascii="宋体" w:hAnsi="宋体" w:eastAsia="宋体" w:cs="宋体"/>
              </w:rPr>
            </w:pPr>
            <w:r>
              <w:rPr>
                <w:rFonts w:hint="eastAsia" w:ascii="宋体" w:hAnsi="宋体" w:eastAsia="宋体" w:cs="宋体"/>
              </w:rPr>
              <w:t>万元</w:t>
            </w:r>
          </w:p>
        </w:tc>
      </w:tr>
      <w:tr w14:paraId="0F75C0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510" w:type="dxa"/>
            <w:noWrap w:val="0"/>
          </w:tcPr>
          <w:p w14:paraId="2AA0135D">
            <w:pPr>
              <w:pStyle w:val="12"/>
              <w:spacing w:line="360" w:lineRule="auto"/>
              <w:ind w:left="0" w:firstLine="0"/>
              <w:jc w:val="left"/>
              <w:rPr>
                <w:rFonts w:ascii="宋体" w:hAnsi="宋体" w:eastAsia="宋体" w:cs="宋体"/>
              </w:rPr>
            </w:pPr>
            <w:r>
              <w:rPr>
                <w:rFonts w:hint="eastAsia" w:ascii="宋体" w:hAnsi="宋体" w:eastAsia="宋体" w:cs="宋体"/>
              </w:rPr>
              <w:t>经营范围</w:t>
            </w:r>
          </w:p>
        </w:tc>
        <w:tc>
          <w:tcPr>
            <w:tcW w:w="6758" w:type="dxa"/>
            <w:gridSpan w:val="4"/>
            <w:noWrap w:val="0"/>
          </w:tcPr>
          <w:p w14:paraId="58B31D50">
            <w:pPr>
              <w:pStyle w:val="12"/>
              <w:spacing w:line="360" w:lineRule="auto"/>
              <w:ind w:firstLine="480"/>
              <w:rPr>
                <w:rFonts w:ascii="宋体" w:hAnsi="宋体" w:eastAsia="宋体" w:cs="宋体"/>
              </w:rPr>
            </w:pPr>
          </w:p>
        </w:tc>
      </w:tr>
      <w:tr w14:paraId="7E4939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510" w:type="dxa"/>
            <w:noWrap w:val="0"/>
          </w:tcPr>
          <w:p w14:paraId="548E15B9">
            <w:pPr>
              <w:pStyle w:val="12"/>
              <w:spacing w:line="360" w:lineRule="auto"/>
              <w:ind w:left="0" w:firstLine="0"/>
              <w:jc w:val="left"/>
              <w:rPr>
                <w:rFonts w:ascii="宋体" w:hAnsi="宋体" w:eastAsia="宋体" w:cs="宋体"/>
              </w:rPr>
            </w:pPr>
            <w:r>
              <w:rPr>
                <w:rFonts w:hint="eastAsia" w:ascii="宋体" w:hAnsi="宋体" w:eastAsia="宋体" w:cs="宋体"/>
              </w:rPr>
              <w:t>职工人数</w:t>
            </w:r>
          </w:p>
        </w:tc>
        <w:tc>
          <w:tcPr>
            <w:tcW w:w="2005" w:type="dxa"/>
            <w:noWrap w:val="0"/>
          </w:tcPr>
          <w:p w14:paraId="591F7FF9">
            <w:pPr>
              <w:pStyle w:val="12"/>
              <w:spacing w:line="360" w:lineRule="auto"/>
              <w:ind w:firstLine="480"/>
              <w:rPr>
                <w:rFonts w:ascii="宋体" w:hAnsi="宋体" w:eastAsia="宋体" w:cs="宋体"/>
              </w:rPr>
            </w:pPr>
          </w:p>
        </w:tc>
        <w:tc>
          <w:tcPr>
            <w:tcW w:w="3517" w:type="dxa"/>
            <w:gridSpan w:val="2"/>
            <w:noWrap w:val="0"/>
          </w:tcPr>
          <w:p w14:paraId="68621B70">
            <w:pPr>
              <w:pStyle w:val="12"/>
              <w:spacing w:line="360" w:lineRule="auto"/>
              <w:ind w:left="0" w:firstLine="0"/>
              <w:rPr>
                <w:rFonts w:ascii="宋体" w:hAnsi="宋体" w:eastAsia="宋体" w:cs="宋体"/>
              </w:rPr>
            </w:pPr>
            <w:r>
              <w:rPr>
                <w:rFonts w:hint="eastAsia" w:ascii="宋体" w:hAnsi="宋体" w:eastAsia="宋体" w:cs="宋体"/>
              </w:rPr>
              <w:t>其中：有中高级以上职称的人数</w:t>
            </w:r>
          </w:p>
        </w:tc>
        <w:tc>
          <w:tcPr>
            <w:tcW w:w="1236" w:type="dxa"/>
            <w:noWrap w:val="0"/>
          </w:tcPr>
          <w:p w14:paraId="15512FEC">
            <w:pPr>
              <w:pStyle w:val="12"/>
              <w:spacing w:line="360" w:lineRule="auto"/>
              <w:ind w:firstLine="480"/>
              <w:rPr>
                <w:rFonts w:ascii="宋体" w:hAnsi="宋体" w:eastAsia="宋体" w:cs="宋体"/>
              </w:rPr>
            </w:pPr>
          </w:p>
        </w:tc>
      </w:tr>
      <w:tr w14:paraId="030FF2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510" w:type="dxa"/>
            <w:noWrap w:val="0"/>
            <w:vAlign w:val="center"/>
          </w:tcPr>
          <w:p w14:paraId="46BDE9F1">
            <w:pPr>
              <w:pStyle w:val="12"/>
              <w:spacing w:line="360" w:lineRule="auto"/>
              <w:ind w:left="0" w:firstLine="0"/>
              <w:jc w:val="left"/>
              <w:rPr>
                <w:rFonts w:ascii="宋体" w:hAnsi="宋体" w:eastAsia="宋体" w:cs="宋体"/>
              </w:rPr>
            </w:pPr>
            <w:r>
              <w:rPr>
                <w:rFonts w:hint="eastAsia" w:ascii="宋体" w:hAnsi="宋体" w:eastAsia="宋体" w:cs="宋体"/>
              </w:rPr>
              <w:t>资产总计</w:t>
            </w:r>
          </w:p>
        </w:tc>
        <w:tc>
          <w:tcPr>
            <w:tcW w:w="2005" w:type="dxa"/>
            <w:noWrap w:val="0"/>
            <w:vAlign w:val="center"/>
          </w:tcPr>
          <w:p w14:paraId="00F6420E">
            <w:pPr>
              <w:pStyle w:val="12"/>
              <w:spacing w:line="360" w:lineRule="auto"/>
              <w:ind w:left="0" w:firstLine="0"/>
              <w:jc w:val="both"/>
              <w:rPr>
                <w:rFonts w:ascii="宋体" w:hAnsi="宋体" w:eastAsia="宋体" w:cs="宋体"/>
              </w:rPr>
            </w:pPr>
            <w:r>
              <w:rPr>
                <w:rFonts w:hint="eastAsia" w:ascii="宋体" w:hAnsi="宋体" w:eastAsia="宋体" w:cs="宋体"/>
              </w:rPr>
              <w:t xml:space="preserve">       万元</w:t>
            </w:r>
          </w:p>
        </w:tc>
        <w:tc>
          <w:tcPr>
            <w:tcW w:w="1461" w:type="dxa"/>
            <w:noWrap w:val="0"/>
            <w:vAlign w:val="center"/>
          </w:tcPr>
          <w:p w14:paraId="5AE1FFA4">
            <w:pPr>
              <w:pStyle w:val="12"/>
              <w:spacing w:line="360" w:lineRule="auto"/>
              <w:ind w:left="0" w:firstLine="0"/>
              <w:jc w:val="both"/>
              <w:rPr>
                <w:rFonts w:ascii="宋体" w:hAnsi="宋体" w:eastAsia="宋体" w:cs="宋体"/>
              </w:rPr>
            </w:pPr>
            <w:r>
              <w:rPr>
                <w:rFonts w:hint="eastAsia" w:ascii="宋体" w:hAnsi="宋体" w:eastAsia="宋体" w:cs="宋体"/>
              </w:rPr>
              <w:t>净资产</w:t>
            </w:r>
          </w:p>
        </w:tc>
        <w:tc>
          <w:tcPr>
            <w:tcW w:w="3292" w:type="dxa"/>
            <w:gridSpan w:val="2"/>
            <w:noWrap w:val="0"/>
            <w:vAlign w:val="center"/>
          </w:tcPr>
          <w:p w14:paraId="04E8122C">
            <w:pPr>
              <w:pStyle w:val="12"/>
              <w:spacing w:line="360" w:lineRule="auto"/>
              <w:ind w:firstLine="480"/>
              <w:jc w:val="center"/>
              <w:rPr>
                <w:rFonts w:ascii="宋体" w:hAnsi="宋体" w:eastAsia="宋体" w:cs="宋体"/>
              </w:rPr>
            </w:pPr>
            <w:r>
              <w:rPr>
                <w:rFonts w:hint="eastAsia" w:ascii="宋体" w:hAnsi="宋体" w:eastAsia="宋体" w:cs="宋体"/>
              </w:rPr>
              <w:t xml:space="preserve">                万元</w:t>
            </w:r>
          </w:p>
        </w:tc>
      </w:tr>
      <w:tr w14:paraId="781617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510" w:type="dxa"/>
            <w:noWrap w:val="0"/>
            <w:vAlign w:val="center"/>
          </w:tcPr>
          <w:p w14:paraId="3DA72501">
            <w:pPr>
              <w:pStyle w:val="12"/>
              <w:spacing w:line="360" w:lineRule="auto"/>
              <w:ind w:left="0" w:firstLine="0"/>
              <w:jc w:val="left"/>
              <w:rPr>
                <w:rFonts w:ascii="宋体" w:hAnsi="宋体" w:eastAsia="宋体" w:cs="宋体"/>
              </w:rPr>
            </w:pPr>
            <w:r>
              <w:rPr>
                <w:rFonts w:hint="eastAsia" w:ascii="宋体" w:hAnsi="宋体" w:eastAsia="宋体" w:cs="宋体"/>
              </w:rPr>
              <w:t>股东权益</w:t>
            </w:r>
          </w:p>
        </w:tc>
        <w:tc>
          <w:tcPr>
            <w:tcW w:w="2005" w:type="dxa"/>
            <w:noWrap w:val="0"/>
            <w:vAlign w:val="center"/>
          </w:tcPr>
          <w:p w14:paraId="0F55AFEC">
            <w:pPr>
              <w:pStyle w:val="12"/>
              <w:spacing w:line="360" w:lineRule="auto"/>
              <w:ind w:left="0" w:firstLine="0"/>
              <w:jc w:val="both"/>
              <w:rPr>
                <w:rFonts w:ascii="宋体" w:hAnsi="宋体" w:eastAsia="宋体" w:cs="宋体"/>
              </w:rPr>
            </w:pPr>
            <w:r>
              <w:rPr>
                <w:rFonts w:hint="eastAsia" w:ascii="宋体" w:hAnsi="宋体" w:eastAsia="宋体" w:cs="宋体"/>
              </w:rPr>
              <w:t xml:space="preserve">       万元</w:t>
            </w:r>
          </w:p>
        </w:tc>
        <w:tc>
          <w:tcPr>
            <w:tcW w:w="1461" w:type="dxa"/>
            <w:noWrap w:val="0"/>
            <w:vAlign w:val="center"/>
          </w:tcPr>
          <w:p w14:paraId="1AC8929F">
            <w:pPr>
              <w:pStyle w:val="12"/>
              <w:spacing w:line="360" w:lineRule="auto"/>
              <w:ind w:left="0" w:firstLine="0"/>
              <w:jc w:val="both"/>
              <w:rPr>
                <w:rFonts w:ascii="宋体" w:hAnsi="宋体" w:eastAsia="宋体" w:cs="宋体"/>
              </w:rPr>
            </w:pPr>
            <w:r>
              <w:rPr>
                <w:rFonts w:hint="eastAsia" w:ascii="宋体" w:hAnsi="宋体" w:eastAsia="宋体" w:cs="宋体"/>
              </w:rPr>
              <w:t>销售收入</w:t>
            </w:r>
          </w:p>
        </w:tc>
        <w:tc>
          <w:tcPr>
            <w:tcW w:w="3292" w:type="dxa"/>
            <w:gridSpan w:val="2"/>
            <w:noWrap w:val="0"/>
            <w:vAlign w:val="center"/>
          </w:tcPr>
          <w:p w14:paraId="2CAA1ADD">
            <w:pPr>
              <w:pStyle w:val="12"/>
              <w:spacing w:line="360" w:lineRule="auto"/>
              <w:ind w:firstLine="480"/>
              <w:jc w:val="center"/>
              <w:rPr>
                <w:rFonts w:ascii="宋体" w:hAnsi="宋体" w:eastAsia="宋体" w:cs="宋体"/>
              </w:rPr>
            </w:pPr>
            <w:r>
              <w:rPr>
                <w:rFonts w:hint="eastAsia" w:ascii="宋体" w:hAnsi="宋体" w:eastAsia="宋体" w:cs="宋体"/>
              </w:rPr>
              <w:t>202</w:t>
            </w:r>
            <w:r>
              <w:rPr>
                <w:rFonts w:hint="eastAsia" w:ascii="宋体" w:hAnsi="宋体" w:eastAsia="宋体" w:cs="宋体"/>
                <w:lang w:val="en-US" w:eastAsia="zh-CN"/>
              </w:rPr>
              <w:t>5</w:t>
            </w:r>
            <w:r>
              <w:rPr>
                <w:rFonts w:hint="eastAsia" w:ascii="宋体" w:hAnsi="宋体" w:eastAsia="宋体" w:cs="宋体"/>
              </w:rPr>
              <w:t>年          万元</w:t>
            </w:r>
          </w:p>
        </w:tc>
      </w:tr>
      <w:tr w14:paraId="06BD00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510" w:type="dxa"/>
            <w:noWrap w:val="0"/>
          </w:tcPr>
          <w:p w14:paraId="3ED73BE2">
            <w:pPr>
              <w:pStyle w:val="12"/>
              <w:spacing w:line="360" w:lineRule="auto"/>
              <w:ind w:left="0" w:firstLine="0"/>
              <w:jc w:val="left"/>
              <w:rPr>
                <w:rFonts w:ascii="宋体" w:hAnsi="宋体" w:eastAsia="宋体" w:cs="宋体"/>
              </w:rPr>
            </w:pPr>
            <w:r>
              <w:rPr>
                <w:rFonts w:hint="eastAsia" w:ascii="宋体" w:hAnsi="宋体" w:eastAsia="宋体" w:cs="宋体"/>
              </w:rPr>
              <w:t>实现利润</w:t>
            </w:r>
          </w:p>
        </w:tc>
        <w:tc>
          <w:tcPr>
            <w:tcW w:w="2005" w:type="dxa"/>
            <w:noWrap w:val="0"/>
          </w:tcPr>
          <w:p w14:paraId="5AE46633">
            <w:pPr>
              <w:pStyle w:val="12"/>
              <w:spacing w:line="360" w:lineRule="auto"/>
              <w:ind w:left="0" w:firstLine="0"/>
              <w:rPr>
                <w:rFonts w:ascii="宋体" w:hAnsi="宋体" w:eastAsia="宋体" w:cs="宋体"/>
              </w:rPr>
            </w:pPr>
            <w:r>
              <w:rPr>
                <w:rFonts w:hint="eastAsia" w:ascii="宋体" w:hAnsi="宋体" w:eastAsia="宋体" w:cs="宋体"/>
              </w:rPr>
              <w:t>202</w:t>
            </w:r>
            <w:r>
              <w:rPr>
                <w:rFonts w:hint="eastAsia" w:ascii="宋体" w:hAnsi="宋体" w:eastAsia="宋体" w:cs="宋体"/>
                <w:lang w:val="en-US" w:eastAsia="zh-CN"/>
              </w:rPr>
              <w:t>5</w:t>
            </w:r>
            <w:r>
              <w:rPr>
                <w:rFonts w:hint="eastAsia" w:ascii="宋体" w:hAnsi="宋体" w:eastAsia="宋体" w:cs="宋体"/>
              </w:rPr>
              <w:t>年    万元</w:t>
            </w:r>
          </w:p>
        </w:tc>
        <w:tc>
          <w:tcPr>
            <w:tcW w:w="1461" w:type="dxa"/>
            <w:noWrap w:val="0"/>
          </w:tcPr>
          <w:p w14:paraId="5E11F667">
            <w:pPr>
              <w:pStyle w:val="12"/>
              <w:spacing w:line="360" w:lineRule="auto"/>
              <w:ind w:firstLine="480"/>
              <w:rPr>
                <w:rFonts w:ascii="宋体" w:hAnsi="宋体" w:eastAsia="宋体" w:cs="宋体"/>
              </w:rPr>
            </w:pPr>
          </w:p>
        </w:tc>
        <w:tc>
          <w:tcPr>
            <w:tcW w:w="3292" w:type="dxa"/>
            <w:gridSpan w:val="2"/>
            <w:noWrap w:val="0"/>
          </w:tcPr>
          <w:p w14:paraId="39DB085C">
            <w:pPr>
              <w:pStyle w:val="12"/>
              <w:spacing w:line="360" w:lineRule="auto"/>
              <w:ind w:firstLine="480"/>
              <w:rPr>
                <w:rFonts w:ascii="宋体" w:hAnsi="宋体" w:eastAsia="宋体" w:cs="宋体"/>
              </w:rPr>
            </w:pPr>
          </w:p>
        </w:tc>
      </w:tr>
      <w:tr w14:paraId="6BA75C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510" w:type="dxa"/>
            <w:noWrap w:val="0"/>
          </w:tcPr>
          <w:p w14:paraId="2D6347FE">
            <w:pPr>
              <w:pStyle w:val="12"/>
              <w:spacing w:line="360" w:lineRule="auto"/>
              <w:ind w:left="0" w:firstLine="0"/>
              <w:jc w:val="left"/>
              <w:rPr>
                <w:rFonts w:ascii="宋体" w:hAnsi="宋体" w:eastAsia="宋体" w:cs="宋体"/>
              </w:rPr>
            </w:pPr>
            <w:r>
              <w:rPr>
                <w:rFonts w:hint="eastAsia" w:ascii="宋体" w:hAnsi="宋体" w:eastAsia="宋体" w:cs="宋体"/>
              </w:rPr>
              <w:t>营业面积（含厂房面积）</w:t>
            </w:r>
          </w:p>
        </w:tc>
        <w:tc>
          <w:tcPr>
            <w:tcW w:w="2005" w:type="dxa"/>
            <w:noWrap w:val="0"/>
            <w:vAlign w:val="center"/>
          </w:tcPr>
          <w:p w14:paraId="6E5EB8CA">
            <w:pPr>
              <w:pStyle w:val="12"/>
              <w:spacing w:line="360" w:lineRule="auto"/>
              <w:ind w:firstLine="480"/>
              <w:jc w:val="both"/>
              <w:rPr>
                <w:rFonts w:ascii="宋体" w:hAnsi="宋体" w:eastAsia="宋体" w:cs="宋体"/>
              </w:rPr>
            </w:pPr>
            <w:r>
              <w:rPr>
                <w:rFonts w:hint="eastAsia" w:ascii="宋体" w:hAnsi="宋体" w:eastAsia="宋体" w:cs="宋体"/>
              </w:rPr>
              <w:t xml:space="preserve">   平方米</w:t>
            </w:r>
          </w:p>
        </w:tc>
        <w:tc>
          <w:tcPr>
            <w:tcW w:w="1461" w:type="dxa"/>
            <w:noWrap w:val="0"/>
          </w:tcPr>
          <w:p w14:paraId="05E7293A">
            <w:pPr>
              <w:pStyle w:val="12"/>
              <w:spacing w:line="360" w:lineRule="auto"/>
              <w:ind w:firstLine="480"/>
              <w:rPr>
                <w:rFonts w:ascii="宋体" w:hAnsi="宋体" w:eastAsia="宋体" w:cs="宋体"/>
              </w:rPr>
            </w:pPr>
            <w:r>
              <w:rPr>
                <w:rFonts w:hint="eastAsia" w:ascii="宋体" w:hAnsi="宋体" w:eastAsia="宋体" w:cs="宋体"/>
              </w:rPr>
              <w:t>其中：</w:t>
            </w:r>
          </w:p>
        </w:tc>
        <w:tc>
          <w:tcPr>
            <w:tcW w:w="3292" w:type="dxa"/>
            <w:gridSpan w:val="2"/>
            <w:noWrap w:val="0"/>
          </w:tcPr>
          <w:p w14:paraId="7705393D">
            <w:pPr>
              <w:pStyle w:val="12"/>
              <w:spacing w:line="360" w:lineRule="auto"/>
              <w:ind w:firstLine="480"/>
              <w:rPr>
                <w:rFonts w:ascii="宋体" w:hAnsi="宋体" w:eastAsia="宋体" w:cs="宋体"/>
              </w:rPr>
            </w:pPr>
            <w:r>
              <w:rPr>
                <w:rFonts w:hint="eastAsia" w:ascii="宋体" w:hAnsi="宋体" w:eastAsia="宋体" w:cs="宋体"/>
              </w:rPr>
              <w:t>自有面积       平方米</w:t>
            </w:r>
          </w:p>
          <w:p w14:paraId="174AE0D7">
            <w:pPr>
              <w:pStyle w:val="12"/>
              <w:spacing w:line="360" w:lineRule="auto"/>
              <w:ind w:firstLine="480"/>
              <w:rPr>
                <w:rFonts w:ascii="宋体" w:hAnsi="宋体" w:eastAsia="宋体" w:cs="宋体"/>
              </w:rPr>
            </w:pPr>
            <w:r>
              <w:rPr>
                <w:rFonts w:hint="eastAsia" w:ascii="宋体" w:hAnsi="宋体" w:eastAsia="宋体" w:cs="宋体"/>
              </w:rPr>
              <w:t>承租面积       平方米</w:t>
            </w:r>
          </w:p>
        </w:tc>
      </w:tr>
      <w:tr w14:paraId="170754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510" w:type="dxa"/>
            <w:noWrap w:val="0"/>
          </w:tcPr>
          <w:p w14:paraId="22E70F4E">
            <w:pPr>
              <w:pStyle w:val="12"/>
              <w:spacing w:line="360" w:lineRule="auto"/>
              <w:ind w:left="0" w:firstLine="0"/>
              <w:rPr>
                <w:rFonts w:ascii="宋体" w:hAnsi="宋体" w:eastAsia="宋体" w:cs="宋体"/>
              </w:rPr>
            </w:pPr>
            <w:r>
              <w:rPr>
                <w:rFonts w:hint="eastAsia" w:ascii="宋体" w:hAnsi="宋体" w:eastAsia="宋体" w:cs="宋体"/>
              </w:rPr>
              <w:t>单位简历及内设机构情况</w:t>
            </w:r>
          </w:p>
        </w:tc>
        <w:tc>
          <w:tcPr>
            <w:tcW w:w="6758" w:type="dxa"/>
            <w:gridSpan w:val="4"/>
            <w:noWrap w:val="0"/>
          </w:tcPr>
          <w:p w14:paraId="7BD8CD38">
            <w:pPr>
              <w:pStyle w:val="12"/>
              <w:spacing w:line="360" w:lineRule="auto"/>
              <w:ind w:firstLine="480"/>
              <w:rPr>
                <w:rFonts w:ascii="宋体" w:hAnsi="宋体" w:eastAsia="宋体" w:cs="宋体"/>
              </w:rPr>
            </w:pPr>
          </w:p>
        </w:tc>
      </w:tr>
      <w:tr w14:paraId="5A528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510" w:type="dxa"/>
            <w:noWrap w:val="0"/>
          </w:tcPr>
          <w:p w14:paraId="0342C939">
            <w:pPr>
              <w:pStyle w:val="12"/>
              <w:spacing w:line="360" w:lineRule="auto"/>
              <w:ind w:left="0" w:firstLine="0"/>
              <w:rPr>
                <w:rFonts w:ascii="宋体" w:hAnsi="宋体" w:eastAsia="宋体" w:cs="宋体"/>
              </w:rPr>
            </w:pPr>
            <w:r>
              <w:rPr>
                <w:rFonts w:hint="eastAsia" w:ascii="宋体" w:hAnsi="宋体" w:eastAsia="宋体" w:cs="宋体"/>
              </w:rPr>
              <w:t>单位优势及特长</w:t>
            </w:r>
          </w:p>
        </w:tc>
        <w:tc>
          <w:tcPr>
            <w:tcW w:w="6758" w:type="dxa"/>
            <w:gridSpan w:val="4"/>
            <w:noWrap w:val="0"/>
          </w:tcPr>
          <w:p w14:paraId="75657E14">
            <w:pPr>
              <w:pStyle w:val="12"/>
              <w:spacing w:line="360" w:lineRule="auto"/>
              <w:ind w:firstLine="480"/>
              <w:rPr>
                <w:rFonts w:ascii="宋体" w:hAnsi="宋体" w:eastAsia="宋体" w:cs="宋体"/>
              </w:rPr>
            </w:pPr>
          </w:p>
        </w:tc>
      </w:tr>
      <w:tr w14:paraId="482DCE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510" w:type="dxa"/>
            <w:noWrap w:val="0"/>
          </w:tcPr>
          <w:p w14:paraId="762496B4">
            <w:pPr>
              <w:pStyle w:val="12"/>
              <w:spacing w:line="360" w:lineRule="auto"/>
              <w:ind w:left="0" w:firstLine="0"/>
              <w:rPr>
                <w:rFonts w:ascii="宋体" w:hAnsi="宋体" w:eastAsia="宋体" w:cs="宋体"/>
              </w:rPr>
            </w:pPr>
            <w:r>
              <w:rPr>
                <w:rFonts w:hint="eastAsia" w:ascii="宋体" w:hAnsi="宋体" w:eastAsia="宋体" w:cs="宋体"/>
              </w:rPr>
              <w:t>近三年来完成或正在履行的重大合同情况</w:t>
            </w:r>
          </w:p>
        </w:tc>
        <w:tc>
          <w:tcPr>
            <w:tcW w:w="6758" w:type="dxa"/>
            <w:gridSpan w:val="4"/>
            <w:noWrap w:val="0"/>
          </w:tcPr>
          <w:p w14:paraId="45919ADE">
            <w:pPr>
              <w:pStyle w:val="12"/>
              <w:spacing w:line="360" w:lineRule="auto"/>
              <w:ind w:firstLine="480"/>
              <w:rPr>
                <w:rFonts w:ascii="宋体" w:hAnsi="宋体" w:eastAsia="宋体" w:cs="宋体"/>
              </w:rPr>
            </w:pPr>
          </w:p>
        </w:tc>
      </w:tr>
      <w:tr w14:paraId="196DF6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510" w:type="dxa"/>
            <w:noWrap w:val="0"/>
          </w:tcPr>
          <w:p w14:paraId="179E4A1F">
            <w:pPr>
              <w:pStyle w:val="12"/>
              <w:spacing w:line="360" w:lineRule="auto"/>
              <w:ind w:left="0" w:firstLine="0"/>
              <w:rPr>
                <w:rFonts w:ascii="宋体" w:hAnsi="宋体" w:eastAsia="宋体" w:cs="宋体"/>
              </w:rPr>
            </w:pPr>
            <w:r>
              <w:rPr>
                <w:rFonts w:hint="eastAsia" w:ascii="宋体" w:hAnsi="宋体" w:eastAsia="宋体" w:cs="宋体"/>
              </w:rPr>
              <w:t>最近2年内在经营过程中受到何种奖励或处分（包括稽查情况和结果）</w:t>
            </w:r>
          </w:p>
        </w:tc>
        <w:tc>
          <w:tcPr>
            <w:tcW w:w="6758" w:type="dxa"/>
            <w:gridSpan w:val="4"/>
            <w:noWrap w:val="0"/>
          </w:tcPr>
          <w:p w14:paraId="67CCF010">
            <w:pPr>
              <w:pStyle w:val="12"/>
              <w:spacing w:line="360" w:lineRule="auto"/>
              <w:ind w:firstLine="480"/>
              <w:rPr>
                <w:rFonts w:ascii="宋体" w:hAnsi="宋体" w:eastAsia="宋体" w:cs="宋体"/>
              </w:rPr>
            </w:pPr>
          </w:p>
        </w:tc>
      </w:tr>
      <w:tr w14:paraId="023C53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510" w:type="dxa"/>
            <w:noWrap w:val="0"/>
          </w:tcPr>
          <w:p w14:paraId="22F2275B">
            <w:pPr>
              <w:pStyle w:val="12"/>
              <w:spacing w:line="360" w:lineRule="auto"/>
              <w:ind w:left="0" w:firstLine="0"/>
              <w:rPr>
                <w:rFonts w:ascii="宋体" w:hAnsi="宋体" w:eastAsia="宋体" w:cs="宋体"/>
              </w:rPr>
            </w:pPr>
            <w:r>
              <w:rPr>
                <w:rFonts w:hint="eastAsia" w:ascii="宋体" w:hAnsi="宋体" w:eastAsia="宋体" w:cs="宋体"/>
              </w:rPr>
              <w:t>最近3年内有无因售假、售劣或是其他原因被消费者投诉或起诉的情况及说明（包括解决方式和结果）</w:t>
            </w:r>
          </w:p>
        </w:tc>
        <w:tc>
          <w:tcPr>
            <w:tcW w:w="6758" w:type="dxa"/>
            <w:gridSpan w:val="4"/>
            <w:noWrap w:val="0"/>
          </w:tcPr>
          <w:p w14:paraId="0BA8A38F">
            <w:pPr>
              <w:pStyle w:val="12"/>
              <w:spacing w:line="360" w:lineRule="auto"/>
              <w:ind w:firstLine="480"/>
              <w:rPr>
                <w:rFonts w:ascii="宋体" w:hAnsi="宋体" w:eastAsia="宋体" w:cs="宋体"/>
              </w:rPr>
            </w:pPr>
          </w:p>
        </w:tc>
      </w:tr>
      <w:tr w14:paraId="2B7E3B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510" w:type="dxa"/>
            <w:noWrap w:val="0"/>
          </w:tcPr>
          <w:p w14:paraId="2F1277B0">
            <w:pPr>
              <w:pStyle w:val="12"/>
              <w:spacing w:line="360" w:lineRule="auto"/>
              <w:ind w:left="0" w:firstLine="0"/>
              <w:rPr>
                <w:rFonts w:ascii="宋体" w:hAnsi="宋体" w:eastAsia="宋体" w:cs="宋体"/>
              </w:rPr>
            </w:pPr>
            <w:r>
              <w:rPr>
                <w:rFonts w:hint="eastAsia" w:ascii="宋体" w:hAnsi="宋体" w:eastAsia="宋体" w:cs="宋体"/>
              </w:rPr>
              <w:t>最近3年内主要负责人有无因经济犯罪被司法机关追究的情况及说明</w:t>
            </w:r>
          </w:p>
        </w:tc>
        <w:tc>
          <w:tcPr>
            <w:tcW w:w="6758" w:type="dxa"/>
            <w:gridSpan w:val="4"/>
            <w:noWrap w:val="0"/>
          </w:tcPr>
          <w:p w14:paraId="1A1ADBC0">
            <w:pPr>
              <w:pStyle w:val="12"/>
              <w:spacing w:line="360" w:lineRule="auto"/>
              <w:ind w:firstLine="480"/>
              <w:rPr>
                <w:rFonts w:ascii="宋体" w:hAnsi="宋体" w:eastAsia="宋体" w:cs="宋体"/>
              </w:rPr>
            </w:pPr>
          </w:p>
        </w:tc>
      </w:tr>
      <w:tr w14:paraId="57F3A1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510" w:type="dxa"/>
            <w:noWrap w:val="0"/>
          </w:tcPr>
          <w:p w14:paraId="3E651D54">
            <w:pPr>
              <w:pStyle w:val="12"/>
              <w:spacing w:line="360" w:lineRule="auto"/>
              <w:ind w:left="0" w:firstLine="0"/>
              <w:rPr>
                <w:rFonts w:ascii="宋体" w:hAnsi="宋体" w:eastAsia="宋体" w:cs="宋体"/>
              </w:rPr>
            </w:pPr>
            <w:r>
              <w:rPr>
                <w:rFonts w:hint="eastAsia" w:ascii="宋体" w:hAnsi="宋体" w:eastAsia="宋体" w:cs="宋体"/>
              </w:rPr>
              <w:t>获得技术认证的工程师及简介</w:t>
            </w:r>
          </w:p>
        </w:tc>
        <w:tc>
          <w:tcPr>
            <w:tcW w:w="6758" w:type="dxa"/>
            <w:gridSpan w:val="4"/>
            <w:noWrap w:val="0"/>
          </w:tcPr>
          <w:p w14:paraId="06234084">
            <w:pPr>
              <w:pStyle w:val="12"/>
              <w:spacing w:line="360" w:lineRule="auto"/>
              <w:ind w:firstLine="480"/>
              <w:rPr>
                <w:rFonts w:ascii="宋体" w:hAnsi="宋体" w:eastAsia="宋体" w:cs="宋体"/>
              </w:rPr>
            </w:pPr>
          </w:p>
        </w:tc>
      </w:tr>
      <w:tr w14:paraId="79FE13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510" w:type="dxa"/>
            <w:noWrap w:val="0"/>
          </w:tcPr>
          <w:p w14:paraId="1FA292E8">
            <w:pPr>
              <w:pStyle w:val="12"/>
              <w:spacing w:line="360" w:lineRule="auto"/>
              <w:ind w:left="0" w:firstLine="0"/>
              <w:rPr>
                <w:rFonts w:ascii="宋体" w:hAnsi="宋体" w:eastAsia="宋体" w:cs="宋体"/>
              </w:rPr>
            </w:pPr>
            <w:r>
              <w:rPr>
                <w:rFonts w:hint="eastAsia" w:ascii="宋体" w:hAnsi="宋体" w:eastAsia="宋体" w:cs="宋体"/>
              </w:rPr>
              <w:t>其他需要说明的情况</w:t>
            </w:r>
          </w:p>
        </w:tc>
        <w:tc>
          <w:tcPr>
            <w:tcW w:w="6758" w:type="dxa"/>
            <w:gridSpan w:val="4"/>
            <w:noWrap w:val="0"/>
          </w:tcPr>
          <w:p w14:paraId="123DDF8B">
            <w:pPr>
              <w:pStyle w:val="12"/>
              <w:spacing w:line="360" w:lineRule="auto"/>
              <w:ind w:firstLine="480"/>
              <w:rPr>
                <w:rFonts w:ascii="宋体" w:hAnsi="宋体" w:eastAsia="宋体" w:cs="宋体"/>
              </w:rPr>
            </w:pPr>
          </w:p>
        </w:tc>
      </w:tr>
    </w:tbl>
    <w:p w14:paraId="6D8DADA2">
      <w:pPr>
        <w:spacing w:line="360" w:lineRule="auto"/>
        <w:ind w:firstLine="480"/>
        <w:rPr>
          <w:rFonts w:ascii="宋体" w:hAnsi="宋体" w:cs="宋体"/>
          <w:bCs/>
          <w:sz w:val="24"/>
        </w:rPr>
      </w:pPr>
      <w:r>
        <w:rPr>
          <w:rFonts w:hint="eastAsia" w:ascii="宋体" w:hAnsi="宋体" w:cs="宋体"/>
          <w:sz w:val="24"/>
        </w:rPr>
        <w:br w:type="page" w:clear="all"/>
      </w:r>
      <w:r>
        <w:rPr>
          <w:rFonts w:hint="eastAsia" w:ascii="宋体" w:hAnsi="宋体" w:cs="宋体"/>
          <w:sz w:val="24"/>
        </w:rPr>
        <w:t>8、</w:t>
      </w:r>
      <w:r>
        <w:rPr>
          <w:rFonts w:hint="eastAsia" w:ascii="宋体" w:hAnsi="宋体" w:cs="宋体"/>
          <w:bCs/>
          <w:sz w:val="24"/>
        </w:rPr>
        <w:t>供应商与其他单位存在控股、管理关系情况表</w:t>
      </w:r>
    </w:p>
    <w:p w14:paraId="2D42D1BB">
      <w:pPr>
        <w:widowControl/>
        <w:ind w:firstLine="482"/>
        <w:jc w:val="left"/>
        <w:rPr>
          <w:rFonts w:ascii="宋体" w:hAnsi="宋体" w:cs="宋体"/>
          <w:b/>
          <w:sz w:val="24"/>
        </w:rPr>
      </w:pPr>
    </w:p>
    <w:p w14:paraId="2E1F7879">
      <w:pPr>
        <w:widowControl/>
        <w:jc w:val="center"/>
        <w:rPr>
          <w:rFonts w:ascii="宋体" w:hAnsi="宋体" w:cs="宋体"/>
          <w:bCs/>
          <w:sz w:val="24"/>
        </w:rPr>
      </w:pPr>
      <w:r>
        <w:rPr>
          <w:rFonts w:hint="eastAsia" w:ascii="宋体" w:hAnsi="宋体" w:cs="宋体"/>
          <w:bCs/>
          <w:sz w:val="24"/>
        </w:rPr>
        <w:t>供应商与其他单位存在控股、管理关系情况表</w:t>
      </w:r>
    </w:p>
    <w:p w14:paraId="6826CAFD">
      <w:pPr>
        <w:widowControl/>
        <w:jc w:val="left"/>
        <w:rPr>
          <w:rFonts w:ascii="宋体" w:hAnsi="宋体" w:cs="宋体"/>
          <w:bCs/>
          <w:sz w:val="24"/>
        </w:rPr>
      </w:pPr>
    </w:p>
    <w:tbl>
      <w:tblPr>
        <w:tblStyle w:val="41"/>
        <w:tblW w:w="9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928"/>
        <w:gridCol w:w="4160"/>
      </w:tblGrid>
      <w:tr w14:paraId="5CC63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jc w:val="center"/>
        </w:trPr>
        <w:tc>
          <w:tcPr>
            <w:tcW w:w="4928" w:type="dxa"/>
            <w:noWrap w:val="0"/>
            <w:vAlign w:val="center"/>
          </w:tcPr>
          <w:p w14:paraId="2F72A1C9">
            <w:pPr>
              <w:widowControl/>
              <w:jc w:val="center"/>
              <w:rPr>
                <w:rFonts w:ascii="宋体" w:hAnsi="宋体" w:cs="宋体"/>
                <w:bCs/>
                <w:sz w:val="24"/>
              </w:rPr>
            </w:pPr>
            <w:r>
              <w:rPr>
                <w:rFonts w:hint="eastAsia" w:ascii="宋体" w:hAnsi="宋体" w:cs="宋体"/>
                <w:bCs/>
                <w:sz w:val="24"/>
              </w:rPr>
              <w:t>与响应供应商存在控股、管理关系的单位名称</w:t>
            </w:r>
          </w:p>
        </w:tc>
        <w:tc>
          <w:tcPr>
            <w:tcW w:w="4160" w:type="dxa"/>
            <w:noWrap w:val="0"/>
            <w:vAlign w:val="center"/>
          </w:tcPr>
          <w:p w14:paraId="101BFDDC">
            <w:pPr>
              <w:widowControl/>
              <w:jc w:val="center"/>
              <w:rPr>
                <w:rFonts w:ascii="宋体" w:hAnsi="宋体" w:cs="宋体"/>
                <w:bCs/>
                <w:sz w:val="24"/>
              </w:rPr>
            </w:pPr>
            <w:r>
              <w:rPr>
                <w:rFonts w:hint="eastAsia" w:ascii="宋体" w:hAnsi="宋体" w:cs="宋体"/>
                <w:bCs/>
                <w:sz w:val="24"/>
              </w:rPr>
              <w:t>控股、管理关系情况说明</w:t>
            </w:r>
          </w:p>
        </w:tc>
      </w:tr>
      <w:tr w14:paraId="29E25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4928" w:type="dxa"/>
            <w:noWrap w:val="0"/>
            <w:vAlign w:val="center"/>
          </w:tcPr>
          <w:p w14:paraId="2572760F">
            <w:pPr>
              <w:widowControl/>
              <w:ind w:firstLine="482"/>
              <w:jc w:val="center"/>
              <w:rPr>
                <w:rFonts w:ascii="宋体" w:hAnsi="宋体" w:cs="宋体"/>
                <w:b/>
                <w:sz w:val="24"/>
              </w:rPr>
            </w:pPr>
          </w:p>
        </w:tc>
        <w:tc>
          <w:tcPr>
            <w:tcW w:w="4160" w:type="dxa"/>
            <w:noWrap w:val="0"/>
            <w:vAlign w:val="center"/>
          </w:tcPr>
          <w:p w14:paraId="5F6D1948">
            <w:pPr>
              <w:widowControl/>
              <w:ind w:firstLine="482"/>
              <w:jc w:val="center"/>
              <w:rPr>
                <w:rFonts w:ascii="宋体" w:hAnsi="宋体" w:cs="宋体"/>
                <w:b/>
                <w:sz w:val="24"/>
              </w:rPr>
            </w:pPr>
          </w:p>
        </w:tc>
      </w:tr>
      <w:tr w14:paraId="74873B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4928" w:type="dxa"/>
            <w:noWrap w:val="0"/>
            <w:vAlign w:val="center"/>
          </w:tcPr>
          <w:p w14:paraId="1C31EDD7">
            <w:pPr>
              <w:widowControl/>
              <w:ind w:firstLine="482"/>
              <w:jc w:val="center"/>
              <w:rPr>
                <w:rFonts w:ascii="宋体" w:hAnsi="宋体" w:cs="宋体"/>
                <w:b/>
                <w:sz w:val="24"/>
              </w:rPr>
            </w:pPr>
          </w:p>
        </w:tc>
        <w:tc>
          <w:tcPr>
            <w:tcW w:w="4160" w:type="dxa"/>
            <w:noWrap w:val="0"/>
            <w:vAlign w:val="center"/>
          </w:tcPr>
          <w:p w14:paraId="1720D92C">
            <w:pPr>
              <w:widowControl/>
              <w:ind w:firstLine="482"/>
              <w:jc w:val="center"/>
              <w:rPr>
                <w:rFonts w:ascii="宋体" w:hAnsi="宋体" w:cs="宋体"/>
                <w:b/>
                <w:sz w:val="24"/>
              </w:rPr>
            </w:pPr>
          </w:p>
        </w:tc>
      </w:tr>
      <w:tr w14:paraId="4540E9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4928" w:type="dxa"/>
            <w:noWrap w:val="0"/>
            <w:vAlign w:val="center"/>
          </w:tcPr>
          <w:p w14:paraId="477FDAE9">
            <w:pPr>
              <w:widowControl/>
              <w:ind w:firstLine="482"/>
              <w:jc w:val="center"/>
              <w:rPr>
                <w:rFonts w:ascii="宋体" w:hAnsi="宋体" w:cs="宋体"/>
                <w:b/>
                <w:sz w:val="24"/>
              </w:rPr>
            </w:pPr>
          </w:p>
        </w:tc>
        <w:tc>
          <w:tcPr>
            <w:tcW w:w="4160" w:type="dxa"/>
            <w:noWrap w:val="0"/>
            <w:vAlign w:val="center"/>
          </w:tcPr>
          <w:p w14:paraId="4A583B8B">
            <w:pPr>
              <w:widowControl/>
              <w:ind w:firstLine="482"/>
              <w:jc w:val="center"/>
              <w:rPr>
                <w:rFonts w:ascii="宋体" w:hAnsi="宋体" w:cs="宋体"/>
                <w:b/>
                <w:sz w:val="24"/>
              </w:rPr>
            </w:pPr>
          </w:p>
        </w:tc>
      </w:tr>
      <w:tr w14:paraId="209ECF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4928" w:type="dxa"/>
            <w:noWrap w:val="0"/>
            <w:vAlign w:val="center"/>
          </w:tcPr>
          <w:p w14:paraId="473BCCE3">
            <w:pPr>
              <w:widowControl/>
              <w:ind w:firstLine="482"/>
              <w:jc w:val="center"/>
              <w:rPr>
                <w:rFonts w:ascii="宋体" w:hAnsi="宋体" w:cs="宋体"/>
                <w:b/>
                <w:sz w:val="24"/>
              </w:rPr>
            </w:pPr>
          </w:p>
        </w:tc>
        <w:tc>
          <w:tcPr>
            <w:tcW w:w="4160" w:type="dxa"/>
            <w:noWrap w:val="0"/>
            <w:vAlign w:val="center"/>
          </w:tcPr>
          <w:p w14:paraId="16B0A966">
            <w:pPr>
              <w:widowControl/>
              <w:ind w:firstLine="482"/>
              <w:jc w:val="center"/>
              <w:rPr>
                <w:rFonts w:ascii="宋体" w:hAnsi="宋体" w:cs="宋体"/>
                <w:b/>
                <w:sz w:val="24"/>
              </w:rPr>
            </w:pPr>
          </w:p>
        </w:tc>
      </w:tr>
      <w:tr w14:paraId="33B36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4928" w:type="dxa"/>
            <w:noWrap w:val="0"/>
            <w:vAlign w:val="center"/>
          </w:tcPr>
          <w:p w14:paraId="4645A1AA">
            <w:pPr>
              <w:widowControl/>
              <w:ind w:firstLine="482"/>
              <w:jc w:val="center"/>
              <w:rPr>
                <w:rFonts w:ascii="宋体" w:hAnsi="宋体" w:cs="宋体"/>
                <w:b/>
                <w:sz w:val="24"/>
              </w:rPr>
            </w:pPr>
          </w:p>
        </w:tc>
        <w:tc>
          <w:tcPr>
            <w:tcW w:w="4160" w:type="dxa"/>
            <w:noWrap w:val="0"/>
            <w:vAlign w:val="center"/>
          </w:tcPr>
          <w:p w14:paraId="6D4E0F2A">
            <w:pPr>
              <w:widowControl/>
              <w:ind w:firstLine="482"/>
              <w:jc w:val="center"/>
              <w:rPr>
                <w:rFonts w:ascii="宋体" w:hAnsi="宋体" w:cs="宋体"/>
                <w:b/>
                <w:sz w:val="24"/>
              </w:rPr>
            </w:pPr>
          </w:p>
        </w:tc>
      </w:tr>
      <w:tr w14:paraId="1C0908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4928" w:type="dxa"/>
            <w:noWrap w:val="0"/>
            <w:vAlign w:val="center"/>
          </w:tcPr>
          <w:p w14:paraId="059ECC01">
            <w:pPr>
              <w:widowControl/>
              <w:ind w:firstLine="482"/>
              <w:jc w:val="center"/>
              <w:rPr>
                <w:rFonts w:ascii="宋体" w:hAnsi="宋体" w:cs="宋体"/>
                <w:b/>
                <w:sz w:val="24"/>
              </w:rPr>
            </w:pPr>
          </w:p>
        </w:tc>
        <w:tc>
          <w:tcPr>
            <w:tcW w:w="4160" w:type="dxa"/>
            <w:noWrap w:val="0"/>
            <w:vAlign w:val="center"/>
          </w:tcPr>
          <w:p w14:paraId="29DA91F3">
            <w:pPr>
              <w:widowControl/>
              <w:ind w:firstLine="482"/>
              <w:jc w:val="center"/>
              <w:rPr>
                <w:rFonts w:ascii="宋体" w:hAnsi="宋体" w:cs="宋体"/>
                <w:b/>
                <w:sz w:val="24"/>
              </w:rPr>
            </w:pPr>
          </w:p>
        </w:tc>
      </w:tr>
    </w:tbl>
    <w:p w14:paraId="27A27FAF">
      <w:pPr>
        <w:spacing w:line="360" w:lineRule="auto"/>
        <w:ind w:firstLine="482"/>
        <w:rPr>
          <w:rFonts w:ascii="宋体" w:hAnsi="宋体" w:cs="宋体"/>
          <w:b/>
          <w:bCs/>
          <w:sz w:val="24"/>
        </w:rPr>
      </w:pPr>
      <w:r>
        <w:rPr>
          <w:rFonts w:hint="eastAsia" w:ascii="宋体" w:hAnsi="宋体" w:cs="宋体"/>
          <w:b/>
          <w:bCs/>
          <w:sz w:val="24"/>
        </w:rPr>
        <w:t>注：供应商应当按实填写所有与之有控股、管理关系的情况</w:t>
      </w:r>
    </w:p>
    <w:p w14:paraId="12A405A8">
      <w:pPr>
        <w:spacing w:line="360" w:lineRule="auto"/>
        <w:ind w:firstLine="480"/>
        <w:rPr>
          <w:rFonts w:ascii="宋体" w:hAnsi="宋体" w:cs="宋体"/>
          <w:sz w:val="24"/>
        </w:rPr>
      </w:pPr>
    </w:p>
    <w:p w14:paraId="2D4099B3">
      <w:pPr>
        <w:spacing w:line="360" w:lineRule="auto"/>
        <w:ind w:firstLine="480"/>
        <w:rPr>
          <w:rFonts w:ascii="宋体" w:hAnsi="宋体" w:cs="宋体"/>
          <w:sz w:val="24"/>
        </w:rPr>
      </w:pPr>
      <w:r>
        <w:rPr>
          <w:rFonts w:hint="eastAsia" w:ascii="宋体" w:hAnsi="宋体" w:cs="宋体"/>
          <w:sz w:val="24"/>
        </w:rPr>
        <w:t>供应商：（单位盖章）</w:t>
      </w:r>
    </w:p>
    <w:p w14:paraId="2BC553C3">
      <w:pPr>
        <w:spacing w:line="360" w:lineRule="auto"/>
        <w:ind w:firstLine="480"/>
        <w:rPr>
          <w:rFonts w:ascii="宋体" w:hAnsi="宋体" w:cs="宋体"/>
          <w:sz w:val="24"/>
        </w:rPr>
      </w:pPr>
      <w:r>
        <w:rPr>
          <w:rFonts w:hint="eastAsia" w:ascii="宋体" w:hAnsi="宋体" w:cs="宋体"/>
          <w:sz w:val="24"/>
        </w:rPr>
        <w:t>法定代表人或代理人：（签字或盖章）</w:t>
      </w:r>
    </w:p>
    <w:p w14:paraId="333B3EBB">
      <w:pPr>
        <w:spacing w:line="360" w:lineRule="auto"/>
        <w:ind w:firstLine="480"/>
        <w:rPr>
          <w:rFonts w:ascii="宋体" w:hAnsi="宋体" w:cs="宋体"/>
          <w:sz w:val="24"/>
        </w:rPr>
      </w:pPr>
      <w:r>
        <w:rPr>
          <w:rFonts w:hint="eastAsia" w:ascii="宋体" w:hAnsi="宋体" w:cs="宋体"/>
          <w:sz w:val="24"/>
        </w:rPr>
        <w:t>日期：    年    月    日</w:t>
      </w:r>
    </w:p>
    <w:p w14:paraId="1BB42E1E">
      <w:pPr>
        <w:rPr>
          <w:rFonts w:ascii="宋体" w:hAnsi="宋体" w:cs="宋体"/>
          <w:sz w:val="24"/>
        </w:rPr>
      </w:pPr>
      <w:r>
        <w:rPr>
          <w:rFonts w:hint="eastAsia" w:ascii="宋体" w:hAnsi="宋体" w:cs="宋体"/>
          <w:sz w:val="24"/>
        </w:rPr>
        <w:br w:type="page" w:clear="all"/>
      </w:r>
      <w:r>
        <w:rPr>
          <w:rFonts w:hint="eastAsia" w:ascii="宋体" w:hAnsi="宋体" w:cs="宋体"/>
          <w:sz w:val="24"/>
        </w:rPr>
        <w:t>9、中小企业声明函</w:t>
      </w:r>
    </w:p>
    <w:p w14:paraId="2B32F75D">
      <w:pPr>
        <w:spacing w:line="360" w:lineRule="auto"/>
        <w:ind w:firstLine="480"/>
        <w:jc w:val="center"/>
        <w:rPr>
          <w:rFonts w:ascii="宋体" w:hAnsi="宋体" w:cs="宋体"/>
          <w:sz w:val="24"/>
        </w:rPr>
      </w:pPr>
    </w:p>
    <w:p w14:paraId="3F3035C6">
      <w:pPr>
        <w:spacing w:line="360" w:lineRule="auto"/>
        <w:ind w:firstLine="480"/>
        <w:jc w:val="center"/>
        <w:rPr>
          <w:rFonts w:ascii="宋体" w:hAnsi="宋体" w:cs="宋体"/>
          <w:sz w:val="24"/>
        </w:rPr>
      </w:pPr>
      <w:r>
        <w:rPr>
          <w:rFonts w:hint="eastAsia" w:ascii="宋体" w:hAnsi="宋体" w:cs="宋体"/>
          <w:sz w:val="24"/>
        </w:rPr>
        <w:t>中小企业声明函（服务）</w:t>
      </w:r>
    </w:p>
    <w:p w14:paraId="0208163E">
      <w:pPr>
        <w:pStyle w:val="198"/>
        <w:spacing w:line="360" w:lineRule="auto"/>
        <w:ind w:firstLine="420"/>
        <w:rPr>
          <w:rFonts w:ascii="宋体" w:hAnsi="宋体" w:cs="宋体"/>
        </w:rPr>
      </w:pPr>
    </w:p>
    <w:p w14:paraId="63E4EAF0">
      <w:pPr>
        <w:pStyle w:val="198"/>
        <w:spacing w:line="360" w:lineRule="auto"/>
        <w:rPr>
          <w:rFonts w:ascii="宋体" w:hAnsi="宋体" w:cs="宋体"/>
          <w:sz w:val="24"/>
          <w:lang w:val="en-US"/>
        </w:rPr>
      </w:pPr>
      <w:r>
        <w:rPr>
          <w:rFonts w:hint="eastAsia" w:ascii="宋体" w:hAnsi="宋体" w:cs="宋体"/>
          <w:sz w:val="24"/>
        </w:rPr>
        <w:t>本公司（联合体）郑重声明，根据《政府采购促进中小企业发展管理办法》（财库〔</w:t>
      </w:r>
      <w:r>
        <w:rPr>
          <w:rFonts w:hint="eastAsia" w:ascii="宋体" w:hAnsi="宋体" w:cs="宋体"/>
          <w:sz w:val="24"/>
          <w:lang w:val="en-US"/>
        </w:rPr>
        <w:t>2020</w:t>
      </w:r>
      <w:r>
        <w:rPr>
          <w:rFonts w:hint="eastAsia" w:ascii="宋体" w:hAnsi="宋体" w:cs="宋体"/>
          <w:sz w:val="24"/>
        </w:rPr>
        <w:t>〕</w:t>
      </w:r>
      <w:r>
        <w:rPr>
          <w:rFonts w:hint="eastAsia" w:ascii="宋体" w:hAnsi="宋体" w:cs="宋体"/>
          <w:sz w:val="24"/>
          <w:lang w:val="en-US"/>
        </w:rPr>
        <w:t>46号）的规定，本公司（联合体）参加</w:t>
      </w:r>
      <w:r>
        <w:rPr>
          <w:rFonts w:hint="eastAsia" w:ascii="宋体" w:hAnsi="宋体" w:cs="宋体"/>
          <w:sz w:val="24"/>
          <w:u w:val="single"/>
          <w:lang w:val="en-US"/>
        </w:rPr>
        <w:t xml:space="preserve">   （单位名称）   </w:t>
      </w:r>
      <w:r>
        <w:rPr>
          <w:rFonts w:hint="eastAsia" w:ascii="宋体" w:hAnsi="宋体" w:cs="宋体"/>
          <w:sz w:val="24"/>
          <w:lang w:val="en-US"/>
        </w:rPr>
        <w:t>的</w:t>
      </w:r>
      <w:r>
        <w:rPr>
          <w:rFonts w:hint="eastAsia" w:ascii="宋体" w:hAnsi="宋体" w:cs="宋体"/>
          <w:sz w:val="24"/>
          <w:u w:val="single"/>
          <w:lang w:val="en-US"/>
        </w:rPr>
        <w:t xml:space="preserve">   （项目名称）   </w:t>
      </w:r>
      <w:r>
        <w:rPr>
          <w:rFonts w:hint="eastAsia" w:ascii="宋体" w:hAnsi="宋体" w:cs="宋体"/>
          <w:sz w:val="24"/>
          <w:lang w:val="en-US"/>
        </w:rPr>
        <w:t>采购活动，工程的施工单位全部为符合政策要求的中小企业（或者：服务全部由符合政策要求的中小企业承接）。相关企业（含联合体中的中小企业，签订分包意向协议的中小企业）的具体情况如下：</w:t>
      </w:r>
    </w:p>
    <w:p w14:paraId="6DA22A1C">
      <w:pPr>
        <w:pStyle w:val="198"/>
        <w:spacing w:line="360" w:lineRule="auto"/>
        <w:jc w:val="left"/>
        <w:rPr>
          <w:rFonts w:ascii="宋体" w:hAnsi="宋体" w:cs="宋体"/>
          <w:sz w:val="24"/>
        </w:rPr>
      </w:pPr>
      <w:r>
        <w:rPr>
          <w:rFonts w:hint="eastAsia" w:ascii="宋体" w:hAnsi="宋体" w:cs="宋体"/>
          <w:sz w:val="24"/>
          <w:lang w:val="en-US"/>
        </w:rPr>
        <w:t>1.</w:t>
      </w:r>
      <w:r>
        <w:rPr>
          <w:rFonts w:hint="eastAsia" w:ascii="宋体" w:hAnsi="宋体" w:cs="宋体"/>
          <w:sz w:val="24"/>
          <w:u w:val="single"/>
          <w:lang w:val="en-US"/>
        </w:rPr>
        <w:t xml:space="preserve">    (标的名称）    </w:t>
      </w:r>
      <w:r>
        <w:rPr>
          <w:rFonts w:hint="eastAsia" w:ascii="宋体" w:hAnsi="宋体" w:cs="宋体"/>
          <w:sz w:val="24"/>
          <w:lang w:val="en-US"/>
        </w:rPr>
        <w:t>，属于</w:t>
      </w:r>
      <w:r>
        <w:rPr>
          <w:rFonts w:hint="eastAsia" w:ascii="宋体" w:hAnsi="宋体" w:cs="宋体"/>
          <w:sz w:val="24"/>
          <w:u w:val="single"/>
          <w:lang w:val="en-US"/>
        </w:rPr>
        <w:t xml:space="preserve">   （采购文件中明确的所属行业）   </w:t>
      </w:r>
      <w:r>
        <w:rPr>
          <w:rFonts w:hint="eastAsia" w:ascii="宋体" w:hAnsi="宋体" w:cs="宋体"/>
          <w:sz w:val="24"/>
          <w:lang w:val="en-US"/>
        </w:rPr>
        <w:t>；承建（承接）企业为</w:t>
      </w:r>
      <w:r>
        <w:rPr>
          <w:rFonts w:hint="eastAsia" w:ascii="宋体" w:hAnsi="宋体" w:cs="宋体"/>
          <w:sz w:val="24"/>
          <w:u w:val="single"/>
          <w:lang w:val="en-US"/>
        </w:rPr>
        <w:t xml:space="preserve">   （企业名称）   </w:t>
      </w:r>
      <w:r>
        <w:rPr>
          <w:rFonts w:hint="eastAsia" w:ascii="宋体" w:hAnsi="宋体" w:cs="宋体"/>
          <w:sz w:val="24"/>
          <w:lang w:val="en-US"/>
        </w:rPr>
        <w:t>，从业人员</w:t>
      </w:r>
      <w:r>
        <w:rPr>
          <w:rFonts w:hint="eastAsia" w:ascii="宋体" w:hAnsi="宋体" w:cs="宋体"/>
          <w:sz w:val="24"/>
          <w:u w:val="single"/>
          <w:lang w:val="en-US"/>
        </w:rPr>
        <w:t xml:space="preserve">      </w:t>
      </w:r>
      <w:r>
        <w:rPr>
          <w:rFonts w:hint="eastAsia" w:ascii="宋体" w:hAnsi="宋体" w:cs="宋体"/>
          <w:sz w:val="24"/>
          <w:lang w:val="en-US"/>
        </w:rPr>
        <w:t>人，营业收入为</w:t>
      </w:r>
      <w:r>
        <w:rPr>
          <w:rFonts w:hint="eastAsia" w:ascii="宋体" w:hAnsi="宋体" w:cs="宋体"/>
          <w:sz w:val="24"/>
          <w:u w:val="single"/>
          <w:lang w:val="en-US"/>
        </w:rPr>
        <w:t xml:space="preserve">      </w:t>
      </w:r>
      <w:r>
        <w:rPr>
          <w:rFonts w:hint="eastAsia" w:ascii="宋体" w:hAnsi="宋体" w:cs="宋体"/>
          <w:sz w:val="24"/>
          <w:lang w:val="en-US"/>
        </w:rPr>
        <w:t>万元，资产总额为</w:t>
      </w:r>
      <w:r>
        <w:rPr>
          <w:rFonts w:hint="eastAsia" w:ascii="宋体" w:hAnsi="宋体" w:cs="宋体"/>
          <w:sz w:val="24"/>
          <w:u w:val="single"/>
          <w:lang w:val="en-US"/>
        </w:rPr>
        <w:t xml:space="preserve">      </w:t>
      </w:r>
      <w:r>
        <w:rPr>
          <w:rFonts w:hint="eastAsia" w:ascii="宋体" w:hAnsi="宋体" w:cs="宋体"/>
          <w:sz w:val="24"/>
          <w:lang w:val="en-US"/>
        </w:rPr>
        <w:t>万元¹</w:t>
      </w:r>
      <w:r>
        <w:rPr>
          <w:rFonts w:hint="eastAsia" w:ascii="宋体" w:hAnsi="宋体" w:cs="宋体"/>
          <w:sz w:val="24"/>
        </w:rPr>
        <w:t>，属于</w:t>
      </w:r>
      <w:r>
        <w:rPr>
          <w:rFonts w:hint="eastAsia" w:ascii="宋体" w:hAnsi="宋体" w:cs="宋体"/>
          <w:sz w:val="24"/>
          <w:u w:val="single"/>
        </w:rPr>
        <w:t>（中型企业、小型企业、微型企业）</w:t>
      </w:r>
      <w:r>
        <w:rPr>
          <w:rFonts w:hint="eastAsia" w:ascii="宋体" w:hAnsi="宋体" w:cs="宋体"/>
          <w:sz w:val="24"/>
        </w:rPr>
        <w:t>；</w:t>
      </w:r>
    </w:p>
    <w:p w14:paraId="6ED6C379">
      <w:pPr>
        <w:pStyle w:val="198"/>
        <w:spacing w:line="360" w:lineRule="auto"/>
        <w:rPr>
          <w:rFonts w:ascii="宋体" w:hAnsi="宋体" w:cs="宋体"/>
          <w:sz w:val="24"/>
        </w:rPr>
      </w:pPr>
      <w:r>
        <w:rPr>
          <w:rFonts w:hint="eastAsia" w:ascii="宋体" w:hAnsi="宋体" w:cs="宋体"/>
          <w:sz w:val="24"/>
          <w:lang w:val="en-US"/>
        </w:rPr>
        <w:t>2.</w:t>
      </w:r>
      <w:r>
        <w:rPr>
          <w:rFonts w:hint="eastAsia" w:ascii="宋体" w:hAnsi="宋体" w:cs="宋体"/>
          <w:sz w:val="24"/>
          <w:u w:val="single"/>
          <w:lang w:val="en-US"/>
        </w:rPr>
        <w:t xml:space="preserve">    (标的名称）    </w:t>
      </w:r>
      <w:r>
        <w:rPr>
          <w:rFonts w:hint="eastAsia" w:ascii="宋体" w:hAnsi="宋体" w:cs="宋体"/>
          <w:sz w:val="24"/>
          <w:lang w:val="en-US"/>
        </w:rPr>
        <w:t>，属于</w:t>
      </w:r>
      <w:r>
        <w:rPr>
          <w:rFonts w:hint="eastAsia" w:ascii="宋体" w:hAnsi="宋体" w:cs="宋体"/>
          <w:sz w:val="24"/>
          <w:u w:val="single"/>
          <w:lang w:val="en-US"/>
        </w:rPr>
        <w:t xml:space="preserve">   （采购文件中明确的所属行业）   </w:t>
      </w:r>
      <w:r>
        <w:rPr>
          <w:rFonts w:hint="eastAsia" w:ascii="宋体" w:hAnsi="宋体" w:cs="宋体"/>
          <w:sz w:val="24"/>
          <w:lang w:val="en-US"/>
        </w:rPr>
        <w:t>；承建（承接）企业为</w:t>
      </w:r>
      <w:r>
        <w:rPr>
          <w:rFonts w:hint="eastAsia" w:ascii="宋体" w:hAnsi="宋体" w:cs="宋体"/>
          <w:sz w:val="24"/>
          <w:u w:val="single"/>
          <w:lang w:val="en-US"/>
        </w:rPr>
        <w:t xml:space="preserve">   （企业名称）   </w:t>
      </w:r>
      <w:r>
        <w:rPr>
          <w:rFonts w:hint="eastAsia" w:ascii="宋体" w:hAnsi="宋体" w:cs="宋体"/>
          <w:sz w:val="24"/>
          <w:lang w:val="en-US"/>
        </w:rPr>
        <w:t>，从业人员</w:t>
      </w:r>
      <w:r>
        <w:rPr>
          <w:rFonts w:hint="eastAsia" w:ascii="宋体" w:hAnsi="宋体" w:cs="宋体"/>
          <w:sz w:val="24"/>
          <w:u w:val="single"/>
          <w:lang w:val="en-US"/>
        </w:rPr>
        <w:t xml:space="preserve">      </w:t>
      </w:r>
      <w:r>
        <w:rPr>
          <w:rFonts w:hint="eastAsia" w:ascii="宋体" w:hAnsi="宋体" w:cs="宋体"/>
          <w:sz w:val="24"/>
          <w:lang w:val="en-US"/>
        </w:rPr>
        <w:t>人，营业收入为</w:t>
      </w:r>
      <w:r>
        <w:rPr>
          <w:rFonts w:hint="eastAsia" w:ascii="宋体" w:hAnsi="宋体" w:cs="宋体"/>
          <w:sz w:val="24"/>
          <w:u w:val="single"/>
          <w:lang w:val="en-US"/>
        </w:rPr>
        <w:t xml:space="preserve">      </w:t>
      </w:r>
      <w:r>
        <w:rPr>
          <w:rFonts w:hint="eastAsia" w:ascii="宋体" w:hAnsi="宋体" w:cs="宋体"/>
          <w:sz w:val="24"/>
          <w:lang w:val="en-US"/>
        </w:rPr>
        <w:t>万元，资产总额为</w:t>
      </w:r>
      <w:r>
        <w:rPr>
          <w:rFonts w:hint="eastAsia" w:ascii="宋体" w:hAnsi="宋体" w:cs="宋体"/>
          <w:sz w:val="24"/>
          <w:u w:val="single"/>
          <w:lang w:val="en-US"/>
        </w:rPr>
        <w:t xml:space="preserve">      </w:t>
      </w:r>
      <w:r>
        <w:rPr>
          <w:rFonts w:hint="eastAsia" w:ascii="宋体" w:hAnsi="宋体" w:cs="宋体"/>
          <w:sz w:val="24"/>
          <w:lang w:val="en-US"/>
        </w:rPr>
        <w:t>万元</w:t>
      </w:r>
      <w:r>
        <w:rPr>
          <w:rFonts w:hint="eastAsia" w:ascii="宋体" w:hAnsi="宋体" w:cs="宋体"/>
          <w:sz w:val="24"/>
        </w:rPr>
        <w:t>，属于</w:t>
      </w:r>
      <w:r>
        <w:rPr>
          <w:rFonts w:hint="eastAsia" w:ascii="宋体" w:hAnsi="宋体" w:cs="宋体"/>
          <w:sz w:val="24"/>
          <w:u w:val="single"/>
        </w:rPr>
        <w:t>（中型企业、小型企业、微型企业）</w:t>
      </w:r>
      <w:r>
        <w:rPr>
          <w:rFonts w:hint="eastAsia" w:ascii="宋体" w:hAnsi="宋体" w:cs="宋体"/>
          <w:sz w:val="24"/>
        </w:rPr>
        <w:t>；</w:t>
      </w:r>
    </w:p>
    <w:p w14:paraId="3780C544">
      <w:pPr>
        <w:pStyle w:val="198"/>
        <w:spacing w:line="360" w:lineRule="auto"/>
        <w:rPr>
          <w:rFonts w:ascii="宋体" w:hAnsi="宋体" w:cs="宋体"/>
          <w:sz w:val="24"/>
        </w:rPr>
      </w:pPr>
      <w:r>
        <w:rPr>
          <w:rFonts w:hint="eastAsia" w:ascii="宋体" w:hAnsi="宋体" w:cs="宋体"/>
          <w:sz w:val="24"/>
        </w:rPr>
        <w:t>......</w:t>
      </w:r>
    </w:p>
    <w:p w14:paraId="768B7595">
      <w:pPr>
        <w:pStyle w:val="198"/>
        <w:spacing w:line="360" w:lineRule="auto"/>
        <w:rPr>
          <w:rFonts w:ascii="宋体" w:hAnsi="宋体" w:cs="宋体"/>
          <w:sz w:val="24"/>
        </w:rPr>
      </w:pPr>
      <w:r>
        <w:rPr>
          <w:rFonts w:hint="eastAsia" w:ascii="宋体" w:hAnsi="宋体" w:cs="宋体"/>
          <w:sz w:val="24"/>
        </w:rPr>
        <w:t>以上企业，不属于大企业的分支机构，不存在控股股东为大企业的情形，也不存在与大企业的负责人为同一人的情形。</w:t>
      </w:r>
    </w:p>
    <w:p w14:paraId="00D74E34">
      <w:pPr>
        <w:pStyle w:val="198"/>
        <w:spacing w:line="360" w:lineRule="auto"/>
        <w:rPr>
          <w:rFonts w:ascii="宋体" w:hAnsi="宋体" w:cs="宋体"/>
          <w:sz w:val="24"/>
        </w:rPr>
      </w:pPr>
      <w:r>
        <w:rPr>
          <w:rFonts w:hint="eastAsia" w:ascii="宋体" w:hAnsi="宋体" w:cs="宋体"/>
          <w:sz w:val="24"/>
        </w:rPr>
        <w:t>本企业对上述声明内容的真实性负责。如有虚假，将依法承担相应责任。</w:t>
      </w:r>
    </w:p>
    <w:p w14:paraId="20FDACAD">
      <w:pPr>
        <w:pStyle w:val="198"/>
        <w:spacing w:line="360" w:lineRule="auto"/>
        <w:rPr>
          <w:rFonts w:ascii="宋体" w:hAnsi="宋体" w:cs="宋体"/>
          <w:sz w:val="24"/>
        </w:rPr>
      </w:pPr>
    </w:p>
    <w:p w14:paraId="5C8A4FAF">
      <w:pPr>
        <w:pStyle w:val="198"/>
        <w:spacing w:line="360" w:lineRule="auto"/>
        <w:rPr>
          <w:rFonts w:ascii="宋体" w:hAnsi="宋体" w:cs="宋体"/>
          <w:sz w:val="24"/>
        </w:rPr>
      </w:pPr>
    </w:p>
    <w:p w14:paraId="73EEC2A6">
      <w:pPr>
        <w:pStyle w:val="198"/>
        <w:spacing w:line="360" w:lineRule="auto"/>
        <w:jc w:val="center"/>
        <w:rPr>
          <w:rFonts w:ascii="宋体" w:hAnsi="宋体" w:cs="宋体"/>
          <w:sz w:val="24"/>
        </w:rPr>
      </w:pPr>
      <w:r>
        <w:rPr>
          <w:rFonts w:hint="eastAsia" w:ascii="宋体" w:hAnsi="宋体" w:cs="宋体"/>
          <w:sz w:val="24"/>
          <w:lang w:val="en-US"/>
        </w:rPr>
        <w:t xml:space="preserve">               </w:t>
      </w:r>
      <w:r>
        <w:rPr>
          <w:rFonts w:hint="eastAsia" w:ascii="宋体" w:hAnsi="宋体" w:cs="宋体"/>
          <w:sz w:val="24"/>
        </w:rPr>
        <w:t>企业名称（盖章）：</w:t>
      </w:r>
    </w:p>
    <w:p w14:paraId="1A8FFAB5">
      <w:pPr>
        <w:pStyle w:val="198"/>
        <w:spacing w:line="360" w:lineRule="auto"/>
        <w:jc w:val="center"/>
        <w:rPr>
          <w:rFonts w:ascii="宋体" w:hAnsi="宋体" w:cs="宋体"/>
          <w:sz w:val="24"/>
        </w:rPr>
      </w:pPr>
      <w:r>
        <w:rPr>
          <w:rFonts w:hint="eastAsia" w:ascii="宋体" w:hAnsi="宋体" w:cs="宋体"/>
          <w:sz w:val="24"/>
          <w:lang w:val="en-US"/>
        </w:rPr>
        <w:t xml:space="preserve">   </w:t>
      </w:r>
      <w:r>
        <w:rPr>
          <w:rFonts w:hint="eastAsia" w:ascii="宋体" w:hAnsi="宋体" w:cs="宋体"/>
          <w:sz w:val="24"/>
        </w:rPr>
        <w:t>日期：</w:t>
      </w:r>
    </w:p>
    <w:p w14:paraId="6FD5A875">
      <w:pPr>
        <w:spacing w:line="360" w:lineRule="auto"/>
        <w:jc w:val="left"/>
        <w:rPr>
          <w:rFonts w:ascii="宋体" w:hAnsi="宋体" w:cs="宋体"/>
          <w:sz w:val="24"/>
        </w:rPr>
      </w:pPr>
    </w:p>
    <w:p w14:paraId="194B2F4D">
      <w:pPr>
        <w:spacing w:line="360" w:lineRule="auto"/>
        <w:rPr>
          <w:rFonts w:ascii="宋体" w:hAnsi="宋体" w:cs="宋体"/>
          <w:color w:val="000000"/>
          <w:sz w:val="24"/>
        </w:rPr>
      </w:pPr>
      <w:r>
        <w:rPr>
          <w:rFonts w:hint="eastAsia" w:ascii="宋体" w:hAnsi="宋体" w:cs="宋体"/>
          <w:color w:val="000000"/>
          <w:sz w:val="24"/>
        </w:rPr>
        <w:t>备注：</w:t>
      </w:r>
    </w:p>
    <w:p w14:paraId="31437725">
      <w:pPr>
        <w:spacing w:line="360" w:lineRule="auto"/>
        <w:rPr>
          <w:rFonts w:ascii="宋体" w:hAnsi="宋体" w:cs="宋体"/>
          <w:color w:val="000000"/>
          <w:sz w:val="24"/>
        </w:rPr>
      </w:pPr>
      <w:r>
        <w:rPr>
          <w:rFonts w:hint="eastAsia" w:ascii="宋体" w:hAnsi="宋体" w:cs="宋体"/>
          <w:color w:val="000000"/>
          <w:sz w:val="24"/>
        </w:rPr>
        <w:t>1.从业人员、营业收入、资产总额填报上一年度数据，无上一年度数据的新成立企业可不填报。</w:t>
      </w:r>
    </w:p>
    <w:p w14:paraId="25A77328">
      <w:pPr>
        <w:spacing w:line="360" w:lineRule="auto"/>
        <w:rPr>
          <w:rFonts w:ascii="宋体" w:hAnsi="宋体" w:cs="宋体"/>
          <w:color w:val="000000"/>
          <w:sz w:val="24"/>
        </w:rPr>
      </w:pPr>
      <w:r>
        <w:rPr>
          <w:rFonts w:hint="eastAsia" w:ascii="宋体" w:hAnsi="宋体" w:cs="宋体"/>
          <w:color w:val="000000"/>
          <w:sz w:val="24"/>
        </w:rPr>
        <w:t>2.在服务采购项目中，服务由中小企业承接，即提供服务的人员为中小企业依照《中华人民共和国劳动合同法》订立劳动合同的从业人员。</w:t>
      </w:r>
      <w:r>
        <w:rPr>
          <w:rFonts w:hint="eastAsia" w:ascii="宋体" w:hAnsi="宋体" w:cs="宋体"/>
          <w:b/>
          <w:bCs/>
          <w:color w:val="000000"/>
          <w:sz w:val="24"/>
        </w:rPr>
        <w:t>服务类项目中供应商若使用退休人员，将不享受相应扶持政策。</w:t>
      </w:r>
    </w:p>
    <w:p w14:paraId="42AAA69F">
      <w:pPr>
        <w:spacing w:line="360" w:lineRule="auto"/>
        <w:rPr>
          <w:rFonts w:ascii="宋体" w:hAnsi="宋体" w:cs="宋体"/>
          <w:color w:val="000000"/>
          <w:sz w:val="24"/>
        </w:rPr>
      </w:pPr>
      <w:r>
        <w:rPr>
          <w:rFonts w:hint="eastAsia" w:ascii="宋体" w:hAnsi="宋体" w:cs="宋体"/>
          <w:color w:val="000000"/>
          <w:sz w:val="24"/>
        </w:rPr>
        <w:t>3.《中小企业声明函》中所填的行业应与本采购标的对应的中小企业划分标准所属行业一致，不一致的不可享受相应政策优惠。本采购标的对应的中小企业划分标准所属行业，以采购文件第四章《采购需求》规定为准。</w:t>
      </w:r>
    </w:p>
    <w:p w14:paraId="02C3CAC6">
      <w:pPr>
        <w:spacing w:line="360" w:lineRule="auto"/>
        <w:rPr>
          <w:rFonts w:ascii="宋体" w:hAnsi="宋体" w:cs="宋体"/>
          <w:b/>
          <w:bCs/>
          <w:color w:val="000000"/>
          <w:sz w:val="24"/>
        </w:rPr>
      </w:pPr>
      <w:r>
        <w:rPr>
          <w:rFonts w:hint="eastAsia" w:ascii="宋体" w:hAnsi="宋体" w:cs="宋体"/>
          <w:color w:val="000000"/>
          <w:sz w:val="24"/>
        </w:rPr>
        <w:t>4.</w:t>
      </w:r>
      <w:r>
        <w:rPr>
          <w:rFonts w:hint="eastAsia" w:ascii="宋体" w:hAnsi="宋体" w:cs="宋体"/>
          <w:b/>
          <w:bCs/>
          <w:color w:val="000000"/>
          <w:sz w:val="24"/>
        </w:rPr>
        <w:t>如未对（中型企业、小型企业、微型企业）进行勾选，视同非中小微企业，不可享受相应扶持政策。</w:t>
      </w:r>
    </w:p>
    <w:p w14:paraId="3E45A8A9">
      <w:pPr>
        <w:spacing w:line="360" w:lineRule="auto"/>
        <w:rPr>
          <w:rFonts w:ascii="宋体" w:hAnsi="宋体" w:cs="宋体"/>
          <w:color w:val="000000"/>
          <w:sz w:val="24"/>
        </w:rPr>
      </w:pPr>
      <w:r>
        <w:rPr>
          <w:rFonts w:hint="eastAsia" w:ascii="宋体" w:hAnsi="宋体" w:cs="宋体"/>
          <w:color w:val="000000"/>
          <w:sz w:val="24"/>
        </w:rPr>
        <w:t>5.成交供应商为中小企业的，《中小企业声明函》将随成交结果同时公告。</w:t>
      </w:r>
    </w:p>
    <w:p w14:paraId="1A14AF31">
      <w:pPr>
        <w:rPr>
          <w:rFonts w:ascii="宋体" w:hAnsi="宋体" w:cs="宋体"/>
          <w:color w:val="000000"/>
          <w:sz w:val="24"/>
        </w:rPr>
      </w:pPr>
      <w:r>
        <w:rPr>
          <w:rFonts w:hint="eastAsia" w:ascii="宋体" w:hAnsi="宋体" w:cs="宋体"/>
          <w:color w:val="000000"/>
          <w:sz w:val="24"/>
        </w:rPr>
        <w:br w:type="page" w:clear="all"/>
      </w:r>
    </w:p>
    <w:p w14:paraId="6CDD197C">
      <w:pPr>
        <w:jc w:val="left"/>
        <w:rPr>
          <w:rFonts w:ascii="宋体" w:hAnsi="宋体" w:cs="宋体"/>
          <w:sz w:val="24"/>
        </w:rPr>
      </w:pPr>
      <w:r>
        <w:rPr>
          <w:rFonts w:hint="eastAsia" w:ascii="宋体" w:hAnsi="宋体" w:cs="宋体"/>
          <w:sz w:val="24"/>
        </w:rPr>
        <w:t>10、残疾人福利性单位声明函</w:t>
      </w:r>
    </w:p>
    <w:p w14:paraId="34EBB4AD">
      <w:pPr>
        <w:spacing w:line="360" w:lineRule="auto"/>
        <w:ind w:firstLine="480"/>
        <w:jc w:val="center"/>
        <w:rPr>
          <w:rFonts w:ascii="宋体" w:hAnsi="宋体" w:cs="宋体"/>
          <w:sz w:val="24"/>
        </w:rPr>
      </w:pPr>
      <w:r>
        <w:rPr>
          <w:rFonts w:hint="eastAsia" w:ascii="宋体" w:hAnsi="宋体" w:cs="宋体"/>
          <w:sz w:val="24"/>
        </w:rPr>
        <w:t>残疾人福利性单位声明函</w:t>
      </w:r>
    </w:p>
    <w:p w14:paraId="7A113F02">
      <w:pPr>
        <w:spacing w:line="360" w:lineRule="auto"/>
        <w:ind w:firstLine="480"/>
        <w:rPr>
          <w:rFonts w:ascii="宋体" w:hAnsi="宋体" w:cs="宋体"/>
          <w:sz w:val="24"/>
        </w:rPr>
      </w:pPr>
      <w:r>
        <w:rPr>
          <w:rFonts w:hint="eastAsia" w:ascii="宋体" w:hAnsi="宋体" w:cs="宋体"/>
          <w:sz w:val="24"/>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51FC2A5D">
      <w:pPr>
        <w:spacing w:line="360" w:lineRule="auto"/>
        <w:ind w:firstLine="480"/>
        <w:rPr>
          <w:rFonts w:ascii="宋体" w:hAnsi="宋体" w:cs="宋体"/>
          <w:sz w:val="24"/>
        </w:rPr>
      </w:pPr>
      <w:r>
        <w:rPr>
          <w:rFonts w:hint="eastAsia" w:ascii="宋体" w:hAnsi="宋体" w:cs="宋体"/>
          <w:sz w:val="24"/>
        </w:rPr>
        <w:t>本单位对上述声明的真实性负责。如有虚假，将依法承担相应责任。</w:t>
      </w:r>
    </w:p>
    <w:p w14:paraId="3B17696F">
      <w:pPr>
        <w:spacing w:line="580" w:lineRule="exact"/>
        <w:ind w:firstLine="480"/>
        <w:rPr>
          <w:rFonts w:ascii="宋体" w:hAnsi="宋体" w:cs="宋体"/>
          <w:sz w:val="24"/>
        </w:rPr>
      </w:pPr>
    </w:p>
    <w:p w14:paraId="31C57AAD">
      <w:pPr>
        <w:tabs>
          <w:tab w:val="left" w:pos="4860"/>
        </w:tabs>
        <w:spacing w:line="580" w:lineRule="exact"/>
        <w:ind w:right="1560" w:firstLine="480"/>
        <w:jc w:val="left"/>
        <w:rPr>
          <w:rFonts w:ascii="宋体" w:hAnsi="宋体" w:cs="宋体"/>
          <w:sz w:val="24"/>
        </w:rPr>
      </w:pPr>
      <w:r>
        <w:rPr>
          <w:rFonts w:hint="eastAsia" w:ascii="宋体" w:hAnsi="宋体" w:cs="宋体"/>
          <w:sz w:val="24"/>
        </w:rPr>
        <w:t>单位名称（盖章）：</w:t>
      </w:r>
    </w:p>
    <w:p w14:paraId="3D286258">
      <w:pPr>
        <w:tabs>
          <w:tab w:val="left" w:pos="4860"/>
        </w:tabs>
        <w:spacing w:line="580" w:lineRule="exact"/>
        <w:ind w:right="1560" w:firstLine="480"/>
        <w:jc w:val="left"/>
        <w:rPr>
          <w:rFonts w:ascii="宋体" w:hAnsi="宋体" w:cs="宋体"/>
          <w:sz w:val="24"/>
        </w:rPr>
      </w:pPr>
      <w:r>
        <w:rPr>
          <w:rFonts w:hint="eastAsia" w:ascii="宋体" w:hAnsi="宋体" w:cs="宋体"/>
          <w:sz w:val="24"/>
        </w:rPr>
        <w:t xml:space="preserve">日期：    </w:t>
      </w:r>
      <w:r>
        <w:rPr>
          <w:rFonts w:hint="eastAsia" w:ascii="宋体" w:hAnsi="宋体" w:cs="宋体"/>
          <w:sz w:val="24"/>
          <w:lang w:val="zh-CN"/>
        </w:rPr>
        <w:t>年    月    日</w:t>
      </w:r>
    </w:p>
    <w:p w14:paraId="6423E891">
      <w:pPr>
        <w:rPr>
          <w:rFonts w:ascii="宋体" w:hAnsi="宋体" w:cs="宋体"/>
          <w:sz w:val="24"/>
        </w:rPr>
      </w:pPr>
      <w:r>
        <w:rPr>
          <w:rFonts w:hint="eastAsia" w:ascii="宋体" w:hAnsi="宋体" w:cs="宋体"/>
          <w:sz w:val="24"/>
        </w:rPr>
        <w:br w:type="page" w:clear="all"/>
      </w:r>
      <w:r>
        <w:rPr>
          <w:rFonts w:hint="eastAsia" w:ascii="宋体" w:hAnsi="宋体" w:cs="宋体"/>
          <w:sz w:val="24"/>
        </w:rPr>
        <w:t>11、响应保证承诺书</w:t>
      </w:r>
    </w:p>
    <w:p w14:paraId="26CAD885">
      <w:pPr>
        <w:spacing w:line="360" w:lineRule="auto"/>
        <w:jc w:val="center"/>
        <w:rPr>
          <w:rFonts w:ascii="宋体" w:hAnsi="宋体" w:cs="宋体"/>
          <w:sz w:val="24"/>
        </w:rPr>
      </w:pPr>
      <w:r>
        <w:rPr>
          <w:rFonts w:hint="eastAsia" w:ascii="宋体" w:hAnsi="宋体" w:cs="宋体"/>
          <w:sz w:val="24"/>
        </w:rPr>
        <w:t>响应保证承诺书</w:t>
      </w:r>
    </w:p>
    <w:p w14:paraId="6EEEE5B1">
      <w:pPr>
        <w:spacing w:line="360" w:lineRule="auto"/>
        <w:ind w:firstLine="480"/>
        <w:rPr>
          <w:rFonts w:ascii="宋体" w:hAnsi="宋体" w:cs="宋体"/>
          <w:sz w:val="24"/>
          <w:u w:val="single"/>
        </w:rPr>
      </w:pPr>
      <w:r>
        <w:rPr>
          <w:rFonts w:hint="eastAsia" w:ascii="宋体" w:hAnsi="宋体" w:cs="宋体"/>
          <w:sz w:val="24"/>
        </w:rPr>
        <w:t>致：</w:t>
      </w:r>
      <w:r>
        <w:rPr>
          <w:rFonts w:hint="eastAsia" w:ascii="宋体" w:hAnsi="宋体" w:cs="宋体"/>
          <w:sz w:val="24"/>
          <w:u w:val="single"/>
        </w:rPr>
        <w:t xml:space="preserve">       （采购代理机构名称）</w:t>
      </w:r>
    </w:p>
    <w:p w14:paraId="0E3E2836">
      <w:pPr>
        <w:spacing w:line="360" w:lineRule="auto"/>
        <w:ind w:firstLine="480"/>
        <w:rPr>
          <w:rFonts w:ascii="宋体" w:hAnsi="宋体" w:cs="宋体"/>
          <w:sz w:val="24"/>
        </w:rPr>
      </w:pPr>
      <w:r>
        <w:rPr>
          <w:rFonts w:hint="eastAsia" w:ascii="宋体" w:hAnsi="宋体" w:cs="宋体"/>
          <w:sz w:val="24"/>
        </w:rPr>
        <w:t>我</w:t>
      </w:r>
      <w:r>
        <w:rPr>
          <w:rFonts w:hint="eastAsia" w:ascii="宋体" w:hAnsi="宋体" w:cs="宋体"/>
          <w:sz w:val="24"/>
          <w:u w:val="single"/>
        </w:rPr>
        <w:t>（单位/本人，以下统称我单位）</w:t>
      </w:r>
      <w:r>
        <w:rPr>
          <w:rFonts w:hint="eastAsia" w:ascii="宋体" w:hAnsi="宋体" w:cs="宋体"/>
          <w:sz w:val="24"/>
        </w:rPr>
        <w:t>自愿参加</w:t>
      </w:r>
      <w:r>
        <w:rPr>
          <w:rFonts w:hint="eastAsia" w:ascii="宋体" w:hAnsi="宋体" w:cs="宋体"/>
          <w:sz w:val="24"/>
          <w:u w:val="single"/>
        </w:rPr>
        <w:t xml:space="preserve">    （项目名称和采购编号）   </w:t>
      </w:r>
      <w:r>
        <w:rPr>
          <w:rFonts w:hint="eastAsia" w:ascii="宋体" w:hAnsi="宋体" w:cs="宋体"/>
          <w:sz w:val="24"/>
        </w:rPr>
        <w:t>的响应,并做出如下承诺：</w:t>
      </w:r>
    </w:p>
    <w:p w14:paraId="21597D6A">
      <w:pPr>
        <w:spacing w:line="360" w:lineRule="auto"/>
        <w:ind w:firstLine="480"/>
        <w:rPr>
          <w:rFonts w:ascii="宋体" w:hAnsi="宋体" w:cs="宋体"/>
          <w:sz w:val="24"/>
        </w:rPr>
      </w:pPr>
      <w:r>
        <w:rPr>
          <w:rFonts w:hint="eastAsia" w:ascii="宋体" w:hAnsi="宋体" w:cs="宋体"/>
          <w:sz w:val="24"/>
        </w:rPr>
        <w:t>一、除不可抗力外，我单位如果发生以下行为，将在行为发生的10个工作日内，向贵方</w:t>
      </w:r>
      <w:r>
        <w:rPr>
          <w:rFonts w:hint="eastAsia" w:ascii="宋体" w:hAnsi="宋体" w:cs="宋体"/>
          <w:sz w:val="24"/>
          <w:u w:val="single"/>
        </w:rPr>
        <w:t>（或采购人）</w:t>
      </w:r>
      <w:r>
        <w:rPr>
          <w:rFonts w:hint="eastAsia" w:ascii="宋体" w:hAnsi="宋体" w:cs="宋体"/>
          <w:sz w:val="24"/>
        </w:rPr>
        <w:t>支付本采购文件公布的预算金额（或最高限价）的2%作为违约赔偿金（数量不确定的单价采购须约定具体金额）。</w:t>
      </w:r>
    </w:p>
    <w:p w14:paraId="2D3AC7D4">
      <w:pPr>
        <w:spacing w:line="360" w:lineRule="auto"/>
        <w:ind w:firstLine="480"/>
        <w:rPr>
          <w:rFonts w:ascii="宋体" w:hAnsi="宋体" w:cs="宋体"/>
          <w:sz w:val="24"/>
        </w:rPr>
      </w:pPr>
      <w:r>
        <w:rPr>
          <w:rFonts w:hint="eastAsia" w:ascii="宋体" w:hAnsi="宋体" w:cs="宋体"/>
          <w:sz w:val="24"/>
        </w:rPr>
        <w:t>1.自投标（响应）截止时间至本项目发布成交公告为止，撤销响应；</w:t>
      </w:r>
    </w:p>
    <w:p w14:paraId="2C3A787B">
      <w:pPr>
        <w:spacing w:line="360" w:lineRule="auto"/>
        <w:ind w:firstLine="480"/>
        <w:rPr>
          <w:rFonts w:ascii="宋体" w:hAnsi="宋体" w:cs="宋体"/>
          <w:sz w:val="24"/>
        </w:rPr>
      </w:pPr>
      <w:r>
        <w:rPr>
          <w:rFonts w:hint="eastAsia" w:ascii="宋体" w:hAnsi="宋体" w:cs="宋体"/>
          <w:sz w:val="24"/>
        </w:rPr>
        <w:t>2.成交后不依法与采购人签订合同；</w:t>
      </w:r>
    </w:p>
    <w:p w14:paraId="1B53F594">
      <w:pPr>
        <w:spacing w:line="360" w:lineRule="auto"/>
        <w:ind w:firstLine="480"/>
        <w:rPr>
          <w:rFonts w:ascii="宋体" w:hAnsi="宋体" w:cs="宋体"/>
          <w:sz w:val="24"/>
        </w:rPr>
      </w:pPr>
      <w:r>
        <w:rPr>
          <w:rFonts w:hint="eastAsia" w:ascii="宋体" w:hAnsi="宋体" w:cs="宋体"/>
          <w:sz w:val="24"/>
        </w:rPr>
        <w:t>3.成交后不按本采购文件规定向贵方缴纳采购代理费。</w:t>
      </w:r>
    </w:p>
    <w:p w14:paraId="26ADA36D">
      <w:pPr>
        <w:spacing w:line="360" w:lineRule="auto"/>
        <w:ind w:firstLine="480"/>
        <w:rPr>
          <w:rFonts w:ascii="宋体" w:hAnsi="宋体" w:cs="宋体"/>
          <w:sz w:val="24"/>
        </w:rPr>
      </w:pPr>
      <w:r>
        <w:rPr>
          <w:rFonts w:hint="eastAsia" w:ascii="宋体" w:hAnsi="宋体" w:cs="宋体"/>
          <w:sz w:val="24"/>
        </w:rPr>
        <w:t>二、我单位知晓上述行为的法律后果，承认本承诺书作为贵方</w:t>
      </w:r>
      <w:r>
        <w:rPr>
          <w:rFonts w:hint="eastAsia" w:ascii="宋体" w:hAnsi="宋体" w:cs="宋体"/>
          <w:sz w:val="24"/>
          <w:u w:val="single"/>
        </w:rPr>
        <w:t>（或采购人）</w:t>
      </w:r>
      <w:r>
        <w:rPr>
          <w:rFonts w:hint="eastAsia" w:ascii="宋体" w:hAnsi="宋体" w:cs="宋体"/>
          <w:sz w:val="24"/>
        </w:rPr>
        <w:t>要求我单位履行违约赔偿义务的依据作用。</w:t>
      </w:r>
    </w:p>
    <w:p w14:paraId="483B0236">
      <w:pPr>
        <w:spacing w:line="360" w:lineRule="auto"/>
        <w:rPr>
          <w:rFonts w:ascii="宋体" w:hAnsi="宋体" w:cs="宋体"/>
          <w:sz w:val="24"/>
        </w:rPr>
      </w:pPr>
    </w:p>
    <w:p w14:paraId="66219133">
      <w:pPr>
        <w:spacing w:line="360" w:lineRule="auto"/>
        <w:ind w:firstLine="480"/>
        <w:rPr>
          <w:rFonts w:ascii="宋体" w:hAnsi="宋体" w:cs="宋体"/>
          <w:sz w:val="24"/>
        </w:rPr>
      </w:pPr>
      <w:r>
        <w:rPr>
          <w:rFonts w:hint="eastAsia" w:ascii="宋体" w:hAnsi="宋体" w:cs="宋体"/>
          <w:sz w:val="24"/>
        </w:rPr>
        <w:t>响应人：（盖公章）</w:t>
      </w:r>
    </w:p>
    <w:p w14:paraId="3D0989E7">
      <w:pPr>
        <w:spacing w:line="360" w:lineRule="auto"/>
        <w:ind w:firstLine="480"/>
        <w:rPr>
          <w:rFonts w:ascii="宋体" w:hAnsi="宋体" w:cs="宋体"/>
          <w:sz w:val="24"/>
        </w:rPr>
      </w:pPr>
      <w:r>
        <w:rPr>
          <w:rFonts w:hint="eastAsia" w:ascii="宋体" w:hAnsi="宋体" w:cs="宋体"/>
          <w:sz w:val="24"/>
        </w:rPr>
        <w:t>地址：</w:t>
      </w:r>
    </w:p>
    <w:p w14:paraId="3D6AF1B8">
      <w:pPr>
        <w:spacing w:line="360" w:lineRule="auto"/>
        <w:ind w:firstLine="480"/>
        <w:rPr>
          <w:rFonts w:ascii="宋体" w:hAnsi="宋体" w:cs="宋体"/>
          <w:sz w:val="24"/>
        </w:rPr>
      </w:pPr>
      <w:r>
        <w:rPr>
          <w:rFonts w:hint="eastAsia" w:ascii="宋体" w:hAnsi="宋体" w:cs="宋体"/>
          <w:sz w:val="24"/>
        </w:rPr>
        <w:t>电话：</w:t>
      </w:r>
    </w:p>
    <w:p w14:paraId="408275B9">
      <w:pPr>
        <w:spacing w:line="360" w:lineRule="auto"/>
        <w:ind w:firstLine="480"/>
        <w:rPr>
          <w:rFonts w:ascii="宋体" w:hAnsi="宋体" w:cs="宋体"/>
          <w:sz w:val="24"/>
        </w:rPr>
      </w:pPr>
      <w:r>
        <w:rPr>
          <w:rFonts w:hint="eastAsia" w:ascii="宋体" w:hAnsi="宋体" w:cs="宋体"/>
          <w:sz w:val="24"/>
        </w:rPr>
        <w:t>传真：</w:t>
      </w:r>
    </w:p>
    <w:p w14:paraId="072CD88E">
      <w:pPr>
        <w:spacing w:line="360" w:lineRule="auto"/>
        <w:ind w:firstLine="480"/>
        <w:rPr>
          <w:rFonts w:ascii="宋体" w:hAnsi="宋体" w:cs="宋体"/>
          <w:sz w:val="24"/>
        </w:rPr>
      </w:pPr>
      <w:r>
        <w:rPr>
          <w:rFonts w:hint="eastAsia" w:ascii="宋体" w:hAnsi="宋体" w:cs="宋体"/>
          <w:sz w:val="24"/>
        </w:rPr>
        <w:t>电子邮件：</w:t>
      </w:r>
    </w:p>
    <w:p w14:paraId="6B2317B8">
      <w:pPr>
        <w:spacing w:line="360" w:lineRule="auto"/>
        <w:ind w:firstLine="480"/>
        <w:rPr>
          <w:rFonts w:ascii="宋体" w:hAnsi="宋体" w:cs="宋体"/>
          <w:sz w:val="24"/>
        </w:rPr>
      </w:pPr>
      <w:r>
        <w:rPr>
          <w:rFonts w:hint="eastAsia" w:ascii="宋体" w:hAnsi="宋体" w:cs="宋体"/>
          <w:sz w:val="24"/>
        </w:rPr>
        <w:t>邮编：</w:t>
      </w:r>
    </w:p>
    <w:p w14:paraId="61BD1E36">
      <w:pPr>
        <w:spacing w:line="360" w:lineRule="auto"/>
        <w:ind w:firstLine="480"/>
        <w:rPr>
          <w:rFonts w:ascii="宋体" w:hAnsi="宋体" w:cs="宋体"/>
          <w:sz w:val="24"/>
        </w:rPr>
      </w:pPr>
      <w:r>
        <w:rPr>
          <w:rFonts w:hint="eastAsia" w:ascii="宋体" w:hAnsi="宋体" w:cs="宋体"/>
          <w:sz w:val="24"/>
        </w:rPr>
        <w:t>法定代表人或委托代理人(签字或签章)：</w:t>
      </w:r>
    </w:p>
    <w:p w14:paraId="779AF8F4">
      <w:pPr>
        <w:spacing w:line="360" w:lineRule="auto"/>
        <w:ind w:firstLine="480"/>
        <w:rPr>
          <w:rFonts w:ascii="宋体" w:hAnsi="宋体" w:cs="宋体"/>
          <w:sz w:val="24"/>
        </w:rPr>
      </w:pPr>
      <w:r>
        <w:rPr>
          <w:rFonts w:hint="eastAsia" w:ascii="宋体" w:hAnsi="宋体" w:cs="宋体"/>
          <w:sz w:val="24"/>
        </w:rPr>
        <w:t>日期：</w:t>
      </w:r>
    </w:p>
    <w:p w14:paraId="2D5002F0">
      <w:pPr>
        <w:spacing w:line="360" w:lineRule="auto"/>
        <w:ind w:firstLine="480"/>
        <w:jc w:val="left"/>
        <w:rPr>
          <w:rFonts w:hint="eastAsia" w:ascii="宋体" w:hAnsi="宋体" w:cs="宋体"/>
          <w:sz w:val="24"/>
        </w:rPr>
      </w:pPr>
    </w:p>
    <w:p w14:paraId="6D5C887D">
      <w:pPr>
        <w:spacing w:line="360" w:lineRule="auto"/>
        <w:ind w:firstLine="480"/>
        <w:jc w:val="left"/>
        <w:rPr>
          <w:rFonts w:hint="eastAsia" w:ascii="宋体" w:hAnsi="宋体" w:cs="宋体"/>
          <w:sz w:val="24"/>
        </w:rPr>
      </w:pPr>
    </w:p>
    <w:p w14:paraId="66CECF0D">
      <w:pPr>
        <w:spacing w:line="360" w:lineRule="auto"/>
        <w:ind w:firstLine="480"/>
        <w:jc w:val="left"/>
        <w:rPr>
          <w:rFonts w:hint="eastAsia" w:ascii="宋体" w:hAnsi="宋体" w:cs="宋体"/>
          <w:sz w:val="24"/>
        </w:rPr>
      </w:pPr>
    </w:p>
    <w:p w14:paraId="31A16402">
      <w:pPr>
        <w:spacing w:line="360" w:lineRule="auto"/>
        <w:ind w:firstLine="480"/>
        <w:jc w:val="left"/>
        <w:rPr>
          <w:rFonts w:hint="eastAsia" w:ascii="宋体" w:hAnsi="宋体" w:cs="宋体"/>
          <w:sz w:val="24"/>
        </w:rPr>
      </w:pPr>
    </w:p>
    <w:p w14:paraId="0090FEBB">
      <w:pPr>
        <w:spacing w:line="360" w:lineRule="auto"/>
        <w:ind w:firstLine="480"/>
        <w:jc w:val="left"/>
        <w:rPr>
          <w:rFonts w:hint="eastAsia" w:ascii="宋体" w:hAnsi="宋体" w:cs="宋体"/>
          <w:sz w:val="24"/>
        </w:rPr>
      </w:pPr>
    </w:p>
    <w:p w14:paraId="3A325662">
      <w:pPr>
        <w:spacing w:line="360" w:lineRule="auto"/>
        <w:ind w:firstLine="480"/>
        <w:jc w:val="left"/>
        <w:rPr>
          <w:rFonts w:hint="eastAsia" w:ascii="宋体" w:hAnsi="宋体" w:cs="宋体"/>
          <w:sz w:val="24"/>
        </w:rPr>
      </w:pPr>
    </w:p>
    <w:p w14:paraId="21113082">
      <w:pPr>
        <w:spacing w:line="360" w:lineRule="auto"/>
        <w:ind w:firstLine="480"/>
        <w:jc w:val="left"/>
        <w:rPr>
          <w:rFonts w:hint="eastAsia" w:ascii="宋体" w:hAnsi="宋体" w:cs="宋体"/>
          <w:sz w:val="24"/>
        </w:rPr>
      </w:pPr>
    </w:p>
    <w:p w14:paraId="67797A08">
      <w:pPr>
        <w:spacing w:line="360" w:lineRule="auto"/>
        <w:ind w:firstLine="480"/>
        <w:jc w:val="left"/>
        <w:rPr>
          <w:rFonts w:hint="eastAsia" w:ascii="宋体" w:hAnsi="宋体" w:cs="宋体"/>
          <w:sz w:val="24"/>
        </w:rPr>
      </w:pPr>
    </w:p>
    <w:p w14:paraId="533AB05C">
      <w:pPr>
        <w:pStyle w:val="218"/>
        <w:rPr>
          <w:rFonts w:eastAsia="宋体"/>
          <w:b w:val="0"/>
          <w:color w:val="auto"/>
          <w:sz w:val="24"/>
          <w:szCs w:val="24"/>
          <w:highlight w:val="none"/>
        </w:rPr>
      </w:pPr>
      <w:r>
        <w:rPr>
          <w:rFonts w:hint="eastAsia" w:ascii="宋体" w:hAnsi="宋体" w:cs="宋体"/>
          <w:sz w:val="24"/>
          <w:lang w:val="en-US" w:eastAsia="zh-CN"/>
        </w:rPr>
        <w:t>12、</w:t>
      </w:r>
      <w:r>
        <w:rPr>
          <w:rFonts w:eastAsia="宋体"/>
          <w:color w:val="auto"/>
          <w:sz w:val="24"/>
          <w:szCs w:val="24"/>
          <w:highlight w:val="none"/>
        </w:rPr>
        <w:t>关于</w:t>
      </w:r>
      <w:r>
        <w:rPr>
          <w:rFonts w:hint="eastAsia" w:eastAsia="宋体"/>
          <w:color w:val="auto"/>
          <w:sz w:val="24"/>
          <w:szCs w:val="24"/>
          <w:highlight w:val="none"/>
        </w:rPr>
        <w:t>响应报价合理性</w:t>
      </w:r>
      <w:r>
        <w:rPr>
          <w:rFonts w:eastAsia="宋体"/>
          <w:color w:val="auto"/>
          <w:sz w:val="24"/>
          <w:szCs w:val="24"/>
          <w:highlight w:val="none"/>
        </w:rPr>
        <w:t>的</w:t>
      </w:r>
      <w:r>
        <w:rPr>
          <w:rFonts w:hint="eastAsia" w:eastAsia="宋体"/>
          <w:color w:val="auto"/>
          <w:sz w:val="24"/>
          <w:szCs w:val="24"/>
          <w:highlight w:val="none"/>
        </w:rPr>
        <w:t>澄清说明</w:t>
      </w:r>
    </w:p>
    <w:p w14:paraId="123DEAA1">
      <w:pPr>
        <w:ind w:firstLine="420"/>
        <w:jc w:val="center"/>
        <w:rPr>
          <w:rFonts w:ascii="宋体" w:hAnsi="宋体" w:eastAsia="宋体"/>
          <w:b/>
          <w:color w:val="auto"/>
          <w:sz w:val="24"/>
          <w:szCs w:val="24"/>
          <w:highlight w:val="none"/>
        </w:rPr>
      </w:pPr>
    </w:p>
    <w:p w14:paraId="63BBF02E">
      <w:pPr>
        <w:jc w:val="center"/>
        <w:rPr>
          <w:rFonts w:ascii="宋体" w:hAnsi="宋体" w:eastAsia="宋体"/>
          <w:b/>
          <w:color w:val="auto"/>
          <w:sz w:val="24"/>
          <w:szCs w:val="24"/>
          <w:highlight w:val="none"/>
        </w:rPr>
      </w:pPr>
      <w:r>
        <w:rPr>
          <w:rFonts w:ascii="宋体" w:hAnsi="宋体" w:eastAsia="宋体"/>
          <w:b/>
          <w:color w:val="auto"/>
          <w:sz w:val="24"/>
          <w:szCs w:val="24"/>
          <w:highlight w:val="none"/>
        </w:rPr>
        <w:t>关于</w:t>
      </w:r>
      <w:r>
        <w:rPr>
          <w:rFonts w:hint="eastAsia" w:ascii="宋体" w:hAnsi="宋体" w:eastAsia="宋体"/>
          <w:b/>
          <w:color w:val="auto"/>
          <w:sz w:val="24"/>
          <w:szCs w:val="24"/>
          <w:highlight w:val="none"/>
        </w:rPr>
        <w:t>响应报价合理性</w:t>
      </w:r>
      <w:r>
        <w:rPr>
          <w:rFonts w:ascii="宋体" w:hAnsi="宋体" w:eastAsia="宋体"/>
          <w:b/>
          <w:color w:val="auto"/>
          <w:sz w:val="24"/>
          <w:szCs w:val="24"/>
          <w:highlight w:val="none"/>
        </w:rPr>
        <w:t>的</w:t>
      </w:r>
      <w:r>
        <w:rPr>
          <w:rFonts w:hint="eastAsia" w:ascii="宋体" w:hAnsi="宋体" w:eastAsia="宋体"/>
          <w:b/>
          <w:color w:val="auto"/>
          <w:sz w:val="24"/>
          <w:szCs w:val="24"/>
          <w:highlight w:val="none"/>
        </w:rPr>
        <w:t>澄清说明</w:t>
      </w:r>
    </w:p>
    <w:p w14:paraId="7F0AAFAD">
      <w:pPr>
        <w:spacing w:line="360" w:lineRule="auto"/>
        <w:jc w:val="left"/>
        <w:rPr>
          <w:rFonts w:ascii="宋体" w:hAnsi="宋体" w:eastAsia="宋体"/>
          <w:color w:val="auto"/>
          <w:sz w:val="24"/>
          <w:szCs w:val="24"/>
          <w:highlight w:val="none"/>
          <w:u w:val="single"/>
        </w:rPr>
      </w:pPr>
    </w:p>
    <w:p w14:paraId="391F8976">
      <w:pPr>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u w:val="single"/>
        </w:rPr>
        <w:t>江苏正琦工程咨询有限公司</w:t>
      </w:r>
      <w:r>
        <w:rPr>
          <w:rFonts w:ascii="宋体" w:hAnsi="宋体" w:eastAsia="宋体"/>
          <w:color w:val="auto"/>
          <w:sz w:val="24"/>
          <w:szCs w:val="24"/>
          <w:highlight w:val="none"/>
        </w:rPr>
        <w:t>：</w:t>
      </w:r>
    </w:p>
    <w:p w14:paraId="77CDAEC0">
      <w:pPr>
        <w:spacing w:line="360" w:lineRule="auto"/>
        <w:ind w:firstLine="420"/>
        <w:jc w:val="left"/>
        <w:rPr>
          <w:rFonts w:ascii="宋体" w:hAnsi="宋体" w:eastAsia="宋体" w:cs="宋体"/>
          <w:color w:val="auto"/>
          <w:sz w:val="24"/>
          <w:szCs w:val="24"/>
          <w:highlight w:val="none"/>
        </w:rPr>
      </w:pPr>
      <w:r>
        <w:rPr>
          <w:rFonts w:ascii="宋体" w:hAnsi="宋体" w:eastAsia="宋体"/>
          <w:color w:val="auto"/>
          <w:sz w:val="24"/>
          <w:szCs w:val="24"/>
          <w:highlight w:val="none"/>
        </w:rPr>
        <w:t>本公司愿就由贵</w:t>
      </w:r>
      <w:r>
        <w:rPr>
          <w:rFonts w:hint="eastAsia" w:ascii="宋体" w:hAnsi="宋体" w:eastAsia="宋体"/>
          <w:color w:val="auto"/>
          <w:sz w:val="24"/>
          <w:szCs w:val="24"/>
          <w:highlight w:val="none"/>
        </w:rPr>
        <w:t>公司</w:t>
      </w:r>
      <w:r>
        <w:rPr>
          <w:rFonts w:ascii="宋体" w:hAnsi="宋体" w:eastAsia="宋体"/>
          <w:color w:val="auto"/>
          <w:sz w:val="24"/>
          <w:szCs w:val="24"/>
          <w:highlight w:val="none"/>
        </w:rPr>
        <w:t>组织实施的编号为</w:t>
      </w:r>
      <w:r>
        <w:rPr>
          <w:rFonts w:ascii="宋体" w:hAnsi="宋体" w:eastAsia="宋体"/>
          <w:color w:val="auto"/>
          <w:sz w:val="24"/>
          <w:szCs w:val="24"/>
          <w:highlight w:val="none"/>
          <w:u w:val="single"/>
        </w:rPr>
        <w:t xml:space="preserve">              </w:t>
      </w:r>
      <w:r>
        <w:rPr>
          <w:rFonts w:ascii="宋体" w:hAnsi="宋体" w:eastAsia="宋体"/>
          <w:color w:val="auto"/>
          <w:sz w:val="24"/>
          <w:szCs w:val="24"/>
          <w:highlight w:val="none"/>
        </w:rPr>
        <w:t>号（</w:t>
      </w:r>
      <w:r>
        <w:rPr>
          <w:rFonts w:hint="eastAsia" w:ascii="宋体" w:hAnsi="宋体" w:eastAsia="宋体"/>
          <w:color w:val="auto"/>
          <w:sz w:val="24"/>
          <w:szCs w:val="24"/>
          <w:highlight w:val="none"/>
        </w:rPr>
        <w:t>项目</w:t>
      </w:r>
      <w:r>
        <w:rPr>
          <w:rFonts w:ascii="宋体" w:hAnsi="宋体" w:eastAsia="宋体"/>
          <w:color w:val="auto"/>
          <w:sz w:val="24"/>
          <w:szCs w:val="24"/>
          <w:highlight w:val="none"/>
        </w:rPr>
        <w:t>编号）的</w:t>
      </w:r>
      <w:r>
        <w:rPr>
          <w:rFonts w:hint="eastAsia" w:ascii="宋体" w:hAnsi="宋体" w:eastAsia="宋体"/>
          <w:color w:val="auto"/>
          <w:sz w:val="24"/>
          <w:szCs w:val="24"/>
          <w:highlight w:val="none"/>
        </w:rPr>
        <w:t>采购</w:t>
      </w:r>
      <w:r>
        <w:rPr>
          <w:rFonts w:ascii="宋体" w:hAnsi="宋体" w:eastAsia="宋体"/>
          <w:color w:val="auto"/>
          <w:sz w:val="24"/>
          <w:szCs w:val="24"/>
          <w:highlight w:val="none"/>
        </w:rPr>
        <w:t>活动进行</w:t>
      </w:r>
      <w:r>
        <w:rPr>
          <w:rFonts w:hint="eastAsia" w:ascii="宋体" w:hAnsi="宋体" w:eastAsia="宋体"/>
          <w:color w:val="auto"/>
          <w:sz w:val="24"/>
          <w:szCs w:val="24"/>
          <w:highlight w:val="none"/>
        </w:rPr>
        <w:t>响应，对于本公司的响应报价合理性作出说明如下：</w:t>
      </w:r>
    </w:p>
    <w:tbl>
      <w:tblPr>
        <w:tblStyle w:val="41"/>
        <w:tblW w:w="99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18"/>
      </w:tblGrid>
      <w:tr w14:paraId="45E186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40" w:hRule="atLeast"/>
        </w:trPr>
        <w:tc>
          <w:tcPr>
            <w:tcW w:w="9918" w:type="dxa"/>
            <w:vAlign w:val="center"/>
          </w:tcPr>
          <w:p w14:paraId="714892BB">
            <w:pPr>
              <w:spacing w:line="600" w:lineRule="auto"/>
              <w:rPr>
                <w:rFonts w:ascii="宋体" w:hAnsi="宋体" w:eastAsia="宋体"/>
                <w:b/>
                <w:color w:val="auto"/>
                <w:sz w:val="24"/>
                <w:szCs w:val="24"/>
                <w:highlight w:val="none"/>
                <w:shd w:val="pct10" w:color="auto" w:fill="FFFFFF"/>
              </w:rPr>
            </w:pPr>
            <w:r>
              <w:rPr>
                <w:rFonts w:hint="eastAsia" w:ascii="宋体" w:hAnsi="宋体" w:eastAsia="宋体"/>
                <w:b/>
                <w:color w:val="auto"/>
                <w:sz w:val="24"/>
                <w:szCs w:val="24"/>
                <w:highlight w:val="none"/>
              </w:rPr>
              <w:t>供应商应当根据实际情况自拟答复并根据磋商小组关于澄清的要求提供相关证明材料作为附件。</w:t>
            </w:r>
          </w:p>
        </w:tc>
      </w:tr>
    </w:tbl>
    <w:p w14:paraId="2D6B4142">
      <w:pPr>
        <w:spacing w:line="360" w:lineRule="auto"/>
        <w:ind w:firstLine="422"/>
        <w:rPr>
          <w:rFonts w:ascii="宋体" w:hAnsi="宋体" w:eastAsia="宋体"/>
          <w:b/>
          <w:color w:val="auto"/>
          <w:sz w:val="24"/>
          <w:szCs w:val="24"/>
          <w:highlight w:val="none"/>
        </w:rPr>
      </w:pPr>
      <w:bookmarkStart w:id="42" w:name="OLE_LINK29"/>
      <w:bookmarkStart w:id="43" w:name="OLE_LINK23"/>
      <w:bookmarkStart w:id="44" w:name="OLE_LINK21"/>
      <w:bookmarkStart w:id="45" w:name="OLE_LINK26"/>
      <w:bookmarkStart w:id="46" w:name="OLE_LINK30"/>
      <w:bookmarkStart w:id="47" w:name="OLE_LINK24"/>
      <w:r>
        <w:rPr>
          <w:rFonts w:hint="eastAsia" w:ascii="宋体" w:hAnsi="宋体" w:eastAsia="宋体"/>
          <w:b/>
          <w:color w:val="auto"/>
          <w:sz w:val="24"/>
          <w:szCs w:val="24"/>
          <w:highlight w:val="none"/>
          <w:lang w:val="zh-CN"/>
        </w:rPr>
        <w:t>备注:</w:t>
      </w:r>
      <w:bookmarkEnd w:id="42"/>
      <w:bookmarkEnd w:id="43"/>
      <w:bookmarkEnd w:id="44"/>
      <w:bookmarkEnd w:id="45"/>
      <w:bookmarkEnd w:id="46"/>
      <w:bookmarkEnd w:id="47"/>
      <w:r>
        <w:rPr>
          <w:rFonts w:hint="eastAsia"/>
          <w:color w:val="auto"/>
          <w:highlight w:val="none"/>
        </w:rPr>
        <w:t xml:space="preserve"> </w:t>
      </w:r>
      <w:r>
        <w:rPr>
          <w:rFonts w:hint="eastAsia" w:ascii="宋体" w:hAnsi="宋体" w:eastAsia="宋体"/>
          <w:b/>
          <w:color w:val="auto"/>
          <w:sz w:val="24"/>
          <w:szCs w:val="24"/>
          <w:highlight w:val="none"/>
          <w:lang w:val="zh-CN"/>
        </w:rPr>
        <w:t>根据采购文件第</w:t>
      </w:r>
      <w:r>
        <w:rPr>
          <w:rFonts w:hint="eastAsia" w:ascii="宋体" w:hAnsi="宋体"/>
          <w:b/>
          <w:color w:val="auto"/>
          <w:sz w:val="24"/>
          <w:szCs w:val="24"/>
          <w:highlight w:val="none"/>
          <w:lang w:val="en-US" w:eastAsia="zh-CN"/>
        </w:rPr>
        <w:t>二</w:t>
      </w:r>
      <w:r>
        <w:rPr>
          <w:rFonts w:hint="eastAsia" w:ascii="宋体" w:hAnsi="宋体" w:eastAsia="宋体"/>
          <w:b/>
          <w:color w:val="auto"/>
          <w:sz w:val="24"/>
          <w:szCs w:val="24"/>
          <w:highlight w:val="none"/>
          <w:lang w:val="zh-CN"/>
        </w:rPr>
        <w:t>章要求，当政府采购评审中出现供应商“响应报价低于全部通过符合性审查供应商响应报价平均值50%的”或者“响应报价低于通过符合性审查的次低报价供应商响应报价50%的”或者“响应报价低于采购项目最高限价45%的”或者“磋商小组基于专业判断，认为供应商报价过低，有可能影响产品质量或者不能诚信履约的其他情形”时,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p>
    <w:p w14:paraId="49BB5E51">
      <w:pPr>
        <w:spacing w:line="360" w:lineRule="auto"/>
        <w:ind w:firstLine="4830"/>
        <w:jc w:val="left"/>
        <w:rPr>
          <w:rFonts w:ascii="宋体" w:hAnsi="宋体" w:eastAsia="宋体"/>
          <w:color w:val="auto"/>
          <w:sz w:val="24"/>
          <w:szCs w:val="24"/>
          <w:highlight w:val="none"/>
        </w:rPr>
      </w:pPr>
    </w:p>
    <w:p w14:paraId="31A055F1">
      <w:pPr>
        <w:spacing w:line="360" w:lineRule="auto"/>
        <w:ind w:firstLine="4830"/>
        <w:jc w:val="left"/>
        <w:rPr>
          <w:rFonts w:ascii="宋体" w:hAnsi="宋体" w:eastAsia="宋体"/>
          <w:color w:val="auto"/>
          <w:sz w:val="24"/>
          <w:szCs w:val="24"/>
          <w:highlight w:val="none"/>
        </w:rPr>
      </w:pPr>
    </w:p>
    <w:p w14:paraId="20F752E1">
      <w:pPr>
        <w:pStyle w:val="203"/>
        <w:spacing w:line="360" w:lineRule="auto"/>
        <w:rPr>
          <w:rFonts w:hAnsi="宋体" w:eastAsia="宋体"/>
          <w:color w:val="auto"/>
          <w:sz w:val="24"/>
          <w:szCs w:val="24"/>
          <w:highlight w:val="none"/>
        </w:rPr>
      </w:pPr>
      <w:r>
        <w:rPr>
          <w:rFonts w:hint="eastAsia" w:hAnsi="宋体" w:eastAsia="宋体"/>
          <w:color w:val="auto"/>
          <w:sz w:val="24"/>
          <w:szCs w:val="24"/>
          <w:highlight w:val="none"/>
        </w:rPr>
        <w:t>供应商</w:t>
      </w:r>
      <w:r>
        <w:rPr>
          <w:rFonts w:hAnsi="宋体" w:eastAsia="宋体"/>
          <w:color w:val="auto"/>
          <w:sz w:val="24"/>
          <w:szCs w:val="24"/>
          <w:highlight w:val="none"/>
        </w:rPr>
        <w:t>：（盖章）</w:t>
      </w:r>
    </w:p>
    <w:p w14:paraId="11F3D03C">
      <w:pPr>
        <w:pStyle w:val="203"/>
        <w:spacing w:line="360" w:lineRule="auto"/>
        <w:rPr>
          <w:rFonts w:hAnsi="宋体" w:eastAsia="宋体"/>
          <w:color w:val="auto"/>
          <w:sz w:val="24"/>
          <w:szCs w:val="24"/>
          <w:highlight w:val="none"/>
        </w:rPr>
      </w:pPr>
      <w:r>
        <w:rPr>
          <w:rFonts w:hAnsi="宋体" w:eastAsia="宋体"/>
          <w:color w:val="auto"/>
          <w:sz w:val="24"/>
          <w:szCs w:val="24"/>
          <w:highlight w:val="none"/>
        </w:rPr>
        <w:t>法定代表人或代理人：（签字或盖章）</w:t>
      </w:r>
    </w:p>
    <w:p w14:paraId="6D9C7C44">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日期：      年    月    日</w:t>
      </w:r>
    </w:p>
    <w:p w14:paraId="0EA9FD8F">
      <w:pPr>
        <w:spacing w:line="360" w:lineRule="auto"/>
        <w:jc w:val="left"/>
        <w:rPr>
          <w:rFonts w:ascii="宋体" w:hAnsi="宋体" w:cs="宋体"/>
          <w:sz w:val="24"/>
        </w:rPr>
      </w:pPr>
      <w:r>
        <w:rPr>
          <w:rFonts w:hint="eastAsia" w:ascii="宋体" w:hAnsi="宋体" w:cs="宋体"/>
          <w:sz w:val="24"/>
        </w:rPr>
        <w:br w:type="page" w:clear="all"/>
      </w:r>
    </w:p>
    <w:p w14:paraId="1D4589C0">
      <w:pPr>
        <w:spacing w:line="360" w:lineRule="auto"/>
        <w:ind w:firstLine="883"/>
        <w:jc w:val="center"/>
        <w:outlineLvl w:val="0"/>
        <w:rPr>
          <w:rStyle w:val="200"/>
          <w:rFonts w:ascii="宋体" w:hAnsi="宋体" w:eastAsia="宋体" w:cs="宋体"/>
        </w:rPr>
      </w:pPr>
      <w:bookmarkStart w:id="48" w:name="_Toc12480"/>
      <w:bookmarkStart w:id="49" w:name="_Toc8095"/>
      <w:r>
        <w:rPr>
          <w:rStyle w:val="200"/>
          <w:rFonts w:hint="eastAsia" w:ascii="宋体" w:hAnsi="宋体" w:eastAsia="宋体" w:cs="宋体"/>
        </w:rPr>
        <w:t>第四章 采购需求</w:t>
      </w:r>
      <w:bookmarkEnd w:id="48"/>
      <w:bookmarkEnd w:id="49"/>
    </w:p>
    <w:p w14:paraId="272907D1">
      <w:pPr>
        <w:spacing w:line="360" w:lineRule="auto"/>
        <w:ind w:firstLine="480"/>
        <w:rPr>
          <w:rFonts w:ascii="宋体" w:hAnsi="宋体" w:cs="宋体"/>
          <w:sz w:val="24"/>
        </w:rPr>
      </w:pPr>
      <w:r>
        <w:rPr>
          <w:rFonts w:hint="eastAsia" w:ascii="宋体" w:hAnsi="宋体" w:cs="宋体"/>
          <w:sz w:val="24"/>
          <w:lang w:eastAsia="zh-CN"/>
        </w:rPr>
        <w:t>江苏正琦工程咨询有限公司</w:t>
      </w:r>
      <w:r>
        <w:rPr>
          <w:rFonts w:hint="eastAsia" w:ascii="宋体" w:hAnsi="宋体" w:cs="宋体"/>
          <w:sz w:val="24"/>
        </w:rPr>
        <w:t>受</w:t>
      </w:r>
      <w:r>
        <w:rPr>
          <w:rFonts w:hint="eastAsia" w:ascii="宋体" w:hAnsi="宋体" w:cs="宋体"/>
          <w:sz w:val="24"/>
          <w:lang w:eastAsia="zh-CN"/>
        </w:rPr>
        <w:t>苏州市相城区望亭镇人民政府</w:t>
      </w:r>
      <w:r>
        <w:rPr>
          <w:rFonts w:hint="eastAsia" w:ascii="宋体" w:hAnsi="宋体" w:cs="宋体"/>
          <w:sz w:val="24"/>
        </w:rPr>
        <w:t>的委托，就其所需</w:t>
      </w:r>
      <w:r>
        <w:rPr>
          <w:rFonts w:hint="eastAsia" w:ascii="宋体" w:hAnsi="宋体" w:cs="宋体"/>
          <w:sz w:val="24"/>
          <w:lang w:eastAsia="zh-CN"/>
        </w:rPr>
        <w:t>望亭镇2026年农村生活污水提升泵站养护服务</w:t>
      </w:r>
      <w:r>
        <w:rPr>
          <w:rFonts w:hint="eastAsia" w:ascii="宋体" w:hAnsi="宋体" w:cs="宋体"/>
          <w:sz w:val="24"/>
        </w:rPr>
        <w:t>采用竞争性磋商方式进行采购，欢迎符合本次采购要求的供应商前来参加本次磋商采购活动。</w:t>
      </w:r>
    </w:p>
    <w:p w14:paraId="13E547E3">
      <w:pPr>
        <w:spacing w:line="360" w:lineRule="auto"/>
        <w:ind w:firstLine="480"/>
        <w:rPr>
          <w:rFonts w:hint="eastAsia" w:ascii="宋体" w:hAnsi="宋体" w:eastAsia="宋体" w:cs="宋体"/>
          <w:sz w:val="24"/>
          <w:highlight w:val="none"/>
          <w:lang w:eastAsia="zh-CN"/>
        </w:rPr>
      </w:pPr>
      <w:r>
        <w:rPr>
          <w:rFonts w:hint="eastAsia" w:ascii="宋体" w:hAnsi="宋体" w:cs="宋体"/>
          <w:sz w:val="24"/>
          <w:highlight w:val="none"/>
        </w:rPr>
        <w:t>一、采购编号：</w:t>
      </w:r>
      <w:r>
        <w:rPr>
          <w:rFonts w:hint="eastAsia" w:ascii="宋体" w:hAnsi="宋体" w:cs="宋体"/>
          <w:sz w:val="24"/>
          <w:highlight w:val="none"/>
          <w:lang w:eastAsia="zh-CN"/>
        </w:rPr>
        <w:t>JSZC-320507-JSZQ-C2026-0007</w:t>
      </w:r>
    </w:p>
    <w:p w14:paraId="787FFA37">
      <w:pPr>
        <w:spacing w:line="360" w:lineRule="auto"/>
        <w:ind w:firstLine="480"/>
        <w:rPr>
          <w:rFonts w:hint="eastAsia" w:ascii="宋体" w:hAnsi="宋体" w:eastAsia="宋体" w:cs="宋体"/>
          <w:sz w:val="24"/>
          <w:highlight w:val="none"/>
          <w:lang w:eastAsia="zh-CN"/>
        </w:rPr>
      </w:pPr>
      <w:r>
        <w:rPr>
          <w:rFonts w:hint="eastAsia" w:ascii="宋体" w:hAnsi="宋体" w:cs="宋体"/>
          <w:sz w:val="24"/>
          <w:highlight w:val="none"/>
        </w:rPr>
        <w:t>二、项目名称：</w:t>
      </w:r>
      <w:r>
        <w:rPr>
          <w:rFonts w:hint="eastAsia" w:ascii="宋体" w:hAnsi="宋体" w:cs="宋体"/>
          <w:sz w:val="24"/>
          <w:highlight w:val="none"/>
          <w:lang w:eastAsia="zh-CN"/>
        </w:rPr>
        <w:t>望亭镇2026年农村生活污水提升泵站养护服务</w:t>
      </w:r>
    </w:p>
    <w:p w14:paraId="66A8BAAB">
      <w:pPr>
        <w:spacing w:line="348" w:lineRule="auto"/>
        <w:ind w:firstLine="480"/>
        <w:rPr>
          <w:rFonts w:hint="eastAsia" w:ascii="宋体" w:hAnsi="宋体" w:eastAsia="宋体" w:cs="宋体"/>
          <w:sz w:val="24"/>
          <w:highlight w:val="none"/>
          <w:lang w:eastAsia="zh-CN"/>
        </w:rPr>
      </w:pPr>
      <w:bookmarkStart w:id="50" w:name="_Toc492451940"/>
      <w:r>
        <w:rPr>
          <w:rFonts w:hint="eastAsia" w:ascii="宋体" w:hAnsi="宋体" w:cs="宋体"/>
          <w:sz w:val="24"/>
          <w:highlight w:val="none"/>
        </w:rPr>
        <w:t>三、采购预算：</w:t>
      </w:r>
      <w:r>
        <w:rPr>
          <w:rFonts w:hint="eastAsia" w:ascii="宋体" w:hAnsi="宋体" w:cs="宋体"/>
          <w:sz w:val="24"/>
          <w:highlight w:val="none"/>
          <w:lang w:eastAsia="zh-CN"/>
        </w:rPr>
        <w:t>人民币壹佰捌拾捌万陆仟叁佰玖拾捌元整（￥1886398.00）</w:t>
      </w:r>
    </w:p>
    <w:p w14:paraId="3A46FE2B">
      <w:pPr>
        <w:spacing w:line="348" w:lineRule="auto"/>
        <w:ind w:firstLine="480"/>
        <w:rPr>
          <w:rFonts w:hint="eastAsia" w:ascii="宋体" w:hAnsi="宋体" w:cs="宋体"/>
          <w:sz w:val="24"/>
          <w:highlight w:val="none"/>
        </w:rPr>
      </w:pPr>
      <w:r>
        <w:rPr>
          <w:rFonts w:hint="eastAsia" w:ascii="宋体" w:hAnsi="宋体" w:cs="宋体"/>
          <w:sz w:val="24"/>
          <w:highlight w:val="none"/>
          <w:lang w:val="en-US" w:eastAsia="zh-CN"/>
        </w:rPr>
        <w:t>四、</w:t>
      </w:r>
      <w:r>
        <w:rPr>
          <w:rFonts w:hint="eastAsia" w:ascii="宋体" w:hAnsi="宋体" w:cs="宋体"/>
          <w:sz w:val="24"/>
          <w:highlight w:val="none"/>
        </w:rPr>
        <w:t>最高限价：</w:t>
      </w:r>
      <w:r>
        <w:rPr>
          <w:rFonts w:hint="eastAsia" w:ascii="宋体" w:hAnsi="宋体" w:cs="宋体"/>
          <w:color w:val="auto"/>
          <w:sz w:val="24"/>
          <w:highlight w:val="none"/>
          <w:lang w:eastAsia="zh-CN"/>
        </w:rPr>
        <w:t>人民币壹佰捌拾捌万陆仟叁佰玖拾捌元整（￥1886398.00）</w:t>
      </w:r>
    </w:p>
    <w:p w14:paraId="1F87DAF8">
      <w:pPr>
        <w:spacing w:line="360" w:lineRule="auto"/>
        <w:ind w:firstLine="480"/>
        <w:contextualSpacing/>
        <w:rPr>
          <w:rFonts w:ascii="宋体" w:hAnsi="宋体" w:cs="宋体"/>
          <w:sz w:val="24"/>
          <w:highlight w:val="none"/>
        </w:rPr>
      </w:pPr>
      <w:r>
        <w:rPr>
          <w:rFonts w:hint="eastAsia" w:ascii="宋体" w:hAnsi="宋体" w:cs="宋体"/>
          <w:sz w:val="24"/>
          <w:highlight w:val="none"/>
          <w:lang w:val="en-US" w:eastAsia="zh-CN"/>
        </w:rPr>
        <w:t>五</w:t>
      </w:r>
      <w:r>
        <w:rPr>
          <w:rFonts w:hint="eastAsia" w:ascii="宋体" w:hAnsi="宋体" w:cs="宋体"/>
          <w:sz w:val="24"/>
          <w:highlight w:val="none"/>
        </w:rPr>
        <w:t>、采购内容：</w:t>
      </w:r>
      <w:bookmarkStart w:id="51" w:name="_Toc441220318"/>
      <w:bookmarkEnd w:id="51"/>
      <w:bookmarkStart w:id="52" w:name="_Toc441221164"/>
      <w:bookmarkEnd w:id="52"/>
      <w:bookmarkStart w:id="53" w:name="_Toc390868108"/>
      <w:bookmarkEnd w:id="53"/>
      <w:bookmarkStart w:id="54" w:name="_Toc390875524"/>
      <w:bookmarkEnd w:id="54"/>
    </w:p>
    <w:p w14:paraId="61837FB8">
      <w:pPr>
        <w:keepNext w:val="0"/>
        <w:keepLines w:val="0"/>
        <w:pageBreakBefore w:val="0"/>
        <w:widowControl w:val="0"/>
        <w:spacing w:line="360" w:lineRule="auto"/>
        <w:ind w:firstLine="480"/>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（一）维保清单</w:t>
      </w:r>
    </w:p>
    <w:tbl>
      <w:tblPr>
        <w:tblStyle w:val="41"/>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0"/>
        <w:gridCol w:w="983"/>
        <w:gridCol w:w="1300"/>
        <w:gridCol w:w="4000"/>
        <w:gridCol w:w="717"/>
        <w:gridCol w:w="750"/>
        <w:gridCol w:w="1126"/>
      </w:tblGrid>
      <w:tr w14:paraId="4CB5D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F859A6">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序号</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F55F88">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项目名称</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8FA5DF">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类别</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F06CFB">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工作内容</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29D083">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单位</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D8E129">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数量</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BCA673">
            <w:pPr>
              <w:keepNext w:val="0"/>
              <w:keepLines w:val="0"/>
              <w:widowControl/>
              <w:suppressLineNumbers w:val="0"/>
              <w:jc w:val="center"/>
              <w:rPr>
                <w:rFonts w:hint="default" w:ascii="宋体" w:hAnsi="宋体" w:eastAsia="宋体" w:cs="宋体"/>
                <w:i w:val="0"/>
                <w:iCs w:val="0"/>
                <w:color w:val="000000"/>
                <w:sz w:val="24"/>
                <w:szCs w:val="24"/>
                <w:u w:val="none"/>
                <w:lang w:val="en-US" w:eastAsia="zh-CN" w:bidi="ar"/>
              </w:rPr>
            </w:pPr>
            <w:r>
              <w:rPr>
                <w:rFonts w:hint="eastAsia" w:ascii="宋体" w:hAnsi="宋体" w:cs="宋体"/>
                <w:i w:val="0"/>
                <w:iCs w:val="0"/>
                <w:color w:val="000000"/>
                <w:sz w:val="24"/>
                <w:szCs w:val="24"/>
                <w:u w:val="none"/>
                <w:lang w:val="en-US" w:eastAsia="zh-CN" w:bidi="ar"/>
              </w:rPr>
              <w:t>单价最高限价（元）</w:t>
            </w:r>
          </w:p>
        </w:tc>
      </w:tr>
      <w:tr w14:paraId="618C29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63"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D2D620">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E517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潜水泵</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788C9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WQ200-37KW无堵塞污水泵</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078A2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1、下井拆除旧水泵、旧泵吊出泵井、运至招标人指定位置；                 2、安装新水泵及相关配件（更换固定螺栓、减震垫、更换加长电缆）；                      </w:t>
            </w:r>
          </w:p>
          <w:p w14:paraId="351A2F7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3、井内污水抽干、通风检测后方可更换                      </w:t>
            </w:r>
          </w:p>
          <w:p w14:paraId="5F134086">
            <w:pPr>
              <w:keepNext w:val="0"/>
              <w:keepLines w:val="0"/>
              <w:widowControl/>
              <w:suppressLineNumbers w:val="0"/>
              <w:jc w:val="left"/>
              <w:textAlignment w:val="center"/>
              <w:rPr>
                <w:rFonts w:hint="eastAsia" w:ascii="宋体" w:hAnsi="宋体" w:eastAsia="宋体" w:cs="宋体"/>
                <w:bCs w:val="0"/>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4、安装、接线完成后水泵调试</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20A8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ADEA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8ACF4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16700</w:t>
            </w:r>
          </w:p>
        </w:tc>
      </w:tr>
      <w:tr w14:paraId="195D5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10"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203335">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858A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潜水泵</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DF72D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WQ50-1.5KW不锈钢切割泵</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7AC6BD">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 xml:space="preserve">下井拆除旧水泵、旧泵吊出泵井、运至招标人指定位置；                 2、安装新水泵及相关配件（更换固定螺栓、减震垫、更换加长电缆）；                      </w:t>
            </w:r>
          </w:p>
          <w:p w14:paraId="2FFC002E">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3、井内污水抽干、通风检测后方可更换                      </w:t>
            </w:r>
          </w:p>
          <w:p w14:paraId="1900670F">
            <w:pPr>
              <w:keepNext w:val="0"/>
              <w:keepLines w:val="0"/>
              <w:widowControl/>
              <w:numPr>
                <w:ilvl w:val="0"/>
                <w:numId w:val="0"/>
              </w:numPr>
              <w:suppressLineNumbers w:val="0"/>
              <w:jc w:val="left"/>
              <w:textAlignment w:val="center"/>
              <w:rPr>
                <w:rFonts w:hint="eastAsia" w:ascii="宋体" w:hAnsi="宋体" w:eastAsia="宋体" w:cs="宋体"/>
                <w:bCs w:val="0"/>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4、安装、接线完成后水泵调试</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A77D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00CC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34BE5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3667</w:t>
            </w:r>
          </w:p>
        </w:tc>
      </w:tr>
      <w:tr w14:paraId="14132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1"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470402">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C65C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潜水泵</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75BF8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WQ65-2.2KW不锈钢切割泵</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136C8C">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 xml:space="preserve">下井拆除旧水泵、旧泵吊出泵井、运至招标人指定位置；                 2、安装新水泵及相关配件（更换固定螺栓、减震垫、更换加长电缆）；                      </w:t>
            </w:r>
          </w:p>
          <w:p w14:paraId="15888E35">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3、井内污水抽干、通风检测后方可更换                     </w:t>
            </w:r>
          </w:p>
          <w:p w14:paraId="470F4AD5">
            <w:pPr>
              <w:keepNext w:val="0"/>
              <w:keepLines w:val="0"/>
              <w:widowControl/>
              <w:numPr>
                <w:ilvl w:val="0"/>
                <w:numId w:val="0"/>
              </w:numPr>
              <w:suppressLineNumbers w:val="0"/>
              <w:jc w:val="left"/>
              <w:textAlignment w:val="center"/>
              <w:rPr>
                <w:rFonts w:hint="eastAsia" w:ascii="宋体" w:hAnsi="宋体" w:eastAsia="宋体" w:cs="宋体"/>
                <w:bCs w:val="0"/>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4、安装、接线完成后水泵调试</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1055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702E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5C733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4333</w:t>
            </w:r>
          </w:p>
        </w:tc>
      </w:tr>
      <w:tr w14:paraId="03BDE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7"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CEFC40">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4</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C57E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潜水泵</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D216F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WQ65-3KW不锈钢切割泵</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8F1132">
            <w:pPr>
              <w:keepNext w:val="0"/>
              <w:keepLines w:val="0"/>
              <w:widowControl/>
              <w:numPr>
                <w:ilvl w:val="0"/>
                <w:numId w:val="6"/>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下井拆除旧水泵、旧泵吊出泵井、运至招标人指定位置；                 2、安装新水泵及相关配件（更换固定螺栓、减震垫、更换加长电缆）；                      </w:t>
            </w:r>
          </w:p>
          <w:p w14:paraId="55A954AF">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3、井内污水抽干、通风检测后方可更换                      </w:t>
            </w:r>
          </w:p>
          <w:p w14:paraId="47A3676A">
            <w:pPr>
              <w:keepNext w:val="0"/>
              <w:keepLines w:val="0"/>
              <w:widowControl/>
              <w:numPr>
                <w:ilvl w:val="0"/>
                <w:numId w:val="0"/>
              </w:numPr>
              <w:suppressLineNumbers w:val="0"/>
              <w:jc w:val="left"/>
              <w:textAlignment w:val="center"/>
              <w:rPr>
                <w:rFonts w:hint="eastAsia" w:ascii="宋体" w:hAnsi="宋体" w:eastAsia="宋体" w:cs="宋体"/>
                <w:bCs w:val="0"/>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4、安装、接线完成后水泵调试</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917E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EDEC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9D4ED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5250</w:t>
            </w:r>
          </w:p>
        </w:tc>
      </w:tr>
      <w:tr w14:paraId="4EB733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8EE05F">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5</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867B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潜水泵</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15784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WQ80-15KW不锈钢切割泵</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882767">
            <w:pPr>
              <w:keepNext w:val="0"/>
              <w:keepLines w:val="0"/>
              <w:widowControl/>
              <w:numPr>
                <w:ilvl w:val="0"/>
                <w:numId w:val="7"/>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下井拆除旧水泵、旧泵吊出泵井、运至招标人指定位置；                 2、安装新水泵及相关配件（更换固定螺栓、减震垫、更换加长电缆）；                      </w:t>
            </w:r>
          </w:p>
          <w:p w14:paraId="089D94CC">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3、井内污水抽干、通风检测后方可更换                      </w:t>
            </w:r>
          </w:p>
          <w:p w14:paraId="58146785">
            <w:pPr>
              <w:keepNext w:val="0"/>
              <w:keepLines w:val="0"/>
              <w:widowControl/>
              <w:numPr>
                <w:ilvl w:val="0"/>
                <w:numId w:val="0"/>
              </w:numPr>
              <w:suppressLineNumbers w:val="0"/>
              <w:jc w:val="left"/>
              <w:textAlignment w:val="center"/>
              <w:rPr>
                <w:rFonts w:hint="eastAsia" w:ascii="宋体" w:hAnsi="宋体" w:eastAsia="宋体" w:cs="宋体"/>
                <w:bCs w:val="0"/>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4、安装、接线完成后水泵调试</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EE0B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8822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BE207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10500</w:t>
            </w:r>
          </w:p>
        </w:tc>
      </w:tr>
      <w:tr w14:paraId="0DCF6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0FE1EB">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6</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456F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配管</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DB181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镀锌钢管SC50</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D95F8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1、沟槽开挖回填                   2、中粗砂包裹        </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85A8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E1E0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320</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F2B0E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49</w:t>
            </w:r>
          </w:p>
        </w:tc>
      </w:tr>
      <w:tr w14:paraId="4053A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D13D72">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7</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426F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塑料管</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8730B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DN65钢丝水管</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0ECE1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1、井下钢丝管拆除、安装</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FEE7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3BC2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220</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13A5F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57</w:t>
            </w:r>
          </w:p>
        </w:tc>
      </w:tr>
      <w:tr w14:paraId="47EC5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C0F5B4">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8</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3D71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法兰阀门</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8C0C5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DN100不锈钢止回阀</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F998C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1、下井清理淤积物；                2、拆除止回阀，运至招标人指定位置                        </w:t>
            </w:r>
          </w:p>
          <w:p w14:paraId="0033902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3、更换新止回阀；                     4、井内污水抽干、通风检测后方可更换 </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58F9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A4F4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16E65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1600</w:t>
            </w:r>
          </w:p>
        </w:tc>
      </w:tr>
      <w:tr w14:paraId="10E32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6B5F3C">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9</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227C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法兰阀门</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A40E8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DN不锈钢闸阀</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40343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1、下井清理淤积物；                2、拆除闸阀，运至招标人指定位置                          3、更换新闸阀；                    4、井内污水抽干、通风检测后方可更换 </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77E2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0A8C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015CA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1500</w:t>
            </w:r>
          </w:p>
        </w:tc>
      </w:tr>
      <w:tr w14:paraId="3FE4E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D8C3C2">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10</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09A0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法兰软接</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751E8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DN100不锈钢软接</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BECDE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1、下井清理淤积物；                2、拆除软接，运至招标人指定位置                          3、更换新软接；                   4、井内污水抽干、通风检测后方可更换 </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AD50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84F5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2DF5C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345</w:t>
            </w:r>
          </w:p>
        </w:tc>
      </w:tr>
      <w:tr w14:paraId="2D4D8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0CCC55">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11</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FB78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配电单元</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18549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热继电器/LRD22C10-18</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5471E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1、拆除旧元件运至招标人指定位置                          2、安装新元件                      3、系统测试</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84DD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4B2A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5FC2B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179</w:t>
            </w:r>
          </w:p>
        </w:tc>
      </w:tr>
      <w:tr w14:paraId="71EB2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153603">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12</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82C7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配电单元</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C4DC2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中间直流继电器/RXM2LB2BD</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990B8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1、拆除旧元件运至招标人指定位置                          2、安装新元件                     3、系统测试</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B708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F507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E9D5D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190</w:t>
            </w:r>
          </w:p>
        </w:tc>
      </w:tr>
      <w:tr w14:paraId="7112A7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578B5C">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13</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34C2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配电单元</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2C73B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旋钮开关/XB2BD43C</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E0051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1、拆除旧元件运至招标人指定位置                          2、安装新元件                     3、系统测试</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5F8A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40E7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D4099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81</w:t>
            </w:r>
          </w:p>
        </w:tc>
      </w:tr>
      <w:tr w14:paraId="24887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697259">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14</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474F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配电单元</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9ECDE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漏电开关/E9-3P+N-63A</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1A069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1、拆除旧元件运至招标人指定位置                          2、安装新元件                     3、系统测试</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6463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E5A2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A2BF4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323</w:t>
            </w:r>
          </w:p>
        </w:tc>
      </w:tr>
      <w:tr w14:paraId="08905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04ED87">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15</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3420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配电单元</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B21DE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空气开关/IC65N-3P-63A</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2F9BAF">
            <w:pPr>
              <w:keepNext w:val="0"/>
              <w:keepLines w:val="0"/>
              <w:widowControl/>
              <w:suppressLineNumbers w:val="0"/>
              <w:jc w:val="left"/>
              <w:textAlignment w:val="center"/>
              <w:rPr>
                <w:rFonts w:hint="eastAsia" w:ascii="宋体" w:hAnsi="宋体" w:eastAsia="宋体" w:cs="宋体"/>
                <w:bCs w:val="0"/>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1、拆除旧元件运至招标人指定位置                          2、安装新元件                     3、系统测试</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3DC3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8D89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AFFAB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275</w:t>
            </w:r>
          </w:p>
        </w:tc>
      </w:tr>
      <w:tr w14:paraId="12A43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4546FE">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16</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7C1D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配电单元</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46D7E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接触器/LC1N1810CC5N</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7E98D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1、拆除旧元件运至招标人指定位置                          2、安装新元件                     3、系统测试</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0401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7962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AE16D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269</w:t>
            </w:r>
          </w:p>
        </w:tc>
      </w:tr>
      <w:tr w14:paraId="59B24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3509A8">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17</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A7C8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配电单元</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8CF31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自动液位控制器/10米变送器/4-20MA</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86363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1、拆除旧元件运至招标人指定位置                          2、安装新元件                     3、系统测试</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B910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09C6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125</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15BA7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475</w:t>
            </w:r>
          </w:p>
        </w:tc>
      </w:tr>
      <w:tr w14:paraId="6C5E6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35FECC">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18</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0157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配电单元</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EB3F1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智能控制器/西门子PLC-216-2BD23-0XB8/B0</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AC0E7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1、拆除旧元件运至招标人指定位置                          2、安装新元件                     3、系统测试</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5022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67EA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3F27C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1450</w:t>
            </w:r>
          </w:p>
        </w:tc>
      </w:tr>
      <w:tr w14:paraId="49349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6169DA">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19</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4D9C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配电单元</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77414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智能液晶显示屏/西门子6AV6647-0AD11-3AX0-10寸</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2AAF4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1、拆除旧元件运至招标人指定位置                          2、安装新元件                     3、系统测试</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5630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2F7F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18B4C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3650</w:t>
            </w:r>
          </w:p>
        </w:tc>
      </w:tr>
      <w:tr w14:paraId="3163B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F19E57">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20</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0541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配电单元</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3964C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6L2-450V电压表</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6B034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1、拆除旧元件运至招标人指定位置                          2、安装新元件                     3、系统测试</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CAB4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679C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914A8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70</w:t>
            </w:r>
          </w:p>
        </w:tc>
      </w:tr>
      <w:tr w14:paraId="773B8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17F54E">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21</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D367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配电单元</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7E7D0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6L2-100/5电流表</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A2687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1、拆除旧元件运至招标人指定位置                          2、安装新元件                     3、系统测试</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7BA0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20F2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4F938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65</w:t>
            </w:r>
          </w:p>
        </w:tc>
      </w:tr>
      <w:tr w14:paraId="4CD67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BD72E3">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22</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0F7B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配电单元</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7FA03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LED指示灯/LD11-22</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A9E72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1、拆除旧元件运至招标人指定位置                          2、安装新元件                     3、系统测试</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4E66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1CBC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2133C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77</w:t>
            </w:r>
          </w:p>
        </w:tc>
      </w:tr>
      <w:tr w14:paraId="24370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EC85C9">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23</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9754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配电单元</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C6829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LADLAD-22C接触器辅助头</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F5C06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1、拆除旧元件运至招标人指定位置                          2、安装新元件                     3、系统测试</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C37A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8101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E35C1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116</w:t>
            </w:r>
          </w:p>
        </w:tc>
      </w:tr>
      <w:tr w14:paraId="6C189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712E09">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24</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73E2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配电单元</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13458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架线钢丝绳</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B267B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1、电线杆上架设钢丝绳；             2、净空＞6m。</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5ADC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79FD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800</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3D606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25</w:t>
            </w:r>
          </w:p>
        </w:tc>
      </w:tr>
      <w:tr w14:paraId="120A9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239598">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25</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6BBA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路面</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1C4BF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混凝土路面开挖，开挖厚度15cm</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47B54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1、切缝后开槽；                    2、路面破碎</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2755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7C22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800</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86E01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22</w:t>
            </w:r>
          </w:p>
        </w:tc>
      </w:tr>
      <w:tr w14:paraId="1B84B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B3EED0">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26</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BB86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路面</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E15AF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混凝土路面修复</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65EF0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1、路面恢复</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E8E5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B63D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800</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BFC1D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105</w:t>
            </w:r>
          </w:p>
        </w:tc>
      </w:tr>
      <w:tr w14:paraId="4EAB1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6"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EE61DC">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27</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98CD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污水井</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5ED2B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预制混凝土盖板</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715E31">
            <w:pPr>
              <w:keepNext w:val="0"/>
              <w:keepLines w:val="0"/>
              <w:widowControl/>
              <w:suppressLineNumbers w:val="0"/>
              <w:jc w:val="left"/>
              <w:textAlignment w:val="center"/>
              <w:rPr>
                <w:color w:val="000000" w:themeColor="text1"/>
                <w:sz w:val="24"/>
                <w:szCs w:val="24"/>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1、更换损坏钢纤维盖板B125</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E6C5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7F0F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3730D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250</w:t>
            </w:r>
          </w:p>
        </w:tc>
      </w:tr>
      <w:tr w14:paraId="05126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BE4813">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28</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8593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污水井</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4D042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蛙人潜水气囊封堵污水管道</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85294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1、气囊临时封堵                    2、DN300</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5C00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处</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19CE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EEA89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1550</w:t>
            </w:r>
          </w:p>
        </w:tc>
      </w:tr>
      <w:tr w14:paraId="3D484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4852F3">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29</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CAB9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污水井</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BDAEB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污水池漏点修复</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68F58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1、渗漏处粉刷聚合物水泥砂浆</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4F89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处</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35F0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8449A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110</w:t>
            </w:r>
          </w:p>
        </w:tc>
      </w:tr>
      <w:tr w14:paraId="18A85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9BC797">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30</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7EC8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污水井</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39A19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砌筑井1*1m，深2米</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14E1B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1、砌筑污水检查井</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E92E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座</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A2E8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23E96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1298</w:t>
            </w:r>
          </w:p>
        </w:tc>
      </w:tr>
      <w:tr w14:paraId="4150B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61D5F9">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31</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4478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盖板</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B0F36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玻璃钢盖板</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6765A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1、更换玻璃钢盖板；                2、尺寸1.2*1.2m。</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6809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3F01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76A8B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1890</w:t>
            </w:r>
          </w:p>
        </w:tc>
      </w:tr>
      <w:tr w14:paraId="6A4ED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B38680">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32</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8701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电缆</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AF7C2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电缆YJV22-0.3/1KV-5*16</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45E92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1、管内穿电缆</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AAA4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03C5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220</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AFCFD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93</w:t>
            </w:r>
          </w:p>
        </w:tc>
      </w:tr>
      <w:tr w14:paraId="23A61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AC0BE8">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33</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97ED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电缆</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9BCA3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电缆YJV22-5*6</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C5C26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1、管内穿电缆</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5623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466E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450</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79119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47</w:t>
            </w:r>
          </w:p>
        </w:tc>
      </w:tr>
      <w:tr w14:paraId="6628A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52B9D8">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34</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66AC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配管</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4EF5D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地埋管PE50</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AECED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1、沟槽开挖回填；                  2、埋管</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3C44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417A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450</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67F90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w:t>
            </w:r>
          </w:p>
        </w:tc>
      </w:tr>
      <w:tr w14:paraId="4F0A5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279E5F">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35</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467D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配管</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46F47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砂包裹</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1EAE6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1、一般埋设穿线管                   2、中粗砂包裹</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EF32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m3</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411A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D989D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210</w:t>
            </w:r>
          </w:p>
        </w:tc>
      </w:tr>
      <w:tr w14:paraId="426DC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18ECFF">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36</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3EC6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配管</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CE780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砼包裹</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8A495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1、机耕路及村道及埋深不足0.7m处埋设穿线管                            2、砼包裹</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7EE8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m3</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373B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C129E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564</w:t>
            </w:r>
          </w:p>
        </w:tc>
      </w:tr>
      <w:tr w14:paraId="778B1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3"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7C6FCF">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37</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4716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配电箱</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5E889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排水泵控制箱APps1</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B98E22">
            <w:pPr>
              <w:keepNext w:val="0"/>
              <w:keepLines w:val="0"/>
              <w:widowControl/>
              <w:suppressLineNumbers w:val="0"/>
              <w:jc w:val="left"/>
              <w:textAlignment w:val="center"/>
              <w:rPr>
                <w:rFonts w:hint="eastAsia" w:ascii="宋体" w:hAnsi="宋体" w:eastAsia="宋体" w:cs="宋体"/>
                <w:bCs w:val="0"/>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1、智能泵井控制箱GXL-2，不锈钢304外壳，外壳防护等级IP65；             2、落地安装、C20基础高300；        3、液位自动控制及智能控制；        4、接线端子、接地安装；            5、接电系统调试、自动控制系统调试。</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7B7D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只</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A4F0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A5C26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5200</w:t>
            </w:r>
          </w:p>
        </w:tc>
      </w:tr>
      <w:tr w14:paraId="7FECC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8"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1D8C71">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38</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5EEC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隔离网</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2843E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隔离网H=1.8</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D131A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1、镀塑钢丝网片维护</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96FD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60C8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220</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78283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90</w:t>
            </w:r>
          </w:p>
        </w:tc>
      </w:tr>
      <w:tr w14:paraId="33596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1" w:hRule="atLeast"/>
          <w:jc w:val="center"/>
        </w:trPr>
        <w:tc>
          <w:tcPr>
            <w:tcW w:w="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6BD333">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39</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DD5D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提升泵站巡查、养护</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BD5C0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提升泵站巡查、养护</w:t>
            </w:r>
          </w:p>
        </w:tc>
        <w:tc>
          <w:tcPr>
            <w:tcW w:w="4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6524F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1、井内淤积物定期清理，清理频次＞4次/月，淤积物人工清理后外运；                         2、泵井巡查、系统调试、电器元件检测、巡查养护频次＞4次/月，按招标人要求报送相关影响及记录文件；                      </w:t>
            </w:r>
          </w:p>
          <w:p w14:paraId="3B9B553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3、水泵清理、排水管道清疏，保证排水系统运行正常，养护频次＞4次/月；                    </w:t>
            </w:r>
          </w:p>
          <w:p w14:paraId="3E4C141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4、泵井及泵井周边保洁、清理杂草、整修                                5、配合紧急排涝和应急抢修，响应时间30分钟之内。                      6、巡查车：3辆，满足项目需求；维修技工7名，持证上岗。</w:t>
            </w: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5C57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座</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C0D0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146</w:t>
            </w:r>
          </w:p>
        </w:tc>
        <w:tc>
          <w:tcPr>
            <w:tcW w:w="11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395E9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3700</w:t>
            </w:r>
          </w:p>
        </w:tc>
      </w:tr>
    </w:tbl>
    <w:p w14:paraId="5DCE5BFA">
      <w:pPr>
        <w:keepNext w:val="0"/>
        <w:keepLines w:val="0"/>
        <w:pageBreakBefore w:val="0"/>
        <w:widowControl w:val="0"/>
        <w:spacing w:before="191" w:line="360" w:lineRule="auto"/>
        <w:ind w:firstLine="480"/>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（二）维保要求 </w:t>
      </w:r>
    </w:p>
    <w:p w14:paraId="0A9C696A">
      <w:pPr>
        <w:keepNext w:val="0"/>
        <w:keepLines w:val="0"/>
        <w:pageBreakBefore w:val="0"/>
        <w:widowControl w:val="0"/>
        <w:spacing w:line="360" w:lineRule="auto"/>
        <w:ind w:firstLine="480"/>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运行管理人员应根据操作规程对农水生活污水提升泵站进行日常检查和维护，对全镇所有农村生活污水</w:t>
      </w:r>
      <w:r>
        <w:rPr>
          <w:rFonts w:hint="eastAsia" w:ascii="宋体" w:hAnsi="宋体" w:eastAsia="宋体" w:cs="宋体"/>
          <w:color w:val="auto"/>
          <w:sz w:val="24"/>
          <w:szCs w:val="24"/>
          <w:highlight w:val="none"/>
          <w:lang w:val="en-US" w:eastAsia="zh-CN"/>
        </w:rPr>
        <w:t>提升泵站（暂估</w:t>
      </w:r>
      <w:r>
        <w:rPr>
          <w:rFonts w:hint="eastAsia" w:ascii="宋体" w:hAnsi="宋体" w:cs="宋体"/>
          <w:color w:val="auto"/>
          <w:sz w:val="24"/>
          <w:szCs w:val="24"/>
          <w:highlight w:val="none"/>
          <w:lang w:val="en-US" w:eastAsia="zh-CN"/>
        </w:rPr>
        <w:t>146</w:t>
      </w:r>
      <w:r>
        <w:rPr>
          <w:rFonts w:hint="eastAsia" w:ascii="宋体" w:hAnsi="宋体" w:eastAsia="宋体" w:cs="宋体"/>
          <w:color w:val="auto"/>
          <w:sz w:val="24"/>
          <w:szCs w:val="24"/>
          <w:highlight w:val="none"/>
          <w:lang w:val="en-US" w:eastAsia="zh-CN"/>
        </w:rPr>
        <w:t>座）</w:t>
      </w:r>
      <w:r>
        <w:rPr>
          <w:rFonts w:hint="eastAsia" w:ascii="宋体" w:hAnsi="宋体" w:cs="宋体"/>
          <w:color w:val="auto"/>
          <w:sz w:val="24"/>
          <w:szCs w:val="24"/>
          <w:highlight w:val="none"/>
          <w:lang w:val="en-US" w:eastAsia="zh-CN"/>
        </w:rPr>
        <w:t>，含雨水管网末端截污泵站10座，</w:t>
      </w:r>
      <w:r>
        <w:rPr>
          <w:rFonts w:hint="eastAsia" w:ascii="宋体" w:hAnsi="宋体" w:eastAsia="宋体" w:cs="宋体"/>
          <w:color w:val="auto"/>
          <w:sz w:val="24"/>
          <w:szCs w:val="24"/>
          <w:highlight w:val="none"/>
          <w:lang w:val="en-US" w:eastAsia="zh-CN"/>
        </w:rPr>
        <w:t>每周</w:t>
      </w:r>
      <w:r>
        <w:rPr>
          <w:rFonts w:hint="eastAsia" w:ascii="宋体" w:hAnsi="宋体" w:eastAsia="宋体" w:cs="宋体"/>
          <w:sz w:val="24"/>
          <w:szCs w:val="24"/>
          <w:highlight w:val="none"/>
          <w:lang w:val="en-US" w:eastAsia="zh-CN"/>
        </w:rPr>
        <w:t>进行一次巡查，按要求巡视检查构筑物、设备、电器和仪表的运行情况，并负责日常记录。提升泵站养护要求如下：</w:t>
      </w:r>
    </w:p>
    <w:p w14:paraId="48848723">
      <w:pPr>
        <w:keepNext w:val="0"/>
        <w:keepLines w:val="0"/>
        <w:pageBreakBefore w:val="0"/>
        <w:widowControl w:val="0"/>
        <w:spacing w:line="360" w:lineRule="auto"/>
        <w:ind w:firstLine="480"/>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(1)定期清理提升泵站内的杂物、垃圾、积泥。</w:t>
      </w:r>
    </w:p>
    <w:p w14:paraId="59703E00">
      <w:pPr>
        <w:keepNext w:val="0"/>
        <w:keepLines w:val="0"/>
        <w:pageBreakBefore w:val="0"/>
        <w:widowControl w:val="0"/>
        <w:spacing w:line="360" w:lineRule="auto"/>
        <w:ind w:firstLine="480"/>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(2)定期对提升泵、阀门、流量计等进行保养。</w:t>
      </w:r>
    </w:p>
    <w:p w14:paraId="26F6471B">
      <w:pPr>
        <w:keepNext w:val="0"/>
        <w:keepLines w:val="0"/>
        <w:pageBreakBefore w:val="0"/>
        <w:widowControl w:val="0"/>
        <w:spacing w:line="360" w:lineRule="auto"/>
        <w:ind w:firstLine="480"/>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(3)查看集水池水位是否符合提升泵运行的要求，如超过设计最高水位应检查提升泵运行效果；如低于设计最低水位应重新设置液位控制装置。</w:t>
      </w:r>
    </w:p>
    <w:p w14:paraId="2EE05749">
      <w:pPr>
        <w:keepNext w:val="0"/>
        <w:keepLines w:val="0"/>
        <w:pageBreakBefore w:val="0"/>
        <w:widowControl w:val="0"/>
        <w:spacing w:line="360" w:lineRule="auto"/>
        <w:ind w:firstLine="480"/>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(4)对前后出现明显水位差的格栅应及时清理。</w:t>
      </w:r>
    </w:p>
    <w:p w14:paraId="296183DD">
      <w:pPr>
        <w:keepNext w:val="0"/>
        <w:keepLines w:val="0"/>
        <w:pageBreakBefore w:val="0"/>
        <w:widowControl w:val="0"/>
        <w:spacing w:line="360" w:lineRule="auto"/>
        <w:ind w:firstLine="480"/>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(5)对出现异常声音的提升泵应立即停机检查原因并及时维修、更换。</w:t>
      </w:r>
    </w:p>
    <w:p w14:paraId="59DB9C14">
      <w:pPr>
        <w:keepNext w:val="0"/>
        <w:keepLines w:val="0"/>
        <w:pageBreakBefore w:val="0"/>
        <w:widowControl w:val="0"/>
        <w:spacing w:line="360" w:lineRule="auto"/>
        <w:ind w:firstLine="480"/>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(6)检查电控柜是否安装牢固，接线可靠，能否正常上锁，如有问题应及时维修、更换。</w:t>
      </w:r>
    </w:p>
    <w:p w14:paraId="2BF303A8">
      <w:pPr>
        <w:keepNext w:val="0"/>
        <w:keepLines w:val="0"/>
        <w:pageBreakBefore w:val="0"/>
        <w:widowControl w:val="0"/>
        <w:spacing w:line="360" w:lineRule="auto"/>
        <w:ind w:firstLine="480"/>
        <w:outlineLvl w:val="9"/>
        <w:rPr>
          <w:rFonts w:hint="default" w:ascii="宋体" w:hAnsi="宋体" w:eastAsia="宋体" w:cs="宋体"/>
          <w:b/>
          <w:bCs/>
          <w:sz w:val="24"/>
          <w:szCs w:val="24"/>
          <w:highlight w:val="yellow"/>
          <w:lang w:val="en-US" w:eastAsia="zh-CN"/>
        </w:rPr>
      </w:pPr>
      <w:r>
        <w:rPr>
          <w:rFonts w:hint="eastAsia" w:ascii="宋体" w:hAnsi="宋体" w:eastAsia="宋体" w:cs="宋体"/>
          <w:sz w:val="24"/>
          <w:szCs w:val="24"/>
          <w:highlight w:val="none"/>
          <w:lang w:val="en-US" w:eastAsia="zh-CN"/>
        </w:rPr>
        <w:t>(7)检查控制系统运行是否正常，如有问题应及时维修、更换。更换配件需经采购人相关管理人员签字确认，维修、更换前需经采购人确认后进行。</w:t>
      </w:r>
    </w:p>
    <w:p w14:paraId="7CE83673">
      <w:pPr>
        <w:tabs>
          <w:tab w:val="left" w:pos="540"/>
        </w:tabs>
        <w:spacing w:line="360" w:lineRule="auto"/>
        <w:ind w:firstLine="482"/>
        <w:rPr>
          <w:rFonts w:ascii="宋体" w:hAnsi="宋体" w:cs="宋体"/>
          <w:b/>
          <w:bCs/>
          <w:sz w:val="24"/>
        </w:rPr>
      </w:pPr>
      <w:r>
        <w:rPr>
          <w:rFonts w:hint="eastAsia" w:ascii="宋体" w:hAnsi="宋体" w:cs="宋体"/>
          <w:b/>
          <w:bCs/>
          <w:sz w:val="24"/>
          <w:lang w:val="en-US" w:eastAsia="zh-CN"/>
        </w:rPr>
        <w:t>六</w:t>
      </w:r>
      <w:r>
        <w:rPr>
          <w:rFonts w:hint="eastAsia" w:ascii="宋体" w:hAnsi="宋体" w:cs="宋体"/>
          <w:b/>
          <w:bCs/>
          <w:sz w:val="24"/>
        </w:rPr>
        <w:t>、综合说明及其他要求：</w:t>
      </w:r>
    </w:p>
    <w:p w14:paraId="304792D4">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供应商应对采购</w:t>
      </w:r>
      <w:r>
        <w:rPr>
          <w:rFonts w:hint="eastAsia" w:ascii="宋体" w:hAnsi="宋体" w:eastAsia="宋体" w:cs="宋体"/>
          <w:color w:val="auto"/>
          <w:sz w:val="24"/>
          <w:szCs w:val="24"/>
          <w:highlight w:val="none"/>
        </w:rPr>
        <w:t>文件中提出的全部要求</w:t>
      </w:r>
      <w:r>
        <w:rPr>
          <w:rFonts w:hint="eastAsia" w:ascii="宋体" w:hAnsi="宋体" w:cs="宋体"/>
          <w:color w:val="auto"/>
          <w:sz w:val="24"/>
          <w:szCs w:val="24"/>
          <w:highlight w:val="none"/>
          <w:lang w:val="en-US" w:eastAsia="zh-CN"/>
        </w:rPr>
        <w:t>进行响应</w:t>
      </w:r>
      <w:r>
        <w:rPr>
          <w:rFonts w:hint="eastAsia" w:ascii="宋体" w:hAnsi="宋体" w:eastAsia="宋体" w:cs="宋体"/>
          <w:color w:val="auto"/>
          <w:sz w:val="24"/>
          <w:szCs w:val="24"/>
          <w:highlight w:val="none"/>
        </w:rPr>
        <w:t>，同时明确详细的服务方案。如果其中某些条款不响应时，应在文件中逐条列出，未列出的视同响应。</w:t>
      </w:r>
    </w:p>
    <w:p w14:paraId="6BFE1E9E">
      <w:pPr>
        <w:keepNext w:val="0"/>
        <w:keepLines w:val="0"/>
        <w:pageBreakBefore w:val="0"/>
        <w:widowControl w:val="0"/>
        <w:spacing w:line="360" w:lineRule="auto"/>
        <w:ind w:firstLine="480"/>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、报价说明：磋商总报价包括人工费及其它辅助费用、设备材料、管理、维护、保养、保险、利润、税金</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政策性文件规定及合同包含的所有风险、责任等各项应有费用。响应报价为最终报价，除非因特殊原因并经买卖双方协商同意，响应</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不得再要求追加任何费用。同时，除非合同条款中另有规定，否则，响应</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所报价格在合同实施期间不因市场变化因素而变动。</w:t>
      </w:r>
      <w:r>
        <w:rPr>
          <w:rFonts w:hint="eastAsia" w:ascii="宋体" w:hAnsi="宋体" w:cs="宋体"/>
          <w:b/>
          <w:bCs/>
          <w:color w:val="auto"/>
          <w:sz w:val="24"/>
          <w:szCs w:val="24"/>
          <w:highlight w:val="none"/>
        </w:rPr>
        <w:t>遇到法律法规规定的最低工资调整，其中人工费用相应浮动，由供应商自行承担。</w:t>
      </w:r>
    </w:p>
    <w:p w14:paraId="4FCF1E5D">
      <w:pPr>
        <w:spacing w:line="360" w:lineRule="auto"/>
        <w:ind w:firstLine="480"/>
        <w:rPr>
          <w:rFonts w:ascii="宋体" w:hAnsi="宋体" w:cs="宋体"/>
          <w:color w:val="auto"/>
          <w:sz w:val="24"/>
          <w:szCs w:val="24"/>
        </w:rPr>
      </w:pPr>
      <w:r>
        <w:rPr>
          <w:rFonts w:hint="eastAsia" w:ascii="宋体" w:hAnsi="宋体" w:cs="宋体"/>
          <w:color w:val="auto"/>
          <w:sz w:val="24"/>
          <w:szCs w:val="24"/>
        </w:rPr>
        <w:t>3、供应商应对所投项目的全部内容进行报价，只投其中部分内容者，其响应文件将被拒绝。成交供应商对服务缺陷不予更正，采购人有权另请其它单位更正，所发生的费用在合同总价款中扣除。</w:t>
      </w:r>
    </w:p>
    <w:p w14:paraId="3E5E977E">
      <w:pPr>
        <w:spacing w:line="360" w:lineRule="auto"/>
        <w:ind w:firstLine="480"/>
        <w:rPr>
          <w:rFonts w:ascii="宋体" w:hAnsi="宋体" w:cs="宋体"/>
          <w:color w:val="auto"/>
          <w:sz w:val="24"/>
          <w:szCs w:val="24"/>
        </w:rPr>
      </w:pPr>
      <w:r>
        <w:rPr>
          <w:rFonts w:hint="eastAsia" w:ascii="宋体" w:hAnsi="宋体" w:cs="宋体"/>
          <w:color w:val="auto"/>
          <w:sz w:val="24"/>
          <w:szCs w:val="24"/>
        </w:rPr>
        <w:t>4、项目质量必须严格按照国家规范及江苏省、苏州市等相应地方规范、采购文件的技术规范的有关要求执行，如果在合同履行过程中有新的国家或行业（部）规范和标准出台的，则成交供应商应确保其合同内容达到并符合新的国家或行业（部）规范和标准，因此而增加的费用及风险由成交供应商自行承担。</w:t>
      </w:r>
    </w:p>
    <w:p w14:paraId="0D49E382">
      <w:pPr>
        <w:spacing w:line="360" w:lineRule="auto"/>
        <w:ind w:firstLine="480"/>
        <w:rPr>
          <w:rFonts w:ascii="宋体" w:hAnsi="宋体" w:cs="宋体"/>
          <w:color w:val="auto"/>
          <w:sz w:val="24"/>
          <w:szCs w:val="24"/>
        </w:rPr>
      </w:pPr>
      <w:r>
        <w:rPr>
          <w:rFonts w:hint="eastAsia" w:ascii="宋体" w:hAnsi="宋体" w:cs="宋体"/>
          <w:color w:val="auto"/>
          <w:sz w:val="24"/>
          <w:szCs w:val="24"/>
        </w:rPr>
        <w:t>5、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p>
    <w:p w14:paraId="6E930A39">
      <w:pPr>
        <w:spacing w:line="360" w:lineRule="auto"/>
        <w:ind w:firstLine="480"/>
        <w:jc w:val="left"/>
        <w:rPr>
          <w:rFonts w:hint="eastAsia" w:ascii="宋体" w:hAnsi="宋体" w:cs="宋体"/>
          <w:color w:val="auto"/>
          <w:sz w:val="24"/>
          <w:szCs w:val="22"/>
        </w:rPr>
      </w:pPr>
      <w:r>
        <w:rPr>
          <w:rFonts w:hint="eastAsia" w:ascii="宋体" w:hAnsi="宋体" w:eastAsia="宋体" w:cs="宋体"/>
          <w:color w:val="auto"/>
          <w:sz w:val="24"/>
          <w:szCs w:val="22"/>
        </w:rPr>
        <w:t>6、成交供应商工作人员在岗履行职责期间（包括上下班途中），发生自身的人身伤害、伤亡，均由成交供应商负责处理并承担经济和道义上的责任，采购人不承担任何责任。</w:t>
      </w:r>
    </w:p>
    <w:p w14:paraId="6C51AB01">
      <w:pPr>
        <w:spacing w:line="360" w:lineRule="auto"/>
        <w:ind w:firstLine="480"/>
        <w:rPr>
          <w:rFonts w:ascii="宋体" w:hAnsi="宋体" w:cs="宋体"/>
          <w:sz w:val="24"/>
        </w:rPr>
      </w:pPr>
      <w:r>
        <w:rPr>
          <w:rFonts w:hint="eastAsia" w:ascii="宋体" w:hAnsi="宋体" w:eastAsia="宋体" w:cs="宋体"/>
          <w:sz w:val="24"/>
        </w:rPr>
        <w:t>7、服务地点：</w:t>
      </w:r>
      <w:r>
        <w:rPr>
          <w:rFonts w:hint="eastAsia" w:ascii="宋体" w:hAnsi="宋体" w:cs="宋体" w:eastAsiaTheme="minorEastAsia"/>
          <w:sz w:val="24"/>
        </w:rPr>
        <w:t>采购人指定地点。</w:t>
      </w:r>
    </w:p>
    <w:p w14:paraId="45581EC9">
      <w:pPr>
        <w:spacing w:line="360" w:lineRule="auto"/>
        <w:ind w:firstLine="480"/>
        <w:rPr>
          <w:rFonts w:hint="eastAsia" w:ascii="宋体" w:hAnsi="宋体" w:cs="宋体"/>
          <w:sz w:val="24"/>
          <w:highlight w:val="none"/>
        </w:rPr>
      </w:pPr>
      <w:r>
        <w:rPr>
          <w:rFonts w:hint="eastAsia" w:ascii="宋体" w:hAnsi="宋体" w:eastAsia="宋体" w:cs="宋体"/>
          <w:sz w:val="24"/>
          <w:highlight w:val="none"/>
        </w:rPr>
        <w:t>8、服务期限：</w:t>
      </w:r>
      <w:r>
        <w:rPr>
          <w:rFonts w:hint="eastAsia" w:ascii="宋体" w:hAnsi="宋体" w:cs="宋体"/>
          <w:sz w:val="24"/>
          <w:highlight w:val="none"/>
          <w:lang w:val="en-US" w:eastAsia="zh-CN"/>
        </w:rPr>
        <w:t>自合同签订之日起至2027年12月31日</w:t>
      </w:r>
      <w:r>
        <w:rPr>
          <w:rFonts w:hint="eastAsia" w:ascii="宋体" w:hAnsi="宋体" w:eastAsia="宋体" w:cs="宋体"/>
          <w:sz w:val="24"/>
          <w:highlight w:val="none"/>
          <w:lang w:eastAsia="zh-CN"/>
        </w:rPr>
        <w:t>。</w:t>
      </w:r>
    </w:p>
    <w:p w14:paraId="64CF99CA">
      <w:pPr>
        <w:spacing w:line="360" w:lineRule="auto"/>
        <w:ind w:firstLine="480"/>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lang w:val="en-US" w:eastAsia="zh-CN"/>
        </w:rPr>
        <w:t>维保售后服务：</w:t>
      </w:r>
      <w:r>
        <w:rPr>
          <w:rFonts w:hint="eastAsia" w:ascii="宋体" w:hAnsi="宋体" w:eastAsia="宋体" w:cs="宋体"/>
          <w:b w:val="0"/>
          <w:bCs w:val="0"/>
          <w:color w:val="auto"/>
          <w:sz w:val="24"/>
          <w:szCs w:val="24"/>
          <w:highlight w:val="none"/>
        </w:rPr>
        <w:t>更换产品经验收合格之日起，整个项目质保一年</w:t>
      </w:r>
      <w:r>
        <w:rPr>
          <w:rFonts w:hint="eastAsia" w:ascii="宋体" w:hAnsi="宋体" w:eastAsia="宋体" w:cs="宋体"/>
          <w:b w:val="0"/>
          <w:bCs w:val="0"/>
          <w:color w:val="auto"/>
          <w:sz w:val="24"/>
          <w:szCs w:val="24"/>
          <w:highlight w:val="none"/>
          <w:lang w:val="en-US" w:eastAsia="zh-CN"/>
        </w:rPr>
        <w:t>(如国家有明确规定质保期限的按国家规定执行）</w:t>
      </w:r>
      <w:r>
        <w:rPr>
          <w:rFonts w:hint="eastAsia" w:ascii="宋体" w:hAnsi="宋体" w:eastAsia="宋体" w:cs="宋体"/>
          <w:b w:val="0"/>
          <w:bCs w:val="0"/>
          <w:color w:val="auto"/>
          <w:sz w:val="24"/>
          <w:szCs w:val="24"/>
          <w:highlight w:val="none"/>
        </w:rPr>
        <w:t>，在质保期内出现质量问题（人为除外），</w:t>
      </w:r>
      <w:r>
        <w:rPr>
          <w:rFonts w:hint="eastAsia" w:ascii="宋体" w:hAnsi="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rPr>
        <w:t>负责无条件维修或更换。</w:t>
      </w:r>
      <w:r>
        <w:rPr>
          <w:rFonts w:hint="eastAsia" w:ascii="宋体" w:hAnsi="宋体" w:cs="宋体"/>
          <w:b w:val="0"/>
          <w:bCs w:val="0"/>
          <w:color w:val="auto"/>
          <w:sz w:val="24"/>
          <w:szCs w:val="24"/>
          <w:highlight w:val="none"/>
          <w:lang w:val="en-US" w:eastAsia="zh-CN"/>
        </w:rPr>
        <w:t>采购人</w:t>
      </w:r>
      <w:r>
        <w:rPr>
          <w:rFonts w:hint="eastAsia" w:ascii="宋体" w:hAnsi="宋体" w:eastAsia="宋体" w:cs="宋体"/>
          <w:b w:val="0"/>
          <w:bCs w:val="0"/>
          <w:color w:val="auto"/>
          <w:sz w:val="24"/>
          <w:szCs w:val="24"/>
          <w:highlight w:val="none"/>
        </w:rPr>
        <w:t>报修后，</w:t>
      </w:r>
      <w:r>
        <w:rPr>
          <w:rFonts w:hint="eastAsia" w:ascii="宋体" w:hAnsi="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rPr>
        <w:t>应在1小时内响应，4小时内到达现场，12小时内完成</w:t>
      </w:r>
      <w:r>
        <w:rPr>
          <w:rFonts w:hint="eastAsia" w:ascii="宋体" w:hAnsi="宋体" w:cs="宋体"/>
          <w:b w:val="0"/>
          <w:bCs w:val="0"/>
          <w:color w:val="auto"/>
          <w:sz w:val="24"/>
          <w:szCs w:val="24"/>
          <w:highlight w:val="none"/>
          <w:lang w:val="en-US" w:eastAsia="zh-CN"/>
        </w:rPr>
        <w:t>采购人</w:t>
      </w:r>
      <w:r>
        <w:rPr>
          <w:rFonts w:hint="eastAsia" w:ascii="宋体" w:hAnsi="宋体" w:eastAsia="宋体" w:cs="宋体"/>
          <w:b w:val="0"/>
          <w:bCs w:val="0"/>
          <w:color w:val="auto"/>
          <w:sz w:val="24"/>
          <w:szCs w:val="24"/>
          <w:highlight w:val="none"/>
        </w:rPr>
        <w:t>提出的维修要求。</w:t>
      </w:r>
    </w:p>
    <w:p w14:paraId="04F8E072">
      <w:pPr>
        <w:spacing w:line="360" w:lineRule="auto"/>
        <w:ind w:firstLine="482"/>
        <w:rPr>
          <w:rFonts w:ascii="宋体" w:hAnsi="宋体" w:cs="宋体"/>
          <w:sz w:val="24"/>
          <w:highlight w:val="none"/>
        </w:rPr>
      </w:pPr>
      <w:r>
        <w:rPr>
          <w:rFonts w:hint="eastAsia" w:ascii="宋体" w:hAnsi="宋体" w:cs="宋体"/>
          <w:sz w:val="24"/>
          <w:highlight w:val="none"/>
        </w:rPr>
        <w:t>10、</w:t>
      </w:r>
      <w:r>
        <w:rPr>
          <w:rFonts w:hint="eastAsia" w:ascii="宋体" w:hAnsi="宋体" w:eastAsia="宋体" w:cs="宋体"/>
          <w:b w:val="0"/>
          <w:bCs w:val="0"/>
          <w:color w:val="auto"/>
          <w:sz w:val="24"/>
          <w:szCs w:val="24"/>
          <w:highlight w:val="none"/>
        </w:rPr>
        <w:t>验收标准：按</w:t>
      </w:r>
      <w:r>
        <w:rPr>
          <w:rFonts w:hint="eastAsia" w:ascii="宋体" w:hAnsi="宋体" w:eastAsia="宋体" w:cs="宋体"/>
          <w:b w:val="0"/>
          <w:bCs w:val="0"/>
          <w:color w:val="auto"/>
          <w:sz w:val="24"/>
          <w:szCs w:val="24"/>
          <w:highlight w:val="none"/>
          <w:lang w:val="en-US" w:eastAsia="zh-CN"/>
        </w:rPr>
        <w:t>采购文件或相关</w:t>
      </w:r>
      <w:r>
        <w:rPr>
          <w:rFonts w:hint="eastAsia" w:ascii="宋体" w:hAnsi="宋体" w:eastAsia="宋体" w:cs="宋体"/>
          <w:b w:val="0"/>
          <w:bCs w:val="0"/>
          <w:color w:val="auto"/>
          <w:sz w:val="24"/>
          <w:szCs w:val="24"/>
          <w:highlight w:val="none"/>
        </w:rPr>
        <w:t>要求进行验收。</w:t>
      </w:r>
    </w:p>
    <w:p w14:paraId="033892F3">
      <w:pPr>
        <w:pStyle w:val="198"/>
        <w:spacing w:line="360" w:lineRule="auto"/>
        <w:rPr>
          <w:rFonts w:ascii="宋体" w:hAnsi="宋体" w:cs="宋体"/>
          <w:color w:val="000000"/>
          <w:sz w:val="24"/>
          <w:highlight w:val="none"/>
          <w:lang w:val="en-US"/>
        </w:rPr>
      </w:pPr>
      <w:r>
        <w:rPr>
          <w:rFonts w:hint="eastAsia" w:ascii="宋体" w:hAnsi="宋体"/>
          <w:sz w:val="24"/>
          <w:highlight w:val="none"/>
          <w:lang w:val="en-US"/>
        </w:rPr>
        <w:t>11、</w:t>
      </w:r>
      <w:r>
        <w:rPr>
          <w:rFonts w:hint="eastAsia" w:ascii="宋体" w:hAnsi="宋体"/>
          <w:sz w:val="24"/>
          <w:highlight w:val="none"/>
        </w:rPr>
        <w:t>伴随服务：按国家行业标准规定和</w:t>
      </w:r>
      <w:r>
        <w:rPr>
          <w:rFonts w:hint="eastAsia" w:ascii="宋体" w:hAnsi="宋体"/>
          <w:sz w:val="24"/>
          <w:highlight w:val="none"/>
          <w:lang w:val="en-US"/>
        </w:rPr>
        <w:t>采购</w:t>
      </w:r>
      <w:r>
        <w:rPr>
          <w:rFonts w:hint="eastAsia" w:ascii="宋体" w:hAnsi="宋体"/>
          <w:sz w:val="24"/>
          <w:highlight w:val="none"/>
        </w:rPr>
        <w:t>文件执行。</w:t>
      </w:r>
    </w:p>
    <w:p w14:paraId="1234EC82">
      <w:pPr>
        <w:spacing w:line="360" w:lineRule="auto"/>
        <w:ind w:firstLine="482"/>
        <w:rPr>
          <w:rFonts w:ascii="宋体" w:hAnsi="宋体" w:cs="宋体"/>
          <w:b/>
          <w:bCs/>
          <w:color w:val="auto"/>
          <w:sz w:val="24"/>
          <w:szCs w:val="24"/>
          <w:highlight w:val="none"/>
        </w:rPr>
      </w:pPr>
      <w:r>
        <w:rPr>
          <w:rFonts w:hint="eastAsia" w:ascii="宋体" w:hAnsi="宋体" w:cs="宋体"/>
          <w:b/>
          <w:bCs/>
          <w:sz w:val="24"/>
          <w:highlight w:val="none"/>
        </w:rPr>
        <w:t>七、</w:t>
      </w:r>
      <w:r>
        <w:rPr>
          <w:rFonts w:hint="eastAsia" w:ascii="宋体" w:hAnsi="宋体" w:cs="宋体"/>
          <w:b/>
          <w:bCs/>
          <w:color w:val="auto"/>
          <w:sz w:val="24"/>
          <w:szCs w:val="24"/>
          <w:highlight w:val="none"/>
        </w:rPr>
        <w:t>政府采购政策：</w:t>
      </w:r>
    </w:p>
    <w:p w14:paraId="16C4B7CF">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1.小、微企业</w:t>
      </w:r>
    </w:p>
    <w:p w14:paraId="43A20296">
      <w:pPr>
        <w:spacing w:line="360" w:lineRule="auto"/>
        <w:ind w:firstLine="480"/>
        <w:rPr>
          <w:rFonts w:ascii="宋体" w:hAnsi="宋体" w:cs="宋体"/>
          <w:b/>
          <w:bCs/>
          <w:color w:val="auto"/>
          <w:sz w:val="24"/>
          <w:szCs w:val="24"/>
        </w:rPr>
      </w:pPr>
      <w:r>
        <w:rPr>
          <w:rFonts w:hint="eastAsia" w:ascii="宋体" w:hAnsi="宋体" w:cs="宋体"/>
          <w:color w:val="auto"/>
          <w:sz w:val="24"/>
          <w:szCs w:val="24"/>
        </w:rPr>
        <w:t>根据《政府采购促进中小企业发展管理办法》（财库〔2020〕46号）、《关于做好政府采购支持企业发展有关事项的通知》（苏财购〔2020〕52号）及《苏州市政府采购促进中小企业发展实施意见》（苏财购〔2022〕16号）等文件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color w:val="auto"/>
          <w:sz w:val="24"/>
          <w:szCs w:val="24"/>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5AF869A4">
      <w:pPr>
        <w:spacing w:line="360" w:lineRule="auto"/>
        <w:ind w:firstLine="480"/>
        <w:rPr>
          <w:rFonts w:ascii="宋体" w:hAnsi="宋体" w:cs="宋体"/>
          <w:b/>
          <w:bCs/>
          <w:color w:val="auto"/>
          <w:sz w:val="24"/>
          <w:szCs w:val="24"/>
          <w:u w:val="single"/>
        </w:rPr>
      </w:pPr>
      <w:r>
        <w:rPr>
          <w:rFonts w:hint="eastAsia" w:ascii="宋体" w:hAnsi="宋体" w:cs="宋体"/>
          <w:color w:val="auto"/>
          <w:sz w:val="24"/>
          <w:szCs w:val="24"/>
        </w:rPr>
        <w:t>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bCs/>
          <w:color w:val="auto"/>
          <w:sz w:val="24"/>
          <w:szCs w:val="24"/>
          <w:u w:val="single"/>
        </w:rPr>
        <w:t>服务类项目中供应商若使用退休人员，将不享受相关扶持政策。</w:t>
      </w:r>
    </w:p>
    <w:p w14:paraId="453B759C">
      <w:pPr>
        <w:spacing w:line="360" w:lineRule="auto"/>
        <w:ind w:firstLine="480"/>
        <w:rPr>
          <w:rFonts w:hint="eastAsia" w:ascii="宋体" w:hAnsi="宋体" w:eastAsia="宋体" w:cs="宋体"/>
          <w:color w:val="auto"/>
          <w:sz w:val="24"/>
          <w:szCs w:val="24"/>
        </w:rPr>
      </w:pPr>
      <w:r>
        <w:rPr>
          <w:rFonts w:hint="eastAsia" w:ascii="宋体" w:hAnsi="宋体" w:cs="宋体"/>
          <w:color w:val="auto"/>
          <w:sz w:val="24"/>
          <w:szCs w:val="24"/>
        </w:rPr>
        <w:t>根据《政府采购促进中小企业发展管理办法》（财库〔2020〕46号）及《中小企业划型标准规定》（工信部联企业〔2011〕300号），本采购项目对应的中小企业划分标准所属行业</w:t>
      </w:r>
      <w:r>
        <w:rPr>
          <w:rFonts w:hint="eastAsia" w:ascii="宋体" w:hAnsi="宋体" w:eastAsia="宋体" w:cs="宋体"/>
          <w:color w:val="auto"/>
          <w:sz w:val="24"/>
          <w:szCs w:val="24"/>
        </w:rPr>
        <w:t>为：</w:t>
      </w:r>
      <w:r>
        <w:rPr>
          <w:rFonts w:hint="eastAsia" w:ascii="宋体" w:hAnsi="宋体" w:eastAsia="宋体" w:cs="宋体"/>
          <w:b/>
          <w:bCs/>
          <w:color w:val="auto"/>
          <w:sz w:val="24"/>
          <w:szCs w:val="24"/>
        </w:rPr>
        <w:t>其他未列明行业。</w:t>
      </w:r>
    </w:p>
    <w:p w14:paraId="5C48BEA0">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2.残疾人福利性单位</w:t>
      </w:r>
    </w:p>
    <w:p w14:paraId="4EED509B">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p>
    <w:p w14:paraId="59B2EE09">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3.监狱企业</w:t>
      </w:r>
    </w:p>
    <w:p w14:paraId="62F4343F">
      <w:pPr>
        <w:spacing w:line="360" w:lineRule="auto"/>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根据《关于政府采购支持监狱企业发展有关问题的通知》（财库〔2014〕68号）的相关规定在政府采购活动中，监狱企业视同小型、微型企业，享受预留份额、评审中价格扣除等促进中小企业发展的政府采购政</w:t>
      </w:r>
      <w:r>
        <w:rPr>
          <w:rFonts w:hint="eastAsia" w:ascii="宋体" w:hAnsi="宋体" w:cs="宋体"/>
          <w:color w:val="auto"/>
          <w:sz w:val="24"/>
          <w:szCs w:val="24"/>
        </w:rPr>
        <w:t>策，监狱企业属于小型、微型企业的，不重复享受政策。监狱企业应当提供由省级以上监狱管理局、戒毒管理局（含新疆生产建设兵团）出具的属于监狱企业</w:t>
      </w:r>
      <w:r>
        <w:rPr>
          <w:rFonts w:hint="eastAsia" w:ascii="宋体" w:hAnsi="宋体" w:eastAsia="宋体" w:cs="宋体"/>
          <w:color w:val="auto"/>
          <w:sz w:val="24"/>
          <w:szCs w:val="24"/>
        </w:rPr>
        <w:t>的证明文件</w:t>
      </w:r>
      <w:r>
        <w:rPr>
          <w:rFonts w:hint="eastAsia" w:ascii="宋体" w:hAnsi="宋体" w:eastAsia="宋体" w:cs="宋体"/>
          <w:color w:val="auto"/>
          <w:sz w:val="24"/>
          <w:szCs w:val="24"/>
          <w:lang w:eastAsia="zh-CN"/>
        </w:rPr>
        <w:t>。</w:t>
      </w:r>
    </w:p>
    <w:p w14:paraId="4DE5AF77">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绿色采购</w:t>
      </w:r>
    </w:p>
    <w:p w14:paraId="4CD6AB75">
      <w:pPr>
        <w:spacing w:line="360" w:lineRule="auto"/>
        <w:ind w:firstLine="480"/>
        <w:rPr>
          <w:rFonts w:hint="eastAsia" w:ascii="宋体" w:hAnsi="宋体" w:eastAsia="宋体" w:cs="宋体"/>
          <w:b/>
          <w:sz w:val="24"/>
          <w:szCs w:val="24"/>
        </w:rPr>
      </w:pPr>
      <w:r>
        <w:rPr>
          <w:rFonts w:hint="eastAsia" w:ascii="宋体" w:hAnsi="宋体" w:eastAsia="宋体" w:cs="宋体"/>
          <w:color w:val="auto"/>
          <w:sz w:val="24"/>
          <w:szCs w:val="24"/>
        </w:rPr>
        <w:t>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w:t>
      </w:r>
      <w:r>
        <w:rPr>
          <w:rFonts w:hint="eastAsia" w:ascii="宋体" w:hAnsi="宋体" w:eastAsia="宋体" w:cs="宋体"/>
          <w:b w:val="0"/>
          <w:bCs w:val="0"/>
          <w:sz w:val="24"/>
          <w:szCs w:val="24"/>
        </w:rPr>
        <w:t>于有效期之内的节能产品认证证书复印件，否则视为未实质性响应。</w:t>
      </w:r>
    </w:p>
    <w:p w14:paraId="607F1897">
      <w:pPr>
        <w:spacing w:line="360" w:lineRule="auto"/>
        <w:ind w:firstLine="480"/>
      </w:pPr>
      <w:r>
        <w:rPr>
          <w:rFonts w:hint="eastAsia" w:ascii="宋体" w:hAnsi="宋体" w:cs="宋体"/>
          <w:sz w:val="24"/>
          <w:lang w:val="en-US" w:eastAsia="zh-CN"/>
        </w:rPr>
        <w:t>八</w:t>
      </w:r>
      <w:r>
        <w:rPr>
          <w:rFonts w:hint="eastAsia" w:ascii="宋体" w:hAnsi="宋体" w:cs="宋体"/>
          <w:b/>
          <w:bCs/>
          <w:sz w:val="24"/>
        </w:rPr>
        <w:t>、</w:t>
      </w:r>
      <w:r>
        <w:rPr>
          <w:rFonts w:hint="eastAsia" w:ascii="宋体" w:hAnsi="宋体" w:cs="宋体"/>
          <w:sz w:val="24"/>
        </w:rPr>
        <w:t>凡涉及本磋商文件的补充说明和修改，均以苏州市政府采购网发布信息为准。</w:t>
      </w:r>
      <w:bookmarkEnd w:id="50"/>
    </w:p>
    <w:p w14:paraId="64532E6B">
      <w:pPr>
        <w:spacing w:line="360" w:lineRule="auto"/>
        <w:ind w:firstLine="883"/>
        <w:jc w:val="center"/>
        <w:outlineLvl w:val="0"/>
        <w:rPr>
          <w:rFonts w:ascii="宋体" w:hAnsi="宋体" w:cs="宋体"/>
          <w:sz w:val="44"/>
          <w:szCs w:val="44"/>
        </w:rPr>
      </w:pPr>
      <w:r>
        <w:rPr>
          <w:rStyle w:val="200"/>
          <w:rFonts w:hint="eastAsia" w:ascii="宋体" w:hAnsi="宋体" w:eastAsia="宋体" w:cs="宋体"/>
        </w:rPr>
        <w:br w:type="page" w:clear="all"/>
      </w:r>
      <w:bookmarkStart w:id="55" w:name="_Toc23109"/>
      <w:bookmarkStart w:id="56" w:name="_Toc16541"/>
      <w:r>
        <w:rPr>
          <w:rStyle w:val="200"/>
          <w:rFonts w:hint="eastAsia" w:ascii="宋体" w:hAnsi="宋体" w:eastAsia="宋体" w:cs="宋体"/>
        </w:rPr>
        <w:t>第五章</w:t>
      </w:r>
      <w:r>
        <w:rPr>
          <w:rStyle w:val="200"/>
          <w:rFonts w:hint="eastAsia" w:ascii="宋体" w:hAnsi="宋体" w:eastAsia="宋体" w:cs="宋体"/>
          <w:lang w:val="en-US"/>
        </w:rPr>
        <w:t xml:space="preserve"> </w:t>
      </w:r>
      <w:r>
        <w:rPr>
          <w:rStyle w:val="200"/>
          <w:rFonts w:hint="eastAsia" w:ascii="宋体" w:hAnsi="宋体" w:eastAsia="宋体" w:cs="宋体"/>
        </w:rPr>
        <w:t>合同主要条款</w:t>
      </w:r>
      <w:bookmarkEnd w:id="55"/>
      <w:bookmarkEnd w:id="56"/>
    </w:p>
    <w:p w14:paraId="5BEEF948">
      <w:pPr>
        <w:spacing w:line="360" w:lineRule="auto"/>
        <w:ind w:firstLine="480"/>
        <w:rPr>
          <w:rFonts w:ascii="宋体" w:hAnsi="宋体"/>
          <w:color w:val="auto"/>
          <w:sz w:val="24"/>
          <w:szCs w:val="24"/>
        </w:rPr>
      </w:pPr>
      <w:r>
        <w:rPr>
          <w:rFonts w:hint="eastAsia" w:ascii="宋体" w:hAnsi="宋体"/>
          <w:color w:val="auto"/>
          <w:sz w:val="24"/>
          <w:szCs w:val="24"/>
        </w:rPr>
        <w:t>甲方（采购人）：</w:t>
      </w:r>
    </w:p>
    <w:p w14:paraId="07AE4FCE">
      <w:pPr>
        <w:spacing w:line="360" w:lineRule="auto"/>
        <w:ind w:firstLine="480"/>
        <w:rPr>
          <w:rFonts w:ascii="宋体" w:hAnsi="宋体"/>
          <w:color w:val="auto"/>
          <w:sz w:val="24"/>
          <w:szCs w:val="24"/>
        </w:rPr>
      </w:pPr>
      <w:r>
        <w:rPr>
          <w:rFonts w:hint="eastAsia" w:ascii="宋体" w:hAnsi="宋体"/>
          <w:color w:val="auto"/>
          <w:sz w:val="24"/>
          <w:szCs w:val="24"/>
        </w:rPr>
        <w:t>地址：</w:t>
      </w:r>
    </w:p>
    <w:p w14:paraId="1678CC3C">
      <w:pPr>
        <w:spacing w:line="360" w:lineRule="auto"/>
        <w:ind w:firstLine="480"/>
        <w:rPr>
          <w:rFonts w:ascii="宋体" w:hAnsi="宋体"/>
          <w:color w:val="auto"/>
          <w:sz w:val="24"/>
          <w:szCs w:val="24"/>
        </w:rPr>
      </w:pPr>
      <w:r>
        <w:rPr>
          <w:rFonts w:hint="eastAsia" w:ascii="宋体" w:hAnsi="宋体"/>
          <w:color w:val="auto"/>
          <w:sz w:val="24"/>
          <w:szCs w:val="24"/>
        </w:rPr>
        <w:t>联系人：</w:t>
      </w:r>
    </w:p>
    <w:p w14:paraId="66437B1F">
      <w:pPr>
        <w:spacing w:line="360" w:lineRule="auto"/>
        <w:ind w:firstLine="480"/>
        <w:rPr>
          <w:rFonts w:ascii="宋体" w:hAnsi="宋体"/>
          <w:color w:val="auto"/>
          <w:sz w:val="24"/>
          <w:szCs w:val="24"/>
        </w:rPr>
      </w:pPr>
      <w:r>
        <w:rPr>
          <w:rFonts w:hint="eastAsia" w:ascii="宋体" w:hAnsi="宋体"/>
          <w:color w:val="auto"/>
          <w:sz w:val="24"/>
          <w:szCs w:val="24"/>
        </w:rPr>
        <w:t>联系电话：</w:t>
      </w:r>
    </w:p>
    <w:p w14:paraId="4A7D42B0">
      <w:pPr>
        <w:spacing w:line="360" w:lineRule="auto"/>
        <w:ind w:firstLine="480"/>
        <w:rPr>
          <w:rFonts w:ascii="宋体" w:hAnsi="宋体"/>
          <w:color w:val="auto"/>
          <w:sz w:val="24"/>
          <w:szCs w:val="24"/>
        </w:rPr>
      </w:pPr>
    </w:p>
    <w:p w14:paraId="3FEDF0C7">
      <w:pPr>
        <w:spacing w:line="360" w:lineRule="auto"/>
        <w:ind w:firstLine="480"/>
        <w:rPr>
          <w:rFonts w:ascii="宋体" w:hAnsi="宋体"/>
          <w:color w:val="auto"/>
          <w:sz w:val="24"/>
          <w:szCs w:val="24"/>
        </w:rPr>
      </w:pPr>
      <w:r>
        <w:rPr>
          <w:rFonts w:hint="eastAsia" w:ascii="宋体" w:hAnsi="宋体"/>
          <w:color w:val="auto"/>
          <w:sz w:val="24"/>
          <w:szCs w:val="24"/>
        </w:rPr>
        <w:t>乙方（成交供应商）：</w:t>
      </w:r>
    </w:p>
    <w:p w14:paraId="3B4A1CED">
      <w:pPr>
        <w:spacing w:line="360" w:lineRule="auto"/>
        <w:ind w:firstLine="480"/>
        <w:rPr>
          <w:rFonts w:ascii="宋体" w:hAnsi="宋体"/>
          <w:color w:val="auto"/>
          <w:sz w:val="24"/>
          <w:szCs w:val="24"/>
        </w:rPr>
      </w:pPr>
      <w:r>
        <w:rPr>
          <w:rFonts w:hint="eastAsia" w:ascii="宋体" w:hAnsi="宋体"/>
          <w:color w:val="auto"/>
          <w:sz w:val="24"/>
          <w:szCs w:val="24"/>
        </w:rPr>
        <w:t>地址：</w:t>
      </w:r>
    </w:p>
    <w:p w14:paraId="71EF3BEB">
      <w:pPr>
        <w:spacing w:line="360" w:lineRule="auto"/>
        <w:ind w:firstLine="480"/>
        <w:rPr>
          <w:rFonts w:ascii="宋体" w:hAnsi="宋体"/>
          <w:color w:val="auto"/>
          <w:sz w:val="24"/>
          <w:szCs w:val="24"/>
        </w:rPr>
      </w:pPr>
      <w:r>
        <w:rPr>
          <w:rFonts w:hint="eastAsia" w:ascii="宋体" w:hAnsi="宋体"/>
          <w:color w:val="auto"/>
          <w:sz w:val="24"/>
          <w:szCs w:val="24"/>
        </w:rPr>
        <w:t>联系人：</w:t>
      </w:r>
    </w:p>
    <w:p w14:paraId="3E15B45F">
      <w:pPr>
        <w:spacing w:line="360" w:lineRule="auto"/>
        <w:ind w:firstLine="480"/>
        <w:rPr>
          <w:rFonts w:ascii="宋体" w:hAnsi="宋体"/>
          <w:color w:val="auto"/>
          <w:sz w:val="24"/>
          <w:szCs w:val="24"/>
        </w:rPr>
      </w:pPr>
      <w:r>
        <w:rPr>
          <w:rFonts w:hint="eastAsia" w:ascii="宋体" w:hAnsi="宋体"/>
          <w:color w:val="auto"/>
          <w:sz w:val="24"/>
          <w:szCs w:val="24"/>
        </w:rPr>
        <w:t>联系电话：</w:t>
      </w:r>
    </w:p>
    <w:p w14:paraId="77584365">
      <w:pPr>
        <w:spacing w:line="360" w:lineRule="auto"/>
        <w:ind w:firstLine="480"/>
        <w:rPr>
          <w:rFonts w:ascii="宋体" w:hAnsi="宋体" w:cs="宋体"/>
          <w:sz w:val="24"/>
        </w:rPr>
      </w:pPr>
    </w:p>
    <w:p w14:paraId="65669172">
      <w:pPr>
        <w:spacing w:line="360" w:lineRule="auto"/>
        <w:ind w:firstLine="480"/>
        <w:rPr>
          <w:rFonts w:ascii="宋体" w:hAnsi="宋体" w:cs="宋体"/>
          <w:sz w:val="24"/>
        </w:rPr>
      </w:pPr>
      <w:r>
        <w:rPr>
          <w:rFonts w:hint="eastAsia" w:ascii="宋体" w:hAnsi="宋体" w:cs="宋体"/>
          <w:sz w:val="24"/>
        </w:rPr>
        <w:t>根据甲方申请</w:t>
      </w:r>
      <w:r>
        <w:rPr>
          <w:rFonts w:hint="eastAsia" w:ascii="宋体" w:hAnsi="宋体" w:cs="宋体"/>
          <w:sz w:val="24"/>
          <w:u w:val="single"/>
          <w:lang w:eastAsia="zh-CN"/>
        </w:rPr>
        <w:t>望亭镇2026年农村生活污水提升泵站养护服务</w:t>
      </w:r>
      <w:r>
        <w:rPr>
          <w:rFonts w:hint="eastAsia" w:ascii="宋体" w:hAnsi="宋体" w:cs="宋体"/>
          <w:sz w:val="24"/>
        </w:rPr>
        <w:t>政府采购计划，并委托</w:t>
      </w:r>
      <w:r>
        <w:rPr>
          <w:rFonts w:hint="eastAsia" w:ascii="宋体" w:hAnsi="宋体" w:cs="宋体"/>
          <w:sz w:val="24"/>
          <w:lang w:eastAsia="zh-CN"/>
        </w:rPr>
        <w:t>江苏正琦工程咨询有限公司</w:t>
      </w:r>
      <w:r>
        <w:rPr>
          <w:rFonts w:hint="eastAsia" w:ascii="宋体" w:hAnsi="宋体" w:cs="宋体"/>
          <w:sz w:val="24"/>
        </w:rPr>
        <w:t>就本项目（</w:t>
      </w:r>
      <w:r>
        <w:rPr>
          <w:rFonts w:hint="eastAsia" w:ascii="宋体" w:hAnsi="宋体" w:cs="宋体"/>
          <w:sz w:val="24"/>
          <w:u w:val="single"/>
        </w:rPr>
        <w:t xml:space="preserve">采购编号：   </w:t>
      </w:r>
      <w:r>
        <w:rPr>
          <w:rFonts w:hint="eastAsia" w:ascii="宋体" w:hAnsi="宋体" w:cs="宋体"/>
          <w:sz w:val="24"/>
          <w:u w:val="single"/>
          <w:lang w:val="en-US" w:eastAsia="zh-CN"/>
        </w:rPr>
        <w:t xml:space="preserve">     </w:t>
      </w:r>
      <w:r>
        <w:rPr>
          <w:rFonts w:hint="eastAsia" w:ascii="宋体" w:hAnsi="宋体" w:cs="宋体"/>
          <w:sz w:val="24"/>
        </w:rPr>
        <w:t>）进行政府采购，根据本项目的采购结果确定</w:t>
      </w:r>
      <w:r>
        <w:rPr>
          <w:rFonts w:hint="eastAsia" w:ascii="宋体" w:hAnsi="宋体" w:cs="宋体"/>
          <w:sz w:val="24"/>
          <w:u w:val="single"/>
        </w:rPr>
        <w:t xml:space="preserve">      </w:t>
      </w:r>
      <w:r>
        <w:rPr>
          <w:rFonts w:hint="eastAsia" w:ascii="宋体" w:hAnsi="宋体" w:cs="宋体"/>
          <w:sz w:val="24"/>
        </w:rPr>
        <w:t>为本合同乙方，现依照磋商采购文件、乙方的响应文件及相关文件的内容，签订本合同书。</w:t>
      </w:r>
    </w:p>
    <w:p w14:paraId="57A31E53">
      <w:pPr>
        <w:spacing w:line="360" w:lineRule="auto"/>
        <w:ind w:firstLine="480"/>
        <w:rPr>
          <w:rFonts w:ascii="宋体" w:hAnsi="宋体" w:cs="宋体"/>
          <w:bCs/>
          <w:sz w:val="24"/>
          <w:lang w:val="zh-CN"/>
        </w:rPr>
      </w:pPr>
      <w:r>
        <w:rPr>
          <w:rFonts w:hint="eastAsia" w:ascii="宋体" w:hAnsi="宋体" w:cs="宋体"/>
          <w:bCs/>
          <w:sz w:val="24"/>
          <w:lang w:val="zh-CN"/>
        </w:rPr>
        <w:t>一、</w:t>
      </w:r>
      <w:r>
        <w:rPr>
          <w:rFonts w:hint="eastAsia" w:ascii="宋体" w:hAnsi="宋体" w:cs="宋体"/>
          <w:sz w:val="24"/>
        </w:rPr>
        <w:t>合同内容</w:t>
      </w:r>
      <w:r>
        <w:rPr>
          <w:rFonts w:hint="eastAsia" w:ascii="宋体" w:hAnsi="宋体" w:cs="宋体"/>
          <w:bCs/>
          <w:sz w:val="24"/>
          <w:lang w:val="zh-CN"/>
        </w:rPr>
        <w:t>：</w:t>
      </w:r>
    </w:p>
    <w:p w14:paraId="32AC2808">
      <w:pPr>
        <w:spacing w:line="360" w:lineRule="auto"/>
        <w:ind w:firstLine="480"/>
        <w:rPr>
          <w:rFonts w:hint="default" w:ascii="宋体" w:hAnsi="宋体" w:eastAsia="宋体" w:cs="宋体"/>
          <w:sz w:val="24"/>
          <w:u w:val="single"/>
          <w:lang w:val="en-US" w:eastAsia="zh-CN"/>
        </w:rPr>
      </w:pPr>
      <w:r>
        <w:rPr>
          <w:rFonts w:hint="eastAsia" w:ascii="宋体" w:hAnsi="宋体" w:cs="宋体"/>
          <w:sz w:val="24"/>
        </w:rPr>
        <w:t>1、乙方负责完成甲方采购的</w:t>
      </w:r>
      <w:r>
        <w:rPr>
          <w:rFonts w:hint="eastAsia" w:ascii="宋体" w:hAnsi="宋体" w:cs="宋体"/>
          <w:sz w:val="24"/>
          <w:u w:val="single"/>
        </w:rPr>
        <w:t xml:space="preserve">        </w:t>
      </w:r>
      <w:r>
        <w:rPr>
          <w:rFonts w:hint="eastAsia" w:ascii="宋体" w:hAnsi="宋体" w:cs="宋体"/>
          <w:sz w:val="24"/>
        </w:rPr>
        <w:t>项目</w:t>
      </w:r>
      <w:r>
        <w:rPr>
          <w:rFonts w:hint="eastAsia" w:ascii="宋体" w:hAnsi="宋体" w:cs="宋体"/>
          <w:sz w:val="24"/>
          <w:lang w:eastAsia="zh-CN"/>
        </w:rPr>
        <w:t>，</w:t>
      </w:r>
      <w:r>
        <w:rPr>
          <w:rFonts w:hint="eastAsia" w:ascii="宋体" w:hAnsi="宋体" w:cs="宋体"/>
          <w:sz w:val="24"/>
          <w:lang w:val="en-US" w:eastAsia="zh-CN"/>
        </w:rPr>
        <w:t>具体维保清单如下：</w:t>
      </w:r>
    </w:p>
    <w:tbl>
      <w:tblPr>
        <w:tblStyle w:val="41"/>
        <w:tblW w:w="95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737"/>
        <w:gridCol w:w="872"/>
        <w:gridCol w:w="1195"/>
        <w:gridCol w:w="2154"/>
        <w:gridCol w:w="941"/>
        <w:gridCol w:w="914"/>
        <w:gridCol w:w="1063"/>
        <w:gridCol w:w="917"/>
      </w:tblGrid>
      <w:tr w14:paraId="48209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791" w:type="dxa"/>
            <w:noWrap w:val="0"/>
            <w:vAlign w:val="center"/>
          </w:tcPr>
          <w:p w14:paraId="550C190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1609" w:type="dxa"/>
            <w:gridSpan w:val="2"/>
            <w:noWrap w:val="0"/>
            <w:vAlign w:val="center"/>
          </w:tcPr>
          <w:p w14:paraId="04510FF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名称</w:t>
            </w:r>
          </w:p>
        </w:tc>
        <w:tc>
          <w:tcPr>
            <w:tcW w:w="1195" w:type="dxa"/>
            <w:noWrap w:val="0"/>
            <w:vAlign w:val="center"/>
          </w:tcPr>
          <w:p w14:paraId="228F13C6">
            <w:pPr>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类别</w:t>
            </w:r>
          </w:p>
        </w:tc>
        <w:tc>
          <w:tcPr>
            <w:tcW w:w="2154" w:type="dxa"/>
            <w:noWrap w:val="0"/>
            <w:vAlign w:val="center"/>
          </w:tcPr>
          <w:p w14:paraId="4C806B3D">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工作内容</w:t>
            </w:r>
          </w:p>
        </w:tc>
        <w:tc>
          <w:tcPr>
            <w:tcW w:w="941" w:type="dxa"/>
            <w:noWrap w:val="0"/>
            <w:vAlign w:val="center"/>
          </w:tcPr>
          <w:p w14:paraId="23BF29F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单位</w:t>
            </w:r>
          </w:p>
        </w:tc>
        <w:tc>
          <w:tcPr>
            <w:tcW w:w="914" w:type="dxa"/>
            <w:noWrap w:val="0"/>
            <w:vAlign w:val="center"/>
          </w:tcPr>
          <w:p w14:paraId="2ABD6E5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1063" w:type="dxa"/>
            <w:noWrap w:val="0"/>
            <w:vAlign w:val="center"/>
          </w:tcPr>
          <w:p w14:paraId="5EC7ECCF">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单价</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元</w:t>
            </w:r>
            <w:r>
              <w:rPr>
                <w:rFonts w:hint="eastAsia" w:ascii="宋体" w:hAnsi="宋体" w:cs="宋体"/>
                <w:sz w:val="24"/>
                <w:szCs w:val="24"/>
                <w:highlight w:val="none"/>
                <w:lang w:eastAsia="zh-CN"/>
              </w:rPr>
              <w:t>）</w:t>
            </w:r>
          </w:p>
        </w:tc>
        <w:tc>
          <w:tcPr>
            <w:tcW w:w="917" w:type="dxa"/>
            <w:noWrap w:val="0"/>
            <w:vAlign w:val="center"/>
          </w:tcPr>
          <w:p w14:paraId="7ABDA311">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合价（元）</w:t>
            </w:r>
          </w:p>
        </w:tc>
      </w:tr>
      <w:tr w14:paraId="1F15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791" w:type="dxa"/>
            <w:noWrap w:val="0"/>
            <w:vAlign w:val="center"/>
          </w:tcPr>
          <w:p w14:paraId="0849C85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609" w:type="dxa"/>
            <w:gridSpan w:val="2"/>
            <w:noWrap w:val="0"/>
            <w:vAlign w:val="center"/>
          </w:tcPr>
          <w:p w14:paraId="12FEF426">
            <w:pPr>
              <w:jc w:val="center"/>
              <w:rPr>
                <w:rFonts w:hint="eastAsia" w:ascii="宋体" w:hAnsi="宋体" w:eastAsia="宋体" w:cs="宋体"/>
                <w:sz w:val="24"/>
                <w:szCs w:val="24"/>
                <w:highlight w:val="none"/>
              </w:rPr>
            </w:pPr>
          </w:p>
        </w:tc>
        <w:tc>
          <w:tcPr>
            <w:tcW w:w="1195" w:type="dxa"/>
            <w:noWrap w:val="0"/>
            <w:vAlign w:val="center"/>
          </w:tcPr>
          <w:p w14:paraId="00C8B9EC">
            <w:pPr>
              <w:jc w:val="center"/>
              <w:rPr>
                <w:rFonts w:hint="eastAsia" w:ascii="宋体" w:hAnsi="宋体" w:eastAsia="宋体" w:cs="宋体"/>
                <w:sz w:val="24"/>
                <w:szCs w:val="24"/>
                <w:highlight w:val="none"/>
              </w:rPr>
            </w:pPr>
          </w:p>
        </w:tc>
        <w:tc>
          <w:tcPr>
            <w:tcW w:w="2154" w:type="dxa"/>
            <w:noWrap w:val="0"/>
            <w:vAlign w:val="center"/>
          </w:tcPr>
          <w:p w14:paraId="32CCEFDD">
            <w:pPr>
              <w:jc w:val="center"/>
              <w:rPr>
                <w:rFonts w:hint="eastAsia" w:ascii="宋体" w:hAnsi="宋体" w:eastAsia="宋体" w:cs="宋体"/>
                <w:sz w:val="24"/>
                <w:szCs w:val="24"/>
                <w:highlight w:val="none"/>
              </w:rPr>
            </w:pPr>
          </w:p>
        </w:tc>
        <w:tc>
          <w:tcPr>
            <w:tcW w:w="941" w:type="dxa"/>
            <w:noWrap w:val="0"/>
            <w:vAlign w:val="center"/>
          </w:tcPr>
          <w:p w14:paraId="22B56B46">
            <w:pPr>
              <w:jc w:val="center"/>
              <w:rPr>
                <w:rFonts w:hint="eastAsia" w:ascii="宋体" w:hAnsi="宋体" w:eastAsia="宋体" w:cs="宋体"/>
                <w:sz w:val="24"/>
                <w:szCs w:val="24"/>
                <w:highlight w:val="none"/>
              </w:rPr>
            </w:pPr>
          </w:p>
        </w:tc>
        <w:tc>
          <w:tcPr>
            <w:tcW w:w="914" w:type="dxa"/>
            <w:noWrap w:val="0"/>
            <w:vAlign w:val="center"/>
          </w:tcPr>
          <w:p w14:paraId="0D38DE2D">
            <w:pPr>
              <w:jc w:val="center"/>
              <w:rPr>
                <w:rFonts w:hint="eastAsia" w:ascii="宋体" w:hAnsi="宋体" w:eastAsia="宋体" w:cs="宋体"/>
                <w:sz w:val="24"/>
                <w:szCs w:val="24"/>
                <w:highlight w:val="none"/>
              </w:rPr>
            </w:pPr>
          </w:p>
        </w:tc>
        <w:tc>
          <w:tcPr>
            <w:tcW w:w="1063" w:type="dxa"/>
            <w:noWrap w:val="0"/>
            <w:vAlign w:val="center"/>
          </w:tcPr>
          <w:p w14:paraId="3710B781">
            <w:pPr>
              <w:jc w:val="center"/>
              <w:rPr>
                <w:rFonts w:hint="eastAsia" w:ascii="宋体" w:hAnsi="宋体" w:eastAsia="宋体" w:cs="宋体"/>
                <w:sz w:val="24"/>
                <w:szCs w:val="24"/>
                <w:highlight w:val="none"/>
              </w:rPr>
            </w:pPr>
          </w:p>
        </w:tc>
        <w:tc>
          <w:tcPr>
            <w:tcW w:w="917" w:type="dxa"/>
            <w:noWrap w:val="0"/>
            <w:vAlign w:val="center"/>
          </w:tcPr>
          <w:p w14:paraId="6642680E">
            <w:pPr>
              <w:jc w:val="center"/>
              <w:rPr>
                <w:rFonts w:hint="eastAsia" w:ascii="宋体" w:hAnsi="宋体" w:eastAsia="宋体" w:cs="宋体"/>
                <w:sz w:val="24"/>
                <w:szCs w:val="24"/>
                <w:highlight w:val="none"/>
              </w:rPr>
            </w:pPr>
          </w:p>
        </w:tc>
      </w:tr>
      <w:tr w14:paraId="0B05C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791" w:type="dxa"/>
            <w:noWrap w:val="0"/>
            <w:vAlign w:val="center"/>
          </w:tcPr>
          <w:p w14:paraId="6FB0EC7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609" w:type="dxa"/>
            <w:gridSpan w:val="2"/>
            <w:noWrap w:val="0"/>
            <w:vAlign w:val="center"/>
          </w:tcPr>
          <w:p w14:paraId="0FCA54A9">
            <w:pPr>
              <w:jc w:val="center"/>
              <w:rPr>
                <w:rFonts w:hint="eastAsia" w:ascii="宋体" w:hAnsi="宋体" w:eastAsia="宋体" w:cs="宋体"/>
                <w:sz w:val="24"/>
                <w:szCs w:val="24"/>
                <w:highlight w:val="none"/>
              </w:rPr>
            </w:pPr>
          </w:p>
        </w:tc>
        <w:tc>
          <w:tcPr>
            <w:tcW w:w="1195" w:type="dxa"/>
            <w:noWrap w:val="0"/>
            <w:vAlign w:val="center"/>
          </w:tcPr>
          <w:p w14:paraId="169465AB">
            <w:pPr>
              <w:jc w:val="center"/>
              <w:rPr>
                <w:rFonts w:hint="eastAsia" w:ascii="宋体" w:hAnsi="宋体" w:eastAsia="宋体" w:cs="宋体"/>
                <w:sz w:val="24"/>
                <w:szCs w:val="24"/>
                <w:highlight w:val="none"/>
              </w:rPr>
            </w:pPr>
          </w:p>
        </w:tc>
        <w:tc>
          <w:tcPr>
            <w:tcW w:w="2154" w:type="dxa"/>
            <w:noWrap w:val="0"/>
            <w:vAlign w:val="center"/>
          </w:tcPr>
          <w:p w14:paraId="1DDF4DF8">
            <w:pPr>
              <w:jc w:val="center"/>
              <w:rPr>
                <w:rFonts w:hint="eastAsia" w:ascii="宋体" w:hAnsi="宋体" w:eastAsia="宋体" w:cs="宋体"/>
                <w:sz w:val="24"/>
                <w:szCs w:val="24"/>
                <w:highlight w:val="none"/>
              </w:rPr>
            </w:pPr>
          </w:p>
        </w:tc>
        <w:tc>
          <w:tcPr>
            <w:tcW w:w="941" w:type="dxa"/>
            <w:noWrap w:val="0"/>
            <w:vAlign w:val="center"/>
          </w:tcPr>
          <w:p w14:paraId="3C7A7D54">
            <w:pPr>
              <w:jc w:val="center"/>
              <w:rPr>
                <w:rFonts w:hint="eastAsia" w:ascii="宋体" w:hAnsi="宋体" w:eastAsia="宋体" w:cs="宋体"/>
                <w:sz w:val="24"/>
                <w:szCs w:val="24"/>
                <w:highlight w:val="none"/>
              </w:rPr>
            </w:pPr>
          </w:p>
        </w:tc>
        <w:tc>
          <w:tcPr>
            <w:tcW w:w="914" w:type="dxa"/>
            <w:noWrap w:val="0"/>
            <w:vAlign w:val="center"/>
          </w:tcPr>
          <w:p w14:paraId="32B8940B">
            <w:pPr>
              <w:jc w:val="center"/>
              <w:rPr>
                <w:rFonts w:hint="eastAsia" w:ascii="宋体" w:hAnsi="宋体" w:eastAsia="宋体" w:cs="宋体"/>
                <w:sz w:val="24"/>
                <w:szCs w:val="24"/>
                <w:highlight w:val="none"/>
              </w:rPr>
            </w:pPr>
          </w:p>
        </w:tc>
        <w:tc>
          <w:tcPr>
            <w:tcW w:w="1063" w:type="dxa"/>
            <w:noWrap w:val="0"/>
            <w:vAlign w:val="center"/>
          </w:tcPr>
          <w:p w14:paraId="7784932E">
            <w:pPr>
              <w:jc w:val="center"/>
              <w:rPr>
                <w:rFonts w:hint="eastAsia" w:ascii="宋体" w:hAnsi="宋体" w:eastAsia="宋体" w:cs="宋体"/>
                <w:sz w:val="24"/>
                <w:szCs w:val="24"/>
                <w:highlight w:val="none"/>
              </w:rPr>
            </w:pPr>
          </w:p>
        </w:tc>
        <w:tc>
          <w:tcPr>
            <w:tcW w:w="917" w:type="dxa"/>
            <w:noWrap w:val="0"/>
            <w:vAlign w:val="center"/>
          </w:tcPr>
          <w:p w14:paraId="448713FF">
            <w:pPr>
              <w:jc w:val="center"/>
              <w:rPr>
                <w:rFonts w:hint="eastAsia" w:ascii="宋体" w:hAnsi="宋体" w:eastAsia="宋体" w:cs="宋体"/>
                <w:sz w:val="24"/>
                <w:szCs w:val="24"/>
                <w:highlight w:val="none"/>
              </w:rPr>
            </w:pPr>
          </w:p>
        </w:tc>
      </w:tr>
      <w:tr w14:paraId="18FF0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791" w:type="dxa"/>
            <w:noWrap w:val="0"/>
            <w:vAlign w:val="center"/>
          </w:tcPr>
          <w:p w14:paraId="1D3F7C8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1609" w:type="dxa"/>
            <w:gridSpan w:val="2"/>
            <w:noWrap w:val="0"/>
            <w:vAlign w:val="center"/>
          </w:tcPr>
          <w:p w14:paraId="607F360E">
            <w:pPr>
              <w:jc w:val="center"/>
              <w:rPr>
                <w:rFonts w:hint="eastAsia" w:ascii="宋体" w:hAnsi="宋体" w:eastAsia="宋体" w:cs="宋体"/>
                <w:sz w:val="24"/>
                <w:szCs w:val="24"/>
                <w:highlight w:val="none"/>
              </w:rPr>
            </w:pPr>
          </w:p>
        </w:tc>
        <w:tc>
          <w:tcPr>
            <w:tcW w:w="1195" w:type="dxa"/>
            <w:noWrap w:val="0"/>
            <w:vAlign w:val="center"/>
          </w:tcPr>
          <w:p w14:paraId="54E94283">
            <w:pPr>
              <w:jc w:val="center"/>
              <w:rPr>
                <w:rFonts w:hint="eastAsia" w:ascii="宋体" w:hAnsi="宋体" w:eastAsia="宋体" w:cs="宋体"/>
                <w:sz w:val="24"/>
                <w:szCs w:val="24"/>
                <w:highlight w:val="none"/>
              </w:rPr>
            </w:pPr>
          </w:p>
        </w:tc>
        <w:tc>
          <w:tcPr>
            <w:tcW w:w="2154" w:type="dxa"/>
            <w:noWrap w:val="0"/>
            <w:vAlign w:val="center"/>
          </w:tcPr>
          <w:p w14:paraId="4934F611">
            <w:pPr>
              <w:jc w:val="center"/>
              <w:rPr>
                <w:rFonts w:hint="eastAsia" w:ascii="宋体" w:hAnsi="宋体" w:eastAsia="宋体" w:cs="宋体"/>
                <w:sz w:val="24"/>
                <w:szCs w:val="24"/>
                <w:highlight w:val="none"/>
              </w:rPr>
            </w:pPr>
          </w:p>
        </w:tc>
        <w:tc>
          <w:tcPr>
            <w:tcW w:w="941" w:type="dxa"/>
            <w:noWrap w:val="0"/>
            <w:vAlign w:val="center"/>
          </w:tcPr>
          <w:p w14:paraId="62D2A2B0">
            <w:pPr>
              <w:jc w:val="center"/>
              <w:rPr>
                <w:rFonts w:hint="eastAsia" w:ascii="宋体" w:hAnsi="宋体" w:eastAsia="宋体" w:cs="宋体"/>
                <w:sz w:val="24"/>
                <w:szCs w:val="24"/>
                <w:highlight w:val="none"/>
              </w:rPr>
            </w:pPr>
          </w:p>
        </w:tc>
        <w:tc>
          <w:tcPr>
            <w:tcW w:w="914" w:type="dxa"/>
            <w:noWrap w:val="0"/>
            <w:vAlign w:val="center"/>
          </w:tcPr>
          <w:p w14:paraId="5C9630D0">
            <w:pPr>
              <w:jc w:val="center"/>
              <w:rPr>
                <w:rFonts w:hint="eastAsia" w:ascii="宋体" w:hAnsi="宋体" w:eastAsia="宋体" w:cs="宋体"/>
                <w:sz w:val="24"/>
                <w:szCs w:val="24"/>
                <w:highlight w:val="none"/>
              </w:rPr>
            </w:pPr>
          </w:p>
        </w:tc>
        <w:tc>
          <w:tcPr>
            <w:tcW w:w="1063" w:type="dxa"/>
            <w:noWrap w:val="0"/>
            <w:vAlign w:val="center"/>
          </w:tcPr>
          <w:p w14:paraId="3F60C505">
            <w:pPr>
              <w:jc w:val="center"/>
              <w:rPr>
                <w:rFonts w:hint="eastAsia" w:ascii="宋体" w:hAnsi="宋体" w:eastAsia="宋体" w:cs="宋体"/>
                <w:sz w:val="24"/>
                <w:szCs w:val="24"/>
                <w:highlight w:val="none"/>
              </w:rPr>
            </w:pPr>
          </w:p>
        </w:tc>
        <w:tc>
          <w:tcPr>
            <w:tcW w:w="917" w:type="dxa"/>
            <w:noWrap w:val="0"/>
            <w:vAlign w:val="center"/>
          </w:tcPr>
          <w:p w14:paraId="49AFC542">
            <w:pPr>
              <w:jc w:val="center"/>
              <w:rPr>
                <w:rFonts w:hint="eastAsia" w:ascii="宋体" w:hAnsi="宋体" w:eastAsia="宋体" w:cs="宋体"/>
                <w:sz w:val="24"/>
                <w:szCs w:val="24"/>
                <w:highlight w:val="none"/>
              </w:rPr>
            </w:pPr>
          </w:p>
        </w:tc>
      </w:tr>
      <w:tr w14:paraId="16075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1528" w:type="dxa"/>
            <w:gridSpan w:val="2"/>
            <w:noWrap w:val="0"/>
            <w:vAlign w:val="center"/>
          </w:tcPr>
          <w:p w14:paraId="0012E0FA">
            <w:pPr>
              <w:jc w:val="both"/>
              <w:rPr>
                <w:rFonts w:hint="eastAsia" w:ascii="宋体" w:hAnsi="宋体" w:eastAsia="宋体" w:cs="宋体"/>
                <w:sz w:val="24"/>
                <w:szCs w:val="24"/>
                <w:highlight w:val="none"/>
                <w:lang w:val="en-US" w:eastAsia="zh-CN"/>
              </w:rPr>
            </w:pPr>
          </w:p>
        </w:tc>
        <w:tc>
          <w:tcPr>
            <w:tcW w:w="8056" w:type="dxa"/>
            <w:gridSpan w:val="7"/>
            <w:noWrap w:val="0"/>
            <w:vAlign w:val="center"/>
          </w:tcPr>
          <w:p w14:paraId="1A11D1A7">
            <w:pPr>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合计</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人民币（大写）        （￥        ）</w:t>
            </w:r>
          </w:p>
        </w:tc>
      </w:tr>
    </w:tbl>
    <w:p w14:paraId="5863BF1B">
      <w:pPr>
        <w:pStyle w:val="198"/>
        <w:spacing w:line="360" w:lineRule="auto"/>
        <w:ind w:left="0" w:firstLine="480"/>
        <w:rPr>
          <w:rFonts w:ascii="宋体" w:hAnsi="宋体" w:cs="宋体"/>
          <w:b/>
          <w:bCs/>
          <w:color w:val="000000"/>
          <w:sz w:val="24"/>
        </w:rPr>
      </w:pPr>
      <w:r>
        <w:rPr>
          <w:rFonts w:hint="eastAsia" w:ascii="宋体" w:hAnsi="宋体" w:cs="宋体"/>
          <w:color w:val="000000"/>
          <w:sz w:val="24"/>
          <w:lang w:val="en-US"/>
        </w:rPr>
        <w:t>2、合同金额</w:t>
      </w:r>
      <w:r>
        <w:rPr>
          <w:rFonts w:hint="eastAsia" w:ascii="宋体" w:hAnsi="宋体" w:cs="宋体"/>
          <w:color w:val="000000"/>
          <w:sz w:val="24"/>
          <w:lang w:val="en-US" w:eastAsia="zh-CN"/>
        </w:rPr>
        <w:t>：</w:t>
      </w:r>
      <w:r>
        <w:rPr>
          <w:rFonts w:hint="eastAsia" w:ascii="宋体" w:hAnsi="宋体" w:eastAsia="宋体" w:cs="宋体"/>
          <w:sz w:val="24"/>
          <w:szCs w:val="24"/>
          <w:highlight w:val="none"/>
          <w:u w:val="none"/>
        </w:rPr>
        <w:t>人民币</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，包括人工费及其它辅助费用、设备材料、管理、维护、保养、保险、利润、税金</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政策性文件规定及合同包含的所有风险、责任等各项应有费用。响应报价为最终报价，除非因特殊原因并经买卖双方协商同意，</w:t>
      </w:r>
      <w:r>
        <w:rPr>
          <w:rFonts w:hint="eastAsia" w:ascii="宋体" w:hAnsi="宋体" w:eastAsia="宋体" w:cs="宋体"/>
          <w:sz w:val="24"/>
          <w:szCs w:val="24"/>
          <w:highlight w:val="none"/>
          <w:lang w:val="en-US" w:eastAsia="zh-CN"/>
        </w:rPr>
        <w:t>乙方</w:t>
      </w:r>
      <w:r>
        <w:rPr>
          <w:rFonts w:hint="eastAsia" w:ascii="宋体" w:hAnsi="宋体" w:eastAsia="宋体" w:cs="宋体"/>
          <w:sz w:val="24"/>
          <w:szCs w:val="24"/>
          <w:highlight w:val="none"/>
        </w:rPr>
        <w:t>不得再要求追加任何费用。同时，除非合同条款中另有规定，否则在合同实施期间不因市场变化因素而变动。</w:t>
      </w:r>
      <w:r>
        <w:rPr>
          <w:rFonts w:hint="eastAsia" w:ascii="宋体" w:hAnsi="宋体" w:eastAsia="宋体" w:cs="宋体"/>
          <w:b/>
          <w:bCs/>
          <w:sz w:val="24"/>
          <w:szCs w:val="24"/>
          <w:highlight w:val="none"/>
        </w:rPr>
        <w:t>遇到法律法规规定的最低工资调整，其中人工费用相应浮动，由乙方自行承担。</w:t>
      </w:r>
    </w:p>
    <w:p w14:paraId="55D3DBA7">
      <w:pPr>
        <w:pStyle w:val="198"/>
        <w:spacing w:line="360" w:lineRule="auto"/>
        <w:rPr>
          <w:rFonts w:ascii="宋体" w:hAnsi="宋体" w:cs="宋体"/>
          <w:color w:val="000000"/>
          <w:sz w:val="24"/>
          <w:lang w:val="en-US"/>
        </w:rPr>
      </w:pPr>
      <w:r>
        <w:rPr>
          <w:rFonts w:hint="eastAsia" w:ascii="宋体" w:hAnsi="宋体" w:cs="宋体"/>
          <w:color w:val="000000"/>
          <w:sz w:val="24"/>
          <w:lang w:val="en-US"/>
        </w:rPr>
        <w:t>3、根据现行税法对甲方征收的与本合同有关的一切税费均由甲方承担；根据现行税法对乙方征收的与本合同有关的一切税费均由乙方承担。</w:t>
      </w:r>
    </w:p>
    <w:p w14:paraId="4E837276">
      <w:pPr>
        <w:pStyle w:val="198"/>
        <w:spacing w:line="360" w:lineRule="auto"/>
        <w:rPr>
          <w:rFonts w:ascii="宋体" w:hAnsi="宋体" w:cs="宋体"/>
          <w:color w:val="000000"/>
          <w:sz w:val="24"/>
          <w:lang w:val="en-US"/>
        </w:rPr>
      </w:pPr>
      <w:r>
        <w:rPr>
          <w:rFonts w:hint="eastAsia" w:ascii="宋体" w:hAnsi="宋体" w:cs="宋体"/>
          <w:color w:val="000000"/>
          <w:sz w:val="24"/>
          <w:lang w:val="en-US"/>
        </w:rPr>
        <w:t>二、</w:t>
      </w:r>
      <w:r>
        <w:rPr>
          <w:rFonts w:hint="eastAsia" w:ascii="宋体" w:hAnsi="宋体" w:cs="宋体"/>
          <w:sz w:val="24"/>
        </w:rPr>
        <w:t>服务要求及时间：</w:t>
      </w:r>
    </w:p>
    <w:p w14:paraId="28557B87">
      <w:pPr>
        <w:spacing w:line="360" w:lineRule="auto"/>
        <w:ind w:firstLine="480"/>
        <w:rPr>
          <w:rFonts w:ascii="宋体" w:hAnsi="宋体" w:cs="宋体"/>
          <w:color w:val="000000"/>
          <w:sz w:val="24"/>
        </w:rPr>
      </w:pPr>
      <w:r>
        <w:rPr>
          <w:rFonts w:hint="eastAsia" w:ascii="宋体" w:hAnsi="宋体" w:cs="宋体"/>
          <w:color w:val="000000"/>
          <w:sz w:val="24"/>
        </w:rPr>
        <w:t>1、</w:t>
      </w:r>
      <w:r>
        <w:rPr>
          <w:rFonts w:hint="eastAsia" w:ascii="宋体" w:hAnsi="宋体" w:cs="宋体"/>
          <w:sz w:val="24"/>
        </w:rPr>
        <w:t>乙方负责提供</w:t>
      </w:r>
      <w:r>
        <w:rPr>
          <w:rFonts w:hint="eastAsia" w:ascii="宋体" w:hAnsi="宋体" w:cs="宋体"/>
          <w:sz w:val="24"/>
          <w:u w:val="single"/>
        </w:rPr>
        <w:t xml:space="preserve"> </w:t>
      </w:r>
      <w:r>
        <w:rPr>
          <w:rFonts w:hint="eastAsia" w:ascii="宋体" w:hAnsi="宋体" w:cs="宋体"/>
          <w:sz w:val="24"/>
          <w:u w:val="single"/>
          <w:lang w:eastAsia="zh-CN"/>
        </w:rPr>
        <w:t>望亭镇2026年农村生活污水提升泵站养护服务</w:t>
      </w:r>
      <w:r>
        <w:rPr>
          <w:rFonts w:hint="eastAsia" w:ascii="宋体" w:hAnsi="宋体" w:cs="宋体"/>
          <w:sz w:val="24"/>
          <w:u w:val="single"/>
          <w:lang w:val="en-US" w:eastAsia="zh-CN"/>
        </w:rPr>
        <w:t xml:space="preserve"> </w:t>
      </w:r>
      <w:r>
        <w:rPr>
          <w:rFonts w:hint="eastAsia" w:ascii="宋体" w:hAnsi="宋体" w:cs="宋体"/>
          <w:sz w:val="24"/>
        </w:rPr>
        <w:t>（具体详见磋商文件及乙方的响应文件）；</w:t>
      </w:r>
    </w:p>
    <w:p w14:paraId="2A7C4FF5">
      <w:pPr>
        <w:pStyle w:val="198"/>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rPr>
        <w:t>2、服务期限：</w:t>
      </w:r>
      <w:r>
        <w:rPr>
          <w:rFonts w:hint="eastAsia" w:ascii="宋体" w:hAnsi="宋体" w:cs="宋体"/>
          <w:color w:val="000000"/>
          <w:sz w:val="24"/>
          <w:highlight w:val="none"/>
          <w:lang w:val="en-US" w:eastAsia="zh-CN"/>
        </w:rPr>
        <w:t>自合同签订之日起至2027年12月31日。</w:t>
      </w:r>
    </w:p>
    <w:p w14:paraId="0D514570">
      <w:pPr>
        <w:pStyle w:val="198"/>
        <w:spacing w:line="360" w:lineRule="auto"/>
        <w:rPr>
          <w:rFonts w:ascii="宋体" w:hAnsi="宋体" w:cs="宋体"/>
          <w:color w:val="000000"/>
          <w:sz w:val="24"/>
          <w:highlight w:val="none"/>
          <w:lang w:val="en-US"/>
        </w:rPr>
      </w:pPr>
      <w:r>
        <w:rPr>
          <w:rFonts w:hint="eastAsia" w:ascii="宋体" w:hAnsi="宋体" w:cs="宋体"/>
          <w:color w:val="000000"/>
          <w:sz w:val="24"/>
          <w:highlight w:val="none"/>
          <w:lang w:val="en-US"/>
        </w:rPr>
        <w:t>3、服务地点：</w:t>
      </w:r>
      <w:r>
        <w:rPr>
          <w:rFonts w:hint="eastAsia" w:asciiTheme="minorEastAsia" w:hAnsiTheme="minorEastAsia" w:eastAsiaTheme="minorEastAsia"/>
          <w:sz w:val="24"/>
          <w:highlight w:val="none"/>
          <w:lang w:val="en-US"/>
        </w:rPr>
        <w:t>甲方</w:t>
      </w:r>
      <w:r>
        <w:rPr>
          <w:rFonts w:hint="eastAsia" w:asciiTheme="minorEastAsia" w:hAnsiTheme="minorEastAsia" w:eastAsiaTheme="minorEastAsia"/>
          <w:sz w:val="24"/>
          <w:highlight w:val="none"/>
        </w:rPr>
        <w:t>指定地点。</w:t>
      </w:r>
    </w:p>
    <w:p w14:paraId="644ECD11">
      <w:pPr>
        <w:pStyle w:val="198"/>
        <w:spacing w:line="360" w:lineRule="auto"/>
        <w:rPr>
          <w:rFonts w:ascii="宋体" w:hAnsi="宋体" w:cs="宋体"/>
          <w:color w:val="auto"/>
          <w:sz w:val="24"/>
          <w:highlight w:val="none"/>
        </w:rPr>
      </w:pPr>
      <w:r>
        <w:rPr>
          <w:rFonts w:hint="eastAsia" w:ascii="宋体" w:hAnsi="宋体" w:cs="宋体"/>
          <w:color w:val="000000"/>
          <w:sz w:val="24"/>
          <w:highlight w:val="none"/>
          <w:lang w:val="en-US"/>
        </w:rPr>
        <w:t>三、</w:t>
      </w:r>
      <w:r>
        <w:rPr>
          <w:rFonts w:hint="eastAsia" w:ascii="宋体" w:hAnsi="宋体" w:cs="宋体"/>
          <w:sz w:val="24"/>
          <w:highlight w:val="none"/>
        </w:rPr>
        <w:t>付</w:t>
      </w:r>
      <w:bookmarkStart w:id="65" w:name="_GoBack"/>
      <w:r>
        <w:rPr>
          <w:rFonts w:hint="eastAsia" w:ascii="宋体" w:hAnsi="宋体" w:cs="宋体"/>
          <w:color w:val="auto"/>
          <w:sz w:val="24"/>
          <w:highlight w:val="none"/>
        </w:rPr>
        <w:t>款方式：</w:t>
      </w:r>
    </w:p>
    <w:p w14:paraId="5329D56C">
      <w:pPr>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1、支付步骤：</w:t>
      </w:r>
      <w:r>
        <w:rPr>
          <w:rFonts w:hint="eastAsia" w:ascii="宋体" w:hAnsi="宋体" w:eastAsia="宋体" w:cs="宋体"/>
          <w:color w:val="auto"/>
          <w:sz w:val="24"/>
          <w:szCs w:val="24"/>
          <w:highlight w:val="none"/>
          <w:lang w:val="en-US"/>
        </w:rPr>
        <w:t>合同签订生效后，甲方须预付合同总金额的10%给乙方</w:t>
      </w:r>
      <w:r>
        <w:rPr>
          <w:rFonts w:hint="eastAsia" w:ascii="宋体" w:hAnsi="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更换产品经</w:t>
      </w:r>
      <w:r>
        <w:rPr>
          <w:rFonts w:hint="eastAsia" w:ascii="宋体" w:hAnsi="宋体" w:eastAsia="宋体" w:cs="宋体"/>
          <w:b w:val="0"/>
          <w:bCs w:val="0"/>
          <w:color w:val="auto"/>
          <w:sz w:val="24"/>
          <w:szCs w:val="24"/>
          <w:highlight w:val="none"/>
        </w:rPr>
        <w:t>验收合格后支付至合同价的</w:t>
      </w:r>
      <w:r>
        <w:rPr>
          <w:rFonts w:hint="eastAsia" w:ascii="宋体" w:hAnsi="宋体" w:cs="宋体"/>
          <w:b w:val="0"/>
          <w:bCs w:val="0"/>
          <w:color w:val="auto"/>
          <w:sz w:val="24"/>
          <w:szCs w:val="24"/>
          <w:highlight w:val="none"/>
          <w:lang w:val="en-US" w:eastAsia="zh-CN"/>
        </w:rPr>
        <w:t>70</w:t>
      </w:r>
      <w:r>
        <w:rPr>
          <w:rFonts w:hint="eastAsia" w:ascii="宋体" w:hAnsi="宋体" w:eastAsia="宋体" w:cs="宋体"/>
          <w:b w:val="0"/>
          <w:bCs w:val="0"/>
          <w:color w:val="auto"/>
          <w:sz w:val="24"/>
          <w:szCs w:val="24"/>
          <w:highlight w:val="none"/>
        </w:rPr>
        <w:t>%，余款在全部验收合格后1年内付清。</w:t>
      </w:r>
    </w:p>
    <w:p w14:paraId="70D405D8">
      <w:pPr>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注：如在签订合同时，乙方明确表示无需预付款或者主动要求降低预付款比例的，甲方可不适用上述关于预付款的规定。</w:t>
      </w:r>
    </w:p>
    <w:p w14:paraId="19C0B6EB">
      <w:pPr>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2、乙方在申请付款时</w:t>
      </w:r>
      <w:bookmarkEnd w:id="65"/>
      <w:r>
        <w:rPr>
          <w:rFonts w:hint="eastAsia" w:ascii="宋体" w:hAnsi="宋体" w:eastAsia="宋体" w:cs="宋体"/>
          <w:b w:val="0"/>
          <w:bCs w:val="0"/>
          <w:color w:val="auto"/>
          <w:sz w:val="24"/>
          <w:szCs w:val="24"/>
          <w:highlight w:val="none"/>
        </w:rPr>
        <w:t>向甲方提供以下凭据：</w:t>
      </w:r>
    </w:p>
    <w:p w14:paraId="574FBF2E">
      <w:pPr>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A、合格发票；</w:t>
      </w:r>
    </w:p>
    <w:p w14:paraId="6936D68B">
      <w:pPr>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B、《政府采购履约验收书》。</w:t>
      </w:r>
    </w:p>
    <w:p w14:paraId="05A7D1B8">
      <w:pPr>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3、支付方式：银行转账等。</w:t>
      </w:r>
    </w:p>
    <w:p w14:paraId="6C6CA77B">
      <w:pPr>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4、相关说明：</w:t>
      </w:r>
      <w:r>
        <w:rPr>
          <w:rFonts w:hint="eastAsia" w:ascii="宋体" w:hAnsi="宋体" w:eastAsia="宋体" w:cs="宋体"/>
          <w:b w:val="0"/>
          <w:bCs w:val="0"/>
          <w:color w:val="auto"/>
          <w:sz w:val="24"/>
          <w:highlight w:val="none"/>
          <w:lang w:val="en-US" w:eastAsia="zh-CN"/>
        </w:rPr>
        <w:t>甲方付款时按实际完成维修量结算，实际支付金额可能跟合同金额有所差异，但甲方最终支付金额不得超过合同金额。</w:t>
      </w:r>
    </w:p>
    <w:p w14:paraId="1142F32D">
      <w:pPr>
        <w:pStyle w:val="198"/>
        <w:spacing w:line="360" w:lineRule="auto"/>
        <w:rPr>
          <w:rFonts w:ascii="宋体" w:hAnsi="宋体" w:cs="宋体"/>
          <w:color w:val="000000"/>
          <w:sz w:val="24"/>
          <w:highlight w:val="none"/>
          <w:lang w:val="en-US"/>
        </w:rPr>
      </w:pPr>
      <w:r>
        <w:rPr>
          <w:rFonts w:hint="eastAsia" w:ascii="宋体" w:hAnsi="宋体" w:cs="宋体"/>
          <w:color w:val="000000"/>
          <w:sz w:val="24"/>
          <w:highlight w:val="none"/>
          <w:lang w:val="en-US"/>
        </w:rPr>
        <w:t>四、</w:t>
      </w:r>
      <w:r>
        <w:rPr>
          <w:rFonts w:hint="eastAsia" w:ascii="宋体" w:hAnsi="宋体" w:eastAsia="宋体" w:cs="宋体"/>
          <w:b w:val="0"/>
          <w:bCs w:val="0"/>
          <w:color w:val="auto"/>
          <w:sz w:val="24"/>
          <w:szCs w:val="24"/>
          <w:highlight w:val="none"/>
        </w:rPr>
        <w:t>验收标准：按</w:t>
      </w:r>
      <w:r>
        <w:rPr>
          <w:rFonts w:hint="eastAsia" w:ascii="宋体" w:hAnsi="宋体" w:eastAsia="宋体" w:cs="宋体"/>
          <w:b w:val="0"/>
          <w:bCs w:val="0"/>
          <w:color w:val="auto"/>
          <w:sz w:val="24"/>
          <w:szCs w:val="24"/>
          <w:highlight w:val="none"/>
          <w:lang w:val="en-US" w:eastAsia="zh-CN"/>
        </w:rPr>
        <w:t>采购文件或相关</w:t>
      </w:r>
      <w:r>
        <w:rPr>
          <w:rFonts w:hint="eastAsia" w:ascii="宋体" w:hAnsi="宋体" w:eastAsia="宋体" w:cs="宋体"/>
          <w:b w:val="0"/>
          <w:bCs w:val="0"/>
          <w:color w:val="auto"/>
          <w:sz w:val="24"/>
          <w:szCs w:val="24"/>
          <w:highlight w:val="none"/>
        </w:rPr>
        <w:t>要求进行验收。</w:t>
      </w:r>
    </w:p>
    <w:p w14:paraId="46957D2C">
      <w:pPr>
        <w:keepNext w:val="0"/>
        <w:keepLines w:val="0"/>
        <w:pageBreakBefore w:val="0"/>
        <w:widowControl w:val="0"/>
        <w:spacing w:line="360" w:lineRule="auto"/>
        <w:ind w:firstLine="480"/>
        <w:outlineLvl w:val="9"/>
        <w:rPr>
          <w:rFonts w:hint="eastAsia" w:ascii="宋体" w:hAnsi="宋体" w:eastAsia="宋体" w:cs="宋体"/>
          <w:b w:val="0"/>
          <w:bCs w:val="0"/>
          <w:color w:val="auto"/>
          <w:sz w:val="24"/>
          <w:szCs w:val="24"/>
          <w:highlight w:val="none"/>
          <w:lang w:val="en-US" w:eastAsia="zh-CN"/>
        </w:rPr>
      </w:pPr>
      <w:r>
        <w:rPr>
          <w:rFonts w:hint="eastAsia" w:ascii="宋体" w:hAnsi="宋体"/>
          <w:bCs/>
          <w:sz w:val="24"/>
          <w:highlight w:val="none"/>
          <w:lang w:val="en-US" w:eastAsia="zh-CN"/>
        </w:rPr>
        <w:t>五、</w:t>
      </w:r>
      <w:r>
        <w:rPr>
          <w:rFonts w:hint="eastAsia" w:ascii="宋体" w:hAnsi="宋体" w:eastAsia="宋体" w:cs="宋体"/>
          <w:b w:val="0"/>
          <w:bCs w:val="0"/>
          <w:color w:val="auto"/>
          <w:sz w:val="24"/>
          <w:szCs w:val="24"/>
          <w:highlight w:val="none"/>
          <w:lang w:val="en-US" w:eastAsia="zh-CN"/>
        </w:rPr>
        <w:t>维保售后服务：</w:t>
      </w:r>
    </w:p>
    <w:p w14:paraId="14468ED2">
      <w:pPr>
        <w:keepNext w:val="0"/>
        <w:keepLines w:val="0"/>
        <w:pageBreakBefore w:val="0"/>
        <w:widowControl w:val="0"/>
        <w:spacing w:line="360" w:lineRule="auto"/>
        <w:ind w:firstLine="480"/>
        <w:outlineLvl w:val="9"/>
        <w:rPr>
          <w:rFonts w:hint="eastAsia" w:ascii="宋体" w:hAnsi="宋体" w:eastAsia="宋体"/>
          <w:bCs/>
          <w:sz w:val="24"/>
          <w:highlight w:val="none"/>
          <w:lang w:val="en-US" w:eastAsia="zh-CN"/>
        </w:rPr>
      </w:pPr>
      <w:r>
        <w:rPr>
          <w:rFonts w:hint="eastAsia" w:ascii="宋体" w:hAnsi="宋体" w:eastAsia="宋体" w:cs="宋体"/>
          <w:b w:val="0"/>
          <w:bCs w:val="0"/>
          <w:color w:val="auto"/>
          <w:sz w:val="24"/>
          <w:szCs w:val="24"/>
          <w:highlight w:val="none"/>
        </w:rPr>
        <w:t>更换产品经验收合格之日起，整个项目质保</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lang w:val="en-US" w:eastAsia="zh-CN"/>
        </w:rPr>
        <w:t>(如国家有明确规定质保期限的按国家规定执行）</w:t>
      </w:r>
      <w:r>
        <w:rPr>
          <w:rFonts w:hint="eastAsia" w:ascii="宋体" w:hAnsi="宋体" w:eastAsia="宋体" w:cs="宋体"/>
          <w:b w:val="0"/>
          <w:bCs w:val="0"/>
          <w:color w:val="auto"/>
          <w:sz w:val="24"/>
          <w:szCs w:val="24"/>
          <w:highlight w:val="none"/>
        </w:rPr>
        <w:t>，在质保期内出现质量问题（人为除外），乙方负责无条件维修或更换。</w:t>
      </w:r>
      <w:r>
        <w:rPr>
          <w:rFonts w:hint="eastAsia" w:ascii="宋体" w:hAnsi="宋体" w:eastAsia="宋体" w:cs="宋体"/>
          <w:b w:val="0"/>
          <w:bCs w:val="0"/>
          <w:color w:val="auto"/>
          <w:sz w:val="24"/>
          <w:szCs w:val="24"/>
          <w:highlight w:val="none"/>
          <w:lang w:val="en-US" w:eastAsia="zh-CN"/>
        </w:rPr>
        <w:t>甲方</w:t>
      </w:r>
      <w:r>
        <w:rPr>
          <w:rFonts w:hint="eastAsia" w:ascii="宋体" w:hAnsi="宋体" w:eastAsia="宋体" w:cs="宋体"/>
          <w:b w:val="0"/>
          <w:bCs w:val="0"/>
          <w:color w:val="auto"/>
          <w:sz w:val="24"/>
          <w:szCs w:val="24"/>
          <w:highlight w:val="none"/>
        </w:rPr>
        <w:t>报修后，</w:t>
      </w:r>
      <w:r>
        <w:rPr>
          <w:rFonts w:hint="eastAsia" w:ascii="宋体" w:hAnsi="宋体" w:eastAsia="宋体" w:cs="宋体"/>
          <w:b w:val="0"/>
          <w:bCs w:val="0"/>
          <w:color w:val="auto"/>
          <w:sz w:val="24"/>
          <w:szCs w:val="24"/>
          <w:highlight w:val="none"/>
          <w:lang w:val="en-US" w:eastAsia="zh-CN"/>
        </w:rPr>
        <w:t>乙方</w:t>
      </w:r>
      <w:r>
        <w:rPr>
          <w:rFonts w:hint="eastAsia" w:ascii="宋体" w:hAnsi="宋体" w:eastAsia="宋体" w:cs="宋体"/>
          <w:b w:val="0"/>
          <w:bCs w:val="0"/>
          <w:color w:val="auto"/>
          <w:sz w:val="24"/>
          <w:szCs w:val="24"/>
          <w:highlight w:val="none"/>
        </w:rPr>
        <w:t>应在</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小时内响应，</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小时内到达现场，</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小时内完成</w:t>
      </w:r>
      <w:r>
        <w:rPr>
          <w:rFonts w:hint="eastAsia" w:ascii="宋体" w:hAnsi="宋体" w:eastAsia="宋体" w:cs="宋体"/>
          <w:b w:val="0"/>
          <w:bCs w:val="0"/>
          <w:color w:val="auto"/>
          <w:sz w:val="24"/>
          <w:szCs w:val="24"/>
          <w:highlight w:val="none"/>
          <w:lang w:val="en-US" w:eastAsia="zh-CN"/>
        </w:rPr>
        <w:t>甲方</w:t>
      </w:r>
      <w:r>
        <w:rPr>
          <w:rFonts w:hint="eastAsia" w:ascii="宋体" w:hAnsi="宋体" w:eastAsia="宋体" w:cs="宋体"/>
          <w:b w:val="0"/>
          <w:bCs w:val="0"/>
          <w:color w:val="auto"/>
          <w:sz w:val="24"/>
          <w:szCs w:val="24"/>
          <w:highlight w:val="none"/>
        </w:rPr>
        <w:t>提出的维修要求。</w:t>
      </w:r>
    </w:p>
    <w:p w14:paraId="2C421E9A">
      <w:pPr>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六</w:t>
      </w:r>
      <w:r>
        <w:rPr>
          <w:rFonts w:hint="eastAsia" w:ascii="宋体" w:hAnsi="宋体" w:eastAsia="宋体" w:cs="宋体"/>
          <w:b w:val="0"/>
          <w:bCs w:val="0"/>
          <w:color w:val="auto"/>
          <w:sz w:val="24"/>
          <w:szCs w:val="24"/>
          <w:highlight w:val="none"/>
        </w:rPr>
        <w:t>、违约责任：</w:t>
      </w:r>
    </w:p>
    <w:p w14:paraId="74B64F91">
      <w:pPr>
        <w:pStyle w:val="198"/>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1、甲方违约责任及违约金支付：</w:t>
      </w:r>
    </w:p>
    <w:p w14:paraId="17C44897">
      <w:pPr>
        <w:pStyle w:val="198"/>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（1）在合同生效后，甲方无理由要求终止服务的，应向乙方偿付合同总价款的5%，作为违约金，违约金不足以补偿损失的，乙方有权要求甲方补足。</w:t>
      </w:r>
    </w:p>
    <w:p w14:paraId="08F2E3FF">
      <w:pPr>
        <w:pStyle w:val="198"/>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（2）甲方逾期付款的应按照逾期付款金额的每天万分之四支付逾期付款违约金。</w:t>
      </w:r>
    </w:p>
    <w:p w14:paraId="37487035">
      <w:pPr>
        <w:pStyle w:val="198"/>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（3）甲方违反合同规定，拒绝接受乙方提供的服务，应当承担乙方由此造成的损失。</w:t>
      </w:r>
    </w:p>
    <w:p w14:paraId="34671DBF">
      <w:pPr>
        <w:pStyle w:val="198"/>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2、乙方违约责任及违约金支付：</w:t>
      </w:r>
    </w:p>
    <w:p w14:paraId="48E4EB02">
      <w:pPr>
        <w:pStyle w:val="198"/>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（1）乙方不能提供服务的，或服务不合格从而影响甲方按期正常使用的，应向甲方偿付合同总价款5%的违约金，违约金不足以补偿损失的甲方有权要求乙方补足。</w:t>
      </w:r>
    </w:p>
    <w:p w14:paraId="6BB68BBD">
      <w:pPr>
        <w:keepNext w:val="0"/>
        <w:keepLines w:val="0"/>
        <w:pageBreakBefore w:val="0"/>
        <w:widowControl w:val="0"/>
        <w:spacing w:line="360" w:lineRule="auto"/>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rPr>
        <w:t>（2）乙方逾期提供服务的，应与甲方协商，甲方仍有需求的，乙方应立即提供</w:t>
      </w:r>
      <w:r>
        <w:rPr>
          <w:rFonts w:hint="eastAsia" w:ascii="宋体" w:hAnsi="宋体" w:eastAsia="宋体" w:cs="宋体"/>
          <w:sz w:val="24"/>
          <w:szCs w:val="24"/>
          <w:highlight w:val="none"/>
          <w:lang w:val="en-US" w:eastAsia="zh-CN"/>
        </w:rPr>
        <w:t>人员</w:t>
      </w:r>
      <w:r>
        <w:rPr>
          <w:rFonts w:hint="eastAsia" w:ascii="宋体" w:hAnsi="宋体" w:eastAsia="宋体" w:cs="宋体"/>
          <w:sz w:val="24"/>
          <w:szCs w:val="24"/>
          <w:highlight w:val="none"/>
          <w:lang w:val="en-US"/>
        </w:rPr>
        <w:t>服务按照逾期维护服务的每天万分之四支付逾期违约金，同时承担甲方因此遭致的损失费用。</w:t>
      </w:r>
    </w:p>
    <w:p w14:paraId="1E14E075">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七、</w:t>
      </w:r>
      <w:r>
        <w:rPr>
          <w:rFonts w:hint="eastAsia" w:ascii="宋体" w:hAnsi="宋体" w:eastAsia="宋体" w:cs="宋体"/>
          <w:sz w:val="24"/>
          <w:szCs w:val="24"/>
          <w:highlight w:val="none"/>
        </w:rPr>
        <w:t>安全措施及责任</w:t>
      </w:r>
      <w:r>
        <w:rPr>
          <w:rFonts w:hint="eastAsia" w:ascii="宋体" w:hAnsi="宋体" w:eastAsia="宋体" w:cs="宋体"/>
          <w:sz w:val="24"/>
          <w:szCs w:val="24"/>
          <w:highlight w:val="none"/>
          <w:lang w:eastAsia="zh-CN"/>
        </w:rPr>
        <w:t>：</w:t>
      </w:r>
    </w:p>
    <w:p w14:paraId="583AAC0E">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1、在现场工作时，</w:t>
      </w:r>
      <w:r>
        <w:rPr>
          <w:rFonts w:hint="eastAsia" w:ascii="宋体" w:hAnsi="宋体" w:eastAsia="宋体" w:cs="宋体"/>
          <w:sz w:val="24"/>
          <w:szCs w:val="24"/>
          <w:highlight w:val="none"/>
          <w:lang w:val="en-US" w:eastAsia="zh-CN"/>
        </w:rPr>
        <w:t>乙方</w:t>
      </w:r>
      <w:r>
        <w:rPr>
          <w:rFonts w:hint="eastAsia" w:ascii="宋体" w:hAnsi="宋体" w:eastAsia="宋体" w:cs="宋体"/>
          <w:sz w:val="24"/>
          <w:szCs w:val="24"/>
          <w:highlight w:val="none"/>
        </w:rPr>
        <w:t>应遵守政府有关安全法律法规，并对其人员的安全负责，在作业现场，</w:t>
      </w:r>
      <w:r>
        <w:rPr>
          <w:rFonts w:hint="eastAsia" w:ascii="宋体" w:hAnsi="宋体" w:eastAsia="宋体" w:cs="宋体"/>
          <w:sz w:val="24"/>
          <w:szCs w:val="24"/>
          <w:highlight w:val="none"/>
          <w:lang w:val="en-US" w:eastAsia="zh-CN"/>
        </w:rPr>
        <w:t>乙方</w:t>
      </w:r>
      <w:r>
        <w:rPr>
          <w:rFonts w:hint="eastAsia" w:ascii="宋体" w:hAnsi="宋体" w:eastAsia="宋体" w:cs="宋体"/>
          <w:sz w:val="24"/>
          <w:szCs w:val="24"/>
          <w:highlight w:val="none"/>
        </w:rPr>
        <w:t>应采取必要的安全措施，并应保障甲方免于承担由此导致的一切诉讼、争执、索赔、罚款，任何事故和责任均由</w:t>
      </w:r>
      <w:r>
        <w:rPr>
          <w:rFonts w:hint="eastAsia" w:ascii="宋体" w:hAnsi="宋体" w:eastAsia="宋体" w:cs="宋体"/>
          <w:sz w:val="24"/>
          <w:szCs w:val="24"/>
          <w:highlight w:val="none"/>
          <w:lang w:val="en-US" w:eastAsia="zh-CN"/>
        </w:rPr>
        <w:t>乙方</w:t>
      </w:r>
      <w:r>
        <w:rPr>
          <w:rFonts w:hint="eastAsia" w:ascii="宋体" w:hAnsi="宋体" w:eastAsia="宋体" w:cs="宋体"/>
          <w:sz w:val="24"/>
          <w:szCs w:val="24"/>
          <w:highlight w:val="none"/>
        </w:rPr>
        <w:t>承担。</w:t>
      </w:r>
    </w:p>
    <w:p w14:paraId="058DA6E4">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bCs/>
          <w:sz w:val="24"/>
          <w:szCs w:val="24"/>
          <w:highlight w:val="none"/>
          <w:lang w:eastAsia="zh-CN"/>
        </w:rPr>
        <w:t>八</w:t>
      </w:r>
      <w:r>
        <w:rPr>
          <w:rFonts w:hint="eastAsia" w:ascii="宋体" w:hAnsi="宋体" w:eastAsia="宋体" w:cs="宋体"/>
          <w:bCs/>
          <w:sz w:val="24"/>
          <w:szCs w:val="24"/>
          <w:highlight w:val="none"/>
        </w:rPr>
        <w:t>、不可抗力</w:t>
      </w:r>
      <w:r>
        <w:rPr>
          <w:rFonts w:hint="eastAsia" w:ascii="宋体" w:hAnsi="宋体" w:eastAsia="宋体" w:cs="宋体"/>
          <w:bCs/>
          <w:sz w:val="24"/>
          <w:szCs w:val="24"/>
          <w:highlight w:val="none"/>
          <w:lang w:eastAsia="zh-CN"/>
        </w:rPr>
        <w:t>：</w:t>
      </w:r>
    </w:p>
    <w:p w14:paraId="2E9CA93E">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1、因不可抗力不能履行合同的，根据不可抗力的影响，部分或者全部免除责任。但合同一方延迟履行后发生不可抗力的，不能免除责任。</w:t>
      </w:r>
    </w:p>
    <w:p w14:paraId="051DB3FD">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2、合同一方因不可抗力不能履行合同的，应当及时通知对方，以减轻可能给对方造成的损失，并应当在合理期限内提供证明。</w:t>
      </w:r>
    </w:p>
    <w:p w14:paraId="239D0766">
      <w:pPr>
        <w:keepNext w:val="0"/>
        <w:keepLines w:val="0"/>
        <w:pageBreakBefore w:val="0"/>
        <w:widowControl w:val="0"/>
        <w:spacing w:line="360" w:lineRule="auto"/>
        <w:ind w:firstLine="48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九</w:t>
      </w:r>
      <w:r>
        <w:rPr>
          <w:rFonts w:hint="eastAsia" w:ascii="宋体" w:hAnsi="宋体" w:eastAsia="宋体" w:cs="宋体"/>
          <w:bCs/>
          <w:sz w:val="24"/>
          <w:szCs w:val="24"/>
          <w:highlight w:val="none"/>
        </w:rPr>
        <w:t>、合同的解除和转让</w:t>
      </w:r>
      <w:r>
        <w:rPr>
          <w:rFonts w:hint="eastAsia" w:ascii="宋体" w:hAnsi="宋体" w:eastAsia="宋体" w:cs="宋体"/>
          <w:bCs/>
          <w:sz w:val="24"/>
          <w:szCs w:val="24"/>
          <w:highlight w:val="none"/>
          <w:lang w:eastAsia="zh-CN"/>
        </w:rPr>
        <w:t>：</w:t>
      </w:r>
    </w:p>
    <w:p w14:paraId="03681CFA">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1、甲方和乙方协商一致，可以解除合同。</w:t>
      </w:r>
    </w:p>
    <w:p w14:paraId="7143ED1B">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2、有下列情形之一，合同一方可以解除合同：</w:t>
      </w:r>
    </w:p>
    <w:p w14:paraId="4CD28D41">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2.1因不可抗力致使不能实现合同目的，未受不可抗力影响的一方有权解除合同；</w:t>
      </w:r>
    </w:p>
    <w:p w14:paraId="6C753A60">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2.2因合同一方违约导致合同不能履行，另一方有权解除合同；</w:t>
      </w:r>
    </w:p>
    <w:p w14:paraId="058EEA6B">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2.3有权解除合同的一方，应当在违约事实或不可抗力发生之后三十天内书面通知对方以主张解除合同，合同在书面通知到达对方时解除；</w:t>
      </w:r>
    </w:p>
    <w:p w14:paraId="0DFFA13E">
      <w:pPr>
        <w:keepNext w:val="0"/>
        <w:keepLines w:val="0"/>
        <w:pageBreakBefore w:val="0"/>
        <w:widowControl w:val="0"/>
        <w:spacing w:line="360" w:lineRule="auto"/>
        <w:ind w:firstLine="480"/>
        <w:rPr>
          <w:rFonts w:hint="eastAsia" w:ascii="宋体" w:hAnsi="宋体" w:eastAsia="宋体" w:cs="宋体"/>
          <w:bCs/>
          <w:sz w:val="24"/>
          <w:szCs w:val="24"/>
          <w:highlight w:val="none"/>
        </w:rPr>
      </w:pPr>
      <w:r>
        <w:rPr>
          <w:rFonts w:hint="eastAsia" w:ascii="宋体" w:hAnsi="宋体" w:eastAsia="宋体" w:cs="宋体"/>
          <w:sz w:val="24"/>
          <w:szCs w:val="24"/>
          <w:highlight w:val="none"/>
        </w:rPr>
        <w:t>2.4乙方</w:t>
      </w:r>
      <w:r>
        <w:rPr>
          <w:rFonts w:hint="eastAsia" w:ascii="宋体" w:hAnsi="宋体" w:eastAsia="宋体" w:cs="宋体"/>
          <w:bCs/>
          <w:sz w:val="24"/>
          <w:szCs w:val="24"/>
          <w:highlight w:val="none"/>
        </w:rPr>
        <w:t>进场服务出现与采购文件内容不一致，甲方可采取书面警告与终止合同（如人员配备数量、服务区域等）。</w:t>
      </w:r>
    </w:p>
    <w:p w14:paraId="48118DB4">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3、合同的部分和全部都不得转让。</w:t>
      </w:r>
    </w:p>
    <w:p w14:paraId="05722D94">
      <w:pPr>
        <w:keepNext w:val="0"/>
        <w:keepLines w:val="0"/>
        <w:pageBreakBefore w:val="0"/>
        <w:widowControl w:val="0"/>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十</w:t>
      </w:r>
      <w:r>
        <w:rPr>
          <w:rFonts w:hint="eastAsia" w:ascii="宋体" w:hAnsi="宋体" w:eastAsia="宋体" w:cs="宋体"/>
          <w:bCs/>
          <w:sz w:val="24"/>
          <w:szCs w:val="24"/>
          <w:highlight w:val="none"/>
        </w:rPr>
        <w:t>、争议解决办法：</w:t>
      </w:r>
    </w:p>
    <w:p w14:paraId="126C7B23">
      <w:pPr>
        <w:keepNext w:val="0"/>
        <w:keepLines w:val="0"/>
        <w:pageBreakBefore w:val="0"/>
        <w:widowControl w:val="0"/>
        <w:spacing w:line="360" w:lineRule="auto"/>
        <w:ind w:left="8"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因本合同或与本合同有关的一切事项发生争议，由双方友好协商解决。协商不成的，任何一方均可选择以下解决：</w:t>
      </w:r>
    </w:p>
    <w:p w14:paraId="38C38198">
      <w:pPr>
        <w:keepNext w:val="0"/>
        <w:keepLines w:val="0"/>
        <w:pageBreakBefore w:val="0"/>
        <w:widowControl w:val="0"/>
        <w:spacing w:line="360" w:lineRule="auto"/>
        <w:ind w:left="8"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方式一：双方达成仲裁协议，向约定的仲裁委员会申请仲裁，本合同约定的仲裁委员会是</w:t>
      </w:r>
      <w:r>
        <w:rPr>
          <w:rFonts w:hint="eastAsia" w:ascii="宋体" w:hAnsi="宋体" w:eastAsia="宋体" w:cs="宋体"/>
          <w:sz w:val="24"/>
          <w:szCs w:val="24"/>
          <w:highlight w:val="none"/>
          <w:u w:val="none"/>
        </w:rPr>
        <w:t>合同履行地仲裁机构</w:t>
      </w:r>
      <w:r>
        <w:rPr>
          <w:rFonts w:hint="eastAsia" w:ascii="宋体" w:hAnsi="宋体" w:eastAsia="宋体" w:cs="宋体"/>
          <w:sz w:val="24"/>
          <w:szCs w:val="24"/>
          <w:highlight w:val="none"/>
        </w:rPr>
        <w:t>；</w:t>
      </w:r>
    </w:p>
    <w:p w14:paraId="6C2FD0F1">
      <w:pPr>
        <w:keepNext w:val="0"/>
        <w:keepLines w:val="0"/>
        <w:pageBreakBefore w:val="0"/>
        <w:widowControl w:val="0"/>
        <w:spacing w:line="360" w:lineRule="auto"/>
        <w:ind w:left="8"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方式二：向有管辖权的人民法院起诉。</w:t>
      </w:r>
    </w:p>
    <w:p w14:paraId="016680F6">
      <w:pPr>
        <w:keepNext w:val="0"/>
        <w:keepLines w:val="0"/>
        <w:pageBreakBefore w:val="0"/>
        <w:widowControl w:val="0"/>
        <w:spacing w:line="360" w:lineRule="auto"/>
        <w:ind w:left="8"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十一</w:t>
      </w:r>
      <w:r>
        <w:rPr>
          <w:rFonts w:hint="eastAsia" w:ascii="宋体" w:hAnsi="宋体" w:eastAsia="宋体" w:cs="宋体"/>
          <w:sz w:val="24"/>
          <w:szCs w:val="24"/>
          <w:highlight w:val="none"/>
        </w:rPr>
        <w:t>、合同生效及其他：</w:t>
      </w:r>
    </w:p>
    <w:p w14:paraId="49AE2586">
      <w:pPr>
        <w:keepNext w:val="0"/>
        <w:keepLines w:val="0"/>
        <w:pageBreakBefore w:val="0"/>
        <w:widowControl w:val="0"/>
        <w:spacing w:line="360" w:lineRule="auto"/>
        <w:ind w:left="8"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1、合同经甲乙双方代表签字并加盖公章（或合同章）后生效，由采购人向财政部门申请完成备案工作。</w:t>
      </w:r>
    </w:p>
    <w:p w14:paraId="57193B90">
      <w:pPr>
        <w:keepNext w:val="0"/>
        <w:keepLines w:val="0"/>
        <w:pageBreakBefore w:val="0"/>
        <w:widowControl w:val="0"/>
        <w:spacing w:line="360" w:lineRule="auto"/>
        <w:ind w:left="8" w:firstLine="480"/>
        <w:rPr>
          <w:rFonts w:hint="eastAsia" w:ascii="宋体" w:hAnsi="宋体" w:eastAsia="宋体" w:cs="宋体"/>
          <w:bCs/>
          <w:sz w:val="24"/>
          <w:szCs w:val="24"/>
          <w:highlight w:val="none"/>
        </w:rPr>
      </w:pPr>
      <w:r>
        <w:rPr>
          <w:rFonts w:hint="eastAsia" w:ascii="宋体" w:hAnsi="宋体" w:eastAsia="宋体" w:cs="宋体"/>
          <w:sz w:val="24"/>
          <w:szCs w:val="24"/>
          <w:highlight w:val="none"/>
        </w:rPr>
        <w:t>2、下列文件为本合同不可分割部分</w:t>
      </w:r>
      <w:r>
        <w:rPr>
          <w:rFonts w:hint="eastAsia" w:ascii="宋体" w:hAnsi="宋体" w:eastAsia="宋体" w:cs="宋体"/>
          <w:bCs/>
          <w:sz w:val="24"/>
          <w:szCs w:val="24"/>
          <w:highlight w:val="none"/>
        </w:rPr>
        <w:t>：</w:t>
      </w:r>
    </w:p>
    <w:p w14:paraId="49FE9603">
      <w:pPr>
        <w:keepNext w:val="0"/>
        <w:keepLines w:val="0"/>
        <w:pageBreakBefore w:val="0"/>
        <w:widowControl w:val="0"/>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2.1成交通知书；</w:t>
      </w:r>
    </w:p>
    <w:p w14:paraId="7973C0F0">
      <w:pPr>
        <w:keepNext w:val="0"/>
        <w:keepLines w:val="0"/>
        <w:pageBreakBefore w:val="0"/>
        <w:widowControl w:val="0"/>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2.2乙方成交的响应文件；</w:t>
      </w:r>
    </w:p>
    <w:p w14:paraId="16ECE2A1">
      <w:pPr>
        <w:keepNext w:val="0"/>
        <w:keepLines w:val="0"/>
        <w:pageBreakBefore w:val="0"/>
        <w:widowControl w:val="0"/>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2.3乙方在磋商过程中所作的其它承诺、声明、书面澄清等；</w:t>
      </w:r>
    </w:p>
    <w:p w14:paraId="2FAA4A23">
      <w:pPr>
        <w:keepNext w:val="0"/>
        <w:keepLines w:val="0"/>
        <w:pageBreakBefore w:val="0"/>
        <w:widowControl w:val="0"/>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2.4</w:t>
      </w:r>
      <w:r>
        <w:rPr>
          <w:rFonts w:hint="eastAsia" w:ascii="宋体" w:hAnsi="宋体" w:eastAsia="宋体" w:cs="宋体"/>
          <w:bCs/>
          <w:sz w:val="24"/>
          <w:szCs w:val="24"/>
          <w:highlight w:val="none"/>
          <w:lang w:val="en-US" w:eastAsia="zh-CN"/>
        </w:rPr>
        <w:t>磋商</w:t>
      </w:r>
      <w:r>
        <w:rPr>
          <w:rFonts w:hint="eastAsia" w:ascii="宋体" w:hAnsi="宋体" w:eastAsia="宋体" w:cs="宋体"/>
          <w:bCs/>
          <w:sz w:val="24"/>
          <w:szCs w:val="24"/>
          <w:highlight w:val="none"/>
        </w:rPr>
        <w:t>采购文件及其附件；</w:t>
      </w:r>
    </w:p>
    <w:p w14:paraId="2BAE009C">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3、合同在执行过程中出现的未尽事宜，双方在不违背本合同和采购文件的原则下协商解决，协商结果以书面形式盖章记录在案，作为本合同的附件，与本合同具有同等效力，并提交政府采购监督管理部门和</w:t>
      </w:r>
      <w:r>
        <w:rPr>
          <w:rFonts w:hint="eastAsia" w:ascii="宋体" w:hAnsi="宋体" w:eastAsia="宋体" w:cs="宋体"/>
          <w:sz w:val="24"/>
          <w:szCs w:val="24"/>
          <w:highlight w:val="none"/>
          <w:lang w:val="en-US" w:eastAsia="zh-CN"/>
        </w:rPr>
        <w:t>采购代理机构</w:t>
      </w:r>
      <w:r>
        <w:rPr>
          <w:rFonts w:hint="eastAsia" w:ascii="宋体" w:hAnsi="宋体" w:eastAsia="宋体" w:cs="宋体"/>
          <w:sz w:val="24"/>
          <w:szCs w:val="24"/>
          <w:highlight w:val="none"/>
        </w:rPr>
        <w:t>备存。</w:t>
      </w:r>
    </w:p>
    <w:p w14:paraId="7DAB4508">
      <w:pPr>
        <w:keepNext w:val="0"/>
        <w:keepLines w:val="0"/>
        <w:pageBreakBefore w:val="0"/>
        <w:widowControl w:val="0"/>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十二</w:t>
      </w:r>
      <w:r>
        <w:rPr>
          <w:rFonts w:hint="eastAsia" w:ascii="宋体" w:hAnsi="宋体" w:eastAsia="宋体" w:cs="宋体"/>
          <w:bCs/>
          <w:sz w:val="24"/>
          <w:szCs w:val="24"/>
          <w:highlight w:val="none"/>
        </w:rPr>
        <w:t>、未尽事宜：</w:t>
      </w:r>
    </w:p>
    <w:p w14:paraId="3BE8FC6E">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1、本合同未尽事宜应按照《中华人民共和国民法典》等相关法律法规之规定解释。</w:t>
      </w:r>
    </w:p>
    <w:p w14:paraId="015DC086">
      <w:pPr>
        <w:keepNext w:val="0"/>
        <w:keepLines w:val="0"/>
        <w:pageBreakBefore w:val="0"/>
        <w:widowControl w:val="0"/>
        <w:spacing w:line="360" w:lineRule="auto"/>
        <w:ind w:firstLine="480"/>
        <w:rPr>
          <w:rFonts w:hint="eastAsia" w:ascii="宋体" w:hAnsi="宋体" w:eastAsia="宋体" w:cs="宋体"/>
          <w:bCs/>
          <w:sz w:val="24"/>
          <w:szCs w:val="24"/>
          <w:highlight w:val="none"/>
        </w:rPr>
      </w:pPr>
      <w:r>
        <w:rPr>
          <w:rFonts w:hint="eastAsia" w:ascii="宋体" w:hAnsi="宋体" w:eastAsia="宋体" w:cs="宋体"/>
          <w:sz w:val="24"/>
          <w:szCs w:val="24"/>
          <w:highlight w:val="none"/>
          <w:lang w:eastAsia="zh-CN"/>
        </w:rPr>
        <w:t>十三、</w:t>
      </w:r>
      <w:r>
        <w:rPr>
          <w:rFonts w:hint="eastAsia" w:ascii="宋体" w:hAnsi="宋体" w:eastAsia="宋体" w:cs="宋体"/>
          <w:bCs/>
          <w:sz w:val="24"/>
          <w:szCs w:val="24"/>
          <w:highlight w:val="none"/>
        </w:rPr>
        <w:t>附则</w:t>
      </w:r>
      <w:r>
        <w:rPr>
          <w:rFonts w:hint="eastAsia" w:ascii="宋体" w:hAnsi="宋体" w:eastAsia="宋体" w:cs="宋体"/>
          <w:bCs/>
          <w:sz w:val="24"/>
          <w:szCs w:val="24"/>
          <w:highlight w:val="none"/>
          <w:lang w:eastAsia="zh-CN"/>
        </w:rPr>
        <w:t>：</w:t>
      </w:r>
    </w:p>
    <w:p w14:paraId="0DBB638B">
      <w:pPr>
        <w:pStyle w:val="198"/>
        <w:keepNext w:val="0"/>
        <w:keepLines w:val="0"/>
        <w:pageBreakBefore w:val="0"/>
        <w:widowControl w:val="0"/>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1、合同份数：本合同一式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份，甲乙双方各执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份，政府采购监督管理部门及</w:t>
      </w:r>
      <w:r>
        <w:rPr>
          <w:rFonts w:hint="eastAsia" w:ascii="宋体" w:hAnsi="宋体" w:eastAsia="宋体" w:cs="宋体"/>
          <w:sz w:val="24"/>
          <w:szCs w:val="24"/>
          <w:highlight w:val="none"/>
          <w:lang w:val="en-US" w:eastAsia="zh-CN"/>
        </w:rPr>
        <w:t>采购</w:t>
      </w:r>
      <w:r>
        <w:rPr>
          <w:rFonts w:hint="eastAsia" w:ascii="宋体" w:hAnsi="宋体" w:eastAsia="宋体" w:cs="宋体"/>
          <w:sz w:val="24"/>
          <w:szCs w:val="24"/>
          <w:highlight w:val="none"/>
        </w:rPr>
        <w:t>代理机构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份，具有同等法律效力。</w:t>
      </w:r>
    </w:p>
    <w:p w14:paraId="59DC3695">
      <w:pPr>
        <w:pStyle w:val="198"/>
        <w:rPr>
          <w:rFonts w:ascii="宋体" w:hAnsi="宋体" w:cs="宋体"/>
          <w:color w:val="000000"/>
          <w:sz w:val="24"/>
          <w:u w:val="single"/>
        </w:rPr>
      </w:pPr>
    </w:p>
    <w:p w14:paraId="517A73E2">
      <w:pPr>
        <w:pStyle w:val="198"/>
        <w:rPr>
          <w:rFonts w:ascii="宋体" w:hAnsi="宋体" w:cs="宋体"/>
          <w:color w:val="000000"/>
          <w:sz w:val="24"/>
          <w:u w:val="single"/>
        </w:rPr>
      </w:pPr>
    </w:p>
    <w:p w14:paraId="62ED0837">
      <w:pPr>
        <w:spacing w:line="360" w:lineRule="auto"/>
        <w:ind w:firstLine="480"/>
        <w:rPr>
          <w:rFonts w:ascii="宋体" w:hAnsi="宋体" w:cs="宋体"/>
          <w:sz w:val="24"/>
        </w:rPr>
      </w:pPr>
      <w:r>
        <w:rPr>
          <w:rFonts w:hint="eastAsia" w:ascii="宋体" w:hAnsi="宋体" w:cs="宋体"/>
          <w:sz w:val="24"/>
        </w:rPr>
        <w:t>甲方（盖章）：                            乙方（盖章）：</w:t>
      </w:r>
    </w:p>
    <w:p w14:paraId="30D715DA">
      <w:pPr>
        <w:spacing w:line="360" w:lineRule="auto"/>
        <w:ind w:firstLine="480"/>
        <w:rPr>
          <w:rFonts w:ascii="宋体" w:hAnsi="宋体" w:cs="宋体"/>
          <w:sz w:val="24"/>
        </w:rPr>
      </w:pPr>
    </w:p>
    <w:p w14:paraId="6082E3C2">
      <w:pPr>
        <w:spacing w:line="360" w:lineRule="auto"/>
        <w:ind w:firstLine="480"/>
        <w:rPr>
          <w:rFonts w:ascii="宋体" w:hAnsi="宋体" w:cs="宋体"/>
          <w:sz w:val="24"/>
        </w:rPr>
      </w:pPr>
      <w:r>
        <w:rPr>
          <w:rFonts w:hint="eastAsia" w:ascii="宋体" w:hAnsi="宋体" w:cs="宋体"/>
          <w:sz w:val="24"/>
        </w:rPr>
        <w:t>代表人（签字）：                          代表人（签字）：</w:t>
      </w:r>
    </w:p>
    <w:p w14:paraId="24BBC95A">
      <w:pPr>
        <w:spacing w:line="360" w:lineRule="auto"/>
        <w:ind w:firstLine="480"/>
        <w:rPr>
          <w:rFonts w:ascii="宋体" w:hAnsi="宋体" w:cs="宋体"/>
          <w:sz w:val="24"/>
        </w:rPr>
      </w:pPr>
    </w:p>
    <w:p w14:paraId="4266297C">
      <w:pPr>
        <w:pStyle w:val="198"/>
        <w:jc w:val="left"/>
        <w:rPr>
          <w:rFonts w:ascii="宋体" w:hAnsi="宋体" w:cs="宋体"/>
          <w:sz w:val="24"/>
        </w:rPr>
      </w:pPr>
      <w:r>
        <w:rPr>
          <w:rFonts w:hint="eastAsia" w:ascii="宋体" w:hAnsi="宋体" w:cs="宋体"/>
          <w:sz w:val="24"/>
        </w:rPr>
        <w:t>日期：                                    日期：</w:t>
      </w:r>
    </w:p>
    <w:p w14:paraId="7CF95947">
      <w:pPr>
        <w:spacing w:line="360" w:lineRule="auto"/>
        <w:ind w:firstLine="480"/>
      </w:pPr>
    </w:p>
    <w:p w14:paraId="4EBE3840">
      <w:pPr>
        <w:spacing w:line="360" w:lineRule="auto"/>
        <w:ind w:firstLine="480"/>
      </w:pPr>
    </w:p>
    <w:p w14:paraId="05B288CD">
      <w:pPr>
        <w:spacing w:line="360" w:lineRule="auto"/>
        <w:ind w:firstLine="480"/>
      </w:pPr>
    </w:p>
    <w:p w14:paraId="799833FE">
      <w:pPr>
        <w:spacing w:line="360" w:lineRule="auto"/>
        <w:ind w:firstLine="480"/>
      </w:pPr>
    </w:p>
    <w:p w14:paraId="5746DD49">
      <w:pPr>
        <w:spacing w:line="360" w:lineRule="exact"/>
        <w:rPr>
          <w:rFonts w:hint="eastAsia" w:ascii="宋体" w:hAnsi="宋体" w:cs="宋体"/>
          <w:kern w:val="2"/>
          <w:sz w:val="21"/>
          <w:szCs w:val="21"/>
          <w:lang w:val="en-US" w:eastAsia="zh-CN"/>
        </w:rPr>
      </w:pPr>
    </w:p>
    <w:p w14:paraId="097F2343">
      <w:pPr>
        <w:spacing w:line="360" w:lineRule="exact"/>
        <w:rPr>
          <w:rFonts w:hint="eastAsia" w:ascii="宋体" w:hAnsi="宋体" w:cs="宋体"/>
          <w:kern w:val="2"/>
          <w:sz w:val="21"/>
          <w:szCs w:val="21"/>
          <w:lang w:val="en-US" w:eastAsia="zh-CN"/>
        </w:rPr>
      </w:pPr>
    </w:p>
    <w:p w14:paraId="73E9B9E6">
      <w:pPr>
        <w:spacing w:line="360" w:lineRule="exact"/>
        <w:rPr>
          <w:rFonts w:hint="eastAsia" w:ascii="宋体" w:hAnsi="宋体" w:cs="宋体"/>
          <w:kern w:val="2"/>
          <w:sz w:val="21"/>
          <w:szCs w:val="21"/>
          <w:lang w:val="en-US" w:eastAsia="zh-CN"/>
        </w:rPr>
      </w:pPr>
    </w:p>
    <w:p w14:paraId="37597EA0">
      <w:pPr>
        <w:spacing w:line="360" w:lineRule="exact"/>
        <w:rPr>
          <w:rFonts w:hint="eastAsia" w:ascii="宋体" w:hAnsi="宋体" w:cs="宋体"/>
          <w:kern w:val="2"/>
          <w:sz w:val="21"/>
          <w:szCs w:val="21"/>
          <w:lang w:val="en-US" w:eastAsia="zh-CN"/>
        </w:rPr>
      </w:pPr>
    </w:p>
    <w:p w14:paraId="6AFCD105">
      <w:pPr>
        <w:spacing w:line="360" w:lineRule="exact"/>
        <w:rPr>
          <w:rFonts w:hint="eastAsia" w:ascii="宋体" w:hAnsi="宋体" w:cs="宋体"/>
          <w:kern w:val="2"/>
          <w:sz w:val="21"/>
          <w:szCs w:val="21"/>
          <w:lang w:val="en-US" w:eastAsia="zh-CN"/>
        </w:rPr>
      </w:pPr>
    </w:p>
    <w:p w14:paraId="5A4AFDA3">
      <w:pPr>
        <w:spacing w:line="360" w:lineRule="exact"/>
        <w:rPr>
          <w:rFonts w:hint="eastAsia" w:ascii="宋体" w:hAnsi="宋体" w:cs="宋体"/>
          <w:kern w:val="2"/>
          <w:sz w:val="21"/>
          <w:szCs w:val="21"/>
          <w:lang w:val="en-US" w:eastAsia="zh-CN"/>
        </w:rPr>
      </w:pPr>
    </w:p>
    <w:p w14:paraId="558AFABD">
      <w:pPr>
        <w:spacing w:line="360" w:lineRule="exact"/>
        <w:rPr>
          <w:rFonts w:hint="eastAsia" w:ascii="宋体" w:hAnsi="宋体" w:cs="宋体"/>
          <w:kern w:val="2"/>
          <w:sz w:val="21"/>
          <w:szCs w:val="21"/>
          <w:lang w:val="en-US" w:eastAsia="zh-CN"/>
        </w:rPr>
      </w:pPr>
    </w:p>
    <w:p w14:paraId="69C1FC51">
      <w:pPr>
        <w:pStyle w:val="198"/>
        <w:ind w:firstLine="0"/>
        <w:jc w:val="center"/>
        <w:outlineLvl w:val="0"/>
        <w:rPr>
          <w:rStyle w:val="200"/>
          <w:rFonts w:ascii="宋体" w:hAnsi="宋体" w:eastAsia="宋体" w:cs="宋体"/>
          <w:lang w:val="en-US"/>
        </w:rPr>
      </w:pPr>
      <w:bookmarkStart w:id="57" w:name="_Toc6804"/>
      <w:bookmarkStart w:id="58" w:name="_Toc25801"/>
      <w:r>
        <w:rPr>
          <w:rStyle w:val="200"/>
          <w:rFonts w:hint="eastAsia" w:ascii="宋体" w:hAnsi="宋体" w:eastAsia="宋体" w:cs="宋体"/>
          <w:lang w:val="en-US"/>
        </w:rPr>
        <w:t>第六章 评审办法</w:t>
      </w:r>
      <w:bookmarkEnd w:id="57"/>
      <w:bookmarkEnd w:id="58"/>
    </w:p>
    <w:p w14:paraId="0F2157FF">
      <w:pPr>
        <w:rPr>
          <w:sz w:val="24"/>
        </w:rPr>
      </w:pPr>
      <w:bookmarkStart w:id="59" w:name="_Toc287731895"/>
      <w:bookmarkStart w:id="60" w:name="_Toc332378266"/>
      <w:bookmarkStart w:id="61" w:name="_Toc327797595"/>
      <w:bookmarkStart w:id="62" w:name="_Toc325800314"/>
      <w:bookmarkStart w:id="63" w:name="_Toc331167597"/>
      <w:bookmarkStart w:id="64" w:name="_Toc327964644"/>
      <w:r>
        <w:rPr>
          <w:rFonts w:hint="eastAsia"/>
          <w:sz w:val="24"/>
        </w:rPr>
        <w:t>一、评审方法：</w:t>
      </w:r>
    </w:p>
    <w:p w14:paraId="13754726">
      <w:pPr>
        <w:spacing w:line="360" w:lineRule="auto"/>
        <w:ind w:firstLine="480"/>
        <w:rPr>
          <w:rFonts w:ascii="宋体" w:hAnsi="宋体" w:cs="宋体"/>
          <w:sz w:val="24"/>
        </w:rPr>
      </w:pPr>
      <w:r>
        <w:rPr>
          <w:rFonts w:hint="eastAsia" w:ascii="宋体" w:hAnsi="宋体" w:cs="宋体"/>
          <w:sz w:val="24"/>
        </w:rPr>
        <w:t>1、本次磋商采用综合评分法，即在响应文件满足磋商文件全部实质性要求且按评审因素的量化指标评审得分最高的供应商为成交候选供应商。采购人书面授权磋商小组直接确定成交供应商。</w:t>
      </w:r>
    </w:p>
    <w:p w14:paraId="5089984F">
      <w:pPr>
        <w:spacing w:line="360" w:lineRule="auto"/>
        <w:ind w:firstLine="480"/>
        <w:rPr>
          <w:rFonts w:ascii="宋体" w:hAnsi="宋体" w:cs="宋体"/>
          <w:sz w:val="24"/>
        </w:rPr>
      </w:pPr>
      <w:r>
        <w:rPr>
          <w:rFonts w:hint="eastAsia" w:ascii="宋体" w:hAnsi="宋体" w:cs="宋体"/>
          <w:sz w:val="24"/>
        </w:rPr>
        <w:t>2、磋商小组各成员审查每份响应文件是否实质响应了采购文件的要求，未实质性响应的响应文件将被拒绝，也不进行评审。</w:t>
      </w:r>
    </w:p>
    <w:p w14:paraId="55940515">
      <w:pPr>
        <w:spacing w:line="360" w:lineRule="auto"/>
        <w:ind w:firstLine="480"/>
        <w:rPr>
          <w:rFonts w:ascii="宋体" w:hAnsi="宋体" w:cs="宋体"/>
          <w:sz w:val="24"/>
        </w:rPr>
      </w:pPr>
      <w:r>
        <w:rPr>
          <w:rFonts w:hint="eastAsia" w:ascii="宋体" w:hAnsi="宋体" w:cs="宋体"/>
          <w:sz w:val="24"/>
        </w:rPr>
        <w:t>3、磋商小组各成员独立对每个进入打分程序的响应文件以打分的形式进行评审和评价。对评委的评分进行统计汇总时算术平均计算得分（计算结果均四舍五入保留两位小数）。</w:t>
      </w:r>
    </w:p>
    <w:p w14:paraId="1F80233A">
      <w:pPr>
        <w:spacing w:line="360" w:lineRule="auto"/>
        <w:ind w:firstLine="480"/>
        <w:rPr>
          <w:rFonts w:ascii="宋体" w:hAnsi="宋体" w:cs="宋体"/>
          <w:sz w:val="24"/>
        </w:rPr>
      </w:pPr>
      <w:r>
        <w:rPr>
          <w:rFonts w:hint="eastAsia" w:ascii="宋体" w:hAnsi="宋体" w:cs="宋体"/>
          <w:sz w:val="24"/>
        </w:rPr>
        <w:t>4、磋商小组应当根据综合评分情况，按照评审得分由高到低顺序推荐3名以上成交候选单位，并编写评审报告。评审得分相同的，按照最后报价由低到高的顺序推荐。评审得分且最后报价相同的，由代理机构组织以抽签方式确定成交候选人。</w:t>
      </w:r>
    </w:p>
    <w:p w14:paraId="24233A24">
      <w:pPr>
        <w:spacing w:line="360" w:lineRule="auto"/>
        <w:ind w:firstLine="480"/>
        <w:rPr>
          <w:rFonts w:ascii="宋体" w:hAnsi="宋体" w:cs="宋体"/>
          <w:color w:val="000000"/>
          <w:sz w:val="24"/>
        </w:rPr>
      </w:pPr>
      <w:r>
        <w:rPr>
          <w:rFonts w:hint="eastAsia" w:ascii="宋体" w:hAnsi="宋体" w:cs="宋体"/>
          <w:color w:val="000000"/>
          <w:sz w:val="24"/>
        </w:rPr>
        <w:t>二、针对中小型企业、残疾人福利企业和监狱企业的评审：</w:t>
      </w:r>
      <w:r>
        <w:rPr>
          <w:rFonts w:hint="eastAsia" w:ascii="宋体" w:hAnsi="宋体" w:cs="宋体"/>
          <w:b/>
          <w:bCs/>
          <w:color w:val="000000"/>
          <w:sz w:val="24"/>
        </w:rPr>
        <w:t>本项目专门面向中小企业采购，不再执行价格评审优惠的扶持政策。</w:t>
      </w:r>
    </w:p>
    <w:p w14:paraId="56AB6312">
      <w:pPr>
        <w:spacing w:line="360" w:lineRule="auto"/>
        <w:ind w:firstLine="480"/>
        <w:rPr>
          <w:rFonts w:hint="eastAsia" w:ascii="宋体" w:hAnsi="宋体" w:eastAsia="宋体" w:cs="宋体"/>
          <w:sz w:val="24"/>
        </w:rPr>
      </w:pPr>
      <w:r>
        <w:rPr>
          <w:rFonts w:hint="eastAsia" w:ascii="宋体" w:hAnsi="宋体" w:eastAsia="宋体" w:cs="宋体"/>
          <w:sz w:val="24"/>
        </w:rPr>
        <w:t>三、评分标准：</w:t>
      </w:r>
      <w:bookmarkEnd w:id="59"/>
      <w:bookmarkEnd w:id="60"/>
      <w:bookmarkEnd w:id="61"/>
      <w:bookmarkEnd w:id="62"/>
      <w:bookmarkEnd w:id="63"/>
      <w:bookmarkEnd w:id="64"/>
    </w:p>
    <w:p w14:paraId="6C7C2CDE">
      <w:pPr>
        <w:widowControl/>
        <w:spacing w:line="348" w:lineRule="auto"/>
        <w:ind w:firstLine="482"/>
        <w:jc w:val="left"/>
        <w:rPr>
          <w:rFonts w:hint="eastAsia" w:ascii="宋体" w:hAnsi="宋体" w:eastAsia="宋体" w:cs="宋体"/>
          <w:b/>
          <w:sz w:val="24"/>
          <w:lang w:eastAsia="zh-CN"/>
        </w:rPr>
      </w:pPr>
      <w:r>
        <w:rPr>
          <w:rFonts w:hint="eastAsia" w:ascii="宋体" w:hAnsi="宋体" w:eastAsia="宋体" w:cs="宋体"/>
          <w:b/>
          <w:sz w:val="24"/>
        </w:rPr>
        <w:t>（一）价格分</w:t>
      </w:r>
      <w:r>
        <w:rPr>
          <w:rFonts w:hint="eastAsia" w:ascii="宋体" w:hAnsi="宋体" w:cs="宋体"/>
          <w:b/>
          <w:sz w:val="24"/>
          <w:lang w:eastAsia="zh-CN"/>
        </w:rPr>
        <w:t>（</w:t>
      </w:r>
      <w:r>
        <w:rPr>
          <w:rFonts w:hint="eastAsia" w:ascii="宋体" w:hAnsi="宋体" w:cs="宋体"/>
          <w:b/>
          <w:sz w:val="24"/>
          <w:lang w:val="en-US" w:eastAsia="zh-CN"/>
        </w:rPr>
        <w:t>15</w:t>
      </w:r>
      <w:r>
        <w:rPr>
          <w:rFonts w:hint="eastAsia" w:ascii="宋体" w:hAnsi="宋体" w:eastAsia="宋体" w:cs="宋体"/>
          <w:b/>
          <w:sz w:val="24"/>
        </w:rPr>
        <w:t>分</w:t>
      </w:r>
      <w:r>
        <w:rPr>
          <w:rFonts w:hint="eastAsia" w:ascii="宋体" w:hAnsi="宋体" w:cs="宋体"/>
          <w:b/>
          <w:sz w:val="24"/>
          <w:lang w:eastAsia="zh-CN"/>
        </w:rPr>
        <w:t>）</w:t>
      </w:r>
    </w:p>
    <w:p w14:paraId="301DA83C">
      <w:pPr>
        <w:widowControl/>
        <w:spacing w:line="348" w:lineRule="auto"/>
        <w:ind w:firstLine="480"/>
        <w:jc w:val="left"/>
        <w:rPr>
          <w:rFonts w:hint="eastAsia" w:ascii="宋体" w:hAnsi="宋体" w:eastAsia="宋体" w:cs="宋体"/>
          <w:sz w:val="24"/>
        </w:rPr>
      </w:pPr>
      <w:r>
        <w:rPr>
          <w:rFonts w:hint="eastAsia" w:ascii="宋体" w:hAnsi="宋体" w:eastAsia="宋体" w:cs="宋体"/>
          <w:sz w:val="24"/>
        </w:rPr>
        <w:t>第一步：磋商报价低于或等于采购最高限价的，为有效磋商报价。超采购最高限价的投标报价为无效响应报价。无效响应报价的响应文件不得中标。</w:t>
      </w:r>
    </w:p>
    <w:p w14:paraId="296003AA">
      <w:pPr>
        <w:widowControl/>
        <w:spacing w:line="348" w:lineRule="auto"/>
        <w:ind w:firstLine="480"/>
        <w:jc w:val="left"/>
        <w:rPr>
          <w:rFonts w:hint="eastAsia" w:ascii="宋体" w:hAnsi="宋体" w:eastAsia="宋体" w:cs="宋体"/>
          <w:sz w:val="24"/>
        </w:rPr>
      </w:pPr>
      <w:r>
        <w:rPr>
          <w:rFonts w:hint="eastAsia" w:ascii="宋体" w:hAnsi="宋体" w:eastAsia="宋体" w:cs="宋体"/>
          <w:sz w:val="24"/>
        </w:rPr>
        <w:t>第二步：根据各供应商通过符合性审查的有效磋商报价中的最低价作为评标基准价，其价格分为</w:t>
      </w:r>
      <w:r>
        <w:rPr>
          <w:rFonts w:hint="eastAsia" w:ascii="宋体" w:hAnsi="宋体" w:cs="宋体"/>
          <w:sz w:val="24"/>
          <w:lang w:val="en-US" w:eastAsia="zh-CN"/>
        </w:rPr>
        <w:t>15</w:t>
      </w:r>
      <w:r>
        <w:rPr>
          <w:rFonts w:hint="eastAsia" w:ascii="宋体" w:hAnsi="宋体" w:eastAsia="宋体" w:cs="宋体"/>
          <w:sz w:val="24"/>
        </w:rPr>
        <w:t>分，其他供应商的价格分按照下列公式计算（计算结果四舍五入保留两位小数）。</w:t>
      </w:r>
    </w:p>
    <w:p w14:paraId="70D29416">
      <w:pPr>
        <w:widowControl/>
        <w:spacing w:line="348" w:lineRule="auto"/>
        <w:ind w:firstLine="480"/>
        <w:jc w:val="left"/>
        <w:rPr>
          <w:rFonts w:hint="eastAsia" w:ascii="宋体" w:hAnsi="宋体" w:eastAsia="宋体" w:cs="宋体"/>
          <w:sz w:val="24"/>
        </w:rPr>
      </w:pPr>
      <w:r>
        <w:rPr>
          <w:rFonts w:hint="eastAsia" w:ascii="宋体" w:hAnsi="宋体" w:eastAsia="宋体" w:cs="宋体"/>
          <w:sz w:val="24"/>
        </w:rPr>
        <w:t>投标报价得分＝（评标基准价/投标报价）×</w:t>
      </w:r>
      <w:r>
        <w:rPr>
          <w:rFonts w:hint="eastAsia" w:ascii="宋体" w:hAnsi="宋体" w:cs="宋体"/>
          <w:sz w:val="24"/>
          <w:lang w:val="en-US" w:eastAsia="zh-CN"/>
        </w:rPr>
        <w:t>15</w:t>
      </w:r>
      <w:r>
        <w:rPr>
          <w:rFonts w:hint="eastAsia" w:ascii="宋体" w:hAnsi="宋体" w:eastAsia="宋体" w:cs="宋体"/>
          <w:sz w:val="24"/>
        </w:rPr>
        <w:t>％×100。</w:t>
      </w:r>
    </w:p>
    <w:p w14:paraId="4183EE1C">
      <w:pPr>
        <w:widowControl/>
        <w:spacing w:line="348" w:lineRule="auto"/>
        <w:ind w:firstLine="482"/>
        <w:jc w:val="left"/>
        <w:rPr>
          <w:rFonts w:hint="eastAsia" w:ascii="宋体" w:hAnsi="宋体" w:eastAsia="宋体" w:cs="宋体"/>
          <w:b/>
          <w:bCs/>
          <w:sz w:val="24"/>
        </w:rPr>
      </w:pPr>
      <w:r>
        <w:rPr>
          <w:rFonts w:hint="eastAsia" w:ascii="宋体" w:hAnsi="宋体" w:eastAsia="宋体" w:cs="宋体"/>
          <w:b/>
          <w:bCs/>
          <w:sz w:val="24"/>
        </w:rPr>
        <w:t>（二）服务方案（</w:t>
      </w:r>
      <w:r>
        <w:rPr>
          <w:rFonts w:hint="eastAsia" w:ascii="宋体" w:hAnsi="宋体" w:eastAsia="宋体" w:cs="宋体"/>
          <w:b/>
          <w:bCs/>
          <w:sz w:val="24"/>
          <w:lang w:val="en-US" w:eastAsia="zh-CN"/>
        </w:rPr>
        <w:t>6</w:t>
      </w:r>
      <w:r>
        <w:rPr>
          <w:rFonts w:hint="eastAsia" w:ascii="宋体" w:hAnsi="宋体" w:cs="宋体"/>
          <w:b/>
          <w:bCs/>
          <w:sz w:val="24"/>
          <w:lang w:val="en-US" w:eastAsia="zh-CN"/>
        </w:rPr>
        <w:t>4</w:t>
      </w:r>
      <w:r>
        <w:rPr>
          <w:rFonts w:hint="eastAsia" w:ascii="宋体" w:hAnsi="宋体" w:eastAsia="宋体" w:cs="宋体"/>
          <w:b/>
          <w:bCs/>
          <w:sz w:val="24"/>
        </w:rPr>
        <w:t>分）</w:t>
      </w:r>
    </w:p>
    <w:p w14:paraId="181E752A">
      <w:pPr>
        <w:widowControl/>
        <w:spacing w:line="348" w:lineRule="auto"/>
        <w:ind w:firstLine="480"/>
        <w:jc w:val="left"/>
        <w:rPr>
          <w:rFonts w:hint="eastAsia" w:ascii="宋体" w:hAnsi="宋体" w:eastAsia="宋体" w:cs="宋体"/>
          <w:sz w:val="24"/>
        </w:rPr>
      </w:pPr>
      <w:r>
        <w:rPr>
          <w:rFonts w:hint="eastAsia" w:ascii="宋体" w:hAnsi="宋体" w:eastAsia="宋体" w:cs="宋体"/>
          <w:sz w:val="24"/>
          <w:lang w:val="en-US" w:eastAsia="zh-CN"/>
        </w:rPr>
        <w:t>1、</w:t>
      </w:r>
      <w:r>
        <w:rPr>
          <w:rFonts w:hint="eastAsia" w:ascii="宋体" w:hAnsi="宋体" w:eastAsia="宋体" w:cs="宋体"/>
          <w:sz w:val="24"/>
        </w:rPr>
        <w:t>服务设想及方案：项目设想、总体安排、项目部署及项目划分等健全、合理、规范、高效。概述描述清晰明了、科学合理、可实施性强的得</w:t>
      </w:r>
      <w:r>
        <w:rPr>
          <w:rFonts w:hint="eastAsia" w:ascii="宋体" w:hAnsi="宋体" w:cs="宋体"/>
          <w:sz w:val="24"/>
          <w:lang w:val="en-US" w:eastAsia="zh-CN"/>
        </w:rPr>
        <w:t>10</w:t>
      </w:r>
      <w:r>
        <w:rPr>
          <w:rFonts w:hint="eastAsia" w:ascii="宋体" w:hAnsi="宋体" w:eastAsia="宋体" w:cs="宋体"/>
          <w:sz w:val="24"/>
        </w:rPr>
        <w:t>分</w:t>
      </w:r>
      <w:r>
        <w:rPr>
          <w:rFonts w:hint="eastAsia" w:ascii="宋体" w:hAnsi="宋体" w:eastAsia="宋体" w:cs="宋体"/>
          <w:sz w:val="24"/>
          <w:lang w:eastAsia="zh-CN"/>
        </w:rPr>
        <w:t>；</w:t>
      </w:r>
      <w:r>
        <w:rPr>
          <w:rFonts w:hint="eastAsia" w:ascii="宋体" w:hAnsi="宋体" w:eastAsia="宋体" w:cs="宋体"/>
          <w:sz w:val="24"/>
        </w:rPr>
        <w:t>概述描述清晰明了、科学合理的得</w:t>
      </w:r>
      <w:r>
        <w:rPr>
          <w:rFonts w:hint="eastAsia" w:ascii="宋体" w:hAnsi="宋体" w:cs="宋体"/>
          <w:sz w:val="24"/>
          <w:lang w:val="en-US" w:eastAsia="zh-CN"/>
        </w:rPr>
        <w:t>7</w:t>
      </w:r>
      <w:r>
        <w:rPr>
          <w:rFonts w:hint="eastAsia" w:ascii="宋体" w:hAnsi="宋体" w:eastAsia="宋体" w:cs="宋体"/>
          <w:sz w:val="24"/>
        </w:rPr>
        <w:t>分</w:t>
      </w:r>
      <w:r>
        <w:rPr>
          <w:rFonts w:hint="eastAsia" w:ascii="宋体" w:hAnsi="宋体" w:eastAsia="宋体" w:cs="宋体"/>
          <w:sz w:val="24"/>
          <w:lang w:eastAsia="zh-CN"/>
        </w:rPr>
        <w:t>；</w:t>
      </w:r>
      <w:r>
        <w:rPr>
          <w:rFonts w:hint="eastAsia" w:ascii="宋体" w:hAnsi="宋体" w:eastAsia="宋体" w:cs="宋体"/>
          <w:sz w:val="24"/>
        </w:rPr>
        <w:t>有涉及但不全面的得</w:t>
      </w:r>
      <w:r>
        <w:rPr>
          <w:rFonts w:hint="eastAsia" w:ascii="宋体" w:hAnsi="宋体" w:cs="宋体"/>
          <w:sz w:val="24"/>
          <w:lang w:val="en-US" w:eastAsia="zh-CN"/>
        </w:rPr>
        <w:t>4</w:t>
      </w:r>
      <w:r>
        <w:rPr>
          <w:rFonts w:hint="eastAsia" w:ascii="宋体" w:hAnsi="宋体" w:eastAsia="宋体" w:cs="宋体"/>
          <w:sz w:val="24"/>
        </w:rPr>
        <w:t>分</w:t>
      </w:r>
      <w:r>
        <w:rPr>
          <w:rFonts w:hint="eastAsia" w:ascii="宋体" w:hAnsi="宋体" w:eastAsia="宋体" w:cs="宋体"/>
          <w:sz w:val="24"/>
          <w:lang w:eastAsia="zh-CN"/>
        </w:rPr>
        <w:t>；</w:t>
      </w:r>
      <w:r>
        <w:rPr>
          <w:rFonts w:hint="eastAsia" w:ascii="宋体" w:hAnsi="宋体" w:eastAsia="宋体" w:cs="宋体"/>
          <w:sz w:val="24"/>
        </w:rPr>
        <w:t>有涉及但不合理的得</w:t>
      </w:r>
      <w:r>
        <w:rPr>
          <w:rFonts w:hint="eastAsia" w:ascii="宋体" w:hAnsi="宋体" w:cs="宋体"/>
          <w:sz w:val="24"/>
          <w:lang w:val="en-US" w:eastAsia="zh-CN"/>
        </w:rPr>
        <w:t>1</w:t>
      </w:r>
      <w:r>
        <w:rPr>
          <w:rFonts w:hint="eastAsia" w:ascii="宋体" w:hAnsi="宋体" w:eastAsia="宋体" w:cs="宋体"/>
          <w:sz w:val="24"/>
        </w:rPr>
        <w:t>分</w:t>
      </w:r>
      <w:r>
        <w:rPr>
          <w:rFonts w:hint="eastAsia" w:ascii="宋体" w:hAnsi="宋体" w:eastAsia="宋体" w:cs="宋体"/>
          <w:sz w:val="24"/>
          <w:lang w:eastAsia="zh-CN"/>
        </w:rPr>
        <w:t>；</w:t>
      </w:r>
      <w:r>
        <w:rPr>
          <w:rFonts w:hint="eastAsia" w:ascii="宋体" w:hAnsi="宋体" w:eastAsia="宋体" w:cs="宋体"/>
          <w:sz w:val="24"/>
        </w:rPr>
        <w:t>未提供不得分</w:t>
      </w:r>
      <w:r>
        <w:rPr>
          <w:rFonts w:hint="eastAsia" w:ascii="宋体" w:hAnsi="宋体" w:eastAsia="宋体" w:cs="宋体"/>
          <w:sz w:val="24"/>
          <w:lang w:eastAsia="zh-CN"/>
        </w:rPr>
        <w:t>。</w:t>
      </w:r>
      <w:r>
        <w:rPr>
          <w:rFonts w:hint="eastAsia" w:ascii="宋体" w:hAnsi="宋体" w:eastAsia="宋体" w:cs="宋体"/>
          <w:sz w:val="24"/>
        </w:rPr>
        <w:t>最高</w:t>
      </w:r>
      <w:r>
        <w:rPr>
          <w:rFonts w:hint="eastAsia" w:ascii="宋体" w:hAnsi="宋体" w:cs="宋体"/>
          <w:sz w:val="24"/>
          <w:lang w:val="en-US" w:eastAsia="zh-CN"/>
        </w:rPr>
        <w:t>10</w:t>
      </w:r>
      <w:r>
        <w:rPr>
          <w:rFonts w:hint="eastAsia" w:ascii="宋体" w:hAnsi="宋体" w:eastAsia="宋体" w:cs="宋体"/>
          <w:sz w:val="24"/>
        </w:rPr>
        <w:t>分。</w:t>
      </w:r>
    </w:p>
    <w:p w14:paraId="3EFE7C2B">
      <w:pPr>
        <w:widowControl/>
        <w:spacing w:line="348" w:lineRule="auto"/>
        <w:ind w:firstLine="480"/>
        <w:jc w:val="left"/>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sz w:val="24"/>
        </w:rPr>
        <w:t>质量保证措施：各阶段质量保证措施，具有可操作性强，内容描述详细的得</w:t>
      </w:r>
      <w:r>
        <w:rPr>
          <w:rFonts w:hint="eastAsia" w:ascii="宋体" w:hAnsi="宋体" w:cs="宋体"/>
          <w:sz w:val="24"/>
          <w:lang w:val="en-US" w:eastAsia="zh-CN"/>
        </w:rPr>
        <w:t>10</w:t>
      </w:r>
      <w:r>
        <w:rPr>
          <w:rFonts w:hint="eastAsia" w:ascii="宋体" w:hAnsi="宋体" w:eastAsia="宋体" w:cs="宋体"/>
          <w:sz w:val="24"/>
        </w:rPr>
        <w:t>分；可操作性</w:t>
      </w:r>
      <w:r>
        <w:rPr>
          <w:rFonts w:hint="eastAsia" w:ascii="宋体" w:hAnsi="宋体" w:eastAsia="宋体" w:cs="宋体"/>
          <w:sz w:val="24"/>
          <w:lang w:val="en-US" w:eastAsia="zh-CN"/>
        </w:rPr>
        <w:t>较强</w:t>
      </w:r>
      <w:r>
        <w:rPr>
          <w:rFonts w:hint="eastAsia" w:ascii="宋体" w:hAnsi="宋体" w:eastAsia="宋体" w:cs="宋体"/>
          <w:sz w:val="24"/>
        </w:rPr>
        <w:t>，内容描述</w:t>
      </w:r>
      <w:r>
        <w:rPr>
          <w:rFonts w:hint="eastAsia" w:ascii="宋体" w:hAnsi="宋体" w:eastAsia="宋体" w:cs="宋体"/>
          <w:sz w:val="24"/>
          <w:lang w:val="en-US" w:eastAsia="zh-CN"/>
        </w:rPr>
        <w:t>较好</w:t>
      </w:r>
      <w:r>
        <w:rPr>
          <w:rFonts w:hint="eastAsia" w:ascii="宋体" w:hAnsi="宋体" w:eastAsia="宋体" w:cs="宋体"/>
          <w:sz w:val="24"/>
        </w:rPr>
        <w:t>的得</w:t>
      </w:r>
      <w:r>
        <w:rPr>
          <w:rFonts w:hint="eastAsia" w:ascii="宋体" w:hAnsi="宋体" w:cs="宋体"/>
          <w:sz w:val="24"/>
          <w:lang w:val="en-US" w:eastAsia="zh-CN"/>
        </w:rPr>
        <w:t>7</w:t>
      </w:r>
      <w:r>
        <w:rPr>
          <w:rFonts w:hint="eastAsia" w:ascii="宋体" w:hAnsi="宋体" w:eastAsia="宋体" w:cs="宋体"/>
          <w:sz w:val="24"/>
        </w:rPr>
        <w:t>分；可操作性</w:t>
      </w:r>
      <w:r>
        <w:rPr>
          <w:rFonts w:hint="eastAsia" w:ascii="宋体" w:hAnsi="宋体" w:eastAsia="宋体" w:cs="宋体"/>
          <w:sz w:val="24"/>
          <w:lang w:val="en-US" w:eastAsia="zh-CN"/>
        </w:rPr>
        <w:t>、内容描述一般的得4分；</w:t>
      </w:r>
      <w:r>
        <w:rPr>
          <w:rFonts w:hint="eastAsia" w:ascii="宋体" w:hAnsi="宋体" w:eastAsia="宋体" w:cs="宋体"/>
          <w:sz w:val="24"/>
        </w:rPr>
        <w:t>可操作性差，内容描述特少的得</w:t>
      </w:r>
      <w:r>
        <w:rPr>
          <w:rFonts w:hint="eastAsia" w:ascii="宋体" w:hAnsi="宋体" w:cs="宋体"/>
          <w:sz w:val="24"/>
          <w:lang w:val="en-US" w:eastAsia="zh-CN"/>
        </w:rPr>
        <w:t>1</w:t>
      </w:r>
      <w:r>
        <w:rPr>
          <w:rFonts w:hint="eastAsia" w:ascii="宋体" w:hAnsi="宋体" w:eastAsia="宋体" w:cs="宋体"/>
          <w:sz w:val="24"/>
        </w:rPr>
        <w:t>分</w:t>
      </w:r>
      <w:r>
        <w:rPr>
          <w:rFonts w:hint="eastAsia" w:ascii="宋体" w:hAnsi="宋体" w:eastAsia="宋体" w:cs="宋体"/>
          <w:sz w:val="24"/>
          <w:lang w:eastAsia="zh-CN"/>
        </w:rPr>
        <w:t>；</w:t>
      </w:r>
      <w:r>
        <w:rPr>
          <w:rFonts w:hint="eastAsia" w:ascii="宋体" w:hAnsi="宋体" w:eastAsia="宋体" w:cs="宋体"/>
          <w:sz w:val="24"/>
        </w:rPr>
        <w:t>未提供不得分</w:t>
      </w:r>
      <w:r>
        <w:rPr>
          <w:rFonts w:hint="eastAsia" w:ascii="宋体" w:hAnsi="宋体" w:eastAsia="宋体" w:cs="宋体"/>
          <w:sz w:val="24"/>
          <w:lang w:eastAsia="zh-CN"/>
        </w:rPr>
        <w:t>。</w:t>
      </w:r>
      <w:r>
        <w:rPr>
          <w:rFonts w:hint="eastAsia" w:ascii="宋体" w:hAnsi="宋体" w:eastAsia="宋体" w:cs="宋体"/>
          <w:sz w:val="24"/>
        </w:rPr>
        <w:t>最高</w:t>
      </w:r>
      <w:r>
        <w:rPr>
          <w:rFonts w:hint="eastAsia" w:ascii="宋体" w:hAnsi="宋体" w:cs="宋体"/>
          <w:sz w:val="24"/>
          <w:lang w:val="en-US" w:eastAsia="zh-CN"/>
        </w:rPr>
        <w:t>10</w:t>
      </w:r>
      <w:r>
        <w:rPr>
          <w:rFonts w:hint="eastAsia" w:ascii="宋体" w:hAnsi="宋体" w:eastAsia="宋体" w:cs="宋体"/>
          <w:sz w:val="24"/>
        </w:rPr>
        <w:t>分。</w:t>
      </w:r>
    </w:p>
    <w:p w14:paraId="3BD14D5B">
      <w:pPr>
        <w:widowControl/>
        <w:spacing w:line="348" w:lineRule="auto"/>
        <w:ind w:firstLine="480"/>
        <w:jc w:val="left"/>
        <w:rPr>
          <w:rFonts w:hint="eastAsia" w:ascii="宋体" w:hAnsi="宋体" w:eastAsia="宋体" w:cs="宋体"/>
          <w:sz w:val="24"/>
          <w:lang w:val="en-US" w:eastAsia="zh-CN"/>
        </w:rPr>
      </w:pPr>
      <w:r>
        <w:rPr>
          <w:rFonts w:hint="eastAsia" w:ascii="宋体" w:hAnsi="宋体" w:eastAsia="宋体" w:cs="宋体"/>
          <w:sz w:val="24"/>
          <w:lang w:val="en-US" w:eastAsia="zh-CN"/>
        </w:rPr>
        <w:t>3、</w:t>
      </w:r>
      <w:r>
        <w:rPr>
          <w:rFonts w:hint="eastAsia" w:ascii="宋体" w:hAnsi="宋体" w:eastAsia="宋体" w:cs="宋体"/>
          <w:sz w:val="24"/>
        </w:rPr>
        <w:t>安全文明措施：该项目安全文明实施、现场扬尘污染防治措施及环境保护方面的措施科学、合理、操作性强、规范、高效的得10分</w:t>
      </w:r>
      <w:r>
        <w:rPr>
          <w:rFonts w:hint="eastAsia" w:ascii="宋体" w:hAnsi="宋体" w:eastAsia="宋体" w:cs="宋体"/>
          <w:sz w:val="24"/>
          <w:lang w:eastAsia="zh-CN"/>
        </w:rPr>
        <w:t>；</w:t>
      </w:r>
      <w:r>
        <w:rPr>
          <w:rFonts w:hint="eastAsia" w:ascii="宋体" w:hAnsi="宋体" w:eastAsia="宋体" w:cs="宋体"/>
          <w:sz w:val="24"/>
        </w:rPr>
        <w:t>安全文明实施、现场扬尘污染防治措施及环境保护方面的措施内容合理、可操作性较强的得7分</w:t>
      </w:r>
      <w:r>
        <w:rPr>
          <w:rFonts w:hint="eastAsia" w:ascii="宋体" w:hAnsi="宋体" w:eastAsia="宋体" w:cs="宋体"/>
          <w:sz w:val="24"/>
          <w:lang w:eastAsia="zh-CN"/>
        </w:rPr>
        <w:t>；</w:t>
      </w:r>
      <w:r>
        <w:rPr>
          <w:rFonts w:hint="eastAsia" w:ascii="宋体" w:hAnsi="宋体" w:eastAsia="宋体" w:cs="宋体"/>
          <w:sz w:val="24"/>
        </w:rPr>
        <w:t>安全文明实施、现场扬尘污染防治措施及环境保护方面的措施内容不全面的得4分</w:t>
      </w:r>
      <w:r>
        <w:rPr>
          <w:rFonts w:hint="eastAsia" w:ascii="宋体" w:hAnsi="宋体" w:eastAsia="宋体" w:cs="宋体"/>
          <w:sz w:val="24"/>
          <w:lang w:eastAsia="zh-CN"/>
        </w:rPr>
        <w:t>；</w:t>
      </w:r>
      <w:r>
        <w:rPr>
          <w:rFonts w:hint="eastAsia" w:ascii="宋体" w:hAnsi="宋体" w:eastAsia="宋体" w:cs="宋体"/>
          <w:sz w:val="24"/>
        </w:rPr>
        <w:t>以上内容仅有涉及、内容不全面的得</w:t>
      </w:r>
      <w:r>
        <w:rPr>
          <w:rFonts w:hint="eastAsia" w:ascii="宋体" w:hAnsi="宋体" w:eastAsia="宋体" w:cs="宋体"/>
          <w:sz w:val="24"/>
          <w:lang w:val="en-US" w:eastAsia="zh-CN"/>
        </w:rPr>
        <w:t>1</w:t>
      </w:r>
      <w:r>
        <w:rPr>
          <w:rFonts w:hint="eastAsia" w:ascii="宋体" w:hAnsi="宋体" w:eastAsia="宋体" w:cs="宋体"/>
          <w:sz w:val="24"/>
        </w:rPr>
        <w:t>分</w:t>
      </w:r>
      <w:r>
        <w:rPr>
          <w:rFonts w:hint="eastAsia" w:ascii="宋体" w:hAnsi="宋体" w:eastAsia="宋体" w:cs="宋体"/>
          <w:sz w:val="24"/>
          <w:lang w:eastAsia="zh-CN"/>
        </w:rPr>
        <w:t>；</w:t>
      </w:r>
      <w:r>
        <w:rPr>
          <w:rFonts w:hint="eastAsia" w:ascii="宋体" w:hAnsi="宋体" w:eastAsia="宋体" w:cs="宋体"/>
          <w:sz w:val="24"/>
        </w:rPr>
        <w:t>未提供不得分</w:t>
      </w:r>
      <w:r>
        <w:rPr>
          <w:rFonts w:hint="eastAsia" w:ascii="宋体" w:hAnsi="宋体" w:eastAsia="宋体" w:cs="宋体"/>
          <w:sz w:val="24"/>
          <w:lang w:eastAsia="zh-CN"/>
        </w:rPr>
        <w:t>。</w:t>
      </w:r>
      <w:r>
        <w:rPr>
          <w:rFonts w:hint="eastAsia" w:ascii="宋体" w:hAnsi="宋体" w:eastAsia="宋体" w:cs="宋体"/>
          <w:sz w:val="24"/>
        </w:rPr>
        <w:t>最高10分。</w:t>
      </w:r>
    </w:p>
    <w:p w14:paraId="3F9FCBC4">
      <w:pPr>
        <w:widowControl/>
        <w:spacing w:line="348" w:lineRule="auto"/>
        <w:ind w:firstLine="480"/>
        <w:jc w:val="left"/>
        <w:rPr>
          <w:rFonts w:hint="eastAsia" w:ascii="宋体" w:hAnsi="宋体" w:eastAsia="宋体" w:cs="宋体"/>
          <w:sz w:val="24"/>
        </w:rPr>
      </w:pPr>
      <w:r>
        <w:rPr>
          <w:rFonts w:hint="eastAsia" w:ascii="宋体" w:hAnsi="宋体" w:cs="宋体"/>
          <w:sz w:val="24"/>
          <w:lang w:val="en-US" w:eastAsia="zh-CN"/>
        </w:rPr>
        <w:t>4</w:t>
      </w:r>
      <w:r>
        <w:rPr>
          <w:rFonts w:hint="eastAsia" w:ascii="宋体" w:hAnsi="宋体" w:eastAsia="宋体" w:cs="宋体"/>
          <w:sz w:val="24"/>
          <w:lang w:val="en-US" w:eastAsia="zh-CN"/>
        </w:rPr>
        <w:t>、</w:t>
      </w:r>
      <w:r>
        <w:rPr>
          <w:rFonts w:hint="eastAsia" w:ascii="宋体" w:hAnsi="宋体" w:eastAsia="宋体" w:cs="宋体"/>
          <w:sz w:val="24"/>
        </w:rPr>
        <w:t>现场布置安排：现场平面布置和临时设施布置，具有可操作性强，内容描述详细的得</w:t>
      </w:r>
      <w:r>
        <w:rPr>
          <w:rFonts w:hint="eastAsia" w:ascii="宋体" w:hAnsi="宋体" w:cs="宋体"/>
          <w:sz w:val="24"/>
          <w:lang w:val="en-US" w:eastAsia="zh-CN"/>
        </w:rPr>
        <w:t>8</w:t>
      </w:r>
      <w:r>
        <w:rPr>
          <w:rFonts w:hint="eastAsia" w:ascii="宋体" w:hAnsi="宋体" w:eastAsia="宋体" w:cs="宋体"/>
          <w:sz w:val="24"/>
        </w:rPr>
        <w:t>分；可操作性尚可，内容描述较简单的得</w:t>
      </w:r>
      <w:r>
        <w:rPr>
          <w:rFonts w:hint="eastAsia" w:ascii="宋体" w:hAnsi="宋体" w:cs="宋体"/>
          <w:sz w:val="24"/>
          <w:lang w:val="en-US" w:eastAsia="zh-CN"/>
        </w:rPr>
        <w:t>5</w:t>
      </w:r>
      <w:r>
        <w:rPr>
          <w:rFonts w:hint="eastAsia" w:ascii="宋体" w:hAnsi="宋体" w:eastAsia="宋体" w:cs="宋体"/>
          <w:sz w:val="24"/>
        </w:rPr>
        <w:t>分；可操作性差，内容描述特少的得</w:t>
      </w:r>
      <w:r>
        <w:rPr>
          <w:rFonts w:hint="eastAsia" w:ascii="宋体" w:hAnsi="宋体" w:cs="宋体"/>
          <w:sz w:val="24"/>
          <w:lang w:val="en-US" w:eastAsia="zh-CN"/>
        </w:rPr>
        <w:t>2</w:t>
      </w:r>
      <w:r>
        <w:rPr>
          <w:rFonts w:hint="eastAsia" w:ascii="宋体" w:hAnsi="宋体" w:eastAsia="宋体" w:cs="宋体"/>
          <w:sz w:val="24"/>
        </w:rPr>
        <w:t>分</w:t>
      </w:r>
      <w:r>
        <w:rPr>
          <w:rFonts w:hint="eastAsia" w:ascii="宋体" w:hAnsi="宋体" w:eastAsia="宋体" w:cs="宋体"/>
          <w:sz w:val="24"/>
          <w:lang w:eastAsia="zh-CN"/>
        </w:rPr>
        <w:t>；</w:t>
      </w:r>
      <w:r>
        <w:rPr>
          <w:rFonts w:hint="eastAsia" w:ascii="宋体" w:hAnsi="宋体" w:eastAsia="宋体" w:cs="宋体"/>
          <w:sz w:val="24"/>
        </w:rPr>
        <w:t>未提供不得分</w:t>
      </w:r>
      <w:r>
        <w:rPr>
          <w:rFonts w:hint="eastAsia" w:ascii="宋体" w:hAnsi="宋体" w:eastAsia="宋体" w:cs="宋体"/>
          <w:sz w:val="24"/>
          <w:lang w:eastAsia="zh-CN"/>
        </w:rPr>
        <w:t>。</w:t>
      </w:r>
      <w:r>
        <w:rPr>
          <w:rFonts w:hint="eastAsia" w:ascii="宋体" w:hAnsi="宋体" w:eastAsia="宋体" w:cs="宋体"/>
          <w:sz w:val="24"/>
        </w:rPr>
        <w:t>最高</w:t>
      </w:r>
      <w:r>
        <w:rPr>
          <w:rFonts w:hint="eastAsia" w:ascii="宋体" w:hAnsi="宋体" w:cs="宋体"/>
          <w:sz w:val="24"/>
          <w:lang w:val="en-US" w:eastAsia="zh-CN"/>
        </w:rPr>
        <w:t>8</w:t>
      </w:r>
      <w:r>
        <w:rPr>
          <w:rFonts w:hint="eastAsia" w:ascii="宋体" w:hAnsi="宋体" w:eastAsia="宋体" w:cs="宋体"/>
          <w:sz w:val="24"/>
        </w:rPr>
        <w:t>分。</w:t>
      </w:r>
    </w:p>
    <w:p w14:paraId="4CC8E1B3">
      <w:pPr>
        <w:widowControl/>
        <w:spacing w:line="348" w:lineRule="auto"/>
        <w:ind w:firstLine="480"/>
        <w:jc w:val="left"/>
        <w:rPr>
          <w:rFonts w:hint="eastAsia" w:ascii="宋体" w:hAnsi="宋体" w:eastAsia="宋体" w:cs="宋体"/>
          <w:sz w:val="24"/>
        </w:rPr>
      </w:pPr>
      <w:r>
        <w:rPr>
          <w:rFonts w:hint="eastAsia" w:ascii="宋体" w:hAnsi="宋体" w:cs="宋体"/>
          <w:sz w:val="24"/>
          <w:lang w:val="en-US" w:eastAsia="zh-CN"/>
        </w:rPr>
        <w:t>5</w:t>
      </w:r>
      <w:r>
        <w:rPr>
          <w:rFonts w:hint="eastAsia" w:ascii="宋体" w:hAnsi="宋体" w:eastAsia="宋体" w:cs="宋体"/>
          <w:sz w:val="24"/>
          <w:lang w:val="en-US" w:eastAsia="zh-CN"/>
        </w:rPr>
        <w:t>、</w:t>
      </w:r>
      <w:r>
        <w:rPr>
          <w:rFonts w:hint="eastAsia" w:ascii="宋体" w:hAnsi="宋体" w:eastAsia="宋体" w:cs="宋体"/>
          <w:sz w:val="24"/>
        </w:rPr>
        <w:t>进度保证：进度计划和各阶段进度的保证措施，具有可操作性强，内容描述详细的得</w:t>
      </w:r>
      <w:r>
        <w:rPr>
          <w:rFonts w:hint="eastAsia" w:ascii="宋体" w:hAnsi="宋体" w:cs="宋体"/>
          <w:sz w:val="24"/>
          <w:lang w:val="en-US" w:eastAsia="zh-CN"/>
        </w:rPr>
        <w:t>8</w:t>
      </w:r>
      <w:r>
        <w:rPr>
          <w:rFonts w:hint="eastAsia" w:ascii="宋体" w:hAnsi="宋体" w:eastAsia="宋体" w:cs="宋体"/>
          <w:sz w:val="24"/>
        </w:rPr>
        <w:t>分；可操作性尚可，内容描述较简单的得</w:t>
      </w:r>
      <w:r>
        <w:rPr>
          <w:rFonts w:hint="eastAsia" w:ascii="宋体" w:hAnsi="宋体" w:cs="宋体"/>
          <w:sz w:val="24"/>
          <w:lang w:val="en-US" w:eastAsia="zh-CN"/>
        </w:rPr>
        <w:t>5</w:t>
      </w:r>
      <w:r>
        <w:rPr>
          <w:rFonts w:hint="eastAsia" w:ascii="宋体" w:hAnsi="宋体" w:eastAsia="宋体" w:cs="宋体"/>
          <w:sz w:val="24"/>
        </w:rPr>
        <w:t>分；可操作性差，内容描述特少的得</w:t>
      </w:r>
      <w:r>
        <w:rPr>
          <w:rFonts w:hint="eastAsia" w:ascii="宋体" w:hAnsi="宋体" w:cs="宋体"/>
          <w:sz w:val="24"/>
          <w:lang w:val="en-US" w:eastAsia="zh-CN"/>
        </w:rPr>
        <w:t>2分</w:t>
      </w:r>
      <w:r>
        <w:rPr>
          <w:rFonts w:hint="eastAsia" w:ascii="宋体" w:hAnsi="宋体" w:eastAsia="宋体" w:cs="宋体"/>
          <w:sz w:val="24"/>
          <w:lang w:eastAsia="zh-CN"/>
        </w:rPr>
        <w:t>；</w:t>
      </w:r>
      <w:r>
        <w:rPr>
          <w:rFonts w:hint="eastAsia" w:ascii="宋体" w:hAnsi="宋体" w:eastAsia="宋体" w:cs="宋体"/>
          <w:sz w:val="24"/>
        </w:rPr>
        <w:t>未提供不得分</w:t>
      </w:r>
      <w:r>
        <w:rPr>
          <w:rFonts w:hint="eastAsia" w:ascii="宋体" w:hAnsi="宋体" w:eastAsia="宋体" w:cs="宋体"/>
          <w:sz w:val="24"/>
          <w:lang w:eastAsia="zh-CN"/>
        </w:rPr>
        <w:t>。</w:t>
      </w:r>
      <w:r>
        <w:rPr>
          <w:rFonts w:hint="eastAsia" w:ascii="宋体" w:hAnsi="宋体" w:eastAsia="宋体" w:cs="宋体"/>
          <w:sz w:val="24"/>
        </w:rPr>
        <w:t>最高</w:t>
      </w:r>
      <w:r>
        <w:rPr>
          <w:rFonts w:hint="eastAsia" w:ascii="宋体" w:hAnsi="宋体" w:cs="宋体"/>
          <w:sz w:val="24"/>
          <w:lang w:val="en-US" w:eastAsia="zh-CN"/>
        </w:rPr>
        <w:t>8</w:t>
      </w:r>
      <w:r>
        <w:rPr>
          <w:rFonts w:hint="eastAsia" w:ascii="宋体" w:hAnsi="宋体" w:eastAsia="宋体" w:cs="宋体"/>
          <w:sz w:val="24"/>
        </w:rPr>
        <w:t>分。</w:t>
      </w:r>
    </w:p>
    <w:p w14:paraId="44D431C8">
      <w:pPr>
        <w:widowControl/>
        <w:spacing w:line="348" w:lineRule="auto"/>
        <w:ind w:firstLine="480"/>
        <w:jc w:val="left"/>
        <w:rPr>
          <w:rFonts w:hint="eastAsia" w:ascii="宋体" w:hAnsi="宋体" w:eastAsia="宋体" w:cs="宋体"/>
          <w:sz w:val="24"/>
          <w:lang w:val="en-US" w:eastAsia="zh-CN"/>
        </w:rPr>
      </w:pPr>
      <w:r>
        <w:rPr>
          <w:rFonts w:hint="eastAsia" w:ascii="宋体" w:hAnsi="宋体" w:eastAsia="宋体" w:cs="宋体"/>
          <w:sz w:val="24"/>
          <w:lang w:val="en-US" w:eastAsia="zh-CN"/>
        </w:rPr>
        <w:t>6、</w:t>
      </w:r>
      <w:r>
        <w:rPr>
          <w:rFonts w:hint="eastAsia" w:ascii="宋体" w:hAnsi="宋体" w:eastAsia="宋体" w:cs="宋体"/>
          <w:sz w:val="24"/>
        </w:rPr>
        <w:t>人材机投入计划：劳动力、机械设备和材料投入计划；关键施工技术、工艺及工程项目实施的重点、难点和解决方案，具有可操作性强，内容描述详细的得</w:t>
      </w:r>
      <w:r>
        <w:rPr>
          <w:rFonts w:hint="eastAsia" w:ascii="宋体" w:hAnsi="宋体" w:cs="宋体"/>
          <w:sz w:val="24"/>
          <w:lang w:val="en-US" w:eastAsia="zh-CN"/>
        </w:rPr>
        <w:t>8</w:t>
      </w:r>
      <w:r>
        <w:rPr>
          <w:rFonts w:hint="eastAsia" w:ascii="宋体" w:hAnsi="宋体" w:eastAsia="宋体" w:cs="宋体"/>
          <w:sz w:val="24"/>
        </w:rPr>
        <w:t>分；可操作性尚可，内容描述较简单的得</w:t>
      </w:r>
      <w:r>
        <w:rPr>
          <w:rFonts w:hint="eastAsia" w:ascii="宋体" w:hAnsi="宋体" w:cs="宋体"/>
          <w:sz w:val="24"/>
          <w:lang w:val="en-US" w:eastAsia="zh-CN"/>
        </w:rPr>
        <w:t>5</w:t>
      </w:r>
      <w:r>
        <w:rPr>
          <w:rFonts w:hint="eastAsia" w:ascii="宋体" w:hAnsi="宋体" w:eastAsia="宋体" w:cs="宋体"/>
          <w:sz w:val="24"/>
        </w:rPr>
        <w:t>分；可操作性差，内容描述特少的得</w:t>
      </w:r>
      <w:r>
        <w:rPr>
          <w:rFonts w:hint="eastAsia" w:ascii="宋体" w:hAnsi="宋体" w:cs="宋体"/>
          <w:sz w:val="24"/>
          <w:lang w:val="en-US" w:eastAsia="zh-CN"/>
        </w:rPr>
        <w:t>2</w:t>
      </w:r>
      <w:r>
        <w:rPr>
          <w:rFonts w:hint="eastAsia" w:ascii="宋体" w:hAnsi="宋体" w:eastAsia="宋体" w:cs="宋体"/>
          <w:sz w:val="24"/>
        </w:rPr>
        <w:t>分</w:t>
      </w:r>
      <w:r>
        <w:rPr>
          <w:rFonts w:hint="eastAsia" w:ascii="宋体" w:hAnsi="宋体" w:eastAsia="宋体" w:cs="宋体"/>
          <w:sz w:val="24"/>
          <w:lang w:eastAsia="zh-CN"/>
        </w:rPr>
        <w:t>；</w:t>
      </w:r>
      <w:r>
        <w:rPr>
          <w:rFonts w:hint="eastAsia" w:ascii="宋体" w:hAnsi="宋体" w:eastAsia="宋体" w:cs="宋体"/>
          <w:sz w:val="24"/>
        </w:rPr>
        <w:t>未提供不得分</w:t>
      </w:r>
      <w:r>
        <w:rPr>
          <w:rFonts w:hint="eastAsia" w:ascii="宋体" w:hAnsi="宋体" w:eastAsia="宋体" w:cs="宋体"/>
          <w:sz w:val="24"/>
          <w:lang w:eastAsia="zh-CN"/>
        </w:rPr>
        <w:t>。</w:t>
      </w:r>
      <w:r>
        <w:rPr>
          <w:rFonts w:hint="eastAsia" w:ascii="宋体" w:hAnsi="宋体" w:eastAsia="宋体" w:cs="宋体"/>
          <w:sz w:val="24"/>
        </w:rPr>
        <w:t>最高</w:t>
      </w:r>
      <w:r>
        <w:rPr>
          <w:rFonts w:hint="eastAsia" w:ascii="宋体" w:hAnsi="宋体" w:cs="宋体"/>
          <w:sz w:val="24"/>
          <w:lang w:val="en-US" w:eastAsia="zh-CN"/>
        </w:rPr>
        <w:t>8</w:t>
      </w:r>
      <w:r>
        <w:rPr>
          <w:rFonts w:hint="eastAsia" w:ascii="宋体" w:hAnsi="宋体" w:eastAsia="宋体" w:cs="宋体"/>
          <w:sz w:val="24"/>
        </w:rPr>
        <w:t>分。</w:t>
      </w:r>
    </w:p>
    <w:p w14:paraId="19A55388">
      <w:pPr>
        <w:widowControl/>
        <w:spacing w:line="348" w:lineRule="auto"/>
        <w:ind w:firstLine="480"/>
        <w:jc w:val="left"/>
        <w:rPr>
          <w:rFonts w:hint="eastAsia" w:ascii="宋体" w:hAnsi="宋体" w:eastAsia="宋体" w:cs="宋体"/>
          <w:sz w:val="24"/>
          <w:lang w:val="en-US" w:eastAsia="zh-CN"/>
        </w:rPr>
      </w:pPr>
      <w:r>
        <w:rPr>
          <w:rFonts w:hint="eastAsia" w:ascii="宋体" w:hAnsi="宋体" w:eastAsia="宋体" w:cs="宋体"/>
          <w:sz w:val="24"/>
          <w:lang w:val="en-US" w:eastAsia="zh-CN"/>
        </w:rPr>
        <w:t>7、</w:t>
      </w:r>
      <w:r>
        <w:rPr>
          <w:rFonts w:hint="eastAsia" w:ascii="宋体" w:hAnsi="宋体" w:eastAsia="宋体" w:cs="宋体"/>
          <w:sz w:val="24"/>
        </w:rPr>
        <w:t>突发事件应对措施：突发事件的应急情况及相关应急预案是否完善，有效，应急保障措施是否适应、可行；应急措施最完整、科学、合理、全面的得</w:t>
      </w:r>
      <w:r>
        <w:rPr>
          <w:rFonts w:hint="eastAsia" w:ascii="宋体" w:hAnsi="宋体" w:eastAsia="宋体" w:cs="宋体"/>
          <w:sz w:val="24"/>
          <w:lang w:val="en-US" w:eastAsia="zh-CN"/>
        </w:rPr>
        <w:t>10</w:t>
      </w:r>
      <w:r>
        <w:rPr>
          <w:rFonts w:hint="eastAsia" w:ascii="宋体" w:hAnsi="宋体" w:eastAsia="宋体" w:cs="宋体"/>
          <w:sz w:val="24"/>
        </w:rPr>
        <w:t>分；应急措施较完整、科学、合理的得</w:t>
      </w:r>
      <w:r>
        <w:rPr>
          <w:rFonts w:hint="eastAsia" w:ascii="宋体" w:hAnsi="宋体" w:eastAsia="宋体" w:cs="宋体"/>
          <w:sz w:val="24"/>
          <w:lang w:val="en-US" w:eastAsia="zh-CN"/>
        </w:rPr>
        <w:t>7</w:t>
      </w:r>
      <w:r>
        <w:rPr>
          <w:rFonts w:hint="eastAsia" w:ascii="宋体" w:hAnsi="宋体" w:eastAsia="宋体" w:cs="宋体"/>
          <w:sz w:val="24"/>
        </w:rPr>
        <w:t>分；应急措施不够完整、科学、合理、缺陷</w:t>
      </w:r>
      <w:r>
        <w:rPr>
          <w:rFonts w:hint="eastAsia" w:ascii="宋体" w:hAnsi="宋体" w:cs="宋体"/>
          <w:sz w:val="24"/>
          <w:lang w:val="en-US" w:eastAsia="zh-CN"/>
        </w:rPr>
        <w:t>较多</w:t>
      </w:r>
      <w:r>
        <w:rPr>
          <w:rFonts w:hint="eastAsia" w:ascii="宋体" w:hAnsi="宋体" w:eastAsia="宋体" w:cs="宋体"/>
          <w:sz w:val="24"/>
        </w:rPr>
        <w:t>的得</w:t>
      </w:r>
      <w:r>
        <w:rPr>
          <w:rFonts w:hint="eastAsia" w:ascii="宋体" w:hAnsi="宋体" w:cs="宋体"/>
          <w:sz w:val="24"/>
          <w:lang w:val="en-US" w:eastAsia="zh-CN"/>
        </w:rPr>
        <w:t>4</w:t>
      </w:r>
      <w:r>
        <w:rPr>
          <w:rFonts w:hint="eastAsia" w:ascii="宋体" w:hAnsi="宋体" w:eastAsia="宋体" w:cs="宋体"/>
          <w:sz w:val="24"/>
        </w:rPr>
        <w:t>分</w:t>
      </w:r>
      <w:r>
        <w:rPr>
          <w:rFonts w:hint="eastAsia" w:ascii="宋体" w:hAnsi="宋体" w:eastAsia="宋体" w:cs="宋体"/>
          <w:sz w:val="24"/>
          <w:lang w:eastAsia="zh-CN"/>
        </w:rPr>
        <w:t>；</w:t>
      </w:r>
      <w:r>
        <w:rPr>
          <w:rFonts w:hint="eastAsia" w:ascii="宋体" w:hAnsi="宋体" w:eastAsia="宋体" w:cs="宋体"/>
          <w:sz w:val="24"/>
        </w:rPr>
        <w:t>应急措施</w:t>
      </w:r>
      <w:r>
        <w:rPr>
          <w:rFonts w:hint="eastAsia" w:ascii="宋体" w:hAnsi="宋体" w:eastAsia="宋体" w:cs="宋体"/>
          <w:sz w:val="24"/>
          <w:lang w:val="en-US" w:eastAsia="zh-CN"/>
        </w:rPr>
        <w:t>严重缺失、</w:t>
      </w:r>
      <w:r>
        <w:rPr>
          <w:rFonts w:ascii="宋体" w:hAnsi="宋体" w:eastAsia="宋体" w:cs="宋体"/>
          <w:sz w:val="24"/>
          <w:szCs w:val="24"/>
        </w:rPr>
        <w:t>基本无有效应对能力</w:t>
      </w:r>
      <w:r>
        <w:rPr>
          <w:rFonts w:hint="eastAsia" w:ascii="宋体" w:hAnsi="宋体" w:cs="宋体"/>
          <w:sz w:val="24"/>
          <w:szCs w:val="24"/>
          <w:lang w:val="en-US" w:eastAsia="zh-CN"/>
        </w:rPr>
        <w:t>得1分，</w:t>
      </w:r>
      <w:r>
        <w:rPr>
          <w:rFonts w:hint="eastAsia" w:ascii="宋体" w:hAnsi="宋体" w:eastAsia="宋体" w:cs="宋体"/>
          <w:sz w:val="24"/>
        </w:rPr>
        <w:t>未</w:t>
      </w:r>
      <w:r>
        <w:rPr>
          <w:rFonts w:hint="eastAsia" w:ascii="宋体" w:hAnsi="宋体" w:eastAsia="宋体" w:cs="宋体"/>
          <w:sz w:val="24"/>
          <w:lang w:val="en-US" w:eastAsia="zh-CN"/>
        </w:rPr>
        <w:t>提供不得分。最高10分。</w:t>
      </w:r>
    </w:p>
    <w:p w14:paraId="58CAD252">
      <w:pPr>
        <w:widowControl/>
        <w:spacing w:line="348" w:lineRule="auto"/>
        <w:ind w:firstLine="482"/>
        <w:jc w:val="left"/>
        <w:rPr>
          <w:rFonts w:hint="eastAsia" w:ascii="宋体" w:hAnsi="宋体" w:eastAsia="宋体" w:cs="宋体"/>
          <w:b/>
          <w:bCs/>
          <w:sz w:val="24"/>
          <w:lang w:val="en-US" w:eastAsia="zh-CN"/>
        </w:rPr>
      </w:pPr>
      <w:r>
        <w:rPr>
          <w:rFonts w:hint="eastAsia" w:ascii="宋体" w:hAnsi="宋体" w:eastAsia="宋体" w:cs="宋体"/>
          <w:b/>
          <w:bCs/>
          <w:sz w:val="24"/>
          <w:lang w:val="en-US" w:eastAsia="zh-CN"/>
        </w:rPr>
        <w:t>（三）响应单位综合实力（</w:t>
      </w:r>
      <w:r>
        <w:rPr>
          <w:rFonts w:hint="eastAsia" w:ascii="宋体" w:hAnsi="宋体" w:cs="宋体"/>
          <w:b/>
          <w:bCs/>
          <w:sz w:val="24"/>
          <w:lang w:val="en-US" w:eastAsia="zh-CN"/>
        </w:rPr>
        <w:t>21</w:t>
      </w:r>
      <w:r>
        <w:rPr>
          <w:rFonts w:hint="eastAsia" w:ascii="宋体" w:hAnsi="宋体" w:eastAsia="宋体" w:cs="宋体"/>
          <w:b/>
          <w:bCs/>
          <w:sz w:val="24"/>
          <w:lang w:val="en-US" w:eastAsia="zh-CN"/>
        </w:rPr>
        <w:t>分）</w:t>
      </w:r>
    </w:p>
    <w:p w14:paraId="1BE93B8A">
      <w:pPr>
        <w:widowControl/>
        <w:spacing w:line="348" w:lineRule="auto"/>
        <w:ind w:firstLine="480"/>
        <w:jc w:val="left"/>
        <w:rPr>
          <w:rFonts w:hint="eastAsia" w:ascii="宋体" w:hAnsi="宋体" w:eastAsia="宋体" w:cs="宋体"/>
          <w:b/>
          <w:bCs w:val="0"/>
          <w:color w:val="auto"/>
          <w:sz w:val="24"/>
          <w:szCs w:val="24"/>
          <w:highlight w:val="none"/>
          <w:lang w:eastAsia="zh-CN"/>
        </w:rPr>
      </w:pPr>
      <w:r>
        <w:rPr>
          <w:rFonts w:hint="eastAsia" w:ascii="宋体" w:hAnsi="宋体" w:eastAsia="宋体" w:cs="宋体"/>
          <w:sz w:val="24"/>
          <w:lang w:val="en-US" w:eastAsia="zh-CN"/>
        </w:rPr>
        <w:t>1、拟投入本项目技术负责人具有中级及以上职称的得</w:t>
      </w:r>
      <w:r>
        <w:rPr>
          <w:rFonts w:hint="eastAsia" w:ascii="宋体" w:hAnsi="宋体" w:cs="宋体"/>
          <w:sz w:val="24"/>
          <w:lang w:val="en-US" w:eastAsia="zh-CN"/>
        </w:rPr>
        <w:t>2</w:t>
      </w:r>
      <w:r>
        <w:rPr>
          <w:rFonts w:hint="eastAsia" w:ascii="宋体" w:hAnsi="宋体" w:eastAsia="宋体" w:cs="宋体"/>
          <w:sz w:val="24"/>
          <w:lang w:val="en-US" w:eastAsia="zh-CN"/>
        </w:rPr>
        <w:t>分；初级职称的得1</w:t>
      </w:r>
      <w:r>
        <w:rPr>
          <w:rFonts w:hint="eastAsia" w:ascii="宋体" w:hAnsi="宋体" w:cs="宋体"/>
          <w:sz w:val="24"/>
          <w:lang w:val="en-US" w:eastAsia="zh-CN"/>
        </w:rPr>
        <w:t>分</w:t>
      </w:r>
      <w:r>
        <w:rPr>
          <w:rFonts w:hint="eastAsia" w:ascii="宋体" w:hAnsi="宋体" w:eastAsia="宋体" w:cs="宋体"/>
          <w:sz w:val="24"/>
          <w:lang w:val="en-US" w:eastAsia="zh-CN"/>
        </w:rPr>
        <w:t>。最高得</w:t>
      </w:r>
      <w:r>
        <w:rPr>
          <w:rFonts w:hint="eastAsia" w:ascii="宋体" w:hAnsi="宋体" w:cs="宋体"/>
          <w:sz w:val="24"/>
          <w:lang w:val="en-US" w:eastAsia="zh-CN"/>
        </w:rPr>
        <w:t>2</w:t>
      </w:r>
      <w:r>
        <w:rPr>
          <w:rFonts w:hint="eastAsia" w:ascii="宋体" w:hAnsi="宋体" w:eastAsia="宋体" w:cs="宋体"/>
          <w:sz w:val="24"/>
          <w:lang w:val="en-US" w:eastAsia="zh-CN"/>
        </w:rPr>
        <w:t>分</w:t>
      </w:r>
      <w:r>
        <w:rPr>
          <w:rFonts w:hint="eastAsia" w:ascii="宋体" w:hAnsi="宋体" w:cs="宋体"/>
          <w:sz w:val="24"/>
          <w:lang w:val="en-US" w:eastAsia="zh-CN"/>
        </w:rPr>
        <w:t>。</w:t>
      </w:r>
      <w:r>
        <w:rPr>
          <w:rFonts w:hint="eastAsia" w:ascii="宋体" w:hAnsi="宋体" w:cs="宋体"/>
          <w:b/>
          <w:bCs/>
          <w:sz w:val="24"/>
          <w:lang w:val="en-US" w:eastAsia="zh-CN"/>
        </w:rPr>
        <w:t>（</w:t>
      </w:r>
      <w:r>
        <w:rPr>
          <w:rFonts w:ascii="宋体" w:hAnsi="宋体" w:eastAsia="宋体" w:cs="宋体"/>
          <w:b/>
          <w:bCs w:val="0"/>
          <w:color w:val="auto"/>
          <w:sz w:val="24"/>
          <w:szCs w:val="24"/>
          <w:highlight w:val="none"/>
        </w:rPr>
        <w:t>响应文件</w:t>
      </w:r>
      <w:r>
        <w:rPr>
          <w:rFonts w:hint="eastAsia" w:ascii="宋体" w:hAnsi="宋体" w:eastAsia="宋体" w:cs="宋体"/>
          <w:b/>
          <w:bCs w:val="0"/>
          <w:color w:val="auto"/>
          <w:sz w:val="24"/>
          <w:szCs w:val="24"/>
          <w:highlight w:val="none"/>
          <w:lang w:val="en-US" w:eastAsia="zh-CN"/>
        </w:rPr>
        <w:t>中需</w:t>
      </w:r>
      <w:r>
        <w:rPr>
          <w:rFonts w:ascii="宋体" w:hAnsi="宋体" w:eastAsia="宋体" w:cs="宋体"/>
          <w:b/>
          <w:bCs w:val="0"/>
          <w:color w:val="auto"/>
          <w:sz w:val="24"/>
          <w:szCs w:val="24"/>
          <w:highlight w:val="none"/>
        </w:rPr>
        <w:t>提供职称证书扫描件及</w:t>
      </w:r>
      <w:r>
        <w:rPr>
          <w:rFonts w:hint="eastAsia" w:ascii="宋体" w:hAnsi="宋体" w:eastAsia="宋体" w:cs="宋体"/>
          <w:b/>
          <w:bCs w:val="0"/>
          <w:color w:val="auto"/>
          <w:sz w:val="24"/>
          <w:szCs w:val="24"/>
          <w:highlight w:val="none"/>
          <w:lang w:val="en-US" w:eastAsia="zh-CN"/>
        </w:rPr>
        <w:t>最近一期</w:t>
      </w:r>
      <w:r>
        <w:rPr>
          <w:rFonts w:ascii="宋体" w:hAnsi="宋体" w:eastAsia="宋体" w:cs="宋体"/>
          <w:b/>
          <w:bCs w:val="0"/>
          <w:color w:val="auto"/>
          <w:sz w:val="24"/>
          <w:szCs w:val="24"/>
          <w:highlight w:val="none"/>
        </w:rPr>
        <w:t>社保缴纳证明扫描件</w:t>
      </w:r>
      <w:r>
        <w:rPr>
          <w:rFonts w:hint="eastAsia" w:ascii="宋体" w:hAnsi="宋体" w:eastAsia="宋体" w:cs="宋体"/>
          <w:b/>
          <w:bCs w:val="0"/>
          <w:color w:val="auto"/>
          <w:sz w:val="24"/>
          <w:szCs w:val="24"/>
          <w:highlight w:val="none"/>
          <w:lang w:eastAsia="zh-CN"/>
        </w:rPr>
        <w:t>，</w:t>
      </w:r>
      <w:r>
        <w:rPr>
          <w:rFonts w:ascii="宋体" w:hAnsi="宋体" w:eastAsia="宋体" w:cs="宋体"/>
          <w:b/>
          <w:bCs w:val="0"/>
          <w:color w:val="auto"/>
          <w:sz w:val="24"/>
          <w:szCs w:val="24"/>
          <w:highlight w:val="none"/>
        </w:rPr>
        <w:t>未按要求提供的不得分</w:t>
      </w:r>
      <w:r>
        <w:rPr>
          <w:rFonts w:hint="eastAsia" w:ascii="宋体" w:hAnsi="宋体" w:eastAsia="宋体" w:cs="宋体"/>
          <w:b/>
          <w:bCs w:val="0"/>
          <w:color w:val="auto"/>
          <w:sz w:val="24"/>
          <w:szCs w:val="24"/>
          <w:highlight w:val="none"/>
          <w:lang w:eastAsia="zh-CN"/>
        </w:rPr>
        <w:t>）</w:t>
      </w:r>
    </w:p>
    <w:p w14:paraId="5E3A3099">
      <w:pPr>
        <w:widowControl/>
        <w:spacing w:line="348" w:lineRule="auto"/>
        <w:ind w:firstLine="480"/>
        <w:jc w:val="left"/>
        <w:rPr>
          <w:rFonts w:hint="default" w:ascii="宋体" w:hAnsi="宋体" w:eastAsia="宋体" w:cs="宋体"/>
          <w:b/>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2、拟投入本项目维修技工7名，需持电工证上岗，每提供一个得2分，最高得14分。</w:t>
      </w:r>
      <w:r>
        <w:rPr>
          <w:rFonts w:hint="eastAsia" w:ascii="宋体" w:hAnsi="宋体" w:cs="宋体"/>
          <w:b/>
          <w:bCs/>
          <w:sz w:val="24"/>
          <w:lang w:val="en-US" w:eastAsia="zh-CN"/>
        </w:rPr>
        <w:t>（</w:t>
      </w:r>
      <w:r>
        <w:rPr>
          <w:rFonts w:ascii="宋体" w:hAnsi="宋体" w:eastAsia="宋体" w:cs="宋体"/>
          <w:b/>
          <w:bCs w:val="0"/>
          <w:color w:val="auto"/>
          <w:sz w:val="24"/>
          <w:szCs w:val="24"/>
          <w:highlight w:val="none"/>
        </w:rPr>
        <w:t>响应文件</w:t>
      </w:r>
      <w:r>
        <w:rPr>
          <w:rFonts w:hint="eastAsia" w:ascii="宋体" w:hAnsi="宋体" w:eastAsia="宋体" w:cs="宋体"/>
          <w:b/>
          <w:bCs w:val="0"/>
          <w:color w:val="auto"/>
          <w:sz w:val="24"/>
          <w:szCs w:val="24"/>
          <w:highlight w:val="none"/>
          <w:lang w:val="en-US" w:eastAsia="zh-CN"/>
        </w:rPr>
        <w:t>中需</w:t>
      </w:r>
      <w:r>
        <w:rPr>
          <w:rFonts w:ascii="宋体" w:hAnsi="宋体" w:eastAsia="宋体" w:cs="宋体"/>
          <w:b/>
          <w:bCs w:val="0"/>
          <w:color w:val="auto"/>
          <w:sz w:val="24"/>
          <w:szCs w:val="24"/>
          <w:highlight w:val="none"/>
        </w:rPr>
        <w:t>提供</w:t>
      </w:r>
      <w:r>
        <w:rPr>
          <w:rFonts w:hint="eastAsia" w:ascii="宋体" w:hAnsi="宋体" w:eastAsia="宋体" w:cs="宋体"/>
          <w:b/>
          <w:bCs w:val="0"/>
          <w:color w:val="auto"/>
          <w:sz w:val="24"/>
          <w:szCs w:val="24"/>
          <w:highlight w:val="none"/>
          <w:lang w:val="en-US" w:eastAsia="zh-CN"/>
        </w:rPr>
        <w:t>电工</w:t>
      </w:r>
      <w:r>
        <w:rPr>
          <w:rFonts w:ascii="宋体" w:hAnsi="宋体" w:eastAsia="宋体" w:cs="宋体"/>
          <w:b/>
          <w:bCs w:val="0"/>
          <w:color w:val="auto"/>
          <w:sz w:val="24"/>
          <w:szCs w:val="24"/>
          <w:highlight w:val="none"/>
        </w:rPr>
        <w:t>证书扫描件及</w:t>
      </w:r>
      <w:r>
        <w:rPr>
          <w:rFonts w:hint="eastAsia" w:ascii="宋体" w:hAnsi="宋体" w:eastAsia="宋体" w:cs="宋体"/>
          <w:b/>
          <w:bCs w:val="0"/>
          <w:color w:val="auto"/>
          <w:sz w:val="24"/>
          <w:szCs w:val="24"/>
          <w:highlight w:val="none"/>
          <w:lang w:val="en-US" w:eastAsia="zh-CN"/>
        </w:rPr>
        <w:t>最近一期</w:t>
      </w:r>
      <w:r>
        <w:rPr>
          <w:rFonts w:ascii="宋体" w:hAnsi="宋体" w:eastAsia="宋体" w:cs="宋体"/>
          <w:b/>
          <w:bCs w:val="0"/>
          <w:color w:val="auto"/>
          <w:sz w:val="24"/>
          <w:szCs w:val="24"/>
          <w:highlight w:val="none"/>
        </w:rPr>
        <w:t>社保缴纳证明扫描件</w:t>
      </w:r>
      <w:r>
        <w:rPr>
          <w:rFonts w:hint="eastAsia" w:ascii="宋体" w:hAnsi="宋体" w:eastAsia="宋体" w:cs="宋体"/>
          <w:b/>
          <w:bCs w:val="0"/>
          <w:color w:val="auto"/>
          <w:sz w:val="24"/>
          <w:szCs w:val="24"/>
          <w:highlight w:val="none"/>
          <w:lang w:eastAsia="zh-CN"/>
        </w:rPr>
        <w:t>，</w:t>
      </w:r>
      <w:r>
        <w:rPr>
          <w:rFonts w:ascii="宋体" w:hAnsi="宋体" w:eastAsia="宋体" w:cs="宋体"/>
          <w:b/>
          <w:bCs w:val="0"/>
          <w:color w:val="auto"/>
          <w:sz w:val="24"/>
          <w:szCs w:val="24"/>
          <w:highlight w:val="none"/>
        </w:rPr>
        <w:t>未按要求提供的不得分</w:t>
      </w:r>
      <w:r>
        <w:rPr>
          <w:rFonts w:hint="eastAsia" w:ascii="宋体" w:hAnsi="宋体" w:eastAsia="宋体" w:cs="宋体"/>
          <w:b/>
          <w:bCs w:val="0"/>
          <w:color w:val="auto"/>
          <w:sz w:val="24"/>
          <w:szCs w:val="24"/>
          <w:highlight w:val="none"/>
          <w:lang w:eastAsia="zh-CN"/>
        </w:rPr>
        <w:t>）</w:t>
      </w:r>
    </w:p>
    <w:p w14:paraId="1AF37C51">
      <w:pPr>
        <w:widowControl/>
        <w:spacing w:line="348" w:lineRule="auto"/>
        <w:ind w:firstLine="480"/>
        <w:jc w:val="left"/>
        <w:rPr>
          <w:rFonts w:ascii="宋体" w:hAnsi="宋体" w:cs="宋体"/>
          <w:b/>
          <w:bCs/>
          <w:sz w:val="24"/>
        </w:rPr>
      </w:pPr>
      <w:r>
        <w:rPr>
          <w:rFonts w:hint="eastAsia" w:ascii="宋体" w:hAnsi="宋体" w:eastAsia="宋体" w:cs="宋体"/>
          <w:sz w:val="24"/>
          <w:lang w:val="en-US" w:eastAsia="zh-CN"/>
        </w:rPr>
        <w:t>2、</w:t>
      </w:r>
      <w:r>
        <w:rPr>
          <w:rFonts w:hint="eastAsia" w:ascii="宋体" w:hAnsi="宋体" w:cs="宋体"/>
          <w:sz w:val="24"/>
          <w:lang w:val="en-US" w:eastAsia="zh-CN"/>
        </w:rPr>
        <w:t>响应单位自</w:t>
      </w:r>
      <w:r>
        <w:rPr>
          <w:rFonts w:hint="eastAsia" w:ascii="宋体" w:hAnsi="宋体" w:eastAsia="宋体" w:cs="宋体"/>
          <w:sz w:val="24"/>
          <w:lang w:val="en-US" w:eastAsia="zh-CN"/>
        </w:rPr>
        <w:t>202</w:t>
      </w:r>
      <w:r>
        <w:rPr>
          <w:rFonts w:hint="eastAsia" w:ascii="宋体" w:hAnsi="宋体" w:cs="宋体"/>
          <w:sz w:val="24"/>
          <w:lang w:val="en-US" w:eastAsia="zh-CN"/>
        </w:rPr>
        <w:t>1</w:t>
      </w:r>
      <w:r>
        <w:rPr>
          <w:rFonts w:hint="eastAsia" w:ascii="宋体" w:hAnsi="宋体" w:eastAsia="宋体" w:cs="宋体"/>
          <w:sz w:val="24"/>
          <w:lang w:val="en-US" w:eastAsia="zh-CN"/>
        </w:rPr>
        <w:t>年</w:t>
      </w:r>
      <w:r>
        <w:rPr>
          <w:rFonts w:hint="eastAsia" w:ascii="宋体" w:hAnsi="宋体" w:cs="宋体"/>
          <w:sz w:val="24"/>
          <w:lang w:val="en-US" w:eastAsia="zh-CN"/>
        </w:rPr>
        <w:t>8</w:t>
      </w:r>
      <w:r>
        <w:rPr>
          <w:rFonts w:hint="eastAsia" w:ascii="宋体" w:hAnsi="宋体" w:eastAsia="宋体" w:cs="宋体"/>
          <w:sz w:val="24"/>
          <w:lang w:val="en-US" w:eastAsia="zh-CN"/>
        </w:rPr>
        <w:t>月</w:t>
      </w:r>
      <w:r>
        <w:rPr>
          <w:rFonts w:hint="eastAsia" w:ascii="宋体" w:hAnsi="宋体" w:cs="宋体"/>
          <w:sz w:val="24"/>
          <w:lang w:val="en-US" w:eastAsia="zh-CN"/>
        </w:rPr>
        <w:t>至今</w:t>
      </w:r>
      <w:r>
        <w:rPr>
          <w:rFonts w:hint="eastAsia" w:ascii="宋体" w:hAnsi="宋体" w:eastAsia="宋体" w:cs="Times New Roman"/>
          <w:color w:val="auto"/>
          <w:sz w:val="24"/>
          <w:szCs w:val="24"/>
          <w:highlight w:val="none"/>
          <w:lang w:val="en-US" w:eastAsia="zh-CN"/>
        </w:rPr>
        <w:t>（时间以合同签订日期为准）承担过类似项目业绩的</w:t>
      </w:r>
      <w:r>
        <w:rPr>
          <w:rFonts w:hint="eastAsia" w:ascii="宋体" w:hAnsi="宋体" w:eastAsia="宋体" w:cs="宋体"/>
          <w:sz w:val="24"/>
          <w:lang w:val="en-US" w:eastAsia="zh-CN"/>
        </w:rPr>
        <w:t>，每</w:t>
      </w:r>
      <w:r>
        <w:rPr>
          <w:rFonts w:hint="eastAsia" w:ascii="宋体" w:hAnsi="宋体" w:cs="宋体"/>
          <w:sz w:val="24"/>
          <w:lang w:val="en-US" w:eastAsia="zh-CN"/>
        </w:rPr>
        <w:t>提供一</w:t>
      </w:r>
      <w:r>
        <w:rPr>
          <w:rFonts w:hint="eastAsia" w:ascii="宋体" w:hAnsi="宋体" w:eastAsia="宋体" w:cs="宋体"/>
          <w:sz w:val="24"/>
          <w:lang w:val="en-US" w:eastAsia="zh-CN"/>
        </w:rPr>
        <w:t>个得</w:t>
      </w:r>
      <w:r>
        <w:rPr>
          <w:rFonts w:hint="eastAsia" w:ascii="宋体" w:hAnsi="宋体" w:cs="宋体"/>
          <w:sz w:val="24"/>
          <w:lang w:val="en-US" w:eastAsia="zh-CN"/>
        </w:rPr>
        <w:t>5</w:t>
      </w:r>
      <w:r>
        <w:rPr>
          <w:rFonts w:hint="eastAsia" w:ascii="宋体" w:hAnsi="宋体" w:eastAsia="宋体" w:cs="宋体"/>
          <w:sz w:val="24"/>
          <w:lang w:val="en-US" w:eastAsia="zh-CN"/>
        </w:rPr>
        <w:t>分，最高</w:t>
      </w:r>
      <w:r>
        <w:rPr>
          <w:rFonts w:hint="eastAsia" w:ascii="宋体" w:hAnsi="宋体" w:cs="宋体"/>
          <w:sz w:val="24"/>
          <w:lang w:val="en-US" w:eastAsia="zh-CN"/>
        </w:rPr>
        <w:t>5</w:t>
      </w:r>
      <w:r>
        <w:rPr>
          <w:rFonts w:hint="eastAsia" w:ascii="宋体" w:hAnsi="宋体" w:eastAsia="宋体" w:cs="宋体"/>
          <w:sz w:val="24"/>
          <w:lang w:val="en-US" w:eastAsia="zh-CN"/>
        </w:rPr>
        <w:t>分,时间以合同签订日期为准。</w:t>
      </w:r>
      <w:r>
        <w:rPr>
          <w:rFonts w:hint="eastAsia" w:ascii="宋体" w:hAnsi="宋体" w:eastAsia="宋体" w:cs="宋体"/>
          <w:b/>
          <w:bCs/>
          <w:sz w:val="24"/>
          <w:lang w:val="en-US" w:eastAsia="zh-CN"/>
        </w:rPr>
        <w:t>(响应文件中</w:t>
      </w:r>
      <w:r>
        <w:rPr>
          <w:rFonts w:hint="eastAsia" w:ascii="宋体" w:hAnsi="宋体" w:eastAsia="宋体" w:cs="宋体"/>
          <w:b/>
          <w:bCs w:val="0"/>
          <w:color w:val="auto"/>
          <w:sz w:val="24"/>
          <w:szCs w:val="24"/>
          <w:highlight w:val="none"/>
          <w:lang w:val="en-US" w:eastAsia="zh-CN"/>
        </w:rPr>
        <w:t>需</w:t>
      </w:r>
      <w:r>
        <w:rPr>
          <w:rFonts w:hint="eastAsia" w:ascii="宋体" w:hAnsi="宋体" w:eastAsia="宋体" w:cs="宋体"/>
          <w:b/>
          <w:bCs/>
          <w:sz w:val="24"/>
          <w:lang w:val="en-US" w:eastAsia="zh-CN"/>
        </w:rPr>
        <w:t>提供合同扫描件</w:t>
      </w:r>
      <w:r>
        <w:rPr>
          <w:rFonts w:hint="eastAsia" w:ascii="宋体" w:hAnsi="宋体" w:eastAsia="宋体" w:cs="宋体"/>
          <w:b/>
          <w:bCs/>
          <w:color w:val="auto"/>
          <w:sz w:val="24"/>
          <w:szCs w:val="24"/>
          <w:highlight w:val="none"/>
          <w:lang w:eastAsia="zh-CN"/>
        </w:rPr>
        <w:t>，</w:t>
      </w:r>
      <w:r>
        <w:rPr>
          <w:rFonts w:ascii="宋体" w:hAnsi="宋体" w:eastAsia="宋体" w:cs="宋体"/>
          <w:b/>
          <w:bCs/>
          <w:color w:val="auto"/>
          <w:sz w:val="24"/>
          <w:szCs w:val="24"/>
          <w:highlight w:val="none"/>
        </w:rPr>
        <w:t>未按要求提供的不得分</w:t>
      </w:r>
      <w:r>
        <w:rPr>
          <w:rFonts w:hint="eastAsia" w:ascii="宋体" w:hAnsi="宋体" w:eastAsia="宋体" w:cs="宋体"/>
          <w:b/>
          <w:bCs/>
          <w:sz w:val="24"/>
          <w:lang w:val="en-US" w:eastAsia="zh-CN"/>
        </w:rPr>
        <w:t>）</w:t>
      </w:r>
      <w:r>
        <w:rPr>
          <w:rFonts w:hint="eastAsia" w:ascii="宋体" w:hAnsi="宋体" w:eastAsia="宋体" w:cs="宋体"/>
          <w:sz w:val="24"/>
          <w:lang w:val="en-US" w:eastAsia="zh-CN"/>
        </w:rPr>
        <w:t>。</w:t>
      </w:r>
    </w:p>
    <w:p w14:paraId="6AF7E454">
      <w:pPr>
        <w:spacing w:line="360" w:lineRule="auto"/>
        <w:ind w:firstLine="482"/>
        <w:rPr>
          <w:rFonts w:ascii="宋体" w:hAnsi="宋体" w:cs="宋体"/>
          <w:sz w:val="24"/>
        </w:rPr>
      </w:pPr>
      <w:r>
        <w:rPr>
          <w:rFonts w:hint="eastAsia" w:ascii="宋体" w:hAnsi="宋体" w:cs="宋体"/>
          <w:b/>
          <w:bCs/>
          <w:sz w:val="24"/>
        </w:rPr>
        <w:t>注：</w:t>
      </w:r>
      <w:r>
        <w:rPr>
          <w:rFonts w:hint="eastAsia" w:ascii="宋体" w:hAnsi="宋体" w:cs="宋体"/>
          <w:sz w:val="24"/>
        </w:rPr>
        <w:t>1、响应供应商不得对采购文件中付款方式、付款条件进行修改，否则视为未实质性响应。</w:t>
      </w:r>
    </w:p>
    <w:p w14:paraId="10F86035">
      <w:pPr>
        <w:pStyle w:val="202"/>
        <w:spacing w:line="360" w:lineRule="auto"/>
        <w:ind w:firstLine="480"/>
        <w:rPr>
          <w:rFonts w:hint="eastAsia" w:hAnsi="宋体"/>
          <w:sz w:val="24"/>
          <w:szCs w:val="24"/>
        </w:rPr>
      </w:pPr>
      <w:r>
        <w:rPr>
          <w:rFonts w:hint="eastAsia" w:hAnsi="宋体"/>
          <w:sz w:val="24"/>
          <w:szCs w:val="24"/>
        </w:rPr>
        <w:t>2、针对评分标准中评分的每一条，供应商均应提供相关资料并作出相应说明供竞争性磋商小组评判，不提供相关资料或提供材料不全或提供材料不清晰导致无法识别的视为不具备该项得分的条件。</w:t>
      </w:r>
    </w:p>
    <w:p w14:paraId="3C6831A9">
      <w:pPr>
        <w:pStyle w:val="202"/>
        <w:spacing w:line="360" w:lineRule="auto"/>
        <w:ind w:firstLine="480"/>
        <w:jc w:val="right"/>
        <w:rPr>
          <w:rFonts w:hAnsi="宋体"/>
          <w:sz w:val="24"/>
          <w:szCs w:val="24"/>
        </w:rPr>
      </w:pPr>
      <w:r>
        <w:rPr>
          <w:rFonts w:hint="eastAsia" w:hAnsi="宋体"/>
          <w:sz w:val="24"/>
          <w:szCs w:val="24"/>
        </w:rPr>
        <w:t>（全文完）</w:t>
      </w:r>
    </w:p>
    <w:sectPr>
      <w:footerReference r:id="rId5" w:type="default"/>
      <w:pgSz w:w="11906" w:h="16838"/>
      <w:pgMar w:top="1440" w:right="1080" w:bottom="1440" w:left="1080" w:header="567" w:footer="56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aiTi_GB2312">
    <w:altName w:val="楷体"/>
    <w:panose1 w:val="02010609060101010101"/>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E88605">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50F664">
    <w:pPr>
      <w:pStyle w:val="25"/>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7DA23019">
                          <w:pPr>
                            <w:pStyle w:val="25"/>
                          </w:pPr>
                          <w:r>
                            <w:t xml:space="preserve">第 </w:t>
                          </w:r>
                          <w:r>
                            <w:fldChar w:fldCharType="begin"/>
                          </w:r>
                          <w:r>
                            <w:instrText xml:space="preserve"> PAGE  \* MERGEFORMAT </w:instrText>
                          </w:r>
                          <w:r>
                            <w:fldChar w:fldCharType="separate"/>
                          </w:r>
                          <w:r>
                            <w:t>58</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bwvGNYBAACxAwAADgAAAGRycy9lMm9Eb2MueG1srVNLjtswDN0X6B0E&#10;7Rs7GaAIjDiDFkGKAv0B0zmAIsuxAEkURCV2LtDeoKtuuu+5co5Scpwp0s0suhEoknrke6RW94M1&#10;7KgCanA1n89KzpST0Gi3r/nj1+2rJWcYhWuEAadqflLI79cvX6x6X6kFdGAaFRiBOKx6X/MuRl8V&#10;BcpOWYEz8MpRsIVgRaRr2BdNED2hW1MsyvJ10UNofACpEMm7GYP8ghieAwhtq6XagDxY5eKIGpQR&#10;kShhpz3yde62bZWMn9sWVWSm5sQ05pOKkL1LZ7FeiWofhO+0vLQgntPCDScrtKOiV6iNiIIdgv4H&#10;ymoZAKGNMwm2GIlkRYjFvLzR5qETXmUuJDX6q+j4/2Dlp+OXwHRT8zvOnLA08POP7+efv8+/vrG7&#10;JE/vsaKsB095cXgLAy3N5Mfk3PUfoaF34hAhazC0wSYtiB2jbJL6dJVaDZHJBLFcLJclhSTFpgtV&#10;K0Q1PfcB4zsFliWj5oFmmeHF8QPGMXVKSdUcbLUxeZ7G3TisjiqMT1KsSJxS7yO7OOwGCibnDpoT&#10;UeppIWruaP85M+8d6Z12ZzLCZOwm4+CD3nfU5Dx3iP4NabHVucsn2EthmmTmedm6tCp/33PW009b&#10;/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wbwvGNYBAACxAwAADgAAAAAAAAABACAAAAAe&#10;AQAAZHJzL2Uyb0RvYy54bWxQSwUGAAAAAAYABgBZAQAAZgUAAAAA&#10;">
              <v:fill on="f" focussize="0,0"/>
              <v:stroke on="f" joinstyle="miter"/>
              <v:imagedata o:title=""/>
              <o:lock v:ext="edit" aspectratio="f"/>
              <v:textbox inset="0mm,0mm,0mm,0mm" style="mso-fit-shape-to-text:t;">
                <w:txbxContent>
                  <w:p w14:paraId="7DA23019">
                    <w:pPr>
                      <w:pStyle w:val="25"/>
                    </w:pPr>
                    <w:r>
                      <w:t xml:space="preserve">第 </w:t>
                    </w:r>
                    <w:r>
                      <w:fldChar w:fldCharType="begin"/>
                    </w:r>
                    <w:r>
                      <w:instrText xml:space="preserve"> PAGE  \* MERGEFORMAT </w:instrText>
                    </w:r>
                    <w:r>
                      <w:fldChar w:fldCharType="separate"/>
                    </w:r>
                    <w:r>
                      <w:t>58</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071470">
    <w:pPr>
      <w:pStyle w:val="27"/>
      <w:jc w:val="both"/>
      <w:rPr>
        <w:rFonts w:hint="eastAsia" w:eastAsia="宋体"/>
        <w:u w:val="single"/>
        <w:lang w:eastAsia="zh-CN"/>
      </w:rPr>
    </w:pPr>
    <w:r>
      <w:rPr>
        <w:rFonts w:hint="eastAsia" w:ascii="宋体" w:hAnsi="宋体" w:eastAsia="宋体"/>
        <w:sz w:val="21"/>
        <w:szCs w:val="21"/>
        <w:u w:val="single"/>
      </w:rPr>
      <w:t xml:space="preserve">竞争性磋商文件                                          </w:t>
    </w:r>
    <w:r>
      <w:rPr>
        <w:rFonts w:hint="eastAsia" w:ascii="宋体" w:hAnsi="宋体" w:eastAsia="宋体" w:cs="Arial"/>
        <w:sz w:val="21"/>
        <w:szCs w:val="21"/>
        <w:u w:val="single"/>
        <w:lang w:eastAsia="zh-CN"/>
      </w:rPr>
      <w:t>JSZC-320507-JSZQ-C2026-0007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7874DB"/>
    <w:multiLevelType w:val="singleLevel"/>
    <w:tmpl w:val="8A7874DB"/>
    <w:lvl w:ilvl="0" w:tentative="0">
      <w:start w:val="1"/>
      <w:numFmt w:val="decimal"/>
      <w:suff w:val="nothing"/>
      <w:lvlText w:val="%1、"/>
      <w:lvlJc w:val="left"/>
    </w:lvl>
  </w:abstractNum>
  <w:abstractNum w:abstractNumId="1">
    <w:nsid w:val="91B6BFA5"/>
    <w:multiLevelType w:val="singleLevel"/>
    <w:tmpl w:val="91B6BFA5"/>
    <w:lvl w:ilvl="0" w:tentative="0">
      <w:start w:val="1"/>
      <w:numFmt w:val="decimal"/>
      <w:suff w:val="nothing"/>
      <w:lvlText w:val="%1、"/>
      <w:lvlJc w:val="left"/>
    </w:lvl>
  </w:abstractNum>
  <w:abstractNum w:abstractNumId="2">
    <w:nsid w:val="B2EE2F06"/>
    <w:multiLevelType w:val="singleLevel"/>
    <w:tmpl w:val="B2EE2F06"/>
    <w:lvl w:ilvl="0" w:tentative="0">
      <w:start w:val="1"/>
      <w:numFmt w:val="decimal"/>
      <w:suff w:val="nothing"/>
      <w:lvlText w:val="%1、"/>
      <w:lvlJc w:val="left"/>
    </w:lvl>
  </w:abstractNum>
  <w:abstractNum w:abstractNumId="3">
    <w:nsid w:val="BB1DAA13"/>
    <w:multiLevelType w:val="singleLevel"/>
    <w:tmpl w:val="BB1DAA13"/>
    <w:lvl w:ilvl="0" w:tentative="0">
      <w:start w:val="1"/>
      <w:numFmt w:val="decimal"/>
      <w:suff w:val="nothing"/>
      <w:lvlText w:val="%1、"/>
      <w:lvlJc w:val="left"/>
    </w:lvl>
  </w:abstractNum>
  <w:abstractNum w:abstractNumId="4">
    <w:nsid w:val="0053208E"/>
    <w:multiLevelType w:val="multilevel"/>
    <w:tmpl w:val="0053208E"/>
    <w:lvl w:ilvl="0" w:tentative="0">
      <w:start w:val="12"/>
      <w:numFmt w:val="decimal"/>
      <w:pStyle w:val="209"/>
      <w:lvlText w:val=""/>
      <w:lvlJc w:val="left"/>
      <w:pPr>
        <w:tabs>
          <w:tab w:val="left" w:pos="360"/>
        </w:tabs>
        <w:ind w:left="360" w:hanging="360"/>
      </w:pPr>
      <w:rPr>
        <w:rFonts w:hint="default"/>
      </w:rPr>
    </w:lvl>
    <w:lvl w:ilvl="1" w:tentative="0">
      <w:start w:val="1"/>
      <w:numFmt w:val="decimal"/>
      <w:lvlText w:val="%1.%2"/>
      <w:lvlJc w:val="left"/>
      <w:pPr>
        <w:tabs>
          <w:tab w:val="left" w:pos="1012"/>
        </w:tabs>
        <w:ind w:left="1012" w:hanging="750"/>
      </w:pPr>
      <w:rPr>
        <w:rFonts w:hint="default"/>
      </w:rPr>
    </w:lvl>
    <w:lvl w:ilvl="2" w:tentative="0">
      <w:start w:val="1"/>
      <w:numFmt w:val="decimal"/>
      <w:lvlText w:val="%1.%2.%3"/>
      <w:lvlJc w:val="left"/>
      <w:pPr>
        <w:tabs>
          <w:tab w:val="left" w:pos="1274"/>
        </w:tabs>
        <w:ind w:left="1274" w:hanging="750"/>
      </w:pPr>
      <w:rPr>
        <w:rFonts w:hint="default"/>
      </w:rPr>
    </w:lvl>
    <w:lvl w:ilvl="3" w:tentative="0">
      <w:start w:val="1"/>
      <w:numFmt w:val="decimal"/>
      <w:lvlText w:val="%1.%2.%3.%4"/>
      <w:lvlJc w:val="left"/>
      <w:pPr>
        <w:tabs>
          <w:tab w:val="left" w:pos="1536"/>
        </w:tabs>
        <w:ind w:left="1536" w:hanging="750"/>
      </w:pPr>
      <w:rPr>
        <w:rFonts w:hint="default"/>
      </w:rPr>
    </w:lvl>
    <w:lvl w:ilvl="4" w:tentative="0">
      <w:start w:val="1"/>
      <w:numFmt w:val="decimal"/>
      <w:lvlText w:val="%1.%2.%3.%4.%5"/>
      <w:lvlJc w:val="left"/>
      <w:pPr>
        <w:tabs>
          <w:tab w:val="left" w:pos="1798"/>
        </w:tabs>
        <w:ind w:left="1798" w:hanging="750"/>
      </w:pPr>
      <w:rPr>
        <w:rFonts w:hint="default"/>
      </w:rPr>
    </w:lvl>
    <w:lvl w:ilvl="5" w:tentative="0">
      <w:start w:val="1"/>
      <w:numFmt w:val="decimal"/>
      <w:lvlText w:val="%1.%2.%3.%4.%5.%6"/>
      <w:lvlJc w:val="left"/>
      <w:pPr>
        <w:tabs>
          <w:tab w:val="left" w:pos="2060"/>
        </w:tabs>
        <w:ind w:left="2060" w:hanging="750"/>
      </w:pPr>
      <w:rPr>
        <w:rFonts w:hint="default"/>
      </w:rPr>
    </w:lvl>
    <w:lvl w:ilvl="6" w:tentative="0">
      <w:start w:val="1"/>
      <w:numFmt w:val="decimal"/>
      <w:lvlText w:val="%1.%2.%3.%4.%5.%6.%7"/>
      <w:lvlJc w:val="left"/>
      <w:pPr>
        <w:tabs>
          <w:tab w:val="left" w:pos="2322"/>
        </w:tabs>
        <w:ind w:left="2322" w:hanging="750"/>
      </w:pPr>
      <w:rPr>
        <w:rFonts w:hint="default"/>
      </w:rPr>
    </w:lvl>
    <w:lvl w:ilvl="7" w:tentative="0">
      <w:start w:val="1"/>
      <w:numFmt w:val="decimal"/>
      <w:lvlText w:val="%1.%2.%3.%4.%5.%6.%7.%8"/>
      <w:lvlJc w:val="left"/>
      <w:pPr>
        <w:tabs>
          <w:tab w:val="left" w:pos="2584"/>
        </w:tabs>
        <w:ind w:left="2584" w:hanging="750"/>
      </w:pPr>
      <w:rPr>
        <w:rFonts w:hint="default"/>
      </w:rPr>
    </w:lvl>
    <w:lvl w:ilvl="8" w:tentative="0">
      <w:start w:val="1"/>
      <w:numFmt w:val="decimal"/>
      <w:lvlText w:val="%1.%2.%3.%4.%5.%6.%7.%8.%9"/>
      <w:lvlJc w:val="left"/>
      <w:pPr>
        <w:tabs>
          <w:tab w:val="left" w:pos="2846"/>
        </w:tabs>
        <w:ind w:left="2846" w:hanging="750"/>
      </w:pPr>
      <w:rPr>
        <w:rFonts w:hint="default"/>
      </w:rPr>
    </w:lvl>
  </w:abstractNum>
  <w:abstractNum w:abstractNumId="5">
    <w:nsid w:val="2DA48ED0"/>
    <w:multiLevelType w:val="singleLevel"/>
    <w:tmpl w:val="2DA48ED0"/>
    <w:lvl w:ilvl="0" w:tentative="0">
      <w:start w:val="1"/>
      <w:numFmt w:val="decimal"/>
      <w:suff w:val="nothing"/>
      <w:lvlText w:val="%1、"/>
      <w:lvlJc w:val="left"/>
    </w:lvl>
  </w:abstractNum>
  <w:abstractNum w:abstractNumId="6">
    <w:nsid w:val="59E2385F"/>
    <w:multiLevelType w:val="singleLevel"/>
    <w:tmpl w:val="59E2385F"/>
    <w:lvl w:ilvl="0" w:tentative="0">
      <w:start w:val="1"/>
      <w:numFmt w:val="decimal"/>
      <w:suff w:val="nothing"/>
      <w:lvlText w:val="%1、"/>
      <w:lvlJc w:val="left"/>
    </w:lvl>
  </w:abstractNum>
  <w:num w:numId="1">
    <w:abstractNumId w:val="4"/>
  </w:num>
  <w:num w:numId="2">
    <w:abstractNumId w:val="1"/>
  </w:num>
  <w:num w:numId="3">
    <w:abstractNumId w:val="6"/>
  </w:num>
  <w:num w:numId="4">
    <w:abstractNumId w:val="2"/>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CE704D"/>
    <w:rsid w:val="069B3C69"/>
    <w:rsid w:val="10806017"/>
    <w:rsid w:val="1C7C3318"/>
    <w:rsid w:val="215644C6"/>
    <w:rsid w:val="2BD70638"/>
    <w:rsid w:val="2DCF3F9C"/>
    <w:rsid w:val="31EF7EE4"/>
    <w:rsid w:val="35F3463C"/>
    <w:rsid w:val="4408503C"/>
    <w:rsid w:val="4DCF384B"/>
    <w:rsid w:val="5069552C"/>
    <w:rsid w:val="50A87609"/>
    <w:rsid w:val="6482124B"/>
    <w:rsid w:val="6FE57086"/>
    <w:rsid w:val="772740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4"/>
      <w:lang w:val="en-US" w:eastAsia="zh-CN" w:bidi="ar-SA"/>
    </w:rPr>
  </w:style>
  <w:style w:type="paragraph" w:styleId="2">
    <w:name w:val="heading 1"/>
    <w:basedOn w:val="1"/>
    <w:next w:val="1"/>
    <w:link w:val="200"/>
    <w:qFormat/>
    <w:uiPriority w:val="0"/>
    <w:pPr>
      <w:keepNext/>
      <w:keepLines/>
      <w:spacing w:before="340" w:after="330" w:line="576" w:lineRule="auto"/>
      <w:outlineLvl w:val="0"/>
    </w:pPr>
    <w:rPr>
      <w:rFonts w:eastAsia="楷体_GB2312"/>
      <w:b/>
      <w:sz w:val="44"/>
      <w:lang w:val="zh-CN"/>
    </w:rPr>
  </w:style>
  <w:style w:type="paragraph" w:styleId="3">
    <w:name w:val="heading 2"/>
    <w:basedOn w:val="1"/>
    <w:next w:val="1"/>
    <w:link w:val="5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0"/>
    <w:pPr>
      <w:keepNext/>
      <w:keepLines/>
      <w:spacing w:before="280" w:after="290" w:line="376" w:lineRule="auto"/>
      <w:outlineLvl w:val="3"/>
    </w:pPr>
    <w:rPr>
      <w:rFonts w:ascii="Cambria" w:hAnsi="Cambria"/>
      <w:b/>
      <w:bCs/>
      <w:sz w:val="28"/>
      <w:szCs w:val="28"/>
    </w:rPr>
  </w:style>
  <w:style w:type="paragraph" w:styleId="6">
    <w:name w:val="heading 5"/>
    <w:basedOn w:val="1"/>
    <w:next w:val="1"/>
    <w:link w:val="5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9"/>
    <w:unhideWhenUsed/>
    <w:qFormat/>
    <w:uiPriority w:val="9"/>
    <w:pPr>
      <w:keepNext/>
      <w:keepLines/>
      <w:spacing w:before="320" w:after="200"/>
      <w:outlineLvl w:val="8"/>
    </w:pPr>
    <w:rPr>
      <w:rFonts w:ascii="Arial" w:hAnsi="Arial" w:eastAsia="Arial" w:cs="Arial"/>
      <w:i/>
      <w:iCs/>
      <w:sz w:val="21"/>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next w:val="1"/>
    <w:qFormat/>
    <w:uiPriority w:val="0"/>
    <w:pPr>
      <w:ind w:firstLine="420"/>
      <w:jc w:val="left"/>
    </w:pPr>
    <w:rPr>
      <w:rFonts w:eastAsia="楷体_GB2312"/>
      <w:sz w:val="24"/>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qFormat/>
    <w:uiPriority w:val="99"/>
    <w:rPr>
      <w:rFonts w:ascii="宋体"/>
      <w:sz w:val="18"/>
      <w:szCs w:val="18"/>
    </w:rPr>
  </w:style>
  <w:style w:type="paragraph" w:styleId="15">
    <w:name w:val="annotation text"/>
    <w:basedOn w:val="1"/>
    <w:qFormat/>
    <w:uiPriority w:val="0"/>
    <w:pPr>
      <w:jc w:val="left"/>
    </w:pPr>
  </w:style>
  <w:style w:type="paragraph" w:styleId="16">
    <w:name w:val="Body Text"/>
    <w:basedOn w:val="1"/>
    <w:next w:val="12"/>
    <w:qFormat/>
    <w:uiPriority w:val="0"/>
    <w:pPr>
      <w:spacing w:after="120"/>
    </w:pPr>
    <w:rPr>
      <w:rFonts w:ascii="Times New Roman" w:hAnsi="Times New Roman"/>
    </w:rPr>
  </w:style>
  <w:style w:type="paragraph" w:styleId="17">
    <w:name w:val="Body Text Indent"/>
    <w:basedOn w:val="1"/>
    <w:next w:val="1"/>
    <w:qFormat/>
    <w:uiPriority w:val="0"/>
    <w:pPr>
      <w:spacing w:line="360" w:lineRule="auto"/>
      <w:ind w:firstLine="570"/>
    </w:pPr>
    <w:rPr>
      <w:rFonts w:ascii="宋体"/>
      <w:sz w:val="24"/>
    </w:rPr>
  </w:style>
  <w:style w:type="paragraph" w:styleId="18">
    <w:name w:val="Block Text"/>
    <w:basedOn w:val="1"/>
    <w:qFormat/>
    <w:uiPriority w:val="0"/>
    <w:pPr>
      <w:spacing w:line="360" w:lineRule="auto"/>
      <w:ind w:left="630" w:right="-609" w:firstLine="420"/>
    </w:pPr>
    <w:rPr>
      <w:rFonts w:hint="eastAsia" w:ascii="仿宋_GB2312" w:hAnsi="Times New Roman" w:eastAsia="仿宋_GB2312"/>
      <w:szCs w:val="20"/>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qFormat/>
    <w:uiPriority w:val="0"/>
    <w:pPr>
      <w:widowControl/>
      <w:jc w:val="left"/>
    </w:pPr>
    <w:rPr>
      <w:rFonts w:ascii="宋体" w:hAnsi="Courier New" w:eastAsia="楷体_GB2312"/>
      <w:sz w:val="26"/>
    </w:rPr>
  </w:style>
  <w:style w:type="paragraph" w:styleId="22">
    <w:name w:val="toc 8"/>
    <w:basedOn w:val="1"/>
    <w:next w:val="1"/>
    <w:unhideWhenUsed/>
    <w:qFormat/>
    <w:uiPriority w:val="39"/>
    <w:pPr>
      <w:spacing w:after="57"/>
      <w:ind w:left="1984" w:right="0" w:firstLine="0"/>
    </w:pPr>
  </w:style>
  <w:style w:type="paragraph" w:styleId="23">
    <w:name w:val="endnote text"/>
    <w:basedOn w:val="1"/>
    <w:link w:val="196"/>
    <w:semiHidden/>
    <w:unhideWhenUsed/>
    <w:qFormat/>
    <w:uiPriority w:val="99"/>
    <w:pPr>
      <w:spacing w:after="0" w:line="240" w:lineRule="auto"/>
    </w:pPr>
    <w:rPr>
      <w:sz w:val="20"/>
    </w:rPr>
  </w:style>
  <w:style w:type="paragraph" w:styleId="24">
    <w:name w:val="Balloon Text"/>
    <w:basedOn w:val="1"/>
    <w:link w:val="214"/>
    <w:qFormat/>
    <w:uiPriority w:val="0"/>
    <w:rPr>
      <w:sz w:val="18"/>
      <w:szCs w:val="18"/>
    </w:rPr>
  </w:style>
  <w:style w:type="paragraph" w:styleId="25">
    <w:name w:val="footer"/>
    <w:basedOn w:val="1"/>
    <w:qFormat/>
    <w:uiPriority w:val="0"/>
    <w:pPr>
      <w:tabs>
        <w:tab w:val="center" w:pos="4153"/>
        <w:tab w:val="right" w:pos="8306"/>
      </w:tabs>
      <w:jc w:val="left"/>
    </w:pPr>
    <w:rPr>
      <w:sz w:val="18"/>
      <w:szCs w:val="18"/>
    </w:rPr>
  </w:style>
  <w:style w:type="paragraph" w:styleId="26">
    <w:name w:val="envelope return"/>
    <w:basedOn w:val="1"/>
    <w:qFormat/>
    <w:uiPriority w:val="0"/>
    <w:rPr>
      <w:rFonts w:ascii="Arial" w:hAnsi="Arial" w:eastAsia="楷体_GB2312"/>
      <w:sz w:val="26"/>
    </w:rPr>
  </w:style>
  <w:style w:type="paragraph" w:styleId="27">
    <w:name w:val="header"/>
    <w:basedOn w:val="1"/>
    <w:qFormat/>
    <w:uiPriority w:val="0"/>
    <w:pPr>
      <w:pBdr>
        <w:bottom w:val="none" w:color="auto" w:sz="0" w:space="1"/>
      </w:pBdr>
      <w:tabs>
        <w:tab w:val="center" w:pos="4153"/>
        <w:tab w:val="right" w:pos="8306"/>
      </w:tabs>
      <w:jc w:val="center"/>
    </w:pPr>
    <w:rPr>
      <w:rFonts w:eastAsia="楷体_GB2312"/>
      <w:sz w:val="18"/>
    </w:rPr>
  </w:style>
  <w:style w:type="paragraph" w:styleId="28">
    <w:name w:val="toc 1"/>
    <w:basedOn w:val="1"/>
    <w:next w:val="1"/>
    <w:qFormat/>
    <w:uiPriority w:val="0"/>
    <w:pPr>
      <w:jc w:val="left"/>
    </w:pPr>
    <w:rPr>
      <w:rFonts w:eastAsia="楷体_GB2312"/>
      <w:sz w:val="24"/>
    </w:rPr>
  </w:style>
  <w:style w:type="paragraph" w:styleId="29">
    <w:name w:val="toc 4"/>
    <w:basedOn w:val="1"/>
    <w:next w:val="1"/>
    <w:unhideWhenUsed/>
    <w:qFormat/>
    <w:uiPriority w:val="39"/>
    <w:pPr>
      <w:spacing w:after="57"/>
      <w:ind w:left="850" w:right="0" w:firstLine="0"/>
    </w:pPr>
  </w:style>
  <w:style w:type="paragraph" w:styleId="30">
    <w:name w:val="Subtitle"/>
    <w:basedOn w:val="1"/>
    <w:next w:val="1"/>
    <w:link w:val="62"/>
    <w:qFormat/>
    <w:uiPriority w:val="11"/>
    <w:pPr>
      <w:spacing w:before="200" w:after="200"/>
    </w:pPr>
    <w:rPr>
      <w:sz w:val="24"/>
      <w:szCs w:val="24"/>
    </w:rPr>
  </w:style>
  <w:style w:type="paragraph" w:styleId="31">
    <w:name w:val="footnote text"/>
    <w:basedOn w:val="1"/>
    <w:link w:val="195"/>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right="0" w:firstLine="0"/>
    </w:pPr>
  </w:style>
  <w:style w:type="paragraph" w:styleId="33">
    <w:name w:val="Body Text Indent 3"/>
    <w:basedOn w:val="1"/>
    <w:qFormat/>
    <w:uiPriority w:val="0"/>
    <w:pPr>
      <w:spacing w:line="440" w:lineRule="atLeast"/>
      <w:ind w:firstLine="480"/>
      <w:jc w:val="left"/>
    </w:pPr>
    <w:rPr>
      <w:rFonts w:ascii="Times New Roman" w:hAnsi="Times New Roman"/>
      <w:sz w:val="24"/>
    </w:rPr>
  </w:style>
  <w:style w:type="paragraph" w:styleId="34">
    <w:name w:val="table of figures"/>
    <w:basedOn w:val="1"/>
    <w:next w:val="1"/>
    <w:unhideWhenUsed/>
    <w:qFormat/>
    <w:uiPriority w:val="99"/>
    <w:pPr>
      <w:spacing w:after="0" w:afterAutospacing="0"/>
    </w:pPr>
  </w:style>
  <w:style w:type="paragraph" w:styleId="35">
    <w:name w:val="toc 2"/>
    <w:basedOn w:val="1"/>
    <w:next w:val="1"/>
    <w:unhideWhenUsed/>
    <w:qFormat/>
    <w:uiPriority w:val="39"/>
    <w:pPr>
      <w:spacing w:after="57"/>
      <w:ind w:left="283" w:right="0" w:firstLine="0"/>
    </w:pPr>
  </w:style>
  <w:style w:type="paragraph" w:styleId="36">
    <w:name w:val="toc 9"/>
    <w:basedOn w:val="1"/>
    <w:next w:val="1"/>
    <w:unhideWhenUsed/>
    <w:qFormat/>
    <w:uiPriority w:val="39"/>
    <w:pPr>
      <w:spacing w:after="57"/>
      <w:ind w:left="2268" w:right="0" w:firstLine="0"/>
    </w:pPr>
  </w:style>
  <w:style w:type="paragraph" w:styleId="37">
    <w:name w:val="Normal (Web)"/>
    <w:basedOn w:val="1"/>
    <w:qFormat/>
    <w:uiPriority w:val="99"/>
    <w:pPr>
      <w:spacing w:beforeAutospacing="1" w:afterAutospacing="1"/>
      <w:jc w:val="left"/>
    </w:pPr>
    <w:rPr>
      <w:sz w:val="24"/>
    </w:rPr>
  </w:style>
  <w:style w:type="paragraph" w:styleId="38">
    <w:name w:val="Title"/>
    <w:basedOn w:val="1"/>
    <w:next w:val="1"/>
    <w:link w:val="201"/>
    <w:qFormat/>
    <w:uiPriority w:val="0"/>
    <w:pPr>
      <w:spacing w:before="240" w:after="60"/>
      <w:jc w:val="center"/>
      <w:outlineLvl w:val="0"/>
    </w:pPr>
    <w:rPr>
      <w:rFonts w:ascii="Cambria" w:hAnsi="Cambria"/>
      <w:b/>
      <w:bCs/>
      <w:sz w:val="32"/>
      <w:szCs w:val="32"/>
    </w:rPr>
  </w:style>
  <w:style w:type="paragraph" w:styleId="39">
    <w:name w:val="Body Text First Indent"/>
    <w:basedOn w:val="16"/>
    <w:qFormat/>
    <w:uiPriority w:val="0"/>
    <w:pPr>
      <w:tabs>
        <w:tab w:val="left" w:pos="5250"/>
      </w:tabs>
      <w:ind w:firstLine="420"/>
    </w:pPr>
    <w:rPr>
      <w:rFonts w:eastAsia="楷体_GB2312"/>
      <w:sz w:val="26"/>
      <w:szCs w:val="20"/>
    </w:rPr>
  </w:style>
  <w:style w:type="paragraph" w:styleId="40">
    <w:name w:val="Body Text First Indent 2"/>
    <w:basedOn w:val="17"/>
    <w:qFormat/>
    <w:uiPriority w:val="0"/>
    <w:pPr>
      <w:spacing w:after="120"/>
      <w:ind w:left="420" w:firstLine="420"/>
    </w:pPr>
    <w:rPr>
      <w:rFonts w:ascii="Times New Roman"/>
      <w:sz w:val="21"/>
    </w:rPr>
  </w:style>
  <w:style w:type="table" w:styleId="42">
    <w:name w:val="Table Grid"/>
    <w:basedOn w:val="41"/>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Strong"/>
    <w:basedOn w:val="43"/>
    <w:qFormat/>
    <w:uiPriority w:val="0"/>
    <w:rPr>
      <w:rFonts w:ascii="Calibri" w:hAnsi="Calibri" w:eastAsia="宋体" w:cs="Times New Roman"/>
      <w:b/>
    </w:rPr>
  </w:style>
  <w:style w:type="character" w:styleId="45">
    <w:name w:val="endnote reference"/>
    <w:basedOn w:val="43"/>
    <w:semiHidden/>
    <w:unhideWhenUsed/>
    <w:qFormat/>
    <w:uiPriority w:val="99"/>
    <w:rPr>
      <w:vertAlign w:val="superscript"/>
    </w:rPr>
  </w:style>
  <w:style w:type="character" w:styleId="46">
    <w:name w:val="page number"/>
    <w:basedOn w:val="43"/>
    <w:qFormat/>
    <w:uiPriority w:val="0"/>
  </w:style>
  <w:style w:type="character" w:styleId="47">
    <w:name w:val="FollowedHyperlink"/>
    <w:basedOn w:val="43"/>
    <w:qFormat/>
    <w:uiPriority w:val="0"/>
    <w:rPr>
      <w:color w:val="333333"/>
      <w:u w:val="none"/>
    </w:rPr>
  </w:style>
  <w:style w:type="character" w:styleId="48">
    <w:name w:val="Emphasis"/>
    <w:basedOn w:val="43"/>
    <w:qFormat/>
    <w:uiPriority w:val="0"/>
  </w:style>
  <w:style w:type="character" w:styleId="49">
    <w:name w:val="Hyperlink"/>
    <w:basedOn w:val="43"/>
    <w:qFormat/>
    <w:uiPriority w:val="0"/>
    <w:rPr>
      <w:color w:val="333333"/>
      <w:u w:val="none"/>
    </w:rPr>
  </w:style>
  <w:style w:type="character" w:styleId="50">
    <w:name w:val="footnote reference"/>
    <w:basedOn w:val="43"/>
    <w:unhideWhenUsed/>
    <w:qFormat/>
    <w:uiPriority w:val="99"/>
    <w:rPr>
      <w:vertAlign w:val="superscript"/>
    </w:rPr>
  </w:style>
  <w:style w:type="character" w:customStyle="1" w:styleId="51">
    <w:name w:val="Heading 1 Char"/>
    <w:basedOn w:val="43"/>
    <w:qFormat/>
    <w:uiPriority w:val="9"/>
    <w:rPr>
      <w:rFonts w:ascii="Arial" w:hAnsi="Arial" w:eastAsia="Arial" w:cs="Arial"/>
      <w:sz w:val="40"/>
      <w:szCs w:val="40"/>
    </w:rPr>
  </w:style>
  <w:style w:type="character" w:customStyle="1" w:styleId="52">
    <w:name w:val="Heading 2 Char"/>
    <w:basedOn w:val="43"/>
    <w:link w:val="3"/>
    <w:qFormat/>
    <w:uiPriority w:val="9"/>
    <w:rPr>
      <w:rFonts w:ascii="Arial" w:hAnsi="Arial" w:eastAsia="Arial" w:cs="Arial"/>
      <w:sz w:val="34"/>
    </w:rPr>
  </w:style>
  <w:style w:type="character" w:customStyle="1" w:styleId="53">
    <w:name w:val="Heading 3 Char"/>
    <w:basedOn w:val="43"/>
    <w:link w:val="4"/>
    <w:qFormat/>
    <w:uiPriority w:val="9"/>
    <w:rPr>
      <w:rFonts w:ascii="Arial" w:hAnsi="Arial" w:eastAsia="Arial" w:cs="Arial"/>
      <w:sz w:val="30"/>
      <w:szCs w:val="30"/>
    </w:rPr>
  </w:style>
  <w:style w:type="character" w:customStyle="1" w:styleId="54">
    <w:name w:val="Heading 4 Char"/>
    <w:basedOn w:val="43"/>
    <w:qFormat/>
    <w:uiPriority w:val="9"/>
    <w:rPr>
      <w:rFonts w:ascii="Arial" w:hAnsi="Arial" w:eastAsia="Arial" w:cs="Arial"/>
      <w:b/>
      <w:bCs/>
      <w:sz w:val="26"/>
      <w:szCs w:val="26"/>
    </w:rPr>
  </w:style>
  <w:style w:type="character" w:customStyle="1" w:styleId="55">
    <w:name w:val="Heading 5 Char"/>
    <w:basedOn w:val="43"/>
    <w:link w:val="6"/>
    <w:qFormat/>
    <w:uiPriority w:val="9"/>
    <w:rPr>
      <w:rFonts w:ascii="Arial" w:hAnsi="Arial" w:eastAsia="Arial" w:cs="Arial"/>
      <w:b/>
      <w:bCs/>
      <w:sz w:val="24"/>
      <w:szCs w:val="24"/>
    </w:rPr>
  </w:style>
  <w:style w:type="character" w:customStyle="1" w:styleId="56">
    <w:name w:val="Heading 6 Char"/>
    <w:basedOn w:val="43"/>
    <w:link w:val="7"/>
    <w:qFormat/>
    <w:uiPriority w:val="9"/>
    <w:rPr>
      <w:rFonts w:ascii="Arial" w:hAnsi="Arial" w:eastAsia="Arial" w:cs="Arial"/>
      <w:b/>
      <w:bCs/>
      <w:sz w:val="22"/>
      <w:szCs w:val="22"/>
    </w:rPr>
  </w:style>
  <w:style w:type="character" w:customStyle="1" w:styleId="57">
    <w:name w:val="Heading 7 Char"/>
    <w:basedOn w:val="43"/>
    <w:link w:val="8"/>
    <w:qFormat/>
    <w:uiPriority w:val="9"/>
    <w:rPr>
      <w:rFonts w:ascii="Arial" w:hAnsi="Arial" w:eastAsia="Arial" w:cs="Arial"/>
      <w:b/>
      <w:bCs/>
      <w:i/>
      <w:iCs/>
      <w:sz w:val="22"/>
      <w:szCs w:val="22"/>
    </w:rPr>
  </w:style>
  <w:style w:type="character" w:customStyle="1" w:styleId="58">
    <w:name w:val="Heading 8 Char"/>
    <w:basedOn w:val="43"/>
    <w:link w:val="9"/>
    <w:qFormat/>
    <w:uiPriority w:val="9"/>
    <w:rPr>
      <w:rFonts w:ascii="Arial" w:hAnsi="Arial" w:eastAsia="Arial" w:cs="Arial"/>
      <w:i/>
      <w:iCs/>
      <w:sz w:val="22"/>
      <w:szCs w:val="22"/>
    </w:rPr>
  </w:style>
  <w:style w:type="character" w:customStyle="1" w:styleId="59">
    <w:name w:val="Heading 9 Char"/>
    <w:basedOn w:val="43"/>
    <w:link w:val="10"/>
    <w:qFormat/>
    <w:uiPriority w:val="9"/>
    <w:rPr>
      <w:rFonts w:ascii="Arial" w:hAnsi="Arial" w:eastAsia="Arial" w:cs="Arial"/>
      <w:i/>
      <w:iCs/>
      <w:sz w:val="21"/>
      <w:szCs w:val="21"/>
    </w:rPr>
  </w:style>
  <w:style w:type="paragraph" w:styleId="60">
    <w:name w:val="No Spacing"/>
    <w:qFormat/>
    <w:uiPriority w:val="1"/>
    <w:pPr>
      <w:spacing w:before="0" w:after="0" w:line="240" w:lineRule="auto"/>
    </w:pPr>
    <w:rPr>
      <w:rFonts w:hint="default" w:ascii="Times New Roman" w:hAnsi="Times New Roman" w:eastAsia="宋体" w:cs="Times New Roman"/>
    </w:rPr>
  </w:style>
  <w:style w:type="character" w:customStyle="1" w:styleId="61">
    <w:name w:val="Title Char"/>
    <w:basedOn w:val="43"/>
    <w:qFormat/>
    <w:uiPriority w:val="10"/>
    <w:rPr>
      <w:sz w:val="48"/>
      <w:szCs w:val="48"/>
    </w:rPr>
  </w:style>
  <w:style w:type="character" w:customStyle="1" w:styleId="62">
    <w:name w:val="Subtitle Char"/>
    <w:basedOn w:val="43"/>
    <w:link w:val="30"/>
    <w:qFormat/>
    <w:uiPriority w:val="11"/>
    <w:rPr>
      <w:sz w:val="24"/>
      <w:szCs w:val="24"/>
    </w:rPr>
  </w:style>
  <w:style w:type="paragraph" w:styleId="63">
    <w:name w:val="Quote"/>
    <w:basedOn w:val="1"/>
    <w:next w:val="1"/>
    <w:link w:val="64"/>
    <w:qFormat/>
    <w:uiPriority w:val="29"/>
    <w:pPr>
      <w:ind w:left="720" w:right="720"/>
    </w:pPr>
    <w:rPr>
      <w:i/>
    </w:rPr>
  </w:style>
  <w:style w:type="character" w:customStyle="1" w:styleId="64">
    <w:name w:val="Quote Char"/>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6">
    <w:name w:val="Intense Quote Char"/>
    <w:link w:val="65"/>
    <w:qFormat/>
    <w:uiPriority w:val="30"/>
    <w:rPr>
      <w:i/>
    </w:rPr>
  </w:style>
  <w:style w:type="character" w:customStyle="1" w:styleId="67">
    <w:name w:val="Header Char"/>
    <w:basedOn w:val="43"/>
    <w:qFormat/>
    <w:uiPriority w:val="99"/>
  </w:style>
  <w:style w:type="character" w:customStyle="1" w:styleId="68">
    <w:name w:val="Footer Char"/>
    <w:basedOn w:val="43"/>
    <w:qFormat/>
    <w:uiPriority w:val="99"/>
  </w:style>
  <w:style w:type="character" w:customStyle="1" w:styleId="69">
    <w:name w:val="Caption Char"/>
    <w:qFormat/>
    <w:uiPriority w:val="99"/>
  </w:style>
  <w:style w:type="table" w:customStyle="1" w:styleId="70">
    <w:name w:val="Table Grid Light"/>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1">
    <w:name w:val="Plain Table 1"/>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Plain Table 2"/>
    <w:basedOn w:val="4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Plain Table 3"/>
    <w:basedOn w:val="4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4"/>
    <w:basedOn w:val="4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Plain Table 5"/>
    <w:basedOn w:val="4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Grid Table 1 Light"/>
    <w:basedOn w:val="4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Grid Table 1 Light - Accent 1"/>
    <w:basedOn w:val="4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8">
    <w:name w:val="Grid Table 1 Light - Accent 2"/>
    <w:basedOn w:val="41"/>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9">
    <w:name w:val="Grid Table 1 Light - Accent 3"/>
    <w:basedOn w:val="41"/>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0">
    <w:name w:val="Grid Table 1 Light - Accent 4"/>
    <w:basedOn w:val="41"/>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1">
    <w:name w:val="Grid Table 1 Light - Accent 5"/>
    <w:basedOn w:val="41"/>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2">
    <w:name w:val="Grid Table 1 Light - Accent 6"/>
    <w:basedOn w:val="41"/>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3">
    <w:name w:val="Grid Table 2"/>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2 - Accent 1"/>
    <w:basedOn w:val="4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2 - Accent 2"/>
    <w:basedOn w:val="41"/>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2 - Accent 3"/>
    <w:basedOn w:val="41"/>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2 - Accent 4"/>
    <w:basedOn w:val="41"/>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2 - Accent 5"/>
    <w:basedOn w:val="41"/>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2 - Accent 6"/>
    <w:basedOn w:val="41"/>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3"/>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3 - Accent 1"/>
    <w:basedOn w:val="4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2">
    <w:name w:val="Grid Table 3 - Accent 2"/>
    <w:basedOn w:val="41"/>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3 - Accent 3"/>
    <w:basedOn w:val="41"/>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3 - Accent 4"/>
    <w:basedOn w:val="41"/>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3 - Accent 5"/>
    <w:basedOn w:val="41"/>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3 - Accent 6"/>
    <w:basedOn w:val="41"/>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Grid Table 4"/>
    <w:basedOn w:val="4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4 - Accent 1"/>
    <w:basedOn w:val="4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9">
    <w:name w:val="Grid Table 4 - Accent 2"/>
    <w:basedOn w:val="41"/>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0">
    <w:name w:val="Grid Table 4 - Accent 3"/>
    <w:basedOn w:val="41"/>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1">
    <w:name w:val="Grid Table 4 - Accent 4"/>
    <w:basedOn w:val="41"/>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2">
    <w:name w:val="Grid Table 4 - Accent 5"/>
    <w:basedOn w:val="41"/>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3">
    <w:name w:val="Grid Table 4 - Accent 6"/>
    <w:basedOn w:val="41"/>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4">
    <w:name w:val="Grid Table 5 Dark"/>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5">
    <w:name w:val="Grid Table 5 Dark- Accent 1"/>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6">
    <w:name w:val="Grid Table 5 Dark - Accent 2"/>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7">
    <w:name w:val="Grid Table 5 Dark - Accent 3"/>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8">
    <w:name w:val="Grid Table 5 Dark- Accent 4"/>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9">
    <w:name w:val="Grid Table 5 Dark - Accent 5"/>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0">
    <w:name w:val="Grid Table 5 Dark - Accent 6"/>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1">
    <w:name w:val="Grid Table 6 Colorful"/>
    <w:basedOn w:val="4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6 Colorful - Accent 1"/>
    <w:basedOn w:val="4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6 Colorful - Accent 2"/>
    <w:basedOn w:val="41"/>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6 Colorful - Accent 3"/>
    <w:basedOn w:val="41"/>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5">
    <w:name w:val="Grid Table 6 Colorful - Accent 4"/>
    <w:basedOn w:val="41"/>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6 Colorful - Accent 5"/>
    <w:basedOn w:val="41"/>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6 Colorful - Accent 6"/>
    <w:basedOn w:val="41"/>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8">
    <w:name w:val="Grid Table 7 Colorful"/>
    <w:basedOn w:val="4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7 Colorful - Accent 1"/>
    <w:basedOn w:val="4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0">
    <w:name w:val="Grid Table 7 Colorful - Accent 2"/>
    <w:basedOn w:val="41"/>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1">
    <w:name w:val="Grid Table 7 Colorful - Accent 3"/>
    <w:basedOn w:val="41"/>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2">
    <w:name w:val="Grid Table 7 Colorful - Accent 4"/>
    <w:basedOn w:val="41"/>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3">
    <w:name w:val="Grid Table 7 Colorful - Accent 5"/>
    <w:basedOn w:val="41"/>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4">
    <w:name w:val="Grid Table 7 Colorful - Accent 6"/>
    <w:basedOn w:val="41"/>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5">
    <w:name w:val="List Table 1 Light"/>
    <w:basedOn w:val="4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6">
    <w:name w:val="List Table 1 Light - Accent 1"/>
    <w:basedOn w:val="4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7">
    <w:name w:val="List Table 1 Light - Accent 2"/>
    <w:basedOn w:val="41"/>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8">
    <w:name w:val="List Table 1 Light - Accent 3"/>
    <w:basedOn w:val="41"/>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9">
    <w:name w:val="List Table 1 Light - Accent 4"/>
    <w:basedOn w:val="41"/>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0">
    <w:name w:val="List Table 1 Light - Accent 5"/>
    <w:basedOn w:val="41"/>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1">
    <w:name w:val="List Table 1 Light - Accent 6"/>
    <w:basedOn w:val="41"/>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2">
    <w:name w:val="List Table 2"/>
    <w:basedOn w:val="4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2 - Accent 1"/>
    <w:basedOn w:val="4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2 - Accent 2"/>
    <w:basedOn w:val="41"/>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2 - Accent 3"/>
    <w:basedOn w:val="41"/>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2 - Accent 4"/>
    <w:basedOn w:val="41"/>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2 - Accent 5"/>
    <w:basedOn w:val="41"/>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2 - Accent 6"/>
    <w:basedOn w:val="41"/>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3"/>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0">
    <w:name w:val="List Table 3 - Accent 1"/>
    <w:basedOn w:val="4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1">
    <w:name w:val="List Table 3 - Accent 2"/>
    <w:basedOn w:val="41"/>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2">
    <w:name w:val="List Table 3 - Accent 3"/>
    <w:basedOn w:val="41"/>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3">
    <w:name w:val="List Table 3 - Accent 4"/>
    <w:basedOn w:val="41"/>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4">
    <w:name w:val="List Table 3 - Accent 5"/>
    <w:basedOn w:val="41"/>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5">
    <w:name w:val="List Table 3 - Accent 6"/>
    <w:basedOn w:val="41"/>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6">
    <w:name w:val="List Table 4"/>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4 - Accent 1"/>
    <w:basedOn w:val="4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8">
    <w:name w:val="List Table 4 - Accent 2"/>
    <w:basedOn w:val="41"/>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9">
    <w:name w:val="List Table 4 - Accent 3"/>
    <w:basedOn w:val="41"/>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0">
    <w:name w:val="List Table 4 - Accent 4"/>
    <w:basedOn w:val="41"/>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1">
    <w:name w:val="List Table 4 - Accent 5"/>
    <w:basedOn w:val="41"/>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2">
    <w:name w:val="List Table 4 - Accent 6"/>
    <w:basedOn w:val="41"/>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3">
    <w:name w:val="List Table 5 Dark"/>
    <w:basedOn w:val="4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4">
    <w:name w:val="List Table 5 Dark - Accent 1"/>
    <w:basedOn w:val="4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5">
    <w:name w:val="List Table 5 Dark - Accent 2"/>
    <w:basedOn w:val="41"/>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6">
    <w:name w:val="List Table 5 Dark - Accent 3"/>
    <w:basedOn w:val="41"/>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7">
    <w:name w:val="List Table 5 Dark - Accent 4"/>
    <w:basedOn w:val="41"/>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8">
    <w:name w:val="List Table 5 Dark - Accent 5"/>
    <w:basedOn w:val="41"/>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9">
    <w:name w:val="List Table 5 Dark - Accent 6"/>
    <w:basedOn w:val="41"/>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0">
    <w:name w:val="List Table 6 Colorful"/>
    <w:basedOn w:val="4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1">
    <w:name w:val="List Table 6 Colorful - Accent 1"/>
    <w:basedOn w:val="4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6 Colorful - Accent 2"/>
    <w:basedOn w:val="41"/>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6 Colorful - Accent 3"/>
    <w:basedOn w:val="41"/>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6 Colorful - Accent 4"/>
    <w:basedOn w:val="41"/>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6 Colorful - Accent 5"/>
    <w:basedOn w:val="41"/>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6 Colorful - Accent 6"/>
    <w:basedOn w:val="41"/>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st Table 7 Colorful"/>
    <w:basedOn w:val="4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List Table 7 Colorful - Accent 1"/>
    <w:basedOn w:val="4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9">
    <w:name w:val="List Table 7 Colorful - Accent 2"/>
    <w:basedOn w:val="41"/>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0">
    <w:name w:val="List Table 7 Colorful - Accent 3"/>
    <w:basedOn w:val="41"/>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1">
    <w:name w:val="List Table 7 Colorful - Accent 4"/>
    <w:basedOn w:val="41"/>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2">
    <w:name w:val="List Table 7 Colorful - Accent 5"/>
    <w:basedOn w:val="41"/>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3">
    <w:name w:val="List Table 7 Colorful - Accent 6"/>
    <w:basedOn w:val="41"/>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4">
    <w:name w:val="Lined - Accent"/>
    <w:basedOn w:val="41"/>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Lined - Accent 1"/>
    <w:basedOn w:val="4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Lined - Accent 2"/>
    <w:basedOn w:val="41"/>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Lined - Accent 3"/>
    <w:basedOn w:val="41"/>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Lined - Accent 4"/>
    <w:basedOn w:val="41"/>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Lined - Accent 5"/>
    <w:basedOn w:val="41"/>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Lined - Accent 6"/>
    <w:basedOn w:val="41"/>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amp; Lined - Accent"/>
    <w:basedOn w:val="41"/>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Bordered &amp; Lined - Accent 1"/>
    <w:basedOn w:val="4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3">
    <w:name w:val="Bordered &amp; Lined - Accent 2"/>
    <w:basedOn w:val="41"/>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4">
    <w:name w:val="Bordered &amp; Lined - Accent 3"/>
    <w:basedOn w:val="41"/>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5">
    <w:name w:val="Bordered &amp; Lined - Accent 4"/>
    <w:basedOn w:val="41"/>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6">
    <w:name w:val="Bordered &amp; Lined - Accent 5"/>
    <w:basedOn w:val="41"/>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7">
    <w:name w:val="Bordered &amp; Lined - Accent 6"/>
    <w:basedOn w:val="41"/>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8">
    <w:name w:val="Bordered"/>
    <w:basedOn w:val="41"/>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9">
    <w:name w:val="Bordered - Accent 1"/>
    <w:basedOn w:val="4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0">
    <w:name w:val="Bordered - Accent 2"/>
    <w:basedOn w:val="41"/>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1">
    <w:name w:val="Bordered - Accent 3"/>
    <w:basedOn w:val="41"/>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2">
    <w:name w:val="Bordered - Accent 4"/>
    <w:basedOn w:val="41"/>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3">
    <w:name w:val="Bordered - Accent 5"/>
    <w:basedOn w:val="41"/>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4">
    <w:name w:val="Bordered - Accent 6"/>
    <w:basedOn w:val="41"/>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5">
    <w:name w:val="Footnote Text Char"/>
    <w:link w:val="31"/>
    <w:qFormat/>
    <w:uiPriority w:val="99"/>
    <w:rPr>
      <w:sz w:val="18"/>
    </w:rPr>
  </w:style>
  <w:style w:type="character" w:customStyle="1" w:styleId="196">
    <w:name w:val="Endnote Text Char"/>
    <w:link w:val="23"/>
    <w:qFormat/>
    <w:uiPriority w:val="99"/>
    <w:rPr>
      <w:sz w:val="20"/>
    </w:rPr>
  </w:style>
  <w:style w:type="paragraph" w:customStyle="1" w:styleId="197">
    <w:name w:val="TOC Heading"/>
    <w:unhideWhenUsed/>
    <w:qFormat/>
    <w:uiPriority w:val="39"/>
    <w:rPr>
      <w:rFonts w:hint="default" w:ascii="Times New Roman" w:hAnsi="Times New Roman" w:eastAsia="宋体" w:cs="Times New Roman"/>
    </w:rPr>
  </w:style>
  <w:style w:type="paragraph" w:customStyle="1" w:styleId="198">
    <w:name w:val="首行缩进"/>
    <w:basedOn w:val="1"/>
    <w:qFormat/>
    <w:uiPriority w:val="0"/>
    <w:pPr>
      <w:ind w:firstLine="480"/>
    </w:pPr>
    <w:rPr>
      <w:lang w:val="zh-CN"/>
    </w:rPr>
  </w:style>
  <w:style w:type="paragraph" w:customStyle="1" w:styleId="199">
    <w:name w:val="目录 51"/>
    <w:next w:val="1"/>
    <w:qFormat/>
    <w:uiPriority w:val="0"/>
    <w:pPr>
      <w:ind w:left="1275"/>
      <w:jc w:val="both"/>
    </w:pPr>
    <w:rPr>
      <w:rFonts w:hint="default" w:ascii="Times New Roman" w:hAnsi="Times New Roman" w:eastAsia="宋体" w:cs="Times New Roman"/>
      <w:sz w:val="21"/>
      <w:lang w:val="en-US" w:eastAsia="zh-CN" w:bidi="ar-SA"/>
    </w:rPr>
  </w:style>
  <w:style w:type="character" w:customStyle="1" w:styleId="200">
    <w:name w:val="标题 1 Char"/>
    <w:link w:val="2"/>
    <w:qFormat/>
    <w:uiPriority w:val="0"/>
    <w:rPr>
      <w:rFonts w:ascii="Calibri" w:hAnsi="Calibri" w:eastAsia="楷体_GB2312" w:cs="Times New Roman"/>
      <w:b/>
      <w:sz w:val="44"/>
      <w:lang w:val="zh-CN"/>
    </w:rPr>
  </w:style>
  <w:style w:type="character" w:customStyle="1" w:styleId="201">
    <w:name w:val="标题 Char"/>
    <w:link w:val="38"/>
    <w:qFormat/>
    <w:uiPriority w:val="0"/>
    <w:rPr>
      <w:rFonts w:ascii="Cambria" w:hAnsi="Cambria" w:eastAsia="宋体" w:cs="Times New Roman"/>
      <w:b/>
      <w:bCs/>
      <w:sz w:val="32"/>
      <w:szCs w:val="32"/>
    </w:rPr>
  </w:style>
  <w:style w:type="paragraph" w:customStyle="1" w:styleId="202">
    <w:name w:val="段"/>
    <w:next w:val="1"/>
    <w:qFormat/>
    <w:uiPriority w:val="99"/>
    <w:pPr>
      <w:ind w:firstLine="200"/>
      <w:jc w:val="both"/>
    </w:pPr>
    <w:rPr>
      <w:rFonts w:hint="default" w:ascii="宋体" w:hAnsi="Calibri" w:eastAsia="宋体" w:cs="宋体"/>
      <w:sz w:val="21"/>
      <w:szCs w:val="21"/>
      <w:lang w:val="en-US" w:eastAsia="zh-CN" w:bidi="ar-SA"/>
    </w:rPr>
  </w:style>
  <w:style w:type="paragraph" w:customStyle="1" w:styleId="203">
    <w:name w:val="纯文本2"/>
    <w:basedOn w:val="1"/>
    <w:qFormat/>
    <w:uiPriority w:val="0"/>
    <w:rPr>
      <w:rFonts w:ascii="宋体" w:hAnsi="Courier New"/>
    </w:rPr>
  </w:style>
  <w:style w:type="character" w:customStyle="1" w:styleId="204">
    <w:name w:val="font01"/>
    <w:basedOn w:val="43"/>
    <w:qFormat/>
    <w:uiPriority w:val="0"/>
    <w:rPr>
      <w:rFonts w:hint="eastAsia" w:ascii="宋体" w:hAnsi="宋体" w:eastAsia="宋体" w:cs="宋体"/>
      <w:color w:val="000000"/>
      <w:sz w:val="24"/>
      <w:szCs w:val="24"/>
      <w:u w:val="none"/>
    </w:rPr>
  </w:style>
  <w:style w:type="paragraph" w:customStyle="1" w:styleId="205">
    <w:name w:val="纯文本4"/>
    <w:basedOn w:val="1"/>
    <w:qFormat/>
    <w:uiPriority w:val="0"/>
    <w:rPr>
      <w:rFonts w:ascii="宋体" w:hAnsi="Courier New" w:eastAsia="KaiTi_GB2312"/>
      <w:sz w:val="26"/>
      <w:szCs w:val="20"/>
    </w:rPr>
  </w:style>
  <w:style w:type="paragraph" w:customStyle="1" w:styleId="206">
    <w:name w:val="纯文本1"/>
    <w:basedOn w:val="1"/>
    <w:qFormat/>
    <w:uiPriority w:val="0"/>
    <w:rPr>
      <w:rFonts w:ascii="宋体" w:hAnsi="宋体" w:eastAsia="楷体_GB2312"/>
      <w:sz w:val="28"/>
    </w:rPr>
  </w:style>
  <w:style w:type="paragraph" w:customStyle="1" w:styleId="207">
    <w:name w:val="纯文本3"/>
    <w:basedOn w:val="1"/>
    <w:qFormat/>
    <w:uiPriority w:val="0"/>
    <w:rPr>
      <w:rFonts w:ascii="宋体" w:hAnsi="宋体" w:eastAsia="楷体_GB2312"/>
      <w:sz w:val="28"/>
      <w:lang w:val="zh-CN"/>
    </w:rPr>
  </w:style>
  <w:style w:type="paragraph" w:customStyle="1" w:styleId="208">
    <w:name w:val="p0"/>
    <w:basedOn w:val="1"/>
    <w:qFormat/>
    <w:uiPriority w:val="0"/>
    <w:pPr>
      <w:widowControl/>
    </w:pPr>
    <w:rPr>
      <w:szCs w:val="21"/>
    </w:rPr>
  </w:style>
  <w:style w:type="paragraph" w:customStyle="1" w:styleId="209">
    <w:name w:val="正文1"/>
    <w:basedOn w:val="1"/>
    <w:next w:val="1"/>
    <w:qFormat/>
    <w:uiPriority w:val="0"/>
    <w:pPr>
      <w:numPr>
        <w:ilvl w:val="0"/>
        <w:numId w:val="1"/>
      </w:numPr>
      <w:spacing w:line="500" w:lineRule="exact"/>
    </w:pPr>
    <w:rPr>
      <w:rFonts w:ascii="黑体" w:hAnsi="宋体"/>
    </w:rPr>
  </w:style>
  <w:style w:type="paragraph" w:styleId="210">
    <w:name w:val="List Paragraph"/>
    <w:basedOn w:val="1"/>
    <w:qFormat/>
    <w:uiPriority w:val="34"/>
    <w:pPr>
      <w:ind w:firstLine="420"/>
    </w:pPr>
  </w:style>
  <w:style w:type="paragraph" w:customStyle="1" w:styleId="211">
    <w:name w:val="Plain Text2"/>
    <w:qFormat/>
    <w:uiPriority w:val="0"/>
    <w:rPr>
      <w:rFonts w:hint="default" w:ascii="宋体" w:hAnsi="Courier New" w:eastAsia="楷体_GB2312" w:cs="Times New Roman"/>
      <w:sz w:val="26"/>
      <w:lang w:val="en-US" w:eastAsia="zh-CN" w:bidi="ar-SA"/>
    </w:rPr>
  </w:style>
  <w:style w:type="paragraph" w:customStyle="1" w:styleId="212">
    <w:name w:val="正文缩进 Char Char"/>
    <w:basedOn w:val="1"/>
    <w:qFormat/>
    <w:uiPriority w:val="0"/>
    <w:pPr>
      <w:ind w:firstLine="420"/>
    </w:pPr>
  </w:style>
  <w:style w:type="paragraph" w:customStyle="1" w:styleId="213">
    <w:name w:val="Default"/>
    <w:qFormat/>
    <w:uiPriority w:val="0"/>
    <w:pPr>
      <w:widowControl w:val="0"/>
    </w:pPr>
    <w:rPr>
      <w:rFonts w:hint="default" w:ascii="宋体" w:eastAsia="宋体" w:cs="宋体" w:hAnsiTheme="minorHAnsi"/>
      <w:color w:val="000000"/>
      <w:sz w:val="24"/>
      <w:szCs w:val="24"/>
      <w:lang w:val="en-US" w:eastAsia="zh-CN" w:bidi="ar-SA"/>
    </w:rPr>
  </w:style>
  <w:style w:type="character" w:customStyle="1" w:styleId="214">
    <w:name w:val="批注框文本 Char"/>
    <w:basedOn w:val="43"/>
    <w:link w:val="24"/>
    <w:qFormat/>
    <w:uiPriority w:val="0"/>
    <w:rPr>
      <w:rFonts w:ascii="Calibri" w:hAnsi="Calibri"/>
      <w:sz w:val="18"/>
      <w:szCs w:val="18"/>
    </w:rPr>
  </w:style>
  <w:style w:type="paragraph" w:customStyle="1" w:styleId="215">
    <w:name w:val="WPSOffice手动目录 1"/>
    <w:qFormat/>
    <w:uiPriority w:val="0"/>
    <w:rPr>
      <w:rFonts w:hint="default" w:ascii="Times New Roman" w:hAnsi="Times New Roman" w:eastAsia="宋体" w:cs="Times New Roman"/>
      <w:sz w:val="20"/>
      <w:szCs w:val="20"/>
    </w:rPr>
  </w:style>
  <w:style w:type="paragraph" w:customStyle="1" w:styleId="216">
    <w:name w:val="正文文本1"/>
    <w:basedOn w:val="1"/>
    <w:next w:val="217"/>
    <w:qFormat/>
    <w:uiPriority w:val="0"/>
    <w:pPr>
      <w:widowControl/>
      <w:spacing w:after="120"/>
      <w:jc w:val="left"/>
    </w:pPr>
    <w:rPr>
      <w:rFonts w:ascii="Times New Roman" w:hAnsi="Times New Roman" w:eastAsia="宋体" w:cs="Times New Roman"/>
      <w:sz w:val="24"/>
    </w:rPr>
  </w:style>
  <w:style w:type="paragraph" w:customStyle="1" w:styleId="217">
    <w:name w:val="正文缩进11"/>
    <w:basedOn w:val="1"/>
    <w:next w:val="1"/>
    <w:qFormat/>
    <w:uiPriority w:val="0"/>
    <w:pPr>
      <w:widowControl w:val="0"/>
      <w:ind w:firstLine="420"/>
    </w:pPr>
    <w:rPr>
      <w:rFonts w:ascii="Arial Unicode MS" w:hAnsi="Arial Unicode MS" w:eastAsia="Arial Unicode MS"/>
      <w:color w:val="000000"/>
    </w:rPr>
  </w:style>
  <w:style w:type="paragraph" w:customStyle="1" w:styleId="218">
    <w:name w:val="标题 21"/>
    <w:basedOn w:val="1"/>
    <w:next w:val="1"/>
    <w:qFormat/>
    <w:uiPriority w:val="0"/>
    <w:pPr>
      <w:keepNext/>
      <w:keepLines/>
      <w:jc w:val="left"/>
      <w:outlineLvl w:val="1"/>
    </w:pPr>
    <w:rPr>
      <w:rFonts w:ascii="宋体" w:hAnsi="宋体"/>
      <w:b/>
    </w:rPr>
  </w:style>
  <w:style w:type="paragraph" w:customStyle="1" w:styleId="219">
    <w:name w:val="正文缩进1"/>
    <w:basedOn w:val="1"/>
    <w:qFormat/>
    <w:uiPriority w:val="0"/>
    <w:pPr>
      <w:ind w:firstLine="420"/>
      <w:jc w:val="left"/>
    </w:pPr>
    <w:rPr>
      <w:sz w:val="24"/>
    </w:rPr>
  </w:style>
  <w:style w:type="paragraph" w:customStyle="1" w:styleId="220">
    <w:name w:val="_正文段落"/>
    <w:basedOn w:val="1"/>
    <w:qFormat/>
    <w:uiPriority w:val="0"/>
    <w:pPr>
      <w:spacing w:line="360" w:lineRule="auto"/>
      <w:ind w:firstLine="480"/>
    </w:pPr>
    <w:rPr>
      <w:rFonts w:ascii="宋体" w:hAnsi="宋体" w:eastAsia="宋体"/>
      <w:sz w:val="24"/>
      <w:szCs w:val="24"/>
    </w:rPr>
  </w:style>
  <w:style w:type="paragraph" w:customStyle="1" w:styleId="221">
    <w:name w:val="Andy_正文"/>
    <w:basedOn w:val="1"/>
    <w:qFormat/>
    <w:uiPriority w:val="0"/>
    <w:pPr>
      <w:spacing w:line="360" w:lineRule="auto"/>
      <w:ind w:firstLine="480"/>
    </w:pPr>
    <w:rPr>
      <w:rFonts w:ascii="Calibri" w:hAnsi="Calibri" w:eastAsia="宋体"/>
      <w:sz w:val="24"/>
      <w:szCs w:val="24"/>
    </w:rPr>
  </w:style>
  <w:style w:type="paragraph" w:customStyle="1" w:styleId="222">
    <w:name w:val="Plain Text1"/>
    <w:basedOn w:val="1"/>
    <w:qFormat/>
    <w:uiPriority w:val="0"/>
    <w:rPr>
      <w:rFonts w:ascii="宋体" w:hAnsi="Courier New"/>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D99BD25-F642-4597-AE25-28BFE725EE5B}">
  <ds:schemaRefs/>
</ds:datastoreItem>
</file>

<file path=docProps/app.xml><?xml version="1.0" encoding="utf-8"?>
<Properties xmlns="http://schemas.openxmlformats.org/officeDocument/2006/extended-properties" xmlns:vt="http://schemas.openxmlformats.org/officeDocument/2006/docPropsVTypes">
  <Template>Normal</Template>
  <Pages>54</Pages>
  <Words>16400</Words>
  <Characters>17945</Characters>
  <TotalTime>8</TotalTime>
  <ScaleCrop>false</ScaleCrop>
  <LinksUpToDate>false</LinksUpToDate>
  <CharactersWithSpaces>19768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2022-06-16T02:31:00Z</dcterms:created>
  <dc:creator>王贺</dc:creator>
  <cp:lastModifiedBy>江苏正琦工程咨询有限公司</cp:lastModifiedBy>
  <dcterms:modified xsi:type="dcterms:W3CDTF">2026-08-12T01:47:22Z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A83FF70E1C75479B826F210512C533DF_13</vt:lpwstr>
  </property>
  <property fmtid="{D5CDD505-2E9C-101B-9397-08002B2CF9AE}" pid="4" name="KSOTemplateDocerSaveRecord">
    <vt:lpwstr>eyJoZGlkIjoiMTIxNmRlZTBmZTllMzkwZTlhMzNlNWU3MGQ0YTNmZjYiLCJ1c2VySWQiOiIyNTgyMTYyMDYifQ==</vt:lpwstr>
  </property>
</Properties>
</file>