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widowControl/>
        <w:rPr>
          <w:rFonts w:cs="Times New Roman"/>
          <w:b/>
          <w:bCs/>
          <w:color w:val="000000" w:themeColor="text1"/>
          <w:sz w:val="48"/>
          <w:szCs w:val="48"/>
          <w:lang w:val="en-US" w:bidi="ar-SA"/>
          <w14:textFill>
            <w14:solidFill>
              <w14:schemeClr w14:val="tx1"/>
            </w14:solidFill>
          </w14:textFill>
        </w:rPr>
      </w:pPr>
      <w:r/>
      <w:bookmarkStart w:id="0" w:name="OLE_LINK5"/>
      <w:r/>
      <w:bookmarkStart w:id="1" w:name="OLE_LINK12"/>
      <w:r/>
      <w:r/>
    </w:p>
    <w:p>
      <w:pPr>
        <w:pStyle w:val="995"/>
        <w:jc w:val="center"/>
        <w:rPr>
          <w:rFonts w:cs="Times New Roman"/>
          <w:b/>
          <w:bCs/>
          <w:color w:val="000000" w:themeColor="text1"/>
          <w:sz w:val="48"/>
          <w:szCs w:val="48"/>
          <w:lang w:val="en-US" w:bidi="ar-SA"/>
          <w14:textFill>
            <w14:solidFill>
              <w14:schemeClr w14:val="tx1"/>
            </w14:solidFill>
          </w14:textFill>
        </w:rPr>
      </w:pPr>
      <w:r>
        <w:rPr>
          <w:rFonts w:cs="Times New Roman"/>
          <w:b/>
          <w:bCs/>
          <w:color w:val="000000" w:themeColor="text1"/>
          <w:sz w:val="48"/>
          <w:szCs w:val="48"/>
          <w:lang w:val="en-US" w:bidi="ar-SA"/>
          <w14:textFill>
            <w14:solidFill>
              <w14:schemeClr w14:val="tx1"/>
            </w14:solidFill>
          </w14:textFill>
        </w:rPr>
      </w:r>
      <w:r/>
    </w:p>
    <w:p>
      <w:pPr>
        <w:pStyle w:val="995"/>
        <w:jc w:val="center"/>
        <w:rPr>
          <w:rFonts w:cs="Times New Roman"/>
          <w:b/>
          <w:bCs/>
          <w:color w:val="000000" w:themeColor="text1"/>
          <w:sz w:val="48"/>
          <w:szCs w:val="48"/>
          <w:lang w:val="en-US" w:bidi="ar-SA"/>
          <w14:textFill>
            <w14:solidFill>
              <w14:schemeClr w14:val="tx1"/>
            </w14:solidFill>
          </w14:textFill>
        </w:rPr>
      </w:pPr>
      <w:r>
        <w:rPr>
          <w:rFonts w:cs="Times New Roman"/>
          <w:b/>
          <w:bCs/>
          <w:color w:val="000000" w:themeColor="text1"/>
          <w:sz w:val="48"/>
          <w:szCs w:val="48"/>
          <w:lang w:val="en-US" w:bidi="ar-SA"/>
          <w14:textFill>
            <w14:solidFill>
              <w14:schemeClr w14:val="tx1"/>
            </w14:solidFill>
          </w14:textFill>
        </w:rPr>
      </w:r>
      <w:r/>
    </w:p>
    <w:p>
      <w:pPr>
        <w:pStyle w:val="995"/>
        <w:jc w:val="center"/>
        <w:rPr>
          <w:rFonts w:cs="Times New Roman"/>
          <w:b/>
          <w:bCs/>
          <w:color w:val="000000" w:themeColor="text1"/>
          <w:sz w:val="48"/>
          <w:szCs w:val="48"/>
          <w:lang w:val="en-US" w:bidi="ar-SA"/>
          <w14:textFill>
            <w14:solidFill>
              <w14:schemeClr w14:val="tx1"/>
            </w14:solidFill>
          </w14:textFill>
        </w:rPr>
      </w:pPr>
      <w:r/>
      <w:bookmarkStart w:id="2" w:name="OLE_LINK6"/>
      <w:r/>
      <w:bookmarkStart w:id="3" w:name="OLE_LINK3"/>
      <w:r>
        <w:rPr>
          <w:rFonts w:hint="eastAsia" w:cs="Times New Roman"/>
          <w:b/>
          <w:bCs/>
          <w:color w:val="000000" w:themeColor="text1"/>
          <w:sz w:val="48"/>
          <w:szCs w:val="48"/>
          <w:lang w:val="en-US" w:bidi="ar-SA"/>
          <w14:textFill>
            <w14:solidFill>
              <w14:schemeClr w14:val="tx1"/>
            </w14:solidFill>
          </w14:textFill>
        </w:rPr>
        <w:t xml:space="preserve">南京中医药大学青春剧场整体改造项目</w:t>
      </w:r>
      <w:bookmarkEnd w:id="2"/>
      <w:r/>
      <w:bookmarkEnd w:id="3"/>
      <w:r/>
      <w:r/>
    </w:p>
    <w:p>
      <w:pPr>
        <w:pStyle w:val="995"/>
        <w:rPr>
          <w:rFonts w:cs="Times New Roman"/>
          <w:b/>
          <w:bCs/>
          <w:color w:val="000000" w:themeColor="text1"/>
          <w:sz w:val="48"/>
          <w:szCs w:val="48"/>
          <w:lang w:val="en-US" w:bidi="ar-SA"/>
          <w14:textFill>
            <w14:solidFill>
              <w14:schemeClr w14:val="tx1"/>
            </w14:solidFill>
          </w14:textFill>
        </w:rPr>
      </w:pPr>
      <w:r>
        <w:rPr>
          <w:rFonts w:cs="Times New Roman"/>
          <w:b/>
          <w:bCs/>
          <w:color w:val="000000" w:themeColor="text1"/>
          <w:sz w:val="48"/>
          <w:szCs w:val="48"/>
          <w:lang w:val="en-US" w:bidi="ar-SA"/>
          <w14:textFill>
            <w14:solidFill>
              <w14:schemeClr w14:val="tx1"/>
            </w14:solidFill>
          </w14:textFill>
        </w:rPr>
      </w:r>
      <w:r/>
    </w:p>
    <w:p>
      <w:pPr>
        <w:pStyle w:val="995"/>
        <w:rPr>
          <w:rFonts w:cs="Times New Roman"/>
          <w:b/>
          <w:bCs/>
          <w:color w:val="000000" w:themeColor="text1"/>
          <w:sz w:val="48"/>
          <w:szCs w:val="48"/>
          <w:lang w:val="en-US" w:bidi="ar-SA"/>
          <w14:textFill>
            <w14:solidFill>
              <w14:schemeClr w14:val="tx1"/>
            </w14:solidFill>
          </w14:textFill>
        </w:rPr>
      </w:pPr>
      <w:r>
        <w:rPr>
          <w:rFonts w:cs="Times New Roman"/>
          <w:b/>
          <w:bCs/>
          <w:color w:val="000000" w:themeColor="text1"/>
          <w:sz w:val="48"/>
          <w:szCs w:val="48"/>
          <w:lang w:val="en-US" w:bidi="ar-SA"/>
          <w14:textFill>
            <w14:solidFill>
              <w14:schemeClr w14:val="tx1"/>
            </w14:solidFill>
          </w14:textFill>
        </w:rPr>
      </w:r>
      <w:r/>
    </w:p>
    <w:p>
      <w:pPr>
        <w:jc w:val="center"/>
        <w:spacing w:line="360" w:lineRule="auto"/>
        <w:widowControl/>
        <w:rPr>
          <w:rFonts w:hAnsi="Times New Roman" w:cs="Times New Roman"/>
          <w:b/>
          <w:bCs/>
          <w:color w:val="000000" w:themeColor="text1"/>
          <w:sz w:val="48"/>
          <w:szCs w:val="48"/>
          <w:lang w:val="en-US" w:bidi="ar-SA"/>
          <w14:textFill>
            <w14:solidFill>
              <w14:schemeClr w14:val="tx1"/>
            </w14:solidFill>
          </w14:textFill>
        </w:rPr>
      </w:pPr>
      <w:r>
        <w:rPr>
          <w:rFonts w:hAnsi="Times New Roman" w:cs="Times New Roman"/>
          <w:b/>
          <w:bCs/>
          <w:color w:val="000000" w:themeColor="text1"/>
          <w:sz w:val="48"/>
          <w:szCs w:val="48"/>
          <w:lang w:val="en-US" w:bidi="ar-SA"/>
          <w14:textFill>
            <w14:solidFill>
              <w14:schemeClr w14:val="tx1"/>
            </w14:solidFill>
          </w14:textFill>
        </w:rPr>
        <mc:AlternateContent>
          <mc:Choice Requires="wpg">
            <w:drawing>
              <wp:inline xmlns:wp="http://schemas.openxmlformats.org/drawingml/2006/wordprocessingDrawing" distT="0" distB="0" distL="0" distR="0">
                <wp:extent cx="1717675" cy="2131695"/>
                <wp:effectExtent l="0" t="0" r="15875" b="1905"/>
                <wp:docPr id="5" name="图片 1" descr="我的插图-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我的插图-1"/>
                        <pic:cNvPicPr>
                          <a:picLocks noChangeAspect="1"/>
                        </pic:cNvPicPr>
                        <pic:nvPr/>
                      </pic:nvPicPr>
                      <pic:blipFill>
                        <a:blip r:embed="rId17"/>
                        <a:stretch/>
                      </pic:blipFill>
                      <pic:spPr bwMode="auto">
                        <a:xfrm>
                          <a:off x="0" y="0"/>
                          <a:ext cx="1717675" cy="213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35.2pt;height:167.8pt;mso-wrap-distance-left:0.0pt;mso-wrap-distance-top:0.0pt;mso-wrap-distance-right:0.0pt;mso-wrap-distance-bottom:0.0pt;" stroked="f">
                <v:path textboxrect="0,0,0,0"/>
                <v:imagedata r:id="rId17" o:title=""/>
              </v:shape>
            </w:pict>
          </mc:Fallback>
        </mc:AlternateContent>
      </w:r>
      <w:r/>
    </w:p>
    <w:p>
      <w:pPr>
        <w:jc w:val="center"/>
        <w:spacing w:line="360" w:lineRule="auto"/>
        <w:widowControl/>
        <w:rPr>
          <w:rFonts w:hAnsi="Times New Roman" w:cs="Times New Roman"/>
          <w:b/>
          <w:bCs/>
          <w:color w:val="000000" w:themeColor="text1"/>
          <w:sz w:val="72"/>
          <w:szCs w:val="72"/>
          <w:lang w:val="en-US" w:bidi="ar-SA"/>
          <w14:textFill>
            <w14:solidFill>
              <w14:schemeClr w14:val="tx1"/>
            </w14:solidFill>
          </w14:textFill>
        </w:rPr>
      </w:pPr>
      <w:r>
        <w:rPr>
          <w:rFonts w:hint="eastAsia" w:cs="Times New Roman"/>
          <w:b/>
          <w:bCs/>
          <w:color w:val="000000" w:themeColor="text1"/>
          <w:sz w:val="72"/>
          <w:szCs w:val="72"/>
          <w:lang w:val="en-US" w:bidi="ar-SA"/>
          <w14:textFill>
            <w14:solidFill>
              <w14:schemeClr w14:val="tx1"/>
            </w14:solidFill>
          </w14:textFill>
        </w:rPr>
        <w:t xml:space="preserve">招标文件</w:t>
      </w:r>
      <w:r/>
    </w:p>
    <w:p>
      <w:pPr>
        <w:jc w:val="center"/>
        <w:spacing w:line="360" w:lineRule="auto"/>
        <w:widowControl/>
        <w:rPr>
          <w:rFonts w:cs="Times New Roman"/>
          <w:b/>
          <w:color w:val="000000" w:themeColor="text1"/>
          <w:sz w:val="36"/>
          <w:szCs w:val="36"/>
          <w:lang w:val="en-US" w:bidi="ar-SA"/>
          <w14:textFill>
            <w14:solidFill>
              <w14:schemeClr w14:val="tx1"/>
            </w14:solidFill>
          </w14:textFill>
        </w:rPr>
      </w:pPr>
      <w:r>
        <w:rPr>
          <w:rFonts w:hint="eastAsia" w:cs="Times New Roman"/>
          <w:b/>
          <w:color w:val="000000" w:themeColor="text1"/>
          <w:sz w:val="36"/>
          <w:szCs w:val="36"/>
          <w:lang w:val="en-US" w:bidi="ar-SA"/>
          <w14:textFill>
            <w14:solidFill>
              <w14:schemeClr w14:val="tx1"/>
            </w14:solidFill>
          </w14:textFill>
        </w:rPr>
        <w:t xml:space="preserve">项目编号：</w:t>
      </w:r>
      <w:r>
        <w:rPr>
          <w:rFonts w:cs="Times New Roman"/>
          <w:b/>
          <w:color w:val="000000" w:themeColor="text1"/>
          <w:sz w:val="36"/>
          <w:szCs w:val="36"/>
          <w:lang w:val="en-US" w:bidi="ar-SA"/>
          <w14:textFill>
            <w14:solidFill>
              <w14:schemeClr w14:val="tx1"/>
            </w14:solidFill>
          </w14:textFill>
        </w:rPr>
        <w:t xml:space="preserve">JSZC-320000-SNZX-G2026-0102</w:t>
      </w:r>
      <w:r/>
    </w:p>
    <w:p>
      <w:pPr>
        <w:jc w:val="both"/>
        <w:spacing w:line="360" w:lineRule="auto"/>
        <w:widowControl/>
        <w:rPr>
          <w:rFonts w:hAnsi="Times New Roman" w:cs="Times New Roman"/>
          <w:color w:val="000000" w:themeColor="text1"/>
          <w:sz w:val="21"/>
          <w:szCs w:val="21"/>
          <w:lang w:val="en-US" w:bidi="ar-SA"/>
          <w14:textFill>
            <w14:solidFill>
              <w14:schemeClr w14:val="tx1"/>
            </w14:solidFill>
          </w14:textFill>
        </w:rPr>
      </w:pPr>
      <w:r>
        <w:rPr>
          <w:rFonts w:hAnsi="Times New Roman" w:cs="Times New Roman"/>
          <w:color w:val="000000" w:themeColor="text1"/>
          <w:sz w:val="21"/>
          <w:szCs w:val="21"/>
          <w:lang w:val="en-US" w:bidi="ar-SA"/>
          <w14:textFill>
            <w14:solidFill>
              <w14:schemeClr w14:val="tx1"/>
            </w14:solidFill>
          </w14:textFill>
        </w:rPr>
      </w:r>
      <w:r/>
    </w:p>
    <w:p>
      <w:pPr>
        <w:jc w:val="both"/>
        <w:spacing w:line="360" w:lineRule="auto"/>
        <w:widowControl/>
        <w:rPr>
          <w:rFonts w:hAnsi="Times New Roman" w:cs="Times New Roman"/>
          <w:color w:val="000000" w:themeColor="text1"/>
          <w:sz w:val="21"/>
          <w:szCs w:val="21"/>
          <w:lang w:val="en-US" w:bidi="ar-SA"/>
          <w14:textFill>
            <w14:solidFill>
              <w14:schemeClr w14:val="tx1"/>
            </w14:solidFill>
          </w14:textFill>
        </w:rPr>
      </w:pPr>
      <w:r>
        <w:rPr>
          <w:rFonts w:hAnsi="Times New Roman" w:cs="Times New Roman"/>
          <w:color w:val="000000" w:themeColor="text1"/>
          <w:sz w:val="21"/>
          <w:szCs w:val="21"/>
          <w:lang w:val="en-US" w:bidi="ar-SA"/>
          <w14:textFill>
            <w14:solidFill>
              <w14:schemeClr w14:val="tx1"/>
            </w14:solidFill>
          </w14:textFill>
        </w:rPr>
      </w:r>
      <w:r/>
    </w:p>
    <w:p>
      <w:pPr>
        <w:jc w:val="both"/>
        <w:spacing w:line="360" w:lineRule="auto"/>
        <w:widowControl/>
        <w:rPr>
          <w:rFonts w:hAnsi="Times New Roman" w:cs="Times New Roman"/>
          <w:color w:val="000000" w:themeColor="text1"/>
          <w:sz w:val="21"/>
          <w:szCs w:val="21"/>
          <w:lang w:val="en-US" w:bidi="ar-SA"/>
          <w14:textFill>
            <w14:solidFill>
              <w14:schemeClr w14:val="tx1"/>
            </w14:solidFill>
          </w14:textFill>
        </w:rPr>
      </w:pPr>
      <w:r>
        <w:rPr>
          <w:rFonts w:hAnsi="Times New Roman" w:cs="Times New Roman"/>
          <w:color w:val="000000" w:themeColor="text1"/>
          <w:sz w:val="21"/>
          <w:szCs w:val="21"/>
          <w:lang w:val="en-US" w:bidi="ar-SA"/>
          <w14:textFill>
            <w14:solidFill>
              <w14:schemeClr w14:val="tx1"/>
            </w14:solidFill>
          </w14:textFill>
        </w:rPr>
      </w:r>
      <w:r/>
    </w:p>
    <w:p>
      <w:pPr>
        <w:ind w:left="660" w:firstLine="723"/>
        <w:spacing w:line="360" w:lineRule="auto"/>
        <w:widowControl/>
        <w:rPr>
          <w:rFonts w:cs="Times New Roman"/>
          <w:b/>
          <w:color w:val="000000" w:themeColor="text1"/>
          <w:sz w:val="36"/>
          <w:szCs w:val="36"/>
          <w:lang w:val="en-US" w:bidi="ar-SA"/>
          <w14:textFill>
            <w14:solidFill>
              <w14:schemeClr w14:val="tx1"/>
            </w14:solidFill>
          </w14:textFill>
        </w:rPr>
      </w:pPr>
      <w:r>
        <w:rPr>
          <w:rFonts w:hint="eastAsia" w:cs="Times New Roman"/>
          <w:b/>
          <w:color w:val="000000" w:themeColor="text1"/>
          <w:sz w:val="36"/>
          <w:szCs w:val="36"/>
          <w:lang w:val="en-US" w:bidi="ar-SA"/>
          <w14:textFill>
            <w14:solidFill>
              <w14:schemeClr w14:val="tx1"/>
            </w14:solidFill>
          </w14:textFill>
        </w:rPr>
        <w:t xml:space="preserve">采购人：南京中医药大学</w:t>
      </w:r>
      <w:r/>
    </w:p>
    <w:p>
      <w:pPr>
        <w:ind w:left="660" w:firstLine="723"/>
        <w:spacing w:line="360" w:lineRule="auto"/>
        <w:widowControl/>
        <w:rPr>
          <w:rFonts w:hAnsi="Times New Roman" w:cs="Times New Roman"/>
          <w:b/>
          <w:color w:val="000000" w:themeColor="text1"/>
          <w:sz w:val="36"/>
          <w:szCs w:val="36"/>
          <w:lang w:val="en-US" w:bidi="ar-SA"/>
          <w14:textFill>
            <w14:solidFill>
              <w14:schemeClr w14:val="tx1"/>
            </w14:solidFill>
          </w14:textFill>
        </w:rPr>
      </w:pPr>
      <w:r>
        <w:rPr>
          <w:rFonts w:hint="eastAsia" w:cs="Times New Roman"/>
          <w:b/>
          <w:color w:val="000000" w:themeColor="text1"/>
          <w:sz w:val="36"/>
          <w:szCs w:val="36"/>
          <w:lang w:val="en-US" w:bidi="ar-SA"/>
          <w14:textFill>
            <w14:solidFill>
              <w14:schemeClr w14:val="tx1"/>
            </w14:solidFill>
          </w14:textFill>
        </w:rPr>
        <w:t xml:space="preserve">招标代理机构：南京苏宁工程咨询有限公司</w:t>
      </w:r>
      <w:r/>
    </w:p>
    <w:p>
      <w:pPr>
        <w:ind w:left="660" w:firstLine="723"/>
        <w:spacing w:line="360" w:lineRule="auto"/>
        <w:widowControl/>
        <w:rPr>
          <w:rFonts w:cs="Times New Roman"/>
          <w:b/>
          <w:color w:val="000000" w:themeColor="text1"/>
          <w:sz w:val="36"/>
          <w:szCs w:val="36"/>
          <w:lang w:val="en-US" w:bidi="ar-SA"/>
          <w14:textFill>
            <w14:solidFill>
              <w14:schemeClr w14:val="tx1"/>
            </w14:solidFill>
          </w14:textFill>
        </w:rPr>
      </w:pPr>
      <w:r>
        <w:rPr>
          <w:rFonts w:hint="eastAsia" w:cs="Times New Roman"/>
          <w:b/>
          <w:color w:val="000000" w:themeColor="text1"/>
          <w:sz w:val="36"/>
          <w:szCs w:val="36"/>
          <w:lang w:val="en-US" w:bidi="ar-SA"/>
          <w14:textFill>
            <w14:solidFill>
              <w14:schemeClr w14:val="tx1"/>
            </w14:solidFill>
          </w14:textFill>
        </w:rPr>
        <w:t xml:space="preserve">日期：二〇二六年七月</w:t>
      </w:r>
      <w:r>
        <w:rPr>
          <w:rFonts w:hint="eastAsia" w:cs="Times New Roman"/>
          <w:b/>
          <w:color w:val="000000" w:themeColor="text1"/>
          <w:sz w:val="36"/>
          <w:szCs w:val="36"/>
          <w:lang w:val="en-US" w:bidi="ar-SA"/>
          <w14:textFill>
            <w14:solidFill>
              <w14:schemeClr w14:val="tx1"/>
            </w14:solidFill>
          </w14:textFill>
        </w:rPr>
        <w:br w:type="page" w:clear="all"/>
      </w:r>
      <w:r/>
    </w:p>
    <w:sdt>
      <w:sdtPr>
        <w15:appearance w15:val="boundingBox"/>
        <w:id w:val="147453953"/>
        <w:docPartObj>
          <w:docPartGallery w:val="Table of Contents"/>
          <w:docPartUnique w:val="true"/>
        </w:docPartObj>
        <w:rPr>
          <w:rFonts w:hint="eastAsia"/>
          <w:color w:val="000000" w:themeColor="text1"/>
          <w:sz w:val="28"/>
          <w:szCs w:val="28"/>
          <w14:textFill>
            <w14:solidFill>
              <w14:schemeClr w14:val="tx1"/>
            </w14:solidFill>
          </w14:textFill>
        </w:rPr>
      </w:sdtPr>
      <w:sdtContent>
        <w:p>
          <w:pPr>
            <w:jc w:val="center"/>
            <w:rPr>
              <w:rFonts w:ascii="黑体" w:hAnsi="黑体" w:eastAsia="黑体" w:cs="黑体"/>
              <w:color w:val="000000" w:themeColor="text1"/>
              <w:sz w:val="44"/>
              <w:szCs w:val="44"/>
              <w14:textFill>
                <w14:solidFill>
                  <w14:schemeClr w14:val="tx1"/>
                </w14:solidFill>
              </w14:textFill>
            </w:rPr>
          </w:pPr>
          <w:r>
            <w:rPr>
              <w:rFonts w:hint="eastAsia" w:ascii="黑体" w:hAnsi="黑体" w:eastAsia="黑体" w:cs="黑体"/>
              <w:color w:val="000000" w:themeColor="text1"/>
              <w:sz w:val="44"/>
              <w:szCs w:val="44"/>
              <w14:textFill>
                <w14:solidFill>
                  <w14:schemeClr w14:val="tx1"/>
                </w14:solidFill>
              </w14:textFill>
            </w:rPr>
            <w:t xml:space="preserve">目录</w:t>
          </w:r>
          <w:r/>
        </w:p>
        <w:p>
          <w:pPr>
            <w:pStyle w:val="919"/>
            <w:spacing w:line="480" w:lineRule="auto"/>
            <w:tabs>
              <w:tab w:val="right" w:pos="9638" w:leader="dot"/>
            </w:tabs>
            <w:rPr>
              <w:color w:val="000000" w:themeColor="text1"/>
              <w:sz w:val="28"/>
              <w:szCs w:val="28"/>
              <w14:textFill>
                <w14:solidFill>
                  <w14:schemeClr w14:val="tx1"/>
                </w14:solidFill>
              </w14:textFill>
            </w:rPr>
          </w:pPr>
          <w:r>
            <w:rPr>
              <w:rFonts w:hint="eastAsia"/>
              <w:color w:val="000000" w:themeColor="text1"/>
              <w:sz w:val="28"/>
              <w:szCs w:val="28"/>
              <w:lang w:val="en-US"/>
              <w14:textFill>
                <w14:solidFill>
                  <w14:schemeClr w14:val="tx1"/>
                </w14:solidFill>
              </w14:textFill>
            </w:rPr>
            <w:fldChar w:fldCharType="begin"/>
          </w:r>
          <w:r>
            <w:rPr>
              <w:rFonts w:hint="eastAsia"/>
              <w:color w:val="000000" w:themeColor="text1"/>
              <w:sz w:val="28"/>
              <w:szCs w:val="28"/>
              <w:lang w:val="en-US"/>
              <w14:textFill>
                <w14:solidFill>
                  <w14:schemeClr w14:val="tx1"/>
                </w14:solidFill>
              </w14:textFill>
            </w:rPr>
            <w:instrText xml:space="preserve">TOC \o "1-1" \h \u </w:instrText>
          </w:r>
          <w:r>
            <w:rPr>
              <w:rFonts w:hint="eastAsia"/>
              <w:color w:val="000000" w:themeColor="text1"/>
              <w:sz w:val="28"/>
              <w:szCs w:val="28"/>
              <w:lang w:val="en-US"/>
              <w14:textFill>
                <w14:solidFill>
                  <w14:schemeClr w14:val="tx1"/>
                </w14:solidFill>
              </w14:textFill>
            </w:rPr>
            <w:fldChar w:fldCharType="separate"/>
          </w:r>
          <w:r>
            <w:fldChar w:fldCharType="begin"/>
          </w:r>
          <w:r>
            <w:instrText xml:space="preserve"> HYPERLINK \l "_Toc10358" </w:instrText>
          </w:r>
          <w:r>
            <w:fldChar w:fldCharType="separate"/>
          </w:r>
          <w:r>
            <w:rPr>
              <w:rFonts w:hint="eastAsia"/>
              <w:color w:val="000000" w:themeColor="text1"/>
              <w:sz w:val="28"/>
              <w:szCs w:val="28"/>
              <w14:textFill>
                <w14:solidFill>
                  <w14:schemeClr w14:val="tx1"/>
                </w14:solidFill>
              </w14:textFill>
            </w:rPr>
            <w:t xml:space="preserve">第一章</w:t>
          </w:r>
          <w:r>
            <w:rPr>
              <w:rFonts w:hint="eastAsia"/>
              <w:color w:val="000000" w:themeColor="text1"/>
              <w:sz w:val="28"/>
              <w:szCs w:val="28"/>
              <w:lang w:val="en-US"/>
              <w14:textFill>
                <w14:solidFill>
                  <w14:schemeClr w14:val="tx1"/>
                </w14:solidFill>
              </w14:textFill>
            </w:rPr>
            <w:t xml:space="preserve"> </w:t>
          </w:r>
          <w:r>
            <w:rPr>
              <w:rFonts w:hint="eastAsia"/>
              <w:color w:val="000000" w:themeColor="text1"/>
              <w:sz w:val="28"/>
              <w:szCs w:val="28"/>
              <w14:textFill>
                <w14:solidFill>
                  <w14:schemeClr w14:val="tx1"/>
                </w14:solidFill>
              </w14:textFill>
            </w:rPr>
            <w:t xml:space="preserve">招标公告</w:t>
          </w:r>
          <w:r>
            <w:rPr>
              <w:rFonts w:hint="eastAsia"/>
              <w:color w:val="000000" w:themeColor="text1"/>
              <w:sz w:val="28"/>
              <w:szCs w:val="28"/>
              <w14:textFill>
                <w14:solidFill>
                  <w14:schemeClr w14:val="tx1"/>
                </w14:solidFill>
              </w14:textFill>
            </w:rPr>
            <w:tab/>
          </w:r>
          <w:r>
            <w:rPr>
              <w:rFonts w:hint="eastAsia"/>
              <w:color w:val="000000" w:themeColor="text1"/>
              <w:sz w:val="28"/>
              <w:szCs w:val="28"/>
              <w14:textFill>
                <w14:solidFill>
                  <w14:schemeClr w14:val="tx1"/>
                </w14:solidFill>
              </w14:textFill>
            </w:rPr>
            <w:fldChar w:fldCharType="begin"/>
          </w:r>
          <w:r>
            <w:rPr>
              <w:rFonts w:hint="eastAsia"/>
              <w:color w:val="000000" w:themeColor="text1"/>
              <w:sz w:val="28"/>
              <w:szCs w:val="28"/>
              <w14:textFill>
                <w14:solidFill>
                  <w14:schemeClr w14:val="tx1"/>
                </w14:solidFill>
              </w14:textFill>
            </w:rPr>
            <w:instrText xml:space="preserve"> PAGEREF _Toc10358 \h </w:instrText>
          </w:r>
          <w:r>
            <w:rPr>
              <w:rFonts w:hint="eastAsia"/>
              <w:color w:val="000000" w:themeColor="text1"/>
              <w:sz w:val="28"/>
              <w:szCs w:val="28"/>
              <w14:textFill>
                <w14:solidFill>
                  <w14:schemeClr w14:val="tx1"/>
                </w14:solidFill>
              </w14:textFill>
            </w:rPr>
            <w:fldChar w:fldCharType="separate"/>
          </w:r>
          <w:r>
            <w:rPr>
              <w:color w:val="000000" w:themeColor="text1"/>
              <w:sz w:val="28"/>
              <w:szCs w:val="28"/>
              <w14:textFill>
                <w14:solidFill>
                  <w14:schemeClr w14:val="tx1"/>
                </w14:solidFill>
              </w14:textFill>
            </w:rPr>
            <w:t xml:space="preserve">3</w:t>
          </w:r>
          <w:r>
            <w:rPr>
              <w:rFonts w:hint="eastAsia"/>
              <w:color w:val="000000" w:themeColor="text1"/>
              <w:sz w:val="28"/>
              <w:szCs w:val="28"/>
              <w14:textFill>
                <w14:solidFill>
                  <w14:schemeClr w14:val="tx1"/>
                </w14:solidFill>
              </w14:textFill>
            </w:rPr>
            <w:fldChar w:fldCharType="end"/>
          </w:r>
          <w:r>
            <w:rPr>
              <w:rFonts w:hint="eastAsia"/>
              <w:color w:val="000000" w:themeColor="text1"/>
              <w:sz w:val="28"/>
              <w:szCs w:val="28"/>
              <w14:textFill>
                <w14:solidFill>
                  <w14:schemeClr w14:val="tx1"/>
                </w14:solidFill>
              </w14:textFill>
            </w:rPr>
            <w:fldChar w:fldCharType="end"/>
          </w:r>
          <w:r/>
        </w:p>
        <w:p>
          <w:pPr>
            <w:pStyle w:val="919"/>
            <w:spacing w:line="480" w:lineRule="auto"/>
            <w:tabs>
              <w:tab w:val="right" w:pos="9638" w:leader="dot"/>
            </w:tabs>
            <w:rPr>
              <w:color w:val="000000" w:themeColor="text1"/>
              <w:sz w:val="28"/>
              <w:szCs w:val="28"/>
              <w14:textFill>
                <w14:solidFill>
                  <w14:schemeClr w14:val="tx1"/>
                </w14:solidFill>
              </w14:textFill>
            </w:rPr>
          </w:pPr>
          <w:r>
            <w:fldChar w:fldCharType="begin"/>
          </w:r>
          <w:r>
            <w:instrText xml:space="preserve"> HYPERLINK \l "_Toc15993" </w:instrText>
          </w:r>
          <w:r>
            <w:fldChar w:fldCharType="separate"/>
          </w:r>
          <w:r>
            <w:rPr>
              <w:rFonts w:hint="eastAsia"/>
              <w:color w:val="000000" w:themeColor="text1"/>
              <w:sz w:val="28"/>
              <w:szCs w:val="28"/>
              <w14:textFill>
                <w14:solidFill>
                  <w14:schemeClr w14:val="tx1"/>
                </w14:solidFill>
              </w14:textFill>
            </w:rPr>
            <w:t xml:space="preserve">第二章</w:t>
          </w:r>
          <w:r>
            <w:rPr>
              <w:rFonts w:hint="eastAsia"/>
              <w:color w:val="000000" w:themeColor="text1"/>
              <w:sz w:val="28"/>
              <w:szCs w:val="28"/>
              <w:lang w:val="en-US"/>
              <w14:textFill>
                <w14:solidFill>
                  <w14:schemeClr w14:val="tx1"/>
                </w14:solidFill>
              </w14:textFill>
            </w:rPr>
            <w:t xml:space="preserve"> </w:t>
          </w:r>
          <w:r>
            <w:rPr>
              <w:rFonts w:hint="eastAsia"/>
              <w:color w:val="000000" w:themeColor="text1"/>
              <w:sz w:val="28"/>
              <w:szCs w:val="28"/>
              <w14:textFill>
                <w14:solidFill>
                  <w14:schemeClr w14:val="tx1"/>
                </w14:solidFill>
              </w14:textFill>
            </w:rPr>
            <w:t xml:space="preserve">供应商须知</w:t>
          </w:r>
          <w:r>
            <w:rPr>
              <w:rFonts w:hint="eastAsia"/>
              <w:color w:val="000000" w:themeColor="text1"/>
              <w:sz w:val="28"/>
              <w:szCs w:val="28"/>
              <w14:textFill>
                <w14:solidFill>
                  <w14:schemeClr w14:val="tx1"/>
                </w14:solidFill>
              </w14:textFill>
            </w:rPr>
            <w:tab/>
          </w:r>
          <w:r>
            <w:rPr>
              <w:color w:val="000000" w:themeColor="text1"/>
              <w:sz w:val="28"/>
              <w:szCs w:val="28"/>
              <w:lang w:val="en-US"/>
              <w14:textFill>
                <w14:solidFill>
                  <w14:schemeClr w14:val="tx1"/>
                </w14:solidFill>
              </w14:textFill>
            </w:rPr>
            <w:t xml:space="preserve">7</w:t>
          </w:r>
          <w:r>
            <w:rPr>
              <w:color w:val="000000" w:themeColor="text1"/>
              <w:sz w:val="28"/>
              <w:szCs w:val="28"/>
              <w:lang w:val="en-US"/>
              <w14:textFill>
                <w14:solidFill>
                  <w14:schemeClr w14:val="tx1"/>
                </w14:solidFill>
              </w14:textFill>
            </w:rPr>
            <w:fldChar w:fldCharType="end"/>
          </w:r>
          <w:r/>
        </w:p>
        <w:p>
          <w:pPr>
            <w:pStyle w:val="919"/>
            <w:spacing w:line="480" w:lineRule="auto"/>
            <w:tabs>
              <w:tab w:val="right" w:pos="9638" w:leader="dot"/>
            </w:tabs>
            <w:rPr>
              <w:color w:val="000000" w:themeColor="text1"/>
              <w:sz w:val="28"/>
              <w:szCs w:val="28"/>
              <w14:textFill>
                <w14:solidFill>
                  <w14:schemeClr w14:val="tx1"/>
                </w14:solidFill>
              </w14:textFill>
            </w:rPr>
          </w:pPr>
          <w:r>
            <w:fldChar w:fldCharType="begin"/>
          </w:r>
          <w:r>
            <w:instrText xml:space="preserve"> HYPERLINK \l "_Toc9832" </w:instrText>
          </w:r>
          <w:r>
            <w:fldChar w:fldCharType="separate"/>
          </w:r>
          <w:r>
            <w:rPr>
              <w:rFonts w:hint="eastAsia"/>
              <w:color w:val="000000" w:themeColor="text1"/>
              <w:sz w:val="28"/>
              <w:szCs w:val="28"/>
              <w14:textFill>
                <w14:solidFill>
                  <w14:schemeClr w14:val="tx1"/>
                </w14:solidFill>
              </w14:textFill>
            </w:rPr>
            <w:t xml:space="preserve">第三章 评标标准</w:t>
          </w:r>
          <w:r>
            <w:rPr>
              <w:rFonts w:hint="eastAsia"/>
              <w:color w:val="000000" w:themeColor="text1"/>
              <w:sz w:val="28"/>
              <w:szCs w:val="28"/>
              <w14:textFill>
                <w14:solidFill>
                  <w14:schemeClr w14:val="tx1"/>
                </w14:solidFill>
              </w14:textFill>
            </w:rPr>
            <w:tab/>
          </w:r>
          <w:r>
            <w:rPr>
              <w:color w:val="000000" w:themeColor="text1"/>
              <w:sz w:val="28"/>
              <w:szCs w:val="28"/>
              <w14:textFill>
                <w14:solidFill>
                  <w14:schemeClr w14:val="tx1"/>
                </w14:solidFill>
              </w14:textFill>
            </w:rPr>
            <w:t xml:space="preserve">17</w:t>
          </w:r>
          <w:r>
            <w:rPr>
              <w:color w:val="000000" w:themeColor="text1"/>
              <w:sz w:val="28"/>
              <w:szCs w:val="28"/>
              <w14:textFill>
                <w14:solidFill>
                  <w14:schemeClr w14:val="tx1"/>
                </w14:solidFill>
              </w14:textFill>
            </w:rPr>
            <w:fldChar w:fldCharType="end"/>
          </w:r>
          <w:r/>
        </w:p>
        <w:p>
          <w:pPr>
            <w:pStyle w:val="919"/>
            <w:spacing w:line="480" w:lineRule="auto"/>
            <w:tabs>
              <w:tab w:val="right" w:pos="9638" w:leader="dot"/>
            </w:tabs>
            <w:rPr>
              <w:color w:val="000000" w:themeColor="text1"/>
              <w:sz w:val="28"/>
              <w:szCs w:val="28"/>
              <w14:textFill>
                <w14:solidFill>
                  <w14:schemeClr w14:val="tx1"/>
                </w14:solidFill>
              </w14:textFill>
            </w:rPr>
          </w:pPr>
          <w:r>
            <w:fldChar w:fldCharType="begin"/>
          </w:r>
          <w:r>
            <w:instrText xml:space="preserve"> HYPERLINK \l "_Toc12644" </w:instrText>
          </w:r>
          <w:r>
            <w:fldChar w:fldCharType="separate"/>
          </w:r>
          <w:r>
            <w:rPr>
              <w:rFonts w:hint="eastAsia"/>
              <w:color w:val="000000" w:themeColor="text1"/>
              <w:sz w:val="28"/>
              <w:szCs w:val="28"/>
              <w14:textFill>
                <w14:solidFill>
                  <w14:schemeClr w14:val="tx1"/>
                </w14:solidFill>
              </w14:textFill>
            </w:rPr>
            <w:t xml:space="preserve">第四章 </w:t>
          </w:r>
          <w:r>
            <w:rPr>
              <w:rFonts w:hint="eastAsia"/>
              <w:color w:val="000000" w:themeColor="text1"/>
              <w:sz w:val="28"/>
              <w:szCs w:val="28"/>
              <w:lang w:val="en-US"/>
              <w14:textFill>
                <w14:solidFill>
                  <w14:schemeClr w14:val="tx1"/>
                </w14:solidFill>
              </w14:textFill>
            </w:rPr>
            <w:t xml:space="preserve">采购需求</w:t>
          </w:r>
          <w:r>
            <w:rPr>
              <w:rFonts w:hint="eastAsia"/>
              <w:color w:val="000000" w:themeColor="text1"/>
              <w:sz w:val="28"/>
              <w:szCs w:val="28"/>
              <w14:textFill>
                <w14:solidFill>
                  <w14:schemeClr w14:val="tx1"/>
                </w14:solidFill>
              </w14:textFill>
            </w:rPr>
            <w:tab/>
          </w:r>
          <w:r>
            <w:rPr>
              <w:color w:val="000000" w:themeColor="text1"/>
              <w:sz w:val="28"/>
              <w:szCs w:val="28"/>
              <w14:textFill>
                <w14:solidFill>
                  <w14:schemeClr w14:val="tx1"/>
                </w14:solidFill>
              </w14:textFill>
            </w:rPr>
            <w:t xml:space="preserve">21</w:t>
          </w:r>
          <w:r>
            <w:rPr>
              <w:color w:val="000000" w:themeColor="text1"/>
              <w:sz w:val="28"/>
              <w:szCs w:val="28"/>
              <w14:textFill>
                <w14:solidFill>
                  <w14:schemeClr w14:val="tx1"/>
                </w14:solidFill>
              </w14:textFill>
            </w:rPr>
            <w:fldChar w:fldCharType="end"/>
          </w:r>
          <w:r/>
        </w:p>
        <w:p>
          <w:pPr>
            <w:pStyle w:val="919"/>
            <w:spacing w:line="480" w:lineRule="auto"/>
            <w:tabs>
              <w:tab w:val="right" w:pos="2400" w:leader="none"/>
              <w:tab w:val="right" w:pos="9638" w:leader="dot"/>
            </w:tabs>
            <w:rPr>
              <w:color w:val="000000" w:themeColor="text1"/>
              <w:sz w:val="28"/>
              <w:szCs w:val="28"/>
              <w14:textFill>
                <w14:solidFill>
                  <w14:schemeClr w14:val="tx1"/>
                </w14:solidFill>
              </w14:textFill>
            </w:rPr>
          </w:pPr>
          <w:r>
            <w:fldChar w:fldCharType="begin"/>
          </w:r>
          <w:r>
            <w:instrText xml:space="preserve"> HYPERLINK \l "_Toc17931" </w:instrText>
          </w:r>
          <w:r>
            <w:fldChar w:fldCharType="separate"/>
          </w:r>
          <w:r>
            <w:rPr>
              <w:rFonts w:hint="eastAsia"/>
              <w:color w:val="000000" w:themeColor="text1"/>
              <w:sz w:val="28"/>
              <w:szCs w:val="28"/>
              <w14:textFill>
                <w14:solidFill>
                  <w14:schemeClr w14:val="tx1"/>
                </w14:solidFill>
              </w14:textFill>
            </w:rPr>
            <w:t xml:space="preserve">第五章</w:t>
          </w:r>
          <w:r>
            <w:rPr>
              <w:rFonts w:hint="eastAsia"/>
              <w:color w:val="000000" w:themeColor="text1"/>
              <w:sz w:val="28"/>
              <w:szCs w:val="28"/>
              <w14:textFill>
                <w14:solidFill>
                  <w14:schemeClr w14:val="tx1"/>
                </w14:solidFill>
              </w14:textFill>
            </w:rPr>
            <w:tab/>
          </w:r>
          <w:r>
            <w:rPr>
              <w:rFonts w:hint="eastAsia"/>
              <w:color w:val="000000" w:themeColor="text1"/>
              <w:sz w:val="28"/>
              <w:szCs w:val="28"/>
              <w:lang w:val="en-US"/>
              <w14:textFill>
                <w14:solidFill>
                  <w14:schemeClr w14:val="tx1"/>
                </w14:solidFill>
              </w14:textFill>
            </w:rPr>
            <w:t xml:space="preserve"> </w:t>
          </w:r>
          <w:r>
            <w:rPr>
              <w:rFonts w:hint="eastAsia"/>
              <w:color w:val="000000" w:themeColor="text1"/>
              <w:sz w:val="28"/>
              <w:szCs w:val="28"/>
              <w14:textFill>
                <w14:solidFill>
                  <w14:schemeClr w14:val="tx1"/>
                </w14:solidFill>
              </w14:textFill>
            </w:rPr>
            <w:t xml:space="preserve">合同主要条款及格式</w:t>
          </w:r>
          <w:r>
            <w:rPr>
              <w:rFonts w:hint="eastAsia"/>
              <w:color w:val="000000" w:themeColor="text1"/>
              <w:sz w:val="28"/>
              <w:szCs w:val="28"/>
              <w14:textFill>
                <w14:solidFill>
                  <w14:schemeClr w14:val="tx1"/>
                </w14:solidFill>
              </w14:textFill>
            </w:rPr>
            <w:tab/>
          </w:r>
          <w:r>
            <w:rPr>
              <w:color w:val="000000" w:themeColor="text1"/>
              <w:sz w:val="28"/>
              <w:szCs w:val="28"/>
              <w14:textFill>
                <w14:solidFill>
                  <w14:schemeClr w14:val="tx1"/>
                </w14:solidFill>
              </w14:textFill>
            </w:rPr>
            <w:t xml:space="preserve">30</w:t>
          </w:r>
          <w:r>
            <w:rPr>
              <w:color w:val="000000" w:themeColor="text1"/>
              <w:sz w:val="28"/>
              <w:szCs w:val="28"/>
              <w14:textFill>
                <w14:solidFill>
                  <w14:schemeClr w14:val="tx1"/>
                </w14:solidFill>
              </w14:textFill>
            </w:rPr>
            <w:fldChar w:fldCharType="end"/>
          </w:r>
          <w:r/>
        </w:p>
        <w:p>
          <w:pPr>
            <w:pStyle w:val="919"/>
            <w:spacing w:line="480" w:lineRule="auto"/>
            <w:tabs>
              <w:tab w:val="right" w:pos="9638" w:leader="dot"/>
            </w:tabs>
            <w:rPr>
              <w:color w:val="000000" w:themeColor="text1"/>
              <w:sz w:val="28"/>
              <w:szCs w:val="28"/>
              <w14:textFill>
                <w14:solidFill>
                  <w14:schemeClr w14:val="tx1"/>
                </w14:solidFill>
              </w14:textFill>
            </w:rPr>
          </w:pPr>
          <w:r>
            <w:fldChar w:fldCharType="begin"/>
          </w:r>
          <w:r>
            <w:instrText xml:space="preserve"> HYPERLINK \l "_Toc11634" </w:instrText>
          </w:r>
          <w:r>
            <w:fldChar w:fldCharType="separate"/>
          </w:r>
          <w:r>
            <w:rPr>
              <w:rFonts w:hint="eastAsia"/>
              <w:color w:val="000000" w:themeColor="text1"/>
              <w:sz w:val="28"/>
              <w:szCs w:val="28"/>
              <w14:textFill>
                <w14:solidFill>
                  <w14:schemeClr w14:val="tx1"/>
                </w14:solidFill>
              </w14:textFill>
            </w:rPr>
            <w:t xml:space="preserve">第六章</w:t>
          </w:r>
          <w:r>
            <w:rPr>
              <w:rFonts w:hint="eastAsia"/>
              <w:color w:val="000000" w:themeColor="text1"/>
              <w:sz w:val="28"/>
              <w:szCs w:val="28"/>
              <w:lang w:val="en-US"/>
              <w14:textFill>
                <w14:solidFill>
                  <w14:schemeClr w14:val="tx1"/>
                </w14:solidFill>
              </w14:textFill>
            </w:rPr>
            <w:t xml:space="preserve"> </w:t>
          </w:r>
          <w:r>
            <w:rPr>
              <w:rFonts w:hint="eastAsia"/>
              <w:color w:val="000000" w:themeColor="text1"/>
              <w:sz w:val="28"/>
              <w:szCs w:val="28"/>
              <w14:textFill>
                <w14:solidFill>
                  <w14:schemeClr w14:val="tx1"/>
                </w14:solidFill>
              </w14:textFill>
            </w:rPr>
            <w:t xml:space="preserve">投标文件格式及附件</w:t>
          </w:r>
          <w:r>
            <w:rPr>
              <w:rFonts w:hint="eastAsia"/>
              <w:color w:val="000000" w:themeColor="text1"/>
              <w:sz w:val="28"/>
              <w:szCs w:val="28"/>
              <w14:textFill>
                <w14:solidFill>
                  <w14:schemeClr w14:val="tx1"/>
                </w14:solidFill>
              </w14:textFill>
            </w:rPr>
            <w:tab/>
          </w:r>
          <w:r>
            <w:rPr>
              <w:color w:val="000000" w:themeColor="text1"/>
              <w:sz w:val="28"/>
              <w:szCs w:val="28"/>
              <w14:textFill>
                <w14:solidFill>
                  <w14:schemeClr w14:val="tx1"/>
                </w14:solidFill>
              </w14:textFill>
            </w:rPr>
            <w:t xml:space="preserve">77</w:t>
          </w:r>
          <w:r>
            <w:rPr>
              <w:color w:val="000000" w:themeColor="text1"/>
              <w:sz w:val="28"/>
              <w:szCs w:val="28"/>
              <w14:textFill>
                <w14:solidFill>
                  <w14:schemeClr w14:val="tx1"/>
                </w14:solidFill>
              </w14:textFill>
            </w:rPr>
            <w:fldChar w:fldCharType="end"/>
          </w:r>
          <w:r/>
        </w:p>
        <w:p>
          <w:pPr>
            <w:pStyle w:val="995"/>
            <w:ind w:left="0" w:firstLine="0"/>
            <w:spacing w:line="480" w:lineRule="auto"/>
            <w:rPr>
              <w:color w:val="000000" w:themeColor="text1"/>
              <w:lang w:val="en-US"/>
              <w14:textFill>
                <w14:solidFill>
                  <w14:schemeClr w14:val="tx1"/>
                </w14:solidFill>
              </w14:textFill>
            </w:rPr>
          </w:pPr>
          <w:r>
            <w:rPr>
              <w:rFonts w:hint="eastAsia"/>
              <w:color w:val="000000" w:themeColor="text1"/>
              <w:sz w:val="28"/>
              <w:szCs w:val="28"/>
              <w:lang w:val="en-US"/>
              <w14:textFill>
                <w14:solidFill>
                  <w14:schemeClr w14:val="tx1"/>
                </w14:solidFill>
              </w14:textFill>
            </w:rPr>
            <w:fldChar w:fldCharType="end"/>
          </w:r>
          <w:r/>
        </w:p>
      </w:sdtContent>
    </w:sdt>
    <w:p>
      <w:pPr>
        <w:rPr>
          <w:rFonts w:ascii="黑体" w:eastAsia="黑体"/>
          <w:b/>
          <w:color w:val="000000" w:themeColor="text1"/>
          <w:sz w:val="36"/>
          <w14:textFill>
            <w14:solidFill>
              <w14:schemeClr w14:val="tx1"/>
            </w14:solidFill>
          </w14:textFill>
        </w:rPr>
      </w:pPr>
      <w:r>
        <w:rPr>
          <w:rFonts w:hint="eastAsia" w:ascii="黑体" w:eastAsia="黑体"/>
          <w:b/>
          <w:color w:val="000000" w:themeColor="text1"/>
          <w:sz w:val="36"/>
          <w14:textFill>
            <w14:solidFill>
              <w14:schemeClr w14:val="tx1"/>
            </w14:solidFill>
          </w14:textFill>
        </w:rPr>
        <w:br w:type="page" w:clear="all"/>
      </w:r>
      <w:r/>
    </w:p>
    <w:p>
      <w:pPr>
        <w:jc w:val="center"/>
        <w:spacing w:line="360" w:lineRule="auto"/>
        <w:rPr>
          <w:rFonts w:ascii="黑体" w:eastAsia="黑体"/>
          <w:b/>
          <w:color w:val="000000" w:themeColor="text1"/>
          <w:sz w:val="36"/>
          <w14:textFill>
            <w14:solidFill>
              <w14:schemeClr w14:val="tx1"/>
            </w14:solidFill>
          </w14:textFill>
        </w:rPr>
        <w:outlineLvl w:val="0"/>
      </w:pPr>
      <w:r/>
      <w:bookmarkStart w:id="4" w:name="_Toc10358"/>
      <w:r>
        <w:rPr>
          <w:rFonts w:hint="eastAsia" w:ascii="黑体" w:eastAsia="黑体"/>
          <w:b/>
          <w:color w:val="000000" w:themeColor="text1"/>
          <w:sz w:val="36"/>
          <w14:textFill>
            <w14:solidFill>
              <w14:schemeClr w14:val="tx1"/>
            </w14:solidFill>
          </w14:textFill>
        </w:rPr>
        <w:t xml:space="preserve">第一章</w:t>
      </w:r>
      <w:bookmarkEnd w:id="4"/>
      <w:r>
        <w:rPr>
          <w:rFonts w:hint="eastAsia" w:ascii="黑体" w:eastAsia="黑体"/>
          <w:b/>
          <w:color w:val="000000" w:themeColor="text1"/>
          <w:sz w:val="36"/>
          <w:lang w:val="en-US"/>
          <w14:textFill>
            <w14:solidFill>
              <w14:schemeClr w14:val="tx1"/>
            </w14:solidFill>
          </w14:textFill>
        </w:rPr>
        <w:t xml:space="preserve"> </w:t>
      </w:r>
      <w:r>
        <w:rPr>
          <w:rFonts w:hint="eastAsia" w:ascii="黑体" w:eastAsia="黑体"/>
          <w:b/>
          <w:color w:val="000000" w:themeColor="text1"/>
          <w:sz w:val="36"/>
          <w14:textFill>
            <w14:solidFill>
              <w14:schemeClr w14:val="tx1"/>
            </w14:solidFill>
          </w14:textFill>
        </w:rPr>
        <w:t xml:space="preserve">投标邀请</w:t>
      </w:r>
      <w:r/>
    </w:p>
    <w:p>
      <w:pPr>
        <w:ind w:firstLine="482"/>
        <w:jc w:val="both"/>
        <w:spacing w:line="360" w:lineRule="auto"/>
        <w:rPr>
          <w:b/>
          <w:bCs/>
          <w:color w:val="000000" w:themeColor="text1"/>
          <w:sz w:val="24"/>
          <w:szCs w:val="24"/>
          <w:lang w:val="en-US" w:bidi="ar-SA"/>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b/>
          <w:bCs/>
          <w:color w:val="000000" w:themeColor="text1"/>
          <w:sz w:val="24"/>
          <w:szCs w:val="24"/>
          <w:lang w:val="en-US" w:bidi="ar-SA"/>
          <w14:textFill>
            <w14:solidFill>
              <w14:schemeClr w14:val="tx1"/>
            </w14:solidFill>
          </w14:textFill>
        </w:rPr>
        <w:t xml:space="preserve">项目概况</w:t>
      </w:r>
      <w:r/>
    </w:p>
    <w:p>
      <w:pPr>
        <w:ind w:firstLine="480"/>
        <w:spacing w:line="360" w:lineRule="auto"/>
        <w:rPr>
          <w:color w:val="000000" w:themeColor="text1"/>
          <w:sz w:val="24"/>
          <w:szCs w:val="24"/>
          <w:lang w:val="en-US" w:bidi="ar-SA"/>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color w:val="000000" w:themeColor="text1"/>
          <w:sz w:val="24"/>
          <w:szCs w:val="24"/>
          <w:u w:val="single"/>
          <w:lang w:val="en-US" w:bidi="ar-SA"/>
          <w14:textFill>
            <w14:solidFill>
              <w14:schemeClr w14:val="tx1"/>
            </w14:solidFill>
          </w14:textFill>
        </w:rPr>
        <w:t xml:space="preserve">南京中医药大学青春剧场整体改造项目</w:t>
      </w:r>
      <w:r>
        <w:rPr>
          <w:rFonts w:hint="eastAsia"/>
          <w:color w:val="000000" w:themeColor="text1"/>
          <w:sz w:val="24"/>
          <w:szCs w:val="24"/>
          <w:lang w:val="en-US" w:bidi="ar-SA"/>
          <w14:textFill>
            <w14:solidFill>
              <w14:schemeClr w14:val="tx1"/>
            </w14:solidFill>
          </w14:textFill>
        </w:rPr>
        <w:t xml:space="preserve">的潜在供应商应在江苏省政府采购网“苏采云”获取招标文件，并</w:t>
      </w:r>
      <w:r>
        <w:rPr>
          <w:rFonts w:hint="eastAsia"/>
          <w:sz w:val="24"/>
          <w:szCs w:val="24"/>
          <w:lang w:val="en-US" w:bidi="ar-SA"/>
        </w:rPr>
        <w:t xml:space="preserve">于</w:t>
      </w:r>
      <w:r>
        <w:rPr>
          <w:rFonts w:hint="eastAsia"/>
          <w:sz w:val="24"/>
          <w:szCs w:val="24"/>
          <w:u w:val="single"/>
          <w:lang w:val="en-US" w:bidi="ar-SA"/>
        </w:rPr>
        <w:t xml:space="preserve">2026年</w:t>
      </w:r>
      <w:r>
        <w:rPr>
          <w:rFonts w:hint="eastAsia"/>
          <w:sz w:val="24"/>
          <w:szCs w:val="24"/>
          <w:u w:val="single"/>
          <w:lang w:val="en-US" w:eastAsia="zh-CN" w:bidi="ar-SA"/>
        </w:rPr>
        <w:t xml:space="preserve">8</w:t>
      </w:r>
      <w:r>
        <w:rPr>
          <w:rFonts w:hint="eastAsia"/>
          <w:sz w:val="24"/>
          <w:szCs w:val="24"/>
          <w:u w:val="single"/>
          <w:lang w:val="en-US" w:bidi="ar-SA"/>
        </w:rPr>
        <w:t xml:space="preserve">月</w:t>
      </w:r>
      <w:r>
        <w:rPr>
          <w:rFonts w:hint="eastAsia"/>
          <w:sz w:val="24"/>
          <w:szCs w:val="24"/>
          <w:u w:val="single"/>
          <w:lang w:val="en-US" w:eastAsia="zh-CN" w:bidi="ar-SA"/>
        </w:rPr>
        <w:t xml:space="preserve">7</w:t>
      </w:r>
      <w:r>
        <w:rPr>
          <w:rFonts w:hint="eastAsia"/>
          <w:sz w:val="24"/>
          <w:szCs w:val="24"/>
          <w:u w:val="single"/>
          <w:lang w:val="en-US" w:bidi="ar-SA"/>
        </w:rPr>
        <w:t xml:space="preserve">日</w:t>
      </w:r>
      <w:r>
        <w:rPr>
          <w:rFonts w:hint="eastAsia"/>
          <w:sz w:val="24"/>
          <w:szCs w:val="24"/>
          <w:u w:val="single"/>
          <w:lang w:val="en-US" w:eastAsia="zh-CN" w:bidi="ar-SA"/>
        </w:rPr>
        <w:t xml:space="preserve">9</w:t>
      </w:r>
      <w:r>
        <w:rPr>
          <w:rFonts w:hint="eastAsia"/>
          <w:sz w:val="24"/>
          <w:szCs w:val="24"/>
          <w:u w:val="single"/>
          <w:lang w:val="en-US" w:bidi="ar-SA"/>
        </w:rPr>
        <w:t xml:space="preserve">点</w:t>
      </w:r>
      <w:r>
        <w:rPr>
          <w:rFonts w:hint="eastAsia"/>
          <w:sz w:val="24"/>
          <w:szCs w:val="24"/>
          <w:u w:val="single"/>
          <w:lang w:val="en-US" w:eastAsia="zh-CN" w:bidi="ar-SA"/>
        </w:rPr>
        <w:t xml:space="preserve">30</w:t>
      </w:r>
      <w:r>
        <w:rPr>
          <w:rFonts w:hint="eastAsia"/>
          <w:sz w:val="24"/>
          <w:szCs w:val="24"/>
          <w:u w:val="single"/>
          <w:lang w:val="en-US" w:bidi="ar-SA"/>
        </w:rPr>
        <w:t xml:space="preserve">分</w:t>
      </w:r>
      <w:r>
        <w:rPr>
          <w:rFonts w:hint="eastAsia"/>
          <w:bCs/>
          <w:sz w:val="24"/>
          <w:szCs w:val="24"/>
          <w:lang w:val="en-US" w:bidi="ar-SA"/>
        </w:rPr>
        <w:t xml:space="preserve">（北京时间）前递交投</w:t>
      </w:r>
      <w:r>
        <w:rPr>
          <w:rFonts w:hint="eastAsia"/>
          <w:bCs/>
          <w:color w:val="000000" w:themeColor="text1"/>
          <w:sz w:val="24"/>
          <w:szCs w:val="24"/>
          <w:lang w:val="en-US" w:bidi="ar-SA"/>
          <w14:textFill>
            <w14:solidFill>
              <w14:schemeClr w14:val="tx1"/>
            </w14:solidFill>
          </w14:textFill>
        </w:rPr>
        <w:t xml:space="preserve">标文件</w:t>
      </w:r>
      <w:r>
        <w:rPr>
          <w:rFonts w:hint="eastAsia"/>
          <w:color w:val="000000" w:themeColor="text1"/>
          <w:sz w:val="24"/>
          <w:szCs w:val="24"/>
          <w:lang w:val="en-US" w:bidi="ar-SA"/>
          <w14:textFill>
            <w14:solidFill>
              <w14:schemeClr w14:val="tx1"/>
            </w14:solidFill>
          </w14:textFill>
        </w:rPr>
        <w:t xml:space="preserve">。</w:t>
      </w:r>
      <w:r/>
    </w:p>
    <w:p>
      <w:pPr>
        <w:ind w:firstLine="482"/>
        <w:spacing w:line="360" w:lineRule="auto"/>
        <w:rPr>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一、项目基本情况</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项目编号：</w:t>
      </w:r>
      <w:r>
        <w:rPr>
          <w:color w:val="000000" w:themeColor="text1"/>
          <w:sz w:val="24"/>
          <w:szCs w:val="24"/>
          <w14:textFill>
            <w14:solidFill>
              <w14:schemeClr w14:val="tx1"/>
            </w14:solidFill>
          </w14:textFill>
        </w:rPr>
        <w:t xml:space="preserve">JSZC-320000-SNZX-G2026-0102</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项目名称：南京中医药大学青春剧场整体改造项目</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采购方式：公开招标</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预算金额：</w:t>
      </w:r>
      <w:r>
        <w:rPr>
          <w:rFonts w:hint="eastAsia"/>
          <w:color w:val="000000" w:themeColor="text1"/>
          <w:sz w:val="24"/>
          <w:szCs w:val="24"/>
          <w:lang w:val="en-US"/>
          <w14:textFill>
            <w14:solidFill>
              <w14:schemeClr w14:val="tx1"/>
            </w14:solidFill>
          </w14:textFill>
        </w:rPr>
        <w:t xml:space="preserve">238万元</w:t>
      </w:r>
      <w:r/>
    </w:p>
    <w:p>
      <w:pPr>
        <w:ind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14:textFill>
            <w14:solidFill>
              <w14:schemeClr w14:val="tx1"/>
            </w14:solidFill>
          </w14:textFill>
        </w:rPr>
        <w:t xml:space="preserve">最高限价：</w:t>
      </w:r>
      <w:r>
        <w:rPr>
          <w:color w:val="000000" w:themeColor="text1"/>
          <w:sz w:val="24"/>
          <w:szCs w:val="24"/>
          <w:lang w:val="en-US"/>
          <w14:textFill>
            <w14:solidFill>
              <w14:schemeClr w14:val="tx1"/>
            </w14:solidFill>
          </w14:textFill>
        </w:rPr>
        <w:t xml:space="preserve">213.812721</w:t>
      </w:r>
      <w:r>
        <w:rPr>
          <w:rFonts w:hint="eastAsia"/>
          <w:color w:val="000000" w:themeColor="text1"/>
          <w:sz w:val="24"/>
          <w:szCs w:val="24"/>
          <w:lang w:val="en-US"/>
          <w14:textFill>
            <w14:solidFill>
              <w14:schemeClr w14:val="tx1"/>
            </w14:solidFill>
          </w14:textFill>
        </w:rPr>
        <w:t xml:space="preserve">万元</w:t>
      </w:r>
      <w:r>
        <w:rPr>
          <w:rFonts w:hint="eastAsia"/>
          <w:color w:val="000000" w:themeColor="text1"/>
          <w:sz w:val="24"/>
          <w:szCs w:val="24"/>
          <w14:textFill>
            <w14:solidFill>
              <w14:schemeClr w14:val="tx1"/>
            </w14:solidFill>
          </w14:textFill>
        </w:rPr>
        <w:t xml:space="preserve">，投标总价</w:t>
      </w:r>
      <w:r>
        <w:rPr>
          <w:rFonts w:hint="eastAsia"/>
          <w:color w:val="000000" w:themeColor="text1"/>
          <w:sz w:val="24"/>
          <w:szCs w:val="24"/>
          <w:lang w:val="en-US"/>
          <w14:textFill>
            <w14:solidFill>
              <w14:schemeClr w14:val="tx1"/>
            </w14:solidFill>
          </w14:textFill>
        </w:rPr>
        <w:t xml:space="preserve">超过最高限价的为无效投标。</w:t>
      </w:r>
      <w:r/>
    </w:p>
    <w:p>
      <w:pPr>
        <w:contextualSpacing/>
        <w:ind w:firstLine="482"/>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采购需求：</w:t>
      </w:r>
      <w:bookmarkStart w:id="5" w:name="OLE_LINK13"/>
      <w:r/>
      <w:bookmarkStart w:id="6" w:name="OLE_LINK14"/>
      <w:r>
        <w:rPr>
          <w:color w:val="000000" w:themeColor="text1"/>
          <w:sz w:val="24"/>
          <w:szCs w:val="24"/>
          <w14:textFill>
            <w14:solidFill>
              <w14:schemeClr w14:val="tx1"/>
            </w14:solidFill>
          </w14:textFill>
        </w:rPr>
        <w:t xml:space="preserve">1.青春剧场重新整体装修，打造整洁、现代、安全的文化活动空间，成为校园文化地标，既展现学校办学品质，也增强师生归属感与校园凝聚力，装修后剧场满足具备会议功能和剧场演出功能</w:t>
      </w:r>
      <w:r>
        <w:rPr>
          <w:rFonts w:hint="eastAsia"/>
          <w:color w:val="000000" w:themeColor="text1"/>
          <w:sz w:val="24"/>
          <w:szCs w:val="24"/>
          <w14:textFill>
            <w14:solidFill>
              <w14:schemeClr w14:val="tx1"/>
            </w14:solidFill>
          </w14:textFill>
        </w:rPr>
        <w:t xml:space="preserve">；</w:t>
      </w:r>
      <w:r>
        <w:rPr>
          <w:color w:val="000000" w:themeColor="text1"/>
          <w:sz w:val="24"/>
          <w:szCs w:val="24"/>
          <w14:textFill>
            <w14:solidFill>
              <w14:schemeClr w14:val="tx1"/>
            </w14:solidFill>
          </w14:textFill>
        </w:rPr>
        <w:t xml:space="preserve">2.将剧场内会议灯光系统、会议系统、LED显示屏、舞台幕布进行更换，音响系统利旧（线路更换），舞台机械设备出新，集成为统一控制系统。改造后青春剧场具备集舞台演出、文艺比赛、大型活动为主，兼顾学术报告、会议培训的多功能报告厅；3. 根据装修效果，将剧场内座椅进行更换；对原空调系统进行利旧改造，以满足基本使用要求；将剧场内喷淋系统、烟感进行整体拆除并重新改造，楼面机械排烟风机进行更换，以满足消防安全要求。</w:t>
      </w:r>
      <w:r>
        <w:rPr>
          <w:rFonts w:hint="eastAsia"/>
          <w:color w:val="000000" w:themeColor="text1"/>
          <w:sz w:val="24"/>
          <w:szCs w:val="24"/>
          <w14:textFill>
            <w14:solidFill>
              <w14:schemeClr w14:val="tx1"/>
            </w14:solidFill>
          </w14:textFill>
        </w:rPr>
        <w:t xml:space="preserve">具体内容详见施工图纸及工程量清单。</w:t>
      </w:r>
      <w:bookmarkEnd w:id="5"/>
      <w:r/>
      <w:bookmarkEnd w:id="6"/>
      <w:r/>
      <w:r/>
    </w:p>
    <w:p>
      <w:pPr>
        <w:pStyle w:val="902"/>
        <w:contextualSpacing/>
        <w:ind w:firstLine="482"/>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合同履行期限（工期）</w:t>
      </w:r>
      <w:r>
        <w:rPr>
          <w:rFonts w:hint="eastAsia"/>
          <w:color w:val="000000" w:themeColor="text1"/>
          <w:sz w:val="24"/>
          <w:szCs w:val="24"/>
          <w14:textFill>
            <w14:solidFill>
              <w14:schemeClr w14:val="tx1"/>
            </w14:solidFill>
          </w14:textFill>
        </w:rPr>
        <w:t xml:space="preserve">：</w:t>
      </w:r>
      <w:r>
        <w:rPr>
          <w:rFonts w:hint="eastAsia"/>
          <w:color w:val="000000" w:themeColor="text1"/>
          <w:sz w:val="24"/>
          <w:szCs w:val="24"/>
          <w:lang w:val="en-US"/>
          <w14:textFill>
            <w14:solidFill>
              <w14:schemeClr w14:val="tx1"/>
            </w14:solidFill>
          </w14:textFill>
        </w:rPr>
        <w:t xml:space="preserve">50日历天</w:t>
      </w:r>
      <w:r>
        <w:rPr>
          <w:rFonts w:hint="eastAsia"/>
          <w:color w:val="000000" w:themeColor="text1"/>
          <w:sz w:val="24"/>
          <w:szCs w:val="24"/>
          <w14:textFill>
            <w14:solidFill>
              <w14:schemeClr w14:val="tx1"/>
            </w14:solidFill>
          </w14:textFill>
        </w:rPr>
        <w:t xml:space="preserve">，即本工程自发包人下达的书面开工令载明的开工之日起50日历天竣工。</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本项目</w:t>
      </w:r>
      <w:r>
        <w:rPr>
          <w:rFonts w:hint="eastAsia"/>
          <w:b/>
          <w:bCs/>
          <w:color w:val="000000" w:themeColor="text1"/>
          <w:sz w:val="24"/>
          <w:szCs w:val="24"/>
          <w14:textFill>
            <w14:solidFill>
              <w14:schemeClr w14:val="tx1"/>
            </w14:solidFill>
          </w14:textFill>
        </w:rPr>
        <w:t xml:space="preserve">不接受</w:t>
      </w:r>
      <w:r>
        <w:rPr>
          <w:rFonts w:hint="eastAsia"/>
          <w:color w:val="000000" w:themeColor="text1"/>
          <w:sz w:val="24"/>
          <w:szCs w:val="24"/>
          <w14:textFill>
            <w14:solidFill>
              <w14:schemeClr w14:val="tx1"/>
            </w14:solidFill>
          </w14:textFill>
        </w:rPr>
        <w:t xml:space="preserve">联合体投标。</w:t>
      </w:r>
      <w:r/>
    </w:p>
    <w:p>
      <w:pPr>
        <w:contextualSpacing/>
        <w:ind w:firstLine="482"/>
        <w:spacing w:line="360" w:lineRule="auto"/>
        <w:rPr>
          <w:b/>
          <w:bCs/>
          <w:color w:val="000000" w:themeColor="text1"/>
          <w:sz w:val="24"/>
          <w:szCs w:val="24"/>
          <w14:textFill>
            <w14:solidFill>
              <w14:schemeClr w14:val="tx1"/>
            </w14:solidFill>
          </w14:textFill>
        </w:rPr>
      </w:pPr>
      <w:r/>
      <w:bookmarkStart w:id="7" w:name="二、申请人的资格要求："/>
      <w:r/>
      <w:bookmarkEnd w:id="7"/>
      <w:r>
        <w:rPr>
          <w:rFonts w:hint="eastAsia"/>
          <w:b/>
          <w:bCs/>
          <w:color w:val="000000" w:themeColor="text1"/>
          <w:sz w:val="24"/>
          <w:szCs w:val="24"/>
          <w14:textFill>
            <w14:solidFill>
              <w14:schemeClr w14:val="tx1"/>
            </w14:solidFill>
          </w14:textFill>
        </w:rPr>
        <w:t xml:space="preserve">二、申请人的资格要求：</w:t>
      </w:r>
      <w:r/>
    </w:p>
    <w:p>
      <w:pPr>
        <w:pStyle w:val="995"/>
        <w:contextualSpacing/>
        <w:ind w:left="0" w:firstLine="480"/>
        <w:spacing w:line="360" w:lineRule="auto"/>
        <w:tabs>
          <w:tab w:val="left" w:pos="1061" w:leader="none"/>
        </w:tabs>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（一）满足《中华人民共和国政府采购法》第二十二条规定：</w:t>
      </w:r>
      <w:r/>
    </w:p>
    <w:p>
      <w:pPr>
        <w:pStyle w:val="995"/>
        <w:contextualSpacing/>
        <w:ind w:firstLine="480"/>
        <w:spacing w:line="360" w:lineRule="auto"/>
        <w:tabs>
          <w:tab w:val="left" w:pos="1061" w:leader="none"/>
        </w:tabs>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w:t>
      </w:r>
      <w:r>
        <w:rPr>
          <w:rFonts w:hint="eastAsia"/>
          <w:color w:val="000000" w:themeColor="text1"/>
          <w:sz w:val="24"/>
          <w:szCs w:val="24"/>
          <w14:textFill>
            <w14:solidFill>
              <w14:schemeClr w14:val="tx1"/>
            </w14:solidFill>
          </w14:textFill>
        </w:rPr>
        <w:t xml:space="preserve">具有独立承担民事责任的能力（提供法人或者其他组织的营业执照，自然人的身份证明）</w:t>
      </w:r>
      <w:r>
        <w:rPr>
          <w:color w:val="000000" w:themeColor="text1"/>
          <w:sz w:val="24"/>
          <w:szCs w:val="24"/>
          <w14:textFill>
            <w14:solidFill>
              <w14:schemeClr w14:val="tx1"/>
            </w14:solidFill>
          </w14:textFill>
        </w:rPr>
        <w:t xml:space="preserve">；</w:t>
      </w:r>
      <w:r/>
    </w:p>
    <w:p>
      <w:pPr>
        <w:pStyle w:val="995"/>
        <w:contextualSpacing/>
        <w:ind w:firstLine="480"/>
        <w:spacing w:line="360" w:lineRule="auto"/>
        <w:tabs>
          <w:tab w:val="left" w:pos="1061" w:leader="none"/>
        </w:tabs>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w:t>
      </w:r>
      <w:r>
        <w:rPr>
          <w:rFonts w:hint="eastAsia"/>
          <w:color w:val="000000" w:themeColor="text1"/>
          <w:sz w:val="24"/>
          <w:szCs w:val="24"/>
          <w14:textFill>
            <w14:solidFill>
              <w14:schemeClr w14:val="tx1"/>
            </w14:solidFill>
          </w14:textFill>
        </w:rPr>
        <w:t xml:space="preserve">具有良好的商业信誉和健全的财务会计制度（提供距开标时间六个月内任意一月份的财务状况报告（至少包括资产负债表和利润表）（法人或者其他组织成立未满三个月的可以不提供），或其银行出具的资信证书复印件（开标前六个月内），或</w:t>
      </w:r>
      <w:r>
        <w:rPr>
          <w:color w:val="000000" w:themeColor="text1"/>
          <w:sz w:val="24"/>
          <w:szCs w:val="24"/>
          <w14:textFill>
            <w14:solidFill>
              <w14:schemeClr w14:val="tx1"/>
            </w14:solidFill>
          </w14:textFill>
        </w:rPr>
        <w:t xml:space="preserve">2024年度</w:t>
      </w:r>
      <w:r>
        <w:rPr>
          <w:rFonts w:hint="eastAsia"/>
          <w:color w:val="000000" w:themeColor="text1"/>
          <w:sz w:val="24"/>
          <w:szCs w:val="24"/>
          <w14:textFill>
            <w14:solidFill>
              <w14:schemeClr w14:val="tx1"/>
            </w14:solidFill>
          </w14:textFill>
        </w:rPr>
        <w:t xml:space="preserve">或者2</w:t>
      </w:r>
      <w:r>
        <w:rPr>
          <w:color w:val="000000" w:themeColor="text1"/>
          <w:sz w:val="24"/>
          <w:szCs w:val="24"/>
          <w14:textFill>
            <w14:solidFill>
              <w14:schemeClr w14:val="tx1"/>
            </w14:solidFill>
          </w14:textFill>
        </w:rPr>
        <w:t xml:space="preserve">025</w:t>
      </w:r>
      <w:r>
        <w:rPr>
          <w:rFonts w:hint="eastAsia"/>
          <w:color w:val="000000" w:themeColor="text1"/>
          <w:sz w:val="24"/>
          <w:szCs w:val="24"/>
          <w14:textFill>
            <w14:solidFill>
              <w14:schemeClr w14:val="tx1"/>
            </w14:solidFill>
          </w14:textFill>
        </w:rPr>
        <w:t xml:space="preserve">年度</w:t>
      </w:r>
      <w:r>
        <w:rPr>
          <w:color w:val="000000" w:themeColor="text1"/>
          <w:sz w:val="24"/>
          <w:szCs w:val="24"/>
          <w14:textFill>
            <w14:solidFill>
              <w14:schemeClr w14:val="tx1"/>
            </w14:solidFill>
          </w14:textFill>
        </w:rPr>
        <w:t xml:space="preserve">经审计的财务报告复印件，否则视为未提供）；</w:t>
      </w:r>
      <w:r/>
    </w:p>
    <w:p>
      <w:pPr>
        <w:pStyle w:val="995"/>
        <w:contextualSpacing/>
        <w:ind w:firstLine="480"/>
        <w:spacing w:line="360" w:lineRule="auto"/>
        <w:tabs>
          <w:tab w:val="left" w:pos="1061" w:leader="none"/>
        </w:tabs>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3、具有履行合同所必需的设备和专业技术能力（提供履行合同所必需的设备和专业技术能力的声明及证明材料复印件加盖公章）；</w:t>
      </w:r>
      <w:r/>
    </w:p>
    <w:p>
      <w:pPr>
        <w:pStyle w:val="995"/>
        <w:contextualSpacing/>
        <w:ind w:firstLine="480"/>
        <w:spacing w:line="360" w:lineRule="auto"/>
        <w:tabs>
          <w:tab w:val="left" w:pos="1061" w:leader="none"/>
        </w:tabs>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4、有依法缴纳税收和社会保障资金的良好记录（提供参加本次采购活动前一年内至少一个月依法缴纳</w:t>
      </w:r>
      <w:r>
        <w:rPr>
          <w:rFonts w:hint="eastAsia"/>
          <w:color w:val="000000" w:themeColor="text1"/>
          <w:sz w:val="24"/>
          <w:szCs w:val="24"/>
          <w:lang w:val="en-US"/>
          <w14:textFill>
            <w14:solidFill>
              <w14:schemeClr w14:val="tx1"/>
            </w14:solidFill>
          </w14:textFill>
        </w:rPr>
        <w:t xml:space="preserve">增值税或企业所得税的凭据，及</w:t>
      </w:r>
      <w:r>
        <w:rPr>
          <w:color w:val="000000" w:themeColor="text1"/>
          <w:sz w:val="24"/>
          <w:szCs w:val="24"/>
          <w14:textFill>
            <w14:solidFill>
              <w14:schemeClr w14:val="tx1"/>
            </w14:solidFill>
          </w14:textFill>
        </w:rPr>
        <w:t xml:space="preserve">社会保障资金的相关材料复印件加盖公章）；</w:t>
      </w:r>
      <w:r/>
    </w:p>
    <w:p>
      <w:pPr>
        <w:pStyle w:val="995"/>
        <w:contextualSpacing/>
        <w:ind w:firstLine="480"/>
        <w:spacing w:line="360" w:lineRule="auto"/>
        <w:tabs>
          <w:tab w:val="left" w:pos="1061" w:leader="none"/>
        </w:tabs>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5、参加本项目前三年内，在经营活动中没有重大违法记录（</w:t>
      </w:r>
      <w:r>
        <w:rPr>
          <w:rFonts w:hint="eastAsia"/>
          <w:color w:val="000000" w:themeColor="text1"/>
          <w:sz w:val="24"/>
          <w:szCs w:val="24"/>
          <w14:textFill>
            <w14:solidFill>
              <w14:schemeClr w14:val="tx1"/>
            </w14:solidFill>
          </w14:textFill>
        </w:rPr>
        <w:t xml:space="preserve">提供参加本次采购活动前三年内在经营活动中没有重大违法记录的声明</w:t>
      </w:r>
      <w:r>
        <w:rPr>
          <w:color w:val="000000" w:themeColor="text1"/>
          <w:sz w:val="24"/>
          <w:szCs w:val="24"/>
          <w14:textFill>
            <w14:solidFill>
              <w14:schemeClr w14:val="tx1"/>
            </w14:solidFill>
          </w14:textFill>
        </w:rPr>
        <w:t xml:space="preserve">）；</w:t>
      </w:r>
      <w:r/>
    </w:p>
    <w:p>
      <w:pPr>
        <w:pStyle w:val="995"/>
        <w:contextualSpacing/>
        <w:ind w:firstLine="480"/>
        <w:spacing w:line="360" w:lineRule="auto"/>
        <w:tabs>
          <w:tab w:val="left" w:pos="1061" w:leader="none"/>
        </w:tabs>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6、法律、行政法规规定的其他条件。</w:t>
      </w:r>
      <w:r/>
    </w:p>
    <w:p>
      <w:pPr>
        <w:contextualSpacing/>
        <w:ind w:firstLine="660"/>
        <w:spacing w:line="360" w:lineRule="auto"/>
        <w:tabs>
          <w:tab w:val="left" w:pos="1061" w:leader="none"/>
        </w:tabs>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（二）落实政府采购政策需满足的资格要求：</w:t>
      </w:r>
      <w:r/>
    </w:p>
    <w:p>
      <w:pPr>
        <w:contextualSpacing/>
        <w:ind w:firstLine="660"/>
        <w:spacing w:line="360" w:lineRule="auto"/>
        <w:tabs>
          <w:tab w:val="left" w:pos="1061" w:leader="none"/>
        </w:tabs>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本项目不属于专门面向中小企业采购项目，执行价格扣除优惠政策，具体详见第三章。</w:t>
      </w:r>
      <w:r/>
    </w:p>
    <w:p>
      <w:pPr>
        <w:numPr>
          <w:ilvl w:val="0"/>
          <w:numId w:val="6"/>
        </w:numPr>
        <w:contextualSpacing/>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本项目的特定资格要求：</w:t>
      </w:r>
      <w:bookmarkStart w:id="8" w:name="三、获取招标文件"/>
      <w:r/>
      <w:bookmarkEnd w:id="8"/>
      <w:r/>
      <w:r/>
    </w:p>
    <w:p>
      <w:pPr>
        <w:contextualSpacing/>
        <w:ind w:firstLine="720"/>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w:t>
      </w:r>
      <w:r>
        <w:rPr>
          <w:rFonts w:asciiTheme="minorEastAsia" w:hAnsiTheme="minorEastAsia" w:eastAsiaTheme="minorEastAsia"/>
          <w:color w:val="000000" w:themeColor="text1"/>
          <w:sz w:val="24"/>
          <w:szCs w:val="24"/>
          <w14:textFill>
            <w14:solidFill>
              <w14:schemeClr w14:val="tx1"/>
            </w14:solidFill>
          </w14:textFill>
        </w:rPr>
        <w:t xml:space="preserve">1）供应商具有</w:t>
      </w:r>
      <w:r>
        <w:rPr>
          <w:rFonts w:hint="eastAsia" w:asciiTheme="minorEastAsia" w:hAnsiTheme="minorEastAsia" w:eastAsiaTheme="minorEastAsia"/>
          <w:color w:val="000000" w:themeColor="text1"/>
          <w:sz w:val="24"/>
          <w:szCs w:val="24"/>
          <w14:textFill>
            <w14:solidFill>
              <w14:schemeClr w14:val="tx1"/>
            </w14:solidFill>
          </w14:textFill>
        </w:rPr>
        <w:t xml:space="preserve">施工总承包建筑工程三级(含)以上资质</w:t>
      </w:r>
      <w:r>
        <w:rPr>
          <w:rFonts w:asciiTheme="minorEastAsia" w:hAnsiTheme="minorEastAsia" w:eastAsiaTheme="minorEastAsia"/>
          <w:color w:val="000000" w:themeColor="text1"/>
          <w:sz w:val="24"/>
          <w:szCs w:val="24"/>
          <w14:textFill>
            <w14:solidFill>
              <w14:schemeClr w14:val="tx1"/>
            </w14:solidFill>
          </w14:textFill>
        </w:rPr>
        <w:t xml:space="preserve">，同时具备有效期内的安全生产许可证（提供证书复印件加盖公章）；</w:t>
      </w:r>
      <w:r/>
    </w:p>
    <w:p>
      <w:pPr>
        <w:contextualSpacing/>
        <w:ind w:firstLine="720"/>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w:t>
      </w:r>
      <w:r>
        <w:rPr>
          <w:rFonts w:asciiTheme="minorEastAsia" w:hAnsiTheme="minorEastAsia" w:eastAsiaTheme="minorEastAsia"/>
          <w:color w:val="000000" w:themeColor="text1"/>
          <w:sz w:val="24"/>
          <w:szCs w:val="24"/>
          <w14:textFill>
            <w14:solidFill>
              <w14:schemeClr w14:val="tx1"/>
            </w14:solidFill>
          </w14:textFill>
        </w:rPr>
        <w:t xml:space="preserve">2</w:t>
      </w:r>
      <w:r>
        <w:rPr>
          <w:rFonts w:hint="eastAsia" w:asciiTheme="minorEastAsia" w:hAnsiTheme="minorEastAsia" w:eastAsiaTheme="minorEastAsia"/>
          <w:color w:val="000000" w:themeColor="text1"/>
          <w:sz w:val="24"/>
          <w:szCs w:val="24"/>
          <w14:textFill>
            <w14:solidFill>
              <w14:schemeClr w14:val="tx1"/>
            </w14:solidFill>
          </w14:textFill>
        </w:rPr>
        <w:t xml:space="preserve">）项目负责人具有注册建造师证建筑工程二级(含)以上资质且具有安全生产考核合格证书（B类）（提供有效的证书复印件加盖公章）； </w:t>
      </w:r>
      <w:r/>
    </w:p>
    <w:p>
      <w:pPr>
        <w:contextualSpacing/>
        <w:ind w:firstLine="720"/>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w:t>
      </w:r>
      <w:r>
        <w:rPr>
          <w:rFonts w:asciiTheme="minorEastAsia" w:hAnsiTheme="minorEastAsia" w:eastAsiaTheme="minorEastAsia"/>
          <w:color w:val="000000" w:themeColor="text1"/>
          <w:sz w:val="24"/>
          <w:szCs w:val="24"/>
          <w14:textFill>
            <w14:solidFill>
              <w14:schemeClr w14:val="tx1"/>
            </w14:solidFill>
          </w14:textFill>
        </w:rPr>
        <w:t xml:space="preserve">3</w:t>
      </w:r>
      <w:r>
        <w:rPr>
          <w:rFonts w:hint="eastAsia" w:asciiTheme="minorEastAsia" w:hAnsiTheme="minorEastAsia" w:eastAsiaTheme="minorEastAsia"/>
          <w:color w:val="000000" w:themeColor="text1"/>
          <w:sz w:val="24"/>
          <w:szCs w:val="24"/>
          <w14:textFill>
            <w14:solidFill>
              <w14:schemeClr w14:val="tx1"/>
            </w14:solidFill>
          </w14:textFill>
        </w:rPr>
        <w:t xml:space="preserve">）供应商必须提供拟投入本工程项目负责人与供应商签订的有效劳动合同、社保机构出具的近半年（</w:t>
      </w:r>
      <w:r>
        <w:rPr>
          <w:rFonts w:hint="eastAsia" w:asciiTheme="minorEastAsia" w:hAnsiTheme="minorEastAsia" w:eastAsiaTheme="minorEastAsia"/>
          <w:color w:val="000000" w:themeColor="text1"/>
          <w:sz w:val="24"/>
          <w:szCs w:val="24"/>
          <w:lang w:val="en-US"/>
          <w14:textFill>
            <w14:solidFill>
              <w14:schemeClr w14:val="tx1"/>
            </w14:solidFill>
          </w14:textFill>
        </w:rPr>
        <w:t xml:space="preserve">2026</w:t>
      </w:r>
      <w:r>
        <w:rPr>
          <w:rFonts w:hint="eastAsia" w:asciiTheme="minorEastAsia" w:hAnsiTheme="minorEastAsia" w:eastAsiaTheme="minorEastAsia"/>
          <w:color w:val="000000" w:themeColor="text1"/>
          <w:sz w:val="24"/>
          <w:szCs w:val="24"/>
          <w14:textFill>
            <w14:solidFill>
              <w14:schemeClr w14:val="tx1"/>
            </w14:solidFill>
          </w14:textFill>
        </w:rPr>
        <w:t xml:space="preserve">年</w:t>
      </w:r>
      <w:r>
        <w:rPr>
          <w:rFonts w:hint="eastAsia" w:asciiTheme="minorEastAsia" w:hAnsiTheme="minorEastAsia" w:eastAsiaTheme="minorEastAsia"/>
          <w:color w:val="000000" w:themeColor="text1"/>
          <w:sz w:val="24"/>
          <w:szCs w:val="24"/>
          <w:lang w:val="en-US"/>
          <w14:textFill>
            <w14:solidFill>
              <w14:schemeClr w14:val="tx1"/>
            </w14:solidFill>
          </w14:textFill>
        </w:rPr>
        <w:t xml:space="preserve">1</w:t>
      </w:r>
      <w:r>
        <w:rPr>
          <w:rFonts w:hint="eastAsia" w:asciiTheme="minorEastAsia" w:hAnsiTheme="minorEastAsia" w:eastAsiaTheme="minorEastAsia"/>
          <w:color w:val="000000" w:themeColor="text1"/>
          <w:sz w:val="24"/>
          <w:szCs w:val="24"/>
          <w14:textFill>
            <w14:solidFill>
              <w14:schemeClr w14:val="tx1"/>
            </w14:solidFill>
          </w14:textFill>
        </w:rPr>
        <w:t xml:space="preserve">月至202</w:t>
      </w:r>
      <w:r>
        <w:rPr>
          <w:rFonts w:asciiTheme="minorEastAsia" w:hAnsiTheme="minorEastAsia" w:eastAsiaTheme="minorEastAsia"/>
          <w:color w:val="000000" w:themeColor="text1"/>
          <w:sz w:val="24"/>
          <w:szCs w:val="24"/>
          <w14:textFill>
            <w14:solidFill>
              <w14:schemeClr w14:val="tx1"/>
            </w14:solidFill>
          </w14:textFill>
        </w:rPr>
        <w:t xml:space="preserve">6</w:t>
      </w:r>
      <w:r>
        <w:rPr>
          <w:rFonts w:hint="eastAsia" w:asciiTheme="minorEastAsia" w:hAnsiTheme="minorEastAsia" w:eastAsiaTheme="minorEastAsia"/>
          <w:color w:val="000000" w:themeColor="text1"/>
          <w:sz w:val="24"/>
          <w:szCs w:val="24"/>
          <w14:textFill>
            <w14:solidFill>
              <w14:schemeClr w14:val="tx1"/>
            </w14:solidFill>
          </w14:textFill>
        </w:rPr>
        <w:t xml:space="preserve">年</w:t>
      </w:r>
      <w:r>
        <w:rPr>
          <w:rFonts w:hint="eastAsia" w:asciiTheme="minorEastAsia" w:hAnsiTheme="minorEastAsia" w:eastAsiaTheme="minorEastAsia"/>
          <w:color w:val="000000" w:themeColor="text1"/>
          <w:sz w:val="24"/>
          <w:szCs w:val="24"/>
          <w:lang w:val="en-US"/>
          <w14:textFill>
            <w14:solidFill>
              <w14:schemeClr w14:val="tx1"/>
            </w14:solidFill>
          </w14:textFill>
        </w:rPr>
        <w:t xml:space="preserve">6</w:t>
      </w:r>
      <w:r>
        <w:rPr>
          <w:rFonts w:hint="eastAsia" w:asciiTheme="minorEastAsia" w:hAnsiTheme="minorEastAsia" w:eastAsiaTheme="minorEastAsia"/>
          <w:color w:val="000000" w:themeColor="text1"/>
          <w:sz w:val="24"/>
          <w:szCs w:val="24"/>
          <w14:textFill>
            <w14:solidFill>
              <w14:schemeClr w14:val="tx1"/>
            </w14:solidFill>
          </w14:textFill>
        </w:rPr>
        <w:t xml:space="preserve">月）供应商为其缴纳的养老保险缴费证明（需明确缴费月份、个人姓名、缴费单位）材料并加盖社保中心章或社保中心参保缴费证明电子专用章（提供证明材料）。</w:t>
      </w:r>
      <w:r/>
    </w:p>
    <w:p>
      <w:pPr>
        <w:pStyle w:val="995"/>
        <w:ind w:left="0" w:firstLine="482"/>
        <w:spacing w:line="360" w:lineRule="auto"/>
        <w:tabs>
          <w:tab w:val="left" w:pos="1061" w:leader="none"/>
        </w:tabs>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三、获取采购文件</w:t>
      </w:r>
      <w:r/>
    </w:p>
    <w:p>
      <w:pPr>
        <w:ind w:firstLine="482"/>
        <w:spacing w:line="360" w:lineRule="auto"/>
        <w:rPr>
          <w:rFonts w:asciiTheme="minorEastAsia" w:hAnsiTheme="minorEastAsia" w:eastAsiaTheme="minorEastAsia"/>
          <w:color w:val="000000" w:themeColor="text1"/>
          <w:sz w:val="24"/>
          <w:szCs w:val="24"/>
          <w:lang w:val="en-US"/>
          <w14:textFill>
            <w14:solidFill>
              <w14:schemeClr w14:val="tx1"/>
            </w14:solidFill>
          </w14:textFill>
        </w:rPr>
      </w:pPr>
      <w:r/>
      <w:bookmarkStart w:id="9" w:name="四、提交投标文件截止时间、开标时间和地点"/>
      <w:r/>
      <w:bookmarkEnd w:id="9"/>
      <w:r>
        <w:rPr>
          <w:rFonts w:hint="eastAsia" w:asciiTheme="minorEastAsia" w:hAnsiTheme="minorEastAsia" w:eastAsiaTheme="minorEastAsia"/>
          <w:color w:val="000000" w:themeColor="text1"/>
          <w:sz w:val="24"/>
          <w:szCs w:val="24"/>
          <w:lang w:val="en-US"/>
          <w14:textFill>
            <w14:solidFill>
              <w14:schemeClr w14:val="tx1"/>
            </w14:solidFill>
          </w14:textFill>
        </w:rPr>
        <w:t xml:space="preserve">时间：自招标文件公告发布之日起</w:t>
      </w:r>
      <w:r>
        <w:rPr>
          <w:rFonts w:asciiTheme="minorEastAsia" w:hAnsiTheme="minorEastAsia" w:eastAsiaTheme="minorEastAsia"/>
          <w:color w:val="000000" w:themeColor="text1"/>
          <w:sz w:val="24"/>
          <w:szCs w:val="24"/>
          <w:lang w:val="en-US"/>
          <w14:textFill>
            <w14:solidFill>
              <w14:schemeClr w14:val="tx1"/>
            </w14:solidFill>
          </w14:textFill>
        </w:rPr>
        <w:t xml:space="preserve">5个工作日</w:t>
      </w:r>
      <w:r/>
    </w:p>
    <w:p>
      <w:pPr>
        <w:ind w:firstLine="482"/>
        <w:spacing w:line="360" w:lineRule="auto"/>
        <w:rPr>
          <w:rFonts w:asciiTheme="minorEastAsia" w:hAnsiTheme="minorEastAsia" w:eastAsiaTheme="minorEastAsia"/>
          <w:color w:val="000000" w:themeColor="text1"/>
          <w:sz w:val="24"/>
          <w:szCs w:val="24"/>
          <w:lang w:val="en-US"/>
          <w14:textFill>
            <w14:solidFill>
              <w14:schemeClr w14:val="tx1"/>
            </w14:solidFill>
          </w14:textFill>
        </w:rPr>
      </w:pPr>
      <w:r>
        <w:rPr>
          <w:rFonts w:hint="eastAsia" w:asciiTheme="minorEastAsia" w:hAnsiTheme="minorEastAsia" w:eastAsiaTheme="minorEastAsia"/>
          <w:color w:val="000000" w:themeColor="text1"/>
          <w:sz w:val="24"/>
          <w:szCs w:val="24"/>
          <w:lang w:val="en-US"/>
          <w14:textFill>
            <w14:solidFill>
              <w14:schemeClr w14:val="tx1"/>
            </w14:solidFill>
          </w14:textFill>
        </w:rPr>
        <w:t xml:space="preserve">地点：江苏政府采购网苏采云系统</w:t>
      </w:r>
      <w:r/>
    </w:p>
    <w:p>
      <w:pPr>
        <w:ind w:firstLine="482"/>
        <w:spacing w:line="360" w:lineRule="auto"/>
        <w:rPr>
          <w:rFonts w:asciiTheme="minorEastAsia" w:hAnsiTheme="minorEastAsia" w:eastAsiaTheme="minorEastAsia"/>
          <w:color w:val="000000" w:themeColor="text1"/>
          <w:sz w:val="24"/>
          <w:szCs w:val="24"/>
          <w:lang w:val="en-US"/>
          <w14:textFill>
            <w14:solidFill>
              <w14:schemeClr w14:val="tx1"/>
            </w14:solidFill>
          </w14:textFill>
        </w:rPr>
      </w:pPr>
      <w:r>
        <w:rPr>
          <w:rFonts w:hint="eastAsia" w:asciiTheme="minorEastAsia" w:hAnsiTheme="minorEastAsia" w:eastAsiaTheme="minorEastAsia"/>
          <w:color w:val="000000" w:themeColor="text1"/>
          <w:sz w:val="24"/>
          <w:szCs w:val="24"/>
          <w:lang w:val="en-US"/>
          <w14:textFill>
            <w14:solidFill>
              <w14:schemeClr w14:val="tx1"/>
            </w14:solidFill>
          </w14:textFill>
        </w:rPr>
        <w:t xml:space="preserve">方式：网上下载</w:t>
      </w:r>
      <w:r/>
    </w:p>
    <w:p>
      <w:pPr>
        <w:ind w:firstLine="482"/>
        <w:spacing w:line="360" w:lineRule="auto"/>
        <w:rPr>
          <w:rFonts w:asciiTheme="minorEastAsia" w:hAnsiTheme="minorEastAsia" w:eastAsiaTheme="minorEastAsia"/>
          <w:color w:val="000000" w:themeColor="text1"/>
          <w:sz w:val="24"/>
          <w:szCs w:val="24"/>
          <w:lang w:val="en-US"/>
          <w14:textFill>
            <w14:solidFill>
              <w14:schemeClr w14:val="tx1"/>
            </w14:solidFill>
          </w14:textFill>
        </w:rPr>
      </w:pPr>
      <w:r>
        <w:rPr>
          <w:rFonts w:hint="eastAsia" w:asciiTheme="minorEastAsia" w:hAnsiTheme="minorEastAsia" w:eastAsiaTheme="minorEastAsia"/>
          <w:color w:val="000000" w:themeColor="text1"/>
          <w:sz w:val="24"/>
          <w:szCs w:val="24"/>
          <w:lang w:val="en-US"/>
          <w14:textFill>
            <w14:solidFill>
              <w14:schemeClr w14:val="tx1"/>
            </w14:solidFill>
          </w14:textFill>
        </w:rPr>
        <w:t xml:space="preserve">售价：</w:t>
      </w:r>
      <w:r>
        <w:rPr>
          <w:rFonts w:asciiTheme="minorEastAsia" w:hAnsiTheme="minorEastAsia" w:eastAsiaTheme="minorEastAsia"/>
          <w:color w:val="000000" w:themeColor="text1"/>
          <w:sz w:val="24"/>
          <w:szCs w:val="24"/>
          <w:lang w:val="en-US"/>
          <w14:textFill>
            <w14:solidFill>
              <w14:schemeClr w14:val="tx1"/>
            </w14:solidFill>
          </w14:textFill>
        </w:rPr>
        <w:t xml:space="preserve">0元</w:t>
      </w:r>
      <w:r/>
    </w:p>
    <w:p>
      <w:pPr>
        <w:ind w:firstLine="482"/>
        <w:spacing w:line="360" w:lineRule="auto"/>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四、提交投标文件截止时间、开标时间和地点</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时间：</w:t>
      </w:r>
      <w:r>
        <w:rPr>
          <w:rFonts w:hint="eastAsia"/>
          <w:sz w:val="24"/>
          <w:szCs w:val="24"/>
          <w:u w:val="single"/>
          <w:lang w:val="en-US" w:bidi="ar-SA"/>
        </w:rPr>
        <w:t xml:space="preserve">2026年</w:t>
      </w:r>
      <w:r>
        <w:rPr>
          <w:rFonts w:hint="eastAsia"/>
          <w:sz w:val="24"/>
          <w:szCs w:val="24"/>
          <w:u w:val="single"/>
          <w:lang w:val="en-US" w:eastAsia="zh-CN" w:bidi="ar-SA"/>
        </w:rPr>
        <w:t xml:space="preserve">8</w:t>
      </w:r>
      <w:r>
        <w:rPr>
          <w:rFonts w:hint="eastAsia"/>
          <w:sz w:val="24"/>
          <w:szCs w:val="24"/>
          <w:u w:val="single"/>
          <w:lang w:val="en-US" w:bidi="ar-SA"/>
        </w:rPr>
        <w:t xml:space="preserve">月</w:t>
      </w:r>
      <w:r>
        <w:rPr>
          <w:rFonts w:hint="eastAsia"/>
          <w:sz w:val="24"/>
          <w:szCs w:val="24"/>
          <w:u w:val="single"/>
          <w:lang w:val="en-US" w:eastAsia="zh-CN" w:bidi="ar-SA"/>
        </w:rPr>
        <w:t xml:space="preserve">7</w:t>
      </w:r>
      <w:r>
        <w:rPr>
          <w:rFonts w:hint="eastAsia"/>
          <w:sz w:val="24"/>
          <w:szCs w:val="24"/>
          <w:u w:val="single"/>
          <w:lang w:val="en-US" w:bidi="ar-SA"/>
        </w:rPr>
        <w:t xml:space="preserve">日</w:t>
      </w:r>
      <w:r>
        <w:rPr>
          <w:rFonts w:hint="eastAsia"/>
          <w:sz w:val="24"/>
          <w:szCs w:val="24"/>
          <w:u w:val="single"/>
          <w:lang w:val="en-US" w:eastAsia="zh-CN" w:bidi="ar-SA"/>
        </w:rPr>
        <w:t xml:space="preserve">9</w:t>
      </w:r>
      <w:r>
        <w:rPr>
          <w:rFonts w:hint="eastAsia"/>
          <w:sz w:val="24"/>
          <w:szCs w:val="24"/>
          <w:u w:val="single"/>
          <w:lang w:val="en-US" w:bidi="ar-SA"/>
        </w:rPr>
        <w:t xml:space="preserve">点</w:t>
      </w:r>
      <w:r>
        <w:rPr>
          <w:rFonts w:hint="eastAsia"/>
          <w:sz w:val="24"/>
          <w:szCs w:val="24"/>
          <w:u w:val="single"/>
          <w:lang w:val="en-US" w:eastAsia="zh-CN" w:bidi="ar-SA"/>
        </w:rPr>
        <w:t xml:space="preserve">30</w:t>
      </w:r>
      <w:r>
        <w:rPr>
          <w:rFonts w:hint="eastAsia"/>
          <w:sz w:val="24"/>
          <w:szCs w:val="24"/>
          <w:u w:val="single"/>
          <w:lang w:val="en-US" w:bidi="ar-SA"/>
        </w:rPr>
        <w:t xml:space="preserve">分</w:t>
      </w:r>
      <w:r>
        <w:rPr>
          <w:rFonts w:hint="eastAsia"/>
          <w:color w:val="000000" w:themeColor="text1"/>
          <w:sz w:val="24"/>
          <w:szCs w:val="24"/>
          <w14:textFill>
            <w14:solidFill>
              <w14:schemeClr w14:val="tx1"/>
            </w14:solidFill>
          </w14:textFill>
        </w:rPr>
        <w:t xml:space="preserve">（北京时间）</w:t>
      </w:r>
      <w:r/>
    </w:p>
    <w:p>
      <w:pPr>
        <w:ind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14:textFill>
            <w14:solidFill>
              <w14:schemeClr w14:val="tx1"/>
            </w14:solidFill>
          </w14:textFill>
        </w:rPr>
        <w:t xml:space="preserve">地点：</w:t>
      </w:r>
      <w:r>
        <w:rPr>
          <w:rFonts w:hint="eastAsia"/>
          <w:color w:val="000000" w:themeColor="text1"/>
          <w:sz w:val="24"/>
          <w:szCs w:val="24"/>
          <w:u w:val="single"/>
          <w:lang w:val="en-US"/>
          <w14:textFill>
            <w14:solidFill>
              <w14:schemeClr w14:val="tx1"/>
            </w14:solidFill>
          </w14:textFill>
        </w:rPr>
        <w:t xml:space="preserve">江苏省政府采购交易系统（以下简称“苏采云系统”）网上开标大厅</w:t>
      </w:r>
      <w:r/>
    </w:p>
    <w:p>
      <w:pPr>
        <w:ind w:firstLine="482"/>
        <w:spacing w:line="360" w:lineRule="auto"/>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五、公告期限</w:t>
      </w:r>
      <w:r/>
    </w:p>
    <w:p>
      <w:pPr>
        <w:ind w:firstLine="480"/>
        <w:spacing w:line="360" w:lineRule="auto"/>
        <w:rPr>
          <w:color w:val="000000" w:themeColor="text1"/>
          <w:sz w:val="28"/>
          <w:szCs w:val="28"/>
          <w14:textFill>
            <w14:solidFill>
              <w14:schemeClr w14:val="tx1"/>
            </w14:solidFill>
          </w14:textFill>
        </w:rPr>
      </w:pPr>
      <w:r>
        <w:rPr>
          <w:rFonts w:hint="eastAsia"/>
          <w:color w:val="000000" w:themeColor="text1"/>
          <w:sz w:val="24"/>
          <w:szCs w:val="24"/>
          <w14:textFill>
            <w14:solidFill>
              <w14:schemeClr w14:val="tx1"/>
            </w14:solidFill>
          </w14:textFill>
        </w:rPr>
        <w:t xml:space="preserve">自本公告发布之日起5个工作日。</w:t>
      </w:r>
      <w:r/>
    </w:p>
    <w:p>
      <w:pPr>
        <w:ind w:firstLine="482"/>
        <w:spacing w:line="360" w:lineRule="auto"/>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六、其他补充事宜</w:t>
      </w:r>
      <w:r/>
    </w:p>
    <w:p>
      <w:pPr>
        <w:ind w:firstLine="480"/>
        <w:spacing w:line="360" w:lineRule="auto"/>
        <w:rPr>
          <w:color w:val="000000" w:themeColor="text1"/>
          <w:sz w:val="24"/>
          <w:szCs w:val="24"/>
          <w:lang w:val="en-US"/>
          <w14:textFill>
            <w14:solidFill>
              <w14:schemeClr w14:val="tx1"/>
            </w14:solidFill>
          </w14:textFill>
        </w:rPr>
      </w:pPr>
      <w:r/>
      <w:bookmarkStart w:id="10" w:name="七、对本次招标提出询问，请按以下方式联系。"/>
      <w:r/>
      <w:bookmarkEnd w:id="10"/>
      <w:r/>
      <w:bookmarkStart w:id="11" w:name="OLE_LINK4"/>
      <w:r>
        <w:rPr>
          <w:rFonts w:hint="eastAsia"/>
          <w:color w:val="000000" w:themeColor="text1"/>
          <w:sz w:val="24"/>
          <w:szCs w:val="24"/>
          <w:lang w:val="en-US"/>
          <w14:textFill>
            <w14:solidFill>
              <w14:schemeClr w14:val="tx1"/>
            </w14:solidFill>
          </w14:textFill>
        </w:rPr>
        <w:t xml:space="preserve">1、</w:t>
      </w:r>
      <w:r>
        <w:rPr>
          <w:color w:val="000000" w:themeColor="text1"/>
          <w:sz w:val="24"/>
          <w:szCs w:val="24"/>
          <w:lang w:val="en-US"/>
          <w14:textFill>
            <w14:solidFill>
              <w14:schemeClr w14:val="tx1"/>
            </w14:solidFill>
          </w14:textFill>
        </w:rPr>
        <w:t xml:space="preserve">其他要求：</w:t>
      </w:r>
      <w:r/>
    </w:p>
    <w:p>
      <w:pPr>
        <w:ind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（1）供应商在参加政府采购活动前</w:t>
      </w:r>
      <w:r>
        <w:rPr>
          <w:color w:val="000000" w:themeColor="text1"/>
          <w:sz w:val="24"/>
          <w:szCs w:val="24"/>
          <w:lang w:val="en-US"/>
          <w14:textFill>
            <w14:solidFill>
              <w14:schemeClr w14:val="tx1"/>
            </w14:solidFill>
          </w14:textFill>
        </w:rPr>
        <w:t xml:space="preserve">3年内因违法经营被禁止在一定期限内参加政府采购活动，期限届满的，可以参加政府采购活动。</w:t>
      </w:r>
      <w:r/>
    </w:p>
    <w:p>
      <w:pPr>
        <w:ind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（2）单位负责人为同一人或者存在直接控股、管理关系的不同供应商，不得参加同一合同项下的政府采购活动。</w:t>
      </w:r>
      <w:r/>
    </w:p>
    <w:p>
      <w:pPr>
        <w:ind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（3）为采购项目提供整体设计、规范编制或者项目管理、监理、检测等服务的厂商，不得再参加该采购项目的其他采购活动。</w:t>
      </w:r>
      <w:r/>
    </w:p>
    <w:p>
      <w:pPr>
        <w:ind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（4）拒绝列入失信被执行人、重大税收违法案件当事人名单、政府采购严重违法失信行为记录名单的厂商参与政府采购活动。（供应商信用记录查询渠道：“中国政府采购网”、“信用中国”网站等）。</w:t>
      </w:r>
      <w:r/>
    </w:p>
    <w:p>
      <w:pPr>
        <w:ind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2、</w:t>
      </w:r>
      <w:r>
        <w:rPr>
          <w:color w:val="000000" w:themeColor="text1"/>
          <w:sz w:val="24"/>
          <w:szCs w:val="24"/>
          <w:lang w:val="en-US"/>
          <w14:textFill>
            <w14:solidFill>
              <w14:schemeClr w14:val="tx1"/>
            </w14:solidFill>
          </w14:textFill>
        </w:rPr>
        <w:t xml:space="preserve">集中考察或答疑：</w:t>
      </w:r>
      <w:r/>
    </w:p>
    <w:p>
      <w:pPr>
        <w:ind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采购人统一组织现场勘察，现场勘察集合地点：南京中医药大学仙林校区大学生活动中心一楼大厅，集合时间：2026年</w:t>
      </w:r>
      <w:r>
        <w:rPr>
          <w:rFonts w:hint="eastAsia"/>
          <w:color w:val="000000" w:themeColor="text1"/>
          <w:sz w:val="24"/>
          <w:szCs w:val="24"/>
          <w:lang w:val="en-US" w:eastAsia="zh-CN"/>
          <w14:textFill>
            <w14:solidFill>
              <w14:schemeClr w14:val="tx1"/>
            </w14:solidFill>
          </w14:textFill>
        </w:rPr>
        <w:t xml:space="preserve">7</w:t>
      </w:r>
      <w:r>
        <w:rPr>
          <w:rFonts w:hint="eastAsia"/>
          <w:color w:val="000000" w:themeColor="text1"/>
          <w:sz w:val="24"/>
          <w:szCs w:val="24"/>
          <w:lang w:val="en-US"/>
          <w14:textFill>
            <w14:solidFill>
              <w14:schemeClr w14:val="tx1"/>
            </w14:solidFill>
          </w14:textFill>
        </w:rPr>
        <w:t xml:space="preserve">月</w:t>
      </w:r>
      <w:r>
        <w:rPr>
          <w:rFonts w:hint="eastAsia"/>
          <w:color w:val="000000" w:themeColor="text1"/>
          <w:sz w:val="24"/>
          <w:szCs w:val="24"/>
          <w:lang w:val="en-US" w:eastAsia="zh-CN"/>
          <w14:textFill>
            <w14:solidFill>
              <w14:schemeClr w14:val="tx1"/>
            </w14:solidFill>
          </w14:textFill>
        </w:rPr>
        <w:t xml:space="preserve">27</w:t>
      </w:r>
      <w:r>
        <w:rPr>
          <w:rFonts w:hint="eastAsia"/>
          <w:color w:val="000000" w:themeColor="text1"/>
          <w:sz w:val="24"/>
          <w:szCs w:val="24"/>
          <w:lang w:val="en-US"/>
          <w14:textFill>
            <w14:solidFill>
              <w14:schemeClr w14:val="tx1"/>
            </w14:solidFill>
          </w14:textFill>
        </w:rPr>
        <w:t xml:space="preserve">日</w:t>
      </w:r>
      <w:r>
        <w:rPr>
          <w:rFonts w:hint="eastAsia"/>
          <w:color w:val="000000" w:themeColor="text1"/>
          <w:sz w:val="24"/>
          <w:szCs w:val="24"/>
          <w:lang w:val="en-US" w:eastAsia="zh-CN"/>
          <w14:textFill>
            <w14:solidFill>
              <w14:schemeClr w14:val="tx1"/>
            </w14:solidFill>
          </w14:textFill>
        </w:rPr>
        <w:t xml:space="preserve">9</w:t>
      </w:r>
      <w:r>
        <w:rPr>
          <w:rFonts w:hint="eastAsia"/>
          <w:color w:val="000000" w:themeColor="text1"/>
          <w:sz w:val="24"/>
          <w:szCs w:val="24"/>
          <w:lang w:val="en-US"/>
          <w14:textFill>
            <w14:solidFill>
              <w14:schemeClr w14:val="tx1"/>
            </w14:solidFill>
          </w14:textFill>
        </w:rPr>
        <w:t xml:space="preserve">：</w:t>
      </w:r>
      <w:r>
        <w:rPr>
          <w:rFonts w:hint="eastAsia"/>
          <w:color w:val="000000" w:themeColor="text1"/>
          <w:sz w:val="24"/>
          <w:szCs w:val="24"/>
          <w:lang w:val="en-US" w:eastAsia="zh-CN"/>
          <w14:textFill>
            <w14:solidFill>
              <w14:schemeClr w14:val="tx1"/>
            </w14:solidFill>
          </w14:textFill>
        </w:rPr>
        <w:t xml:space="preserve">30</w:t>
      </w:r>
      <w:r>
        <w:rPr>
          <w:rFonts w:hint="eastAsia"/>
          <w:color w:val="000000" w:themeColor="text1"/>
          <w:sz w:val="24"/>
          <w:szCs w:val="24"/>
          <w:lang w:val="en-US"/>
          <w14:textFill>
            <w14:solidFill>
              <w14:schemeClr w14:val="tx1"/>
            </w14:solidFill>
          </w14:textFill>
        </w:rPr>
        <w:t xml:space="preserve">，过时不候，请务必对项目现场和周围环境进行仔细认真地查勘，在随后的采购中，对现场资料和数据所作出的推论、解释和结论及由此造成的后果由供应商负责（未现场勘察和未提出疑义的供应商将被视为已勘察，认同采购项目要求的内容，因未勘查现场或勘查工作不详细的供应商中标后，不得以不完全了解现场情况为理由而向采购人提出任何索赔或其他要求，对此采购人不承担任何责任并将不作任何答复）。</w:t>
      </w:r>
      <w:r/>
    </w:p>
    <w:p>
      <w:pPr>
        <w:ind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勘察事项：进校需提前一天报备申请，请于进校前一天按访客入校申请使用指南</w:t>
      </w:r>
      <w:r>
        <w:rPr>
          <w:color w:val="000000" w:themeColor="text1"/>
          <w:sz w:val="24"/>
          <w:szCs w:val="24"/>
          <w:lang w:val="en-US"/>
          <w14:textFill>
            <w14:solidFill>
              <w14:schemeClr w14:val="tx1"/>
            </w14:solidFill>
          </w14:textFill>
        </w:rPr>
        <w:t xml:space="preserve">(附件</w:t>
      </w:r>
      <w:r>
        <w:rPr>
          <w:rFonts w:hint="eastAsia"/>
          <w:color w:val="000000" w:themeColor="text1"/>
          <w:sz w:val="24"/>
          <w:szCs w:val="24"/>
          <w:lang w:val="en-US"/>
          <w14:textFill>
            <w14:solidFill>
              <w14:schemeClr w14:val="tx1"/>
            </w14:solidFill>
          </w14:textFill>
        </w:rPr>
        <w:t xml:space="preserve">六</w:t>
      </w:r>
      <w:r>
        <w:rPr>
          <w:color w:val="000000" w:themeColor="text1"/>
          <w:sz w:val="24"/>
          <w:szCs w:val="24"/>
          <w:lang w:val="en-US"/>
          <w14:textFill>
            <w14:solidFill>
              <w14:schemeClr w14:val="tx1"/>
            </w14:solidFill>
          </w14:textFill>
        </w:rPr>
        <w:t xml:space="preserve">)扫码申请进校。现场勘察进校被访人：黄煜</w:t>
      </w:r>
      <w:bookmarkStart w:id="55" w:name="_GoBack"/>
      <w:r/>
      <w:bookmarkEnd w:id="55"/>
      <w:r>
        <w:rPr>
          <w:color w:val="000000" w:themeColor="text1"/>
          <w:sz w:val="24"/>
          <w:szCs w:val="24"/>
          <w:lang w:val="en-US"/>
          <w14:textFill>
            <w14:solidFill>
              <w14:schemeClr w14:val="tx1"/>
            </w14:solidFill>
          </w14:textFill>
        </w:rPr>
        <w:t xml:space="preserve">；部门：后勤基建处。</w:t>
      </w:r>
      <w:r/>
    </w:p>
    <w:p>
      <w:pPr>
        <w:ind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勘察联系人：黄煜；联系方式：18951775258。</w:t>
      </w:r>
      <w:r/>
    </w:p>
    <w:p>
      <w:pPr>
        <w:ind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3、供应商通过“苏采云”（网址：</w:t>
      </w:r>
      <w:r>
        <w:rPr>
          <w:color w:val="000000" w:themeColor="text1"/>
          <w:sz w:val="24"/>
          <w:szCs w:val="24"/>
          <w:lang w:val="en-US"/>
          <w14:textFill>
            <w14:solidFill>
              <w14:schemeClr w14:val="tx1"/>
            </w14:solidFill>
          </w14:textFill>
        </w:rPr>
        <w:t xml:space="preserve">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ind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操作手册下载地址：</w:t>
      </w:r>
      <w:r>
        <w:rPr>
          <w:color w:val="000000" w:themeColor="text1"/>
          <w:sz w:val="24"/>
          <w:szCs w:val="24"/>
          <w:lang w:val="en-US"/>
          <w14:textFill>
            <w14:solidFill>
              <w14:schemeClr w14:val="tx1"/>
            </w14:solidFill>
          </w14:textFill>
        </w:rPr>
        <w:t xml:space="preserve">http://www.ccgp-jiangsu.gov.cn/jiangsu/zlxz/ee/ee3a4bc5a3454aa2b0d9312230633ce9.html</w:t>
      </w:r>
      <w:r/>
    </w:p>
    <w:p>
      <w:pPr>
        <w:ind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首次登录“苏采云”系统的新用户，登录网址后，点击“用户注册”</w:t>
      </w:r>
      <w:r>
        <w:rPr>
          <w:color w:val="000000" w:themeColor="text1"/>
          <w:sz w:val="24"/>
          <w:szCs w:val="24"/>
          <w:lang w:val="en-US"/>
          <w14:textFill>
            <w14:solidFill>
              <w14:schemeClr w14:val="tx1"/>
            </w14:solidFill>
          </w14:textFill>
        </w:rPr>
        <w:t xml:space="preserve">--“新CA办理指南”--获取CA后绑定、登录系统--采购项目参与--下载采购文件（文件后缀名为“.kedt”）。</w:t>
      </w:r>
      <w:r/>
    </w:p>
    <w:p>
      <w:pPr>
        <w:ind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“苏采云”南京地区客服热线</w:t>
      </w:r>
      <w:r>
        <w:rPr>
          <w:color w:val="000000" w:themeColor="text1"/>
          <w:sz w:val="24"/>
          <w:szCs w:val="24"/>
          <w:lang w:val="en-US"/>
          <w14:textFill>
            <w14:solidFill>
              <w14:schemeClr w14:val="tx1"/>
            </w14:solidFill>
          </w14:textFill>
        </w:rPr>
        <w:t xml:space="preserve">025-83633744、025-83633</w:t>
      </w:r>
      <w:r>
        <w:rPr>
          <w:rFonts w:hint="eastAsia"/>
          <w:color w:val="000000" w:themeColor="text1"/>
          <w:sz w:val="24"/>
          <w:szCs w:val="24"/>
          <w:lang w:val="en-US"/>
          <w14:textFill>
            <w14:solidFill>
              <w14:schemeClr w14:val="tx1"/>
            </w14:solidFill>
          </w14:textFill>
        </w:rPr>
        <w:t xml:space="preserve">4</w:t>
      </w:r>
      <w:r/>
    </w:p>
    <w:p>
      <w:pPr>
        <w:ind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4、公告媒体</w:t>
      </w:r>
      <w:r/>
    </w:p>
    <w:p>
      <w:pPr>
        <w:ind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（1）本招标公告在江苏政府采购网公示发布，敬请各供应商关注；</w:t>
      </w:r>
      <w:r/>
    </w:p>
    <w:p>
      <w:pPr>
        <w:pStyle w:val="902"/>
        <w:contextualSpacing/>
        <w:ind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（2）若有关本次招标存在变动或修改，敬请各供应商及时关注江苏政府采购网发布的关于本项目的信息更正公告。</w:t>
      </w:r>
      <w:r/>
    </w:p>
    <w:p>
      <w:pPr>
        <w:pStyle w:val="902"/>
        <w:contextualSpacing/>
        <w:ind w:firstLine="480"/>
        <w:spacing w:line="360" w:lineRule="auto"/>
        <w:rPr>
          <w:color w:val="000000" w:themeColor="text1"/>
          <w:sz w:val="24"/>
          <w:szCs w:val="24"/>
          <w:lang w:val="en-US"/>
          <w14:textFill>
            <w14:solidFill>
              <w14:schemeClr w14:val="tx1"/>
            </w14:solidFill>
          </w14:textFill>
        </w:rPr>
      </w:pPr>
      <w:r>
        <w:rPr>
          <w:color w:val="000000" w:themeColor="text1"/>
          <w:sz w:val="24"/>
          <w:szCs w:val="24"/>
          <w:lang w:val="en-US"/>
          <w14:textFill>
            <w14:solidFill>
              <w14:schemeClr w14:val="tx1"/>
            </w14:solidFill>
          </w14:textFill>
        </w:rPr>
        <w:t xml:space="preserve">5、</w:t>
      </w:r>
      <w:r>
        <w:rPr>
          <w:rFonts w:hint="eastAsia"/>
          <w:color w:val="000000" w:themeColor="text1"/>
          <w:sz w:val="24"/>
          <w:szCs w:val="24"/>
          <w:lang w:val="en-US"/>
          <w14:textFill>
            <w14:solidFill>
              <w14:schemeClr w14:val="tx1"/>
            </w14:solidFill>
          </w14:textFill>
        </w:rPr>
        <w:t xml:space="preserve">采购项目需要落实的政府采购政策</w:t>
      </w:r>
      <w:r/>
    </w:p>
    <w:p>
      <w:pPr>
        <w:ind w:firstLine="56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（1）政府采购促进中小企业发展</w:t>
      </w:r>
      <w:r/>
    </w:p>
    <w:p>
      <w:pPr>
        <w:ind w:firstLine="56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（2）政府采购支持监狱企业发展</w:t>
      </w:r>
      <w:r/>
    </w:p>
    <w:p>
      <w:pPr>
        <w:ind w:firstLine="56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（3）政府采购促进残疾人就业</w:t>
      </w:r>
      <w:r/>
    </w:p>
    <w:p>
      <w:pPr>
        <w:pStyle w:val="902"/>
        <w:contextualSpacing/>
        <w:ind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14:textFill>
            <w14:solidFill>
              <w14:schemeClr w14:val="tx1"/>
            </w14:solidFill>
          </w14:textFill>
        </w:rPr>
        <w:t xml:space="preserve">（4）政府采购鼓励采购节能环保产品</w:t>
      </w:r>
      <w:r/>
    </w:p>
    <w:p>
      <w:pPr>
        <w:pStyle w:val="902"/>
        <w:contextualSpacing/>
        <w:ind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6、</w:t>
      </w:r>
      <w:r>
        <w:rPr>
          <w:color w:val="000000" w:themeColor="text1"/>
          <w:sz w:val="24"/>
          <w:szCs w:val="24"/>
          <w:lang w:val="en-US"/>
          <w14:textFill>
            <w14:solidFill>
              <w14:schemeClr w14:val="tx1"/>
            </w14:solidFill>
          </w14:textFill>
        </w:rPr>
        <w:t xml:space="preserve">是否接受进口产品：不接受。</w:t>
      </w:r>
      <w:r/>
    </w:p>
    <w:p>
      <w:pPr>
        <w:pStyle w:val="902"/>
        <w:contextualSpacing/>
        <w:ind w:firstLine="480"/>
        <w:spacing w:line="360" w:lineRule="auto"/>
        <w:rPr>
          <w:lang w:val="en-US"/>
        </w:rPr>
      </w:pPr>
      <w:r>
        <w:rPr>
          <w:rFonts w:hint="eastAsia"/>
          <w:color w:val="000000" w:themeColor="text1"/>
          <w:sz w:val="24"/>
          <w:szCs w:val="24"/>
          <w:lang w:val="en-US"/>
          <w14:textFill>
            <w14:solidFill>
              <w14:schemeClr w14:val="tx1"/>
            </w14:solidFill>
          </w14:textFill>
        </w:rPr>
        <w:t xml:space="preserve">7</w:t>
      </w:r>
      <w:r>
        <w:rPr>
          <w:color w:val="000000" w:themeColor="text1"/>
          <w:sz w:val="24"/>
          <w:szCs w:val="24"/>
          <w:lang w:val="en-US"/>
          <w14:textFill>
            <w14:solidFill>
              <w14:schemeClr w14:val="tx1"/>
            </w14:solidFill>
          </w14:textFill>
        </w:rPr>
        <w:t xml:space="preserve">、</w:t>
      </w:r>
      <w:r>
        <w:rPr>
          <w:rFonts w:hint="eastAsia"/>
          <w:color w:val="000000" w:themeColor="text1"/>
          <w:sz w:val="24"/>
          <w:szCs w:val="24"/>
          <w:lang w:val="en-US"/>
          <w14:textFill>
            <w14:solidFill>
              <w14:schemeClr w14:val="tx1"/>
            </w14:solidFill>
          </w14:textFill>
        </w:rPr>
        <w:t xml:space="preserve">本项目所属行业</w:t>
      </w:r>
      <w:r>
        <w:rPr>
          <w:color w:val="000000" w:themeColor="text1"/>
          <w:sz w:val="24"/>
          <w:szCs w:val="24"/>
          <w:lang w:val="en-US"/>
          <w14:textFill>
            <w14:solidFill>
              <w14:schemeClr w14:val="tx1"/>
            </w14:solidFill>
          </w14:textFill>
        </w:rPr>
        <w:t xml:space="preserve">：</w:t>
      </w:r>
      <w:r>
        <w:rPr>
          <w:rFonts w:hint="eastAsia"/>
          <w:color w:val="000000" w:themeColor="text1"/>
          <w:sz w:val="24"/>
          <w:szCs w:val="24"/>
          <w:lang w:val="en-US"/>
          <w14:textFill>
            <w14:solidFill>
              <w14:schemeClr w14:val="tx1"/>
            </w14:solidFill>
          </w14:textFill>
        </w:rPr>
        <w:t xml:space="preserve">建筑业</w:t>
      </w:r>
      <w:r>
        <w:rPr>
          <w:color w:val="000000" w:themeColor="text1"/>
          <w:sz w:val="24"/>
          <w:szCs w:val="24"/>
          <w:lang w:val="en-US"/>
          <w14:textFill>
            <w14:solidFill>
              <w14:schemeClr w14:val="tx1"/>
            </w14:solidFill>
          </w14:textFill>
        </w:rPr>
        <w:t xml:space="preserve">。</w:t>
      </w:r>
      <w:bookmarkEnd w:id="11"/>
      <w:r/>
      <w:r/>
    </w:p>
    <w:p>
      <w:pPr>
        <w:ind w:firstLine="482"/>
        <w:spacing w:line="360" w:lineRule="auto"/>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七、凡对本次采购提出询问，请按以下方式联系。</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1、</w:t>
      </w:r>
      <w:r>
        <w:rPr>
          <w:rFonts w:hint="eastAsia"/>
          <w:color w:val="000000" w:themeColor="text1"/>
          <w:sz w:val="24"/>
          <w:szCs w:val="24"/>
          <w14:textFill>
            <w14:solidFill>
              <w14:schemeClr w14:val="tx1"/>
            </w14:solidFill>
          </w14:textFill>
        </w:rPr>
        <w:t xml:space="preserve">采购人信息</w:t>
      </w:r>
      <w:r/>
    </w:p>
    <w:p>
      <w:pPr>
        <w:ind w:firstLine="480"/>
        <w:spacing w:line="360" w:lineRule="auto"/>
        <w:tabs>
          <w:tab w:val="left" w:pos="2116" w:leader="none"/>
          <w:tab w:val="left" w:pos="4635" w:leader="none"/>
          <w:tab w:val="left" w:pos="5615" w:leader="none"/>
        </w:tabs>
        <w:rPr>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 xml:space="preserve">名 称：</w:t>
      </w:r>
      <w:r>
        <w:rPr>
          <w:rFonts w:hint="eastAsia"/>
          <w:color w:val="000000" w:themeColor="text1"/>
          <w:sz w:val="24"/>
          <w:szCs w:val="24"/>
          <w:u w:val="single"/>
          <w14:textFill>
            <w14:solidFill>
              <w14:schemeClr w14:val="tx1"/>
            </w14:solidFill>
          </w14:textFill>
        </w:rPr>
        <w:t xml:space="preserve">南京中医药大学</w:t>
      </w:r>
      <w:r/>
    </w:p>
    <w:p>
      <w:pPr>
        <w:contextualSpacing/>
        <w:ind w:firstLine="480"/>
        <w:spacing w:line="360" w:lineRule="auto"/>
        <w:rPr>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 xml:space="preserve">地 址：</w:t>
      </w:r>
      <w:r>
        <w:rPr>
          <w:rFonts w:hint="eastAsia"/>
          <w:color w:val="000000" w:themeColor="text1"/>
          <w:sz w:val="24"/>
          <w:szCs w:val="24"/>
          <w:u w:val="single"/>
          <w14:textFill>
            <w14:solidFill>
              <w14:schemeClr w14:val="tx1"/>
            </w14:solidFill>
          </w14:textFill>
        </w:rPr>
        <w:t xml:space="preserve">南京市栖霞区仙林大道138号</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联系人：</w:t>
      </w:r>
      <w:r>
        <w:rPr>
          <w:rFonts w:hint="eastAsia"/>
          <w:color w:val="000000" w:themeColor="text1"/>
          <w:sz w:val="24"/>
          <w:szCs w:val="24"/>
          <w:u w:val="single"/>
          <w14:textFill>
            <w14:solidFill>
              <w14:schemeClr w14:val="tx1"/>
            </w14:solidFill>
          </w14:textFill>
        </w:rPr>
        <w:t xml:space="preserve">梁老师</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联系方式：</w:t>
      </w:r>
      <w:r>
        <w:rPr>
          <w:color w:val="000000" w:themeColor="text1"/>
          <w:sz w:val="24"/>
          <w:szCs w:val="24"/>
          <w:u w:val="single"/>
          <w14:textFill>
            <w14:solidFill>
              <w14:schemeClr w14:val="tx1"/>
            </w14:solidFill>
          </w14:textFill>
        </w:rPr>
        <w:t xml:space="preserve">025-85811122</w:t>
      </w:r>
      <w:r>
        <w:rPr>
          <w:color w:val="000000" w:themeColor="text1"/>
          <w:sz w:val="24"/>
          <w:szCs w:val="24"/>
          <w14:textFill>
            <w14:solidFill>
              <w14:schemeClr w14:val="tx1"/>
            </w14:solidFill>
          </w14:textFill>
        </w:rPr>
        <w:t xml:space="preserve">  </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2、</w:t>
      </w:r>
      <w:r>
        <w:rPr>
          <w:rFonts w:hint="eastAsia"/>
          <w:color w:val="000000" w:themeColor="text1"/>
          <w:sz w:val="24"/>
          <w:szCs w:val="24"/>
          <w14:textFill>
            <w14:solidFill>
              <w14:schemeClr w14:val="tx1"/>
            </w14:solidFill>
          </w14:textFill>
        </w:rPr>
        <w:t xml:space="preserve">采购代理机构信息</w:t>
      </w:r>
      <w:r/>
    </w:p>
    <w:p>
      <w:pPr>
        <w:ind w:firstLine="480"/>
        <w:spacing w:line="360" w:lineRule="auto"/>
        <w:tabs>
          <w:tab w:val="left" w:pos="2596" w:leader="none"/>
          <w:tab w:val="left" w:pos="6236" w:leader="none"/>
        </w:tabs>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名 称：</w:t>
      </w:r>
      <w:r>
        <w:rPr>
          <w:rFonts w:hint="eastAsia"/>
          <w:color w:val="000000" w:themeColor="text1"/>
          <w:sz w:val="24"/>
          <w:szCs w:val="24"/>
          <w:u w:val="single"/>
          <w14:textFill>
            <w14:solidFill>
              <w14:schemeClr w14:val="tx1"/>
            </w14:solidFill>
          </w14:textFill>
        </w:rPr>
        <w:t xml:space="preserve">南京苏宁工程咨询有限公司</w:t>
      </w:r>
      <w:r/>
    </w:p>
    <w:p>
      <w:pPr>
        <w:ind w:firstLine="480"/>
        <w:spacing w:line="360" w:lineRule="auto"/>
        <w:tabs>
          <w:tab w:val="left" w:pos="1617" w:leader="none"/>
          <w:tab w:val="left" w:pos="2457" w:leader="none"/>
          <w:tab w:val="left" w:pos="2738" w:leader="none"/>
          <w:tab w:val="left" w:pos="3998" w:leader="none"/>
          <w:tab w:val="left" w:pos="8055" w:leader="none"/>
        </w:tabs>
        <w:rPr>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 xml:space="preserve">地址：</w:t>
      </w:r>
      <w:bookmarkStart w:id="12" w:name="OLE_LINK7"/>
      <w:r/>
      <w:bookmarkStart w:id="13" w:name="OLE_LINK11"/>
      <w:r>
        <w:rPr>
          <w:rFonts w:hint="eastAsia"/>
          <w:color w:val="000000" w:themeColor="text1"/>
          <w:sz w:val="24"/>
          <w:szCs w:val="24"/>
          <w:u w:val="single"/>
          <w14:textFill>
            <w14:solidFill>
              <w14:schemeClr w14:val="tx1"/>
            </w14:solidFill>
          </w14:textFill>
        </w:rPr>
        <w:t xml:space="preserve">南京市中山路99号12楼1212室</w:t>
      </w:r>
      <w:bookmarkEnd w:id="12"/>
      <w:r/>
      <w:bookmarkEnd w:id="13"/>
      <w:r/>
      <w:r/>
    </w:p>
    <w:p>
      <w:pPr>
        <w:ind w:firstLine="480"/>
        <w:spacing w:line="360" w:lineRule="auto"/>
        <w:tabs>
          <w:tab w:val="left" w:pos="1617" w:leader="none"/>
          <w:tab w:val="left" w:pos="2457" w:leader="none"/>
          <w:tab w:val="left" w:pos="2738" w:leader="none"/>
          <w:tab w:val="left" w:pos="3998" w:leader="none"/>
          <w:tab w:val="left" w:pos="8055" w:leader="none"/>
        </w:tabs>
        <w:rPr>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 xml:space="preserve">联系方式：</w:t>
      </w:r>
      <w:r>
        <w:rPr>
          <w:rFonts w:hint="eastAsia"/>
          <w:color w:val="000000" w:themeColor="text1"/>
          <w:sz w:val="24"/>
          <w:szCs w:val="24"/>
          <w:u w:val="single"/>
          <w:lang w:val="en-US"/>
          <w14:textFill>
            <w14:solidFill>
              <w14:schemeClr w14:val="tx1"/>
            </w14:solidFill>
          </w14:textFill>
        </w:rPr>
        <w:t xml:space="preserve">江跃</w:t>
      </w:r>
      <w:r>
        <w:rPr>
          <w:rFonts w:hint="eastAsia"/>
          <w:color w:val="000000" w:themeColor="text1"/>
          <w:sz w:val="24"/>
          <w:szCs w:val="24"/>
          <w:u w:val="single"/>
          <w14:textFill>
            <w14:solidFill>
              <w14:schemeClr w14:val="tx1"/>
            </w14:solidFill>
          </w14:textFill>
        </w:rPr>
        <w:t xml:space="preserve">025-84200819</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3、</w:t>
      </w:r>
      <w:r>
        <w:rPr>
          <w:rFonts w:hint="eastAsia"/>
          <w:color w:val="000000" w:themeColor="text1"/>
          <w:sz w:val="24"/>
          <w:szCs w:val="24"/>
          <w14:textFill>
            <w14:solidFill>
              <w14:schemeClr w14:val="tx1"/>
            </w14:solidFill>
          </w14:textFill>
        </w:rPr>
        <w:t xml:space="preserve">项目联系方式</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项目联系人：江跃</w:t>
      </w:r>
      <w:r/>
    </w:p>
    <w:p>
      <w:pPr>
        <w:ind w:firstLine="480"/>
        <w:spacing w:line="360" w:lineRule="auto"/>
        <w:tabs>
          <w:tab w:val="left" w:pos="1617" w:leader="none"/>
          <w:tab w:val="left" w:pos="2457" w:leader="none"/>
          <w:tab w:val="left" w:pos="7076" w:leader="none"/>
        </w:tabs>
        <w:rPr>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 xml:space="preserve">电话：</w:t>
      </w:r>
      <w:r>
        <w:rPr>
          <w:rFonts w:hint="eastAsia"/>
          <w:color w:val="000000" w:themeColor="text1"/>
          <w:sz w:val="24"/>
          <w:szCs w:val="24"/>
          <w:u w:val="single"/>
          <w14:textFill>
            <w14:solidFill>
              <w14:schemeClr w14:val="tx1"/>
            </w14:solidFill>
          </w14:textFill>
        </w:rPr>
        <w:t xml:space="preserve">025-84200819</w:t>
      </w:r>
      <w:r/>
    </w:p>
    <w:p>
      <w:pPr>
        <w:ind w:left="2024" w:right="2064"/>
        <w:jc w:val="center"/>
        <w:spacing w:before="49"/>
        <w:rPr>
          <w:color w:val="000000" w:themeColor="text1"/>
          <w:sz w:val="24"/>
          <w:szCs w:val="24"/>
          <w:u w:val="single"/>
          <w14:textFill>
            <w14:solidFill>
              <w14:schemeClr w14:val="tx1"/>
            </w14:solidFill>
          </w14:textFill>
        </w:rPr>
        <w:outlineLvl w:val="0"/>
      </w:pPr>
      <w:r/>
      <w:bookmarkStart w:id="14" w:name="_Toc15993"/>
      <w:r/>
      <w:r/>
    </w:p>
    <w:p>
      <w:pPr>
        <w:ind w:left="2024" w:right="2064"/>
        <w:jc w:val="center"/>
        <w:spacing w:before="49"/>
        <w:rPr>
          <w:color w:val="000000" w:themeColor="text1"/>
          <w:sz w:val="24"/>
          <w:szCs w:val="24"/>
          <w:u w:val="single"/>
          <w14:textFill>
            <w14:solidFill>
              <w14:schemeClr w14:val="tx1"/>
            </w14:solidFill>
          </w14:textFill>
        </w:rPr>
        <w:outlineLvl w:val="0"/>
      </w:pPr>
      <w:r>
        <w:rPr>
          <w:color w:val="000000" w:themeColor="text1"/>
          <w:sz w:val="24"/>
          <w:szCs w:val="24"/>
          <w:u w:val="single"/>
          <w14:textFill>
            <w14:solidFill>
              <w14:schemeClr w14:val="tx1"/>
            </w14:solidFill>
          </w14:textFill>
        </w:rPr>
      </w:r>
      <w:r/>
    </w:p>
    <w:p>
      <w:pPr>
        <w:ind w:left="2024" w:right="2064"/>
        <w:jc w:val="center"/>
        <w:spacing w:before="49"/>
        <w:rPr>
          <w:color w:val="000000" w:themeColor="text1"/>
          <w:sz w:val="24"/>
          <w:szCs w:val="24"/>
          <w:u w:val="single"/>
          <w14:textFill>
            <w14:solidFill>
              <w14:schemeClr w14:val="tx1"/>
            </w14:solidFill>
          </w14:textFill>
        </w:rPr>
        <w:outlineLvl w:val="0"/>
      </w:pPr>
      <w:r>
        <w:rPr>
          <w:color w:val="000000" w:themeColor="text1"/>
          <w:sz w:val="24"/>
          <w:szCs w:val="24"/>
          <w:u w:val="single"/>
          <w14:textFill>
            <w14:solidFill>
              <w14:schemeClr w14:val="tx1"/>
            </w14:solidFill>
          </w14:textFill>
        </w:rPr>
      </w:r>
      <w:r/>
    </w:p>
    <w:p>
      <w:pPr>
        <w:ind w:left="2024" w:right="2064"/>
        <w:jc w:val="center"/>
        <w:spacing w:before="49"/>
        <w:rPr>
          <w:color w:val="000000" w:themeColor="text1"/>
          <w:sz w:val="24"/>
          <w:szCs w:val="24"/>
          <w:u w:val="single"/>
          <w14:textFill>
            <w14:solidFill>
              <w14:schemeClr w14:val="tx1"/>
            </w14:solidFill>
          </w14:textFill>
        </w:rPr>
        <w:outlineLvl w:val="0"/>
      </w:pPr>
      <w:r>
        <w:rPr>
          <w:color w:val="000000" w:themeColor="text1"/>
          <w:sz w:val="24"/>
          <w:szCs w:val="24"/>
          <w:u w:val="single"/>
          <w14:textFill>
            <w14:solidFill>
              <w14:schemeClr w14:val="tx1"/>
            </w14:solidFill>
          </w14:textFill>
        </w:rPr>
      </w:r>
      <w:r/>
    </w:p>
    <w:p>
      <w:pPr>
        <w:ind w:left="2024" w:right="2064"/>
        <w:jc w:val="center"/>
        <w:spacing w:before="49"/>
        <w:rPr>
          <w:color w:val="000000" w:themeColor="text1"/>
          <w:sz w:val="24"/>
          <w:szCs w:val="24"/>
          <w:u w:val="single"/>
          <w14:textFill>
            <w14:solidFill>
              <w14:schemeClr w14:val="tx1"/>
            </w14:solidFill>
          </w14:textFill>
        </w:rPr>
        <w:outlineLvl w:val="0"/>
      </w:pPr>
      <w:r>
        <w:rPr>
          <w:color w:val="000000" w:themeColor="text1"/>
          <w:sz w:val="24"/>
          <w:szCs w:val="24"/>
          <w:u w:val="single"/>
          <w14:textFill>
            <w14:solidFill>
              <w14:schemeClr w14:val="tx1"/>
            </w14:solidFill>
          </w14:textFill>
        </w:rPr>
      </w:r>
      <w:r/>
    </w:p>
    <w:p>
      <w:pPr>
        <w:ind w:left="2024" w:right="2064"/>
        <w:jc w:val="center"/>
        <w:spacing w:before="49"/>
        <w:rPr>
          <w:color w:val="000000" w:themeColor="text1"/>
          <w:sz w:val="24"/>
          <w:szCs w:val="24"/>
          <w:u w:val="single"/>
          <w14:textFill>
            <w14:solidFill>
              <w14:schemeClr w14:val="tx1"/>
            </w14:solidFill>
          </w14:textFill>
        </w:rPr>
        <w:outlineLvl w:val="0"/>
      </w:pPr>
      <w:r>
        <w:rPr>
          <w:color w:val="000000" w:themeColor="text1"/>
          <w:sz w:val="24"/>
          <w:szCs w:val="24"/>
          <w:u w:val="single"/>
          <w14:textFill>
            <w14:solidFill>
              <w14:schemeClr w14:val="tx1"/>
            </w14:solidFill>
          </w14:textFill>
        </w:rPr>
      </w:r>
      <w:r/>
    </w:p>
    <w:p>
      <w:pPr>
        <w:ind w:left="2024" w:right="2064"/>
        <w:jc w:val="center"/>
        <w:spacing w:before="49"/>
        <w:rPr>
          <w:color w:val="000000" w:themeColor="text1"/>
          <w:sz w:val="24"/>
          <w:szCs w:val="24"/>
          <w:u w:val="single"/>
          <w14:textFill>
            <w14:solidFill>
              <w14:schemeClr w14:val="tx1"/>
            </w14:solidFill>
          </w14:textFill>
        </w:rPr>
        <w:outlineLvl w:val="0"/>
      </w:pPr>
      <w:r>
        <w:rPr>
          <w:color w:val="000000" w:themeColor="text1"/>
          <w:sz w:val="24"/>
          <w:szCs w:val="24"/>
          <w:u w:val="single"/>
          <w14:textFill>
            <w14:solidFill>
              <w14:schemeClr w14:val="tx1"/>
            </w14:solidFill>
          </w14:textFill>
        </w:rPr>
      </w:r>
      <w:r/>
    </w:p>
    <w:p>
      <w:pPr>
        <w:ind w:left="2024" w:right="2064"/>
        <w:jc w:val="center"/>
        <w:spacing w:before="49"/>
        <w:rPr>
          <w:color w:val="000000" w:themeColor="text1"/>
          <w:sz w:val="24"/>
          <w:szCs w:val="24"/>
          <w:u w:val="single"/>
          <w14:textFill>
            <w14:solidFill>
              <w14:schemeClr w14:val="tx1"/>
            </w14:solidFill>
          </w14:textFill>
        </w:rPr>
        <w:outlineLvl w:val="0"/>
      </w:pPr>
      <w:r>
        <w:rPr>
          <w:color w:val="000000" w:themeColor="text1"/>
          <w:sz w:val="24"/>
          <w:szCs w:val="24"/>
          <w:u w:val="single"/>
          <w14:textFill>
            <w14:solidFill>
              <w14:schemeClr w14:val="tx1"/>
            </w14:solidFill>
          </w14:textFill>
        </w:rPr>
      </w:r>
      <w:r/>
    </w:p>
    <w:p>
      <w:pPr>
        <w:ind w:left="2024" w:right="2064"/>
        <w:jc w:val="center"/>
        <w:spacing w:before="49"/>
        <w:rPr>
          <w:color w:val="000000" w:themeColor="text1"/>
          <w:sz w:val="24"/>
          <w:szCs w:val="24"/>
          <w:u w:val="single"/>
          <w14:textFill>
            <w14:solidFill>
              <w14:schemeClr w14:val="tx1"/>
            </w14:solidFill>
          </w14:textFill>
        </w:rPr>
        <w:outlineLvl w:val="0"/>
      </w:pPr>
      <w:r>
        <w:rPr>
          <w:color w:val="000000" w:themeColor="text1"/>
          <w:sz w:val="24"/>
          <w:szCs w:val="24"/>
          <w:u w:val="single"/>
          <w14:textFill>
            <w14:solidFill>
              <w14:schemeClr w14:val="tx1"/>
            </w14:solidFill>
          </w14:textFill>
        </w:rPr>
      </w:r>
      <w:r/>
    </w:p>
    <w:p>
      <w:pPr>
        <w:ind w:left="2024" w:right="2064"/>
        <w:jc w:val="center"/>
        <w:spacing w:before="49"/>
        <w:rPr>
          <w:color w:val="000000" w:themeColor="text1"/>
          <w:sz w:val="24"/>
          <w:szCs w:val="24"/>
          <w:u w:val="single"/>
          <w14:textFill>
            <w14:solidFill>
              <w14:schemeClr w14:val="tx1"/>
            </w14:solidFill>
          </w14:textFill>
        </w:rPr>
        <w:outlineLvl w:val="0"/>
      </w:pPr>
      <w:r>
        <w:rPr>
          <w:color w:val="000000" w:themeColor="text1"/>
          <w:sz w:val="24"/>
          <w:szCs w:val="24"/>
          <w:u w:val="single"/>
          <w14:textFill>
            <w14:solidFill>
              <w14:schemeClr w14:val="tx1"/>
            </w14:solidFill>
          </w14:textFill>
        </w:rPr>
      </w:r>
      <w:r/>
    </w:p>
    <w:p>
      <w:pPr>
        <w:ind w:left="2024" w:right="2064"/>
        <w:jc w:val="center"/>
        <w:spacing w:before="49"/>
        <w:rPr>
          <w:color w:val="000000" w:themeColor="text1"/>
          <w:sz w:val="24"/>
          <w:szCs w:val="24"/>
          <w:u w:val="single"/>
          <w14:textFill>
            <w14:solidFill>
              <w14:schemeClr w14:val="tx1"/>
            </w14:solidFill>
          </w14:textFill>
        </w:rPr>
        <w:outlineLvl w:val="0"/>
      </w:pPr>
      <w:r>
        <w:rPr>
          <w:color w:val="000000" w:themeColor="text1"/>
          <w:sz w:val="24"/>
          <w:szCs w:val="24"/>
          <w:u w:val="single"/>
          <w14:textFill>
            <w14:solidFill>
              <w14:schemeClr w14:val="tx1"/>
            </w14:solidFill>
          </w14:textFill>
        </w:rPr>
      </w:r>
      <w:r/>
    </w:p>
    <w:p>
      <w:pPr>
        <w:ind w:left="2024" w:right="2064"/>
        <w:jc w:val="center"/>
        <w:spacing w:before="49"/>
        <w:rPr>
          <w:rFonts w:ascii="黑体" w:eastAsia="黑体"/>
          <w:b/>
          <w:bCs/>
          <w:color w:val="000000" w:themeColor="text1"/>
          <w:sz w:val="36"/>
          <w14:textFill>
            <w14:solidFill>
              <w14:schemeClr w14:val="tx1"/>
            </w14:solidFill>
          </w14:textFill>
        </w:rPr>
        <w:outlineLvl w:val="0"/>
      </w:pPr>
      <w:r>
        <w:rPr>
          <w:rFonts w:hint="eastAsia" w:ascii="黑体" w:eastAsia="黑体"/>
          <w:b/>
          <w:bCs/>
          <w:color w:val="000000" w:themeColor="text1"/>
          <w:sz w:val="36"/>
          <w14:textFill>
            <w14:solidFill>
              <w14:schemeClr w14:val="tx1"/>
            </w14:solidFill>
          </w14:textFill>
        </w:rPr>
        <w:t xml:space="preserve">第二章</w:t>
      </w:r>
      <w:r>
        <w:rPr>
          <w:rFonts w:hint="eastAsia" w:ascii="黑体" w:eastAsia="黑体"/>
          <w:b/>
          <w:bCs/>
          <w:color w:val="000000" w:themeColor="text1"/>
          <w:sz w:val="36"/>
          <w:lang w:val="en-US"/>
          <w14:textFill>
            <w14:solidFill>
              <w14:schemeClr w14:val="tx1"/>
            </w14:solidFill>
          </w14:textFill>
        </w:rPr>
        <w:t xml:space="preserve"> </w:t>
      </w:r>
      <w:r>
        <w:rPr>
          <w:rFonts w:hint="eastAsia" w:ascii="黑体" w:eastAsia="黑体"/>
          <w:b/>
          <w:bCs/>
          <w:color w:val="000000" w:themeColor="text1"/>
          <w:sz w:val="36"/>
          <w14:textFill>
            <w14:solidFill>
              <w14:schemeClr w14:val="tx1"/>
            </w14:solidFill>
          </w14:textFill>
        </w:rPr>
        <w:t xml:space="preserve">供应商须知</w:t>
      </w:r>
      <w:bookmarkEnd w:id="14"/>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一、总则</w:t>
      </w:r>
      <w:r/>
    </w:p>
    <w:p>
      <w:pPr>
        <w:pStyle w:val="902"/>
        <w:ind w:firstLine="420"/>
        <w:spacing w:line="360" w:lineRule="auto"/>
        <w:rPr>
          <w:color w:val="000000" w:themeColor="text1"/>
          <w14:textFill>
            <w14:solidFill>
              <w14:schemeClr w14:val="tx1"/>
            </w14:solidFill>
          </w14:textFill>
        </w:rPr>
      </w:pPr>
      <w:r/>
      <w:bookmarkStart w:id="15" w:name="1、适用法律"/>
      <w:r/>
      <w:bookmarkEnd w:id="15"/>
      <w:r>
        <w:rPr>
          <w:rFonts w:hint="eastAsia"/>
          <w:color w:val="000000" w:themeColor="text1"/>
          <w14:textFill>
            <w14:solidFill>
              <w14:schemeClr w14:val="tx1"/>
            </w14:solidFill>
          </w14:textFill>
        </w:rPr>
        <w:t xml:space="preserve">1、适用法律</w:t>
      </w:r>
      <w:r/>
    </w:p>
    <w:p>
      <w:pPr>
        <w:pStyle w:val="902"/>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1.1 《中华人民共和国政府采购法》、《中华人民共和国政府采购法实施条例》、《政府采购货物和服务招标投标管理办法》等有关法律、规章和规定等。</w:t>
      </w:r>
      <w:r/>
    </w:p>
    <w:p>
      <w:pPr>
        <w:ind w:firstLine="422"/>
        <w:spacing w:line="360" w:lineRule="auto"/>
        <w:rPr>
          <w:b/>
          <w:color w:val="000000" w:themeColor="text1"/>
          <w:sz w:val="21"/>
          <w:szCs w:val="21"/>
          <w14:textFill>
            <w14:solidFill>
              <w14:schemeClr w14:val="tx1"/>
            </w14:solidFill>
          </w14:textFill>
        </w:rPr>
      </w:pPr>
      <w:r/>
      <w:bookmarkStart w:id="16" w:name="2、定义"/>
      <w:r/>
      <w:bookmarkEnd w:id="16"/>
      <w:r>
        <w:rPr>
          <w:rFonts w:hint="eastAsia"/>
          <w:b/>
          <w:color w:val="000000" w:themeColor="text1"/>
          <w:sz w:val="21"/>
          <w:szCs w:val="21"/>
          <w14:textFill>
            <w14:solidFill>
              <w14:schemeClr w14:val="tx1"/>
            </w14:solidFill>
          </w14:textFill>
        </w:rPr>
        <w:t xml:space="preserve">2、定义</w:t>
      </w:r>
      <w:r/>
    </w:p>
    <w:p>
      <w:pPr>
        <w:pStyle w:val="995"/>
        <w:numPr>
          <w:ilvl w:val="1"/>
          <w:numId w:val="7"/>
        </w:numPr>
        <w:ind w:firstLine="420"/>
        <w:spacing w:line="360" w:lineRule="auto"/>
        <w:tabs>
          <w:tab w:val="left" w:pos="1059"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w:t>
      </w:r>
      <w:r>
        <w:rPr>
          <w:rFonts w:hint="eastAsia"/>
          <w:bCs/>
          <w:color w:val="000000" w:themeColor="text1"/>
          <w:sz w:val="21"/>
          <w:szCs w:val="21"/>
          <w14:textFill>
            <w14:solidFill>
              <w14:schemeClr w14:val="tx1"/>
            </w14:solidFill>
          </w14:textFill>
        </w:rPr>
        <w:t xml:space="preserve">供应商</w:t>
      </w:r>
      <w:r>
        <w:rPr>
          <w:rFonts w:hint="eastAsia"/>
          <w:color w:val="000000" w:themeColor="text1"/>
          <w:sz w:val="21"/>
          <w:szCs w:val="21"/>
          <w14:textFill>
            <w14:solidFill>
              <w14:schemeClr w14:val="tx1"/>
            </w14:solidFill>
          </w14:textFill>
        </w:rPr>
        <w:t xml:space="preserve">”是指参加投标竞争，并符合招标文件规定资格条件的法人、其他组织或者自然人。</w:t>
      </w:r>
      <w:r/>
    </w:p>
    <w:p>
      <w:pPr>
        <w:ind w:firstLine="420"/>
        <w:spacing w:line="360" w:lineRule="auto"/>
        <w:tabs>
          <w:tab w:val="left" w:pos="1059"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2.2 “工程”指本采购文件中所述工程及相关服务。</w:t>
      </w:r>
      <w:r/>
    </w:p>
    <w:p>
      <w:pPr>
        <w:ind w:firstLine="420"/>
        <w:spacing w:line="360" w:lineRule="auto"/>
        <w:tabs>
          <w:tab w:val="left" w:pos="1059" w:leader="none"/>
        </w:tabs>
        <w:rPr>
          <w:b/>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2.3 “用户或使用单位”是指使用服务的单位。</w:t>
      </w:r>
      <w:r/>
    </w:p>
    <w:p>
      <w:pPr>
        <w:pStyle w:val="995"/>
        <w:ind w:left="440" w:firstLine="0"/>
        <w:spacing w:line="360" w:lineRule="auto"/>
        <w:tabs>
          <w:tab w:val="left" w:pos="1059" w:leader="none"/>
        </w:tabs>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3、政策功能</w:t>
      </w:r>
      <w:r/>
    </w:p>
    <w:p>
      <w:pPr>
        <w:pStyle w:val="995"/>
        <w:numPr>
          <w:ilvl w:val="1"/>
          <w:numId w:val="8"/>
        </w:numPr>
        <w:ind w:firstLine="420"/>
        <w:spacing w:line="360" w:lineRule="auto"/>
        <w:tabs>
          <w:tab w:val="left" w:pos="1109"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政府采购促进中小企业发展，小企业（含小型、微型企业）提供的货物、工程或者服务在评标时将获得优势，参加投标的小企业，应当提供《中小企业声明函》（“中小企业划型标准”详见《关于印发中小企业划型标准规定的通知》工信部联企业〔2011〕300 号及《统计上大中小微型企业划分办法（2017）国统字〔2017〕213号》。</w:t>
      </w:r>
      <w:r/>
    </w:p>
    <w:p>
      <w:pPr>
        <w:pStyle w:val="995"/>
        <w:numPr>
          <w:ilvl w:val="1"/>
          <w:numId w:val="8"/>
        </w:numPr>
        <w:ind w:firstLine="420"/>
        <w:spacing w:line="360" w:lineRule="auto"/>
        <w:tabs>
          <w:tab w:val="left" w:pos="1109"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p>
    <w:p>
      <w:pPr>
        <w:pStyle w:val="995"/>
        <w:numPr>
          <w:ilvl w:val="1"/>
          <w:numId w:val="8"/>
        </w:numPr>
        <w:ind w:firstLine="420"/>
        <w:spacing w:line="360" w:lineRule="auto"/>
        <w:tabs>
          <w:tab w:val="left" w:pos="1109"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p>
    <w:p>
      <w:pPr>
        <w:pStyle w:val="995"/>
        <w:numPr>
          <w:ilvl w:val="1"/>
          <w:numId w:val="8"/>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p>
    <w:p>
      <w:pPr>
        <w:pStyle w:val="995"/>
        <w:numPr>
          <w:ilvl w:val="1"/>
          <w:numId w:val="8"/>
        </w:numPr>
        <w:ind w:firstLine="420"/>
        <w:spacing w:line="360" w:lineRule="auto"/>
        <w:tabs>
          <w:tab w:val="left" w:pos="1109"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提供的产品属于信息安全产品的，供应商应当选择经国家认证的信息安全产品投标，并提供由中国信息安全认证中心按国家标准认证颁发的有效认证证书复印件。</w:t>
      </w:r>
      <w:r/>
    </w:p>
    <w:p>
      <w:pPr>
        <w:pStyle w:val="995"/>
        <w:numPr>
          <w:ilvl w:val="1"/>
          <w:numId w:val="8"/>
        </w:numPr>
        <w:ind w:firstLine="420"/>
        <w:spacing w:line="360" w:lineRule="auto"/>
        <w:tabs>
          <w:tab w:val="left" w:pos="1109"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提供的产品属于政府强制采购节能产品的，供应商应当选择经过认证的节能产品投标，并提供有效的节能产品认证证书复印件。</w:t>
      </w:r>
      <w:r/>
    </w:p>
    <w:p>
      <w:pPr>
        <w:pStyle w:val="995"/>
        <w:numPr>
          <w:ilvl w:val="1"/>
          <w:numId w:val="8"/>
        </w:numPr>
        <w:ind w:firstLine="420"/>
        <w:spacing w:line="360" w:lineRule="auto"/>
        <w:tabs>
          <w:tab w:val="left" w:pos="111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提供的产品属于环境标志产品的，供应商应当选择经过认证的环境标志产品投标，并提供有效的环境标志产品认证证书复印件。</w:t>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二、招标文件</w:t>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4、招标文件组成</w:t>
      </w:r>
      <w:r/>
    </w:p>
    <w:p>
      <w:pPr>
        <w:pStyle w:val="995"/>
        <w:numPr>
          <w:ilvl w:val="1"/>
          <w:numId w:val="9"/>
        </w:numPr>
        <w:ind w:firstLine="420"/>
        <w:spacing w:line="360" w:lineRule="auto"/>
        <w:tabs>
          <w:tab w:val="left" w:pos="1059"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招标文件组成：投标邀请、供应商须知、供应商应当提交的资格和资信证明文件、投标报价要求、投标文件编制要求、招标项目的技术规格、要求和数量、合同主要条款及合同签订方式、交货和提供服务的时间、验收标准、付款条件、评标方法、评标标准、无效投标和废标条款、附件等。</w:t>
      </w:r>
      <w:r/>
    </w:p>
    <w:p>
      <w:pPr>
        <w:pStyle w:val="995"/>
        <w:numPr>
          <w:ilvl w:val="1"/>
          <w:numId w:val="9"/>
        </w:numPr>
        <w:ind w:firstLine="420"/>
        <w:spacing w:line="360" w:lineRule="auto"/>
        <w:tabs>
          <w:tab w:val="left" w:pos="1059"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招标的最小单位是包。招标服务数量及技术要求中未分包的，供应商对要求提供的服务不得部分投标；招标服务数量及技术要求中已经分包的，应当以包为单位投标。</w:t>
      </w:r>
      <w:r/>
    </w:p>
    <w:p>
      <w:pPr>
        <w:pStyle w:val="995"/>
        <w:numPr>
          <w:ilvl w:val="1"/>
          <w:numId w:val="9"/>
        </w:numPr>
        <w:ind w:firstLine="420"/>
        <w:spacing w:line="360" w:lineRule="auto"/>
        <w:tabs>
          <w:tab w:val="left" w:pos="1059"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招标文件如果要求供应商提交备选投标方案的，供应商可以提交备选方案；否则，备选方案将被拒绝。</w:t>
      </w:r>
      <w:r/>
    </w:p>
    <w:p>
      <w:pPr>
        <w:ind w:firstLine="422"/>
        <w:spacing w:line="360" w:lineRule="auto"/>
        <w:rPr>
          <w:b/>
          <w:color w:val="000000" w:themeColor="text1"/>
          <w:sz w:val="21"/>
          <w:szCs w:val="21"/>
          <w14:textFill>
            <w14:solidFill>
              <w14:schemeClr w14:val="tx1"/>
            </w14:solidFill>
          </w14:textFill>
        </w:rPr>
      </w:pPr>
      <w:r/>
      <w:bookmarkStart w:id="17" w:name="5、招标文件的澄清、修改"/>
      <w:r/>
      <w:bookmarkEnd w:id="17"/>
      <w:r>
        <w:rPr>
          <w:rFonts w:hint="eastAsia"/>
          <w:b/>
          <w:color w:val="000000" w:themeColor="text1"/>
          <w:sz w:val="21"/>
          <w:szCs w:val="21"/>
          <w14:textFill>
            <w14:solidFill>
              <w14:schemeClr w14:val="tx1"/>
            </w14:solidFill>
          </w14:textFill>
        </w:rPr>
        <w:t xml:space="preserve">5、招标文件的澄清、修改</w:t>
      </w:r>
      <w:r/>
    </w:p>
    <w:p>
      <w:pPr>
        <w:pStyle w:val="995"/>
        <w:numPr>
          <w:ilvl w:val="1"/>
          <w:numId w:val="10"/>
        </w:numPr>
        <w:ind w:firstLine="420"/>
        <w:spacing w:line="360" w:lineRule="auto"/>
        <w:tabs>
          <w:tab w:val="left" w:pos="956"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招标代理机构对已发出的招标文件进行必要澄清或者修改的，将在招标文件要求提交投标文件截止时间</w:t>
      </w:r>
      <w:r>
        <w:rPr>
          <w:rFonts w:hint="eastAsia"/>
          <w:b/>
          <w:color w:val="000000" w:themeColor="text1"/>
          <w:sz w:val="21"/>
          <w:szCs w:val="21"/>
          <w:u w:val="single"/>
          <w14:textFill>
            <w14:solidFill>
              <w14:schemeClr w14:val="tx1"/>
            </w14:solidFill>
          </w14:textFill>
        </w:rPr>
        <w:t xml:space="preserve">十五日</w:t>
      </w:r>
      <w:r>
        <w:rPr>
          <w:rFonts w:hint="eastAsia"/>
          <w:color w:val="000000" w:themeColor="text1"/>
          <w:sz w:val="21"/>
          <w:szCs w:val="21"/>
          <w14:textFill>
            <w14:solidFill>
              <w14:schemeClr w14:val="tx1"/>
            </w14:solidFill>
          </w14:textFill>
        </w:rPr>
        <w:t xml:space="preserve">前，在原招标公告媒体发布更正公告，该澄清或者修改的内容为招标文件的组成部分。</w:t>
      </w:r>
      <w:r/>
    </w:p>
    <w:p>
      <w:pPr>
        <w:pStyle w:val="995"/>
        <w:numPr>
          <w:ilvl w:val="1"/>
          <w:numId w:val="10"/>
        </w:numPr>
        <w:ind w:firstLine="420"/>
        <w:spacing w:line="360" w:lineRule="auto"/>
        <w:tabs>
          <w:tab w:val="left" w:pos="1059"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招标代理机构在招标文件要求提交投标文件截止时间</w:t>
      </w:r>
      <w:r>
        <w:rPr>
          <w:rFonts w:hint="eastAsia"/>
          <w:b/>
          <w:color w:val="000000" w:themeColor="text1"/>
          <w:sz w:val="21"/>
          <w:szCs w:val="21"/>
          <w:u w:val="single"/>
          <w14:textFill>
            <w14:solidFill>
              <w14:schemeClr w14:val="tx1"/>
            </w14:solidFill>
          </w14:textFill>
        </w:rPr>
        <w:t xml:space="preserve">三日</w:t>
      </w:r>
      <w:r>
        <w:rPr>
          <w:rFonts w:hint="eastAsia"/>
          <w:color w:val="000000" w:themeColor="text1"/>
          <w:sz w:val="21"/>
          <w:szCs w:val="21"/>
          <w14:textFill>
            <w14:solidFill>
              <w14:schemeClr w14:val="tx1"/>
            </w14:solidFill>
          </w14:textFill>
        </w:rPr>
        <w:t xml:space="preserve">前，有权决定延长投标截止时间和开标时间，并在原采购信息发布媒体上发布变更公告。</w:t>
      </w:r>
      <w:r/>
    </w:p>
    <w:p>
      <w:pPr>
        <w:pStyle w:val="995"/>
        <w:numPr>
          <w:ilvl w:val="1"/>
          <w:numId w:val="10"/>
        </w:numPr>
        <w:ind w:firstLine="420"/>
        <w:spacing w:line="360" w:lineRule="auto"/>
        <w:tabs>
          <w:tab w:val="left" w:pos="1059" w:leader="none"/>
        </w:tabs>
        <w:rPr>
          <w:b/>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供应商应在投标截止时间前关注原采购信息发布媒体上有关本招标项目有无变更公告。  </w:t>
      </w:r>
      <w:bookmarkStart w:id="18" w:name="三、投标"/>
      <w:r/>
      <w:bookmarkEnd w:id="18"/>
      <w:r/>
      <w:r/>
    </w:p>
    <w:p>
      <w:pPr>
        <w:pStyle w:val="995"/>
        <w:ind w:left="440" w:firstLine="0"/>
        <w:spacing w:line="360" w:lineRule="auto"/>
        <w:tabs>
          <w:tab w:val="left" w:pos="1059" w:leader="none"/>
        </w:tabs>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三、投标</w:t>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6、投标文件的语言、计量单位、货币和编制</w:t>
      </w:r>
      <w:r/>
    </w:p>
    <w:p>
      <w:pPr>
        <w:pStyle w:val="995"/>
        <w:numPr>
          <w:ilvl w:val="1"/>
          <w:numId w:val="0"/>
        </w:numPr>
        <w:ind w:firstLine="420"/>
        <w:spacing w:line="360" w:lineRule="auto"/>
        <w:tabs>
          <w:tab w:val="left" w:pos="1059"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6.1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pStyle w:val="995"/>
        <w:numPr>
          <w:ilvl w:val="1"/>
          <w:numId w:val="0"/>
        </w:numPr>
        <w:ind w:firstLine="420"/>
        <w:spacing w:line="360" w:lineRule="auto"/>
        <w:tabs>
          <w:tab w:val="left" w:pos="1059"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6.2 供应商所使用的计量单位应为国家法定计量单位。</w:t>
      </w:r>
      <w:r/>
    </w:p>
    <w:p>
      <w:pPr>
        <w:pStyle w:val="995"/>
        <w:numPr>
          <w:ilvl w:val="1"/>
          <w:numId w:val="0"/>
        </w:numPr>
        <w:ind w:firstLine="420"/>
        <w:spacing w:line="360" w:lineRule="auto"/>
        <w:tabs>
          <w:tab w:val="left" w:pos="1059"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6.3 供应商应用人民币报价。</w:t>
      </w:r>
      <w:r/>
    </w:p>
    <w:p>
      <w:pPr>
        <w:pStyle w:val="995"/>
        <w:numPr>
          <w:ilvl w:val="1"/>
          <w:numId w:val="0"/>
        </w:numPr>
        <w:ind w:firstLine="420"/>
        <w:spacing w:line="360" w:lineRule="auto"/>
        <w:tabs>
          <w:tab w:val="left" w:pos="1059"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6.4 如标书制作工具中格式和内容与“江苏政府采购网”发布的招标文件不一致，以“江苏政府采购网”发布的招标文件为准。</w:t>
      </w:r>
      <w:r/>
    </w:p>
    <w:p>
      <w:pPr>
        <w:pStyle w:val="995"/>
        <w:numPr>
          <w:ilvl w:val="1"/>
          <w:numId w:val="0"/>
        </w:numPr>
        <w:ind w:firstLine="420"/>
        <w:spacing w:line="360" w:lineRule="auto"/>
        <w:tabs>
          <w:tab w:val="left" w:pos="1059"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6.5 供应商应在投标文件中写清相应的项目编号、项目名称、供应商全称、地址、电话、传真等。</w:t>
      </w:r>
      <w:r/>
    </w:p>
    <w:p>
      <w:pPr>
        <w:pStyle w:val="995"/>
        <w:numPr>
          <w:ilvl w:val="1"/>
          <w:numId w:val="0"/>
        </w:numPr>
        <w:ind w:firstLine="420"/>
        <w:spacing w:line="360" w:lineRule="auto"/>
        <w:tabs>
          <w:tab w:val="left" w:pos="1059" w:leader="none"/>
        </w:tabs>
        <w:rPr>
          <w:b/>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6.6 供应商所使用的技术标准应遵循国家最新标准及规范。</w:t>
      </w:r>
      <w:r>
        <w:rPr>
          <w:rFonts w:hint="eastAsia"/>
          <w:color w:val="000000" w:themeColor="text1"/>
          <w:sz w:val="21"/>
          <w:szCs w:val="21"/>
          <w14:textFill>
            <w14:solidFill>
              <w14:schemeClr w14:val="tx1"/>
            </w14:solidFill>
          </w14:textFill>
        </w:rPr>
        <w:t xml:space="preserve">   </w:t>
      </w:r>
      <w:r/>
    </w:p>
    <w:p>
      <w:pPr>
        <w:pStyle w:val="995"/>
        <w:ind w:left="440" w:firstLine="0"/>
        <w:spacing w:line="360" w:lineRule="auto"/>
        <w:tabs>
          <w:tab w:val="left" w:pos="1059" w:leader="none"/>
        </w:tabs>
        <w:rPr>
          <w:b/>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7</w:t>
      </w:r>
      <w:r>
        <w:rPr>
          <w:rFonts w:hint="eastAsia"/>
          <w:b/>
          <w:color w:val="000000" w:themeColor="text1"/>
          <w:sz w:val="21"/>
          <w:szCs w:val="21"/>
          <w14:textFill>
            <w14:solidFill>
              <w14:schemeClr w14:val="tx1"/>
            </w14:solidFill>
          </w14:textFill>
        </w:rPr>
        <w:t xml:space="preserve">、联合投标</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本次项目不接受联合体形式投标</w:t>
      </w:r>
      <w:bookmarkStart w:id="19" w:name="8、投标费用"/>
      <w:r/>
      <w:bookmarkEnd w:id="19"/>
      <w:r>
        <w:rPr>
          <w:rFonts w:hint="eastAsia"/>
          <w:color w:val="000000" w:themeColor="text1"/>
          <w:sz w:val="21"/>
          <w:szCs w:val="21"/>
          <w14:textFill>
            <w14:solidFill>
              <w14:schemeClr w14:val="tx1"/>
            </w14:solidFill>
          </w14:textFill>
        </w:rPr>
        <w:t xml:space="preserve">。</w:t>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8、投标费用</w:t>
      </w:r>
      <w:r/>
    </w:p>
    <w:p>
      <w:pPr>
        <w:ind w:firstLine="420"/>
        <w:spacing w:line="360" w:lineRule="auto"/>
        <w:rPr>
          <w:bCs/>
          <w:color w:val="000000" w:themeColor="text1"/>
          <w:sz w:val="21"/>
          <w:szCs w:val="21"/>
          <w:lang w:val="en-US"/>
          <w14:textFill>
            <w14:solidFill>
              <w14:schemeClr w14:val="tx1"/>
            </w14:solidFill>
          </w14:textFill>
        </w:rPr>
      </w:pPr>
      <w:r>
        <w:rPr>
          <w:rFonts w:hint="eastAsia"/>
          <w:bCs/>
          <w:color w:val="000000" w:themeColor="text1"/>
          <w:sz w:val="21"/>
          <w:szCs w:val="21"/>
          <w:lang w:val="en-US"/>
          <w14:textFill>
            <w14:solidFill>
              <w14:schemeClr w14:val="tx1"/>
            </w14:solidFill>
          </w14:textFill>
        </w:rPr>
        <w:t xml:space="preserve">8</w:t>
      </w:r>
      <w:r>
        <w:rPr>
          <w:bCs/>
          <w:color w:val="000000" w:themeColor="text1"/>
          <w:sz w:val="21"/>
          <w:szCs w:val="21"/>
          <w:lang w:val="en-US"/>
          <w14:textFill>
            <w14:solidFill>
              <w14:schemeClr w14:val="tx1"/>
            </w14:solidFill>
          </w14:textFill>
        </w:rPr>
        <w:t xml:space="preserve">.</w:t>
      </w:r>
      <w:r>
        <w:rPr>
          <w:rFonts w:hint="eastAsia"/>
          <w:bCs/>
          <w:color w:val="000000" w:themeColor="text1"/>
          <w:sz w:val="21"/>
          <w:szCs w:val="21"/>
          <w:lang w:val="en-US"/>
          <w14:textFill>
            <w14:solidFill>
              <w14:schemeClr w14:val="tx1"/>
            </w14:solidFill>
          </w14:textFill>
        </w:rPr>
        <w:t xml:space="preserve">1 本次招标项目代理服务费执行《招标代理服务收费管理暂行办法》（计价格〔2002〕1980 号）及《关于降低部分建设项目收费标准规范收费行为等有关问题的通知》（发改价格〔2011〕534 号）相关规定，按对应收费标准的 65% 计算；实际以【按前述收费标准得出的计算结果</w:t>
      </w:r>
      <w:r>
        <w:rPr>
          <w:bCs/>
          <w:color w:val="000000" w:themeColor="text1"/>
          <w:sz w:val="21"/>
          <w:szCs w:val="21"/>
          <w:lang w:val="en-US"/>
          <w14:textFill>
            <w14:solidFill>
              <w14:schemeClr w14:val="tx1"/>
            </w14:solidFill>
          </w14:textFill>
        </w:rPr>
        <w:t xml:space="preserve">*成交折扣率65%-采购人承担的该项目专家评审费】计取，若低于本项目的保底价人民币3000元，则按本项目的保底价人民币（3000元-采购人承担的该项目专家评审费）计取。招标代理服务费由中标(成交)供应商最终支付和承担。该项费用无需单列在报价中。</w:t>
      </w:r>
      <w:r/>
    </w:p>
    <w:p>
      <w:pPr>
        <w:ind w:firstLine="420"/>
        <w:spacing w:line="360" w:lineRule="auto"/>
        <w:rPr>
          <w:bCs/>
          <w:color w:val="000000" w:themeColor="text1"/>
          <w:sz w:val="21"/>
          <w:szCs w:val="21"/>
          <w:lang w:val="en-US"/>
          <w14:textFill>
            <w14:solidFill>
              <w14:schemeClr w14:val="tx1"/>
            </w14:solidFill>
          </w14:textFill>
        </w:rPr>
      </w:pPr>
      <w:r>
        <w:rPr>
          <w:rFonts w:hint="eastAsia"/>
          <w:bCs/>
          <w:color w:val="000000" w:themeColor="text1"/>
          <w:sz w:val="21"/>
          <w:szCs w:val="21"/>
          <w:lang w:val="en-US"/>
          <w14:textFill>
            <w14:solidFill>
              <w14:schemeClr w14:val="tx1"/>
            </w14:solidFill>
          </w14:textFill>
        </w:rPr>
        <w:t xml:space="preserve">8.2 投标保证金：本项目</w:t>
      </w:r>
      <w:r>
        <w:rPr>
          <w:rFonts w:hint="eastAsia"/>
          <w:b/>
          <w:color w:val="000000" w:themeColor="text1"/>
          <w:sz w:val="21"/>
          <w:szCs w:val="21"/>
          <w:lang w:val="en-US"/>
          <w14:textFill>
            <w14:solidFill>
              <w14:schemeClr w14:val="tx1"/>
            </w14:solidFill>
          </w14:textFill>
        </w:rPr>
        <w:t xml:space="preserve">不收取</w:t>
      </w:r>
      <w:r>
        <w:rPr>
          <w:rFonts w:hint="eastAsia"/>
          <w:bCs/>
          <w:color w:val="000000" w:themeColor="text1"/>
          <w:sz w:val="21"/>
          <w:szCs w:val="21"/>
          <w:lang w:val="en-US"/>
          <w14:textFill>
            <w14:solidFill>
              <w14:schemeClr w14:val="tx1"/>
            </w14:solidFill>
          </w14:textFill>
        </w:rPr>
        <w:t xml:space="preserve">投标保证金。</w:t>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9、投标文件组成</w:t>
      </w:r>
      <w:r/>
    </w:p>
    <w:p>
      <w:pPr>
        <w:pStyle w:val="995"/>
        <w:numPr>
          <w:ilvl w:val="1"/>
          <w:numId w:val="11"/>
        </w:numPr>
        <w:ind w:firstLine="420"/>
        <w:spacing w:line="360" w:lineRule="auto"/>
        <w:tabs>
          <w:tab w:val="left" w:pos="1006"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供应商应当根据招标文件要求编制投标文件，投标文件应对招标文件提出的要求和条件作出实质性响应，并在《商务条款偏离表》和《技术条款偏离表》、《资格性和符合性检查响应对照表》等处逐条标明满足与否。</w:t>
      </w:r>
      <w:r/>
    </w:p>
    <w:p>
      <w:pPr>
        <w:pStyle w:val="995"/>
        <w:numPr>
          <w:ilvl w:val="1"/>
          <w:numId w:val="11"/>
        </w:numPr>
        <w:ind w:firstLine="420"/>
        <w:spacing w:line="360" w:lineRule="auto"/>
        <w:tabs>
          <w:tab w:val="left" w:pos="1049"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供应商根据招标文件载明的标的采购项目实际情况，拟在中标后将中标项目的非主体、非关键性工作交由他人完成的，应当在投标文件中载明。</w:t>
      </w:r>
      <w:r/>
    </w:p>
    <w:p>
      <w:pPr>
        <w:pStyle w:val="995"/>
        <w:numPr>
          <w:ilvl w:val="1"/>
          <w:numId w:val="11"/>
        </w:numPr>
        <w:ind w:firstLine="420"/>
        <w:spacing w:line="360" w:lineRule="auto"/>
        <w:tabs>
          <w:tab w:val="left" w:pos="1059" w:leader="none"/>
        </w:tabs>
        <w:rPr>
          <w:b/>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投标文件由商务部分、技术部分、价格部分，以及其他部分组成。 </w:t>
      </w:r>
      <w:r/>
    </w:p>
    <w:p>
      <w:pPr>
        <w:pStyle w:val="995"/>
        <w:ind w:left="440" w:firstLine="0"/>
        <w:spacing w:line="360" w:lineRule="auto"/>
        <w:tabs>
          <w:tab w:val="left" w:pos="1059" w:leader="none"/>
        </w:tabs>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10、投标文件的商务部分</w:t>
      </w:r>
      <w:r/>
    </w:p>
    <w:p>
      <w:pPr>
        <w:pStyle w:val="902"/>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10.1 商务部分是证明供应商有资格参加投标和中标后有能力履行合同的文件，这些文件应能满足招标的要求，包括但不限于下列文件，其中加“</w:t>
      </w:r>
      <w:r>
        <w:rPr>
          <w:rFonts w:hint="eastAsia" w:asciiTheme="minorEastAsia" w:hAnsiTheme="minorEastAsia" w:eastAsiaTheme="minorEastAsia"/>
          <w:b/>
          <w:color w:val="000000" w:themeColor="text1"/>
          <w14:textFill>
            <w14:solidFill>
              <w14:schemeClr w14:val="tx1"/>
            </w14:solidFill>
          </w14:textFill>
        </w:rPr>
        <w:t xml:space="preserve">★</w:t>
      </w:r>
      <w:r>
        <w:rPr>
          <w:rFonts w:hint="eastAsia"/>
          <w:color w:val="000000" w:themeColor="text1"/>
          <w14:textFill>
            <w14:solidFill>
              <w14:schemeClr w14:val="tx1"/>
            </w14:solidFill>
          </w14:textFill>
        </w:rPr>
        <w:t xml:space="preserve">”项目不得有缺失或无效。</w:t>
      </w:r>
      <w:r/>
    </w:p>
    <w:p>
      <w:pPr>
        <w:pStyle w:val="995"/>
        <w:numPr>
          <w:ilvl w:val="0"/>
          <w:numId w:val="12"/>
        </w:numPr>
        <w:ind w:firstLine="442"/>
        <w:spacing w:line="360" w:lineRule="auto"/>
        <w:tabs>
          <w:tab w:val="left" w:pos="1164" w:leader="none"/>
        </w:tabs>
        <w:rPr>
          <w:color w:val="000000" w:themeColor="text1"/>
          <w:sz w:val="2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w:t>
      </w:r>
      <w:r>
        <w:rPr>
          <w:rFonts w:hint="eastAsia"/>
          <w:color w:val="000000" w:themeColor="text1"/>
          <w:sz w:val="21"/>
          <w:szCs w:val="21"/>
          <w14:textFill>
            <w14:solidFill>
              <w14:schemeClr w14:val="tx1"/>
            </w14:solidFill>
          </w14:textFill>
        </w:rPr>
        <w:t xml:space="preserve">投标申请及声明；</w:t>
      </w:r>
      <w:r/>
    </w:p>
    <w:p>
      <w:pPr>
        <w:pStyle w:val="995"/>
        <w:numPr>
          <w:ilvl w:val="0"/>
          <w:numId w:val="12"/>
        </w:numPr>
        <w:ind w:firstLine="442"/>
        <w:spacing w:line="360" w:lineRule="auto"/>
        <w:tabs>
          <w:tab w:val="left" w:pos="1164" w:leader="none"/>
        </w:tabs>
        <w:rPr>
          <w:color w:val="000000" w:themeColor="text1"/>
          <w:sz w:val="2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w:t>
      </w:r>
      <w:r>
        <w:rPr>
          <w:rFonts w:hint="eastAsia"/>
          <w:color w:val="000000" w:themeColor="text1"/>
          <w:sz w:val="21"/>
          <w:szCs w:val="21"/>
          <w14:textFill>
            <w14:solidFill>
              <w14:schemeClr w14:val="tx1"/>
            </w14:solidFill>
          </w14:textFill>
        </w:rPr>
        <w:t xml:space="preserve">法定代表人授权委托书及委托代理人的身份证复印件；</w:t>
      </w:r>
      <w:r/>
    </w:p>
    <w:p>
      <w:pPr>
        <w:pStyle w:val="995"/>
        <w:numPr>
          <w:ilvl w:val="0"/>
          <w:numId w:val="12"/>
        </w:numPr>
        <w:ind w:firstLine="442"/>
        <w:spacing w:line="360" w:lineRule="auto"/>
        <w:tabs>
          <w:tab w:val="left" w:pos="1169" w:leader="none"/>
        </w:tabs>
        <w:rPr>
          <w:color w:val="000000" w:themeColor="text1"/>
          <w:sz w:val="2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w:t>
      </w:r>
      <w:r>
        <w:rPr>
          <w:rFonts w:hint="eastAsia"/>
          <w:b/>
          <w:color w:val="000000" w:themeColor="text1"/>
          <w:sz w:val="21"/>
          <w:szCs w:val="21"/>
          <w14:textFill>
            <w14:solidFill>
              <w14:schemeClr w14:val="tx1"/>
            </w14:solidFill>
          </w14:textFill>
        </w:rPr>
        <w:t xml:space="preserve">第一章投标邀请中申请人的资格要求规定的资格条件证明文件；</w:t>
      </w:r>
      <w:r/>
    </w:p>
    <w:p>
      <w:pPr>
        <w:pStyle w:val="995"/>
        <w:numPr>
          <w:ilvl w:val="0"/>
          <w:numId w:val="12"/>
        </w:numPr>
        <w:ind w:firstLine="442"/>
        <w:spacing w:line="360" w:lineRule="auto"/>
        <w:tabs>
          <w:tab w:val="left" w:pos="1163" w:leader="none"/>
        </w:tabs>
        <w:rPr>
          <w:color w:val="000000" w:themeColor="text1"/>
          <w:sz w:val="2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w:t>
      </w:r>
      <w:r>
        <w:rPr>
          <w:rFonts w:hint="eastAsia"/>
          <w:color w:val="000000" w:themeColor="text1"/>
          <w:sz w:val="21"/>
          <w:szCs w:val="21"/>
          <w14:textFill>
            <w14:solidFill>
              <w14:schemeClr w14:val="tx1"/>
            </w14:solidFill>
          </w14:textFill>
        </w:rPr>
        <w:t xml:space="preserve">《商务条款偏离表》；</w:t>
      </w:r>
      <w:r/>
    </w:p>
    <w:p>
      <w:pPr>
        <w:pStyle w:val="995"/>
        <w:ind w:left="440" w:firstLine="0"/>
        <w:spacing w:line="360" w:lineRule="auto"/>
        <w:tabs>
          <w:tab w:val="left" w:pos="1163" w:leader="none"/>
        </w:tabs>
        <w:rPr>
          <w:b/>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w:t>
      </w:r>
      <w:r>
        <w:rPr>
          <w:rFonts w:hint="eastAsia"/>
          <w:color w:val="000000" w:themeColor="text1"/>
          <w:sz w:val="21"/>
          <w:szCs w:val="21"/>
          <w:lang w:val="en-US"/>
          <w14:textFill>
            <w14:solidFill>
              <w14:schemeClr w14:val="tx1"/>
            </w14:solidFill>
          </w14:textFill>
        </w:rPr>
        <w:t xml:space="preserve">5</w:t>
      </w:r>
      <w:r>
        <w:rPr>
          <w:rFonts w:hint="eastAsia"/>
          <w:color w:val="000000" w:themeColor="text1"/>
          <w:sz w:val="21"/>
          <w:szCs w:val="21"/>
          <w14:textFill>
            <w14:solidFill>
              <w14:schemeClr w14:val="tx1"/>
            </w14:solidFill>
          </w14:textFill>
        </w:rPr>
        <w:t xml:space="preserve">）供应商认为需要提供的其他资格证明文件和商务资料等。 </w:t>
      </w:r>
      <w:r/>
    </w:p>
    <w:p>
      <w:pPr>
        <w:pStyle w:val="995"/>
        <w:ind w:left="440" w:firstLine="0"/>
        <w:spacing w:line="360" w:lineRule="auto"/>
        <w:tabs>
          <w:tab w:val="left" w:pos="1163" w:leader="none"/>
        </w:tabs>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11、投标文件的技术部分</w:t>
      </w:r>
      <w:r/>
    </w:p>
    <w:p>
      <w:pPr>
        <w:pStyle w:val="995"/>
        <w:numPr>
          <w:ilvl w:val="1"/>
          <w:numId w:val="13"/>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技术部分是证明供应商提供的产品和服务是合格的、并符合招标文件要求的证明文件，以及对投标报价表中的服务的详细说明，这些文件可以是文字资料、图纸和数据等。</w:t>
      </w:r>
      <w:r/>
    </w:p>
    <w:p>
      <w:pPr>
        <w:pStyle w:val="995"/>
        <w:numPr>
          <w:ilvl w:val="1"/>
          <w:numId w:val="13"/>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若技术性能无特殊说明，则按国家有关部门最新颁布的标准及规范为准；</w:t>
      </w:r>
      <w:r/>
    </w:p>
    <w:p>
      <w:pPr>
        <w:pStyle w:val="995"/>
        <w:numPr>
          <w:ilvl w:val="1"/>
          <w:numId w:val="13"/>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提供的服务如与招标文件要求有不符之处，应说明其差别之所在，并在《技术条款偏离表》中逐条予以说明。</w:t>
      </w:r>
      <w:r/>
    </w:p>
    <w:p>
      <w:pPr>
        <w:pStyle w:val="995"/>
        <w:numPr>
          <w:ilvl w:val="1"/>
          <w:numId w:val="13"/>
        </w:numPr>
        <w:ind w:firstLine="420"/>
        <w:spacing w:line="360" w:lineRule="auto"/>
        <w:tabs>
          <w:tab w:val="left" w:pos="1164" w:leader="none"/>
        </w:tabs>
        <w:rPr>
          <w:b/>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投标文件应按照招标文件要求提供技术资料、文件和有关证明，包括但不限于</w:t>
      </w:r>
      <w:r>
        <w:rPr>
          <w:rFonts w:hint="eastAsia"/>
          <w:b/>
          <w:color w:val="000000" w:themeColor="text1"/>
          <w:sz w:val="21"/>
          <w:szCs w:val="21"/>
          <w14:textFill>
            <w14:solidFill>
              <w14:schemeClr w14:val="tx1"/>
            </w14:solidFill>
          </w14:textFill>
        </w:rPr>
        <w:t xml:space="preserve">其中加</w:t>
      </w:r>
      <w:r>
        <w:rPr>
          <w:rFonts w:hint="eastAsia" w:asciiTheme="minorEastAsia" w:hAnsiTheme="minorEastAsia" w:eastAsiaTheme="minorEastAsia"/>
          <w:b/>
          <w:color w:val="000000" w:themeColor="text1"/>
          <w:szCs w:val="21"/>
          <w14:textFill>
            <w14:solidFill>
              <w14:schemeClr w14:val="tx1"/>
            </w14:solidFill>
          </w14:textFill>
        </w:rPr>
        <w:t xml:space="preserve">★</w:t>
      </w:r>
      <w:r>
        <w:rPr>
          <w:rFonts w:hint="eastAsia"/>
          <w:b/>
          <w:color w:val="000000" w:themeColor="text1"/>
          <w:sz w:val="21"/>
          <w:szCs w:val="21"/>
          <w14:textFill>
            <w14:solidFill>
              <w14:schemeClr w14:val="tx1"/>
            </w14:solidFill>
          </w14:textFill>
        </w:rPr>
        <w:t xml:space="preserve">项目不得有缺失或无效：</w:t>
      </w:r>
      <w:r/>
    </w:p>
    <w:p>
      <w:pPr>
        <w:pStyle w:val="995"/>
        <w:numPr>
          <w:ilvl w:val="0"/>
          <w:numId w:val="14"/>
        </w:numPr>
        <w:ind w:firstLine="420"/>
        <w:spacing w:line="360" w:lineRule="auto"/>
        <w:tabs>
          <w:tab w:val="left" w:pos="1164" w:leader="none"/>
        </w:tabs>
        <w:rPr>
          <w:bCs/>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拟投入本项目人员配备表；</w:t>
      </w:r>
      <w:r/>
    </w:p>
    <w:p>
      <w:pPr>
        <w:pStyle w:val="995"/>
        <w:numPr>
          <w:ilvl w:val="0"/>
          <w:numId w:val="14"/>
        </w:numPr>
        <w:ind w:firstLine="42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项目实施方案；</w:t>
      </w:r>
      <w:r/>
    </w:p>
    <w:p>
      <w:pPr>
        <w:pStyle w:val="995"/>
        <w:numPr>
          <w:ilvl w:val="0"/>
          <w:numId w:val="14"/>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服务承诺；</w:t>
      </w:r>
      <w:r/>
    </w:p>
    <w:p>
      <w:pPr>
        <w:pStyle w:val="995"/>
        <w:numPr>
          <w:ilvl w:val="0"/>
          <w:numId w:val="14"/>
        </w:numPr>
        <w:ind w:firstLine="442"/>
        <w:spacing w:line="360" w:lineRule="auto"/>
        <w:tabs>
          <w:tab w:val="left" w:pos="1163" w:leader="none"/>
        </w:tabs>
        <w:rPr>
          <w:color w:val="000000" w:themeColor="text1"/>
          <w:sz w:val="2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w:t>
      </w:r>
      <w:r>
        <w:rPr>
          <w:rFonts w:hint="eastAsia"/>
          <w:color w:val="000000" w:themeColor="text1"/>
          <w:sz w:val="21"/>
          <w:szCs w:val="21"/>
          <w14:textFill>
            <w14:solidFill>
              <w14:schemeClr w14:val="tx1"/>
            </w14:solidFill>
          </w14:textFill>
        </w:rPr>
        <w:t xml:space="preserve">《技术条款偏离表》；</w:t>
      </w:r>
      <w:r/>
    </w:p>
    <w:p>
      <w:pPr>
        <w:pStyle w:val="995"/>
        <w:numPr>
          <w:ilvl w:val="0"/>
          <w:numId w:val="14"/>
        </w:numPr>
        <w:ind w:firstLine="420"/>
        <w:spacing w:line="360" w:lineRule="auto"/>
        <w:tabs>
          <w:tab w:val="left" w:pos="1163" w:leader="none"/>
        </w:tabs>
        <w:rPr>
          <w:b/>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供应商认为需要提供的其他技术资料。</w:t>
      </w:r>
      <w:r/>
    </w:p>
    <w:p>
      <w:pPr>
        <w:pStyle w:val="995"/>
        <w:ind w:left="440" w:firstLine="0"/>
        <w:spacing w:line="360" w:lineRule="auto"/>
        <w:tabs>
          <w:tab w:val="left" w:pos="1163" w:leader="none"/>
        </w:tabs>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12、投标文件的价格部分</w:t>
      </w:r>
      <w:r/>
    </w:p>
    <w:p>
      <w:pPr>
        <w:pStyle w:val="995"/>
        <w:ind w:left="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12.1 本工程采用固定</w:t>
      </w:r>
      <w:r>
        <w:rPr>
          <w:rFonts w:hint="eastAsia"/>
          <w:color w:val="000000" w:themeColor="text1"/>
          <w:sz w:val="21"/>
          <w:szCs w:val="21"/>
          <w:lang w:val="en-US"/>
          <w14:textFill>
            <w14:solidFill>
              <w14:schemeClr w14:val="tx1"/>
            </w14:solidFill>
          </w14:textFill>
        </w:rPr>
        <w:t xml:space="preserve">综合</w:t>
      </w:r>
      <w:r>
        <w:rPr>
          <w:rFonts w:hint="eastAsia"/>
          <w:color w:val="000000" w:themeColor="text1"/>
          <w:sz w:val="21"/>
          <w:szCs w:val="21"/>
          <w14:textFill>
            <w14:solidFill>
              <w14:schemeClr w14:val="tx1"/>
            </w14:solidFill>
          </w14:textFill>
        </w:rPr>
        <w:t xml:space="preserve">单价合同，单价不可调，工程量根据工程施工实际情况，竣工并经审计后按实结算。 </w:t>
      </w:r>
      <w:r/>
    </w:p>
    <w:p>
      <w:p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w:t>
      </w:r>
      <w:r>
        <w:rPr>
          <w:color w:val="000000" w:themeColor="text1"/>
          <w:sz w:val="21"/>
          <w:szCs w:val="21"/>
          <w14:textFill>
            <w14:solidFill>
              <w14:schemeClr w14:val="tx1"/>
            </w14:solidFill>
          </w14:textFill>
        </w:rPr>
        <w:t xml:space="preserve">2</w:t>
      </w:r>
      <w:r>
        <w:rPr>
          <w:rFonts w:hint="eastAsia"/>
          <w:color w:val="000000" w:themeColor="text1"/>
          <w:sz w:val="21"/>
          <w:szCs w:val="21"/>
          <w14:textFill>
            <w14:solidFill>
              <w14:schemeClr w14:val="tx1"/>
            </w14:solidFill>
          </w14:textFill>
        </w:rPr>
        <w:t xml:space="preserve">.</w:t>
      </w:r>
      <w:r>
        <w:rPr>
          <w:color w:val="000000" w:themeColor="text1"/>
          <w:sz w:val="21"/>
          <w:szCs w:val="21"/>
          <w14:textFill>
            <w14:solidFill>
              <w14:schemeClr w14:val="tx1"/>
            </w14:solidFill>
          </w14:textFill>
        </w:rPr>
        <w:t xml:space="preserve">2投标人投标报价不得低于其成本价。</w:t>
      </w:r>
      <w:r>
        <w:rPr>
          <w:rFonts w:hint="eastAsia"/>
          <w:color w:val="000000" w:themeColor="text1"/>
          <w:sz w:val="21"/>
          <w:szCs w:val="21"/>
          <w14:textFill>
            <w14:solidFill>
              <w14:schemeClr w14:val="tx1"/>
            </w14:solidFill>
          </w14:textFill>
        </w:rPr>
        <w:t xml:space="preserve">工程中标价即为合同价，投标报价应包括人工费、材料费、机械设备费、运输费、施工水电费、校内运输费、二次搬运费、垂直运输费、脚手架、检测费、保洁费、室内环境检测费、技术服务费（包括技术资料、图纸提供等）、保险费、规费及税金等一切费用。</w:t>
      </w:r>
      <w:r/>
    </w:p>
    <w:p>
      <w:pPr>
        <w:pStyle w:val="995"/>
        <w:ind w:firstLine="210"/>
        <w:spacing w:line="360" w:lineRule="auto"/>
        <w:tabs>
          <w:tab w:val="left" w:pos="116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12.3.投标人必须按照招标文件规定的报价编制要求、工程量清单格式及要求进行报价，除了工程量清单报价，招标人不再接受其他任何形式的报价及说明（如降价函、报价修正函等）。</w:t>
      </w:r>
      <w:r/>
    </w:p>
    <w:p>
      <w:pPr>
        <w:pStyle w:val="995"/>
        <w:ind w:left="0"/>
        <w:spacing w:line="360" w:lineRule="auto"/>
        <w:tabs>
          <w:tab w:val="left" w:pos="116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12.4.供应商应充分考虑所有可能影响到报价的价格及政策等风险因素，根据工程量清单报各项单价，一旦中标，单价不予调整，工程竣工验收后，</w:t>
      </w:r>
      <w:r>
        <w:rPr>
          <w:rFonts w:hint="eastAsia"/>
          <w:color w:val="000000" w:themeColor="text1"/>
          <w:sz w:val="21"/>
          <w:szCs w:val="21"/>
          <w14:textFill>
            <w14:solidFill>
              <w14:schemeClr w14:val="tx1"/>
            </w14:solidFill>
          </w14:textFill>
        </w:rPr>
        <w:t xml:space="preserve">采购人</w:t>
      </w:r>
      <w:r>
        <w:rPr>
          <w:color w:val="000000" w:themeColor="text1"/>
          <w:sz w:val="21"/>
          <w:szCs w:val="21"/>
          <w14:textFill>
            <w14:solidFill>
              <w14:schemeClr w14:val="tx1"/>
            </w14:solidFill>
          </w14:textFill>
        </w:rPr>
        <w:t xml:space="preserve">按照中标人的投标预算单价和实际完成工程量送审，并按审计后总价进行项目结算。</w:t>
      </w:r>
      <w:r/>
    </w:p>
    <w:p>
      <w:pPr>
        <w:pStyle w:val="995"/>
        <w:ind w:left="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12.</w:t>
      </w:r>
      <w:r>
        <w:rPr>
          <w:color w:val="000000" w:themeColor="text1"/>
          <w:sz w:val="21"/>
          <w:szCs w:val="21"/>
          <w14:textFill>
            <w14:solidFill>
              <w14:schemeClr w14:val="tx1"/>
            </w14:solidFill>
          </w14:textFill>
        </w:rPr>
        <w:t xml:space="preserve">5</w:t>
      </w:r>
      <w:r>
        <w:rPr>
          <w:rFonts w:hint="eastAsia"/>
          <w:color w:val="000000" w:themeColor="text1"/>
          <w:sz w:val="21"/>
          <w:szCs w:val="21"/>
          <w14:textFill>
            <w14:solidFill>
              <w14:schemeClr w14:val="tx1"/>
            </w14:solidFill>
          </w14:textFill>
        </w:rPr>
        <w:t xml:space="preserve"> 供应商的任何错漏、优惠、竞争性报价不得作为减轻责任、减少服务、增加收费、降低质量的理由。</w:t>
      </w:r>
      <w:r/>
    </w:p>
    <w:p>
      <w:pPr>
        <w:pStyle w:val="995"/>
        <w:ind w:left="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12.</w:t>
      </w:r>
      <w:r>
        <w:rPr>
          <w:color w:val="000000" w:themeColor="text1"/>
          <w:sz w:val="21"/>
          <w:szCs w:val="21"/>
          <w14:textFill>
            <w14:solidFill>
              <w14:schemeClr w14:val="tx1"/>
            </w14:solidFill>
          </w14:textFill>
        </w:rPr>
        <w:t xml:space="preserve">6</w:t>
      </w:r>
      <w:r>
        <w:rPr>
          <w:rFonts w:hint="eastAsia"/>
          <w:color w:val="000000" w:themeColor="text1"/>
          <w:sz w:val="21"/>
          <w:szCs w:val="21"/>
          <w14:textFill>
            <w14:solidFill>
              <w14:schemeClr w14:val="tx1"/>
            </w14:solidFill>
          </w14:textFill>
        </w:rPr>
        <w:t xml:space="preserve"> 供应商应在《开标一览表》《分项报价表》等标明提供服务的单价、总价以及分项报价。供应商系小微企业（含小型、微型企业）、残疾人福利性单位、监狱企业，并提供本企业承担的服务的，须在《开标一览表》《分项报价表》中注明,供应商应当如实申报,否则评标委员会有权取消其小微企业、残疾人福利性单位、监狱企业优惠政策。</w:t>
      </w:r>
      <w:r/>
    </w:p>
    <w:p>
      <w:pPr>
        <w:pStyle w:val="995"/>
        <w:ind w:left="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12.</w:t>
      </w:r>
      <w:r>
        <w:rPr>
          <w:color w:val="000000" w:themeColor="text1"/>
          <w:sz w:val="21"/>
          <w:szCs w:val="21"/>
          <w14:textFill>
            <w14:solidFill>
              <w14:schemeClr w14:val="tx1"/>
            </w14:solidFill>
          </w14:textFill>
        </w:rPr>
        <w:t xml:space="preserve">7</w:t>
      </w:r>
      <w:r>
        <w:rPr>
          <w:rFonts w:hint="eastAsia"/>
          <w:color w:val="000000" w:themeColor="text1"/>
          <w:sz w:val="21"/>
          <w:szCs w:val="21"/>
          <w14:textFill>
            <w14:solidFill>
              <w14:schemeClr w14:val="tx1"/>
            </w14:solidFill>
          </w14:textFill>
        </w:rPr>
        <w:t xml:space="preserve"> 《开标一览表》须加盖电子公章。</w:t>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13、投标文件的其他部分</w:t>
      </w:r>
      <w:r/>
    </w:p>
    <w:p>
      <w:pPr>
        <w:pStyle w:val="902"/>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13.1 其他部分由供应商根据编制投标文件需要提供的其他相关文件组成。</w:t>
      </w:r>
      <w:r/>
    </w:p>
    <w:p>
      <w:pPr>
        <w:pStyle w:val="902"/>
        <w:ind w:firstLine="422"/>
        <w:spacing w:line="360" w:lineRule="auto"/>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14、投标有效期</w:t>
      </w:r>
      <w:r/>
    </w:p>
    <w:p>
      <w:pPr>
        <w:pStyle w:val="995"/>
        <w:numPr>
          <w:ilvl w:val="1"/>
          <w:numId w:val="15"/>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自开标之日起</w:t>
      </w:r>
      <w:r>
        <w:rPr>
          <w:rFonts w:hint="eastAsia"/>
          <w:b/>
          <w:color w:val="000000" w:themeColor="text1"/>
          <w:sz w:val="21"/>
          <w:szCs w:val="21"/>
          <w14:textFill>
            <w14:solidFill>
              <w14:schemeClr w14:val="tx1"/>
            </w14:solidFill>
          </w14:textFill>
        </w:rPr>
        <w:t xml:space="preserve">60天</w:t>
      </w:r>
      <w:r>
        <w:rPr>
          <w:rFonts w:hint="eastAsia"/>
          <w:color w:val="000000" w:themeColor="text1"/>
          <w:sz w:val="21"/>
          <w:szCs w:val="21"/>
          <w14:textFill>
            <w14:solidFill>
              <w14:schemeClr w14:val="tx1"/>
            </w14:solidFill>
          </w14:textFill>
        </w:rPr>
        <w:t xml:space="preserve">内投标有效。</w:t>
      </w:r>
      <w:r/>
    </w:p>
    <w:p>
      <w:pPr>
        <w:pStyle w:val="995"/>
        <w:numPr>
          <w:ilvl w:val="1"/>
          <w:numId w:val="15"/>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在特殊情况下，在原投标有效期截止之前，招标代理可要求供应商同意延长投标有效期，这种要求与答复均以书面形式提交。供应商可拒绝这种要求。接受延长投标有效期的供应商将不会要求和允许修正其投标。</w:t>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15、投标文件的份数、签署</w:t>
      </w:r>
      <w:r/>
    </w:p>
    <w:p>
      <w:pPr>
        <w:pStyle w:val="995"/>
        <w:numPr>
          <w:ilvl w:val="1"/>
          <w:numId w:val="16"/>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除供应商对错处做必要修改外，投标文件不得行间插字、涂改或增删。如有修改错漏处，必须由投标文件签署人签字或加盖电子公章。</w:t>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16、投标文件的递交</w:t>
      </w:r>
      <w:r/>
    </w:p>
    <w:p>
      <w:pPr>
        <w:pStyle w:val="995"/>
        <w:numPr>
          <w:ilvl w:val="1"/>
          <w:numId w:val="0"/>
        </w:numPr>
        <w:ind w:firstLine="420"/>
        <w:spacing w:line="360" w:lineRule="auto"/>
        <w:tabs>
          <w:tab w:val="left" w:pos="116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w:t>
      </w:r>
      <w:r>
        <w:rPr>
          <w:rFonts w:hint="eastAsia"/>
          <w:color w:val="000000" w:themeColor="text1"/>
          <w:sz w:val="21"/>
          <w:szCs w:val="21"/>
          <w:lang w:val="en-US"/>
          <w14:textFill>
            <w14:solidFill>
              <w14:schemeClr w14:val="tx1"/>
            </w14:solidFill>
          </w14:textFill>
        </w:rPr>
        <w:t xml:space="preserve">6</w:t>
      </w:r>
      <w:r>
        <w:rPr>
          <w:color w:val="000000" w:themeColor="text1"/>
          <w:sz w:val="21"/>
          <w:szCs w:val="21"/>
          <w14:textFill>
            <w14:solidFill>
              <w14:schemeClr w14:val="tx1"/>
            </w14:solidFill>
          </w14:textFill>
        </w:rPr>
        <w:t xml:space="preserve">.1 投标人应当按照《操作手册》规定，在招标公告规定的投标截止时间前制作并上传电子投标文件。</w:t>
      </w:r>
      <w:r/>
    </w:p>
    <w:p>
      <w:pPr>
        <w:pStyle w:val="995"/>
        <w:numPr>
          <w:ilvl w:val="1"/>
          <w:numId w:val="0"/>
        </w:numPr>
        <w:ind w:firstLine="420"/>
        <w:spacing w:line="360" w:lineRule="auto"/>
        <w:tabs>
          <w:tab w:val="left" w:pos="116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w:t>
      </w:r>
      <w:r>
        <w:rPr>
          <w:rFonts w:hint="eastAsia"/>
          <w:color w:val="000000" w:themeColor="text1"/>
          <w:sz w:val="21"/>
          <w:szCs w:val="21"/>
          <w:lang w:val="en-US"/>
          <w14:textFill>
            <w14:solidFill>
              <w14:schemeClr w14:val="tx1"/>
            </w14:solidFill>
          </w14:textFill>
        </w:rPr>
        <w:t xml:space="preserve">6</w:t>
      </w:r>
      <w:r>
        <w:rPr>
          <w:color w:val="000000" w:themeColor="text1"/>
          <w:sz w:val="21"/>
          <w:szCs w:val="21"/>
          <w14:textFill>
            <w14:solidFill>
              <w14:schemeClr w14:val="tx1"/>
            </w14:solidFill>
          </w14:textFill>
        </w:rPr>
        <w:t xml:space="preserve">.2 投标人应充分考虑网络环境、网络带宽等因素可能对投标产生的影响，如因投标人自身原因造成的电子投标文件上传不成功的，按照本招标文件第二章第20.2.2.4 条规定做无效投标处理。</w:t>
      </w:r>
      <w:r/>
    </w:p>
    <w:p>
      <w:pPr>
        <w:pStyle w:val="995"/>
        <w:numPr>
          <w:ilvl w:val="1"/>
          <w:numId w:val="0"/>
        </w:numPr>
        <w:ind w:firstLine="420"/>
        <w:spacing w:line="360" w:lineRule="auto"/>
        <w:tabs>
          <w:tab w:val="left" w:pos="1164" w:leader="none"/>
        </w:tabs>
        <w:rPr>
          <w:b/>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w:t>
      </w:r>
      <w:r>
        <w:rPr>
          <w:rFonts w:hint="eastAsia"/>
          <w:color w:val="000000" w:themeColor="text1"/>
          <w:sz w:val="21"/>
          <w:szCs w:val="21"/>
          <w:lang w:val="en-US"/>
          <w14:textFill>
            <w14:solidFill>
              <w14:schemeClr w14:val="tx1"/>
            </w14:solidFill>
          </w14:textFill>
        </w:rPr>
        <w:t xml:space="preserve">6</w:t>
      </w:r>
      <w:r>
        <w:rPr>
          <w:color w:val="000000" w:themeColor="text1"/>
          <w:sz w:val="21"/>
          <w:szCs w:val="21"/>
          <w14:textFill>
            <w14:solidFill>
              <w14:schemeClr w14:val="tx1"/>
            </w14:solidFill>
          </w14:textFill>
        </w:rPr>
        <w:t xml:space="preserve">.3 代理机构有权通过修改招标文件酌情延长投标截止时间，在此情况下，投标人的所有权利和义务均以延长后新的截止时间为准。</w:t>
      </w:r>
      <w:r>
        <w:rPr>
          <w:rFonts w:hint="eastAsia"/>
          <w:color w:val="000000" w:themeColor="text1"/>
          <w:sz w:val="21"/>
          <w:szCs w:val="21"/>
          <w14:textFill>
            <w14:solidFill>
              <w14:schemeClr w14:val="tx1"/>
            </w14:solidFill>
          </w14:textFill>
        </w:rPr>
        <w:t xml:space="preserve">   </w:t>
      </w:r>
      <w:r/>
    </w:p>
    <w:p>
      <w:pPr>
        <w:pStyle w:val="995"/>
        <w:ind w:left="440" w:firstLine="0"/>
        <w:spacing w:line="360" w:lineRule="auto"/>
        <w:tabs>
          <w:tab w:val="left" w:pos="1164" w:leader="none"/>
        </w:tabs>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17、有下列情形之一的投标文件将拒收：</w:t>
      </w:r>
      <w:r/>
    </w:p>
    <w:p>
      <w:pPr>
        <w:ind w:firstLine="420"/>
        <w:spacing w:line="360" w:lineRule="auto"/>
        <w:rPr>
          <w:color w:val="000000" w:themeColor="text1"/>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17.1 </w:t>
      </w:r>
      <w:r>
        <w:rPr>
          <w:rFonts w:hint="eastAsia"/>
          <w:color w:val="000000" w:themeColor="text1"/>
          <w:sz w:val="21"/>
          <w:szCs w:val="21"/>
          <w14:textFill>
            <w14:solidFill>
              <w14:schemeClr w14:val="tx1"/>
            </w14:solidFill>
          </w14:textFill>
        </w:rPr>
        <w:t xml:space="preserve">在招标文件要求提交投标文件的截止时间之后上传的。</w:t>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18、投标文件的修改和撤回</w:t>
      </w:r>
      <w:r/>
    </w:p>
    <w:p>
      <w:pPr>
        <w:pStyle w:val="995"/>
        <w:numPr>
          <w:ilvl w:val="1"/>
          <w:numId w:val="0"/>
        </w:numPr>
        <w:ind w:firstLine="420"/>
        <w:spacing w:line="360" w:lineRule="auto"/>
        <w:tabs>
          <w:tab w:val="left" w:pos="116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w:t>
      </w:r>
      <w:r>
        <w:rPr>
          <w:rFonts w:hint="eastAsia"/>
          <w:color w:val="000000" w:themeColor="text1"/>
          <w:sz w:val="21"/>
          <w:szCs w:val="21"/>
          <w:lang w:val="en-US"/>
          <w14:textFill>
            <w14:solidFill>
              <w14:schemeClr w14:val="tx1"/>
            </w14:solidFill>
          </w14:textFill>
        </w:rPr>
        <w:t xml:space="preserve">8</w:t>
      </w:r>
      <w:r>
        <w:rPr>
          <w:color w:val="000000" w:themeColor="text1"/>
          <w:sz w:val="21"/>
          <w:szCs w:val="21"/>
          <w14:textFill>
            <w14:solidFill>
              <w14:schemeClr w14:val="tx1"/>
            </w14:solidFill>
          </w14:textFill>
        </w:rPr>
        <w:t xml:space="preserve">.1 投标文件的修改</w:t>
      </w:r>
      <w:r/>
    </w:p>
    <w:p>
      <w:pPr>
        <w:pStyle w:val="995"/>
        <w:numPr>
          <w:ilvl w:val="1"/>
          <w:numId w:val="0"/>
        </w:numPr>
        <w:ind w:firstLine="420"/>
        <w:spacing w:line="360" w:lineRule="auto"/>
        <w:tabs>
          <w:tab w:val="left" w:pos="116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w:t>
      </w:r>
      <w:r>
        <w:rPr>
          <w:rFonts w:hint="eastAsia"/>
          <w:color w:val="000000" w:themeColor="text1"/>
          <w:sz w:val="21"/>
          <w:szCs w:val="21"/>
          <w:lang w:val="en-US"/>
          <w14:textFill>
            <w14:solidFill>
              <w14:schemeClr w14:val="tx1"/>
            </w14:solidFill>
          </w14:textFill>
        </w:rPr>
        <w:t xml:space="preserve">8</w:t>
      </w:r>
      <w:r>
        <w:rPr>
          <w:color w:val="000000" w:themeColor="text1"/>
          <w:sz w:val="21"/>
          <w:szCs w:val="21"/>
          <w14:textFill>
            <w14:solidFill>
              <w14:schemeClr w14:val="tx1"/>
            </w14:solidFill>
          </w14:textFill>
        </w:rPr>
        <w:t xml:space="preserve">.2.1 投标人可在投标截止时间前对其电子投标文件进行修改，具体操作方法见《操作手册》。</w:t>
      </w:r>
      <w:r/>
    </w:p>
    <w:p>
      <w:pPr>
        <w:pStyle w:val="995"/>
        <w:numPr>
          <w:ilvl w:val="1"/>
          <w:numId w:val="0"/>
        </w:numPr>
        <w:ind w:firstLine="420"/>
        <w:spacing w:line="360" w:lineRule="auto"/>
        <w:tabs>
          <w:tab w:val="left" w:pos="116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w:t>
      </w:r>
      <w:r>
        <w:rPr>
          <w:rFonts w:hint="eastAsia"/>
          <w:color w:val="000000" w:themeColor="text1"/>
          <w:sz w:val="21"/>
          <w:szCs w:val="21"/>
          <w:lang w:val="en-US"/>
          <w14:textFill>
            <w14:solidFill>
              <w14:schemeClr w14:val="tx1"/>
            </w14:solidFill>
          </w14:textFill>
        </w:rPr>
        <w:t xml:space="preserve">8</w:t>
      </w:r>
      <w:r>
        <w:rPr>
          <w:color w:val="000000" w:themeColor="text1"/>
          <w:sz w:val="21"/>
          <w:szCs w:val="21"/>
          <w14:textFill>
            <w14:solidFill>
              <w14:schemeClr w14:val="tx1"/>
            </w14:solidFill>
          </w14:textFill>
        </w:rPr>
        <w:t xml:space="preserve">.2.2 投标截止时间之后，投标人不得对其电子投标文件作任何修改。</w:t>
      </w:r>
      <w:r/>
    </w:p>
    <w:p>
      <w:pPr>
        <w:pStyle w:val="995"/>
        <w:numPr>
          <w:ilvl w:val="1"/>
          <w:numId w:val="0"/>
        </w:numPr>
        <w:ind w:firstLine="420"/>
        <w:spacing w:line="360" w:lineRule="auto"/>
        <w:tabs>
          <w:tab w:val="left" w:pos="116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w:t>
      </w:r>
      <w:r>
        <w:rPr>
          <w:rFonts w:hint="eastAsia"/>
          <w:color w:val="000000" w:themeColor="text1"/>
          <w:sz w:val="21"/>
          <w:szCs w:val="21"/>
          <w:lang w:val="en-US"/>
          <w14:textFill>
            <w14:solidFill>
              <w14:schemeClr w14:val="tx1"/>
            </w14:solidFill>
          </w14:textFill>
        </w:rPr>
        <w:t xml:space="preserve">8</w:t>
      </w:r>
      <w:r>
        <w:rPr>
          <w:color w:val="000000" w:themeColor="text1"/>
          <w:sz w:val="21"/>
          <w:szCs w:val="21"/>
          <w14:textFill>
            <w14:solidFill>
              <w14:schemeClr w14:val="tx1"/>
            </w14:solidFill>
          </w14:textFill>
        </w:rPr>
        <w:t xml:space="preserve">.2 投标文件的撤回</w:t>
      </w:r>
      <w:r/>
    </w:p>
    <w:p>
      <w:pPr>
        <w:pStyle w:val="995"/>
        <w:numPr>
          <w:ilvl w:val="1"/>
          <w:numId w:val="0"/>
        </w:numPr>
        <w:ind w:firstLine="420"/>
        <w:spacing w:line="360" w:lineRule="auto"/>
        <w:tabs>
          <w:tab w:val="left" w:pos="116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w:t>
      </w:r>
      <w:r>
        <w:rPr>
          <w:rFonts w:hint="eastAsia"/>
          <w:color w:val="000000" w:themeColor="text1"/>
          <w:sz w:val="21"/>
          <w:szCs w:val="21"/>
          <w:lang w:val="en-US"/>
          <w14:textFill>
            <w14:solidFill>
              <w14:schemeClr w14:val="tx1"/>
            </w14:solidFill>
          </w14:textFill>
        </w:rPr>
        <w:t xml:space="preserve">8</w:t>
      </w:r>
      <w:r>
        <w:rPr>
          <w:color w:val="000000" w:themeColor="text1"/>
          <w:sz w:val="21"/>
          <w:szCs w:val="21"/>
          <w14:textFill>
            <w14:solidFill>
              <w14:schemeClr w14:val="tx1"/>
            </w14:solidFill>
          </w14:textFill>
        </w:rPr>
        <w:t xml:space="preserve">.2.1  投标人可在投标截止时间前撤回其电子投标文件，具体操作方法见《操作手册》。</w:t>
      </w:r>
      <w:r/>
    </w:p>
    <w:p>
      <w:pPr>
        <w:pStyle w:val="995"/>
        <w:numPr>
          <w:ilvl w:val="1"/>
          <w:numId w:val="0"/>
        </w:numPr>
        <w:ind w:firstLine="420"/>
        <w:spacing w:line="360" w:lineRule="auto"/>
        <w:tabs>
          <w:tab w:val="left" w:pos="116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w:t>
      </w:r>
      <w:r>
        <w:rPr>
          <w:rFonts w:hint="eastAsia"/>
          <w:color w:val="000000" w:themeColor="text1"/>
          <w:sz w:val="21"/>
          <w:szCs w:val="21"/>
          <w:lang w:val="en-US"/>
          <w14:textFill>
            <w14:solidFill>
              <w14:schemeClr w14:val="tx1"/>
            </w14:solidFill>
          </w14:textFill>
        </w:rPr>
        <w:t xml:space="preserve">8</w:t>
      </w:r>
      <w:r>
        <w:rPr>
          <w:color w:val="000000" w:themeColor="text1"/>
          <w:sz w:val="21"/>
          <w:szCs w:val="21"/>
          <w14:textFill>
            <w14:solidFill>
              <w14:schemeClr w14:val="tx1"/>
            </w14:solidFill>
          </w14:textFill>
        </w:rPr>
        <w:t xml:space="preserve">.2.2 投标人撤回电子投标文件，则认为其不再参与本项目投标活动。</w:t>
      </w:r>
      <w:r/>
    </w:p>
    <w:p>
      <w:pPr>
        <w:pStyle w:val="995"/>
        <w:numPr>
          <w:ilvl w:val="1"/>
          <w:numId w:val="0"/>
        </w:numPr>
        <w:ind w:firstLine="420"/>
        <w:spacing w:line="360" w:lineRule="auto"/>
        <w:tabs>
          <w:tab w:val="left" w:pos="116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w:t>
      </w:r>
      <w:r>
        <w:rPr>
          <w:rFonts w:hint="eastAsia"/>
          <w:color w:val="000000" w:themeColor="text1"/>
          <w:sz w:val="21"/>
          <w:szCs w:val="21"/>
          <w:lang w:val="en-US"/>
          <w14:textFill>
            <w14:solidFill>
              <w14:schemeClr w14:val="tx1"/>
            </w14:solidFill>
          </w14:textFill>
        </w:rPr>
        <w:t xml:space="preserve">8</w:t>
      </w:r>
      <w:r>
        <w:rPr>
          <w:color w:val="000000" w:themeColor="text1"/>
          <w:sz w:val="21"/>
          <w:szCs w:val="21"/>
          <w14:textFill>
            <w14:solidFill>
              <w14:schemeClr w14:val="tx1"/>
            </w14:solidFill>
          </w14:textFill>
        </w:rPr>
        <w:t xml:space="preserve">.2.3 在投标截止时间至招标文件中规定的投标有效期满之间的这段时间内，投标人不得撤回其投标。</w:t>
      </w:r>
      <w:r/>
    </w:p>
    <w:p>
      <w:pPr>
        <w:ind w:firstLine="422"/>
        <w:spacing w:line="360" w:lineRule="auto"/>
        <w:rPr>
          <w:b/>
          <w:color w:val="000000" w:themeColor="text1"/>
          <w:sz w:val="21"/>
          <w:szCs w:val="21"/>
          <w14:textFill>
            <w14:solidFill>
              <w14:schemeClr w14:val="tx1"/>
            </w14:solidFill>
          </w14:textFill>
        </w:rPr>
      </w:pPr>
      <w:r/>
      <w:bookmarkStart w:id="20" w:name="四、开标、评标与确定中标供应商"/>
      <w:r/>
      <w:bookmarkEnd w:id="20"/>
      <w:r>
        <w:rPr>
          <w:rFonts w:hint="eastAsia"/>
          <w:b/>
          <w:color w:val="000000" w:themeColor="text1"/>
          <w:sz w:val="21"/>
          <w:szCs w:val="21"/>
          <w14:textFill>
            <w14:solidFill>
              <w14:schemeClr w14:val="tx1"/>
            </w14:solidFill>
          </w14:textFill>
        </w:rPr>
        <w:t xml:space="preserve">四、开标、评标与确定中标供应商</w:t>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19、开标</w:t>
      </w:r>
      <w:r/>
    </w:p>
    <w:p>
      <w:pPr>
        <w:pStyle w:val="995"/>
        <w:numPr>
          <w:ilvl w:val="1"/>
          <w:numId w:val="0"/>
        </w:numPr>
        <w:ind w:firstLine="420"/>
        <w:spacing w:line="360" w:lineRule="auto"/>
        <w:tabs>
          <w:tab w:val="left" w:pos="1268" w:leader="none"/>
        </w:tabs>
        <w:rPr>
          <w:color w:val="000000" w:themeColor="text1"/>
          <w:sz w:val="21"/>
          <w:szCs w:val="21"/>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19</w:t>
      </w:r>
      <w:r>
        <w:rPr>
          <w:color w:val="000000" w:themeColor="text1"/>
          <w:sz w:val="21"/>
          <w:szCs w:val="21"/>
          <w14:textFill>
            <w14:solidFill>
              <w14:schemeClr w14:val="tx1"/>
            </w14:solidFill>
          </w14:textFill>
        </w:rPr>
        <w:t xml:space="preserve">.1 代理机构将在招标文件确定的时间和地点进行公开开标。投标人按照《操作手册》规定参加开标活动，并在苏采云系统规定的时间内对投标文件进行解密。苏采云系统公布各投标人名称和投标价格。</w:t>
      </w:r>
      <w:r/>
    </w:p>
    <w:p>
      <w:pPr>
        <w:pStyle w:val="995"/>
        <w:numPr>
          <w:ilvl w:val="1"/>
          <w:numId w:val="0"/>
        </w:numPr>
        <w:ind w:firstLine="420"/>
        <w:spacing w:line="360" w:lineRule="auto"/>
        <w:tabs>
          <w:tab w:val="left" w:pos="1268" w:leader="none"/>
        </w:tabs>
        <w:rPr>
          <w:color w:val="000000" w:themeColor="text1"/>
          <w:sz w:val="21"/>
          <w:szCs w:val="21"/>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19</w:t>
      </w:r>
      <w:r>
        <w:rPr>
          <w:color w:val="000000" w:themeColor="text1"/>
          <w:sz w:val="21"/>
          <w:szCs w:val="21"/>
          <w14:textFill>
            <w14:solidFill>
              <w14:schemeClr w14:val="tx1"/>
            </w14:solidFill>
          </w14:textFill>
        </w:rPr>
        <w:t xml:space="preserve">.2 投标人在开标过程中涉及到的投标文件解密、开标结果确认等工作，应按照《操作手册》规定执行。</w:t>
      </w:r>
      <w:r/>
    </w:p>
    <w:p>
      <w:pPr>
        <w:pStyle w:val="995"/>
        <w:numPr>
          <w:ilvl w:val="1"/>
          <w:numId w:val="0"/>
        </w:numPr>
        <w:ind w:firstLine="420"/>
        <w:spacing w:line="360" w:lineRule="auto"/>
        <w:tabs>
          <w:tab w:val="left" w:pos="1268" w:leader="none"/>
        </w:tabs>
        <w:rPr>
          <w:color w:val="000000" w:themeColor="text1"/>
          <w:sz w:val="21"/>
          <w:szCs w:val="21"/>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19</w:t>
      </w:r>
      <w:r>
        <w:rPr>
          <w:color w:val="000000" w:themeColor="text1"/>
          <w:sz w:val="21"/>
          <w:szCs w:val="21"/>
          <w14:textFill>
            <w14:solidFill>
              <w14:schemeClr w14:val="tx1"/>
            </w14:solidFill>
          </w14:textFill>
        </w:rPr>
        <w:t xml:space="preserve">.3 投标人如果对开标过程和开标结果有疑义，应当根据《操作手册》规定提出，苏采云系统中《开标记录表》公布后5分钟内未提出的，视同认可开标结果。</w:t>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20、评标</w:t>
      </w:r>
      <w:r/>
    </w:p>
    <w:p>
      <w:pPr>
        <w:pStyle w:val="995"/>
        <w:numPr>
          <w:ilvl w:val="1"/>
          <w:numId w:val="0"/>
        </w:numPr>
        <w:ind w:firstLine="422"/>
        <w:spacing w:line="360" w:lineRule="auto"/>
        <w:tabs>
          <w:tab w:val="left" w:pos="1109" w:leader="none"/>
        </w:tabs>
        <w:rPr>
          <w:b/>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20.1</w:t>
      </w:r>
      <w:r>
        <w:rPr>
          <w:rFonts w:hint="eastAsia"/>
          <w:b/>
          <w:color w:val="000000" w:themeColor="text1"/>
          <w:sz w:val="21"/>
          <w:szCs w:val="21"/>
          <w14:textFill>
            <w14:solidFill>
              <w14:schemeClr w14:val="tx1"/>
            </w14:solidFill>
          </w14:textFill>
        </w:rPr>
        <w:t xml:space="preserve">评标组织</w:t>
      </w:r>
      <w:r/>
    </w:p>
    <w:p>
      <w:pPr>
        <w:pStyle w:val="995"/>
        <w:numPr>
          <w:ilvl w:val="2"/>
          <w:numId w:val="0"/>
        </w:numPr>
        <w:ind w:firstLine="420"/>
        <w:spacing w:line="360" w:lineRule="auto"/>
        <w:tabs>
          <w:tab w:val="left" w:pos="1378"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评标工作由代理机构组织评标委员会（以下简称“评委会”）进行，具体评标事务由依法组建的评标委员会负责，并独立履行下列职责：</w:t>
      </w:r>
      <w:r/>
    </w:p>
    <w:p>
      <w:pPr>
        <w:pStyle w:val="995"/>
        <w:numPr>
          <w:ilvl w:val="2"/>
          <w:numId w:val="0"/>
        </w:numPr>
        <w:ind w:firstLine="420"/>
        <w:spacing w:line="360" w:lineRule="auto"/>
        <w:tabs>
          <w:tab w:val="left" w:pos="1378"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（1）审查、评价投标文件是否符合招标文件的商务、技术等实质性要求；</w:t>
      </w:r>
      <w:r/>
    </w:p>
    <w:p>
      <w:pPr>
        <w:pStyle w:val="995"/>
        <w:numPr>
          <w:ilvl w:val="2"/>
          <w:numId w:val="0"/>
        </w:numPr>
        <w:ind w:firstLine="420"/>
        <w:spacing w:line="360" w:lineRule="auto"/>
        <w:tabs>
          <w:tab w:val="left" w:pos="1378"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（2）要求供应商对投标文件有关事项作出澄清或者说明；</w:t>
      </w:r>
      <w:r/>
    </w:p>
    <w:p>
      <w:pPr>
        <w:pStyle w:val="995"/>
        <w:numPr>
          <w:ilvl w:val="2"/>
          <w:numId w:val="0"/>
        </w:numPr>
        <w:ind w:firstLine="420"/>
        <w:spacing w:line="360" w:lineRule="auto"/>
        <w:tabs>
          <w:tab w:val="left" w:pos="1378"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（3）对投标文件进行比较和评价；</w:t>
      </w:r>
      <w:r/>
    </w:p>
    <w:p>
      <w:pPr>
        <w:pStyle w:val="995"/>
        <w:numPr>
          <w:ilvl w:val="2"/>
          <w:numId w:val="0"/>
        </w:numPr>
        <w:ind w:firstLine="420"/>
        <w:spacing w:line="360" w:lineRule="auto"/>
        <w:tabs>
          <w:tab w:val="left" w:pos="1378"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（4）推荐中标候选人或根据采购人委托直接确定中标供应商；</w:t>
      </w:r>
      <w:r/>
    </w:p>
    <w:p>
      <w:pPr>
        <w:pStyle w:val="995"/>
        <w:numPr>
          <w:ilvl w:val="2"/>
          <w:numId w:val="0"/>
        </w:numPr>
        <w:ind w:firstLine="420"/>
        <w:spacing w:line="360" w:lineRule="auto"/>
        <w:tabs>
          <w:tab w:val="left" w:pos="1378"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（5）向采购人、财政部门报告评标中发现的违法行为。</w:t>
      </w:r>
      <w:r/>
    </w:p>
    <w:p>
      <w:pPr>
        <w:pStyle w:val="995"/>
        <w:numPr>
          <w:ilvl w:val="1"/>
          <w:numId w:val="0"/>
        </w:numPr>
        <w:ind w:firstLine="422"/>
        <w:spacing w:line="360" w:lineRule="auto"/>
        <w:tabs>
          <w:tab w:val="left" w:pos="1167" w:leader="none"/>
        </w:tabs>
        <w:rPr>
          <w:b/>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20.2</w:t>
      </w:r>
      <w:r>
        <w:rPr>
          <w:rFonts w:hint="eastAsia"/>
          <w:b/>
          <w:color w:val="000000" w:themeColor="text1"/>
          <w:sz w:val="21"/>
          <w:szCs w:val="21"/>
          <w14:textFill>
            <w14:solidFill>
              <w14:schemeClr w14:val="tx1"/>
            </w14:solidFill>
          </w14:textFill>
        </w:rPr>
        <w:t xml:space="preserve">评标程序</w:t>
      </w:r>
      <w:r/>
    </w:p>
    <w:p>
      <w:pPr>
        <w:pStyle w:val="995"/>
        <w:numPr>
          <w:ilvl w:val="2"/>
          <w:numId w:val="0"/>
        </w:numPr>
        <w:ind w:firstLine="422"/>
        <w:spacing w:line="360" w:lineRule="auto"/>
        <w:tabs>
          <w:tab w:val="left" w:pos="1378" w:leader="none"/>
        </w:tabs>
        <w:rPr>
          <w:b/>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20.2.1</w:t>
      </w:r>
      <w:r>
        <w:rPr>
          <w:rFonts w:hint="eastAsia"/>
          <w:b/>
          <w:color w:val="000000" w:themeColor="text1"/>
          <w:sz w:val="21"/>
          <w:szCs w:val="21"/>
          <w14:textFill>
            <w14:solidFill>
              <w14:schemeClr w14:val="tx1"/>
            </w14:solidFill>
          </w14:textFill>
        </w:rPr>
        <w:t xml:space="preserve">投标文件的资格审查。</w:t>
      </w:r>
      <w:r/>
    </w:p>
    <w:p>
      <w:pPr>
        <w:pStyle w:val="995"/>
        <w:ind w:left="0"/>
        <w:spacing w:line="360" w:lineRule="auto"/>
        <w:tabs>
          <w:tab w:val="left" w:pos="1163" w:leader="none"/>
        </w:tabs>
        <w:rPr>
          <w:color w:val="000000" w:themeColor="text1"/>
          <w:sz w:val="21"/>
          <w:szCs w:val="21"/>
          <w14:textFill>
            <w14:solidFill>
              <w14:schemeClr w14:val="tx1"/>
            </w14:solidFill>
          </w14:textFill>
        </w:rPr>
      </w:pPr>
      <w:r/>
      <w:bookmarkStart w:id="21" w:name="20.2.1.1采购人代表将依法对投标人的资格进行审查。"/>
      <w:r/>
      <w:bookmarkEnd w:id="21"/>
      <w:r>
        <w:rPr>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0</w:t>
      </w:r>
      <w:r>
        <w:rPr>
          <w:color w:val="000000" w:themeColor="text1"/>
          <w:sz w:val="21"/>
          <w:szCs w:val="21"/>
          <w14:textFill>
            <w14:solidFill>
              <w14:schemeClr w14:val="tx1"/>
            </w14:solidFill>
          </w14:textFill>
        </w:rPr>
        <w:t xml:space="preserve">.2.1.1采购人代表依法对供应商的资格进行审查。</w:t>
      </w:r>
      <w:r/>
    </w:p>
    <w:p>
      <w:pPr>
        <w:pStyle w:val="995"/>
        <w:ind w:left="0"/>
        <w:spacing w:line="360" w:lineRule="auto"/>
        <w:tabs>
          <w:tab w:val="left" w:pos="1163"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0</w:t>
      </w:r>
      <w:r>
        <w:rPr>
          <w:color w:val="000000" w:themeColor="text1"/>
          <w:sz w:val="21"/>
          <w:szCs w:val="21"/>
          <w14:textFill>
            <w14:solidFill>
              <w14:schemeClr w14:val="tx1"/>
            </w14:solidFill>
          </w14:textFill>
        </w:rPr>
        <w:t xml:space="preserve">.2.1.2采购人代表依据法律法规和招标文件的规定，对投标文件中的资格证明文件等进行审查，以确定投标供应商是否具备投标资格。</w:t>
      </w:r>
      <w:r/>
    </w:p>
    <w:p>
      <w:pPr>
        <w:pStyle w:val="995"/>
        <w:ind w:left="0"/>
        <w:spacing w:line="360" w:lineRule="auto"/>
        <w:tabs>
          <w:tab w:val="left" w:pos="1163"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0</w:t>
      </w:r>
      <w:r>
        <w:rPr>
          <w:color w:val="000000" w:themeColor="text1"/>
          <w:sz w:val="21"/>
          <w:szCs w:val="21"/>
          <w14:textFill>
            <w14:solidFill>
              <w14:schemeClr w14:val="tx1"/>
            </w14:solidFill>
          </w14:textFill>
        </w:rPr>
        <w:t xml:space="preserve">.2.1.3在进行资格性审查的同时，将在“信用中国”网站（www.creditchina.gov.cn）、“中国政府采购网”（www.ccgp.gov.cn）对投标供应商是否被列入失信被执行人、重大税收违法失信主体、政府采购严重违法失信行为记录名单的情况进行查询，以确定投标供应商是否具备投标资格。查询结果将以网页打印的形式留存并归档。</w:t>
      </w:r>
      <w:r/>
    </w:p>
    <w:p>
      <w:pPr>
        <w:pStyle w:val="995"/>
        <w:ind w:left="0"/>
        <w:spacing w:line="360" w:lineRule="auto"/>
        <w:tabs>
          <w:tab w:val="left" w:pos="1163" w:leader="none"/>
        </w:tabs>
        <w:rPr>
          <w:color w:val="000000" w:themeColor="text1"/>
          <w:sz w:val="21"/>
          <w:szCs w:val="21"/>
          <w14:textFill>
            <w14:solidFill>
              <w14:schemeClr w14:val="tx1"/>
            </w14:solidFill>
          </w14:textFill>
        </w:rPr>
      </w:pPr>
      <w:r>
        <w:rPr>
          <w:b/>
          <w:bCs/>
          <w:color w:val="000000" w:themeColor="text1"/>
          <w:sz w:val="21"/>
          <w:szCs w:val="21"/>
          <w14:textFill>
            <w14:solidFill>
              <w14:schemeClr w14:val="tx1"/>
            </w14:solidFill>
          </w14:textFill>
        </w:rPr>
        <w:t xml:space="preserve">2</w:t>
      </w:r>
      <w:r>
        <w:rPr>
          <w:rFonts w:hint="eastAsia"/>
          <w:b/>
          <w:bCs/>
          <w:color w:val="000000" w:themeColor="text1"/>
          <w:sz w:val="21"/>
          <w:szCs w:val="21"/>
          <w:lang w:val="en-US"/>
          <w14:textFill>
            <w14:solidFill>
              <w14:schemeClr w14:val="tx1"/>
            </w14:solidFill>
          </w14:textFill>
        </w:rPr>
        <w:t xml:space="preserve">0</w:t>
      </w:r>
      <w:r>
        <w:rPr>
          <w:b/>
          <w:bCs/>
          <w:color w:val="000000" w:themeColor="text1"/>
          <w:sz w:val="21"/>
          <w:szCs w:val="21"/>
          <w14:textFill>
            <w14:solidFill>
              <w14:schemeClr w14:val="tx1"/>
            </w14:solidFill>
          </w14:textFill>
        </w:rPr>
        <w:t xml:space="preserve">.2.1.4 投标文件有下列情况之一的，在资格性审查时按照无效投标处理</w:t>
      </w:r>
      <w:r/>
    </w:p>
    <w:p>
      <w:pPr>
        <w:pStyle w:val="995"/>
        <w:ind w:left="0"/>
        <w:spacing w:line="360" w:lineRule="auto"/>
        <w:tabs>
          <w:tab w:val="left" w:pos="1163"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（1）不具备招标文件规定资格条件的； </w:t>
      </w:r>
      <w:r/>
    </w:p>
    <w:p>
      <w:pPr>
        <w:pStyle w:val="995"/>
        <w:ind w:left="0"/>
        <w:spacing w:line="360" w:lineRule="auto"/>
        <w:tabs>
          <w:tab w:val="left" w:pos="1163"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供应商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pStyle w:val="995"/>
        <w:numPr>
          <w:ilvl w:val="2"/>
          <w:numId w:val="0"/>
        </w:numPr>
        <w:ind w:firstLine="422"/>
        <w:spacing w:line="360" w:lineRule="auto"/>
        <w:tabs>
          <w:tab w:val="left" w:pos="1588" w:leader="none"/>
          <w:tab w:val="left" w:pos="1589" w:leader="none"/>
        </w:tabs>
        <w:rPr>
          <w:b/>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20.2.2</w:t>
      </w:r>
      <w:r>
        <w:rPr>
          <w:rFonts w:hint="eastAsia"/>
          <w:b/>
          <w:color w:val="000000" w:themeColor="text1"/>
          <w:sz w:val="21"/>
          <w:szCs w:val="21"/>
          <w14:textFill>
            <w14:solidFill>
              <w14:schemeClr w14:val="tx1"/>
            </w14:solidFill>
          </w14:textFill>
        </w:rPr>
        <w:t xml:space="preserve">投标文件的符合性审查。</w:t>
      </w:r>
      <w:r/>
    </w:p>
    <w:p>
      <w:pPr>
        <w:pStyle w:val="995"/>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0</w:t>
      </w:r>
      <w:r>
        <w:rPr>
          <w:color w:val="000000" w:themeColor="text1"/>
          <w:sz w:val="21"/>
          <w:szCs w:val="21"/>
          <w14:textFill>
            <w14:solidFill>
              <w14:schemeClr w14:val="tx1"/>
            </w14:solidFill>
          </w14:textFill>
        </w:rPr>
        <w:t xml:space="preserve">.2.2.1评标委员会将依据法律法规和招标文件的规定，对投标文件的有效性、完整性和对招标文件的响应程度进行审查，以确定是否对招标文件的实质性要求作出响应。</w:t>
      </w:r>
      <w:r/>
    </w:p>
    <w:p>
      <w:pPr>
        <w:pStyle w:val="995"/>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0</w:t>
      </w:r>
      <w:r>
        <w:rPr>
          <w:color w:val="000000" w:themeColor="text1"/>
          <w:sz w:val="21"/>
          <w:szCs w:val="21"/>
          <w14:textFill>
            <w14:solidFill>
              <w14:schemeClr w14:val="tx1"/>
            </w14:solidFill>
          </w14:textFill>
        </w:rPr>
        <w:t xml:space="preserve">.2.2.2 实质性要求是指本招标文件中带“★”的商务和技术要求。</w:t>
      </w:r>
      <w:r/>
    </w:p>
    <w:p>
      <w:pPr>
        <w:pStyle w:val="995"/>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0</w:t>
      </w:r>
      <w:r>
        <w:rPr>
          <w:color w:val="000000" w:themeColor="text1"/>
          <w:sz w:val="21"/>
          <w:szCs w:val="21"/>
          <w14:textFill>
            <w14:solidFill>
              <w14:schemeClr w14:val="tx1"/>
            </w14:solidFill>
          </w14:textFill>
        </w:rPr>
        <w:t xml:space="preserve">.2.2.3 如果投标文件实质上没有响应招标文件的要求，评标委员会将予以拒绝，供应商不得通过修改或撤销不合要求的偏离而使其投标成为实质性响应的投标。</w:t>
      </w:r>
      <w:r/>
    </w:p>
    <w:p>
      <w:pPr>
        <w:pStyle w:val="995"/>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0</w:t>
      </w:r>
      <w:r>
        <w:rPr>
          <w:color w:val="000000" w:themeColor="text1"/>
          <w:sz w:val="21"/>
          <w:szCs w:val="21"/>
          <w14:textFill>
            <w14:solidFill>
              <w14:schemeClr w14:val="tx1"/>
            </w14:solidFill>
          </w14:textFill>
        </w:rPr>
        <w:t xml:space="preserve">.2.2.4 投标文件有下列情况之一的，在符合性审查时</w:t>
      </w:r>
      <w:r>
        <w:rPr>
          <w:b/>
          <w:bCs/>
          <w:color w:val="000000" w:themeColor="text1"/>
          <w:sz w:val="21"/>
          <w:szCs w:val="21"/>
          <w14:textFill>
            <w14:solidFill>
              <w14:schemeClr w14:val="tx1"/>
            </w14:solidFill>
          </w14:textFill>
        </w:rPr>
        <w:t xml:space="preserve">按照无效投标处理</w:t>
      </w:r>
      <w:r>
        <w:rPr>
          <w:rFonts w:hint="eastAsia"/>
          <w:b/>
          <w:bCs/>
          <w:color w:val="000000" w:themeColor="text1"/>
          <w:sz w:val="21"/>
          <w:szCs w:val="21"/>
          <w14:textFill>
            <w14:solidFill>
              <w14:schemeClr w14:val="tx1"/>
            </w14:solidFill>
          </w14:textFill>
        </w:rPr>
        <w:t xml:space="preserve">：</w:t>
      </w:r>
      <w:r/>
    </w:p>
    <w:p>
      <w:pPr>
        <w:pStyle w:val="995"/>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（1）未按招标文件规定签署、盖章的；</w:t>
      </w:r>
      <w:r/>
    </w:p>
    <w:p>
      <w:pPr>
        <w:pStyle w:val="995"/>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（2）没有《开标一览表》或《开标一览表》未按招标文件要求盖章的；</w:t>
      </w:r>
      <w:r/>
    </w:p>
    <w:p>
      <w:pPr>
        <w:pStyle w:val="995"/>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（3）投标总价超出采购预算金额或者最高限价的；</w:t>
      </w:r>
      <w:r/>
    </w:p>
    <w:p>
      <w:pPr>
        <w:pStyle w:val="995"/>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（4）不同供应商的投标文件由同一单位或者个人编制；</w:t>
      </w:r>
      <w:r/>
    </w:p>
    <w:p>
      <w:pPr>
        <w:pStyle w:val="995"/>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（5）不同供应商委托同一单位或者个人办理投标事宜；</w:t>
      </w:r>
      <w:r/>
    </w:p>
    <w:p>
      <w:pPr>
        <w:pStyle w:val="995"/>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（6）不同供应商的投标文件载明的项目管理成员或者联系人员为同一人；</w:t>
      </w:r>
      <w:r/>
    </w:p>
    <w:p>
      <w:pPr>
        <w:pStyle w:val="995"/>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（7）不同供应商的投标文件异常一致或者投标报价呈规律性差异；</w:t>
      </w:r>
      <w:r/>
    </w:p>
    <w:p>
      <w:pPr>
        <w:pStyle w:val="995"/>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（8）不同供应商的投标文件相互混装；</w:t>
      </w:r>
      <w:r/>
    </w:p>
    <w:p>
      <w:pPr>
        <w:pStyle w:val="995"/>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（9）不同供应商的法定代表人或委托代理人有夫妻、直系血亲关系的；</w:t>
      </w:r>
      <w:r/>
    </w:p>
    <w:p>
      <w:pPr>
        <w:pStyle w:val="995"/>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（10）不同供应商的负责人为同一人或者存在控股、管理关系的；</w:t>
      </w:r>
      <w:r/>
    </w:p>
    <w:p>
      <w:pPr>
        <w:pStyle w:val="995"/>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（11）不同供应商的委托代理人（或法定代表人、项目经理、项目总监、项目负责人等）在招标文件发布日上月至投标截止日当月在同一单位缴纳社会保险的；</w:t>
      </w:r>
      <w:r/>
    </w:p>
    <w:p>
      <w:pPr>
        <w:pStyle w:val="995"/>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（12）属于投标邀请中拒绝参加本次采购活动供应商的；</w:t>
      </w:r>
      <w:r/>
    </w:p>
    <w:p>
      <w:pPr>
        <w:pStyle w:val="995"/>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（13）投标文件含有采购人不能接受的附加条件的；</w:t>
      </w:r>
      <w:r/>
    </w:p>
    <w:p>
      <w:pPr>
        <w:pStyle w:val="995"/>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（14）评标委员会认为供应商的报价明显低于其他通过符合性审查供应商的报价，有可能影响服务质量或者不能诚信履约的，未在评标现场合理的时间内提供书面说明或相关证明材料，不能证明其报价合理的。</w:t>
      </w:r>
      <w:r/>
    </w:p>
    <w:p>
      <w:pPr>
        <w:pStyle w:val="995"/>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（15）投标人在苏采云系统规定的时间内未成功解密电子投标文件。</w:t>
      </w:r>
      <w:r/>
    </w:p>
    <w:p>
      <w:pPr>
        <w:pStyle w:val="995"/>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（16）投标人未按照招标文件要求上传电子投标文件。</w:t>
      </w:r>
      <w:r/>
    </w:p>
    <w:p>
      <w:pPr>
        <w:pStyle w:val="995"/>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（17）同一投标人提交两个（含两个）以上不同的投标报价。</w:t>
      </w:r>
      <w:r/>
    </w:p>
    <w:p>
      <w:pPr>
        <w:pStyle w:val="995"/>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（18）</w:t>
      </w:r>
      <w:r>
        <w:rPr>
          <w:rFonts w:hint="eastAsia"/>
          <w:color w:val="000000" w:themeColor="text1"/>
          <w:sz w:val="21"/>
          <w:szCs w:val="21"/>
          <w14:textFill>
            <w14:solidFill>
              <w14:schemeClr w14:val="tx1"/>
            </w14:solidFill>
          </w14:textFill>
        </w:rPr>
        <w:t xml:space="preserve">与</w:t>
      </w:r>
      <w:r>
        <w:rPr>
          <w:rFonts w:hint="eastAsia"/>
          <w:color w:val="000000" w:themeColor="text1"/>
          <w:sz w:val="21"/>
          <w:szCs w:val="21"/>
          <w:lang w:val="en-US"/>
          <w14:textFill>
            <w14:solidFill>
              <w14:schemeClr w14:val="tx1"/>
            </w14:solidFill>
          </w14:textFill>
        </w:rPr>
        <w:t xml:space="preserve">招标</w:t>
      </w:r>
      <w:r>
        <w:rPr>
          <w:rFonts w:hint="eastAsia"/>
          <w:color w:val="000000" w:themeColor="text1"/>
          <w:sz w:val="21"/>
          <w:szCs w:val="21"/>
          <w14:textFill>
            <w14:solidFill>
              <w14:schemeClr w14:val="tx1"/>
            </w14:solidFill>
          </w14:textFill>
        </w:rPr>
        <w:t xml:space="preserve">文件提供的工程量清单中的项目编码、项目名称、项目特征、计量单位、工程量不一致的（措施项目增项除外）；</w:t>
      </w:r>
      <w:r/>
    </w:p>
    <w:p>
      <w:pPr>
        <w:pStyle w:val="995"/>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w:t>
      </w:r>
      <w:r>
        <w:rPr>
          <w:rFonts w:hint="eastAsia"/>
          <w:color w:val="000000" w:themeColor="text1"/>
          <w:sz w:val="21"/>
          <w:szCs w:val="21"/>
          <w:lang w:val="en-US"/>
          <w14:textFill>
            <w14:solidFill>
              <w14:schemeClr w14:val="tx1"/>
            </w14:solidFill>
          </w14:textFill>
        </w:rPr>
        <w:t xml:space="preserve">19</w:t>
      </w:r>
      <w:r>
        <w:rPr>
          <w:rFonts w:hint="eastAsia"/>
          <w:color w:val="000000" w:themeColor="text1"/>
          <w:sz w:val="21"/>
          <w:szCs w:val="21"/>
          <w14:textFill>
            <w14:solidFill>
              <w14:schemeClr w14:val="tx1"/>
            </w14:solidFill>
          </w14:textFill>
        </w:rPr>
        <w:t xml:space="preserve">）与</w:t>
      </w:r>
      <w:r>
        <w:rPr>
          <w:rFonts w:hint="eastAsia"/>
          <w:color w:val="000000" w:themeColor="text1"/>
          <w:sz w:val="21"/>
          <w:szCs w:val="21"/>
          <w:lang w:val="en-US"/>
          <w14:textFill>
            <w14:solidFill>
              <w14:schemeClr w14:val="tx1"/>
            </w14:solidFill>
          </w14:textFill>
        </w:rPr>
        <w:t xml:space="preserve">招标</w:t>
      </w:r>
      <w:r>
        <w:rPr>
          <w:rFonts w:hint="eastAsia"/>
          <w:color w:val="000000" w:themeColor="text1"/>
          <w:sz w:val="21"/>
          <w:szCs w:val="21"/>
          <w14:textFill>
            <w14:solidFill>
              <w14:schemeClr w14:val="tx1"/>
            </w14:solidFill>
          </w14:textFill>
        </w:rPr>
        <w:t xml:space="preserve">文件规定的暂估价、暂列金额及甲供材料价格不一致的；</w:t>
      </w:r>
      <w:r/>
    </w:p>
    <w:p>
      <w:pPr>
        <w:pStyle w:val="995"/>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w:t>
      </w:r>
      <w:r>
        <w:rPr>
          <w:rFonts w:hint="eastAsia"/>
          <w:color w:val="000000" w:themeColor="text1"/>
          <w:sz w:val="21"/>
          <w:szCs w:val="21"/>
          <w:lang w:val="en-US"/>
          <w14:textFill>
            <w14:solidFill>
              <w14:schemeClr w14:val="tx1"/>
            </w14:solidFill>
          </w14:textFill>
        </w:rPr>
        <w:t xml:space="preserve">20</w:t>
      </w:r>
      <w:r>
        <w:rPr>
          <w:rFonts w:hint="eastAsia"/>
          <w:color w:val="000000" w:themeColor="text1"/>
          <w:sz w:val="21"/>
          <w:szCs w:val="21"/>
          <w14:textFill>
            <w14:solidFill>
              <w14:schemeClr w14:val="tx1"/>
            </w14:solidFill>
          </w14:textFill>
        </w:rPr>
        <w:t xml:space="preserve">）与</w:t>
      </w:r>
      <w:r>
        <w:rPr>
          <w:rFonts w:hint="eastAsia"/>
          <w:color w:val="000000" w:themeColor="text1"/>
          <w:sz w:val="21"/>
          <w:szCs w:val="21"/>
          <w:lang w:val="en-US"/>
          <w14:textFill>
            <w14:solidFill>
              <w14:schemeClr w14:val="tx1"/>
            </w14:solidFill>
          </w14:textFill>
        </w:rPr>
        <w:t xml:space="preserve">招标</w:t>
      </w:r>
      <w:r>
        <w:rPr>
          <w:rFonts w:hint="eastAsia"/>
          <w:color w:val="000000" w:themeColor="text1"/>
          <w:sz w:val="21"/>
          <w:szCs w:val="21"/>
          <w14:textFill>
            <w14:solidFill>
              <w14:schemeClr w14:val="tx1"/>
            </w14:solidFill>
          </w14:textFill>
        </w:rPr>
        <w:t xml:space="preserve">文件明确列出的不可竞争费用项目或费率或计算基础不一致的；</w:t>
      </w:r>
      <w:r/>
    </w:p>
    <w:p>
      <w:pPr>
        <w:pStyle w:val="995"/>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w:t>
      </w:r>
      <w:r>
        <w:rPr>
          <w:rFonts w:hint="eastAsia"/>
          <w:color w:val="000000" w:themeColor="text1"/>
          <w:sz w:val="21"/>
          <w:szCs w:val="21"/>
          <w:lang w:val="en-US"/>
          <w14:textFill>
            <w14:solidFill>
              <w14:schemeClr w14:val="tx1"/>
            </w14:solidFill>
          </w14:textFill>
        </w:rPr>
        <w:t xml:space="preserve">21</w:t>
      </w:r>
      <w:r>
        <w:rPr>
          <w:rFonts w:hint="eastAsia"/>
          <w:color w:val="000000" w:themeColor="text1"/>
          <w:sz w:val="21"/>
          <w:szCs w:val="21"/>
          <w14:textFill>
            <w14:solidFill>
              <w14:schemeClr w14:val="tx1"/>
            </w14:solidFill>
          </w14:textFill>
        </w:rPr>
        <w:t xml:space="preserve">）不符合法律、法规和</w:t>
      </w:r>
      <w:r>
        <w:rPr>
          <w:rFonts w:hint="eastAsia"/>
          <w:color w:val="000000" w:themeColor="text1"/>
          <w:sz w:val="21"/>
          <w:szCs w:val="21"/>
          <w:lang w:val="en-US"/>
          <w14:textFill>
            <w14:solidFill>
              <w14:schemeClr w14:val="tx1"/>
            </w14:solidFill>
          </w14:textFill>
        </w:rPr>
        <w:t xml:space="preserve">招标</w:t>
      </w:r>
      <w:r>
        <w:rPr>
          <w:rFonts w:hint="eastAsia"/>
          <w:color w:val="000000" w:themeColor="text1"/>
          <w:sz w:val="21"/>
          <w:szCs w:val="21"/>
          <w14:textFill>
            <w14:solidFill>
              <w14:schemeClr w14:val="tx1"/>
            </w14:solidFill>
          </w14:textFill>
        </w:rPr>
        <w:t xml:space="preserve">文件规定的其他实质性要求的。</w:t>
      </w:r>
      <w:r/>
    </w:p>
    <w:p>
      <w:pPr>
        <w:pStyle w:val="995"/>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未通过资格审查或符合性审查的投标人，代理机构将通过苏采云系统告知其具体原因，评标结束后不再接受有关询问。</w:t>
      </w:r>
      <w:r/>
    </w:p>
    <w:p>
      <w:pPr>
        <w:pStyle w:val="995"/>
        <w:numPr>
          <w:ilvl w:val="3"/>
          <w:numId w:val="0"/>
        </w:numPr>
        <w:ind w:firstLine="420"/>
        <w:spacing w:line="360" w:lineRule="auto"/>
        <w:tabs>
          <w:tab w:val="left" w:pos="1584" w:leader="none"/>
        </w:tabs>
        <w:rPr>
          <w:color w:val="000000" w:themeColor="text1"/>
          <w:sz w:val="21"/>
          <w:szCs w:val="21"/>
          <w14:textFill>
            <w14:solidFill>
              <w14:schemeClr w14:val="tx1"/>
            </w14:solidFill>
          </w14:textFill>
        </w:rPr>
      </w:pPr>
      <w:r>
        <w:rPr>
          <w:b/>
          <w:bCs/>
          <w:color w:val="000000" w:themeColor="text1"/>
          <w:sz w:val="21"/>
          <w:szCs w:val="21"/>
          <w14:textFill>
            <w14:solidFill>
              <w14:schemeClr w14:val="tx1"/>
            </w14:solidFill>
          </w14:textFill>
        </w:rPr>
        <w:t xml:space="preserve">20.2.2.5</w:t>
      </w:r>
      <w:r>
        <w:rPr>
          <w:rFonts w:hint="eastAsia"/>
          <w:b/>
          <w:bCs/>
          <w:color w:val="000000" w:themeColor="text1"/>
          <w:sz w:val="21"/>
          <w:szCs w:val="21"/>
          <w:lang w:val="en-US"/>
          <w14:textFill>
            <w14:solidFill>
              <w14:schemeClr w14:val="tx1"/>
            </w14:solidFill>
          </w14:textFill>
        </w:rPr>
        <w:t xml:space="preserve"> </w:t>
      </w:r>
      <w:r>
        <w:rPr>
          <w:rFonts w:hint="eastAsia"/>
          <w:b/>
          <w:bCs/>
          <w:color w:val="000000" w:themeColor="text1"/>
          <w:sz w:val="21"/>
          <w:szCs w:val="21"/>
          <w14:textFill>
            <w14:solidFill>
              <w14:schemeClr w14:val="tx1"/>
            </w14:solidFill>
          </w14:textFill>
        </w:rPr>
        <w:t xml:space="preserve">废标</w:t>
      </w:r>
      <w:r/>
    </w:p>
    <w:p>
      <w:pPr>
        <w:pStyle w:val="995"/>
        <w:ind w:left="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0</w:t>
      </w:r>
      <w:r>
        <w:rPr>
          <w:rFonts w:hint="eastAsia"/>
          <w:color w:val="000000" w:themeColor="text1"/>
          <w:sz w:val="21"/>
          <w:szCs w:val="21"/>
          <w14:textFill>
            <w14:solidFill>
              <w14:schemeClr w14:val="tx1"/>
            </w14:solidFill>
          </w14:textFill>
        </w:rPr>
        <w:t xml:space="preserve">.2.2.5.1 符合资格条件的供应商或者对招标文件作实质响应的供应商不足三家。</w:t>
      </w:r>
      <w:r/>
    </w:p>
    <w:p>
      <w:pPr>
        <w:pStyle w:val="995"/>
        <w:ind w:left="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0</w:t>
      </w:r>
      <w:r>
        <w:rPr>
          <w:rFonts w:hint="eastAsia"/>
          <w:color w:val="000000" w:themeColor="text1"/>
          <w:sz w:val="21"/>
          <w:szCs w:val="21"/>
          <w14:textFill>
            <w14:solidFill>
              <w14:schemeClr w14:val="tx1"/>
            </w14:solidFill>
          </w14:textFill>
        </w:rPr>
        <w:t xml:space="preserve">.2.2.5.2 出现影响采购公正的违法、违规行为。</w:t>
      </w:r>
      <w:r/>
    </w:p>
    <w:p>
      <w:pPr>
        <w:pStyle w:val="995"/>
        <w:ind w:left="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0</w:t>
      </w:r>
      <w:r>
        <w:rPr>
          <w:rFonts w:hint="eastAsia"/>
          <w:color w:val="000000" w:themeColor="text1"/>
          <w:sz w:val="21"/>
          <w:szCs w:val="21"/>
          <w14:textFill>
            <w14:solidFill>
              <w14:schemeClr w14:val="tx1"/>
            </w14:solidFill>
          </w14:textFill>
        </w:rPr>
        <w:t xml:space="preserve">.2.2.5.3 因重大变故采购任务取消。</w:t>
      </w:r>
      <w:r/>
    </w:p>
    <w:p>
      <w:pPr>
        <w:pStyle w:val="995"/>
        <w:ind w:left="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0</w:t>
      </w:r>
      <w:r>
        <w:rPr>
          <w:rFonts w:hint="eastAsia"/>
          <w:color w:val="000000" w:themeColor="text1"/>
          <w:sz w:val="21"/>
          <w:szCs w:val="21"/>
          <w14:textFill>
            <w14:solidFill>
              <w14:schemeClr w14:val="tx1"/>
            </w14:solidFill>
          </w14:textFill>
        </w:rPr>
        <w:t xml:space="preserve">.2.2.5.4 评委会认定招标文件存在歧义、重大缺陷导致评审工作无法进行。</w:t>
      </w:r>
      <w:r/>
    </w:p>
    <w:p>
      <w:pPr>
        <w:pStyle w:val="995"/>
        <w:ind w:left="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0</w:t>
      </w:r>
      <w:r>
        <w:rPr>
          <w:rFonts w:hint="eastAsia"/>
          <w:color w:val="000000" w:themeColor="text1"/>
          <w:sz w:val="21"/>
          <w:szCs w:val="21"/>
          <w14:textFill>
            <w14:solidFill>
              <w14:schemeClr w14:val="tx1"/>
            </w14:solidFill>
          </w14:textFill>
        </w:rPr>
        <w:t xml:space="preserve">.2.2.5.5 预留份额的采购项目或采购包，通过发布公告方式邀请供应商后，符合资格条件的中小企业数量不足3家的。</w:t>
      </w:r>
      <w:r/>
    </w:p>
    <w:p>
      <w:pPr>
        <w:pStyle w:val="995"/>
        <w:ind w:left="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21.2.2.5.6 因苏采云系统故障造成开标不成功。</w:t>
      </w:r>
      <w:r/>
    </w:p>
    <w:p>
      <w:pPr>
        <w:pStyle w:val="995"/>
        <w:ind w:left="440" w:firstLine="0"/>
        <w:spacing w:line="360" w:lineRule="auto"/>
        <w:tabs>
          <w:tab w:val="left" w:pos="1163" w:leader="none"/>
        </w:tabs>
        <w:rPr>
          <w:color w:val="000000" w:themeColor="text1"/>
          <w:sz w:val="21"/>
          <w:szCs w:val="21"/>
          <w:lang w:val="en-US"/>
          <w14:textFill>
            <w14:solidFill>
              <w14:schemeClr w14:val="tx1"/>
            </w14:solidFill>
          </w14:textFill>
        </w:rPr>
      </w:pPr>
      <w:r>
        <w:rPr>
          <w:rFonts w:hint="eastAsia"/>
          <w:b/>
          <w:bCs/>
          <w:color w:val="000000" w:themeColor="text1"/>
          <w:sz w:val="21"/>
          <w:szCs w:val="21"/>
          <w:lang w:val="en-US"/>
          <w14:textFill>
            <w14:solidFill>
              <w14:schemeClr w14:val="tx1"/>
            </w14:solidFill>
          </w14:textFill>
        </w:rPr>
        <w:t xml:space="preserve">20.2.3 投标文件的进一步评审</w:t>
      </w:r>
      <w:r/>
    </w:p>
    <w:p>
      <w:pPr>
        <w:pStyle w:val="995"/>
        <w:ind w:left="0"/>
        <w:spacing w:line="360" w:lineRule="auto"/>
        <w:tabs>
          <w:tab w:val="left" w:pos="1163" w:leader="none"/>
        </w:tabs>
        <w:rPr>
          <w:color w:val="000000" w:themeColor="text1"/>
          <w:sz w:val="21"/>
          <w:szCs w:val="21"/>
          <w:lang w:val="en-US"/>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20.2.3.1评标委员会将对确定为实质性响应的投标文件进行进一步评审，看其是否有计算上或累加上的算术错误，修正错误的原则如下：</w:t>
      </w:r>
      <w:r/>
    </w:p>
    <w:p>
      <w:pPr>
        <w:pStyle w:val="995"/>
        <w:ind w:left="0"/>
        <w:spacing w:line="360" w:lineRule="auto"/>
        <w:tabs>
          <w:tab w:val="left" w:pos="1163" w:leader="none"/>
        </w:tabs>
        <w:rPr>
          <w:color w:val="000000" w:themeColor="text1"/>
          <w:sz w:val="21"/>
          <w:szCs w:val="21"/>
          <w:lang w:val="en-US"/>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（1）如果用数字表示的金额和用文字表示的金额不一致时，应以文字表示的金额为准进行修正；</w:t>
      </w:r>
      <w:r/>
    </w:p>
    <w:p>
      <w:pPr>
        <w:pStyle w:val="995"/>
        <w:ind w:left="0"/>
        <w:spacing w:line="360" w:lineRule="auto"/>
        <w:tabs>
          <w:tab w:val="left" w:pos="1163" w:leader="none"/>
        </w:tabs>
        <w:rPr>
          <w:color w:val="000000" w:themeColor="text1"/>
          <w:sz w:val="21"/>
          <w:szCs w:val="21"/>
          <w:lang w:val="en-US"/>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（2）当单价与数量的乘积和总价不一致时，以单价为准进行修正。只有在评标委员会认为单价有明显的小数点错误时，才能以标出的总价为准，并修改单价。</w:t>
      </w:r>
      <w:r/>
    </w:p>
    <w:p>
      <w:pPr>
        <w:pStyle w:val="995"/>
        <w:ind w:left="0"/>
        <w:spacing w:line="360" w:lineRule="auto"/>
        <w:tabs>
          <w:tab w:val="left" w:pos="1163" w:leader="none"/>
        </w:tabs>
        <w:rPr>
          <w:color w:val="000000" w:themeColor="text1"/>
          <w:sz w:val="21"/>
          <w:szCs w:val="21"/>
          <w:lang w:val="en-US"/>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20.2.3.2 评委会将按上述修正错误的方法调整投标文件中的投标报价，并通过苏采云系统告知投标人，调整后的价格对投标人具有约束力。如果投标人不接受修正后的价格，则其投标将被拒绝。</w:t>
      </w:r>
      <w:r/>
    </w:p>
    <w:p>
      <w:pPr>
        <w:pStyle w:val="995"/>
        <w:ind w:left="0"/>
        <w:spacing w:line="360" w:lineRule="auto"/>
        <w:tabs>
          <w:tab w:val="left" w:pos="1163" w:leader="none"/>
        </w:tabs>
        <w:rPr>
          <w:color w:val="000000" w:themeColor="text1"/>
          <w:sz w:val="21"/>
          <w:szCs w:val="21"/>
          <w:lang w:val="en-US"/>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20.2.3.3 评标委员会将允许修正投标文件中不构成重大偏离的、微小的、非正规的、不一致的或不规则的地方，但这些修改不能影响任何供应商相应的名次排列。</w:t>
      </w:r>
      <w:r/>
    </w:p>
    <w:p>
      <w:pPr>
        <w:pStyle w:val="995"/>
        <w:ind w:left="0"/>
        <w:spacing w:line="360" w:lineRule="auto"/>
        <w:tabs>
          <w:tab w:val="left" w:pos="1163" w:leader="none"/>
        </w:tabs>
        <w:rPr>
          <w:color w:val="000000" w:themeColor="text1"/>
          <w:sz w:val="21"/>
          <w:szCs w:val="21"/>
          <w:lang w:val="en-US"/>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20.2.3.4 澄清有关问题。对投标文件中含义不明确、同类问题表述不一致或者明显文字错误的内容，评标委员会可以要求供应商作出必要的澄清、说明或者补正。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接到评委会澄清、说明和补正要求的，投标人如未按规定作出澄清、说明和补正，其风险由投标人自行承担。</w:t>
      </w:r>
      <w:r/>
    </w:p>
    <w:p>
      <w:pPr>
        <w:pStyle w:val="995"/>
        <w:ind w:left="0"/>
        <w:spacing w:line="360" w:lineRule="auto"/>
        <w:tabs>
          <w:tab w:val="left" w:pos="1163" w:leader="none"/>
        </w:tabs>
        <w:rPr>
          <w:color w:val="000000" w:themeColor="text1"/>
          <w:sz w:val="21"/>
          <w:szCs w:val="21"/>
          <w:lang w:val="en-US"/>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20.2.3.5 比较与评价。按照招标文件中规定的评标方法和标准，对资格性检查和符合性检查合格的投标文件进行商务和技术评估，综合比较与评价。</w:t>
      </w:r>
      <w:r/>
    </w:p>
    <w:p>
      <w:pPr>
        <w:pStyle w:val="995"/>
        <w:ind w:left="0"/>
        <w:spacing w:line="360" w:lineRule="auto"/>
        <w:tabs>
          <w:tab w:val="left" w:pos="1163" w:leader="none"/>
        </w:tabs>
        <w:rPr>
          <w:color w:val="000000" w:themeColor="text1"/>
          <w:sz w:val="21"/>
          <w:szCs w:val="21"/>
          <w:lang w:val="en-US"/>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20.2.3.6 投标人在开、评标全过程中应保持通讯畅通，及时登录苏采云系统查阅、答复相关信息，并安排专人与代理机构及评委会联系。</w:t>
      </w:r>
      <w:r/>
    </w:p>
    <w:p>
      <w:pPr>
        <w:pStyle w:val="995"/>
        <w:ind w:left="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20.2.3.7 如出现投标截止时间后参加投标的供应商或者对招标文件作出实质性响应的供应商不足三家的情况，按政府采购相关规定执行。</w:t>
      </w:r>
      <w:r/>
    </w:p>
    <w:p>
      <w:pPr>
        <w:pStyle w:val="995"/>
        <w:numPr>
          <w:ilvl w:val="2"/>
          <w:numId w:val="0"/>
        </w:numPr>
        <w:ind w:firstLine="422"/>
        <w:spacing w:line="360" w:lineRule="auto"/>
        <w:tabs>
          <w:tab w:val="left" w:pos="1588" w:leader="none"/>
          <w:tab w:val="left" w:pos="1589" w:leader="none"/>
        </w:tabs>
        <w:rPr>
          <w:b/>
          <w:color w:val="000000" w:themeColor="text1"/>
          <w:sz w:val="21"/>
          <w:szCs w:val="21"/>
          <w14:textFill>
            <w14:solidFill>
              <w14:schemeClr w14:val="tx1"/>
            </w14:solidFill>
          </w14:textFill>
        </w:rPr>
      </w:pPr>
      <w:r>
        <w:rPr>
          <w:b/>
          <w:bCs/>
          <w:color w:val="000000" w:themeColor="text1"/>
          <w:sz w:val="21"/>
          <w:szCs w:val="21"/>
          <w14:textFill>
            <w14:solidFill>
              <w14:schemeClr w14:val="tx1"/>
            </w14:solidFill>
          </w14:textFill>
        </w:rPr>
        <w:t xml:space="preserve">20.2.</w:t>
      </w:r>
      <w:r>
        <w:rPr>
          <w:rFonts w:hint="eastAsia"/>
          <w:b/>
          <w:bCs/>
          <w:color w:val="000000" w:themeColor="text1"/>
          <w:sz w:val="21"/>
          <w:szCs w:val="21"/>
          <w:lang w:val="en-US"/>
          <w14:textFill>
            <w14:solidFill>
              <w14:schemeClr w14:val="tx1"/>
            </w14:solidFill>
          </w14:textFill>
        </w:rPr>
        <w:t xml:space="preserve">4</w:t>
      </w:r>
      <w:r>
        <w:rPr>
          <w:rFonts w:hint="eastAsia"/>
          <w:b/>
          <w:bCs/>
          <w:color w:val="000000" w:themeColor="text1"/>
          <w:sz w:val="21"/>
          <w:szCs w:val="21"/>
          <w14:textFill>
            <w14:solidFill>
              <w14:schemeClr w14:val="tx1"/>
            </w14:solidFill>
          </w14:textFill>
        </w:rPr>
        <w:t xml:space="preserve">评</w:t>
      </w:r>
      <w:r>
        <w:rPr>
          <w:rFonts w:hint="eastAsia"/>
          <w:b/>
          <w:color w:val="000000" w:themeColor="text1"/>
          <w:sz w:val="21"/>
          <w:szCs w:val="21"/>
          <w14:textFill>
            <w14:solidFill>
              <w14:schemeClr w14:val="tx1"/>
            </w14:solidFill>
          </w14:textFill>
        </w:rPr>
        <w:t xml:space="preserve">审过程中出现下列情形之一的，评审委员会应当启动异常低价投标（响应）审查程序：</w:t>
      </w:r>
      <w:r/>
    </w:p>
    <w:p>
      <w:pPr>
        <w:pStyle w:val="995"/>
        <w:numPr>
          <w:ilvl w:val="3"/>
          <w:numId w:val="0"/>
        </w:numPr>
        <w:ind w:firstLine="422"/>
        <w:spacing w:line="360" w:lineRule="auto"/>
        <w:tabs>
          <w:tab w:val="left" w:pos="1539"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pStyle w:val="995"/>
        <w:numPr>
          <w:ilvl w:val="3"/>
          <w:numId w:val="0"/>
        </w:numPr>
        <w:ind w:firstLine="422"/>
        <w:spacing w:line="360" w:lineRule="auto"/>
        <w:tabs>
          <w:tab w:val="left" w:pos="1539"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pStyle w:val="995"/>
        <w:numPr>
          <w:ilvl w:val="3"/>
          <w:numId w:val="0"/>
        </w:numPr>
        <w:ind w:firstLine="422"/>
        <w:spacing w:line="360" w:lineRule="auto"/>
        <w:tabs>
          <w:tab w:val="left" w:pos="1539"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（3）投标（响应）报价低于采购项目最高限价45%的，即投标（响应）报价&lt;采购项目最高限价×45%；</w:t>
      </w:r>
      <w:r/>
    </w:p>
    <w:p>
      <w:pPr>
        <w:pStyle w:val="995"/>
        <w:numPr>
          <w:ilvl w:val="3"/>
          <w:numId w:val="0"/>
        </w:numPr>
        <w:ind w:firstLine="422"/>
        <w:spacing w:line="360" w:lineRule="auto"/>
        <w:tabs>
          <w:tab w:val="left" w:pos="1539"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（4）评审委员会认定的供应商报价过低、有可能影响产品质量或者不能诚信履约的其他情形。</w:t>
      </w:r>
      <w:r/>
    </w:p>
    <w:p>
      <w:pPr>
        <w:pStyle w:val="995"/>
        <w:numPr>
          <w:ilvl w:val="3"/>
          <w:numId w:val="0"/>
        </w:numPr>
        <w:ind w:firstLine="422"/>
        <w:spacing w:line="360" w:lineRule="auto"/>
        <w:tabs>
          <w:tab w:val="left" w:pos="1539"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评审委员会启动异常低价投标（响应）审查后，属于前述第1项至第4项情形的，应当</w:t>
      </w:r>
      <w:r>
        <w:rPr>
          <w:color w:val="000000" w:themeColor="text1"/>
          <w:sz w:val="21"/>
          <w:szCs w:val="21"/>
          <w14:textFill>
            <w14:solidFill>
              <w14:schemeClr w14:val="tx1"/>
            </w14:solidFill>
          </w14:textFill>
        </w:rPr>
        <w:t xml:space="preserve">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投标（响应）供应商不提供书面说明、证明材料，或者提供的书面说明、证明材料不能证明其报价合理性的，评审委员会应当将其作为无效投标（响应）处理。审查相关情况应当在评审报告中进行记录。</w:t>
      </w:r>
      <w:r/>
    </w:p>
    <w:p>
      <w:pPr>
        <w:pStyle w:val="995"/>
        <w:numPr>
          <w:ilvl w:val="1"/>
          <w:numId w:val="0"/>
        </w:numPr>
        <w:ind w:firstLine="422"/>
        <w:spacing w:line="360" w:lineRule="auto"/>
        <w:tabs>
          <w:tab w:val="left" w:pos="1167" w:leader="none"/>
        </w:tabs>
        <w:rPr>
          <w:b/>
          <w:color w:val="000000" w:themeColor="text1"/>
          <w:sz w:val="21"/>
          <w:szCs w:val="21"/>
          <w14:textFill>
            <w14:solidFill>
              <w14:schemeClr w14:val="tx1"/>
            </w14:solidFill>
          </w14:textFill>
        </w:rPr>
      </w:pPr>
      <w:r>
        <w:rPr>
          <w:b/>
          <w:bCs/>
          <w:color w:val="000000" w:themeColor="text1"/>
          <w:sz w:val="21"/>
          <w:szCs w:val="21"/>
          <w14:textFill>
            <w14:solidFill>
              <w14:schemeClr w14:val="tx1"/>
            </w14:solidFill>
          </w14:textFill>
        </w:rPr>
        <w:t xml:space="preserve">20.3</w:t>
      </w:r>
      <w:r>
        <w:rPr>
          <w:rFonts w:hint="eastAsia"/>
          <w:b/>
          <w:color w:val="000000" w:themeColor="text1"/>
          <w:sz w:val="21"/>
          <w:szCs w:val="21"/>
          <w14:textFill>
            <w14:solidFill>
              <w14:schemeClr w14:val="tx1"/>
            </w14:solidFill>
          </w14:textFill>
        </w:rPr>
        <w:t xml:space="preserve">评标方法和标准</w:t>
      </w:r>
      <w:r/>
    </w:p>
    <w:p>
      <w:pPr>
        <w:pStyle w:val="995"/>
        <w:numPr>
          <w:ilvl w:val="2"/>
          <w:numId w:val="0"/>
        </w:numPr>
        <w:ind w:firstLine="422"/>
        <w:spacing w:line="360" w:lineRule="auto"/>
        <w:tabs>
          <w:tab w:val="left" w:pos="1270"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0</w:t>
      </w:r>
      <w:r>
        <w:rPr>
          <w:color w:val="000000" w:themeColor="text1"/>
          <w:sz w:val="21"/>
          <w:szCs w:val="21"/>
          <w14:textFill>
            <w14:solidFill>
              <w14:schemeClr w14:val="tx1"/>
            </w14:solidFill>
          </w14:textFill>
        </w:rPr>
        <w:t xml:space="preserve">.3.1 采用综合评分法。即在投标文件满足招标文件全部实质性要求前提下，按照评审因素的量化指标评分。未中标的投标人可于中标结果公告期限届满之日起通过苏采云系统查看本单位的评审得分及排名情况。</w:t>
      </w:r>
      <w:r/>
    </w:p>
    <w:p>
      <w:pPr>
        <w:pStyle w:val="995"/>
        <w:numPr>
          <w:ilvl w:val="2"/>
          <w:numId w:val="0"/>
        </w:numPr>
        <w:ind w:firstLine="422"/>
        <w:spacing w:line="360" w:lineRule="auto"/>
        <w:tabs>
          <w:tab w:val="left" w:pos="1270"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0</w:t>
      </w:r>
      <w:r>
        <w:rPr>
          <w:color w:val="000000" w:themeColor="text1"/>
          <w:sz w:val="21"/>
          <w:szCs w:val="21"/>
          <w14:textFill>
            <w14:solidFill>
              <w14:schemeClr w14:val="tx1"/>
            </w14:solidFill>
          </w14:textFill>
        </w:rPr>
        <w:t xml:space="preserve">.3.2 综合评分的主要因素详见文件第三章。</w:t>
      </w:r>
      <w:r/>
    </w:p>
    <w:p>
      <w:pPr>
        <w:pStyle w:val="995"/>
        <w:numPr>
          <w:ilvl w:val="2"/>
          <w:numId w:val="0"/>
        </w:numPr>
        <w:ind w:firstLine="422"/>
        <w:spacing w:line="360" w:lineRule="auto"/>
        <w:tabs>
          <w:tab w:val="left" w:pos="1270" w:leader="none"/>
        </w:tabs>
        <w:rPr>
          <w:b/>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0</w:t>
      </w:r>
      <w:r>
        <w:rPr>
          <w:color w:val="000000" w:themeColor="text1"/>
          <w:sz w:val="21"/>
          <w:szCs w:val="21"/>
          <w14:textFill>
            <w14:solidFill>
              <w14:schemeClr w14:val="tx1"/>
            </w14:solidFill>
          </w14:textFill>
        </w:rPr>
        <w:t xml:space="preserve">.3.3评分标准详见文件第三章。</w:t>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21、确定中标供应商</w:t>
      </w:r>
      <w:r/>
    </w:p>
    <w:p>
      <w:pPr>
        <w:pStyle w:val="995"/>
        <w:numPr>
          <w:ilvl w:val="1"/>
          <w:numId w:val="0"/>
        </w:numPr>
        <w:ind w:firstLine="420"/>
        <w:spacing w:line="360" w:lineRule="auto"/>
        <w:tabs>
          <w:tab w:val="left" w:pos="116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1</w:t>
      </w:r>
      <w:r>
        <w:rPr>
          <w:color w:val="000000" w:themeColor="text1"/>
          <w:sz w:val="21"/>
          <w:szCs w:val="21"/>
          <w14:textFill>
            <w14:solidFill>
              <w14:schemeClr w14:val="tx1"/>
            </w14:solidFill>
          </w14:textFill>
        </w:rPr>
        <w:t xml:space="preserve">.1 在综合比较与评价后按照得分由高到低顺序对供应商进行排序。评标委员会按综合得分排名推荐3名中标候选人。得分相同的，按投标报价由低到高顺序排列。得分且报价相同的，按照施工组织设计得分最高的投标人为中标候选人。</w:t>
      </w:r>
      <w:r/>
    </w:p>
    <w:p>
      <w:pPr>
        <w:pStyle w:val="995"/>
        <w:numPr>
          <w:ilvl w:val="1"/>
          <w:numId w:val="0"/>
        </w:numPr>
        <w:ind w:firstLine="420"/>
        <w:spacing w:line="360" w:lineRule="auto"/>
        <w:tabs>
          <w:tab w:val="left" w:pos="116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1</w:t>
      </w:r>
      <w:r>
        <w:rPr>
          <w:color w:val="000000" w:themeColor="text1"/>
          <w:sz w:val="21"/>
          <w:szCs w:val="21"/>
          <w14:textFill>
            <w14:solidFill>
              <w14:schemeClr w14:val="tx1"/>
            </w14:solidFill>
          </w14:textFill>
        </w:rPr>
        <w:t xml:space="preserve">.2 按以下第（1）种方式确定中标供应商</w:t>
      </w:r>
      <w:r/>
    </w:p>
    <w:p>
      <w:pPr>
        <w:pStyle w:val="995"/>
        <w:numPr>
          <w:ilvl w:val="1"/>
          <w:numId w:val="0"/>
        </w:numPr>
        <w:ind w:firstLine="420"/>
        <w:spacing w:line="360" w:lineRule="auto"/>
        <w:tabs>
          <w:tab w:val="left" w:pos="116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（1）评标委员会直接确定排名第一的中标候选人为中标供应商；</w:t>
      </w:r>
      <w:r/>
    </w:p>
    <w:p>
      <w:pPr>
        <w:pStyle w:val="995"/>
        <w:numPr>
          <w:ilvl w:val="1"/>
          <w:numId w:val="0"/>
        </w:numPr>
        <w:ind w:firstLine="420"/>
        <w:spacing w:line="360" w:lineRule="auto"/>
        <w:tabs>
          <w:tab w:val="left" w:pos="116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（2）采购人在评标委员会推荐的中标候选人中按顺序确定中标供应商。</w:t>
      </w:r>
      <w:r/>
    </w:p>
    <w:p>
      <w:pPr>
        <w:pStyle w:val="995"/>
        <w:numPr>
          <w:ilvl w:val="1"/>
          <w:numId w:val="0"/>
        </w:numPr>
        <w:ind w:firstLine="420"/>
        <w:spacing w:line="360" w:lineRule="auto"/>
        <w:tabs>
          <w:tab w:val="left" w:pos="116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按第二种方式确定中标供应商的，代理机构自评审结束之日起两个工作日内将评审报告送交采购人，采购人应当自收到评审报告之日起五个工作日内在评审报告推荐的中标候选人中按顺序确定中标供应商。</w:t>
      </w:r>
      <w:r/>
    </w:p>
    <w:p>
      <w:pPr>
        <w:pStyle w:val="995"/>
        <w:numPr>
          <w:ilvl w:val="1"/>
          <w:numId w:val="0"/>
        </w:numPr>
        <w:ind w:firstLine="420"/>
        <w:spacing w:line="360" w:lineRule="auto"/>
        <w:tabs>
          <w:tab w:val="left" w:pos="116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1</w:t>
      </w:r>
      <w:r>
        <w:rPr>
          <w:color w:val="000000" w:themeColor="text1"/>
          <w:sz w:val="21"/>
          <w:szCs w:val="21"/>
          <w14:textFill>
            <w14:solidFill>
              <w14:schemeClr w14:val="tx1"/>
            </w14:solidFill>
          </w14:textFill>
        </w:rPr>
        <w:t xml:space="preserve">.3 中标供应商确定之日起两个工作日内，将在财政部门指定的政府采购信息发布媒体上公告。</w:t>
      </w:r>
      <w:r/>
    </w:p>
    <w:p>
      <w:pPr>
        <w:pStyle w:val="995"/>
        <w:numPr>
          <w:ilvl w:val="1"/>
          <w:numId w:val="0"/>
        </w:numPr>
        <w:ind w:firstLine="420"/>
        <w:spacing w:line="360" w:lineRule="auto"/>
        <w:tabs>
          <w:tab w:val="left" w:pos="116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1</w:t>
      </w:r>
      <w:r>
        <w:rPr>
          <w:color w:val="000000" w:themeColor="text1"/>
          <w:sz w:val="21"/>
          <w:szCs w:val="21"/>
          <w14:textFill>
            <w14:solidFill>
              <w14:schemeClr w14:val="tx1"/>
            </w14:solidFill>
          </w14:textFill>
        </w:rPr>
        <w:t xml:space="preserve">.4 《中标通知书》对采购人和中标供应商具有同等法律效力。</w:t>
      </w:r>
      <w:r/>
    </w:p>
    <w:p>
      <w:pPr>
        <w:pStyle w:val="995"/>
        <w:numPr>
          <w:ilvl w:val="1"/>
          <w:numId w:val="0"/>
        </w:numPr>
        <w:ind w:firstLine="420"/>
        <w:spacing w:line="360" w:lineRule="auto"/>
        <w:tabs>
          <w:tab w:val="left" w:pos="116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1</w:t>
      </w:r>
      <w:r>
        <w:rPr>
          <w:color w:val="000000" w:themeColor="text1"/>
          <w:sz w:val="21"/>
          <w:szCs w:val="21"/>
          <w14:textFill>
            <w14:solidFill>
              <w14:schemeClr w14:val="tx1"/>
            </w14:solidFill>
          </w14:textFill>
        </w:rPr>
        <w:t xml:space="preserve">.5 《中标通知书》发出后，中标供应商无正当理由不与采购人签订合同的，应当依法承担法律责任。</w:t>
      </w:r>
      <w:r/>
    </w:p>
    <w:p>
      <w:pPr>
        <w:pStyle w:val="995"/>
        <w:numPr>
          <w:ilvl w:val="1"/>
          <w:numId w:val="0"/>
        </w:numPr>
        <w:ind w:firstLine="420"/>
        <w:spacing w:line="360" w:lineRule="auto"/>
        <w:tabs>
          <w:tab w:val="left" w:pos="1164" w:leader="none"/>
        </w:tabs>
        <w:rPr>
          <w:b/>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1</w:t>
      </w:r>
      <w:r>
        <w:rPr>
          <w:color w:val="000000" w:themeColor="text1"/>
          <w:sz w:val="21"/>
          <w:szCs w:val="21"/>
          <w14:textFill>
            <w14:solidFill>
              <w14:schemeClr w14:val="tx1"/>
            </w14:solidFill>
          </w14:textFill>
        </w:rPr>
        <w:t xml:space="preserve">.6代理机构和评标委员会对未中标的供应商不作未中标原因的解释。</w:t>
      </w:r>
      <w:r>
        <w:rPr>
          <w:rFonts w:hint="eastAsia"/>
          <w:color w:val="000000" w:themeColor="text1"/>
          <w:sz w:val="21"/>
          <w:szCs w:val="21"/>
          <w14:textFill>
            <w14:solidFill>
              <w14:schemeClr w14:val="tx1"/>
            </w14:solidFill>
          </w14:textFill>
        </w:rPr>
        <w:t xml:space="preserve">  </w:t>
      </w:r>
      <w:r/>
    </w:p>
    <w:p>
      <w:pPr>
        <w:pStyle w:val="995"/>
        <w:ind w:left="0" w:firstLine="422"/>
        <w:spacing w:line="360" w:lineRule="auto"/>
        <w:tabs>
          <w:tab w:val="left" w:pos="1164" w:leader="none"/>
        </w:tabs>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22、编写评标报告</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22.1 评标委员会根据全体评标成员签字的原始评标记录和评标结果编写评审报告。</w:t>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23、评标过程的保密性</w:t>
      </w:r>
      <w:r/>
    </w:p>
    <w:p>
      <w:pPr>
        <w:pStyle w:val="995"/>
        <w:numPr>
          <w:ilvl w:val="1"/>
          <w:numId w:val="17"/>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招标代理将采取必要措施，保证评标在严格保密的情况下进行。</w:t>
      </w:r>
      <w:r/>
    </w:p>
    <w:p>
      <w:pPr>
        <w:pStyle w:val="995"/>
        <w:numPr>
          <w:ilvl w:val="1"/>
          <w:numId w:val="17"/>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任何单位和个人不得非法干预、影响评标办法的确定，以及评标过程和结果。</w:t>
      </w:r>
      <w:r/>
    </w:p>
    <w:p>
      <w:pPr>
        <w:pStyle w:val="995"/>
        <w:numPr>
          <w:ilvl w:val="1"/>
          <w:numId w:val="17"/>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凡是与审查、澄清、评价和比较投标的有关资料等，均不向供应商及与评标无关的其他人员透露。</w:t>
      </w:r>
      <w:r/>
    </w:p>
    <w:p>
      <w:pPr>
        <w:ind w:firstLine="422"/>
        <w:spacing w:line="360" w:lineRule="auto"/>
        <w:rPr>
          <w:b/>
          <w:color w:val="000000" w:themeColor="text1"/>
          <w:sz w:val="21"/>
          <w:szCs w:val="21"/>
          <w14:textFill>
            <w14:solidFill>
              <w14:schemeClr w14:val="tx1"/>
            </w14:solidFill>
          </w14:textFill>
        </w:rPr>
      </w:pPr>
      <w:r/>
      <w:bookmarkStart w:id="22" w:name="五、签订合同"/>
      <w:r/>
      <w:bookmarkEnd w:id="22"/>
      <w:r>
        <w:rPr>
          <w:rFonts w:hint="eastAsia"/>
          <w:b/>
          <w:color w:val="000000" w:themeColor="text1"/>
          <w:sz w:val="21"/>
          <w:szCs w:val="21"/>
          <w14:textFill>
            <w14:solidFill>
              <w14:schemeClr w14:val="tx1"/>
            </w14:solidFill>
          </w14:textFill>
        </w:rPr>
        <w:t xml:space="preserve">五、签订合同</w:t>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24、签订合同</w:t>
      </w:r>
      <w:r/>
    </w:p>
    <w:p>
      <w:pPr>
        <w:pStyle w:val="995"/>
        <w:numPr>
          <w:ilvl w:val="1"/>
          <w:numId w:val="18"/>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采购人应当自中标通知书发出之日起30日内，按照招标文件和中标人投标文件的规定与中标人签订书面合同。所签订的合同不得对招标文件确定事项和中标人投标文件作实质性修改。</w:t>
      </w:r>
      <w:r/>
    </w:p>
    <w:p>
      <w:pPr>
        <w:pStyle w:val="995"/>
        <w:numPr>
          <w:ilvl w:val="1"/>
          <w:numId w:val="18"/>
        </w:numPr>
        <w:ind w:firstLine="420"/>
        <w:spacing w:line="360" w:lineRule="auto"/>
        <w:tabs>
          <w:tab w:val="left" w:pos="1109"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采购人不得向中标人提出任何不合理的要求作为签订合同的条件，不得与中标人私下订立背离合同实质性内容的协议。</w:t>
      </w:r>
      <w:r/>
    </w:p>
    <w:p>
      <w:pPr>
        <w:pStyle w:val="995"/>
        <w:numPr>
          <w:ilvl w:val="1"/>
          <w:numId w:val="18"/>
        </w:numPr>
        <w:ind w:firstLine="420"/>
        <w:spacing w:line="360" w:lineRule="auto"/>
        <w:tabs>
          <w:tab w:val="left" w:pos="1059"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中标人拒绝与采购人签订合同，或因不可抗力或者自身原因不能履行政府采购合同的，采购人可以按照评审报告中的得分高低顺序，确定下一顺序供应商为中标人，也可以重新开展政府采购活动。</w:t>
      </w:r>
      <w:r/>
    </w:p>
    <w:p>
      <w:pPr>
        <w:pStyle w:val="995"/>
        <w:numPr>
          <w:ilvl w:val="1"/>
          <w:numId w:val="18"/>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采购合同履行中，采购人需追加与合同标的相同货物、服务</w:t>
      </w:r>
      <w:r>
        <w:rPr>
          <w:rFonts w:hint="eastAsia"/>
          <w:color w:val="000000" w:themeColor="text1"/>
          <w:sz w:val="21"/>
          <w:szCs w:val="21"/>
          <w:lang w:val="en-US"/>
          <w14:textFill>
            <w14:solidFill>
              <w14:schemeClr w14:val="tx1"/>
            </w14:solidFill>
          </w14:textFill>
        </w:rPr>
        <w:t xml:space="preserve">或工程</w:t>
      </w:r>
      <w:r>
        <w:rPr>
          <w:rFonts w:hint="eastAsia"/>
          <w:color w:val="000000" w:themeColor="text1"/>
          <w:sz w:val="21"/>
          <w:szCs w:val="21"/>
          <w14:textFill>
            <w14:solidFill>
              <w14:schemeClr w14:val="tx1"/>
            </w14:solidFill>
          </w14:textFill>
        </w:rPr>
        <w:t xml:space="preserve">的，在不改变合同其他条款的前提下，可以与供应商协商签订补充合同，但所有补充合同的采购金额不得超过原合同采购金额的百分之十。</w:t>
      </w:r>
      <w:r/>
    </w:p>
    <w:p>
      <w:pPr>
        <w:ind w:firstLine="422"/>
        <w:spacing w:line="360" w:lineRule="auto"/>
        <w:rPr>
          <w:b/>
          <w:color w:val="000000" w:themeColor="text1"/>
          <w:sz w:val="21"/>
          <w:szCs w:val="21"/>
          <w14:textFill>
            <w14:solidFill>
              <w14:schemeClr w14:val="tx1"/>
            </w14:solidFill>
          </w14:textFill>
        </w:rPr>
      </w:pPr>
      <w:r/>
      <w:bookmarkStart w:id="23" w:name="六、询问、质疑、投诉和诚实信用"/>
      <w:r/>
      <w:bookmarkEnd w:id="23"/>
      <w:r>
        <w:rPr>
          <w:rFonts w:hint="eastAsia"/>
          <w:b/>
          <w:color w:val="000000" w:themeColor="text1"/>
          <w:sz w:val="21"/>
          <w:szCs w:val="21"/>
          <w14:textFill>
            <w14:solidFill>
              <w14:schemeClr w14:val="tx1"/>
            </w14:solidFill>
          </w14:textFill>
        </w:rPr>
        <w:t xml:space="preserve">六、询问、质疑、投诉和诚实信用</w:t>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25、询问</w:t>
      </w:r>
      <w:r/>
    </w:p>
    <w:p>
      <w:pPr>
        <w:pStyle w:val="902"/>
        <w:ind w:firstLine="420"/>
        <w:spacing w:line="360" w:lineRule="auto"/>
        <w:rPr>
          <w:b/>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25.1 供应商对招标活动事项有疑问的，可以向招标代理或采购人提出询问，招标代理或采购人将在两个工作日内作出答复，但答复的内容不涉及商业秘密</w:t>
      </w:r>
      <w:r>
        <w:rPr>
          <w:rFonts w:hint="eastAsia"/>
          <w:bCs/>
          <w:color w:val="000000" w:themeColor="text1"/>
          <w14:textFill>
            <w14:solidFill>
              <w14:schemeClr w14:val="tx1"/>
            </w14:solidFill>
          </w14:textFill>
        </w:rPr>
        <w:t xml:space="preserve">。</w:t>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26、质疑</w:t>
      </w:r>
      <w:r/>
    </w:p>
    <w:p>
      <w:pPr>
        <w:pStyle w:val="995"/>
        <w:numPr>
          <w:ilvl w:val="1"/>
          <w:numId w:val="19"/>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供应商（投标人）认为自己的权益受到损害的，可以在知道或者应知其权益受到损害之日起七个工作日内，以书面形式向采购代理机构提出质疑，逾期将不再受理。</w:t>
      </w:r>
      <w:r/>
    </w:p>
    <w:p>
      <w:pPr>
        <w:pStyle w:val="995"/>
        <w:numPr>
          <w:ilvl w:val="1"/>
          <w:numId w:val="19"/>
        </w:numPr>
        <w:ind w:firstLine="420"/>
        <w:spacing w:line="360" w:lineRule="auto"/>
        <w:tabs>
          <w:tab w:val="left" w:pos="1155"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质疑供应商是指直接参加本次投标活动的供应商，未参加投标活动的供应商或在投标活动中自身权益未受到损害的供应商所提出的质疑不予受理。</w:t>
      </w:r>
      <w:r/>
    </w:p>
    <w:p>
      <w:pPr>
        <w:pStyle w:val="995"/>
        <w:numPr>
          <w:ilvl w:val="1"/>
          <w:numId w:val="19"/>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质疑必须以参加投标供应商法定代表人或授权代表（投标文件中所确定的）原件送达的方式提交，否则，招标代理有权不予受理。</w:t>
      </w:r>
      <w:r/>
    </w:p>
    <w:p>
      <w:pPr>
        <w:pStyle w:val="995"/>
        <w:numPr>
          <w:ilvl w:val="1"/>
          <w:numId w:val="19"/>
        </w:numPr>
        <w:ind w:firstLine="420"/>
        <w:spacing w:line="360" w:lineRule="auto"/>
        <w:tabs>
          <w:tab w:val="left" w:pos="1109"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上述应知其权益受到损害之日是指：</w:t>
      </w:r>
      <w:r/>
    </w:p>
    <w:p>
      <w:pPr>
        <w:pStyle w:val="995"/>
        <w:numPr>
          <w:ilvl w:val="0"/>
          <w:numId w:val="20"/>
        </w:numPr>
        <w:ind w:firstLine="42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对招标文件提出质疑的，为投标文件公告期限届满之日起计算；</w:t>
      </w:r>
      <w:r/>
    </w:p>
    <w:p>
      <w:pPr>
        <w:pStyle w:val="995"/>
        <w:numPr>
          <w:ilvl w:val="0"/>
          <w:numId w:val="20"/>
        </w:numPr>
        <w:ind w:firstLine="42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对采购过程提出质疑的，自采购程序环节结束之日起计算；</w:t>
      </w:r>
      <w:r/>
    </w:p>
    <w:p>
      <w:pPr>
        <w:pStyle w:val="995"/>
        <w:numPr>
          <w:ilvl w:val="0"/>
          <w:numId w:val="20"/>
        </w:numPr>
        <w:ind w:firstLine="42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对中标结果提出质疑的，自中标结果公告期限届满之日起计算。</w:t>
      </w:r>
      <w:r/>
    </w:p>
    <w:p>
      <w:pPr>
        <w:pStyle w:val="995"/>
        <w:numPr>
          <w:ilvl w:val="1"/>
          <w:numId w:val="19"/>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质疑文件应包括以下主要内容，并按照“谁主张、谁举证”的原则，附上相关证明材料。否则，招标代理或采购人不予受理：</w:t>
      </w:r>
      <w:r/>
    </w:p>
    <w:p>
      <w:pPr>
        <w:pStyle w:val="995"/>
        <w:numPr>
          <w:ilvl w:val="0"/>
          <w:numId w:val="21"/>
        </w:numPr>
        <w:ind w:firstLine="42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质疑项目名称、项目编号、包号、招标公告发布时间、开标时间；</w:t>
      </w:r>
      <w:r/>
    </w:p>
    <w:p>
      <w:pPr>
        <w:pStyle w:val="995"/>
        <w:numPr>
          <w:ilvl w:val="0"/>
          <w:numId w:val="21"/>
        </w:numPr>
        <w:ind w:firstLine="42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提起质疑的日期、具体的质疑事项及事实根据（具体条款）；</w:t>
      </w:r>
      <w:r/>
    </w:p>
    <w:p>
      <w:pPr>
        <w:pStyle w:val="995"/>
        <w:numPr>
          <w:ilvl w:val="0"/>
          <w:numId w:val="21"/>
        </w:numPr>
        <w:ind w:firstLine="420"/>
        <w:spacing w:line="360" w:lineRule="auto"/>
        <w:tabs>
          <w:tab w:val="left" w:pos="1167"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认为自己合法权益受到损害或可能受到损害的相关证据材料。质疑相关证明材料中如涉及到产品功能或技术指标的，应出具相关制造商的证明文件（友情提示：供应商全部产品线中没有满足技术需求要求的产品才可以对招标产品提出质疑，并提出修改理由和修改建议）；</w:t>
      </w:r>
      <w:r/>
    </w:p>
    <w:p>
      <w:pPr>
        <w:pStyle w:val="995"/>
        <w:numPr>
          <w:ilvl w:val="0"/>
          <w:numId w:val="21"/>
        </w:numPr>
        <w:ind w:firstLine="420"/>
        <w:spacing w:line="360" w:lineRule="auto"/>
        <w:tabs>
          <w:tab w:val="left" w:pos="1163"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质疑供应商名称、地址、邮编、联系人、联系电话（包括座机、手机、传真号码等）；</w:t>
      </w:r>
      <w:r/>
    </w:p>
    <w:p>
      <w:pPr>
        <w:pStyle w:val="995"/>
        <w:numPr>
          <w:ilvl w:val="0"/>
          <w:numId w:val="21"/>
        </w:numPr>
        <w:ind w:firstLine="420"/>
        <w:spacing w:line="360" w:lineRule="auto"/>
        <w:tabs>
          <w:tab w:val="left" w:pos="1167"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质疑文件应当署名，质疑人为自然人的，应当由本人签字并附有效身份证明；质疑人为法人或其他组织的，应当由法定代表人签字并加盖单位公章。</w:t>
      </w:r>
      <w:r/>
    </w:p>
    <w:p>
      <w:pPr>
        <w:pStyle w:val="995"/>
        <w:numPr>
          <w:ilvl w:val="0"/>
          <w:numId w:val="21"/>
        </w:numPr>
        <w:ind w:firstLine="420"/>
        <w:spacing w:line="360" w:lineRule="auto"/>
        <w:tabs>
          <w:tab w:val="left" w:pos="1167"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供应商委托代理质疑的，应当向被质疑人提交授权委托书，并载明委托代理的具体权限和事项。</w:t>
      </w:r>
      <w:r/>
    </w:p>
    <w:p>
      <w:pPr>
        <w:pStyle w:val="995"/>
        <w:numPr>
          <w:ilvl w:val="1"/>
          <w:numId w:val="19"/>
        </w:numPr>
        <w:ind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招标代理在收到供应商的书面质疑后将及时组织调查核实，在七个工作日内作出答复，并以书面或在网站公告形式通知质疑供应商和其他有关供应商，答复的内容不涉及商业秘密。招标代理遵循“谁过错谁负担”的原则，有过错的一方承担调查论证费用。</w:t>
      </w:r>
      <w:r/>
    </w:p>
    <w:p>
      <w:pPr>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27、投诉</w:t>
      </w:r>
      <w:r/>
    </w:p>
    <w:p>
      <w:pPr>
        <w:pStyle w:val="902"/>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27.1 质疑供应商对招标代理的答复不满意，或招标代理未在规定的时间内作出答复的，可以在答复期满后</w:t>
      </w:r>
      <w:r>
        <w:rPr>
          <w:rFonts w:hint="eastAsia"/>
          <w:b/>
          <w:color w:val="000000" w:themeColor="text1"/>
          <w14:textFill>
            <w14:solidFill>
              <w14:schemeClr w14:val="tx1"/>
            </w14:solidFill>
          </w14:textFill>
        </w:rPr>
        <w:t xml:space="preserve">十五个工作日内</w:t>
      </w:r>
      <w:r>
        <w:rPr>
          <w:rFonts w:hint="eastAsia"/>
          <w:color w:val="000000" w:themeColor="text1"/>
          <w14:textFill>
            <w14:solidFill>
              <w14:schemeClr w14:val="tx1"/>
            </w14:solidFill>
          </w14:textFill>
        </w:rPr>
        <w:t xml:space="preserve">向采购项目同级财政部门投诉。</w:t>
      </w:r>
      <w:r/>
    </w:p>
    <w:p>
      <w:pPr>
        <w:contextualSpacing/>
        <w:ind w:firstLine="422"/>
        <w:spacing w:line="36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28、诚实信用</w:t>
      </w:r>
      <w:r/>
    </w:p>
    <w:p>
      <w:pPr>
        <w:pStyle w:val="995"/>
        <w:numPr>
          <w:ilvl w:val="1"/>
          <w:numId w:val="22"/>
        </w:numPr>
        <w:contextualSpacing/>
        <w:ind w:left="0"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供应商之间不得相互串通投标报价，不得妨碍其他供应商的公平竞争，不得损害采购人和其他供应商的合法权益。</w:t>
      </w:r>
      <w:r/>
    </w:p>
    <w:p>
      <w:pPr>
        <w:pStyle w:val="995"/>
        <w:numPr>
          <w:ilvl w:val="1"/>
          <w:numId w:val="22"/>
        </w:numPr>
        <w:contextualSpacing/>
        <w:ind w:left="0"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供应商不得以向招标代理工作人员、评标委员会成员行贿或者采取其他不正当手段谋取中标。   经查实供应商有此行为的，政府采购管理部门将供应商列入不良行为记录名单，按照《政府采购法》有关规定处理。</w:t>
      </w:r>
      <w:r/>
    </w:p>
    <w:p>
      <w:pPr>
        <w:pStyle w:val="995"/>
        <w:numPr>
          <w:ilvl w:val="1"/>
          <w:numId w:val="22"/>
        </w:numPr>
        <w:contextualSpacing/>
        <w:ind w:left="0"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供应商提出书面质疑必须有理、有据，不得虚假质疑和恶意质疑，并对质疑内容的真实性承担责任。一经查实，招标代理有权依据政府采购的有关规定，报请政府采购监管部门对该供应商进行相应的行政处罚并在网站上予以公示。如果供应商或者其他利害关系人通过捏造事实、伪造证明材料等方式提出质疑，干扰政府采购活动正常进行的，属于严重不良行为，招标代理将提请财政部门将其列入不良行为记录名单，并依法予以处罚。</w:t>
      </w:r>
      <w:r/>
    </w:p>
    <w:p>
      <w:pPr>
        <w:pStyle w:val="995"/>
        <w:numPr>
          <w:ilvl w:val="1"/>
          <w:numId w:val="22"/>
        </w:numPr>
        <w:contextualSpacing/>
        <w:ind w:left="0" w:firstLine="420"/>
        <w:spacing w:line="360" w:lineRule="auto"/>
        <w:tabs>
          <w:tab w:val="left" w:pos="1164" w:leader="none"/>
        </w:tabs>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供应商不得虚假承诺，否则，按照提供虚假材料谋取中标成交处理。</w:t>
      </w:r>
      <w:r/>
    </w:p>
    <w:p>
      <w:pPr>
        <w:pStyle w:val="995"/>
        <w:contextualSpacing/>
        <w:ind w:left="0"/>
        <w:spacing w:line="360" w:lineRule="auto"/>
        <w:tabs>
          <w:tab w:val="left" w:pos="1164" w:leader="none"/>
        </w:tabs>
        <w:rPr>
          <w:color w:val="000000" w:themeColor="text1"/>
          <w:sz w:val="21"/>
          <w14:textFill>
            <w14:solidFill>
              <w14:schemeClr w14:val="tx1"/>
            </w14:solidFill>
          </w14:textFill>
        </w:rPr>
        <w:sectPr>
          <w:footerReference w:type="default" r:id="rId11"/>
          <w:footnotePr/>
          <w:endnotePr/>
          <w:type w:val="nextPage"/>
          <w:pgSz w:w="11910" w:h="16840" w:orient="portrait"/>
          <w:pgMar w:top="1134" w:right="1134" w:bottom="1134" w:left="1134" w:header="567" w:footer="567" w:gutter="0"/>
          <w:cols w:num="1" w:sep="0" w:space="720" w:equalWidth="1"/>
          <w:docGrid w:linePitch="360"/>
        </w:sectPr>
      </w:pPr>
      <w:r>
        <w:rPr>
          <w:rFonts w:hint="eastAsia"/>
          <w:color w:val="000000" w:themeColor="text1"/>
          <w:sz w:val="21"/>
          <w:szCs w:val="21"/>
          <w14:textFill>
            <w14:solidFill>
              <w14:schemeClr w14:val="tx1"/>
            </w14:solidFill>
          </w14:textFill>
        </w:rPr>
        <w:t xml:space="preserve">29.5 供应商应自觉遵守开标、评标纪律，扰乱开标评标现场秩序的，属于失信行为，根据《江苏省政府采购供应商监督管理暂行办法》，失信行为将被记入供应商诚信档案。</w:t>
      </w:r>
      <w:r/>
    </w:p>
    <w:p>
      <w:pPr>
        <w:contextualSpacing/>
        <w:jc w:val="center"/>
        <w:spacing w:line="360" w:lineRule="auto"/>
        <w:rPr>
          <w:rFonts w:ascii="黑体" w:eastAsia="黑体"/>
          <w:b/>
          <w:color w:val="000000" w:themeColor="text1"/>
          <w:sz w:val="36"/>
          <w14:textFill>
            <w14:solidFill>
              <w14:schemeClr w14:val="tx1"/>
            </w14:solidFill>
          </w14:textFill>
        </w:rPr>
        <w:outlineLvl w:val="0"/>
      </w:pPr>
      <w:r/>
      <w:bookmarkStart w:id="24" w:name="_Toc9832"/>
      <w:r>
        <w:rPr>
          <w:rFonts w:hint="eastAsia" w:ascii="黑体" w:eastAsia="黑体"/>
          <w:b/>
          <w:color w:val="000000" w:themeColor="text1"/>
          <w:sz w:val="36"/>
          <w14:textFill>
            <w14:solidFill>
              <w14:schemeClr w14:val="tx1"/>
            </w14:solidFill>
          </w14:textFill>
        </w:rPr>
        <w:t xml:space="preserve">第三章 评标标准</w:t>
      </w:r>
      <w:bookmarkEnd w:id="24"/>
      <w:r/>
      <w:r/>
    </w:p>
    <w:p>
      <w:pPr>
        <w:ind w:firstLine="44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本项目评标方法采用综合评分法，综合评分的主要因素是：投标报价、</w:t>
      </w:r>
      <w:r>
        <w:rPr>
          <w:rFonts w:hint="eastAsia"/>
          <w:color w:val="000000" w:themeColor="text1"/>
          <w:lang w:val="en-US"/>
          <w14:textFill>
            <w14:solidFill>
              <w14:schemeClr w14:val="tx1"/>
            </w14:solidFill>
          </w14:textFill>
        </w:rPr>
        <w:t xml:space="preserve">技术方案</w:t>
      </w:r>
      <w:r>
        <w:rPr>
          <w:rFonts w:hint="eastAsia"/>
          <w:color w:val="000000" w:themeColor="text1"/>
          <w14:textFill>
            <w14:solidFill>
              <w14:schemeClr w14:val="tx1"/>
            </w14:solidFill>
          </w14:textFill>
        </w:rPr>
        <w:t xml:space="preserve">、项目管理机构人员配备、业绩等；评标委员会按照招标文件中规定的各项因素进行综合评审，本评分标准中，客观分由评标委员会统一打分；服务由采购人代表及评委各自独立打分，取评标委会所有成员打分的平均值；汇总上述分值后为每一家供应商的最终得分。</w:t>
      </w:r>
      <w:r/>
    </w:p>
    <w:tbl>
      <w:tblPr>
        <w:tblStyle w:val="887"/>
        <w:tblW w:w="5192" w:type="pct"/>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9"/>
        <w:gridCol w:w="1099"/>
        <w:gridCol w:w="5113"/>
        <w:gridCol w:w="846"/>
        <w:gridCol w:w="1122"/>
      </w:tblGrid>
      <w:tr>
        <w:trPr>
          <w:jc w:val="center"/>
        </w:trPr>
        <w:tc>
          <w:tcPr>
            <w:tcBorders>
              <w:top w:val="single" w:color="auto" w:sz="12" w:space="0"/>
              <w:left w:val="single" w:color="auto" w:sz="12" w:space="0"/>
              <w:bottom w:val="none" w:color="000000" w:sz="4" w:space="0"/>
              <w:right w:val="none" w:color="000000" w:sz="4" w:space="0"/>
            </w:tcBorders>
            <w:tcMar>
              <w:left w:w="-1" w:type="dxa"/>
              <w:top w:w="-1" w:type="dxa"/>
              <w:right w:w="-1" w:type="dxa"/>
              <w:bottom w:w="-1" w:type="dxa"/>
            </w:tcMar>
            <w:tcW w:w="378" w:type="pct"/>
            <w:vAlign w:val="center"/>
            <w:textDirection w:val="lrTb"/>
            <w:noWrap w:val="false"/>
          </w:tcPr>
          <w:p>
            <w:pPr>
              <w:pStyle w:val="902"/>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序号</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621" w:type="pct"/>
            <w:vAlign w:val="center"/>
            <w:textDirection w:val="lrTb"/>
            <w:noWrap w:val="false"/>
          </w:tcPr>
          <w:p>
            <w:pPr>
              <w:pStyle w:val="902"/>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评审因素</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2889" w:type="pct"/>
            <w:vAlign w:val="center"/>
            <w:textDirection w:val="lrTb"/>
            <w:noWrap w:val="false"/>
          </w:tcPr>
          <w:p>
            <w:pPr>
              <w:pStyle w:val="902"/>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评审细则</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478" w:type="pct"/>
            <w:vAlign w:val="center"/>
            <w:textDirection w:val="lrTb"/>
            <w:noWrap w:val="false"/>
          </w:tcPr>
          <w:p>
            <w:pPr>
              <w:pStyle w:val="902"/>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分值</w:t>
            </w:r>
            <w:r/>
          </w:p>
        </w:tc>
        <w:tc>
          <w:tcPr>
            <w:tcBorders>
              <w:top w:val="single" w:color="auto" w:sz="12" w:space="0"/>
              <w:left w:val="single" w:color="auto" w:sz="4" w:space="0"/>
              <w:bottom w:val="none" w:color="000000" w:sz="4" w:space="0"/>
              <w:right w:val="single" w:color="auto" w:sz="12" w:space="0"/>
            </w:tcBorders>
            <w:tcMar>
              <w:left w:w="-1" w:type="dxa"/>
              <w:top w:w="-1" w:type="dxa"/>
              <w:right w:w="-1" w:type="dxa"/>
              <w:bottom w:w="-1" w:type="dxa"/>
            </w:tcMar>
            <w:tcW w:w="631" w:type="pct"/>
            <w:vAlign w:val="center"/>
            <w:textDirection w:val="lrTb"/>
            <w:noWrap w:val="false"/>
          </w:tcPr>
          <w:p>
            <w:pPr>
              <w:pStyle w:val="902"/>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分值类型</w:t>
            </w:r>
            <w:r/>
          </w:p>
        </w:tc>
      </w:tr>
      <w:tr>
        <w:trPr>
          <w:jc w:val="center"/>
        </w:trPr>
        <w:tc>
          <w:tcPr>
            <w:gridSpan w:val="5"/>
            <w:tcBorders>
              <w:top w:val="single" w:color="auto" w:sz="4" w:space="0"/>
              <w:left w:val="single" w:color="auto" w:sz="12" w:space="0"/>
              <w:bottom w:val="none" w:color="000000" w:sz="4" w:space="0"/>
              <w:right w:val="single" w:color="auto" w:sz="12" w:space="0"/>
            </w:tcBorders>
            <w:tcMar>
              <w:left w:w="-1" w:type="dxa"/>
              <w:top w:w="-1" w:type="dxa"/>
              <w:right w:w="-1" w:type="dxa"/>
              <w:bottom w:w="-1" w:type="dxa"/>
            </w:tcMar>
            <w:tcW w:w="5000" w:type="pct"/>
            <w:vAlign w:val="center"/>
            <w:textDirection w:val="lrTb"/>
            <w:noWrap w:val="false"/>
          </w:tcPr>
          <w:p>
            <w:pPr>
              <w:pStyle w:val="90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价格</w:t>
            </w:r>
            <w:r/>
          </w:p>
        </w:tc>
      </w:tr>
      <w:tr>
        <w:trPr>
          <w:jc w:val="center"/>
          <w:trHeight w:val="1459"/>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378" w:type="pct"/>
            <w:vAlign w:val="center"/>
            <w:textDirection w:val="lrTb"/>
            <w:noWrap w:val="false"/>
          </w:tcPr>
          <w:p>
            <w:pPr>
              <w:pStyle w:val="902"/>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1.1</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621" w:type="pct"/>
            <w:vAlign w:val="center"/>
            <w:textDirection w:val="lrTb"/>
            <w:noWrap w:val="false"/>
          </w:tcPr>
          <w:p>
            <w:pPr>
              <w:pStyle w:val="902"/>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价格</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89" w:type="pct"/>
            <w:vAlign w:val="center"/>
            <w:textDirection w:val="lrTb"/>
            <w:noWrap w:val="false"/>
          </w:tcPr>
          <w:p>
            <w:pPr>
              <w:spacing w:line="378" w:lineRule="exact"/>
              <w:rPr>
                <w:color w:val="000000"/>
                <w:sz w:val="21"/>
              </w:rPr>
            </w:pPr>
            <w:r>
              <w:rPr>
                <w:rFonts w:hint="eastAsia"/>
                <w:color w:val="000000"/>
                <w:sz w:val="21"/>
              </w:rPr>
              <w:t xml:space="preserve">采用低价优先法计算，即满足投标文件要求且投标价格最低的投标报价为评标基准价，其价格分为满分。</w:t>
            </w:r>
            <w:r/>
          </w:p>
          <w:p>
            <w:pPr>
              <w:spacing w:line="378" w:lineRule="exact"/>
              <w:rPr>
                <w:color w:val="000000" w:themeColor="text1"/>
                <w14:textFill>
                  <w14:solidFill>
                    <w14:schemeClr w14:val="tx1"/>
                  </w14:solidFill>
                </w14:textFill>
              </w:rPr>
            </w:pPr>
            <w:r>
              <w:rPr>
                <w:rFonts w:hint="eastAsia"/>
                <w:color w:val="000000"/>
                <w:sz w:val="21"/>
              </w:rPr>
              <w:t xml:space="preserve">其他投标人的价格分统一按照下列公式计算</w:t>
            </w:r>
            <w:r>
              <w:rPr>
                <w:color w:val="000000"/>
                <w:sz w:val="21"/>
              </w:rPr>
              <w:t xml:space="preserve">:投标报价得分=(评标基准价/投标报价)×</w:t>
            </w:r>
            <w:r>
              <w:rPr>
                <w:rFonts w:hint="eastAsia"/>
                <w:color w:val="000000"/>
                <w:sz w:val="21"/>
                <w:lang w:val="en-US"/>
              </w:rPr>
              <w:t xml:space="preserve">80</w:t>
            </w:r>
            <w:r>
              <w:rPr>
                <w:color w:val="000000"/>
                <w:sz w:val="21"/>
              </w:rPr>
              <w:t xml:space="preserve">（小数点保留两位）</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78" w:type="pct"/>
            <w:vAlign w:val="center"/>
            <w:textDirection w:val="lrTb"/>
            <w:noWrap w:val="false"/>
          </w:tcPr>
          <w:p>
            <w:pPr>
              <w:pStyle w:val="902"/>
              <w:jc w:val="center"/>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80</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631" w:type="pct"/>
            <w:vAlign w:val="center"/>
            <w:textDirection w:val="lrTb"/>
            <w:noWrap w:val="false"/>
          </w:tcPr>
          <w:p>
            <w:pPr>
              <w:pStyle w:val="902"/>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客观分</w:t>
            </w:r>
            <w:r/>
          </w:p>
        </w:tc>
      </w:tr>
      <w:tr>
        <w:trPr>
          <w:jc w:val="center"/>
        </w:trPr>
        <w:tc>
          <w:tcPr>
            <w:gridSpan w:val="5"/>
            <w:tcBorders>
              <w:top w:val="single" w:color="auto" w:sz="4" w:space="0"/>
              <w:left w:val="single" w:color="auto" w:sz="12" w:space="0"/>
              <w:bottom w:val="none" w:color="000000" w:sz="4" w:space="0"/>
              <w:right w:val="single" w:color="auto" w:sz="12" w:space="0"/>
            </w:tcBorders>
            <w:tcMar>
              <w:left w:w="-1" w:type="dxa"/>
              <w:top w:w="-1" w:type="dxa"/>
              <w:right w:w="-1" w:type="dxa"/>
              <w:bottom w:w="-1" w:type="dxa"/>
            </w:tcMar>
            <w:tcW w:w="5000" w:type="pct"/>
            <w:vAlign w:val="center"/>
            <w:textDirection w:val="lrTb"/>
            <w:noWrap w:val="false"/>
          </w:tcPr>
          <w:p>
            <w:pPr>
              <w:pStyle w:val="90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技术方案</w:t>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378" w:type="pct"/>
            <w:vAlign w:val="center"/>
            <w:textDirection w:val="lrTb"/>
            <w:noWrap w:val="false"/>
          </w:tcPr>
          <w:p>
            <w:pPr>
              <w:pStyle w:val="902"/>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2.1</w:t>
            </w:r>
            <w:r/>
          </w:p>
        </w:tc>
        <w:tc>
          <w:tcPr>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621" w:type="pct"/>
            <w:vAlign w:val="center"/>
            <w:textDirection w:val="lrTb"/>
            <w:noWrap w:val="false"/>
          </w:tcPr>
          <w:p>
            <w:pPr>
              <w:jc w:val="center"/>
              <w:spacing w:line="378" w:lineRule="exact"/>
              <w:rPr>
                <w:color w:val="000000" w:themeColor="text1"/>
                <w14:textFill>
                  <w14:solidFill>
                    <w14:schemeClr w14:val="tx1"/>
                  </w14:solidFill>
                </w14:textFill>
              </w:rPr>
            </w:pPr>
            <w:r>
              <w:rPr>
                <w:color w:val="000000"/>
                <w:sz w:val="21"/>
              </w:rPr>
              <w:t xml:space="preserve">施工组织设计</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89" w:type="pct"/>
            <w:textDirection w:val="lrTb"/>
            <w:noWrap w:val="false"/>
          </w:tcPr>
          <w:p>
            <w:pPr>
              <w:spacing w:line="378" w:lineRule="exact"/>
            </w:pPr>
            <w:r>
              <w:rPr>
                <w:color w:val="000000"/>
                <w:sz w:val="21"/>
              </w:rPr>
              <w:t xml:space="preserve">评委根据供应商提供的项目施工组织设计（包括但不限于施工总体方案、安全文明施工措施等）</w:t>
            </w:r>
            <w:r>
              <w:rPr>
                <w:rFonts w:hint="eastAsia"/>
                <w:color w:val="000000"/>
                <w:sz w:val="21"/>
                <w:lang w:val="en-US"/>
              </w:rPr>
              <w:t xml:space="preserve">进行综合</w:t>
            </w:r>
            <w:r>
              <w:rPr>
                <w:color w:val="000000"/>
                <w:sz w:val="21"/>
              </w:rPr>
              <w:t xml:space="preserve">评分：</w:t>
            </w:r>
            <w:r/>
          </w:p>
          <w:p>
            <w:pPr>
              <w:spacing w:line="378" w:lineRule="exact"/>
            </w:pPr>
            <w:r>
              <w:rPr>
                <w:color w:val="000000"/>
                <w:sz w:val="21"/>
              </w:rPr>
              <w:t xml:space="preserve">施工组织设计逻辑条理清晰完整、内容覆盖全面无缺项，针对性强</w:t>
            </w:r>
            <w:r>
              <w:rPr>
                <w:rFonts w:hint="eastAsia"/>
                <w:color w:val="000000"/>
                <w:sz w:val="21"/>
                <w:lang w:val="en-US"/>
              </w:rPr>
              <w:t xml:space="preserve">的</w:t>
            </w:r>
            <w:r>
              <w:rPr>
                <w:color w:val="000000"/>
                <w:sz w:val="21"/>
              </w:rPr>
              <w:t xml:space="preserve">，得5分；</w:t>
            </w:r>
            <w:r/>
          </w:p>
          <w:p>
            <w:pPr>
              <w:spacing w:line="378" w:lineRule="exact"/>
            </w:pPr>
            <w:r>
              <w:rPr>
                <w:color w:val="000000"/>
                <w:sz w:val="21"/>
              </w:rPr>
              <w:t xml:space="preserve">施工组织设计条理较清晰、主要内容齐全，针对性较强</w:t>
            </w:r>
            <w:r>
              <w:rPr>
                <w:rFonts w:hint="eastAsia"/>
                <w:color w:val="000000"/>
                <w:sz w:val="21"/>
                <w:lang w:val="en-US"/>
              </w:rPr>
              <w:t xml:space="preserve">的</w:t>
            </w:r>
            <w:r>
              <w:rPr>
                <w:color w:val="000000"/>
                <w:sz w:val="21"/>
              </w:rPr>
              <w:t xml:space="preserve">，得4分；</w:t>
            </w:r>
            <w:r/>
          </w:p>
          <w:p>
            <w:pPr>
              <w:spacing w:line="378" w:lineRule="exact"/>
            </w:pPr>
            <w:r>
              <w:rPr>
                <w:color w:val="000000"/>
                <w:sz w:val="21"/>
              </w:rPr>
              <w:t xml:space="preserve">施工组织设计基本条理清晰、常规内容具备，针对性一般</w:t>
            </w:r>
            <w:r>
              <w:rPr>
                <w:rFonts w:hint="eastAsia"/>
                <w:color w:val="000000"/>
                <w:sz w:val="21"/>
                <w:lang w:val="en-US"/>
              </w:rPr>
              <w:t xml:space="preserve">的</w:t>
            </w:r>
            <w:r>
              <w:rPr>
                <w:color w:val="000000"/>
                <w:sz w:val="21"/>
              </w:rPr>
              <w:t xml:space="preserve">，得3分；</w:t>
            </w:r>
            <w:r/>
          </w:p>
          <w:p>
            <w:pPr>
              <w:spacing w:line="378" w:lineRule="exact"/>
            </w:pPr>
            <w:r>
              <w:rPr>
                <w:color w:val="000000"/>
                <w:sz w:val="21"/>
              </w:rPr>
              <w:t xml:space="preserve">施工组织设计结构混乱、内容缺项较多，与本项目实际匹配度低、针对性不强</w:t>
            </w:r>
            <w:r>
              <w:rPr>
                <w:rFonts w:hint="eastAsia"/>
                <w:color w:val="000000"/>
                <w:sz w:val="21"/>
                <w:lang w:val="en-US"/>
              </w:rPr>
              <w:t xml:space="preserve">的</w:t>
            </w:r>
            <w:r>
              <w:rPr>
                <w:color w:val="000000"/>
                <w:sz w:val="21"/>
              </w:rPr>
              <w:t xml:space="preserve">，得2分；</w:t>
            </w:r>
            <w:r/>
          </w:p>
          <w:p>
            <w:pPr>
              <w:spacing w:line="378" w:lineRule="exact"/>
            </w:pPr>
            <w:r>
              <w:rPr>
                <w:color w:val="000000"/>
                <w:sz w:val="21"/>
              </w:rPr>
              <w:t xml:space="preserve">施工组织设计表述混乱、内容简略残缺，无项目针对性</w:t>
            </w:r>
            <w:r>
              <w:rPr>
                <w:rFonts w:hint="eastAsia"/>
                <w:color w:val="000000"/>
                <w:sz w:val="21"/>
                <w:lang w:val="en-US"/>
              </w:rPr>
              <w:t xml:space="preserve">的</w:t>
            </w:r>
            <w:r>
              <w:rPr>
                <w:color w:val="000000"/>
                <w:sz w:val="21"/>
              </w:rPr>
              <w:t xml:space="preserve">，得1分；</w:t>
            </w:r>
            <w:r/>
          </w:p>
          <w:p>
            <w:pPr>
              <w:spacing w:line="378" w:lineRule="exact"/>
              <w:rPr>
                <w:color w:val="000000" w:themeColor="text1"/>
                <w14:textFill>
                  <w14:solidFill>
                    <w14:schemeClr w14:val="tx1"/>
                  </w14:solidFill>
                </w14:textFill>
              </w:rPr>
            </w:pPr>
            <w:r>
              <w:rPr>
                <w:color w:val="000000"/>
                <w:sz w:val="21"/>
              </w:rPr>
              <w:t xml:space="preserve">未提供不得分。</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78" w:type="pct"/>
            <w:vAlign w:val="center"/>
            <w:textDirection w:val="lrTb"/>
            <w:noWrap w:val="false"/>
          </w:tcPr>
          <w:p>
            <w:pPr>
              <w:jc w:val="center"/>
              <w:rPr>
                <w:color w:val="000000" w:themeColor="text1"/>
                <w14:textFill>
                  <w14:solidFill>
                    <w14:schemeClr w14:val="tx1"/>
                  </w14:solidFill>
                </w14:textFill>
              </w:rPr>
            </w:pPr>
            <w:r>
              <w:rPr>
                <w:color w:val="000000"/>
                <w:sz w:val="21"/>
              </w:rPr>
              <w:t xml:space="preserve">5</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631" w:type="pct"/>
            <w:vAlign w:val="center"/>
            <w:textDirection w:val="lrTb"/>
            <w:noWrap w:val="false"/>
          </w:tcPr>
          <w:p>
            <w:pPr>
              <w:pStyle w:val="902"/>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主观分</w:t>
            </w:r>
            <w:r/>
          </w:p>
        </w:tc>
      </w:tr>
      <w:tr>
        <w:trPr>
          <w:jc w:val="center"/>
          <w:trHeight w:val="739"/>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378" w:type="pct"/>
            <w:vAlign w:val="center"/>
            <w:textDirection w:val="lrTb"/>
            <w:noWrap w:val="false"/>
          </w:tcPr>
          <w:p>
            <w:pPr>
              <w:pStyle w:val="902"/>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w:t>
            </w:r>
            <w:r/>
          </w:p>
        </w:tc>
        <w:tc>
          <w:tcPr>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621" w:type="pct"/>
            <w:vAlign w:val="center"/>
            <w:textDirection w:val="lrTb"/>
            <w:noWrap w:val="false"/>
          </w:tcPr>
          <w:p>
            <w:pPr>
              <w:jc w:val="center"/>
              <w:spacing w:line="378" w:lineRule="exact"/>
              <w:rPr>
                <w:color w:val="000000" w:themeColor="text1"/>
                <w14:textFill>
                  <w14:solidFill>
                    <w14:schemeClr w14:val="tx1"/>
                  </w14:solidFill>
                </w14:textFill>
              </w:rPr>
            </w:pPr>
            <w:r>
              <w:rPr>
                <w:color w:val="000000"/>
                <w:sz w:val="21"/>
              </w:rPr>
              <w:t xml:space="preserve">施工工期及质量保证措施</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89" w:type="pct"/>
            <w:textDirection w:val="lrTb"/>
            <w:noWrap w:val="false"/>
          </w:tcPr>
          <w:p>
            <w:pPr>
              <w:spacing w:line="378" w:lineRule="exact"/>
            </w:pPr>
            <w:r>
              <w:rPr>
                <w:color w:val="000000"/>
                <w:sz w:val="21"/>
              </w:rPr>
              <w:t xml:space="preserve">评委根据供应商施工工期及质量保证措施方案（包括但不限于实施关键线路、施工进度计划、施工质量控制等）</w:t>
            </w:r>
            <w:r>
              <w:rPr>
                <w:rFonts w:hint="eastAsia"/>
                <w:color w:val="000000"/>
                <w:sz w:val="21"/>
                <w:lang w:val="en-US"/>
              </w:rPr>
              <w:t xml:space="preserve">进行综合</w:t>
            </w:r>
            <w:r>
              <w:rPr>
                <w:color w:val="000000"/>
                <w:sz w:val="21"/>
              </w:rPr>
              <w:t xml:space="preserve">评分：</w:t>
            </w:r>
            <w:r/>
          </w:p>
          <w:p>
            <w:pPr>
              <w:spacing w:line="378" w:lineRule="exact"/>
            </w:pPr>
            <w:r>
              <w:rPr>
                <w:color w:val="000000"/>
                <w:sz w:val="21"/>
              </w:rPr>
              <w:t xml:space="preserve">工期关键线路规划科学严谨，施工进度计划贴合项目实际工期要求，质量控制措施全面详实、针对性极强</w:t>
            </w:r>
            <w:r>
              <w:rPr>
                <w:rFonts w:hint="eastAsia"/>
                <w:color w:val="000000"/>
                <w:sz w:val="21"/>
                <w:lang w:val="en-US"/>
              </w:rPr>
              <w:t xml:space="preserve">的</w:t>
            </w:r>
            <w:r>
              <w:rPr>
                <w:color w:val="000000"/>
                <w:sz w:val="21"/>
              </w:rPr>
              <w:t xml:space="preserve">，得5分；</w:t>
            </w:r>
            <w:r/>
          </w:p>
          <w:p>
            <w:pPr>
              <w:spacing w:line="378" w:lineRule="exact"/>
            </w:pPr>
            <w:r>
              <w:rPr>
                <w:color w:val="000000"/>
                <w:sz w:val="21"/>
              </w:rPr>
              <w:t xml:space="preserve">工期关键线路、施工进度计划规划较合理、主要节点齐全、逻辑较清晰，质量控制措施针对性较强、具备可操作性</w:t>
            </w:r>
            <w:r>
              <w:rPr>
                <w:rFonts w:hint="eastAsia"/>
                <w:color w:val="000000"/>
                <w:sz w:val="21"/>
                <w:lang w:val="en-US"/>
              </w:rPr>
              <w:t xml:space="preserve">的</w:t>
            </w:r>
            <w:r>
              <w:rPr>
                <w:color w:val="000000"/>
                <w:sz w:val="21"/>
              </w:rPr>
              <w:t xml:space="preserve">，得4分；</w:t>
            </w:r>
            <w:r/>
          </w:p>
          <w:p>
            <w:pPr>
              <w:spacing w:line="378" w:lineRule="exact"/>
            </w:pPr>
            <w:r>
              <w:rPr>
                <w:color w:val="000000"/>
                <w:sz w:val="21"/>
              </w:rPr>
              <w:t xml:space="preserve">工期进度计划、关键线路基本完整、排布基本合理，质量控制措施专项针对性一般</w:t>
            </w:r>
            <w:r>
              <w:rPr>
                <w:rFonts w:hint="eastAsia"/>
                <w:color w:val="000000"/>
                <w:sz w:val="21"/>
                <w:lang w:val="en-US"/>
              </w:rPr>
              <w:t xml:space="preserve">的</w:t>
            </w:r>
            <w:r>
              <w:rPr>
                <w:color w:val="000000"/>
                <w:sz w:val="21"/>
              </w:rPr>
              <w:t xml:space="preserve">，得3分；</w:t>
            </w:r>
            <w:r/>
          </w:p>
          <w:p>
            <w:pPr>
              <w:spacing w:line="378" w:lineRule="exact"/>
            </w:pPr>
            <w:r>
              <w:rPr>
                <w:color w:val="000000"/>
                <w:sz w:val="21"/>
              </w:rPr>
              <w:t xml:space="preserve">工期关键线路混乱、进度计划节点粗糙、逻辑不清、缺项较多，质量控制措施完整性、合理性不足</w:t>
            </w:r>
            <w:r>
              <w:rPr>
                <w:rFonts w:hint="eastAsia"/>
                <w:color w:val="000000"/>
                <w:sz w:val="21"/>
                <w:lang w:val="en-US"/>
              </w:rPr>
              <w:t xml:space="preserve">的</w:t>
            </w:r>
            <w:r>
              <w:rPr>
                <w:color w:val="000000"/>
                <w:sz w:val="21"/>
              </w:rPr>
              <w:t xml:space="preserve">，得2分；</w:t>
            </w:r>
            <w:r/>
          </w:p>
          <w:p>
            <w:pPr>
              <w:spacing w:line="378" w:lineRule="exact"/>
            </w:pPr>
            <w:r>
              <w:rPr>
                <w:color w:val="000000"/>
                <w:sz w:val="21"/>
              </w:rPr>
              <w:t xml:space="preserve">工期及质量措施方案表述混乱、内容残缺严重</w:t>
            </w:r>
            <w:r>
              <w:rPr>
                <w:rFonts w:hint="eastAsia"/>
                <w:color w:val="000000"/>
                <w:sz w:val="21"/>
                <w:lang w:val="en-US"/>
              </w:rPr>
              <w:t xml:space="preserve">的</w:t>
            </w:r>
            <w:r>
              <w:rPr>
                <w:color w:val="000000"/>
                <w:sz w:val="21"/>
              </w:rPr>
              <w:t xml:space="preserve">，得1分；</w:t>
            </w:r>
            <w:r/>
          </w:p>
          <w:p>
            <w:pPr>
              <w:spacing w:line="378" w:lineRule="exact"/>
              <w:rPr>
                <w:color w:val="000000" w:themeColor="text1"/>
                <w14:textFill>
                  <w14:solidFill>
                    <w14:schemeClr w14:val="tx1"/>
                  </w14:solidFill>
                </w14:textFill>
              </w:rPr>
            </w:pPr>
            <w:r>
              <w:rPr>
                <w:color w:val="000000"/>
                <w:sz w:val="21"/>
              </w:rPr>
              <w:t xml:space="preserve">未提供不得分。</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78" w:type="pct"/>
            <w:vAlign w:val="center"/>
            <w:textDirection w:val="lrTb"/>
            <w:noWrap w:val="false"/>
          </w:tcPr>
          <w:p>
            <w:pPr>
              <w:jc w:val="center"/>
              <w:rPr>
                <w:color w:val="000000" w:themeColor="text1"/>
                <w:lang w:val="en-US"/>
                <w14:textFill>
                  <w14:solidFill>
                    <w14:schemeClr w14:val="tx1"/>
                  </w14:solidFill>
                </w14:textFill>
              </w:rPr>
            </w:pPr>
            <w:r>
              <w:rPr>
                <w:color w:val="000000"/>
                <w:sz w:val="21"/>
              </w:rPr>
              <w:t xml:space="preserve">5</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631" w:type="pct"/>
            <w:vAlign w:val="center"/>
            <w:textDirection w:val="lrTb"/>
            <w:noWrap w:val="false"/>
          </w:tcPr>
          <w:p>
            <w:pPr>
              <w:pStyle w:val="902"/>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主观分</w:t>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378" w:type="pct"/>
            <w:vAlign w:val="center"/>
            <w:textDirection w:val="lrTb"/>
            <w:noWrap w:val="false"/>
          </w:tcPr>
          <w:p>
            <w:pPr>
              <w:pStyle w:val="902"/>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2.3</w:t>
            </w:r>
            <w:r/>
          </w:p>
        </w:tc>
        <w:tc>
          <w:tcPr>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621" w:type="pct"/>
            <w:vAlign w:val="center"/>
            <w:textDirection w:val="lrTb"/>
            <w:noWrap w:val="false"/>
          </w:tcPr>
          <w:p>
            <w:pPr>
              <w:jc w:val="center"/>
              <w:spacing w:line="378" w:lineRule="exact"/>
              <w:rPr>
                <w:color w:val="000000" w:themeColor="text1"/>
                <w14:textFill>
                  <w14:solidFill>
                    <w14:schemeClr w14:val="tx1"/>
                  </w14:solidFill>
                </w14:textFill>
              </w:rPr>
            </w:pPr>
            <w:r>
              <w:rPr>
                <w:color w:val="000000"/>
                <w:sz w:val="21"/>
              </w:rPr>
              <w:t xml:space="preserve">难点、重点及合理化建议</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89" w:type="pct"/>
            <w:textDirection w:val="lrTb"/>
            <w:noWrap w:val="false"/>
          </w:tcPr>
          <w:p>
            <w:pPr>
              <w:spacing w:line="378" w:lineRule="exact"/>
            </w:pPr>
            <w:r>
              <w:rPr>
                <w:color w:val="000000"/>
                <w:sz w:val="21"/>
              </w:rPr>
              <w:t xml:space="preserve">评委根据供应商针对本项目关键施工技术的难点、重点的分析及针对性合理化建议（措施）</w:t>
            </w:r>
            <w:r>
              <w:rPr>
                <w:rFonts w:hint="eastAsia"/>
                <w:color w:val="000000"/>
                <w:sz w:val="21"/>
                <w:lang w:val="en-US"/>
              </w:rPr>
              <w:t xml:space="preserve">进行综合评分</w:t>
            </w:r>
            <w:r>
              <w:rPr>
                <w:color w:val="000000"/>
                <w:sz w:val="21"/>
              </w:rPr>
              <w:t xml:space="preserve">：</w:t>
            </w:r>
            <w:r/>
          </w:p>
          <w:p>
            <w:pPr>
              <w:spacing w:line="378" w:lineRule="exact"/>
            </w:pPr>
            <w:r>
              <w:rPr>
                <w:color w:val="000000"/>
                <w:sz w:val="21"/>
              </w:rPr>
              <w:t xml:space="preserve">精准全面识别本项目全部核心施工技术重难点，分析深入、逻辑严谨、贴合项目实际，针对性极强</w:t>
            </w:r>
            <w:r>
              <w:rPr>
                <w:rFonts w:hint="eastAsia"/>
                <w:color w:val="000000"/>
                <w:sz w:val="21"/>
                <w:lang w:val="en-US"/>
              </w:rPr>
              <w:t xml:space="preserve">的</w:t>
            </w:r>
            <w:r>
              <w:rPr>
                <w:color w:val="000000"/>
                <w:sz w:val="21"/>
              </w:rPr>
              <w:t xml:space="preserve">，得5分；</w:t>
            </w:r>
            <w:r/>
          </w:p>
          <w:p>
            <w:pPr>
              <w:spacing w:line="378" w:lineRule="exact"/>
            </w:pPr>
            <w:r>
              <w:rPr>
                <w:color w:val="000000"/>
                <w:sz w:val="21"/>
              </w:rPr>
              <w:t xml:space="preserve">能够识别本项目主要施工技术重难点，分析较为深入，贴合项目大部分技术特点，针对性较强</w:t>
            </w:r>
            <w:r>
              <w:rPr>
                <w:rFonts w:hint="eastAsia"/>
                <w:color w:val="000000"/>
                <w:sz w:val="21"/>
                <w:lang w:val="en-US"/>
              </w:rPr>
              <w:t xml:space="preserve">的</w:t>
            </w:r>
            <w:r>
              <w:rPr>
                <w:color w:val="000000"/>
                <w:sz w:val="21"/>
              </w:rPr>
              <w:t xml:space="preserve">，得4分；</w:t>
            </w:r>
            <w:r/>
          </w:p>
          <w:p>
            <w:pPr>
              <w:spacing w:line="378" w:lineRule="exact"/>
            </w:pPr>
            <w:r>
              <w:rPr>
                <w:color w:val="000000"/>
                <w:sz w:val="21"/>
              </w:rPr>
              <w:t xml:space="preserve">可列出本项目常规施工技术重难点，分析流于常规表述、深度不足，基本科学可行、内容无缺项，但专项针对性一般</w:t>
            </w:r>
            <w:r>
              <w:rPr>
                <w:rFonts w:hint="eastAsia"/>
                <w:color w:val="000000"/>
                <w:sz w:val="21"/>
                <w:lang w:val="en-US"/>
              </w:rPr>
              <w:t xml:space="preserve">的</w:t>
            </w:r>
            <w:r>
              <w:rPr>
                <w:color w:val="000000"/>
                <w:sz w:val="21"/>
              </w:rPr>
              <w:t xml:space="preserve">，得3分；</w:t>
            </w:r>
            <w:r/>
          </w:p>
          <w:p>
            <w:pPr>
              <w:spacing w:line="378" w:lineRule="exact"/>
            </w:pPr>
            <w:r>
              <w:rPr>
                <w:color w:val="000000"/>
                <w:sz w:val="21"/>
              </w:rPr>
              <w:t xml:space="preserve">对本项目施工技术重难点识别不全、分析浅显、条理混乱，针对性不太强</w:t>
            </w:r>
            <w:r>
              <w:rPr>
                <w:rFonts w:hint="eastAsia"/>
                <w:color w:val="000000"/>
                <w:sz w:val="21"/>
                <w:lang w:val="en-US"/>
              </w:rPr>
              <w:t xml:space="preserve">的</w:t>
            </w:r>
            <w:r>
              <w:rPr>
                <w:color w:val="000000"/>
                <w:sz w:val="21"/>
              </w:rPr>
              <w:t xml:space="preserve">，得2分；</w:t>
            </w:r>
            <w:r/>
          </w:p>
          <w:p>
            <w:pPr>
              <w:spacing w:line="378" w:lineRule="exact"/>
            </w:pPr>
            <w:r>
              <w:rPr>
                <w:color w:val="000000"/>
                <w:sz w:val="21"/>
              </w:rPr>
              <w:t xml:space="preserve">未有效识别本项目关键施工技术重难点，分析空洞、逻辑混乱，完全脱离项目实际，针对性不强</w:t>
            </w:r>
            <w:r>
              <w:rPr>
                <w:rFonts w:hint="eastAsia"/>
                <w:color w:val="000000"/>
                <w:sz w:val="21"/>
                <w:lang w:val="en-US"/>
              </w:rPr>
              <w:t xml:space="preserve">的</w:t>
            </w:r>
            <w:r>
              <w:rPr>
                <w:color w:val="000000"/>
                <w:sz w:val="21"/>
              </w:rPr>
              <w:t xml:space="preserve">，得1分；</w:t>
            </w:r>
            <w:r/>
          </w:p>
          <w:p>
            <w:pPr>
              <w:spacing w:line="378" w:lineRule="exact"/>
              <w:rPr>
                <w:color w:val="000000" w:themeColor="text1"/>
                <w14:textFill>
                  <w14:solidFill>
                    <w14:schemeClr w14:val="tx1"/>
                  </w14:solidFill>
                </w14:textFill>
              </w:rPr>
            </w:pPr>
            <w:r>
              <w:rPr>
                <w:color w:val="000000"/>
                <w:sz w:val="21"/>
              </w:rPr>
              <w:t xml:space="preserve">未提供不得分。</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78" w:type="pct"/>
            <w:vAlign w:val="center"/>
            <w:textDirection w:val="lrTb"/>
            <w:noWrap w:val="false"/>
          </w:tcPr>
          <w:p>
            <w:pPr>
              <w:jc w:val="center"/>
              <w:rPr>
                <w:color w:val="000000" w:themeColor="text1"/>
                <w:lang w:val="en-US"/>
                <w14:textFill>
                  <w14:solidFill>
                    <w14:schemeClr w14:val="tx1"/>
                  </w14:solidFill>
                </w14:textFill>
              </w:rPr>
            </w:pPr>
            <w:r>
              <w:rPr>
                <w:color w:val="000000"/>
                <w:sz w:val="21"/>
              </w:rPr>
              <w:t xml:space="preserve">5</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631" w:type="pct"/>
            <w:vAlign w:val="center"/>
            <w:textDirection w:val="lrTb"/>
            <w:noWrap w:val="false"/>
          </w:tcPr>
          <w:p>
            <w:pPr>
              <w:pStyle w:val="902"/>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主观分</w:t>
            </w:r>
            <w:r/>
          </w:p>
        </w:tc>
      </w:tr>
      <w:tr>
        <w:trPr>
          <w:jc w:val="center"/>
        </w:trPr>
        <w:tc>
          <w:tcPr>
            <w:gridSpan w:val="5"/>
            <w:tcBorders>
              <w:top w:val="single" w:color="auto" w:sz="4" w:space="0"/>
              <w:left w:val="single" w:color="auto" w:sz="12" w:space="0"/>
              <w:bottom w:val="none" w:color="000000" w:sz="4" w:space="0"/>
              <w:right w:val="single" w:color="auto" w:sz="12" w:space="0"/>
            </w:tcBorders>
            <w:tcMar>
              <w:left w:w="-1" w:type="dxa"/>
              <w:top w:w="-1" w:type="dxa"/>
              <w:right w:w="-1" w:type="dxa"/>
              <w:bottom w:w="-1" w:type="dxa"/>
            </w:tcMar>
            <w:tcW w:w="5000" w:type="pct"/>
            <w:vAlign w:val="center"/>
            <w:textDirection w:val="lrTb"/>
            <w:noWrap w:val="false"/>
          </w:tcPr>
          <w:p>
            <w:pPr>
              <w:pStyle w:val="90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项目管理机构人员配备</w:t>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378" w:type="pct"/>
            <w:vAlign w:val="center"/>
            <w:textDirection w:val="lrTb"/>
            <w:noWrap w:val="false"/>
          </w:tcPr>
          <w:p>
            <w:pPr>
              <w:pStyle w:val="902"/>
              <w:jc w:val="center"/>
              <w:rPr>
                <w:color w:val="000000" w:themeColor="text1"/>
                <w14:textFill>
                  <w14:solidFill>
                    <w14:schemeClr w14:val="tx1"/>
                  </w14:solidFill>
                </w14:textFill>
              </w:rPr>
            </w:pPr>
            <w:r>
              <w:rPr>
                <w:color w:val="000000" w:themeColor="text1"/>
                <w14:textFill>
                  <w14:solidFill>
                    <w14:schemeClr w14:val="tx1"/>
                  </w14:solidFill>
                </w14:textFill>
              </w:rPr>
              <w:t xml:space="preserve">3</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1</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621" w:type="pct"/>
            <w:vAlign w:val="center"/>
            <w:textDirection w:val="lrTb"/>
            <w:noWrap w:val="false"/>
          </w:tcPr>
          <w:p>
            <w:pPr>
              <w:pStyle w:val="902"/>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项目管理机构人员配备</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89" w:type="pct"/>
            <w:vAlign w:val="center"/>
            <w:textDirection w:val="lrTb"/>
            <w:noWrap w:val="false"/>
          </w:tcPr>
          <w:p>
            <w:pPr>
              <w:spacing w:line="378" w:lineRule="exact"/>
              <w:rPr>
                <w:color w:val="000000"/>
                <w:sz w:val="21"/>
              </w:rPr>
            </w:pPr>
            <w:r>
              <w:rPr>
                <w:color w:val="000000"/>
                <w:sz w:val="21"/>
              </w:rPr>
              <w:t xml:space="preserve">项目管理机构主要管理人员【项目负责人除外】，需包含项目技术负责人、施工员、质量员、安全员、资料员，其中：</w:t>
            </w:r>
            <w:r/>
          </w:p>
          <w:p>
            <w:pPr>
              <w:spacing w:line="378" w:lineRule="exact"/>
              <w:rPr>
                <w:color w:val="000000"/>
                <w:sz w:val="21"/>
              </w:rPr>
            </w:pPr>
            <w:r>
              <w:rPr>
                <w:color w:val="000000"/>
                <w:sz w:val="21"/>
              </w:rPr>
              <w:t xml:space="preserve">（1）技术负责人1名：具有注册建造师证建筑工程二级(含)以上，且具有中级及以上工程师资格；</w:t>
            </w:r>
            <w:r/>
          </w:p>
          <w:p>
            <w:pPr>
              <w:spacing w:line="378" w:lineRule="exact"/>
              <w:rPr>
                <w:color w:val="000000"/>
                <w:sz w:val="21"/>
              </w:rPr>
            </w:pPr>
            <w:r>
              <w:rPr>
                <w:color w:val="000000"/>
                <w:sz w:val="21"/>
              </w:rPr>
              <w:t xml:space="preserve">（2）现场施工员1名：具有相应主管部门核发的岗位资格证书；</w:t>
            </w:r>
            <w:r/>
          </w:p>
          <w:p>
            <w:pPr>
              <w:spacing w:line="378" w:lineRule="exact"/>
              <w:rPr>
                <w:color w:val="000000"/>
                <w:sz w:val="21"/>
              </w:rPr>
            </w:pPr>
            <w:r>
              <w:rPr>
                <w:color w:val="000000"/>
                <w:sz w:val="21"/>
              </w:rPr>
              <w:t xml:space="preserve">（3）现场质量员1名：具有相应主管部门核发的岗位资格证书；</w:t>
            </w:r>
            <w:r/>
          </w:p>
          <w:p>
            <w:pPr>
              <w:spacing w:line="378" w:lineRule="exact"/>
              <w:rPr>
                <w:color w:val="000000"/>
                <w:sz w:val="21"/>
              </w:rPr>
            </w:pPr>
            <w:r>
              <w:rPr>
                <w:color w:val="000000"/>
                <w:sz w:val="21"/>
              </w:rPr>
              <w:t xml:space="preserve">（4）现场安全员1名：具有相应主管部门颁发的安全生产考核合格证；</w:t>
            </w:r>
            <w:r/>
          </w:p>
          <w:p>
            <w:pPr>
              <w:spacing w:line="378" w:lineRule="exact"/>
              <w:rPr>
                <w:color w:val="000000"/>
                <w:sz w:val="21"/>
              </w:rPr>
            </w:pPr>
            <w:r>
              <w:rPr>
                <w:color w:val="000000"/>
                <w:sz w:val="21"/>
              </w:rPr>
              <w:t xml:space="preserve">（5）现场资料员1名：具有相应主管部门核发的岗位资格证书；</w:t>
            </w:r>
            <w:r/>
          </w:p>
          <w:p>
            <w:pPr>
              <w:spacing w:line="378" w:lineRule="exact"/>
              <w:rPr>
                <w:color w:val="000000" w:themeColor="text1"/>
                <w14:textFill>
                  <w14:solidFill>
                    <w14:schemeClr w14:val="tx1"/>
                  </w14:solidFill>
                </w14:textFill>
              </w:rPr>
            </w:pPr>
            <w:r>
              <w:rPr>
                <w:color w:val="000000"/>
                <w:sz w:val="21"/>
              </w:rPr>
              <w:t xml:space="preserve">以上人员配备齐全且具有有效的对应证书，得满分3分，缺少任意一个扣1分，扣完为止，以上人员不可兼得。（提供以上相关人员社保机构出具的近半年任意三个月供应商为其连续缴纳的养老保险缴费证明（需明确缴费月份、个人姓名、缴费单位）材料并加盖社保中心章或社保中心参保缴费证明电子专用章，并提供项目组人员配备明细表、对应相关证书（注册证书、或岗位证书或培训证），上述材料复印件加盖供应商公章）。</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78" w:type="pct"/>
            <w:vAlign w:val="center"/>
            <w:textDirection w:val="lrTb"/>
            <w:noWrap w:val="false"/>
          </w:tcPr>
          <w:p>
            <w:pPr>
              <w:pStyle w:val="902"/>
              <w:jc w:val="center"/>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 xml:space="preserve">3</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631" w:type="pct"/>
            <w:vAlign w:val="center"/>
            <w:textDirection w:val="lrTb"/>
            <w:noWrap w:val="false"/>
          </w:tcPr>
          <w:p>
            <w:pPr>
              <w:pStyle w:val="902"/>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客观分</w:t>
            </w:r>
            <w:r/>
          </w:p>
        </w:tc>
      </w:tr>
      <w:tr>
        <w:trPr>
          <w:jc w:val="center"/>
        </w:trPr>
        <w:tc>
          <w:tcPr>
            <w:gridSpan w:val="5"/>
            <w:tcBorders>
              <w:top w:val="single" w:color="auto" w:sz="4" w:space="0"/>
              <w:left w:val="single" w:color="auto" w:sz="12" w:space="0"/>
              <w:bottom w:val="none" w:color="000000" w:sz="4" w:space="0"/>
              <w:right w:val="single" w:color="auto" w:sz="12" w:space="0"/>
            </w:tcBorders>
            <w:tcMar>
              <w:left w:w="-1" w:type="dxa"/>
              <w:top w:w="-1" w:type="dxa"/>
              <w:right w:w="-1" w:type="dxa"/>
              <w:bottom w:w="-1" w:type="dxa"/>
            </w:tcMar>
            <w:tcW w:w="5000" w:type="pct"/>
            <w:vAlign w:val="center"/>
            <w:textDirection w:val="lrTb"/>
            <w:noWrap w:val="false"/>
          </w:tcPr>
          <w:p>
            <w:pPr>
              <w:pStyle w:val="90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业绩</w:t>
            </w:r>
            <w:r/>
          </w:p>
        </w:tc>
      </w:tr>
      <w:tr>
        <w:trPr>
          <w:jc w:val="center"/>
          <w:trHeight w:val="1609"/>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378" w:type="pct"/>
            <w:vAlign w:val="center"/>
            <w:textDirection w:val="lrTb"/>
            <w:noWrap w:val="false"/>
          </w:tcPr>
          <w:p>
            <w:pPr>
              <w:pStyle w:val="902"/>
              <w:jc w:val="center"/>
              <w:rPr>
                <w:color w:val="000000" w:themeColor="text1"/>
                <w14:textFill>
                  <w14:solidFill>
                    <w14:schemeClr w14:val="tx1"/>
                  </w14:solidFill>
                </w14:textFill>
              </w:rPr>
            </w:pPr>
            <w:r>
              <w:rPr>
                <w:color w:val="000000" w:themeColor="text1"/>
                <w14:textFill>
                  <w14:solidFill>
                    <w14:schemeClr w14:val="tx1"/>
                  </w14:solidFill>
                </w14:textFill>
              </w:rPr>
              <w:t xml:space="preserve">4</w:t>
            </w:r>
            <w:r>
              <w:rPr>
                <w:rFonts w:hint="eastAsia"/>
                <w:color w:val="000000" w:themeColor="text1"/>
                <w14:textFill>
                  <w14:solidFill>
                    <w14:schemeClr w14:val="tx1"/>
                  </w14:solidFill>
                </w14:textFill>
              </w:rPr>
              <w:t xml:space="preserve">.1</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621" w:type="pct"/>
            <w:vAlign w:val="center"/>
            <w:textDirection w:val="lrTb"/>
            <w:noWrap w:val="false"/>
          </w:tcPr>
          <w:p>
            <w:pPr>
              <w:pStyle w:val="902"/>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业绩</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89" w:type="pct"/>
            <w:vAlign w:val="center"/>
            <w:textDirection w:val="lrTb"/>
            <w:noWrap w:val="false"/>
          </w:tcPr>
          <w:p>
            <w:pPr>
              <w:spacing w:line="378" w:lineRule="exact"/>
              <w:rPr>
                <w:color w:val="000000" w:themeColor="text1"/>
                <w14:textFill>
                  <w14:solidFill>
                    <w14:schemeClr w14:val="tx1"/>
                  </w14:solidFill>
                </w14:textFill>
              </w:rPr>
            </w:pPr>
            <w:r>
              <w:rPr>
                <w:rFonts w:hint="eastAsia"/>
                <w:color w:val="000000"/>
                <w:sz w:val="21"/>
              </w:rPr>
              <w:t xml:space="preserve">供应商自2023年7月1日（含）以来承担过类似改造业绩，有1个得0.5分，最多得2分。（提供施工合同、中标（成交）通知书、竣工验收证明材料，缺一不可，时间以竣工验收证明时间为准；以上材料复印件加盖供应商公章。</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78" w:type="pct"/>
            <w:vAlign w:val="center"/>
            <w:textDirection w:val="lrTb"/>
            <w:noWrap w:val="false"/>
          </w:tcPr>
          <w:p>
            <w:pPr>
              <w:pStyle w:val="902"/>
              <w:jc w:val="center"/>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 xml:space="preserve">2</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631" w:type="pct"/>
            <w:vAlign w:val="center"/>
            <w:textDirection w:val="lrTb"/>
            <w:noWrap w:val="false"/>
          </w:tcPr>
          <w:p>
            <w:pPr>
              <w:pStyle w:val="902"/>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客观分</w:t>
            </w:r>
            <w:r/>
          </w:p>
        </w:tc>
      </w:tr>
      <w:tr>
        <w:trPr>
          <w:jc w:val="center"/>
        </w:trPr>
        <w:tc>
          <w:tcPr>
            <w:tcBorders>
              <w:top w:val="single" w:color="auto" w:sz="4" w:space="0"/>
              <w:left w:val="single" w:color="auto" w:sz="12" w:space="0"/>
              <w:bottom w:val="single" w:color="auto" w:sz="12" w:space="0"/>
              <w:right w:val="none" w:color="000000" w:sz="4" w:space="0"/>
            </w:tcBorders>
            <w:tcMar>
              <w:left w:w="-1" w:type="dxa"/>
              <w:top w:w="-1" w:type="dxa"/>
              <w:right w:w="-1" w:type="dxa"/>
              <w:bottom w:w="-1" w:type="dxa"/>
            </w:tcMar>
            <w:tcW w:w="378" w:type="pct"/>
            <w:vAlign w:val="center"/>
            <w:textDirection w:val="lrTb"/>
            <w:noWrap w:val="false"/>
          </w:tcPr>
          <w:p>
            <w:pPr>
              <w:pStyle w:val="90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合计</w:t>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621" w:type="pct"/>
            <w:vAlign w:val="center"/>
            <w:textDirection w:val="lrTb"/>
            <w:noWrap w:val="false"/>
          </w:tcPr>
          <w:p>
            <w:pPr>
              <w:pStyle w:val="90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总得分</w:t>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2889" w:type="pct"/>
            <w:vAlign w:val="center"/>
            <w:textDirection w:val="lrTb"/>
            <w:noWrap w:val="false"/>
          </w:tcPr>
          <w:p>
            <w:pPr>
              <w:pStyle w:val="90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w:t>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478" w:type="pct"/>
            <w:vAlign w:val="center"/>
            <w:textDirection w:val="lrTb"/>
            <w:noWrap w:val="false"/>
          </w:tcPr>
          <w:p>
            <w:pPr>
              <w:pStyle w:val="902"/>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100</w:t>
            </w:r>
            <w:r/>
          </w:p>
        </w:tc>
        <w:tc>
          <w:tcPr>
            <w:tcBorders>
              <w:top w:val="single" w:color="auto" w:sz="4" w:space="0"/>
              <w:left w:val="single" w:color="auto" w:sz="4" w:space="0"/>
              <w:bottom w:val="single" w:color="auto" w:sz="12" w:space="0"/>
              <w:right w:val="single" w:color="auto" w:sz="12" w:space="0"/>
            </w:tcBorders>
            <w:tcMar>
              <w:left w:w="-1" w:type="dxa"/>
              <w:top w:w="-1" w:type="dxa"/>
              <w:right w:w="-1" w:type="dxa"/>
              <w:bottom w:w="-1" w:type="dxa"/>
            </w:tcMar>
            <w:tcW w:w="631" w:type="pct"/>
            <w:vAlign w:val="center"/>
            <w:textDirection w:val="lrTb"/>
            <w:noWrap w:val="false"/>
          </w:tcPr>
          <w:p>
            <w:pPr>
              <w:pStyle w:val="902"/>
              <w:jc w:val="center"/>
              <w:rPr>
                <w:color w:val="000000" w:themeColor="text1"/>
                <w14:textFill>
                  <w14:solidFill>
                    <w14:schemeClr w14:val="tx1"/>
                  </w14:solidFill>
                </w14:textFill>
              </w:rPr>
            </w:pPr>
            <w:r>
              <w:rPr>
                <w:color w:val="000000" w:themeColor="text1"/>
                <w14:textFill>
                  <w14:solidFill>
                    <w14:schemeClr w14:val="tx1"/>
                  </w14:solidFill>
                </w14:textFill>
              </w:rPr>
            </w:r>
            <w:r/>
          </w:p>
        </w:tc>
      </w:tr>
    </w:tbl>
    <w:p>
      <w:pPr>
        <w:rPr>
          <w:b/>
          <w:color w:val="000000" w:themeColor="text1"/>
          <w14:textFill>
            <w14:solidFill>
              <w14:schemeClr w14:val="tx1"/>
            </w14:solidFill>
          </w14:textFill>
        </w:rPr>
      </w:pPr>
      <w:r/>
      <w:bookmarkStart w:id="25" w:name="_Toc12644"/>
      <w:r>
        <w:rPr>
          <w:rStyle w:val="1146"/>
          <w:rFonts w:hint="eastAsia" w:ascii="宋体" w:hAnsi="宋体" w:cs="宋体"/>
          <w:b/>
          <w:color w:val="000000" w:themeColor="text1"/>
          <w:szCs w:val="21"/>
          <w:lang w:bidi="ar"/>
          <w14:textFill>
            <w14:solidFill>
              <w14:schemeClr w14:val="tx1"/>
            </w14:solidFill>
          </w14:textFill>
        </w:rPr>
        <w:t xml:space="preserve">说明：</w:t>
      </w:r>
      <w:r/>
    </w:p>
    <w:p>
      <w:pPr>
        <w:ind w:firstLine="442"/>
        <w:spacing w:line="360" w:lineRule="auto"/>
        <w:rPr>
          <w:b/>
          <w:bCs/>
          <w:color w:val="000000" w:themeColor="text1"/>
          <w:szCs w:val="21"/>
          <w14:textFill>
            <w14:solidFill>
              <w14:schemeClr w14:val="tx1"/>
            </w14:solidFill>
          </w14:textFill>
        </w:rPr>
      </w:pPr>
      <w:r>
        <w:rPr>
          <w:rFonts w:hint="eastAsia"/>
          <w:b/>
          <w:bCs/>
          <w:color w:val="000000" w:themeColor="text1"/>
          <w:szCs w:val="21"/>
          <w:lang w:bidi="ar"/>
          <w14:textFill>
            <w14:solidFill>
              <w14:schemeClr w14:val="tx1"/>
            </w14:solidFill>
          </w14:textFill>
        </w:rPr>
        <w:t xml:space="preserve">1、小微企业的价格扣除</w:t>
      </w:r>
      <w:r/>
    </w:p>
    <w:p>
      <w:pPr>
        <w:ind w:firstLine="440"/>
        <w:spacing w:line="360" w:lineRule="auto"/>
        <w:rPr>
          <w:rStyle w:val="1146"/>
          <w:rFonts w:ascii="宋体" w:hAnsi="宋体" w:cs="宋体"/>
          <w:color w:val="000000" w:themeColor="text1"/>
          <w:szCs w:val="21"/>
          <w:lang w:bidi="ar"/>
          <w14:textFill>
            <w14:solidFill>
              <w14:schemeClr w14:val="tx1"/>
            </w14:solidFill>
          </w14:textFill>
        </w:rPr>
      </w:pPr>
      <w:r>
        <w:rPr>
          <w:rStyle w:val="1146"/>
          <w:rFonts w:hint="eastAsia" w:cs="宋体"/>
          <w:color w:val="000000" w:themeColor="text1"/>
          <w:szCs w:val="21"/>
          <w:lang w:bidi="ar"/>
          <w14:textFill>
            <w14:solidFill>
              <w14:schemeClr w14:val="tx1"/>
            </w14:solidFill>
          </w14:textFill>
        </w:rPr>
        <w:t xml:space="preserve">（</w:t>
      </w:r>
      <w:r>
        <w:rPr>
          <w:rStyle w:val="1146"/>
          <w:rFonts w:hint="eastAsia" w:cs="宋体"/>
          <w:color w:val="000000" w:themeColor="text1"/>
          <w:szCs w:val="21"/>
          <w:lang w:val="en-US" w:bidi="ar"/>
          <w14:textFill>
            <w14:solidFill>
              <w14:schemeClr w14:val="tx1"/>
            </w14:solidFill>
          </w14:textFill>
        </w:rPr>
        <w:t xml:space="preserve">1</w:t>
      </w:r>
      <w:r>
        <w:rPr>
          <w:rStyle w:val="1146"/>
          <w:rFonts w:hint="eastAsia" w:cs="宋体"/>
          <w:color w:val="000000" w:themeColor="text1"/>
          <w:szCs w:val="21"/>
          <w:lang w:bidi="ar"/>
          <w14:textFill>
            <w14:solidFill>
              <w14:schemeClr w14:val="tx1"/>
            </w14:solidFill>
          </w14:textFill>
        </w:rPr>
        <w:t xml:space="preserve">）</w:t>
      </w:r>
      <w:r>
        <w:rPr>
          <w:rStyle w:val="1146"/>
          <w:rFonts w:hint="eastAsia" w:ascii="宋体" w:hAnsi="宋体" w:cs="宋体"/>
          <w:color w:val="000000" w:themeColor="text1"/>
          <w:szCs w:val="21"/>
          <w:lang w:bidi="ar"/>
          <w14:textFill>
            <w14:solidFill>
              <w14:schemeClr w14:val="tx1"/>
            </w14:solidFill>
          </w14:textFill>
        </w:rPr>
        <w:t xml:space="preserve">对于未预留份额专门面向中小企业采购的采购项目或预留份额项目中的非预留部分采购包，给予小微企业报价5%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联合体各方均为小微企业的，联合体视同为小微企业，享受5%的价格扣除。</w:t>
      </w:r>
      <w:r/>
    </w:p>
    <w:p>
      <w:pPr>
        <w:ind w:firstLine="440"/>
        <w:spacing w:line="360" w:lineRule="auto"/>
        <w:rPr>
          <w:color w:val="000000" w:themeColor="text1"/>
          <w14:textFill>
            <w14:solidFill>
              <w14:schemeClr w14:val="tx1"/>
            </w14:solidFill>
          </w14:textFill>
        </w:rPr>
      </w:pPr>
      <w:r>
        <w:rPr>
          <w:rFonts w:hint="eastAsia"/>
          <w:color w:val="000000" w:themeColor="text1"/>
          <w:szCs w:val="21"/>
          <w14:textFill>
            <w14:solidFill>
              <w14:schemeClr w14:val="tx1"/>
            </w14:solidFill>
          </w14:textFill>
        </w:rPr>
        <w:t xml:space="preserve">（</w:t>
      </w:r>
      <w:r>
        <w:rPr>
          <w:rFonts w:hint="eastAsia"/>
          <w:color w:val="000000" w:themeColor="text1"/>
          <w:szCs w:val="21"/>
          <w:lang w:val="en-US"/>
          <w14:textFill>
            <w14:solidFill>
              <w14:schemeClr w14:val="tx1"/>
            </w14:solidFill>
          </w14:textFill>
        </w:rPr>
        <w:t xml:space="preserve">2</w:t>
      </w:r>
      <w:r>
        <w:rPr>
          <w:rFonts w:hint="eastAsia"/>
          <w:color w:val="000000" w:themeColor="text1"/>
          <w:szCs w:val="21"/>
          <w14:textFill>
            <w14:solidFill>
              <w14:schemeClr w14:val="tx1"/>
            </w14:solidFill>
          </w14:textFill>
        </w:rPr>
        <w:t xml:space="preserve">）价格扣除比例或者价格分加分比例对小型企业和微型企业同等对待，不作区分。</w:t>
      </w:r>
      <w:r>
        <w:rPr>
          <w:rStyle w:val="1146"/>
          <w:rFonts w:hint="eastAsia" w:ascii="宋体" w:hAnsi="宋体" w:cs="宋体"/>
          <w:color w:val="000000" w:themeColor="text1"/>
          <w:szCs w:val="21"/>
          <w:lang w:bidi="ar"/>
          <w14:textFill>
            <w14:solidFill>
              <w14:schemeClr w14:val="tx1"/>
            </w14:solidFill>
          </w14:textFill>
        </w:rPr>
        <w:t xml:space="preserve"> </w:t>
      </w:r>
      <w:r/>
    </w:p>
    <w:p>
      <w:pPr>
        <w:ind w:firstLine="421"/>
        <w:spacing w:line="360" w:lineRule="auto"/>
        <w:rPr>
          <w:b/>
          <w:color w:val="000000" w:themeColor="text1"/>
          <w:szCs w:val="21"/>
          <w14:textFill>
            <w14:solidFill>
              <w14:schemeClr w14:val="tx1"/>
            </w14:solidFill>
          </w14:textFill>
        </w:rPr>
      </w:pPr>
      <w:r>
        <w:rPr>
          <w:rFonts w:hint="eastAsia"/>
          <w:b/>
          <w:color w:val="000000" w:themeColor="text1"/>
          <w:szCs w:val="21"/>
          <w:lang w:bidi="ar"/>
          <w14:textFill>
            <w14:solidFill>
              <w14:schemeClr w14:val="tx1"/>
            </w14:solidFill>
          </w14:textFill>
        </w:rPr>
        <w:t xml:space="preserve">2、监狱和戒毒企业的价格扣除</w:t>
      </w:r>
      <w:r/>
    </w:p>
    <w:p>
      <w:pPr>
        <w:ind w:firstLine="440"/>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w:t>
      </w:r>
      <w:r>
        <w:rPr>
          <w:rFonts w:hint="eastAsia"/>
          <w:color w:val="000000" w:themeColor="text1"/>
          <w:szCs w:val="21"/>
          <w:lang w:val="en-US"/>
          <w14:textFill>
            <w14:solidFill>
              <w14:schemeClr w14:val="tx1"/>
            </w14:solidFill>
          </w14:textFill>
        </w:rPr>
        <w:t xml:space="preserve">1</w:t>
      </w:r>
      <w:r>
        <w:rPr>
          <w:rFonts w:hint="eastAsia"/>
          <w:color w:val="000000" w:themeColor="text1"/>
          <w:szCs w:val="21"/>
          <w14:textFill>
            <w14:solidFill>
              <w14:schemeClr w14:val="tx1"/>
            </w14:solidFill>
          </w14:textFill>
        </w:rPr>
        <w:t xml:space="preserve">）本项目对监狱和戒毒企业（简称监狱企业）视同小型、微型企业，享受相同的价格扣除优惠政策。</w:t>
      </w:r>
      <w:r/>
    </w:p>
    <w:p>
      <w:pPr>
        <w:ind w:firstLine="440"/>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w:t>
      </w:r>
      <w:r>
        <w:rPr>
          <w:rFonts w:hint="eastAsia"/>
          <w:color w:val="000000" w:themeColor="text1"/>
          <w:szCs w:val="21"/>
          <w:lang w:val="en-US"/>
          <w14:textFill>
            <w14:solidFill>
              <w14:schemeClr w14:val="tx1"/>
            </w14:solidFill>
          </w14:textFill>
        </w:rPr>
        <w:t xml:space="preserve">2</w:t>
      </w:r>
      <w:r>
        <w:rPr>
          <w:rFonts w:hint="eastAsia"/>
          <w:color w:val="000000" w:themeColor="text1"/>
          <w:szCs w:val="21"/>
          <w14:textFill>
            <w14:solidFill>
              <w14:schemeClr w14:val="tx1"/>
            </w14:solidFill>
          </w14:textFill>
        </w:rPr>
        <w:t xml:space="preserve">）监狱企业需提供由省级以上监狱管理局、戒毒管理局（含新疆生产建设兵团）出具的属于监狱企业的证明文件。</w:t>
      </w:r>
      <w:r/>
    </w:p>
    <w:p>
      <w:pPr>
        <w:ind w:firstLine="440"/>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w:t>
      </w:r>
      <w:r>
        <w:rPr>
          <w:rFonts w:hint="eastAsia"/>
          <w:color w:val="000000" w:themeColor="text1"/>
          <w:szCs w:val="21"/>
          <w:lang w:val="en-US"/>
          <w14:textFill>
            <w14:solidFill>
              <w14:schemeClr w14:val="tx1"/>
            </w14:solidFill>
          </w14:textFill>
        </w:rPr>
        <w:t xml:space="preserve">3</w:t>
      </w:r>
      <w:r>
        <w:rPr>
          <w:rFonts w:hint="eastAsia"/>
          <w:color w:val="000000" w:themeColor="text1"/>
          <w:szCs w:val="21"/>
          <w14:textFill>
            <w14:solidFill>
              <w14:schemeClr w14:val="tx1"/>
            </w14:solidFill>
          </w14:textFill>
        </w:rPr>
        <w:t xml:space="preserve">）监狱企业标准请参照《关于政府采购支持监狱企业发展有关问题的通知》（财库〔2014〕68号）。</w:t>
      </w:r>
      <w:r/>
    </w:p>
    <w:p>
      <w:pPr>
        <w:ind w:firstLine="442"/>
        <w:spacing w:line="360" w:lineRule="auto"/>
        <w:rPr>
          <w:b/>
          <w:bCs/>
          <w:color w:val="000000" w:themeColor="text1"/>
          <w:szCs w:val="21"/>
          <w14:textFill>
            <w14:solidFill>
              <w14:schemeClr w14:val="tx1"/>
            </w14:solidFill>
          </w14:textFill>
        </w:rPr>
      </w:pPr>
      <w:r>
        <w:rPr>
          <w:rFonts w:hint="eastAsia"/>
          <w:b/>
          <w:bCs/>
          <w:color w:val="000000" w:themeColor="text1"/>
          <w:szCs w:val="21"/>
          <w:lang w:bidi="ar"/>
          <w14:textFill>
            <w14:solidFill>
              <w14:schemeClr w14:val="tx1"/>
            </w14:solidFill>
          </w14:textFill>
        </w:rPr>
        <w:t xml:space="preserve">3、残疾人福利性单位的价格扣除</w:t>
      </w:r>
      <w:r/>
    </w:p>
    <w:p>
      <w:pPr>
        <w:ind w:firstLine="440"/>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w:t>
      </w:r>
      <w:r>
        <w:rPr>
          <w:rFonts w:hint="eastAsia"/>
          <w:color w:val="000000" w:themeColor="text1"/>
          <w:szCs w:val="21"/>
          <w:lang w:val="en-US"/>
          <w14:textFill>
            <w14:solidFill>
              <w14:schemeClr w14:val="tx1"/>
            </w14:solidFill>
          </w14:textFill>
        </w:rPr>
        <w:t xml:space="preserve">1</w:t>
      </w:r>
      <w:r>
        <w:rPr>
          <w:rFonts w:hint="eastAsia"/>
          <w:color w:val="000000" w:themeColor="text1"/>
          <w:szCs w:val="21"/>
          <w14:textFill>
            <w14:solidFill>
              <w14:schemeClr w14:val="tx1"/>
            </w14:solidFill>
          </w14:textFill>
        </w:rPr>
        <w:t xml:space="preserve">）本项目对残疾人福利性单位视同小型、微型企业，享受相同的价格扣除优惠政策。</w:t>
      </w:r>
      <w:r/>
    </w:p>
    <w:p>
      <w:pPr>
        <w:ind w:firstLine="440"/>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w:t>
      </w:r>
      <w:r>
        <w:rPr>
          <w:rFonts w:hint="eastAsia"/>
          <w:color w:val="000000" w:themeColor="text1"/>
          <w:szCs w:val="21"/>
          <w:lang w:val="en-US"/>
          <w14:textFill>
            <w14:solidFill>
              <w14:schemeClr w14:val="tx1"/>
            </w14:solidFill>
          </w14:textFill>
        </w:rPr>
        <w:t xml:space="preserve">2</w:t>
      </w:r>
      <w:r>
        <w:rPr>
          <w:rFonts w:hint="eastAsia"/>
          <w:color w:val="000000" w:themeColor="text1"/>
          <w:szCs w:val="21"/>
          <w14:textFill>
            <w14:solidFill>
              <w14:schemeClr w14:val="tx1"/>
            </w14:solidFill>
          </w14:textFill>
        </w:rPr>
        <w:t xml:space="preserve">）残疾人福利性单位需按照招标文件的要求提供《残疾人福利性单位声明函》。</w:t>
      </w:r>
      <w:r/>
    </w:p>
    <w:p>
      <w:pPr>
        <w:ind w:firstLine="440"/>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w:t>
      </w:r>
      <w:r>
        <w:rPr>
          <w:rFonts w:hint="eastAsia"/>
          <w:color w:val="000000" w:themeColor="text1"/>
          <w:szCs w:val="21"/>
          <w:lang w:val="en-US"/>
          <w14:textFill>
            <w14:solidFill>
              <w14:schemeClr w14:val="tx1"/>
            </w14:solidFill>
          </w14:textFill>
        </w:rPr>
        <w:t xml:space="preserve">3</w:t>
      </w:r>
      <w:r>
        <w:rPr>
          <w:rFonts w:hint="eastAsia"/>
          <w:color w:val="000000" w:themeColor="text1"/>
          <w:szCs w:val="21"/>
          <w14:textFill>
            <w14:solidFill>
              <w14:schemeClr w14:val="tx1"/>
            </w14:solidFill>
          </w14:textFill>
        </w:rPr>
        <w:t xml:space="preserve">）残疾人福利性单位标准请参照《关于促进残疾人就业政府采购政策的通知》（财库〔2017〕141号）。</w:t>
      </w:r>
      <w:r/>
    </w:p>
    <w:p>
      <w:pPr>
        <w:ind w:firstLine="442"/>
        <w:spacing w:line="360" w:lineRule="auto"/>
        <w:rPr>
          <w:b/>
          <w:bCs/>
          <w:color w:val="000000" w:themeColor="text1"/>
          <w:szCs w:val="21"/>
          <w:lang w:bidi="ar"/>
          <w14:textFill>
            <w14:solidFill>
              <w14:schemeClr w14:val="tx1"/>
            </w14:solidFill>
          </w14:textFill>
        </w:rPr>
      </w:pPr>
      <w:r>
        <w:rPr>
          <w:rFonts w:hint="eastAsia"/>
          <w:b/>
          <w:bCs/>
          <w:color w:val="000000" w:themeColor="text1"/>
          <w:szCs w:val="21"/>
          <w:lang w:bidi="ar"/>
          <w14:textFill>
            <w14:solidFill>
              <w14:schemeClr w14:val="tx1"/>
            </w14:solidFill>
          </w14:textFill>
        </w:rPr>
        <w:t xml:space="preserve">4、监狱企业、残疾人福利性单位属于小微企业的，不重复享受政策。</w:t>
      </w:r>
      <w:r/>
    </w:p>
    <w:p>
      <w:pPr>
        <w:rPr>
          <w:b/>
          <w:bCs/>
          <w:color w:val="000000" w:themeColor="text1"/>
          <w:szCs w:val="21"/>
          <w:lang w:bidi="ar"/>
          <w14:textFill>
            <w14:solidFill>
              <w14:schemeClr w14:val="tx1"/>
            </w14:solidFill>
          </w14:textFill>
        </w:rPr>
      </w:pPr>
      <w:r>
        <w:rPr>
          <w:rFonts w:hint="eastAsia"/>
          <w:b/>
          <w:bCs/>
          <w:color w:val="000000" w:themeColor="text1"/>
          <w:szCs w:val="21"/>
          <w:lang w:bidi="ar"/>
          <w14:textFill>
            <w14:solidFill>
              <w14:schemeClr w14:val="tx1"/>
            </w14:solidFill>
          </w14:textFill>
        </w:rPr>
        <w:br w:type="page" w:clear="all"/>
      </w:r>
      <w:r/>
    </w:p>
    <w:p>
      <w:pPr>
        <w:contextualSpacing/>
        <w:jc w:val="center"/>
        <w:spacing w:line="360" w:lineRule="auto"/>
        <w:rPr>
          <w:rFonts w:ascii="黑体" w:eastAsia="黑体"/>
          <w:b/>
          <w:color w:val="000000" w:themeColor="text1"/>
          <w:sz w:val="36"/>
          <w14:textFill>
            <w14:solidFill>
              <w14:schemeClr w14:val="tx1"/>
            </w14:solidFill>
          </w14:textFill>
        </w:rPr>
      </w:pPr>
      <w:r>
        <w:rPr>
          <w:rFonts w:hint="eastAsia" w:ascii="黑体" w:eastAsia="黑体"/>
          <w:b/>
          <w:color w:val="000000" w:themeColor="text1"/>
          <w:sz w:val="36"/>
          <w14:textFill>
            <w14:solidFill>
              <w14:schemeClr w14:val="tx1"/>
            </w14:solidFill>
          </w14:textFill>
        </w:rPr>
        <w:t xml:space="preserve">第四章 </w:t>
      </w:r>
      <w:bookmarkEnd w:id="25"/>
      <w:r>
        <w:rPr>
          <w:rFonts w:hint="eastAsia" w:ascii="黑体" w:eastAsia="黑体"/>
          <w:b/>
          <w:color w:val="000000" w:themeColor="text1"/>
          <w:sz w:val="36"/>
          <w:lang w:val="en-US"/>
          <w14:textFill>
            <w14:solidFill>
              <w14:schemeClr w14:val="tx1"/>
            </w14:solidFill>
          </w14:textFill>
        </w:rPr>
        <w:t xml:space="preserve">采购需求</w:t>
      </w:r>
      <w:r/>
    </w:p>
    <w:p>
      <w:pPr>
        <w:spacing w:line="360" w:lineRule="auto"/>
        <w:rPr>
          <w:b/>
          <w:color w:val="000000" w:themeColor="text1"/>
          <w:sz w:val="24"/>
          <w:szCs w:val="32"/>
          <w14:textFill>
            <w14:solidFill>
              <w14:schemeClr w14:val="tx1"/>
            </w14:solidFill>
          </w14:textFill>
        </w:rPr>
      </w:pPr>
      <w:r/>
      <w:bookmarkStart w:id="26" w:name="_Toc17931"/>
      <w:r>
        <w:rPr>
          <w:rFonts w:hint="eastAsia" w:ascii="Times New Roman" w:hAnsi="Times New Roman" w:cs="Times New Roman"/>
          <w:b/>
          <w:color w:val="000000" w:themeColor="text1"/>
          <w:sz w:val="24"/>
          <w:szCs w:val="32"/>
          <w:lang w:val="en-US" w:bidi="ar-SA"/>
          <w14:textFill>
            <w14:solidFill>
              <w14:schemeClr w14:val="tx1"/>
            </w14:solidFill>
          </w14:textFill>
        </w:rPr>
        <w:t xml:space="preserve">一、</w:t>
      </w:r>
      <w:r>
        <w:rPr>
          <w:b/>
          <w:color w:val="000000" w:themeColor="text1"/>
          <w:sz w:val="24"/>
          <w:szCs w:val="32"/>
          <w14:textFill>
            <w14:solidFill>
              <w14:schemeClr w14:val="tx1"/>
            </w14:solidFill>
          </w14:textFill>
        </w:rPr>
        <w:t xml:space="preserve">项目</w:t>
      </w:r>
      <w:r>
        <w:rPr>
          <w:rFonts w:hint="eastAsia"/>
          <w:b/>
          <w:color w:val="000000" w:themeColor="text1"/>
          <w:sz w:val="24"/>
          <w:szCs w:val="32"/>
          <w:lang w:val="en-US"/>
          <w14:textFill>
            <w14:solidFill>
              <w14:schemeClr w14:val="tx1"/>
            </w14:solidFill>
          </w14:textFill>
        </w:rPr>
        <w:t xml:space="preserve">概况</w:t>
      </w:r>
      <w:r/>
    </w:p>
    <w:p>
      <w:pPr>
        <w:ind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1、项目名称：南京中医药大学青春剧场整体改造项目</w:t>
      </w:r>
      <w:r/>
    </w:p>
    <w:p>
      <w:pPr>
        <w:ind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2、项目内容：</w:t>
      </w:r>
      <w:r/>
    </w:p>
    <w:p>
      <w:pPr>
        <w:ind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青春剧场重新整体装修，打造整洁、现代、安全的文化活动空间，成为校园文化地标，既展现学校办学品质，也增强师生归属感与校园凝聚力，装修后剧场满足具备会议功能和剧场演出功能。</w:t>
      </w:r>
      <w:r/>
    </w:p>
    <w:p>
      <w:pPr>
        <w:ind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将剧场内会议灯光系统、会议系统、LED显示屏、舞台幕布进行更换，音响系统利旧(线路更换)，舞台机械设备出新，集成为统一控制系统。改造后青春剧场具备集舞台演出、文艺比赛、大型活动为主，兼顾学术报告、会议培训的多功能报告厅。</w:t>
      </w:r>
      <w:r/>
    </w:p>
    <w:p>
      <w:pPr>
        <w:ind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根据装修效果，将剧场内座椅进行更换；对原空调系统进行利旧改造以满足基本使用要求；将剧场内喷淋系统、烟感进行整体拆除并重新改造，楼面机械排烟风机进行更换，以满足消防安全要求。</w:t>
      </w:r>
      <w:r/>
    </w:p>
    <w:p>
      <w:pPr>
        <w:ind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3、项目范围：清单及施工图纸范围内建筑与装饰工程、水电工程及舞台灯光智能化等。</w:t>
      </w:r>
      <w:r/>
    </w:p>
    <w:p>
      <w:pPr>
        <w:ind w:firstLine="480"/>
        <w:spacing w:line="360" w:lineRule="auto"/>
        <w:rPr>
          <w:color w:val="000000" w:themeColor="text1"/>
          <w:sz w:val="24"/>
          <w:szCs w:val="24"/>
          <w:lang w:val="en-US"/>
          <w14:textFill>
            <w14:solidFill>
              <w14:schemeClr w14:val="tx1"/>
            </w14:solidFill>
          </w14:textFill>
        </w:rPr>
      </w:pPr>
      <w:r>
        <w:rPr>
          <w:color w:val="000000" w:themeColor="text1"/>
          <w:sz w:val="24"/>
          <w:szCs w:val="24"/>
          <w:lang w:val="en-US"/>
          <w14:textFill>
            <w14:solidFill>
              <w14:schemeClr w14:val="tx1"/>
            </w14:solidFill>
          </w14:textFill>
        </w:rPr>
        <w:t xml:space="preserve">4</w:t>
      </w:r>
      <w:r>
        <w:rPr>
          <w:rFonts w:hint="eastAsia"/>
          <w:color w:val="000000" w:themeColor="text1"/>
          <w:sz w:val="24"/>
          <w:szCs w:val="24"/>
          <w:lang w:val="en-US"/>
          <w14:textFill>
            <w14:solidFill>
              <w14:schemeClr w14:val="tx1"/>
            </w14:solidFill>
          </w14:textFill>
        </w:rPr>
        <w:t xml:space="preserve">、服务地点：南京中医药大学仙林校区</w:t>
      </w:r>
      <w:r/>
    </w:p>
    <w:p>
      <w:pPr>
        <w:ind w:firstLine="480"/>
        <w:spacing w:line="360" w:lineRule="auto"/>
        <w:rPr>
          <w:color w:val="000000" w:themeColor="text1"/>
          <w:sz w:val="24"/>
          <w:szCs w:val="24"/>
          <w:lang w:val="en-US"/>
          <w14:textFill>
            <w14:solidFill>
              <w14:schemeClr w14:val="tx1"/>
            </w14:solidFill>
          </w14:textFill>
        </w:rPr>
      </w:pPr>
      <w:r>
        <w:rPr>
          <w:color w:val="000000" w:themeColor="text1"/>
          <w:sz w:val="24"/>
          <w:szCs w:val="24"/>
          <w:lang w:val="en-US"/>
          <w14:textFill>
            <w14:solidFill>
              <w14:schemeClr w14:val="tx1"/>
            </w14:solidFill>
          </w14:textFill>
        </w:rPr>
        <w:t xml:space="preserve">5</w:t>
      </w:r>
      <w:r>
        <w:rPr>
          <w:rFonts w:hint="eastAsia"/>
          <w:color w:val="000000" w:themeColor="text1"/>
          <w:sz w:val="24"/>
          <w:szCs w:val="24"/>
          <w:lang w:val="en-US"/>
          <w14:textFill>
            <w14:solidFill>
              <w14:schemeClr w14:val="tx1"/>
            </w14:solidFill>
          </w14:textFill>
        </w:rPr>
        <w:t xml:space="preserve">、项目预算：238万元。</w:t>
      </w:r>
      <w:r/>
    </w:p>
    <w:p>
      <w:pPr>
        <w:ind w:firstLine="480"/>
        <w:spacing w:line="360" w:lineRule="auto"/>
        <w:rPr>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t xml:space="preserve">6、最高限价：</w:t>
      </w:r>
      <w:r>
        <w:rPr>
          <w:color w:val="000000" w:themeColor="text1"/>
          <w:sz w:val="24"/>
          <w:szCs w:val="24"/>
          <w:lang w:val="en-US"/>
          <w14:textFill>
            <w14:solidFill>
              <w14:schemeClr w14:val="tx1"/>
            </w14:solidFill>
          </w14:textFill>
        </w:rPr>
        <w:t xml:space="preserve">213.812721万元，投标总价超过最高限价的为无效投标。</w:t>
      </w:r>
      <w:r/>
    </w:p>
    <w:p>
      <w:pPr>
        <w:spacing w:line="360" w:lineRule="auto"/>
        <w:rPr>
          <w:rFonts w:ascii="Times New Roman" w:hAnsi="Times New Roman" w:cs="Times New Roman"/>
          <w:b/>
          <w:color w:val="000000" w:themeColor="text1"/>
          <w:sz w:val="24"/>
          <w:szCs w:val="32"/>
          <w:lang w:val="en-US" w:bidi="ar-SA"/>
          <w14:textFill>
            <w14:solidFill>
              <w14:schemeClr w14:val="tx1"/>
            </w14:solidFill>
          </w14:textFill>
        </w:rPr>
      </w:pPr>
      <w:r>
        <w:rPr>
          <w:rFonts w:hint="eastAsia" w:ascii="Times New Roman" w:hAnsi="Times New Roman" w:cs="Times New Roman"/>
          <w:b/>
          <w:color w:val="000000" w:themeColor="text1"/>
          <w:sz w:val="24"/>
          <w:szCs w:val="32"/>
          <w:lang w:val="en-US" w:bidi="ar-SA"/>
          <w14:textFill>
            <w14:solidFill>
              <w14:schemeClr w14:val="tx1"/>
            </w14:solidFill>
          </w14:textFill>
        </w:rPr>
        <w:t xml:space="preserve">二、报价要求</w:t>
      </w:r>
      <w:r/>
    </w:p>
    <w:p>
      <w:pPr>
        <w:ind w:firstLine="480"/>
        <w:jc w:val="both"/>
        <w:spacing w:line="360" w:lineRule="auto"/>
        <w:rPr>
          <w:sz w:val="24"/>
          <w:szCs w:val="24"/>
        </w:rPr>
      </w:pPr>
      <w:r>
        <w:rPr>
          <w:rFonts w:hint="eastAsia"/>
          <w:sz w:val="24"/>
          <w:szCs w:val="24"/>
        </w:rPr>
        <w:t xml:space="preserve">1、供应商不得将中标项目转包及其它违规行为，一经采购人发现立即取消中标资格，并有权按照相关法律法规报相关部门处理，且追究其经济责任。</w:t>
      </w:r>
      <w:r/>
    </w:p>
    <w:p>
      <w:pPr>
        <w:ind w:firstLine="480"/>
        <w:jc w:val="both"/>
        <w:spacing w:line="360" w:lineRule="auto"/>
        <w:rPr>
          <w:sz w:val="24"/>
          <w:szCs w:val="24"/>
        </w:rPr>
      </w:pPr>
      <w:r>
        <w:rPr>
          <w:rFonts w:hint="eastAsia"/>
          <w:sz w:val="24"/>
          <w:szCs w:val="24"/>
        </w:rPr>
        <w:t xml:space="preserve">2、供应商勘察现场所发生的费用由供应商自行承担。采购人向供应商提供的有关服务现场的资料和数据，是招标人现有的能使供应商利用的资料。采购人对供应商由此而做出的推论、理解和结论概不负责。供应商未到项目现场实地踏勘的，中标后签订合同时和履约过程中，不得以不完全了解现场情况为由，提出任何形式的增加合同价款或索赔的要求。</w:t>
      </w:r>
      <w:r/>
    </w:p>
    <w:p>
      <w:pPr>
        <w:ind w:firstLine="480"/>
        <w:jc w:val="both"/>
        <w:spacing w:line="360" w:lineRule="auto"/>
        <w:rPr>
          <w:sz w:val="24"/>
          <w:szCs w:val="24"/>
        </w:rPr>
      </w:pPr>
      <w:r>
        <w:rPr>
          <w:rFonts w:hint="eastAsia"/>
          <w:sz w:val="24"/>
          <w:szCs w:val="24"/>
        </w:rPr>
        <w:t xml:space="preserve">3、合理的投标报价是根据投标人针对本项目所考虑的生产要素投入与配置、管理水平、施工技术水平及市场风险、利润等因素确定的投标报价，对投标报价的合理性评审依据主管部门颁布的消耗量定额、费用定额、工期定额，采用政府公布的人工、施工机械台班单价和材料（设备）市场价格进行编制的工程造价进行评审，主要包括人工费、材料费、施工机械使用费、企业管理费、利润、风险费措施费等，若在投标报价中，出现恶意低价或者价格明显低于市场价的，评标委员会有权要求其提供相关证明材料，若提供的材料不能反映，采购人有权作无效投标处理。</w:t>
      </w:r>
      <w:r/>
    </w:p>
    <w:p>
      <w:pPr>
        <w:ind w:firstLine="480"/>
        <w:spacing w:line="360" w:lineRule="auto"/>
        <w:rPr>
          <w:sz w:val="24"/>
          <w:szCs w:val="24"/>
        </w:rPr>
      </w:pPr>
      <w:r>
        <w:rPr>
          <w:rFonts w:hint="eastAsia"/>
          <w:sz w:val="24"/>
          <w:szCs w:val="24"/>
        </w:rPr>
        <w:t xml:space="preserve">4、合同价格形式：固定综合单价合同。</w:t>
      </w:r>
      <w:r/>
    </w:p>
    <w:p>
      <w:pPr>
        <w:ind w:firstLine="480"/>
        <w:spacing w:line="360" w:lineRule="auto"/>
        <w:rPr>
          <w:sz w:val="24"/>
          <w:szCs w:val="24"/>
          <w:lang w:val="en-US"/>
        </w:rPr>
      </w:pPr>
      <w:r>
        <w:rPr>
          <w:rFonts w:hint="eastAsia"/>
          <w:sz w:val="24"/>
          <w:szCs w:val="24"/>
        </w:rPr>
        <w:t xml:space="preserve">按照施工图和工程量清单采取固定综合单价；任何情况下综合单价不变，决算时按实际工程量乘以综合单价计算。非发包人需求且经发包人书面认可的变化导致的变更由承包人自行承担相关费用。</w:t>
      </w:r>
      <w:r/>
    </w:p>
    <w:p>
      <w:pPr>
        <w:pStyle w:val="1151"/>
        <w:ind w:firstLine="0"/>
        <w:spacing w:line="440" w:lineRule="exact"/>
        <w:rPr>
          <w:rFonts w:cs="Times New Roman"/>
          <w:b/>
          <w:color w:val="000000" w:themeColor="text1"/>
          <w:sz w:val="24"/>
          <w:szCs w:val="32"/>
          <w:lang w:val="en-US" w:bidi="ar-SA"/>
          <w14:textFill>
            <w14:solidFill>
              <w14:schemeClr w14:val="tx1"/>
            </w14:solidFill>
          </w14:textFill>
        </w:rPr>
      </w:pPr>
      <w:r>
        <w:rPr>
          <w:rFonts w:hint="eastAsia" w:cs="Times New Roman"/>
          <w:b/>
          <w:color w:val="000000" w:themeColor="text1"/>
          <w:sz w:val="24"/>
          <w:szCs w:val="32"/>
          <w:lang w:val="en-US" w:bidi="ar-SA"/>
          <w14:textFill>
            <w14:solidFill>
              <w14:schemeClr w14:val="tx1"/>
            </w14:solidFill>
          </w14:textFill>
        </w:rPr>
        <w:t xml:space="preserve">三、施工要求</w:t>
      </w:r>
      <w:r/>
    </w:p>
    <w:p>
      <w:pPr>
        <w:pStyle w:val="908"/>
        <w:ind w:firstLine="480"/>
        <w:spacing w:line="360" w:lineRule="auto"/>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1、本工程项目总工期不超过 </w:t>
      </w:r>
      <w:r>
        <w:rPr>
          <w:rFonts w:hint="eastAsia" w:hAnsi="宋体"/>
          <w:color w:val="000000" w:themeColor="text1"/>
          <w:sz w:val="24"/>
          <w:szCs w:val="24"/>
          <w:lang w:val="en-US"/>
          <w14:textFill>
            <w14:solidFill>
              <w14:schemeClr w14:val="tx1"/>
            </w14:solidFill>
          </w14:textFill>
        </w:rPr>
        <w:t xml:space="preserve">5</w:t>
      </w:r>
      <w:r>
        <w:rPr>
          <w:rFonts w:hint="eastAsia" w:hAnsi="宋体"/>
          <w:color w:val="000000" w:themeColor="text1"/>
          <w:sz w:val="24"/>
          <w:szCs w:val="24"/>
          <w14:textFill>
            <w14:solidFill>
              <w14:schemeClr w14:val="tx1"/>
            </w14:solidFill>
          </w14:textFill>
        </w:rPr>
        <w:t xml:space="preserve">0 日历天，即本工程自发包人下达的书面开工令载明的开工之日起【50】日历天竣工。</w:t>
      </w:r>
      <w:r/>
    </w:p>
    <w:p>
      <w:pPr>
        <w:ind w:firstLine="480"/>
        <w:jc w:val="both"/>
        <w:spacing w:line="360" w:lineRule="auto"/>
        <w:rPr>
          <w:sz w:val="24"/>
          <w:szCs w:val="24"/>
        </w:rPr>
      </w:pPr>
      <w:r>
        <w:rPr>
          <w:rFonts w:hint="eastAsia"/>
          <w:sz w:val="24"/>
          <w:szCs w:val="24"/>
          <w:lang w:val="en-US"/>
        </w:rPr>
        <w:t xml:space="preserve">2</w:t>
      </w:r>
      <w:r>
        <w:rPr>
          <w:rFonts w:hint="eastAsia"/>
          <w:sz w:val="24"/>
          <w:szCs w:val="24"/>
        </w:rPr>
        <w:t xml:space="preserve">、现场管理及安全责任：施工单位根据现行国家工程质量检验标准和现场实际情况，按国家有关规定派驻具有相应资质的项目经理，项目经理在施工期间须每日到场，加强施工管理，因质量和安全问题造成的一切责任和损失均由投标人负责。</w:t>
      </w:r>
      <w:r/>
    </w:p>
    <w:p>
      <w:pPr>
        <w:ind w:firstLine="480"/>
        <w:jc w:val="both"/>
        <w:spacing w:line="360" w:lineRule="auto"/>
        <w:rPr>
          <w:sz w:val="24"/>
          <w:szCs w:val="24"/>
        </w:rPr>
      </w:pPr>
      <w:r>
        <w:rPr>
          <w:rFonts w:hint="eastAsia"/>
          <w:sz w:val="24"/>
          <w:szCs w:val="24"/>
          <w:lang w:val="en-US"/>
        </w:rPr>
        <w:t xml:space="preserve">3</w:t>
      </w:r>
      <w:r>
        <w:rPr>
          <w:rFonts w:hint="eastAsia"/>
          <w:sz w:val="24"/>
          <w:szCs w:val="24"/>
        </w:rPr>
        <w:t xml:space="preserve">、设计若有不符合现行规范、规定、标准等或其他不到位之处，中标人必须提出，待采购人确认后再施工，否则因此造成的质量事故由中标人承担。</w:t>
      </w:r>
      <w:r/>
    </w:p>
    <w:p>
      <w:pPr>
        <w:ind w:firstLine="480"/>
        <w:jc w:val="both"/>
        <w:spacing w:line="360" w:lineRule="auto"/>
        <w:rPr>
          <w:sz w:val="24"/>
          <w:szCs w:val="24"/>
        </w:rPr>
      </w:pPr>
      <w:r>
        <w:rPr>
          <w:rFonts w:hint="eastAsia"/>
          <w:sz w:val="24"/>
          <w:szCs w:val="24"/>
          <w:lang w:val="en-US"/>
        </w:rPr>
        <w:t xml:space="preserve">4</w:t>
      </w:r>
      <w:r>
        <w:rPr>
          <w:rFonts w:hint="eastAsia"/>
          <w:sz w:val="24"/>
          <w:szCs w:val="24"/>
        </w:rPr>
        <w:t xml:space="preserve">、对于隐蔽工程的签证，必须在覆盖前完成验收手续、工程量的确认和费用数额的报送手续，否则发包人可以不予支付相关款项。</w:t>
      </w:r>
      <w:r/>
    </w:p>
    <w:p>
      <w:pPr>
        <w:pStyle w:val="908"/>
        <w:ind w:firstLine="440"/>
        <w:spacing w:line="360" w:lineRule="auto"/>
        <w:rPr>
          <w:rFonts w:hAnsi="宋体"/>
          <w:color w:val="000000" w:themeColor="text1"/>
          <w:sz w:val="24"/>
          <w:szCs w:val="24"/>
          <w14:textFill>
            <w14:solidFill>
              <w14:schemeClr w14:val="tx1"/>
            </w14:solidFill>
          </w14:textFill>
        </w:rPr>
      </w:pPr>
      <w:r/>
      <w:bookmarkStart w:id="27" w:name="OLE_LINK2"/>
      <w:r/>
      <w:bookmarkStart w:id="28" w:name="OLE_LINK1"/>
      <w:r>
        <w:rPr>
          <w:rFonts w:hint="eastAsia" w:hAnsi="宋体"/>
          <w:color w:val="000000" w:themeColor="text1"/>
          <w:sz w:val="24"/>
          <w:szCs w:val="24"/>
          <w14:textFill>
            <w14:solidFill>
              <w14:schemeClr w14:val="tx1"/>
            </w14:solidFill>
          </w14:textFill>
        </w:rPr>
        <w:t xml:space="preserve">★</w:t>
      </w:r>
      <w:bookmarkEnd w:id="27"/>
      <w:r/>
      <w:bookmarkEnd w:id="28"/>
      <w:r>
        <w:rPr>
          <w:rFonts w:hAnsi="宋体"/>
          <w:color w:val="000000" w:themeColor="text1"/>
          <w:sz w:val="24"/>
          <w:szCs w:val="24"/>
          <w:lang w:val="en-US"/>
          <w14:textFill>
            <w14:solidFill>
              <w14:schemeClr w14:val="tx1"/>
            </w14:solidFill>
          </w14:textFill>
        </w:rPr>
        <w:t xml:space="preserve">5</w:t>
      </w:r>
      <w:r>
        <w:rPr>
          <w:rFonts w:hint="eastAsia" w:hAnsi="宋体"/>
          <w:color w:val="000000" w:themeColor="text1"/>
          <w:sz w:val="24"/>
          <w:szCs w:val="24"/>
          <w14:textFill>
            <w14:solidFill>
              <w14:schemeClr w14:val="tx1"/>
            </w14:solidFill>
          </w14:textFill>
        </w:rPr>
        <w:t xml:space="preserve">、投标人本工程采用品牌必须参考《主要材料品牌一览表》中的推荐品牌及相应质量要求报价，并清晰列出本工程项目中“投标人采用品牌”；如采用其他品牌时，可使用同档次以上品牌，应提供充分依据，证明采用的材料质量高于或相当于推荐品牌产品，否则其投标文件将视为无效标处理。</w:t>
      </w:r>
      <w:r/>
    </w:p>
    <w:p>
      <w:pPr>
        <w:pStyle w:val="908"/>
        <w:ind w:firstLine="480"/>
        <w:spacing w:line="360" w:lineRule="auto"/>
        <w:rPr>
          <w:rFonts w:hAnsi="宋体"/>
          <w:color w:val="000000" w:themeColor="text1"/>
          <w:sz w:val="24"/>
          <w:szCs w:val="24"/>
          <w14:textFill>
            <w14:solidFill>
              <w14:schemeClr w14:val="tx1"/>
            </w14:solidFill>
          </w14:textFill>
        </w:rPr>
      </w:pPr>
      <w:r>
        <w:rPr>
          <w:rFonts w:hAnsi="宋体"/>
          <w:color w:val="000000" w:themeColor="text1"/>
          <w:sz w:val="24"/>
          <w:szCs w:val="24"/>
          <w:lang w:val="en-US"/>
          <w14:textFill>
            <w14:solidFill>
              <w14:schemeClr w14:val="tx1"/>
            </w14:solidFill>
          </w14:textFill>
        </w:rPr>
        <w:t xml:space="preserve">6</w:t>
      </w:r>
      <w:r>
        <w:rPr>
          <w:rFonts w:hint="eastAsia" w:hAnsi="宋体"/>
          <w:color w:val="000000" w:themeColor="text1"/>
          <w:sz w:val="24"/>
          <w:szCs w:val="24"/>
          <w14:textFill>
            <w14:solidFill>
              <w14:schemeClr w14:val="tx1"/>
            </w14:solidFill>
          </w14:textFill>
        </w:rPr>
        <w:t xml:space="preserve">、主要材料品牌一览表</w:t>
      </w:r>
      <w:r/>
    </w:p>
    <w:tbl>
      <w:tblPr>
        <w:tblStyle w:val="887"/>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9"/>
        <w:gridCol w:w="3036"/>
        <w:gridCol w:w="4295"/>
      </w:tblGrid>
      <w:tr>
        <w:trPr>
          <w:jc w:val="center"/>
          <w:tblHeader/>
        </w:trPr>
        <w:tc>
          <w:tcPr>
            <w:tcW w:w="698" w:type="pct"/>
            <w:vAlign w:val="center"/>
            <w:textDirection w:val="lrTb"/>
            <w:noWrap w:val="false"/>
          </w:tcPr>
          <w:p>
            <w:pPr>
              <w:jc w:val="center"/>
              <w:spacing w:line="280" w:lineRule="exact"/>
              <w:widowControl/>
              <w:rPr>
                <w:b/>
                <w:color w:val="000000" w:themeColor="text1"/>
                <w:sz w:val="24"/>
                <w:szCs w:val="24"/>
                <w14:textFill>
                  <w14:solidFill>
                    <w14:schemeClr w14:val="tx1"/>
                  </w14:solidFill>
                </w14:textFill>
              </w:rPr>
            </w:pPr>
            <w:r>
              <w:rPr>
                <w:rFonts w:hint="eastAsia"/>
                <w:b/>
                <w:color w:val="000000" w:themeColor="text1"/>
                <w:sz w:val="24"/>
                <w:szCs w:val="24"/>
                <w:lang w:bidi="ar"/>
                <w14:textFill>
                  <w14:solidFill>
                    <w14:schemeClr w14:val="tx1"/>
                  </w14:solidFill>
                </w14:textFill>
              </w:rPr>
              <w:t xml:space="preserve">序号</w:t>
            </w:r>
            <w:r/>
          </w:p>
        </w:tc>
        <w:tc>
          <w:tcPr>
            <w:tcW w:w="1781" w:type="pct"/>
            <w:vAlign w:val="center"/>
            <w:textDirection w:val="lrTb"/>
            <w:noWrap w:val="false"/>
          </w:tcPr>
          <w:p>
            <w:pPr>
              <w:jc w:val="center"/>
              <w:spacing w:line="280" w:lineRule="exact"/>
              <w:widowControl/>
              <w:rPr>
                <w:b/>
                <w:color w:val="000000" w:themeColor="text1"/>
                <w:sz w:val="24"/>
                <w:szCs w:val="24"/>
                <w14:textFill>
                  <w14:solidFill>
                    <w14:schemeClr w14:val="tx1"/>
                  </w14:solidFill>
                </w14:textFill>
              </w:rPr>
            </w:pPr>
            <w:r>
              <w:rPr>
                <w:rFonts w:hint="eastAsia"/>
                <w:b/>
                <w:color w:val="000000" w:themeColor="text1"/>
                <w:sz w:val="24"/>
                <w:szCs w:val="24"/>
                <w:lang w:bidi="ar"/>
                <w14:textFill>
                  <w14:solidFill>
                    <w14:schemeClr w14:val="tx1"/>
                  </w14:solidFill>
                </w14:textFill>
              </w:rPr>
              <w:t xml:space="preserve">材料名称</w:t>
            </w:r>
            <w:r/>
          </w:p>
        </w:tc>
        <w:tc>
          <w:tcPr>
            <w:tcW w:w="2520" w:type="pct"/>
            <w:vAlign w:val="center"/>
            <w:textDirection w:val="lrTb"/>
            <w:noWrap w:val="false"/>
          </w:tcPr>
          <w:p>
            <w:pPr>
              <w:jc w:val="center"/>
              <w:spacing w:line="280" w:lineRule="exact"/>
              <w:widowControl/>
              <w:rPr>
                <w:b/>
                <w:color w:val="000000" w:themeColor="text1"/>
                <w:sz w:val="24"/>
                <w:szCs w:val="24"/>
                <w14:textFill>
                  <w14:solidFill>
                    <w14:schemeClr w14:val="tx1"/>
                  </w14:solidFill>
                </w14:textFill>
              </w:rPr>
            </w:pPr>
            <w:r>
              <w:rPr>
                <w:rFonts w:hint="eastAsia"/>
                <w:b/>
                <w:color w:val="000000" w:themeColor="text1"/>
                <w:sz w:val="24"/>
                <w:szCs w:val="24"/>
                <w:lang w:bidi="ar"/>
                <w14:textFill>
                  <w14:solidFill>
                    <w14:schemeClr w14:val="tx1"/>
                  </w14:solidFill>
                </w14:textFill>
              </w:rPr>
              <w:t xml:space="preserve">品牌范围</w:t>
            </w:r>
            <w:r/>
          </w:p>
        </w:tc>
      </w:tr>
      <w:tr>
        <w:trPr>
          <w:jc w:val="center"/>
          <w:trHeight w:val="510"/>
        </w:trPr>
        <w:tc>
          <w:tcPr>
            <w:shd w:val="clear" w:color="auto" w:fill="auto"/>
            <w:tcW w:w="698" w:type="pct"/>
            <w:vAlign w:val="center"/>
            <w:textDirection w:val="lrTb"/>
            <w:noWrap w:val="false"/>
          </w:tcPr>
          <w:p>
            <w:pPr>
              <w:jc w:val="center"/>
              <w:spacing w:before="156" w:after="156" w:line="280" w:lineRule="exact"/>
              <w:rPr>
                <w:color w:val="000000"/>
                <w:sz w:val="18"/>
                <w:szCs w:val="18"/>
              </w:rPr>
            </w:pPr>
            <w:r>
              <w:rPr>
                <w:rFonts w:hint="eastAsia"/>
                <w:color w:val="000000"/>
                <w:sz w:val="18"/>
                <w:szCs w:val="18"/>
              </w:rPr>
              <w:t xml:space="preserve">1</w:t>
            </w:r>
            <w:r/>
          </w:p>
        </w:tc>
        <w:tc>
          <w:tcPr>
            <w:shd w:val="clear" w:color="auto" w:fill="auto"/>
            <w:tcW w:w="1781" w:type="pct"/>
            <w:vAlign w:val="center"/>
            <w:textDirection w:val="lrTb"/>
            <w:noWrap w:val="false"/>
          </w:tcPr>
          <w:p>
            <w:pPr>
              <w:jc w:val="center"/>
              <w:spacing w:before="156" w:after="156" w:line="280" w:lineRule="exact"/>
              <w:rPr>
                <w:color w:val="000000"/>
                <w:sz w:val="18"/>
                <w:szCs w:val="18"/>
              </w:rPr>
            </w:pPr>
            <w:r>
              <w:rPr>
                <w:rFonts w:hint="eastAsia"/>
                <w:color w:val="000000"/>
                <w:sz w:val="18"/>
                <w:szCs w:val="18"/>
              </w:rPr>
              <w:t xml:space="preserve">石膏板</w:t>
            </w:r>
            <w:r/>
          </w:p>
        </w:tc>
        <w:tc>
          <w:tcPr>
            <w:shd w:val="clear" w:color="auto" w:fill="auto"/>
            <w:tcW w:w="2520"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rPr>
              <w:t xml:space="preserve">龙牌、泰山、可耐福</w:t>
            </w:r>
            <w:r/>
          </w:p>
        </w:tc>
      </w:tr>
      <w:tr>
        <w:trPr>
          <w:jc w:val="center"/>
          <w:trHeight w:val="510"/>
        </w:trPr>
        <w:tc>
          <w:tcPr>
            <w:shd w:val="clear" w:color="auto" w:fill="auto"/>
            <w:tcW w:w="698" w:type="pct"/>
            <w:vAlign w:val="center"/>
            <w:textDirection w:val="lrTb"/>
            <w:noWrap w:val="false"/>
          </w:tcPr>
          <w:p>
            <w:pPr>
              <w:jc w:val="center"/>
              <w:spacing w:before="156" w:after="156" w:line="280" w:lineRule="exact"/>
              <w:rPr>
                <w:color w:val="000000"/>
                <w:sz w:val="18"/>
                <w:szCs w:val="18"/>
              </w:rPr>
            </w:pPr>
            <w:r>
              <w:rPr>
                <w:rFonts w:hint="eastAsia"/>
                <w:color w:val="000000"/>
                <w:sz w:val="18"/>
                <w:szCs w:val="18"/>
              </w:rPr>
              <w:t xml:space="preserve">2</w:t>
            </w:r>
            <w:r/>
          </w:p>
        </w:tc>
        <w:tc>
          <w:tcPr>
            <w:shd w:val="clear" w:color="auto" w:fill="auto"/>
            <w:tcW w:w="1781" w:type="pct"/>
            <w:vAlign w:val="center"/>
            <w:textDirection w:val="lrTb"/>
            <w:noWrap w:val="false"/>
          </w:tcPr>
          <w:p>
            <w:pPr>
              <w:jc w:val="center"/>
              <w:spacing w:before="156" w:after="156" w:line="280" w:lineRule="exact"/>
              <w:rPr>
                <w:color w:val="000000"/>
                <w:sz w:val="18"/>
                <w:szCs w:val="18"/>
              </w:rPr>
            </w:pPr>
            <w:r>
              <w:rPr>
                <w:rFonts w:hint="eastAsia"/>
                <w:color w:val="000000"/>
                <w:sz w:val="18"/>
                <w:szCs w:val="18"/>
              </w:rPr>
              <w:t xml:space="preserve">板材</w:t>
            </w:r>
            <w:r/>
          </w:p>
        </w:tc>
        <w:tc>
          <w:tcPr>
            <w:shd w:val="clear" w:color="auto" w:fill="auto"/>
            <w:tcW w:w="2520"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rPr>
              <w:t xml:space="preserve">莫干山、兔宝宝、绿野</w:t>
            </w:r>
            <w:r/>
          </w:p>
        </w:tc>
      </w:tr>
      <w:tr>
        <w:trPr>
          <w:jc w:val="center"/>
          <w:trHeight w:val="510"/>
        </w:trPr>
        <w:tc>
          <w:tcPr>
            <w:shd w:val="clear" w:color="auto" w:fill="auto"/>
            <w:tcW w:w="698" w:type="pct"/>
            <w:vAlign w:val="center"/>
            <w:textDirection w:val="lrTb"/>
            <w:noWrap w:val="false"/>
          </w:tcPr>
          <w:p>
            <w:pPr>
              <w:jc w:val="center"/>
              <w:spacing w:before="156" w:after="156" w:line="280" w:lineRule="exact"/>
              <w:rPr>
                <w:color w:val="000000"/>
                <w:sz w:val="18"/>
                <w:szCs w:val="18"/>
              </w:rPr>
            </w:pPr>
            <w:r>
              <w:rPr>
                <w:rFonts w:hint="eastAsia"/>
                <w:color w:val="000000"/>
                <w:sz w:val="18"/>
                <w:szCs w:val="18"/>
              </w:rPr>
              <w:t xml:space="preserve">3</w:t>
            </w:r>
            <w:r/>
          </w:p>
        </w:tc>
        <w:tc>
          <w:tcPr>
            <w:shd w:val="clear" w:color="auto" w:fill="auto"/>
            <w:tcW w:w="1781" w:type="pct"/>
            <w:vAlign w:val="center"/>
            <w:textDirection w:val="lrTb"/>
            <w:noWrap w:val="false"/>
          </w:tcPr>
          <w:p>
            <w:pPr>
              <w:jc w:val="center"/>
              <w:spacing w:before="156" w:after="156" w:line="280" w:lineRule="exact"/>
              <w:rPr>
                <w:color w:val="000000"/>
                <w:sz w:val="18"/>
                <w:szCs w:val="18"/>
              </w:rPr>
            </w:pPr>
            <w:r>
              <w:rPr>
                <w:rFonts w:hint="eastAsia"/>
                <w:color w:val="000000"/>
                <w:sz w:val="18"/>
                <w:szCs w:val="18"/>
              </w:rPr>
              <w:t xml:space="preserve">无机涂料</w:t>
            </w:r>
            <w:r/>
          </w:p>
        </w:tc>
        <w:tc>
          <w:tcPr>
            <w:shd w:val="clear" w:color="auto" w:fill="auto"/>
            <w:tcW w:w="2520"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rPr>
              <w:t xml:space="preserve">立邦、多乐士、三棵树</w:t>
            </w:r>
            <w:r/>
          </w:p>
        </w:tc>
      </w:tr>
      <w:tr>
        <w:trPr>
          <w:jc w:val="center"/>
          <w:trHeight w:val="510"/>
        </w:trPr>
        <w:tc>
          <w:tcPr>
            <w:shd w:val="clear" w:color="auto" w:fill="auto"/>
            <w:tcW w:w="698" w:type="pct"/>
            <w:vAlign w:val="center"/>
            <w:textDirection w:val="lrTb"/>
            <w:noWrap w:val="false"/>
          </w:tcPr>
          <w:p>
            <w:pPr>
              <w:jc w:val="center"/>
              <w:spacing w:before="156" w:after="156" w:line="280" w:lineRule="exact"/>
              <w:rPr>
                <w:color w:val="000000"/>
                <w:sz w:val="18"/>
                <w:szCs w:val="18"/>
              </w:rPr>
            </w:pPr>
            <w:r>
              <w:rPr>
                <w:rFonts w:hint="eastAsia"/>
                <w:color w:val="000000"/>
                <w:sz w:val="18"/>
                <w:szCs w:val="18"/>
              </w:rPr>
              <w:t xml:space="preserve">4</w:t>
            </w:r>
            <w:r/>
          </w:p>
        </w:tc>
        <w:tc>
          <w:tcPr>
            <w:shd w:val="clear" w:color="auto" w:fill="auto"/>
            <w:tcW w:w="1781" w:type="pct"/>
            <w:vAlign w:val="center"/>
            <w:textDirection w:val="lrTb"/>
            <w:noWrap w:val="false"/>
          </w:tcPr>
          <w:p>
            <w:pPr>
              <w:jc w:val="center"/>
              <w:spacing w:before="156" w:after="156" w:line="280" w:lineRule="exact"/>
              <w:rPr>
                <w:color w:val="000000"/>
                <w:sz w:val="18"/>
                <w:szCs w:val="18"/>
              </w:rPr>
            </w:pPr>
            <w:r>
              <w:rPr>
                <w:rFonts w:hint="eastAsia"/>
                <w:color w:val="000000"/>
                <w:sz w:val="18"/>
                <w:szCs w:val="18"/>
              </w:rPr>
              <w:t xml:space="preserve">水泥</w:t>
            </w:r>
            <w:r/>
          </w:p>
        </w:tc>
        <w:tc>
          <w:tcPr>
            <w:shd w:val="clear" w:color="auto" w:fill="auto"/>
            <w:tcW w:w="2520"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rPr>
              <w:t xml:space="preserve">海螺、华新、中联</w:t>
            </w:r>
            <w:r/>
          </w:p>
        </w:tc>
      </w:tr>
      <w:tr>
        <w:trPr>
          <w:jc w:val="center"/>
          <w:trHeight w:val="510"/>
        </w:trPr>
        <w:tc>
          <w:tcPr>
            <w:shd w:val="clear" w:color="auto" w:fill="auto"/>
            <w:tcW w:w="698" w:type="pct"/>
            <w:vAlign w:val="center"/>
            <w:textDirection w:val="lrTb"/>
            <w:noWrap w:val="false"/>
          </w:tcPr>
          <w:p>
            <w:pPr>
              <w:jc w:val="center"/>
              <w:spacing w:before="156" w:after="156" w:line="280" w:lineRule="exact"/>
              <w:rPr>
                <w:color w:val="000000"/>
                <w:sz w:val="18"/>
                <w:szCs w:val="18"/>
              </w:rPr>
            </w:pPr>
            <w:r>
              <w:rPr>
                <w:rFonts w:hint="eastAsia"/>
                <w:color w:val="000000"/>
                <w:sz w:val="18"/>
                <w:szCs w:val="18"/>
              </w:rPr>
              <w:t xml:space="preserve">5</w:t>
            </w:r>
            <w:r/>
          </w:p>
        </w:tc>
        <w:tc>
          <w:tcPr>
            <w:shd w:val="clear" w:color="auto" w:fill="auto"/>
            <w:tcW w:w="1781" w:type="pct"/>
            <w:vAlign w:val="center"/>
            <w:textDirection w:val="lrTb"/>
            <w:noWrap w:val="false"/>
          </w:tcPr>
          <w:p>
            <w:pPr>
              <w:jc w:val="center"/>
              <w:spacing w:before="156" w:after="156" w:line="280" w:lineRule="exact"/>
              <w:rPr>
                <w:color w:val="000000"/>
                <w:sz w:val="18"/>
                <w:szCs w:val="18"/>
              </w:rPr>
            </w:pPr>
            <w:r>
              <w:rPr>
                <w:rFonts w:hint="eastAsia"/>
                <w:color w:val="000000"/>
                <w:sz w:val="18"/>
                <w:szCs w:val="18"/>
              </w:rPr>
              <w:t xml:space="preserve">瓷砖</w:t>
            </w:r>
            <w:r/>
          </w:p>
        </w:tc>
        <w:tc>
          <w:tcPr>
            <w:shd w:val="clear" w:color="auto" w:fill="auto"/>
            <w:tcW w:w="2520" w:type="pct"/>
            <w:vAlign w:val="center"/>
            <w:textDirection w:val="lrTb"/>
            <w:noWrap w:val="false"/>
          </w:tcPr>
          <w:p>
            <w:pPr>
              <w:jc w:val="center"/>
              <w:spacing w:before="156" w:after="156" w:line="280" w:lineRule="exact"/>
              <w:rPr>
                <w:color w:val="000000" w:themeColor="text1"/>
                <w:sz w:val="18"/>
                <w:szCs w:val="18"/>
                <w:lang w:val="en-US"/>
                <w14:textFill>
                  <w14:solidFill>
                    <w14:schemeClr w14:val="tx1"/>
                  </w14:solidFill>
                </w14:textFill>
              </w:rPr>
            </w:pPr>
            <w:r>
              <w:rPr>
                <w:rFonts w:hint="eastAsia"/>
                <w:color w:val="000000" w:themeColor="text1"/>
                <w:sz w:val="18"/>
                <w:szCs w:val="18"/>
                <w14:textFill>
                  <w14:solidFill>
                    <w14:schemeClr w14:val="tx1"/>
                  </w14:solidFill>
                </w14:textFill>
              </w:rPr>
              <w:t xml:space="preserve">诺贝尔、惠达、罗马</w:t>
            </w:r>
            <w:r/>
          </w:p>
        </w:tc>
      </w:tr>
      <w:tr>
        <w:trPr>
          <w:jc w:val="center"/>
          <w:trHeight w:val="510"/>
        </w:trPr>
        <w:tc>
          <w:tcPr>
            <w:shd w:val="clear" w:color="auto" w:fill="auto"/>
            <w:tcW w:w="698" w:type="pct"/>
            <w:vAlign w:val="center"/>
            <w:textDirection w:val="lrTb"/>
            <w:noWrap w:val="false"/>
          </w:tcPr>
          <w:p>
            <w:pPr>
              <w:jc w:val="center"/>
              <w:spacing w:before="156" w:after="156" w:line="280" w:lineRule="exact"/>
              <w:rPr>
                <w:color w:val="000000"/>
                <w:sz w:val="18"/>
                <w:szCs w:val="18"/>
              </w:rPr>
            </w:pPr>
            <w:r>
              <w:rPr>
                <w:rFonts w:hint="eastAsia"/>
                <w:color w:val="000000"/>
                <w:sz w:val="18"/>
                <w:szCs w:val="18"/>
              </w:rPr>
              <w:t xml:space="preserve">6</w:t>
            </w:r>
            <w:r/>
          </w:p>
        </w:tc>
        <w:tc>
          <w:tcPr>
            <w:shd w:val="clear" w:color="auto" w:fill="auto"/>
            <w:tcW w:w="1781" w:type="pct"/>
            <w:vAlign w:val="center"/>
            <w:textDirection w:val="lrTb"/>
            <w:noWrap w:val="false"/>
          </w:tcPr>
          <w:p>
            <w:pPr>
              <w:jc w:val="center"/>
              <w:spacing w:before="156" w:after="156" w:line="280" w:lineRule="exact"/>
              <w:rPr>
                <w:color w:val="000000"/>
                <w:sz w:val="18"/>
                <w:szCs w:val="18"/>
              </w:rPr>
            </w:pPr>
            <w:r>
              <w:rPr>
                <w:rFonts w:hint="eastAsia"/>
                <w:color w:val="000000"/>
                <w:sz w:val="18"/>
                <w:szCs w:val="18"/>
              </w:rPr>
              <w:t xml:space="preserve">铝合金窗</w:t>
            </w:r>
            <w:r/>
          </w:p>
        </w:tc>
        <w:tc>
          <w:tcPr>
            <w:shd w:val="clear" w:color="auto" w:fill="auto"/>
            <w:tcW w:w="2520" w:type="pct"/>
            <w:vAlign w:val="center"/>
            <w:textDirection w:val="lrTb"/>
            <w:noWrap w:val="false"/>
          </w:tcPr>
          <w:p>
            <w:pPr>
              <w:jc w:val="center"/>
              <w:spacing w:before="156" w:after="156" w:line="280" w:lineRule="exact"/>
              <w:rPr>
                <w:color w:val="000000" w:themeColor="text1"/>
                <w:sz w:val="18"/>
                <w:szCs w:val="18"/>
                <w:lang w:val="en-US"/>
                <w14:textFill>
                  <w14:solidFill>
                    <w14:schemeClr w14:val="tx1"/>
                  </w14:solidFill>
                </w14:textFill>
              </w:rPr>
            </w:pPr>
            <w:r>
              <w:rPr>
                <w:rFonts w:hint="eastAsia"/>
                <w:color w:val="000000" w:themeColor="text1"/>
                <w:sz w:val="18"/>
                <w:szCs w:val="18"/>
                <w14:textFill>
                  <w14:solidFill>
                    <w14:schemeClr w14:val="tx1"/>
                  </w14:solidFill>
                </w14:textFill>
              </w:rPr>
              <w:t xml:space="preserve">伟昌、凤铝、兴发</w:t>
            </w:r>
            <w:r/>
          </w:p>
        </w:tc>
      </w:tr>
      <w:tr>
        <w:trPr>
          <w:jc w:val="center"/>
          <w:trHeight w:val="510"/>
        </w:trPr>
        <w:tc>
          <w:tcPr>
            <w:shd w:val="clear" w:color="auto" w:fill="auto"/>
            <w:tcW w:w="698" w:type="pct"/>
            <w:vAlign w:val="center"/>
            <w:textDirection w:val="lrTb"/>
            <w:noWrap w:val="false"/>
          </w:tcPr>
          <w:p>
            <w:pPr>
              <w:jc w:val="center"/>
              <w:spacing w:before="156" w:after="156" w:line="280" w:lineRule="exact"/>
              <w:rPr>
                <w:color w:val="000000"/>
                <w:sz w:val="18"/>
                <w:szCs w:val="18"/>
              </w:rPr>
            </w:pPr>
            <w:r>
              <w:rPr>
                <w:rFonts w:hint="eastAsia"/>
                <w:color w:val="000000"/>
                <w:sz w:val="18"/>
                <w:szCs w:val="18"/>
              </w:rPr>
              <w:t xml:space="preserve">7</w:t>
            </w:r>
            <w:r/>
          </w:p>
        </w:tc>
        <w:tc>
          <w:tcPr>
            <w:shd w:val="clear" w:color="auto" w:fill="auto"/>
            <w:tcW w:w="1781" w:type="pct"/>
            <w:vAlign w:val="center"/>
            <w:textDirection w:val="lrTb"/>
            <w:noWrap w:val="false"/>
          </w:tcPr>
          <w:p>
            <w:pPr>
              <w:jc w:val="center"/>
              <w:spacing w:before="156" w:after="156" w:line="280" w:lineRule="exact"/>
              <w:rPr>
                <w:color w:val="000000"/>
                <w:sz w:val="18"/>
                <w:szCs w:val="18"/>
              </w:rPr>
            </w:pPr>
            <w:r>
              <w:rPr>
                <w:rFonts w:hint="eastAsia"/>
                <w:color w:val="000000"/>
                <w:sz w:val="18"/>
                <w:szCs w:val="18"/>
              </w:rPr>
              <w:t xml:space="preserve">木门</w:t>
            </w:r>
            <w:r/>
          </w:p>
        </w:tc>
        <w:tc>
          <w:tcPr>
            <w:shd w:val="clear" w:color="auto" w:fill="auto"/>
            <w:tcW w:w="2520" w:type="pct"/>
            <w:vAlign w:val="center"/>
            <w:textDirection w:val="lrTb"/>
            <w:noWrap w:val="false"/>
          </w:tcPr>
          <w:p>
            <w:pPr>
              <w:jc w:val="center"/>
              <w:spacing w:before="156" w:after="156" w:line="280" w:lineRule="exact"/>
              <w:rPr>
                <w:color w:val="000000" w:themeColor="text1"/>
                <w:sz w:val="18"/>
                <w:szCs w:val="18"/>
                <w:lang w:val="en-US"/>
                <w14:textFill>
                  <w14:solidFill>
                    <w14:schemeClr w14:val="tx1"/>
                  </w14:solidFill>
                </w14:textFill>
              </w:rPr>
            </w:pPr>
            <w:r>
              <w:rPr>
                <w:rFonts w:hint="eastAsia"/>
                <w:color w:val="000000" w:themeColor="text1"/>
                <w:sz w:val="18"/>
                <w:szCs w:val="18"/>
                <w14:textFill>
                  <w14:solidFill>
                    <w14:schemeClr w14:val="tx1"/>
                  </w14:solidFill>
                </w14:textFill>
              </w:rPr>
              <w:t xml:space="preserve">美心、欧派、丰盛</w:t>
            </w:r>
            <w:r/>
          </w:p>
        </w:tc>
      </w:tr>
      <w:tr>
        <w:trPr>
          <w:jc w:val="center"/>
          <w:trHeight w:val="510"/>
        </w:trPr>
        <w:tc>
          <w:tcPr>
            <w:shd w:val="clear" w:color="auto" w:fill="auto"/>
            <w:tcW w:w="698" w:type="pct"/>
            <w:vAlign w:val="center"/>
            <w:textDirection w:val="lrTb"/>
            <w:noWrap w:val="false"/>
          </w:tcPr>
          <w:p>
            <w:pPr>
              <w:jc w:val="center"/>
              <w:spacing w:before="156" w:after="156" w:line="280" w:lineRule="exact"/>
              <w:rPr>
                <w:color w:val="000000"/>
                <w:sz w:val="18"/>
                <w:szCs w:val="18"/>
              </w:rPr>
            </w:pPr>
            <w:r>
              <w:rPr>
                <w:rFonts w:hint="eastAsia"/>
                <w:color w:val="000000"/>
                <w:sz w:val="18"/>
                <w:szCs w:val="18"/>
              </w:rPr>
              <w:t xml:space="preserve">8</w:t>
            </w:r>
            <w:r/>
          </w:p>
        </w:tc>
        <w:tc>
          <w:tcPr>
            <w:shd w:val="clear" w:color="auto" w:fill="auto"/>
            <w:tcW w:w="1781" w:type="pct"/>
            <w:vAlign w:val="center"/>
            <w:textDirection w:val="lrTb"/>
            <w:noWrap w:val="false"/>
          </w:tcPr>
          <w:p>
            <w:pPr>
              <w:jc w:val="center"/>
              <w:spacing w:before="156" w:after="156" w:line="280" w:lineRule="exact"/>
              <w:rPr>
                <w:color w:val="000000"/>
                <w:sz w:val="18"/>
                <w:szCs w:val="18"/>
              </w:rPr>
            </w:pPr>
            <w:r>
              <w:rPr>
                <w:rFonts w:hint="eastAsia"/>
                <w:color w:val="000000"/>
                <w:sz w:val="18"/>
                <w:szCs w:val="18"/>
              </w:rPr>
              <w:t xml:space="preserve">地板</w:t>
            </w:r>
            <w:r/>
          </w:p>
        </w:tc>
        <w:tc>
          <w:tcPr>
            <w:shd w:val="clear" w:color="auto" w:fill="auto"/>
            <w:tcW w:w="2520" w:type="pct"/>
            <w:vAlign w:val="center"/>
            <w:textDirection w:val="lrTb"/>
            <w:noWrap w:val="false"/>
          </w:tcPr>
          <w:p>
            <w:pPr>
              <w:jc w:val="center"/>
              <w:spacing w:before="156" w:after="156" w:line="280" w:lineRule="exact"/>
              <w:rPr>
                <w:color w:val="000000" w:themeColor="text1"/>
                <w:sz w:val="18"/>
                <w:szCs w:val="18"/>
                <w:lang w:val="en-US"/>
                <w14:textFill>
                  <w14:solidFill>
                    <w14:schemeClr w14:val="tx1"/>
                  </w14:solidFill>
                </w14:textFill>
              </w:rPr>
            </w:pPr>
            <w:r>
              <w:rPr>
                <w:rFonts w:hint="eastAsia"/>
                <w:color w:val="000000" w:themeColor="text1"/>
                <w:sz w:val="18"/>
                <w:szCs w:val="18"/>
                <w14:textFill>
                  <w14:solidFill>
                    <w14:schemeClr w14:val="tx1"/>
                  </w14:solidFill>
                </w14:textFill>
              </w:rPr>
              <w:t xml:space="preserve">大自然、圣象、欧派</w:t>
            </w:r>
            <w:r/>
          </w:p>
        </w:tc>
      </w:tr>
      <w:tr>
        <w:trPr>
          <w:jc w:val="center"/>
          <w:trHeight w:val="510"/>
        </w:trPr>
        <w:tc>
          <w:tcPr>
            <w:shd w:val="clear" w:color="auto" w:fill="auto"/>
            <w:tcW w:w="698" w:type="pct"/>
            <w:vAlign w:val="center"/>
            <w:textDirection w:val="lrTb"/>
            <w:noWrap w:val="false"/>
          </w:tcPr>
          <w:p>
            <w:pPr>
              <w:jc w:val="center"/>
              <w:spacing w:before="156" w:after="156" w:line="280" w:lineRule="exact"/>
              <w:rPr>
                <w:color w:val="000000"/>
                <w:sz w:val="18"/>
                <w:szCs w:val="18"/>
              </w:rPr>
            </w:pPr>
            <w:r>
              <w:rPr>
                <w:rFonts w:hint="eastAsia"/>
                <w:color w:val="000000"/>
                <w:sz w:val="18"/>
                <w:szCs w:val="18"/>
              </w:rPr>
              <w:t xml:space="preserve">9</w:t>
            </w:r>
            <w:r/>
          </w:p>
        </w:tc>
        <w:tc>
          <w:tcPr>
            <w:shd w:val="clear" w:color="auto" w:fill="auto"/>
            <w:tcW w:w="1781" w:type="pct"/>
            <w:vAlign w:val="center"/>
            <w:textDirection w:val="lrTb"/>
            <w:noWrap w:val="false"/>
          </w:tcPr>
          <w:p>
            <w:pPr>
              <w:jc w:val="center"/>
              <w:spacing w:before="156" w:after="156" w:line="280" w:lineRule="exact"/>
              <w:rPr>
                <w:color w:val="000000"/>
                <w:sz w:val="18"/>
                <w:szCs w:val="18"/>
              </w:rPr>
            </w:pPr>
            <w:r>
              <w:rPr>
                <w:rFonts w:hint="eastAsia"/>
                <w:color w:val="000000"/>
                <w:sz w:val="18"/>
                <w:szCs w:val="18"/>
              </w:rPr>
              <w:t xml:space="preserve">PVC地胶</w:t>
            </w:r>
            <w:r/>
          </w:p>
        </w:tc>
        <w:tc>
          <w:tcPr>
            <w:shd w:val="clear" w:color="auto" w:fill="auto"/>
            <w:tcW w:w="2520" w:type="pct"/>
            <w:vAlign w:val="center"/>
            <w:textDirection w:val="lrTb"/>
            <w:noWrap w:val="false"/>
          </w:tcPr>
          <w:p>
            <w:pPr>
              <w:jc w:val="center"/>
              <w:spacing w:before="156" w:after="156" w:line="280" w:lineRule="exact"/>
              <w:rPr>
                <w:color w:val="000000" w:themeColor="text1"/>
                <w:sz w:val="18"/>
                <w:szCs w:val="18"/>
                <w:lang w:val="en-US"/>
                <w14:textFill>
                  <w14:solidFill>
                    <w14:schemeClr w14:val="tx1"/>
                  </w14:solidFill>
                </w14:textFill>
              </w:rPr>
            </w:pPr>
            <w:r>
              <w:rPr>
                <w:rFonts w:hint="eastAsia"/>
                <w:color w:val="000000" w:themeColor="text1"/>
                <w:sz w:val="18"/>
                <w:szCs w:val="18"/>
                <w14:textFill>
                  <w14:solidFill>
                    <w14:schemeClr w14:val="tx1"/>
                  </w14:solidFill>
                </w14:textFill>
              </w:rPr>
              <w:t xml:space="preserve">阿姆斯壮、LX、洁弗乐</w:t>
            </w:r>
            <w:r/>
          </w:p>
        </w:tc>
      </w:tr>
      <w:tr>
        <w:trPr>
          <w:jc w:val="center"/>
          <w:trHeight w:val="510"/>
        </w:trPr>
        <w:tc>
          <w:tcPr>
            <w:shd w:val="clear" w:color="auto" w:fill="auto"/>
            <w:tcW w:w="698" w:type="pct"/>
            <w:vAlign w:val="center"/>
            <w:textDirection w:val="lrTb"/>
            <w:noWrap w:val="false"/>
          </w:tcPr>
          <w:p>
            <w:pPr>
              <w:jc w:val="center"/>
              <w:spacing w:before="156" w:after="156" w:line="280" w:lineRule="exact"/>
              <w:rPr>
                <w:color w:val="000000"/>
                <w:sz w:val="18"/>
                <w:szCs w:val="18"/>
              </w:rPr>
            </w:pPr>
            <w:r>
              <w:rPr>
                <w:rFonts w:hint="eastAsia"/>
                <w:color w:val="000000"/>
                <w:sz w:val="18"/>
                <w:szCs w:val="18"/>
              </w:rPr>
              <w:t xml:space="preserve">10</w:t>
            </w:r>
            <w:r/>
          </w:p>
        </w:tc>
        <w:tc>
          <w:tcPr>
            <w:shd w:val="clear" w:color="auto" w:fill="auto"/>
            <w:tcW w:w="1781" w:type="pct"/>
            <w:vAlign w:val="center"/>
            <w:textDirection w:val="lrTb"/>
            <w:noWrap w:val="false"/>
          </w:tcPr>
          <w:p>
            <w:pPr>
              <w:jc w:val="center"/>
              <w:spacing w:before="156" w:after="156" w:line="280" w:lineRule="exact"/>
              <w:rPr>
                <w:color w:val="000000"/>
                <w:sz w:val="18"/>
                <w:szCs w:val="18"/>
              </w:rPr>
            </w:pPr>
            <w:r>
              <w:rPr>
                <w:rFonts w:hint="eastAsia"/>
                <w:color w:val="000000"/>
                <w:sz w:val="18"/>
                <w:szCs w:val="18"/>
              </w:rPr>
              <w:t xml:space="preserve">铝板</w:t>
            </w:r>
            <w:r/>
          </w:p>
        </w:tc>
        <w:tc>
          <w:tcPr>
            <w:shd w:val="clear" w:color="auto" w:fill="auto"/>
            <w:tcW w:w="2520" w:type="pct"/>
            <w:vAlign w:val="center"/>
            <w:textDirection w:val="lrTb"/>
            <w:noWrap w:val="false"/>
          </w:tcPr>
          <w:p>
            <w:pPr>
              <w:jc w:val="center"/>
              <w:spacing w:before="156" w:after="156" w:line="280" w:lineRule="exact"/>
              <w:rPr>
                <w:color w:val="000000" w:themeColor="text1"/>
                <w:sz w:val="18"/>
                <w:szCs w:val="18"/>
                <w:lang w:val="en-US"/>
                <w14:textFill>
                  <w14:solidFill>
                    <w14:schemeClr w14:val="tx1"/>
                  </w14:solidFill>
                </w14:textFill>
              </w:rPr>
            </w:pPr>
            <w:r>
              <w:rPr>
                <w:rFonts w:hint="eastAsia"/>
                <w:color w:val="000000" w:themeColor="text1"/>
                <w:sz w:val="18"/>
                <w:szCs w:val="18"/>
                <w14:textFill>
                  <w14:solidFill>
                    <w14:schemeClr w14:val="tx1"/>
                  </w14:solidFill>
                </w14:textFill>
              </w:rPr>
              <w:t xml:space="preserve">后肖、清美、焕彩</w:t>
            </w:r>
            <w:r/>
          </w:p>
        </w:tc>
      </w:tr>
      <w:tr>
        <w:trPr>
          <w:jc w:val="center"/>
          <w:trHeight w:val="510"/>
        </w:trPr>
        <w:tc>
          <w:tcPr>
            <w:shd w:val="clear" w:color="auto" w:fill="auto"/>
            <w:tcW w:w="698" w:type="pct"/>
            <w:vAlign w:val="center"/>
            <w:textDirection w:val="lrTb"/>
            <w:noWrap w:val="false"/>
          </w:tcPr>
          <w:p>
            <w:pPr>
              <w:jc w:val="center"/>
              <w:spacing w:before="156" w:after="156" w:line="280" w:lineRule="exact"/>
              <w:rPr>
                <w:color w:val="000000"/>
                <w:sz w:val="18"/>
                <w:szCs w:val="18"/>
              </w:rPr>
            </w:pPr>
            <w:r>
              <w:rPr>
                <w:rFonts w:hint="eastAsia"/>
                <w:color w:val="000000"/>
                <w:sz w:val="18"/>
                <w:szCs w:val="18"/>
              </w:rPr>
              <w:t xml:space="preserve">11</w:t>
            </w:r>
            <w:r/>
          </w:p>
        </w:tc>
        <w:tc>
          <w:tcPr>
            <w:shd w:val="clear" w:color="auto" w:fill="auto"/>
            <w:tcW w:w="1781" w:type="pct"/>
            <w:vAlign w:val="center"/>
            <w:textDirection w:val="lrTb"/>
            <w:noWrap w:val="false"/>
          </w:tcPr>
          <w:p>
            <w:pPr>
              <w:jc w:val="center"/>
              <w:spacing w:before="156" w:after="156" w:line="280" w:lineRule="exact"/>
              <w:rPr>
                <w:color w:val="000000"/>
                <w:sz w:val="18"/>
                <w:szCs w:val="18"/>
              </w:rPr>
            </w:pPr>
            <w:r>
              <w:rPr>
                <w:rFonts w:hint="eastAsia"/>
                <w:color w:val="000000"/>
                <w:sz w:val="18"/>
                <w:szCs w:val="18"/>
              </w:rPr>
              <w:t xml:space="preserve">吸音板</w:t>
            </w:r>
            <w:r/>
          </w:p>
        </w:tc>
        <w:tc>
          <w:tcPr>
            <w:shd w:val="clear" w:color="auto" w:fill="auto"/>
            <w:tcW w:w="2520" w:type="pct"/>
            <w:vAlign w:val="center"/>
            <w:textDirection w:val="lrTb"/>
            <w:noWrap w:val="false"/>
          </w:tcPr>
          <w:p>
            <w:pPr>
              <w:jc w:val="center"/>
              <w:spacing w:before="156" w:after="156" w:line="280" w:lineRule="exact"/>
              <w:rPr>
                <w:color w:val="000000" w:themeColor="text1"/>
                <w:sz w:val="18"/>
                <w:szCs w:val="18"/>
                <w:lang w:val="en-US"/>
                <w14:textFill>
                  <w14:solidFill>
                    <w14:schemeClr w14:val="tx1"/>
                  </w14:solidFill>
                </w14:textFill>
              </w:rPr>
            </w:pPr>
            <w:r>
              <w:rPr>
                <w:rFonts w:hint="eastAsia"/>
                <w:color w:val="000000" w:themeColor="text1"/>
                <w:sz w:val="18"/>
                <w:szCs w:val="18"/>
                <w14:textFill>
                  <w14:solidFill>
                    <w14:schemeClr w14:val="tx1"/>
                  </w14:solidFill>
                </w14:textFill>
              </w:rPr>
              <w:t xml:space="preserve">轩冶、卓派、浩声</w:t>
            </w:r>
            <w:r/>
          </w:p>
        </w:tc>
      </w:tr>
      <w:tr>
        <w:trPr>
          <w:jc w:val="center"/>
          <w:trHeight w:val="510"/>
        </w:trPr>
        <w:tc>
          <w:tcPr>
            <w:shd w:val="clear" w:color="auto" w:fill="auto"/>
            <w:tcW w:w="698" w:type="pct"/>
            <w:vAlign w:val="center"/>
            <w:textDirection w:val="lrTb"/>
            <w:noWrap w:val="false"/>
          </w:tcPr>
          <w:p>
            <w:pPr>
              <w:jc w:val="center"/>
              <w:spacing w:before="156" w:after="156" w:line="280" w:lineRule="exact"/>
              <w:rPr>
                <w:color w:val="000000"/>
                <w:sz w:val="18"/>
                <w:szCs w:val="18"/>
              </w:rPr>
            </w:pPr>
            <w:r>
              <w:rPr>
                <w:rFonts w:hint="eastAsia"/>
                <w:color w:val="000000"/>
                <w:sz w:val="18"/>
                <w:szCs w:val="18"/>
              </w:rPr>
              <w:t xml:space="preserve">12</w:t>
            </w:r>
            <w:r/>
          </w:p>
        </w:tc>
        <w:tc>
          <w:tcPr>
            <w:shd w:val="clear" w:color="auto" w:fill="auto"/>
            <w:tcW w:w="1781" w:type="pct"/>
            <w:vAlign w:val="center"/>
            <w:textDirection w:val="lrTb"/>
            <w:noWrap w:val="false"/>
          </w:tcPr>
          <w:p>
            <w:pPr>
              <w:jc w:val="center"/>
              <w:spacing w:before="156" w:after="156" w:line="280" w:lineRule="exact"/>
              <w:rPr>
                <w:color w:val="000000"/>
                <w:sz w:val="18"/>
                <w:szCs w:val="18"/>
              </w:rPr>
            </w:pPr>
            <w:r>
              <w:rPr>
                <w:rFonts w:hint="eastAsia"/>
                <w:color w:val="000000"/>
                <w:sz w:val="18"/>
                <w:szCs w:val="18"/>
              </w:rPr>
              <w:t xml:space="preserve">镀锌钢管</w:t>
            </w:r>
            <w:r/>
          </w:p>
        </w:tc>
        <w:tc>
          <w:tcPr>
            <w:shd w:val="clear" w:color="auto" w:fill="auto"/>
            <w:tcW w:w="2520"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rPr>
              <w:t xml:space="preserve">友发、金洲、国强</w:t>
            </w:r>
            <w:r/>
          </w:p>
        </w:tc>
      </w:tr>
      <w:tr>
        <w:trPr>
          <w:jc w:val="center"/>
          <w:trHeight w:val="510"/>
        </w:trPr>
        <w:tc>
          <w:tcPr>
            <w:shd w:val="clear" w:color="auto" w:fill="auto"/>
            <w:tcW w:w="698" w:type="pct"/>
            <w:vAlign w:val="center"/>
            <w:textDirection w:val="lrTb"/>
            <w:noWrap w:val="false"/>
          </w:tcPr>
          <w:p>
            <w:pPr>
              <w:jc w:val="center"/>
              <w:spacing w:before="156" w:after="156" w:line="280" w:lineRule="exact"/>
              <w:rPr>
                <w:color w:val="000000"/>
                <w:sz w:val="18"/>
                <w:szCs w:val="18"/>
              </w:rPr>
            </w:pPr>
            <w:r>
              <w:rPr>
                <w:rFonts w:hint="eastAsia"/>
                <w:color w:val="000000"/>
                <w:sz w:val="18"/>
                <w:szCs w:val="18"/>
              </w:rPr>
              <w:t xml:space="preserve">13</w:t>
            </w:r>
            <w:r/>
          </w:p>
        </w:tc>
        <w:tc>
          <w:tcPr>
            <w:shd w:val="clear" w:color="auto" w:fill="auto"/>
            <w:tcW w:w="1781" w:type="pct"/>
            <w:vAlign w:val="center"/>
            <w:textDirection w:val="lrTb"/>
            <w:noWrap w:val="false"/>
          </w:tcPr>
          <w:p>
            <w:pPr>
              <w:jc w:val="center"/>
              <w:spacing w:before="156" w:after="156" w:line="280" w:lineRule="exact"/>
              <w:rPr>
                <w:color w:val="000000"/>
                <w:sz w:val="18"/>
                <w:szCs w:val="18"/>
              </w:rPr>
            </w:pPr>
            <w:r>
              <w:rPr>
                <w:rFonts w:hint="eastAsia"/>
                <w:color w:val="000000"/>
                <w:sz w:val="18"/>
                <w:szCs w:val="18"/>
              </w:rPr>
              <w:t xml:space="preserve">JDG管</w:t>
            </w:r>
            <w:r/>
          </w:p>
        </w:tc>
        <w:tc>
          <w:tcPr>
            <w:shd w:val="clear" w:color="auto" w:fill="auto"/>
            <w:tcW w:w="2520"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rPr>
              <w:t xml:space="preserve">友发、天一、正大</w:t>
            </w:r>
            <w:r/>
          </w:p>
        </w:tc>
      </w:tr>
      <w:tr>
        <w:trPr>
          <w:jc w:val="center"/>
          <w:trHeight w:val="510"/>
        </w:trPr>
        <w:tc>
          <w:tcPr>
            <w:shd w:val="clear" w:color="auto" w:fill="auto"/>
            <w:tcW w:w="698" w:type="pct"/>
            <w:vAlign w:val="center"/>
            <w:textDirection w:val="lrTb"/>
            <w:noWrap w:val="false"/>
          </w:tcPr>
          <w:p>
            <w:pPr>
              <w:jc w:val="center"/>
              <w:spacing w:before="156" w:after="156" w:line="280" w:lineRule="exact"/>
              <w:rPr>
                <w:color w:val="000000"/>
                <w:sz w:val="18"/>
                <w:szCs w:val="18"/>
              </w:rPr>
            </w:pPr>
            <w:r>
              <w:rPr>
                <w:rFonts w:hint="eastAsia"/>
                <w:color w:val="000000"/>
                <w:sz w:val="18"/>
                <w:szCs w:val="18"/>
              </w:rPr>
              <w:t xml:space="preserve">14</w:t>
            </w:r>
            <w:r/>
          </w:p>
        </w:tc>
        <w:tc>
          <w:tcPr>
            <w:shd w:val="clear" w:color="auto" w:fill="auto"/>
            <w:tcW w:w="1781" w:type="pct"/>
            <w:vAlign w:val="center"/>
            <w:textDirection w:val="lrTb"/>
            <w:noWrap w:val="false"/>
          </w:tcPr>
          <w:p>
            <w:pPr>
              <w:jc w:val="center"/>
              <w:spacing w:before="156" w:after="156" w:line="280" w:lineRule="exact"/>
              <w:rPr>
                <w:color w:val="000000"/>
                <w:sz w:val="18"/>
                <w:szCs w:val="18"/>
              </w:rPr>
            </w:pPr>
            <w:r>
              <w:rPr>
                <w:rFonts w:hint="eastAsia"/>
                <w:color w:val="000000"/>
                <w:sz w:val="18"/>
                <w:szCs w:val="18"/>
              </w:rPr>
              <w:t xml:space="preserve">消防设备</w:t>
            </w:r>
            <w:r/>
          </w:p>
        </w:tc>
        <w:tc>
          <w:tcPr>
            <w:shd w:val="clear" w:color="auto" w:fill="auto"/>
            <w:tcW w:w="2520"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rPr>
              <w:t xml:space="preserve">青鸟、海湾、国泰</w:t>
            </w:r>
            <w:r/>
          </w:p>
        </w:tc>
      </w:tr>
      <w:tr>
        <w:trPr>
          <w:jc w:val="center"/>
          <w:trHeight w:val="510"/>
        </w:trPr>
        <w:tc>
          <w:tcPr>
            <w:shd w:val="clear" w:color="auto" w:fill="auto"/>
            <w:tcW w:w="698" w:type="pct"/>
            <w:vAlign w:val="center"/>
            <w:textDirection w:val="lrTb"/>
            <w:noWrap w:val="false"/>
          </w:tcPr>
          <w:p>
            <w:pPr>
              <w:jc w:val="center"/>
              <w:spacing w:before="156" w:after="156" w:line="280" w:lineRule="exact"/>
              <w:rPr>
                <w:color w:val="000000"/>
                <w:sz w:val="18"/>
                <w:szCs w:val="18"/>
              </w:rPr>
            </w:pPr>
            <w:r>
              <w:rPr>
                <w:rFonts w:hint="eastAsia"/>
                <w:color w:val="000000"/>
                <w:sz w:val="18"/>
                <w:szCs w:val="18"/>
              </w:rPr>
              <w:t xml:space="preserve">15</w:t>
            </w:r>
            <w:r/>
          </w:p>
        </w:tc>
        <w:tc>
          <w:tcPr>
            <w:shd w:val="clear" w:color="auto" w:fill="auto"/>
            <w:tcW w:w="1781" w:type="pct"/>
            <w:vAlign w:val="center"/>
            <w:textDirection w:val="lrTb"/>
            <w:noWrap w:val="false"/>
          </w:tcPr>
          <w:p>
            <w:pPr>
              <w:jc w:val="center"/>
              <w:spacing w:before="156" w:after="156" w:line="280" w:lineRule="exact"/>
              <w:rPr>
                <w:color w:val="000000"/>
                <w:sz w:val="18"/>
                <w:szCs w:val="18"/>
              </w:rPr>
            </w:pPr>
            <w:r>
              <w:rPr>
                <w:rFonts w:hint="eastAsia"/>
                <w:color w:val="000000"/>
                <w:sz w:val="18"/>
                <w:szCs w:val="18"/>
              </w:rPr>
              <w:t xml:space="preserve">开关、插座</w:t>
            </w:r>
            <w:r/>
          </w:p>
        </w:tc>
        <w:tc>
          <w:tcPr>
            <w:shd w:val="clear" w:color="auto" w:fill="auto"/>
            <w:tcW w:w="2520"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rPr>
              <w:t xml:space="preserve">鸿雁、西门子、正泰</w:t>
            </w:r>
            <w:r/>
          </w:p>
        </w:tc>
      </w:tr>
      <w:tr>
        <w:trPr>
          <w:jc w:val="center"/>
          <w:trHeight w:val="510"/>
        </w:trPr>
        <w:tc>
          <w:tcPr>
            <w:shd w:val="clear" w:color="auto" w:fill="auto"/>
            <w:tcW w:w="698" w:type="pct"/>
            <w:vAlign w:val="center"/>
            <w:textDirection w:val="lrTb"/>
            <w:noWrap w:val="false"/>
          </w:tcPr>
          <w:p>
            <w:pPr>
              <w:jc w:val="center"/>
              <w:spacing w:before="156" w:after="156" w:line="280" w:lineRule="exact"/>
              <w:rPr>
                <w:color w:val="000000"/>
                <w:sz w:val="18"/>
                <w:szCs w:val="18"/>
              </w:rPr>
            </w:pPr>
            <w:r>
              <w:rPr>
                <w:rFonts w:hint="eastAsia"/>
                <w:color w:val="000000"/>
                <w:sz w:val="18"/>
                <w:szCs w:val="18"/>
              </w:rPr>
              <w:t xml:space="preserve">16</w:t>
            </w:r>
            <w:r/>
          </w:p>
        </w:tc>
        <w:tc>
          <w:tcPr>
            <w:shd w:val="clear" w:color="auto" w:fill="auto"/>
            <w:tcW w:w="1781" w:type="pct"/>
            <w:vAlign w:val="center"/>
            <w:textDirection w:val="lrTb"/>
            <w:noWrap w:val="false"/>
          </w:tcPr>
          <w:p>
            <w:pPr>
              <w:jc w:val="center"/>
              <w:spacing w:before="156" w:after="156" w:line="280" w:lineRule="exact"/>
              <w:rPr>
                <w:color w:val="000000"/>
                <w:sz w:val="18"/>
                <w:szCs w:val="18"/>
              </w:rPr>
            </w:pPr>
            <w:r>
              <w:rPr>
                <w:rFonts w:hint="eastAsia"/>
                <w:color w:val="000000"/>
                <w:sz w:val="18"/>
                <w:szCs w:val="18"/>
              </w:rPr>
              <w:t xml:space="preserve">配电箱</w:t>
            </w:r>
            <w:r/>
          </w:p>
        </w:tc>
        <w:tc>
          <w:tcPr>
            <w:shd w:val="clear" w:color="auto" w:fill="auto"/>
            <w:tcW w:w="2520"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rPr>
              <w:t xml:space="preserve">施耐德、西门子、正泰</w:t>
            </w:r>
            <w:r/>
          </w:p>
        </w:tc>
      </w:tr>
      <w:tr>
        <w:trPr>
          <w:jc w:val="center"/>
          <w:trHeight w:val="510"/>
        </w:trPr>
        <w:tc>
          <w:tcPr>
            <w:shd w:val="clear" w:color="auto" w:fill="auto"/>
            <w:tcW w:w="698" w:type="pct"/>
            <w:vAlign w:val="center"/>
            <w:textDirection w:val="lrTb"/>
            <w:noWrap w:val="false"/>
          </w:tcPr>
          <w:p>
            <w:pPr>
              <w:jc w:val="center"/>
              <w:spacing w:before="156" w:after="156" w:line="280" w:lineRule="exact"/>
              <w:rPr>
                <w:color w:val="000000"/>
                <w:sz w:val="18"/>
                <w:szCs w:val="18"/>
              </w:rPr>
            </w:pPr>
            <w:r>
              <w:rPr>
                <w:rFonts w:hint="eastAsia"/>
                <w:color w:val="000000"/>
                <w:sz w:val="18"/>
                <w:szCs w:val="18"/>
              </w:rPr>
              <w:t xml:space="preserve">17</w:t>
            </w:r>
            <w:r/>
          </w:p>
        </w:tc>
        <w:tc>
          <w:tcPr>
            <w:shd w:val="clear" w:color="auto" w:fill="auto"/>
            <w:tcW w:w="1781" w:type="pct"/>
            <w:vAlign w:val="center"/>
            <w:textDirection w:val="lrTb"/>
            <w:noWrap w:val="false"/>
          </w:tcPr>
          <w:p>
            <w:pPr>
              <w:jc w:val="center"/>
              <w:spacing w:before="156" w:after="156" w:line="280" w:lineRule="exact"/>
              <w:rPr>
                <w:color w:val="000000"/>
                <w:sz w:val="18"/>
                <w:szCs w:val="18"/>
              </w:rPr>
            </w:pPr>
            <w:r>
              <w:rPr>
                <w:rFonts w:hint="eastAsia"/>
                <w:color w:val="000000"/>
                <w:sz w:val="18"/>
                <w:szCs w:val="18"/>
              </w:rPr>
              <w:t xml:space="preserve">灯具</w:t>
            </w:r>
            <w:r/>
          </w:p>
        </w:tc>
        <w:tc>
          <w:tcPr>
            <w:shd w:val="clear" w:color="auto" w:fill="auto"/>
            <w:tcW w:w="2520"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rPr>
              <w:t xml:space="preserve">欧普、欧司朗、雷士</w:t>
            </w:r>
            <w:r/>
          </w:p>
        </w:tc>
      </w:tr>
      <w:tr>
        <w:trPr>
          <w:jc w:val="center"/>
          <w:trHeight w:val="510"/>
        </w:trPr>
        <w:tc>
          <w:tcPr>
            <w:shd w:val="clear" w:color="auto" w:fill="auto"/>
            <w:tcW w:w="698" w:type="pct"/>
            <w:vAlign w:val="center"/>
            <w:textDirection w:val="lrTb"/>
            <w:noWrap w:val="false"/>
          </w:tcPr>
          <w:p>
            <w:pPr>
              <w:jc w:val="center"/>
              <w:spacing w:before="156" w:after="156" w:line="280" w:lineRule="exact"/>
              <w:rPr>
                <w:color w:val="000000"/>
                <w:sz w:val="18"/>
                <w:szCs w:val="18"/>
              </w:rPr>
            </w:pPr>
            <w:r>
              <w:rPr>
                <w:rFonts w:hint="eastAsia"/>
                <w:color w:val="000000"/>
                <w:sz w:val="18"/>
                <w:szCs w:val="18"/>
              </w:rPr>
              <w:t xml:space="preserve">18</w:t>
            </w:r>
            <w:r/>
          </w:p>
        </w:tc>
        <w:tc>
          <w:tcPr>
            <w:shd w:val="clear" w:color="auto" w:fill="auto"/>
            <w:tcW w:w="1781" w:type="pct"/>
            <w:vAlign w:val="center"/>
            <w:textDirection w:val="lrTb"/>
            <w:noWrap w:val="false"/>
          </w:tcPr>
          <w:p>
            <w:pPr>
              <w:jc w:val="center"/>
              <w:spacing w:before="156" w:after="156" w:line="280" w:lineRule="exact"/>
              <w:rPr>
                <w:color w:val="000000"/>
                <w:sz w:val="18"/>
                <w:szCs w:val="18"/>
              </w:rPr>
            </w:pPr>
            <w:r>
              <w:rPr>
                <w:rFonts w:hint="eastAsia"/>
                <w:color w:val="000000"/>
                <w:sz w:val="18"/>
                <w:szCs w:val="18"/>
              </w:rPr>
              <w:t xml:space="preserve">电线</w:t>
            </w:r>
            <w:r/>
          </w:p>
        </w:tc>
        <w:tc>
          <w:tcPr>
            <w:shd w:val="clear" w:color="auto" w:fill="auto"/>
            <w:tcW w:w="2520"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rPr>
              <w:t xml:space="preserve">江南、远东、上上</w:t>
            </w:r>
            <w:r/>
          </w:p>
        </w:tc>
      </w:tr>
      <w:tr>
        <w:trPr>
          <w:jc w:val="center"/>
          <w:trHeight w:val="510"/>
        </w:trPr>
        <w:tc>
          <w:tcPr>
            <w:shd w:val="clear" w:color="auto" w:fill="auto"/>
            <w:tcW w:w="698" w:type="pct"/>
            <w:vAlign w:val="center"/>
            <w:textDirection w:val="lrTb"/>
            <w:noWrap w:val="false"/>
          </w:tcPr>
          <w:p>
            <w:pPr>
              <w:jc w:val="center"/>
              <w:spacing w:before="156" w:after="156" w:line="280" w:lineRule="exact"/>
              <w:rPr>
                <w:color w:val="000000"/>
                <w:sz w:val="18"/>
                <w:szCs w:val="18"/>
              </w:rPr>
            </w:pPr>
            <w:r>
              <w:rPr>
                <w:rFonts w:hint="eastAsia"/>
                <w:color w:val="000000"/>
                <w:sz w:val="18"/>
                <w:szCs w:val="18"/>
              </w:rPr>
              <w:t xml:space="preserve">19</w:t>
            </w:r>
            <w:r/>
          </w:p>
        </w:tc>
        <w:tc>
          <w:tcPr>
            <w:shd w:val="clear" w:color="auto" w:fill="auto"/>
            <w:tcW w:w="1781" w:type="pct"/>
            <w:vAlign w:val="center"/>
            <w:textDirection w:val="lrTb"/>
            <w:noWrap w:val="false"/>
          </w:tcPr>
          <w:p>
            <w:pPr>
              <w:jc w:val="center"/>
              <w:spacing w:before="156" w:after="156" w:line="280" w:lineRule="exact"/>
              <w:rPr>
                <w:color w:val="000000"/>
                <w:sz w:val="18"/>
                <w:szCs w:val="18"/>
              </w:rPr>
            </w:pPr>
            <w:r>
              <w:rPr>
                <w:rFonts w:hint="eastAsia"/>
                <w:color w:val="000000"/>
                <w:sz w:val="18"/>
                <w:szCs w:val="18"/>
              </w:rPr>
              <w:t xml:space="preserve">线缆</w:t>
            </w:r>
            <w:r/>
          </w:p>
        </w:tc>
        <w:tc>
          <w:tcPr>
            <w:shd w:val="clear" w:color="auto" w:fill="auto"/>
            <w:tcW w:w="2520"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rPr>
              <w:t xml:space="preserve">上上、江南、远东</w:t>
            </w:r>
            <w:r/>
          </w:p>
        </w:tc>
      </w:tr>
      <w:tr>
        <w:trPr>
          <w:jc w:val="center"/>
          <w:trHeight w:val="510"/>
        </w:trPr>
        <w:tc>
          <w:tcPr>
            <w:shd w:val="clear" w:color="auto" w:fill="auto"/>
            <w:tcW w:w="698" w:type="pct"/>
            <w:vAlign w:val="center"/>
            <w:textDirection w:val="lrTb"/>
            <w:noWrap w:val="false"/>
          </w:tcPr>
          <w:p>
            <w:pPr>
              <w:jc w:val="center"/>
              <w:spacing w:before="156" w:after="156" w:line="280" w:lineRule="exact"/>
              <w:rPr>
                <w:color w:val="000000"/>
                <w:sz w:val="18"/>
                <w:szCs w:val="18"/>
              </w:rPr>
            </w:pPr>
            <w:r>
              <w:rPr>
                <w:rFonts w:hint="eastAsia"/>
                <w:color w:val="000000"/>
                <w:sz w:val="18"/>
                <w:szCs w:val="18"/>
              </w:rPr>
              <w:t xml:space="preserve">20</w:t>
            </w:r>
            <w:r/>
          </w:p>
        </w:tc>
        <w:tc>
          <w:tcPr>
            <w:shd w:val="clear" w:color="auto" w:fill="auto"/>
            <w:tcW w:w="1781" w:type="pct"/>
            <w:vAlign w:val="center"/>
            <w:textDirection w:val="lrTb"/>
            <w:noWrap w:val="false"/>
          </w:tcPr>
          <w:p>
            <w:pPr>
              <w:jc w:val="center"/>
              <w:spacing w:before="156" w:after="156" w:line="280" w:lineRule="exact"/>
              <w:rPr>
                <w:color w:val="000000"/>
                <w:sz w:val="18"/>
                <w:szCs w:val="18"/>
              </w:rPr>
            </w:pPr>
            <w:r>
              <w:rPr>
                <w:rFonts w:hint="eastAsia"/>
                <w:color w:val="000000"/>
                <w:sz w:val="18"/>
                <w:szCs w:val="18"/>
              </w:rPr>
              <w:t xml:space="preserve">线管</w:t>
            </w:r>
            <w:r/>
          </w:p>
        </w:tc>
        <w:tc>
          <w:tcPr>
            <w:shd w:val="clear" w:color="auto" w:fill="auto"/>
            <w:tcW w:w="2520"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rPr>
              <w:t xml:space="preserve">中财、公元、联塑</w:t>
            </w:r>
            <w:r/>
          </w:p>
        </w:tc>
      </w:tr>
      <w:tr>
        <w:trPr>
          <w:jc w:val="center"/>
          <w:trHeight w:val="510"/>
        </w:trPr>
        <w:tc>
          <w:tcPr>
            <w:shd w:val="clear" w:color="auto" w:fill="auto"/>
            <w:tcW w:w="698" w:type="pct"/>
            <w:vAlign w:val="center"/>
            <w:textDirection w:val="lrTb"/>
            <w:noWrap w:val="false"/>
          </w:tcPr>
          <w:p>
            <w:pPr>
              <w:jc w:val="center"/>
              <w:spacing w:before="156" w:after="156" w:line="280" w:lineRule="exact"/>
              <w:rPr>
                <w:color w:val="000000"/>
                <w:sz w:val="18"/>
                <w:szCs w:val="18"/>
              </w:rPr>
            </w:pPr>
            <w:r>
              <w:rPr>
                <w:rFonts w:hint="eastAsia"/>
                <w:color w:val="000000"/>
                <w:sz w:val="18"/>
                <w:szCs w:val="18"/>
              </w:rPr>
              <w:t xml:space="preserve">21</w:t>
            </w:r>
            <w:r/>
          </w:p>
        </w:tc>
        <w:tc>
          <w:tcPr>
            <w:shd w:val="clear" w:color="auto" w:fill="auto"/>
            <w:tcW w:w="1781" w:type="pct"/>
            <w:vAlign w:val="center"/>
            <w:textDirection w:val="lrTb"/>
            <w:noWrap w:val="false"/>
          </w:tcPr>
          <w:p>
            <w:pPr>
              <w:jc w:val="center"/>
              <w:spacing w:before="156" w:after="156" w:line="280" w:lineRule="exact"/>
              <w:rPr>
                <w:color w:val="000000"/>
                <w:sz w:val="18"/>
                <w:szCs w:val="18"/>
              </w:rPr>
            </w:pPr>
            <w:r>
              <w:rPr>
                <w:rFonts w:hint="eastAsia"/>
                <w:color w:val="000000"/>
                <w:sz w:val="18"/>
                <w:szCs w:val="18"/>
              </w:rPr>
              <w:t xml:space="preserve">桥架</w:t>
            </w:r>
            <w:r/>
          </w:p>
        </w:tc>
        <w:tc>
          <w:tcPr>
            <w:shd w:val="clear" w:color="auto" w:fill="auto"/>
            <w:tcW w:w="2520"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rPr>
              <w:t xml:space="preserve">力拓、凤图布线、十鼎</w:t>
            </w:r>
            <w:r/>
          </w:p>
        </w:tc>
      </w:tr>
      <w:tr>
        <w:trPr>
          <w:jc w:val="center"/>
          <w:trHeight w:val="510"/>
        </w:trPr>
        <w:tc>
          <w:tcPr>
            <w:shd w:val="clear" w:color="auto" w:fill="auto"/>
            <w:tcW w:w="698" w:type="pct"/>
            <w:vAlign w:val="center"/>
            <w:textDirection w:val="lrTb"/>
            <w:noWrap w:val="false"/>
          </w:tcPr>
          <w:p>
            <w:pPr>
              <w:jc w:val="center"/>
              <w:spacing w:before="156" w:after="156" w:line="280" w:lineRule="exact"/>
              <w:rPr>
                <w:color w:val="000000"/>
                <w:sz w:val="18"/>
                <w:szCs w:val="18"/>
              </w:rPr>
            </w:pPr>
            <w:r>
              <w:rPr>
                <w:rFonts w:hint="eastAsia"/>
                <w:color w:val="000000"/>
                <w:sz w:val="18"/>
                <w:szCs w:val="18"/>
              </w:rPr>
              <w:t xml:space="preserve">22</w:t>
            </w:r>
            <w:r/>
          </w:p>
        </w:tc>
        <w:tc>
          <w:tcPr>
            <w:shd w:val="clear" w:color="auto" w:fill="auto"/>
            <w:tcW w:w="1781" w:type="pct"/>
            <w:vAlign w:val="center"/>
            <w:textDirection w:val="lrTb"/>
            <w:noWrap w:val="false"/>
          </w:tcPr>
          <w:p>
            <w:pPr>
              <w:jc w:val="center"/>
              <w:spacing w:before="156" w:after="156" w:line="280" w:lineRule="exact"/>
              <w:rPr>
                <w:color w:val="000000"/>
                <w:sz w:val="18"/>
                <w:szCs w:val="18"/>
              </w:rPr>
            </w:pPr>
            <w:r>
              <w:rPr>
                <w:rFonts w:hint="eastAsia"/>
                <w:color w:val="000000"/>
                <w:sz w:val="18"/>
                <w:szCs w:val="18"/>
              </w:rPr>
              <w:t xml:space="preserve">LED会标屏/大屏、备品备件</w:t>
            </w:r>
            <w:r/>
          </w:p>
        </w:tc>
        <w:tc>
          <w:tcPr>
            <w:shd w:val="clear" w:color="auto" w:fill="auto"/>
            <w:tcW w:w="2520"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rPr>
              <w:t xml:space="preserve">TCL、强力巨彩、玖润</w:t>
            </w:r>
            <w:r/>
          </w:p>
        </w:tc>
      </w:tr>
      <w:tr>
        <w:trPr>
          <w:jc w:val="center"/>
          <w:trHeight w:val="510"/>
        </w:trPr>
        <w:tc>
          <w:tcPr>
            <w:shd w:val="clear" w:color="auto" w:fill="auto"/>
            <w:tcW w:w="698" w:type="pct"/>
            <w:vAlign w:val="center"/>
            <w:textDirection w:val="lrTb"/>
            <w:noWrap w:val="false"/>
          </w:tcPr>
          <w:p>
            <w:pPr>
              <w:jc w:val="center"/>
              <w:spacing w:before="156" w:after="156" w:line="280" w:lineRule="exact"/>
              <w:rPr>
                <w:color w:val="000000"/>
                <w:sz w:val="18"/>
                <w:szCs w:val="18"/>
              </w:rPr>
            </w:pPr>
            <w:r>
              <w:rPr>
                <w:rFonts w:hint="eastAsia"/>
                <w:color w:val="000000"/>
                <w:sz w:val="18"/>
                <w:szCs w:val="18"/>
              </w:rPr>
              <w:t xml:space="preserve">23</w:t>
            </w:r>
            <w:r/>
          </w:p>
        </w:tc>
        <w:tc>
          <w:tcPr>
            <w:shd w:val="clear" w:color="auto" w:fill="auto"/>
            <w:tcW w:w="1781" w:type="pct"/>
            <w:vAlign w:val="center"/>
            <w:textDirection w:val="lrTb"/>
            <w:noWrap w:val="false"/>
          </w:tcPr>
          <w:p>
            <w:pPr>
              <w:jc w:val="center"/>
              <w:spacing w:before="156" w:after="156" w:line="280" w:lineRule="exact"/>
              <w:rPr>
                <w:color w:val="000000"/>
                <w:sz w:val="18"/>
                <w:szCs w:val="18"/>
              </w:rPr>
            </w:pPr>
            <w:r>
              <w:rPr>
                <w:rFonts w:hint="eastAsia"/>
                <w:color w:val="000000"/>
                <w:sz w:val="18"/>
                <w:szCs w:val="18"/>
              </w:rPr>
              <w:t xml:space="preserve">LED控制系统</w:t>
            </w:r>
            <w:r/>
          </w:p>
        </w:tc>
        <w:tc>
          <w:tcPr>
            <w:shd w:val="clear" w:color="auto" w:fill="auto"/>
            <w:tcW w:w="2520"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rPr>
              <w:t xml:space="preserve">诺瓦、卡莱特、强力巨彩</w:t>
            </w:r>
            <w:r/>
          </w:p>
        </w:tc>
      </w:tr>
      <w:tr>
        <w:trPr>
          <w:jc w:val="center"/>
          <w:trHeight w:val="510"/>
        </w:trPr>
        <w:tc>
          <w:tcPr>
            <w:shd w:val="clear" w:color="auto" w:fill="auto"/>
            <w:tcW w:w="698" w:type="pct"/>
            <w:vAlign w:val="center"/>
            <w:textDirection w:val="lrTb"/>
            <w:noWrap w:val="false"/>
          </w:tcPr>
          <w:p>
            <w:pPr>
              <w:jc w:val="center"/>
              <w:spacing w:before="156" w:after="156" w:line="280" w:lineRule="exact"/>
              <w:rPr>
                <w:color w:val="000000"/>
                <w:sz w:val="18"/>
                <w:szCs w:val="18"/>
              </w:rPr>
            </w:pPr>
            <w:r>
              <w:rPr>
                <w:rFonts w:hint="eastAsia"/>
                <w:color w:val="000000"/>
                <w:sz w:val="18"/>
                <w:szCs w:val="18"/>
              </w:rPr>
              <w:t xml:space="preserve">24</w:t>
            </w:r>
            <w:r/>
          </w:p>
        </w:tc>
        <w:tc>
          <w:tcPr>
            <w:shd w:val="clear" w:color="auto" w:fill="auto"/>
            <w:tcW w:w="1781" w:type="pct"/>
            <w:vAlign w:val="center"/>
            <w:textDirection w:val="lrTb"/>
            <w:noWrap w:val="false"/>
          </w:tcPr>
          <w:p>
            <w:pPr>
              <w:jc w:val="center"/>
              <w:spacing w:before="156" w:after="156" w:line="280" w:lineRule="exact"/>
              <w:rPr>
                <w:color w:val="000000"/>
                <w:sz w:val="18"/>
                <w:szCs w:val="18"/>
              </w:rPr>
            </w:pPr>
            <w:r>
              <w:rPr>
                <w:rFonts w:hint="eastAsia"/>
                <w:color w:val="000000"/>
                <w:sz w:val="18"/>
                <w:szCs w:val="18"/>
              </w:rPr>
              <w:t xml:space="preserve">控制软件</w:t>
            </w:r>
            <w:r/>
          </w:p>
        </w:tc>
        <w:tc>
          <w:tcPr>
            <w:shd w:val="clear" w:color="auto" w:fill="auto"/>
            <w:tcW w:w="2520"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rPr>
              <w:t xml:space="preserve">九洲、诺瓦、卡莱特</w:t>
            </w:r>
            <w:r/>
          </w:p>
        </w:tc>
      </w:tr>
      <w:tr>
        <w:trPr>
          <w:jc w:val="center"/>
          <w:trHeight w:val="510"/>
        </w:trPr>
        <w:tc>
          <w:tcPr>
            <w:shd w:val="clear" w:color="auto" w:fill="auto"/>
            <w:tcW w:w="698" w:type="pct"/>
            <w:vAlign w:val="center"/>
            <w:textDirection w:val="lrTb"/>
            <w:noWrap w:val="false"/>
          </w:tcPr>
          <w:p>
            <w:pPr>
              <w:jc w:val="center"/>
              <w:spacing w:before="156" w:after="156" w:line="280" w:lineRule="exact"/>
              <w:rPr>
                <w:color w:val="000000"/>
                <w:sz w:val="18"/>
                <w:szCs w:val="18"/>
              </w:rPr>
            </w:pPr>
            <w:r>
              <w:rPr>
                <w:rFonts w:hint="eastAsia"/>
                <w:color w:val="000000"/>
                <w:sz w:val="18"/>
                <w:szCs w:val="18"/>
              </w:rPr>
              <w:t xml:space="preserve">25</w:t>
            </w:r>
            <w:r/>
          </w:p>
        </w:tc>
        <w:tc>
          <w:tcPr>
            <w:shd w:val="clear" w:color="auto" w:fill="auto"/>
            <w:tcW w:w="1781" w:type="pct"/>
            <w:vAlign w:val="center"/>
            <w:textDirection w:val="lrTb"/>
            <w:noWrap w:val="false"/>
          </w:tcPr>
          <w:p>
            <w:pPr>
              <w:jc w:val="center"/>
              <w:spacing w:before="156" w:after="156" w:line="280" w:lineRule="exact"/>
              <w:rPr>
                <w:color w:val="000000"/>
                <w:sz w:val="18"/>
                <w:szCs w:val="18"/>
              </w:rPr>
            </w:pPr>
            <w:r>
              <w:rPr>
                <w:rFonts w:hint="eastAsia"/>
                <w:color w:val="000000"/>
                <w:sz w:val="18"/>
                <w:szCs w:val="18"/>
              </w:rPr>
              <w:t xml:space="preserve">播放主机</w:t>
            </w:r>
            <w:r/>
          </w:p>
        </w:tc>
        <w:tc>
          <w:tcPr>
            <w:shd w:val="clear" w:color="auto" w:fill="auto"/>
            <w:tcW w:w="2520"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rPr>
              <w:t xml:space="preserve">联想、惠普、华硕</w:t>
            </w:r>
            <w:r/>
          </w:p>
        </w:tc>
      </w:tr>
      <w:tr>
        <w:trPr>
          <w:jc w:val="center"/>
          <w:trHeight w:val="510"/>
        </w:trPr>
        <w:tc>
          <w:tcPr>
            <w:shd w:val="clear" w:color="auto" w:fill="auto"/>
            <w:tcW w:w="698" w:type="pct"/>
            <w:vAlign w:val="center"/>
            <w:textDirection w:val="lrTb"/>
            <w:noWrap w:val="false"/>
          </w:tcPr>
          <w:p>
            <w:pPr>
              <w:jc w:val="center"/>
              <w:spacing w:before="156" w:after="156" w:line="280" w:lineRule="exact"/>
              <w:rPr>
                <w:color w:val="000000"/>
                <w:sz w:val="18"/>
                <w:szCs w:val="18"/>
              </w:rPr>
            </w:pPr>
            <w:r>
              <w:rPr>
                <w:rFonts w:hint="eastAsia"/>
                <w:color w:val="000000"/>
                <w:sz w:val="18"/>
                <w:szCs w:val="18"/>
              </w:rPr>
              <w:t xml:space="preserve">26</w:t>
            </w:r>
            <w:r/>
          </w:p>
        </w:tc>
        <w:tc>
          <w:tcPr>
            <w:shd w:val="clear" w:color="auto" w:fill="auto"/>
            <w:tcW w:w="1781" w:type="pct"/>
            <w:vAlign w:val="center"/>
            <w:textDirection w:val="lrTb"/>
            <w:noWrap w:val="false"/>
          </w:tcPr>
          <w:p>
            <w:pPr>
              <w:jc w:val="center"/>
              <w:spacing w:before="156" w:after="156" w:line="280" w:lineRule="exact"/>
              <w:rPr>
                <w:color w:val="000000"/>
                <w:sz w:val="18"/>
                <w:szCs w:val="18"/>
              </w:rPr>
            </w:pPr>
            <w:r>
              <w:rPr>
                <w:rFonts w:hint="eastAsia"/>
                <w:color w:val="000000"/>
                <w:sz w:val="18"/>
                <w:szCs w:val="18"/>
              </w:rPr>
              <w:t xml:space="preserve">电源控制箱</w:t>
            </w:r>
            <w:r/>
          </w:p>
        </w:tc>
        <w:tc>
          <w:tcPr>
            <w:shd w:val="clear" w:color="auto" w:fill="auto"/>
            <w:tcW w:w="2520"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rPr>
              <w:t xml:space="preserve">天畅、强力巨彩、玖润</w:t>
            </w:r>
            <w:r/>
          </w:p>
        </w:tc>
      </w:tr>
      <w:tr>
        <w:trPr>
          <w:jc w:val="center"/>
          <w:trHeight w:val="510"/>
        </w:trPr>
        <w:tc>
          <w:tcPr>
            <w:shd w:val="clear" w:color="auto" w:fill="auto"/>
            <w:tcW w:w="698" w:type="pct"/>
            <w:vAlign w:val="center"/>
            <w:textDirection w:val="lrTb"/>
            <w:noWrap w:val="false"/>
          </w:tcPr>
          <w:p>
            <w:pPr>
              <w:jc w:val="center"/>
              <w:spacing w:before="156" w:after="156" w:line="280" w:lineRule="exact"/>
              <w:rPr>
                <w:color w:val="000000"/>
                <w:sz w:val="18"/>
                <w:szCs w:val="18"/>
              </w:rPr>
            </w:pPr>
            <w:r>
              <w:rPr>
                <w:rFonts w:hint="eastAsia"/>
                <w:color w:val="000000"/>
                <w:sz w:val="18"/>
                <w:szCs w:val="18"/>
              </w:rPr>
              <w:t xml:space="preserve">27</w:t>
            </w:r>
            <w:r/>
          </w:p>
        </w:tc>
        <w:tc>
          <w:tcPr>
            <w:shd w:val="clear" w:color="auto" w:fill="auto"/>
            <w:tcW w:w="1781" w:type="pct"/>
            <w:vAlign w:val="center"/>
            <w:textDirection w:val="lrTb"/>
            <w:noWrap w:val="false"/>
          </w:tcPr>
          <w:p>
            <w:pPr>
              <w:jc w:val="center"/>
              <w:spacing w:line="280" w:lineRule="exact"/>
              <w:widowControl/>
              <w:rPr>
                <w:color w:val="000000"/>
                <w:sz w:val="18"/>
                <w:szCs w:val="18"/>
              </w:rPr>
            </w:pPr>
            <w:r>
              <w:rPr>
                <w:rFonts w:hint="eastAsia"/>
                <w:color w:val="000000"/>
                <w:sz w:val="18"/>
                <w:szCs w:val="18"/>
                <w:lang w:bidi="ar"/>
              </w:rPr>
              <w:t xml:space="preserve">线阵列音箱</w:t>
            </w:r>
            <w:r/>
          </w:p>
        </w:tc>
        <w:tc>
          <w:tcPr>
            <w:shd w:val="clear" w:color="auto" w:fill="auto"/>
            <w:tcW w:w="2520"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rPr>
              <w:t xml:space="preserve">湖山、锐丰、京邦</w:t>
            </w:r>
            <w:r/>
          </w:p>
        </w:tc>
      </w:tr>
      <w:tr>
        <w:trPr>
          <w:jc w:val="center"/>
          <w:trHeight w:val="510"/>
        </w:trPr>
        <w:tc>
          <w:tcPr>
            <w:shd w:val="clear" w:color="auto" w:fill="auto"/>
            <w:tcW w:w="698" w:type="pct"/>
            <w:vAlign w:val="center"/>
            <w:textDirection w:val="lrTb"/>
            <w:noWrap w:val="false"/>
          </w:tcPr>
          <w:p>
            <w:pPr>
              <w:jc w:val="center"/>
              <w:spacing w:before="156" w:after="156" w:line="280" w:lineRule="exact"/>
              <w:rPr>
                <w:color w:val="000000"/>
                <w:sz w:val="18"/>
                <w:szCs w:val="18"/>
              </w:rPr>
            </w:pPr>
            <w:r>
              <w:rPr>
                <w:rFonts w:hint="eastAsia"/>
                <w:color w:val="000000"/>
                <w:sz w:val="18"/>
                <w:szCs w:val="18"/>
              </w:rPr>
              <w:t xml:space="preserve">28</w:t>
            </w:r>
            <w:r/>
          </w:p>
        </w:tc>
        <w:tc>
          <w:tcPr>
            <w:shd w:val="clear" w:color="auto" w:fill="auto"/>
            <w:tcW w:w="1781" w:type="pct"/>
            <w:vAlign w:val="center"/>
            <w:textDirection w:val="lrTb"/>
            <w:noWrap w:val="false"/>
          </w:tcPr>
          <w:p>
            <w:pPr>
              <w:jc w:val="center"/>
              <w:spacing w:line="280" w:lineRule="exact"/>
              <w:widowControl/>
              <w:rPr>
                <w:color w:val="000000"/>
                <w:sz w:val="18"/>
                <w:szCs w:val="18"/>
              </w:rPr>
            </w:pPr>
            <w:r>
              <w:rPr>
                <w:rFonts w:hint="eastAsia"/>
                <w:color w:val="000000"/>
                <w:sz w:val="18"/>
                <w:szCs w:val="18"/>
                <w:lang w:bidi="ar"/>
              </w:rPr>
              <w:t xml:space="preserve">线阵列低音音箱</w:t>
            </w:r>
            <w:r/>
          </w:p>
        </w:tc>
        <w:tc>
          <w:tcPr>
            <w:shd w:val="clear" w:color="auto" w:fill="auto"/>
            <w:tcW w:w="2520"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rPr>
              <w:t xml:space="preserve">湖山、锐丰、京邦</w:t>
            </w:r>
            <w:r/>
          </w:p>
        </w:tc>
      </w:tr>
      <w:tr>
        <w:trPr>
          <w:jc w:val="center"/>
          <w:trHeight w:val="510"/>
        </w:trPr>
        <w:tc>
          <w:tcPr>
            <w:shd w:val="clear" w:color="auto" w:fill="auto"/>
            <w:tcW w:w="698" w:type="pct"/>
            <w:vAlign w:val="center"/>
            <w:textDirection w:val="lrTb"/>
            <w:noWrap w:val="false"/>
          </w:tcPr>
          <w:p>
            <w:pPr>
              <w:jc w:val="center"/>
              <w:spacing w:before="156" w:after="156" w:line="280" w:lineRule="exact"/>
              <w:rPr>
                <w:color w:val="000000"/>
                <w:sz w:val="18"/>
                <w:szCs w:val="18"/>
              </w:rPr>
            </w:pPr>
            <w:r>
              <w:rPr>
                <w:rFonts w:hint="eastAsia"/>
                <w:color w:val="000000"/>
                <w:sz w:val="18"/>
                <w:szCs w:val="18"/>
              </w:rPr>
              <w:t xml:space="preserve">29</w:t>
            </w:r>
            <w:r/>
          </w:p>
        </w:tc>
        <w:tc>
          <w:tcPr>
            <w:shd w:val="clear" w:color="auto" w:fill="auto"/>
            <w:tcW w:w="1781" w:type="pct"/>
            <w:vAlign w:val="center"/>
            <w:textDirection w:val="lrTb"/>
            <w:noWrap w:val="false"/>
          </w:tcPr>
          <w:p>
            <w:pPr>
              <w:jc w:val="center"/>
              <w:spacing w:line="280" w:lineRule="exact"/>
              <w:widowControl/>
              <w:rPr>
                <w:color w:val="000000"/>
                <w:sz w:val="18"/>
                <w:szCs w:val="18"/>
              </w:rPr>
            </w:pPr>
            <w:r>
              <w:rPr>
                <w:rFonts w:hint="eastAsia"/>
                <w:color w:val="000000"/>
                <w:sz w:val="18"/>
                <w:szCs w:val="18"/>
                <w:lang w:bidi="ar"/>
              </w:rPr>
              <w:t xml:space="preserve">功率放大器A</w:t>
            </w:r>
            <w:r/>
          </w:p>
        </w:tc>
        <w:tc>
          <w:tcPr>
            <w:shd w:val="clear" w:color="auto" w:fill="auto"/>
            <w:tcW w:w="2520"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rPr>
              <w:t xml:space="preserve">湖山、锐丰、京邦</w:t>
            </w:r>
            <w:r/>
          </w:p>
        </w:tc>
      </w:tr>
      <w:tr>
        <w:trPr>
          <w:jc w:val="center"/>
          <w:trHeight w:val="510"/>
        </w:trPr>
        <w:tc>
          <w:tcPr>
            <w:shd w:val="clear" w:color="auto" w:fill="auto"/>
            <w:tcW w:w="698" w:type="pct"/>
            <w:vAlign w:val="center"/>
            <w:textDirection w:val="lrTb"/>
            <w:noWrap w:val="false"/>
          </w:tcPr>
          <w:p>
            <w:pPr>
              <w:jc w:val="center"/>
              <w:spacing w:before="156" w:after="156" w:line="280" w:lineRule="exact"/>
              <w:rPr>
                <w:color w:val="000000"/>
                <w:sz w:val="18"/>
                <w:szCs w:val="18"/>
              </w:rPr>
            </w:pPr>
            <w:r>
              <w:rPr>
                <w:rFonts w:hint="eastAsia"/>
                <w:color w:val="000000"/>
                <w:sz w:val="18"/>
                <w:szCs w:val="18"/>
              </w:rPr>
              <w:t xml:space="preserve">30</w:t>
            </w:r>
            <w:r/>
          </w:p>
        </w:tc>
        <w:tc>
          <w:tcPr>
            <w:shd w:val="clear" w:color="auto" w:fill="auto"/>
            <w:tcW w:w="1781" w:type="pct"/>
            <w:vAlign w:val="center"/>
            <w:textDirection w:val="lrTb"/>
            <w:noWrap w:val="false"/>
          </w:tcPr>
          <w:p>
            <w:pPr>
              <w:jc w:val="center"/>
              <w:spacing w:line="280" w:lineRule="exact"/>
              <w:widowControl/>
              <w:rPr>
                <w:color w:val="000000"/>
                <w:sz w:val="18"/>
                <w:szCs w:val="18"/>
              </w:rPr>
            </w:pPr>
            <w:r>
              <w:rPr>
                <w:rFonts w:hint="eastAsia"/>
                <w:color w:val="000000"/>
                <w:sz w:val="18"/>
                <w:szCs w:val="18"/>
                <w:lang w:bidi="ar"/>
              </w:rPr>
              <w:t xml:space="preserve">功率放大器B</w:t>
            </w:r>
            <w:r/>
          </w:p>
        </w:tc>
        <w:tc>
          <w:tcPr>
            <w:shd w:val="clear" w:color="auto" w:fill="auto"/>
            <w:tcW w:w="2520"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rPr>
              <w:t xml:space="preserve">湖山、锐丰、京邦</w:t>
            </w:r>
            <w:r/>
          </w:p>
        </w:tc>
      </w:tr>
      <w:tr>
        <w:trPr>
          <w:jc w:val="center"/>
          <w:trHeight w:val="510"/>
        </w:trPr>
        <w:tc>
          <w:tcPr>
            <w:shd w:val="clear" w:color="auto" w:fill="auto"/>
            <w:tcW w:w="698" w:type="pct"/>
            <w:vAlign w:val="center"/>
            <w:textDirection w:val="lrTb"/>
            <w:noWrap w:val="false"/>
          </w:tcPr>
          <w:p>
            <w:pPr>
              <w:jc w:val="center"/>
              <w:spacing w:before="156" w:after="156" w:line="280" w:lineRule="exact"/>
              <w:rPr>
                <w:color w:val="000000"/>
                <w:sz w:val="18"/>
                <w:szCs w:val="18"/>
              </w:rPr>
            </w:pPr>
            <w:r>
              <w:rPr>
                <w:rFonts w:hint="eastAsia"/>
                <w:color w:val="000000"/>
                <w:sz w:val="18"/>
                <w:szCs w:val="18"/>
              </w:rPr>
              <w:t xml:space="preserve">31</w:t>
            </w:r>
            <w:r/>
          </w:p>
        </w:tc>
        <w:tc>
          <w:tcPr>
            <w:shd w:val="clear" w:color="auto" w:fill="auto"/>
            <w:tcW w:w="1781" w:type="pct"/>
            <w:vAlign w:val="center"/>
            <w:textDirection w:val="lrTb"/>
            <w:noWrap w:val="false"/>
          </w:tcPr>
          <w:p>
            <w:pPr>
              <w:jc w:val="center"/>
              <w:spacing w:line="280" w:lineRule="exact"/>
              <w:widowControl/>
              <w:rPr>
                <w:color w:val="000000"/>
                <w:sz w:val="18"/>
                <w:szCs w:val="18"/>
              </w:rPr>
            </w:pPr>
            <w:r>
              <w:rPr>
                <w:rFonts w:hint="eastAsia"/>
                <w:color w:val="000000"/>
                <w:sz w:val="18"/>
                <w:szCs w:val="18"/>
                <w:lang w:bidi="ar"/>
              </w:rPr>
              <w:t xml:space="preserve">专业音箱A</w:t>
            </w:r>
            <w:r/>
          </w:p>
        </w:tc>
        <w:tc>
          <w:tcPr>
            <w:shd w:val="clear" w:color="auto" w:fill="auto"/>
            <w:tcW w:w="2520"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rPr>
              <w:t xml:space="preserve">湖山、锐丰、京邦</w:t>
            </w:r>
            <w:r/>
          </w:p>
        </w:tc>
      </w:tr>
      <w:tr>
        <w:trPr>
          <w:jc w:val="center"/>
          <w:trHeight w:val="510"/>
        </w:trPr>
        <w:tc>
          <w:tcPr>
            <w:shd w:val="clear" w:color="auto" w:fill="auto"/>
            <w:tcW w:w="698" w:type="pct"/>
            <w:vAlign w:val="center"/>
            <w:textDirection w:val="lrTb"/>
            <w:noWrap w:val="false"/>
          </w:tcPr>
          <w:p>
            <w:pPr>
              <w:jc w:val="center"/>
              <w:spacing w:before="156" w:after="156" w:line="280" w:lineRule="exact"/>
              <w:rPr>
                <w:color w:val="000000"/>
                <w:sz w:val="18"/>
                <w:szCs w:val="18"/>
              </w:rPr>
            </w:pPr>
            <w:r>
              <w:rPr>
                <w:rFonts w:hint="eastAsia"/>
                <w:color w:val="000000"/>
                <w:sz w:val="18"/>
                <w:szCs w:val="18"/>
              </w:rPr>
              <w:t xml:space="preserve">32</w:t>
            </w:r>
            <w:r/>
          </w:p>
        </w:tc>
        <w:tc>
          <w:tcPr>
            <w:shd w:val="clear" w:color="auto" w:fill="auto"/>
            <w:tcW w:w="1781" w:type="pct"/>
            <w:vAlign w:val="center"/>
            <w:textDirection w:val="lrTb"/>
            <w:noWrap w:val="false"/>
          </w:tcPr>
          <w:p>
            <w:pPr>
              <w:jc w:val="center"/>
              <w:spacing w:line="280" w:lineRule="exact"/>
              <w:widowControl/>
              <w:rPr>
                <w:color w:val="000000"/>
                <w:sz w:val="18"/>
                <w:szCs w:val="18"/>
              </w:rPr>
            </w:pPr>
            <w:r>
              <w:rPr>
                <w:rFonts w:hint="eastAsia"/>
                <w:color w:val="000000"/>
                <w:sz w:val="18"/>
                <w:szCs w:val="18"/>
                <w:lang w:bidi="ar"/>
              </w:rPr>
              <w:t xml:space="preserve">专业音箱B</w:t>
            </w:r>
            <w:r/>
          </w:p>
        </w:tc>
        <w:tc>
          <w:tcPr>
            <w:shd w:val="clear" w:color="auto" w:fill="auto"/>
            <w:tcW w:w="2520"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rPr>
              <w:t xml:space="preserve">湖山、锐丰、京邦</w:t>
            </w:r>
            <w:r/>
          </w:p>
        </w:tc>
      </w:tr>
      <w:tr>
        <w:trPr>
          <w:jc w:val="center"/>
          <w:trHeight w:val="510"/>
        </w:trPr>
        <w:tc>
          <w:tcPr>
            <w:shd w:val="clear" w:color="auto" w:fill="auto"/>
            <w:tcW w:w="698" w:type="pct"/>
            <w:vAlign w:val="center"/>
            <w:textDirection w:val="lrTb"/>
            <w:noWrap w:val="false"/>
          </w:tcPr>
          <w:p>
            <w:pPr>
              <w:jc w:val="center"/>
              <w:spacing w:before="156" w:after="156" w:line="280" w:lineRule="exact"/>
              <w:rPr>
                <w:color w:val="000000"/>
                <w:sz w:val="18"/>
                <w:szCs w:val="18"/>
              </w:rPr>
            </w:pPr>
            <w:r>
              <w:rPr>
                <w:rFonts w:hint="eastAsia"/>
                <w:color w:val="000000"/>
                <w:sz w:val="18"/>
                <w:szCs w:val="18"/>
              </w:rPr>
              <w:t xml:space="preserve">33</w:t>
            </w:r>
            <w:r/>
          </w:p>
        </w:tc>
        <w:tc>
          <w:tcPr>
            <w:shd w:val="clear" w:color="auto" w:fill="auto"/>
            <w:tcW w:w="1781" w:type="pct"/>
            <w:vAlign w:val="center"/>
            <w:textDirection w:val="lrTb"/>
            <w:noWrap w:val="false"/>
          </w:tcPr>
          <w:p>
            <w:pPr>
              <w:jc w:val="center"/>
              <w:spacing w:line="280" w:lineRule="exact"/>
              <w:widowControl/>
              <w:rPr>
                <w:color w:val="000000"/>
                <w:sz w:val="18"/>
                <w:szCs w:val="18"/>
              </w:rPr>
            </w:pPr>
            <w:r>
              <w:rPr>
                <w:rFonts w:hint="eastAsia"/>
                <w:color w:val="000000"/>
                <w:sz w:val="18"/>
                <w:szCs w:val="18"/>
                <w:lang w:bidi="ar"/>
              </w:rPr>
              <w:t xml:space="preserve">数字音频处理器</w:t>
            </w:r>
            <w:r/>
          </w:p>
        </w:tc>
        <w:tc>
          <w:tcPr>
            <w:shd w:val="clear" w:color="auto" w:fill="auto"/>
            <w:tcW w:w="2520"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rPr>
              <w:t xml:space="preserve">湖山、锐丰、京邦</w:t>
            </w:r>
            <w:r/>
          </w:p>
        </w:tc>
      </w:tr>
      <w:tr>
        <w:trPr>
          <w:jc w:val="center"/>
          <w:trHeight w:val="510"/>
        </w:trPr>
        <w:tc>
          <w:tcPr>
            <w:shd w:val="clear" w:color="auto" w:fill="auto"/>
            <w:tcW w:w="698" w:type="pct"/>
            <w:vAlign w:val="center"/>
            <w:textDirection w:val="lrTb"/>
            <w:noWrap w:val="false"/>
          </w:tcPr>
          <w:p>
            <w:pPr>
              <w:jc w:val="center"/>
              <w:spacing w:before="156" w:after="156" w:line="280" w:lineRule="exact"/>
              <w:rPr>
                <w:color w:val="000000"/>
                <w:sz w:val="18"/>
                <w:szCs w:val="18"/>
              </w:rPr>
            </w:pPr>
            <w:r>
              <w:rPr>
                <w:rFonts w:hint="eastAsia"/>
                <w:color w:val="000000"/>
                <w:sz w:val="18"/>
                <w:szCs w:val="18"/>
              </w:rPr>
              <w:t xml:space="preserve">34</w:t>
            </w:r>
            <w:r/>
          </w:p>
        </w:tc>
        <w:tc>
          <w:tcPr>
            <w:shd w:val="clear" w:color="auto" w:fill="auto"/>
            <w:tcW w:w="1781" w:type="pct"/>
            <w:vAlign w:val="center"/>
            <w:textDirection w:val="lrTb"/>
            <w:noWrap w:val="false"/>
          </w:tcPr>
          <w:p>
            <w:pPr>
              <w:jc w:val="center"/>
              <w:spacing w:line="280" w:lineRule="exact"/>
              <w:widowControl/>
              <w:rPr>
                <w:color w:val="000000"/>
                <w:sz w:val="18"/>
                <w:szCs w:val="18"/>
              </w:rPr>
            </w:pPr>
            <w:r>
              <w:rPr>
                <w:rFonts w:hint="eastAsia"/>
                <w:color w:val="000000"/>
                <w:sz w:val="18"/>
                <w:szCs w:val="18"/>
                <w:lang w:bidi="ar"/>
              </w:rPr>
              <w:t xml:space="preserve">数字调音台</w:t>
            </w:r>
            <w:r/>
          </w:p>
        </w:tc>
        <w:tc>
          <w:tcPr>
            <w:shd w:val="clear" w:color="auto" w:fill="auto"/>
            <w:tcW w:w="2520"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rPr>
              <w:t xml:space="preserve">湖山、锐丰、京邦</w:t>
            </w:r>
            <w:r/>
          </w:p>
        </w:tc>
      </w:tr>
      <w:tr>
        <w:trPr>
          <w:jc w:val="center"/>
          <w:trHeight w:val="510"/>
        </w:trPr>
        <w:tc>
          <w:tcPr>
            <w:shd w:val="clear" w:color="auto" w:fill="auto"/>
            <w:tcW w:w="698" w:type="pct"/>
            <w:vAlign w:val="center"/>
            <w:textDirection w:val="lrTb"/>
            <w:noWrap w:val="false"/>
          </w:tcPr>
          <w:p>
            <w:pPr>
              <w:jc w:val="center"/>
              <w:spacing w:before="156" w:after="156" w:line="280" w:lineRule="exact"/>
              <w:rPr>
                <w:color w:val="000000"/>
                <w:sz w:val="18"/>
                <w:szCs w:val="18"/>
              </w:rPr>
            </w:pPr>
            <w:r>
              <w:rPr>
                <w:rFonts w:hint="eastAsia"/>
                <w:color w:val="000000"/>
                <w:sz w:val="18"/>
                <w:szCs w:val="18"/>
              </w:rPr>
              <w:t xml:space="preserve">35</w:t>
            </w:r>
            <w:r/>
          </w:p>
        </w:tc>
        <w:tc>
          <w:tcPr>
            <w:shd w:val="clear" w:color="auto" w:fill="auto"/>
            <w:tcW w:w="1781" w:type="pct"/>
            <w:vAlign w:val="center"/>
            <w:textDirection w:val="lrTb"/>
            <w:noWrap w:val="false"/>
          </w:tcPr>
          <w:p>
            <w:pPr>
              <w:jc w:val="center"/>
              <w:spacing w:line="280" w:lineRule="exact"/>
              <w:widowControl/>
              <w:rPr>
                <w:color w:val="000000"/>
                <w:sz w:val="18"/>
                <w:szCs w:val="18"/>
              </w:rPr>
            </w:pPr>
            <w:r>
              <w:rPr>
                <w:rFonts w:hint="eastAsia"/>
                <w:color w:val="000000"/>
                <w:sz w:val="18"/>
                <w:szCs w:val="18"/>
                <w:lang w:bidi="ar"/>
              </w:rPr>
              <w:t xml:space="preserve">数字音频矩阵处理器</w:t>
            </w:r>
            <w:r/>
          </w:p>
        </w:tc>
        <w:tc>
          <w:tcPr>
            <w:shd w:val="clear" w:color="auto" w:fill="auto"/>
            <w:tcW w:w="2520"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rPr>
              <w:t xml:space="preserve">湖山、锐丰、京邦</w:t>
            </w:r>
            <w:r/>
          </w:p>
        </w:tc>
      </w:tr>
      <w:tr>
        <w:trPr>
          <w:jc w:val="center"/>
          <w:trHeight w:val="510"/>
        </w:trPr>
        <w:tc>
          <w:tcPr>
            <w:shd w:val="clear" w:color="auto" w:fill="auto"/>
            <w:tcW w:w="698" w:type="pct"/>
            <w:vAlign w:val="center"/>
            <w:textDirection w:val="lrTb"/>
            <w:noWrap w:val="false"/>
          </w:tcPr>
          <w:p>
            <w:pPr>
              <w:jc w:val="center"/>
              <w:spacing w:before="156" w:after="156" w:line="280" w:lineRule="exact"/>
              <w:rPr>
                <w:color w:val="000000"/>
                <w:sz w:val="18"/>
                <w:szCs w:val="18"/>
              </w:rPr>
            </w:pPr>
            <w:r>
              <w:rPr>
                <w:rFonts w:hint="eastAsia"/>
                <w:color w:val="000000"/>
                <w:sz w:val="18"/>
                <w:szCs w:val="18"/>
              </w:rPr>
              <w:t xml:space="preserve">36</w:t>
            </w:r>
            <w:r/>
          </w:p>
        </w:tc>
        <w:tc>
          <w:tcPr>
            <w:shd w:val="clear" w:color="auto" w:fill="auto"/>
            <w:tcW w:w="1781" w:type="pct"/>
            <w:vAlign w:val="center"/>
            <w:textDirection w:val="lrTb"/>
            <w:noWrap w:val="false"/>
          </w:tcPr>
          <w:p>
            <w:pPr>
              <w:jc w:val="center"/>
              <w:spacing w:line="280" w:lineRule="exact"/>
              <w:widowControl/>
              <w:rPr>
                <w:color w:val="000000"/>
                <w:sz w:val="18"/>
                <w:szCs w:val="18"/>
              </w:rPr>
            </w:pPr>
            <w:r>
              <w:rPr>
                <w:rFonts w:hint="eastAsia"/>
                <w:color w:val="000000"/>
                <w:sz w:val="18"/>
                <w:szCs w:val="18"/>
                <w:lang w:bidi="ar"/>
              </w:rPr>
              <w:t xml:space="preserve">1拖2无线手持话筒</w:t>
            </w:r>
            <w:r/>
          </w:p>
        </w:tc>
        <w:tc>
          <w:tcPr>
            <w:shd w:val="clear" w:color="auto" w:fill="auto"/>
            <w:tcW w:w="2520"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rPr>
              <w:t xml:space="preserve">湖山、锐丰、京邦</w:t>
            </w:r>
            <w:r/>
          </w:p>
        </w:tc>
      </w:tr>
      <w:tr>
        <w:trPr>
          <w:jc w:val="center"/>
          <w:trHeight w:val="510"/>
        </w:trPr>
        <w:tc>
          <w:tcPr>
            <w:shd w:val="clear" w:color="auto" w:fill="auto"/>
            <w:tcW w:w="698" w:type="pct"/>
            <w:vAlign w:val="center"/>
            <w:textDirection w:val="lrTb"/>
            <w:noWrap w:val="false"/>
          </w:tcPr>
          <w:p>
            <w:pPr>
              <w:jc w:val="center"/>
              <w:spacing w:before="156" w:after="156" w:line="280" w:lineRule="exact"/>
              <w:rPr>
                <w:color w:val="000000"/>
                <w:sz w:val="18"/>
                <w:szCs w:val="18"/>
              </w:rPr>
            </w:pPr>
            <w:r>
              <w:rPr>
                <w:rFonts w:hint="eastAsia"/>
                <w:color w:val="000000"/>
                <w:sz w:val="18"/>
                <w:szCs w:val="18"/>
              </w:rPr>
              <w:t xml:space="preserve">37</w:t>
            </w:r>
            <w:r/>
          </w:p>
        </w:tc>
        <w:tc>
          <w:tcPr>
            <w:shd w:val="clear" w:color="auto" w:fill="auto"/>
            <w:tcW w:w="1781" w:type="pct"/>
            <w:vAlign w:val="center"/>
            <w:textDirection w:val="lrTb"/>
            <w:noWrap w:val="false"/>
          </w:tcPr>
          <w:p>
            <w:pPr>
              <w:jc w:val="center"/>
              <w:spacing w:line="280" w:lineRule="exact"/>
              <w:widowControl/>
              <w:rPr>
                <w:color w:val="000000"/>
                <w:sz w:val="18"/>
                <w:szCs w:val="18"/>
              </w:rPr>
            </w:pPr>
            <w:r>
              <w:rPr>
                <w:rFonts w:hint="eastAsia"/>
                <w:color w:val="000000"/>
                <w:sz w:val="18"/>
                <w:szCs w:val="18"/>
                <w:lang w:bidi="ar"/>
              </w:rPr>
              <w:t xml:space="preserve">1拖2无线领夹话筒</w:t>
            </w:r>
            <w:r/>
          </w:p>
        </w:tc>
        <w:tc>
          <w:tcPr>
            <w:shd w:val="clear" w:color="auto" w:fill="auto"/>
            <w:tcW w:w="2520"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rPr>
              <w:t xml:space="preserve">湖山、锐丰、京邦</w:t>
            </w:r>
            <w:r/>
          </w:p>
        </w:tc>
      </w:tr>
      <w:tr>
        <w:trPr>
          <w:jc w:val="center"/>
          <w:trHeight w:val="510"/>
        </w:trPr>
        <w:tc>
          <w:tcPr>
            <w:shd w:val="clear" w:color="auto" w:fill="auto"/>
            <w:tcW w:w="698" w:type="pct"/>
            <w:vAlign w:val="center"/>
            <w:textDirection w:val="lrTb"/>
            <w:noWrap w:val="false"/>
          </w:tcPr>
          <w:p>
            <w:pPr>
              <w:jc w:val="center"/>
              <w:spacing w:before="156" w:after="156" w:line="280" w:lineRule="exact"/>
              <w:rPr>
                <w:color w:val="000000"/>
                <w:sz w:val="18"/>
                <w:szCs w:val="18"/>
              </w:rPr>
            </w:pPr>
            <w:r>
              <w:rPr>
                <w:rFonts w:hint="eastAsia"/>
                <w:color w:val="000000"/>
                <w:sz w:val="18"/>
                <w:szCs w:val="18"/>
              </w:rPr>
              <w:t xml:space="preserve">38</w:t>
            </w:r>
            <w:r/>
          </w:p>
        </w:tc>
        <w:tc>
          <w:tcPr>
            <w:shd w:val="clear" w:color="auto" w:fill="auto"/>
            <w:tcW w:w="1781" w:type="pct"/>
            <w:vAlign w:val="center"/>
            <w:textDirection w:val="lrTb"/>
            <w:noWrap w:val="false"/>
          </w:tcPr>
          <w:p>
            <w:pPr>
              <w:jc w:val="center"/>
              <w:spacing w:line="280" w:lineRule="exact"/>
              <w:widowControl/>
              <w:rPr>
                <w:color w:val="000000"/>
                <w:sz w:val="18"/>
                <w:szCs w:val="18"/>
              </w:rPr>
            </w:pPr>
            <w:r>
              <w:rPr>
                <w:rFonts w:hint="eastAsia"/>
                <w:color w:val="000000"/>
                <w:sz w:val="18"/>
                <w:szCs w:val="18"/>
                <w:lang w:bidi="ar"/>
              </w:rPr>
              <w:t xml:space="preserve">领夹话筒配套咪线</w:t>
            </w:r>
            <w:r/>
          </w:p>
        </w:tc>
        <w:tc>
          <w:tcPr>
            <w:shd w:val="clear" w:color="auto" w:fill="auto"/>
            <w:tcW w:w="2520"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rPr>
              <w:t xml:space="preserve">湖山、锐丰、京邦</w:t>
            </w:r>
            <w:r/>
          </w:p>
        </w:tc>
      </w:tr>
      <w:tr>
        <w:trPr>
          <w:jc w:val="center"/>
          <w:trHeight w:val="510"/>
        </w:trPr>
        <w:tc>
          <w:tcPr>
            <w:shd w:val="clear" w:color="auto" w:fill="auto"/>
            <w:tcW w:w="698" w:type="pct"/>
            <w:vAlign w:val="center"/>
            <w:textDirection w:val="lrTb"/>
            <w:noWrap w:val="false"/>
          </w:tcPr>
          <w:p>
            <w:pPr>
              <w:jc w:val="center"/>
              <w:spacing w:before="156" w:after="156" w:line="280" w:lineRule="exact"/>
              <w:rPr>
                <w:color w:val="000000"/>
                <w:sz w:val="18"/>
                <w:szCs w:val="18"/>
              </w:rPr>
            </w:pPr>
            <w:r>
              <w:rPr>
                <w:rFonts w:hint="eastAsia"/>
                <w:color w:val="000000"/>
                <w:sz w:val="18"/>
                <w:szCs w:val="18"/>
              </w:rPr>
              <w:t xml:space="preserve">39</w:t>
            </w:r>
            <w:r/>
          </w:p>
        </w:tc>
        <w:tc>
          <w:tcPr>
            <w:shd w:val="clear" w:color="auto" w:fill="auto"/>
            <w:tcW w:w="1781" w:type="pct"/>
            <w:vAlign w:val="center"/>
            <w:textDirection w:val="lrTb"/>
            <w:noWrap w:val="false"/>
          </w:tcPr>
          <w:p>
            <w:pPr>
              <w:jc w:val="center"/>
              <w:spacing w:line="280" w:lineRule="exact"/>
              <w:widowControl/>
              <w:rPr>
                <w:color w:val="000000"/>
                <w:sz w:val="18"/>
                <w:szCs w:val="18"/>
              </w:rPr>
            </w:pPr>
            <w:r>
              <w:rPr>
                <w:rFonts w:hint="eastAsia"/>
                <w:color w:val="000000"/>
                <w:sz w:val="18"/>
                <w:szCs w:val="18"/>
                <w:lang w:bidi="ar"/>
              </w:rPr>
              <w:t xml:space="preserve">天线分配器</w:t>
            </w:r>
            <w:r/>
          </w:p>
        </w:tc>
        <w:tc>
          <w:tcPr>
            <w:shd w:val="clear" w:color="auto" w:fill="auto"/>
            <w:tcW w:w="2520"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rPr>
              <w:t xml:space="preserve">湖山、锐丰、京邦</w:t>
            </w:r>
            <w:r/>
          </w:p>
        </w:tc>
      </w:tr>
      <w:tr>
        <w:trPr>
          <w:jc w:val="center"/>
          <w:trHeight w:val="510"/>
        </w:trPr>
        <w:tc>
          <w:tcPr>
            <w:shd w:val="clear" w:color="auto" w:fill="auto"/>
            <w:tcW w:w="698" w:type="pct"/>
            <w:vAlign w:val="center"/>
            <w:textDirection w:val="lrTb"/>
            <w:noWrap w:val="false"/>
          </w:tcPr>
          <w:p>
            <w:pPr>
              <w:jc w:val="center"/>
              <w:spacing w:before="156" w:after="156" w:line="280" w:lineRule="exact"/>
              <w:rPr>
                <w:color w:val="000000"/>
                <w:sz w:val="18"/>
                <w:szCs w:val="18"/>
              </w:rPr>
            </w:pPr>
            <w:r>
              <w:rPr>
                <w:rFonts w:hint="eastAsia"/>
                <w:color w:val="000000"/>
                <w:sz w:val="18"/>
                <w:szCs w:val="18"/>
              </w:rPr>
              <w:t xml:space="preserve">40</w:t>
            </w:r>
            <w:r/>
          </w:p>
        </w:tc>
        <w:tc>
          <w:tcPr>
            <w:shd w:val="clear" w:color="auto" w:fill="auto"/>
            <w:tcW w:w="1781" w:type="pct"/>
            <w:vAlign w:val="center"/>
            <w:textDirection w:val="lrTb"/>
            <w:noWrap w:val="false"/>
          </w:tcPr>
          <w:p>
            <w:pPr>
              <w:jc w:val="center"/>
              <w:spacing w:line="280" w:lineRule="exact"/>
              <w:widowControl/>
              <w:rPr>
                <w:color w:val="000000"/>
                <w:sz w:val="18"/>
                <w:szCs w:val="18"/>
              </w:rPr>
            </w:pPr>
            <w:r>
              <w:rPr>
                <w:rFonts w:hint="eastAsia"/>
                <w:color w:val="000000"/>
                <w:sz w:val="18"/>
                <w:szCs w:val="18"/>
                <w:lang w:bidi="ar"/>
              </w:rPr>
              <w:t xml:space="preserve">有源对数周期天线</w:t>
            </w:r>
            <w:r/>
          </w:p>
        </w:tc>
        <w:tc>
          <w:tcPr>
            <w:shd w:val="clear" w:color="auto" w:fill="auto"/>
            <w:tcW w:w="2520"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rPr>
              <w:t xml:space="preserve">湖山、锐丰、京邦</w:t>
            </w:r>
            <w:r/>
          </w:p>
        </w:tc>
      </w:tr>
      <w:tr>
        <w:trPr>
          <w:jc w:val="center"/>
          <w:trHeight w:val="510"/>
        </w:trPr>
        <w:tc>
          <w:tcPr>
            <w:shd w:val="clear" w:color="auto" w:fill="auto"/>
            <w:tcW w:w="698" w:type="pct"/>
            <w:vAlign w:val="center"/>
            <w:textDirection w:val="lrTb"/>
            <w:noWrap w:val="false"/>
          </w:tcPr>
          <w:p>
            <w:pPr>
              <w:jc w:val="center"/>
              <w:spacing w:before="156" w:after="156" w:line="280" w:lineRule="exact"/>
              <w:rPr>
                <w:color w:val="000000"/>
                <w:sz w:val="18"/>
                <w:szCs w:val="18"/>
              </w:rPr>
            </w:pPr>
            <w:r>
              <w:rPr>
                <w:rFonts w:hint="eastAsia"/>
                <w:color w:val="000000"/>
                <w:sz w:val="18"/>
                <w:szCs w:val="18"/>
              </w:rPr>
              <w:t xml:space="preserve">41</w:t>
            </w:r>
            <w:r/>
          </w:p>
        </w:tc>
        <w:tc>
          <w:tcPr>
            <w:shd w:val="clear" w:color="auto" w:fill="auto"/>
            <w:tcW w:w="1781"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无线发言系统主机</w:t>
            </w:r>
            <w:r/>
          </w:p>
        </w:tc>
        <w:tc>
          <w:tcPr>
            <w:shd w:val="clear" w:color="auto" w:fill="auto"/>
            <w:tcW w:w="2520"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rPr>
              <w:t xml:space="preserve">湖山、锐丰、京邦</w:t>
            </w:r>
            <w:r/>
          </w:p>
        </w:tc>
      </w:tr>
      <w:tr>
        <w:trPr>
          <w:jc w:val="center"/>
          <w:trHeight w:val="510"/>
        </w:trPr>
        <w:tc>
          <w:tcPr>
            <w:shd w:val="clear" w:color="auto" w:fill="auto"/>
            <w:tcW w:w="698" w:type="pct"/>
            <w:vAlign w:val="center"/>
            <w:textDirection w:val="lrTb"/>
            <w:noWrap w:val="false"/>
          </w:tcPr>
          <w:p>
            <w:pPr>
              <w:jc w:val="center"/>
              <w:spacing w:before="156" w:after="156" w:line="280" w:lineRule="exact"/>
              <w:rPr>
                <w:color w:val="000000"/>
                <w:sz w:val="18"/>
                <w:szCs w:val="18"/>
              </w:rPr>
            </w:pPr>
            <w:r>
              <w:rPr>
                <w:rFonts w:hint="eastAsia"/>
                <w:color w:val="000000"/>
                <w:sz w:val="18"/>
                <w:szCs w:val="18"/>
              </w:rPr>
              <w:t xml:space="preserve">42</w:t>
            </w:r>
            <w:r/>
          </w:p>
        </w:tc>
        <w:tc>
          <w:tcPr>
            <w:shd w:val="clear" w:color="auto" w:fill="auto"/>
            <w:tcW w:w="1781"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无线发言话筒主单元</w:t>
            </w:r>
            <w:r/>
          </w:p>
        </w:tc>
        <w:tc>
          <w:tcPr>
            <w:shd w:val="clear" w:color="auto" w:fill="auto"/>
            <w:tcW w:w="2520"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rPr>
              <w:t xml:space="preserve">湖山、锐丰、京邦</w:t>
            </w:r>
            <w:r/>
          </w:p>
        </w:tc>
      </w:tr>
      <w:tr>
        <w:trPr>
          <w:jc w:val="center"/>
          <w:trHeight w:val="510"/>
        </w:trPr>
        <w:tc>
          <w:tcPr>
            <w:shd w:val="clear" w:color="auto" w:fill="auto"/>
            <w:tcW w:w="698" w:type="pct"/>
            <w:vAlign w:val="center"/>
            <w:textDirection w:val="lrTb"/>
            <w:noWrap w:val="false"/>
          </w:tcPr>
          <w:p>
            <w:pPr>
              <w:jc w:val="center"/>
              <w:spacing w:before="156" w:after="156" w:line="280" w:lineRule="exact"/>
              <w:rPr>
                <w:color w:val="000000"/>
                <w:sz w:val="18"/>
                <w:szCs w:val="18"/>
              </w:rPr>
            </w:pPr>
            <w:r>
              <w:rPr>
                <w:rFonts w:hint="eastAsia"/>
                <w:color w:val="000000"/>
                <w:sz w:val="18"/>
                <w:szCs w:val="18"/>
              </w:rPr>
              <w:t xml:space="preserve">43</w:t>
            </w:r>
            <w:r/>
          </w:p>
        </w:tc>
        <w:tc>
          <w:tcPr>
            <w:shd w:val="clear" w:color="auto" w:fill="auto"/>
            <w:tcW w:w="1781"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无线发言话筒代表单元</w:t>
            </w:r>
            <w:r/>
          </w:p>
        </w:tc>
        <w:tc>
          <w:tcPr>
            <w:shd w:val="clear" w:color="auto" w:fill="auto"/>
            <w:tcW w:w="2520"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rPr>
              <w:t xml:space="preserve">湖山、锐丰、京邦</w:t>
            </w:r>
            <w:r/>
          </w:p>
        </w:tc>
      </w:tr>
      <w:tr>
        <w:trPr>
          <w:jc w:val="center"/>
          <w:trHeight w:val="510"/>
        </w:trPr>
        <w:tc>
          <w:tcPr>
            <w:shd w:val="clear" w:color="auto" w:fill="auto"/>
            <w:tcW w:w="698" w:type="pct"/>
            <w:vAlign w:val="center"/>
            <w:textDirection w:val="lrTb"/>
            <w:noWrap w:val="false"/>
          </w:tcPr>
          <w:p>
            <w:pPr>
              <w:jc w:val="center"/>
              <w:spacing w:before="156" w:after="156" w:line="280" w:lineRule="exact"/>
              <w:rPr>
                <w:color w:val="000000"/>
                <w:sz w:val="18"/>
                <w:szCs w:val="18"/>
              </w:rPr>
            </w:pPr>
            <w:r>
              <w:rPr>
                <w:rFonts w:hint="eastAsia"/>
                <w:color w:val="000000"/>
                <w:sz w:val="18"/>
                <w:szCs w:val="18"/>
              </w:rPr>
              <w:t xml:space="preserve">44</w:t>
            </w:r>
            <w:r/>
          </w:p>
        </w:tc>
        <w:tc>
          <w:tcPr>
            <w:shd w:val="clear" w:color="auto" w:fill="auto"/>
            <w:tcW w:w="1781"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小振膜麦克风</w:t>
            </w:r>
            <w:r/>
          </w:p>
        </w:tc>
        <w:tc>
          <w:tcPr>
            <w:shd w:val="clear" w:color="auto" w:fill="auto"/>
            <w:tcW w:w="2520"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rPr>
              <w:t xml:space="preserve">湖山、锐丰、京邦</w:t>
            </w:r>
            <w:r/>
          </w:p>
        </w:tc>
      </w:tr>
      <w:tr>
        <w:trPr>
          <w:jc w:val="center"/>
          <w:trHeight w:val="510"/>
        </w:trPr>
        <w:tc>
          <w:tcPr>
            <w:shd w:val="clear" w:color="auto" w:fill="auto"/>
            <w:tcW w:w="698" w:type="pct"/>
            <w:vAlign w:val="center"/>
            <w:textDirection w:val="lrTb"/>
            <w:noWrap w:val="false"/>
          </w:tcPr>
          <w:p>
            <w:pPr>
              <w:jc w:val="center"/>
              <w:spacing w:before="156" w:after="156" w:line="280" w:lineRule="exact"/>
              <w:rPr>
                <w:color w:val="000000"/>
                <w:sz w:val="18"/>
                <w:szCs w:val="18"/>
              </w:rPr>
            </w:pPr>
            <w:r>
              <w:rPr>
                <w:rFonts w:hint="eastAsia"/>
                <w:color w:val="000000"/>
                <w:sz w:val="18"/>
                <w:szCs w:val="18"/>
              </w:rPr>
              <w:t xml:space="preserve">45</w:t>
            </w:r>
            <w:r/>
          </w:p>
        </w:tc>
        <w:tc>
          <w:tcPr>
            <w:shd w:val="clear" w:color="auto" w:fill="auto"/>
            <w:tcW w:w="1781"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有线双管麦克风</w:t>
            </w:r>
            <w:r/>
          </w:p>
        </w:tc>
        <w:tc>
          <w:tcPr>
            <w:shd w:val="clear" w:color="auto" w:fill="auto"/>
            <w:tcW w:w="2520"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rPr>
              <w:t xml:space="preserve">湖山、锐丰、京邦</w:t>
            </w:r>
            <w:r/>
          </w:p>
        </w:tc>
      </w:tr>
      <w:tr>
        <w:trPr>
          <w:jc w:val="center"/>
          <w:trHeight w:val="510"/>
        </w:trPr>
        <w:tc>
          <w:tcPr>
            <w:shd w:val="clear" w:color="auto" w:fill="auto"/>
            <w:tcW w:w="698" w:type="pct"/>
            <w:vAlign w:val="center"/>
            <w:textDirection w:val="lrTb"/>
            <w:noWrap w:val="false"/>
          </w:tcPr>
          <w:p>
            <w:pPr>
              <w:jc w:val="center"/>
              <w:spacing w:before="156" w:after="156" w:line="280" w:lineRule="exact"/>
              <w:rPr>
                <w:color w:val="000000"/>
                <w:sz w:val="18"/>
                <w:szCs w:val="18"/>
              </w:rPr>
            </w:pPr>
            <w:r>
              <w:rPr>
                <w:rFonts w:hint="eastAsia"/>
                <w:color w:val="000000"/>
                <w:sz w:val="18"/>
                <w:szCs w:val="18"/>
              </w:rPr>
              <w:t xml:space="preserve">46</w:t>
            </w:r>
            <w:r/>
          </w:p>
        </w:tc>
        <w:tc>
          <w:tcPr>
            <w:shd w:val="clear" w:color="auto" w:fill="auto"/>
            <w:tcW w:w="1781"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专业音箱C</w:t>
            </w:r>
            <w:r/>
          </w:p>
        </w:tc>
        <w:tc>
          <w:tcPr>
            <w:shd w:val="clear" w:color="auto" w:fill="auto"/>
            <w:tcW w:w="2520"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rPr>
              <w:t xml:space="preserve">湖山、锐丰、京邦</w:t>
            </w:r>
            <w:r/>
          </w:p>
        </w:tc>
      </w:tr>
      <w:tr>
        <w:trPr>
          <w:jc w:val="center"/>
          <w:trHeight w:val="510"/>
        </w:trPr>
        <w:tc>
          <w:tcPr>
            <w:shd w:val="clear" w:color="auto" w:fill="auto"/>
            <w:tcW w:w="698" w:type="pct"/>
            <w:vAlign w:val="center"/>
            <w:textDirection w:val="lrTb"/>
            <w:noWrap w:val="false"/>
          </w:tcPr>
          <w:p>
            <w:pPr>
              <w:jc w:val="center"/>
              <w:spacing w:before="156" w:after="156" w:line="280" w:lineRule="exact"/>
              <w:rPr>
                <w:color w:val="000000"/>
                <w:sz w:val="18"/>
                <w:szCs w:val="18"/>
              </w:rPr>
            </w:pPr>
            <w:r>
              <w:rPr>
                <w:rFonts w:hint="eastAsia"/>
                <w:color w:val="000000"/>
                <w:sz w:val="18"/>
                <w:szCs w:val="18"/>
              </w:rPr>
              <w:t xml:space="preserve">47</w:t>
            </w:r>
            <w:r/>
          </w:p>
        </w:tc>
        <w:tc>
          <w:tcPr>
            <w:shd w:val="clear" w:color="auto" w:fill="auto"/>
            <w:tcW w:w="1781"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功率放大器C</w:t>
            </w:r>
            <w:r/>
          </w:p>
        </w:tc>
        <w:tc>
          <w:tcPr>
            <w:shd w:val="clear" w:color="auto" w:fill="auto"/>
            <w:tcW w:w="2520"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rPr>
              <w:t xml:space="preserve">湖山、锐丰、京邦</w:t>
            </w:r>
            <w:r/>
          </w:p>
        </w:tc>
      </w:tr>
      <w:tr>
        <w:trPr>
          <w:jc w:val="center"/>
          <w:trHeight w:val="510"/>
        </w:trPr>
        <w:tc>
          <w:tcPr>
            <w:shd w:val="clear" w:color="auto" w:fill="auto"/>
            <w:tcW w:w="698" w:type="pct"/>
            <w:vAlign w:val="center"/>
            <w:textDirection w:val="lrTb"/>
            <w:noWrap w:val="false"/>
          </w:tcPr>
          <w:p>
            <w:pPr>
              <w:jc w:val="center"/>
              <w:spacing w:before="156" w:after="156" w:line="280" w:lineRule="exact"/>
              <w:rPr>
                <w:color w:val="000000"/>
                <w:sz w:val="18"/>
                <w:szCs w:val="18"/>
              </w:rPr>
            </w:pPr>
            <w:r>
              <w:rPr>
                <w:rFonts w:hint="eastAsia"/>
                <w:color w:val="000000"/>
                <w:sz w:val="18"/>
                <w:szCs w:val="18"/>
              </w:rPr>
              <w:t xml:space="preserve">48</w:t>
            </w:r>
            <w:r/>
          </w:p>
        </w:tc>
        <w:tc>
          <w:tcPr>
            <w:shd w:val="clear" w:color="auto" w:fill="auto"/>
            <w:tcW w:w="1781"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数字效果器</w:t>
            </w:r>
            <w:r/>
          </w:p>
        </w:tc>
        <w:tc>
          <w:tcPr>
            <w:shd w:val="clear" w:color="auto" w:fill="auto"/>
            <w:tcW w:w="2520"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rPr>
              <w:t xml:space="preserve">湖山、锐丰、京邦</w:t>
            </w:r>
            <w:r/>
          </w:p>
        </w:tc>
      </w:tr>
      <w:tr>
        <w:trPr>
          <w:jc w:val="center"/>
          <w:trHeight w:val="510"/>
        </w:trPr>
        <w:tc>
          <w:tcPr>
            <w:shd w:val="clear" w:color="auto" w:fill="auto"/>
            <w:tcW w:w="698" w:type="pct"/>
            <w:vAlign w:val="center"/>
            <w:textDirection w:val="lrTb"/>
            <w:noWrap w:val="false"/>
          </w:tcPr>
          <w:p>
            <w:pPr>
              <w:jc w:val="center"/>
              <w:spacing w:before="156" w:after="156" w:line="280" w:lineRule="exact"/>
              <w:rPr>
                <w:color w:val="000000"/>
                <w:sz w:val="18"/>
                <w:szCs w:val="18"/>
              </w:rPr>
            </w:pPr>
            <w:r>
              <w:rPr>
                <w:rFonts w:hint="eastAsia"/>
                <w:color w:val="000000"/>
                <w:sz w:val="18"/>
                <w:szCs w:val="18"/>
              </w:rPr>
              <w:t xml:space="preserve">49</w:t>
            </w:r>
            <w:r/>
          </w:p>
        </w:tc>
        <w:tc>
          <w:tcPr>
            <w:shd w:val="clear" w:color="auto" w:fill="auto"/>
            <w:tcW w:w="1781"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智慧音频处理终端</w:t>
            </w:r>
            <w:r/>
          </w:p>
        </w:tc>
        <w:tc>
          <w:tcPr>
            <w:shd w:val="clear" w:color="auto" w:fill="auto"/>
            <w:tcW w:w="2520"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rPr>
              <w:t xml:space="preserve">湖山、锐丰、京邦</w:t>
            </w:r>
            <w:r/>
          </w:p>
        </w:tc>
      </w:tr>
      <w:tr>
        <w:trPr>
          <w:jc w:val="center"/>
          <w:trHeight w:val="510"/>
        </w:trPr>
        <w:tc>
          <w:tcPr>
            <w:shd w:val="clear" w:color="auto" w:fill="auto"/>
            <w:tcW w:w="698" w:type="pct"/>
            <w:vAlign w:val="center"/>
            <w:textDirection w:val="lrTb"/>
            <w:noWrap w:val="false"/>
          </w:tcPr>
          <w:p>
            <w:pPr>
              <w:jc w:val="center"/>
              <w:spacing w:before="156" w:after="156" w:line="280" w:lineRule="exact"/>
              <w:rPr>
                <w:color w:val="000000"/>
                <w:sz w:val="18"/>
                <w:szCs w:val="18"/>
              </w:rPr>
            </w:pPr>
            <w:r>
              <w:rPr>
                <w:rFonts w:hint="eastAsia"/>
                <w:color w:val="000000"/>
                <w:sz w:val="18"/>
                <w:szCs w:val="18"/>
              </w:rPr>
              <w:t xml:space="preserve">50</w:t>
            </w:r>
            <w:r/>
          </w:p>
        </w:tc>
        <w:tc>
          <w:tcPr>
            <w:shd w:val="clear" w:color="auto" w:fill="auto"/>
            <w:tcW w:w="1781"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无线双手持话筒</w:t>
            </w:r>
            <w:r/>
          </w:p>
        </w:tc>
        <w:tc>
          <w:tcPr>
            <w:shd w:val="clear" w:color="auto" w:fill="auto"/>
            <w:tcW w:w="2520"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rPr>
              <w:t xml:space="preserve">湖山、锐丰、京邦</w:t>
            </w:r>
            <w:r/>
          </w:p>
        </w:tc>
      </w:tr>
      <w:tr>
        <w:trPr>
          <w:jc w:val="center"/>
          <w:trHeight w:val="510"/>
        </w:trPr>
        <w:tc>
          <w:tcPr>
            <w:shd w:val="clear" w:color="auto" w:fill="auto"/>
            <w:tcW w:w="698" w:type="pct"/>
            <w:vAlign w:val="center"/>
            <w:textDirection w:val="lrTb"/>
            <w:noWrap w:val="false"/>
          </w:tcPr>
          <w:p>
            <w:pPr>
              <w:jc w:val="center"/>
              <w:spacing w:before="156" w:after="156" w:line="280" w:lineRule="exact"/>
              <w:rPr>
                <w:color w:val="000000"/>
                <w:sz w:val="18"/>
                <w:szCs w:val="18"/>
              </w:rPr>
            </w:pPr>
            <w:r>
              <w:rPr>
                <w:rFonts w:hint="eastAsia"/>
                <w:color w:val="000000"/>
                <w:sz w:val="18"/>
                <w:szCs w:val="18"/>
              </w:rPr>
              <w:t xml:space="preserve">51</w:t>
            </w:r>
            <w:r/>
          </w:p>
        </w:tc>
        <w:tc>
          <w:tcPr>
            <w:shd w:val="clear" w:color="auto" w:fill="auto"/>
            <w:tcW w:w="1781"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调音台</w:t>
            </w:r>
            <w:r/>
          </w:p>
        </w:tc>
        <w:tc>
          <w:tcPr>
            <w:shd w:val="clear" w:color="auto" w:fill="auto"/>
            <w:tcW w:w="2520"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rPr>
              <w:t xml:space="preserve">湖山、锐丰、京邦</w:t>
            </w:r>
            <w:r/>
          </w:p>
        </w:tc>
      </w:tr>
      <w:tr>
        <w:trPr>
          <w:jc w:val="center"/>
          <w:trHeight w:val="510"/>
        </w:trPr>
        <w:tc>
          <w:tcPr>
            <w:shd w:val="clear" w:color="auto" w:fill="auto"/>
            <w:tcW w:w="698" w:type="pct"/>
            <w:vAlign w:val="center"/>
            <w:textDirection w:val="lrTb"/>
            <w:noWrap w:val="false"/>
          </w:tcPr>
          <w:p>
            <w:pPr>
              <w:jc w:val="center"/>
              <w:spacing w:before="156" w:after="156" w:line="280" w:lineRule="exact"/>
              <w:rPr>
                <w:color w:val="000000"/>
                <w:sz w:val="18"/>
                <w:szCs w:val="18"/>
              </w:rPr>
            </w:pPr>
            <w:r>
              <w:rPr>
                <w:rFonts w:hint="eastAsia"/>
                <w:color w:val="000000"/>
                <w:sz w:val="18"/>
                <w:szCs w:val="18"/>
              </w:rPr>
              <w:t xml:space="preserve">52</w:t>
            </w:r>
            <w:r/>
          </w:p>
        </w:tc>
        <w:tc>
          <w:tcPr>
            <w:shd w:val="clear" w:color="auto" w:fill="auto"/>
            <w:tcW w:w="1781"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有源监听音箱</w:t>
            </w:r>
            <w:r/>
          </w:p>
        </w:tc>
        <w:tc>
          <w:tcPr>
            <w:shd w:val="clear" w:color="auto" w:fill="auto"/>
            <w:tcW w:w="2520"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rPr>
              <w:t xml:space="preserve">湖山、锐丰、京邦</w:t>
            </w:r>
            <w:r/>
          </w:p>
        </w:tc>
      </w:tr>
      <w:tr>
        <w:trPr>
          <w:jc w:val="center"/>
          <w:trHeight w:val="510"/>
        </w:trPr>
        <w:tc>
          <w:tcPr>
            <w:shd w:val="clear" w:color="auto" w:fill="auto"/>
            <w:tcW w:w="698"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lang w:val="en-US"/>
              </w:rPr>
              <w:t xml:space="preserve">53</w:t>
            </w:r>
            <w:r/>
          </w:p>
        </w:tc>
        <w:tc>
          <w:tcPr>
            <w:shd w:val="clear" w:color="auto" w:fill="auto"/>
            <w:tcW w:w="1781"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中控主机</w:t>
            </w:r>
            <w:r/>
          </w:p>
        </w:tc>
        <w:tc>
          <w:tcPr>
            <w:shd w:val="clear" w:color="auto" w:fill="auto"/>
            <w:tcW w:w="2520"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rPr>
              <w:t xml:space="preserve">湖山、锐丰、京邦</w:t>
            </w:r>
            <w:r/>
          </w:p>
        </w:tc>
      </w:tr>
      <w:tr>
        <w:trPr>
          <w:jc w:val="center"/>
          <w:trHeight w:val="510"/>
        </w:trPr>
        <w:tc>
          <w:tcPr>
            <w:shd w:val="clear" w:color="auto" w:fill="auto"/>
            <w:tcW w:w="698"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lang w:val="en-US"/>
              </w:rPr>
              <w:t xml:space="preserve">54</w:t>
            </w:r>
            <w:r/>
          </w:p>
        </w:tc>
        <w:tc>
          <w:tcPr>
            <w:shd w:val="clear" w:color="auto" w:fill="auto"/>
            <w:tcW w:w="1781"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控制软件</w:t>
            </w:r>
            <w:r/>
          </w:p>
        </w:tc>
        <w:tc>
          <w:tcPr>
            <w:shd w:val="clear" w:color="auto" w:fill="auto"/>
            <w:tcW w:w="2520"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rPr>
              <w:t xml:space="preserve">湖山、锐丰、京邦</w:t>
            </w:r>
            <w:r/>
          </w:p>
        </w:tc>
      </w:tr>
      <w:tr>
        <w:trPr>
          <w:jc w:val="center"/>
          <w:trHeight w:val="510"/>
        </w:trPr>
        <w:tc>
          <w:tcPr>
            <w:shd w:val="clear" w:color="auto" w:fill="auto"/>
            <w:tcW w:w="698"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lang w:val="en-US"/>
              </w:rPr>
              <w:t xml:space="preserve">55</w:t>
            </w:r>
            <w:r/>
          </w:p>
        </w:tc>
        <w:tc>
          <w:tcPr>
            <w:shd w:val="clear" w:color="auto" w:fill="auto"/>
            <w:tcW w:w="1781"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信号实时处理主机</w:t>
            </w:r>
            <w:r/>
          </w:p>
        </w:tc>
        <w:tc>
          <w:tcPr>
            <w:shd w:val="clear" w:color="auto" w:fill="auto"/>
            <w:tcW w:w="2520"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rPr>
              <w:t xml:space="preserve">湖山、锐丰、京邦</w:t>
            </w:r>
            <w:r/>
          </w:p>
        </w:tc>
      </w:tr>
      <w:tr>
        <w:trPr>
          <w:jc w:val="center"/>
          <w:trHeight w:val="510"/>
        </w:trPr>
        <w:tc>
          <w:tcPr>
            <w:shd w:val="clear" w:color="auto" w:fill="auto"/>
            <w:tcW w:w="698"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lang w:val="en-US"/>
              </w:rPr>
              <w:t xml:space="preserve">56</w:t>
            </w:r>
            <w:r/>
          </w:p>
        </w:tc>
        <w:tc>
          <w:tcPr>
            <w:shd w:val="clear" w:color="auto" w:fill="auto"/>
            <w:tcW w:w="1781"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有线控制屏</w:t>
            </w:r>
            <w:r/>
          </w:p>
        </w:tc>
        <w:tc>
          <w:tcPr>
            <w:shd w:val="clear" w:color="auto" w:fill="auto"/>
            <w:tcW w:w="2520"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rPr>
              <w:t xml:space="preserve">湖山、锐丰、京邦</w:t>
            </w:r>
            <w:r/>
          </w:p>
        </w:tc>
      </w:tr>
      <w:tr>
        <w:trPr>
          <w:jc w:val="center"/>
          <w:trHeight w:val="510"/>
        </w:trPr>
        <w:tc>
          <w:tcPr>
            <w:shd w:val="clear" w:color="auto" w:fill="auto"/>
            <w:tcW w:w="698"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lang w:val="en-US"/>
              </w:rPr>
              <w:t xml:space="preserve">57</w:t>
            </w:r>
            <w:r/>
          </w:p>
        </w:tc>
        <w:tc>
          <w:tcPr>
            <w:shd w:val="clear" w:color="auto" w:fill="auto"/>
            <w:tcW w:w="1781"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无线控制屏</w:t>
            </w:r>
            <w:r/>
          </w:p>
        </w:tc>
        <w:tc>
          <w:tcPr>
            <w:shd w:val="clear" w:color="auto" w:fill="auto"/>
            <w:tcW w:w="2520" w:type="pct"/>
            <w:vAlign w:val="center"/>
            <w:textDirection w:val="lrTb"/>
            <w:noWrap w:val="false"/>
          </w:tcPr>
          <w:p>
            <w:pPr>
              <w:jc w:val="center"/>
              <w:spacing w:before="156" w:after="156" w:line="280" w:lineRule="exact"/>
              <w:rPr>
                <w:color w:val="000000"/>
                <w:sz w:val="18"/>
                <w:szCs w:val="18"/>
                <w:lang w:val="en-US"/>
              </w:rPr>
            </w:pPr>
            <w:r>
              <w:rPr>
                <w:rFonts w:hint="eastAsia"/>
                <w:sz w:val="18"/>
                <w:szCs w:val="18"/>
              </w:rPr>
              <w:t xml:space="preserve">华为</w:t>
            </w:r>
            <w:r>
              <w:rPr>
                <w:rFonts w:hint="eastAsia"/>
                <w:color w:val="000000"/>
                <w:sz w:val="18"/>
                <w:szCs w:val="18"/>
              </w:rPr>
              <w:t xml:space="preserve">、</w:t>
            </w:r>
            <w:r>
              <w:rPr>
                <w:rFonts w:hint="eastAsia"/>
                <w:sz w:val="18"/>
                <w:szCs w:val="18"/>
              </w:rPr>
              <w:t xml:space="preserve">联想</w:t>
            </w:r>
            <w:r>
              <w:rPr>
                <w:rFonts w:hint="eastAsia"/>
                <w:color w:val="000000"/>
                <w:sz w:val="18"/>
                <w:szCs w:val="18"/>
              </w:rPr>
              <w:t xml:space="preserve">、</w:t>
            </w:r>
            <w:r>
              <w:rPr>
                <w:rFonts w:hint="eastAsia"/>
                <w:sz w:val="18"/>
                <w:szCs w:val="18"/>
              </w:rPr>
              <w:t xml:space="preserve">荣耀</w:t>
            </w:r>
            <w:r/>
          </w:p>
        </w:tc>
      </w:tr>
      <w:tr>
        <w:trPr>
          <w:jc w:val="center"/>
          <w:trHeight w:val="510"/>
        </w:trPr>
        <w:tc>
          <w:tcPr>
            <w:shd w:val="clear" w:color="auto" w:fill="auto"/>
            <w:tcW w:w="698"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lang w:val="en-US"/>
              </w:rPr>
              <w:t xml:space="preserve">58</w:t>
            </w:r>
            <w:r/>
          </w:p>
        </w:tc>
        <w:tc>
          <w:tcPr>
            <w:shd w:val="clear" w:color="auto" w:fill="auto"/>
            <w:tcW w:w="1781"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交换机</w:t>
            </w:r>
            <w:r/>
          </w:p>
        </w:tc>
        <w:tc>
          <w:tcPr>
            <w:shd w:val="clear" w:color="auto" w:fill="auto"/>
            <w:tcW w:w="2520" w:type="pct"/>
            <w:vAlign w:val="center"/>
            <w:textDirection w:val="lrTb"/>
            <w:noWrap w:val="false"/>
          </w:tcPr>
          <w:p>
            <w:pPr>
              <w:jc w:val="center"/>
              <w:spacing w:before="156" w:after="156" w:line="280" w:lineRule="exact"/>
              <w:rPr>
                <w:color w:val="000000"/>
                <w:sz w:val="18"/>
                <w:szCs w:val="18"/>
                <w:lang w:val="en-US"/>
              </w:rPr>
            </w:pPr>
            <w:r>
              <w:rPr>
                <w:rFonts w:hint="eastAsia"/>
                <w:sz w:val="18"/>
                <w:szCs w:val="18"/>
              </w:rPr>
              <w:t xml:space="preserve">华为</w:t>
            </w:r>
            <w:r>
              <w:rPr>
                <w:rFonts w:hint="eastAsia"/>
                <w:color w:val="000000"/>
                <w:sz w:val="18"/>
                <w:szCs w:val="18"/>
              </w:rPr>
              <w:t xml:space="preserve">、</w:t>
            </w:r>
            <w:r>
              <w:rPr>
                <w:rFonts w:hint="eastAsia"/>
                <w:sz w:val="18"/>
                <w:szCs w:val="18"/>
              </w:rPr>
              <w:t xml:space="preserve">华三</w:t>
            </w:r>
            <w:r>
              <w:rPr>
                <w:rFonts w:hint="eastAsia"/>
                <w:color w:val="000000"/>
                <w:sz w:val="18"/>
                <w:szCs w:val="18"/>
              </w:rPr>
              <w:t xml:space="preserve">、</w:t>
            </w:r>
            <w:r>
              <w:rPr>
                <w:rFonts w:hint="eastAsia"/>
                <w:sz w:val="18"/>
                <w:szCs w:val="18"/>
              </w:rPr>
              <w:t xml:space="preserve">锐捷</w:t>
            </w:r>
            <w:r/>
          </w:p>
        </w:tc>
      </w:tr>
      <w:tr>
        <w:trPr>
          <w:jc w:val="center"/>
          <w:trHeight w:val="510"/>
        </w:trPr>
        <w:tc>
          <w:tcPr>
            <w:shd w:val="clear" w:color="auto" w:fill="auto"/>
            <w:tcW w:w="698"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lang w:val="en-US"/>
              </w:rPr>
              <w:t xml:space="preserve">59</w:t>
            </w:r>
            <w:r/>
          </w:p>
        </w:tc>
        <w:tc>
          <w:tcPr>
            <w:shd w:val="clear" w:color="auto" w:fill="auto"/>
            <w:tcW w:w="1781"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无线路由器</w:t>
            </w:r>
            <w:r/>
          </w:p>
        </w:tc>
        <w:tc>
          <w:tcPr>
            <w:shd w:val="clear" w:color="auto" w:fill="auto"/>
            <w:tcW w:w="2520" w:type="pct"/>
            <w:vAlign w:val="center"/>
            <w:textDirection w:val="lrTb"/>
            <w:noWrap w:val="false"/>
          </w:tcPr>
          <w:p>
            <w:pPr>
              <w:jc w:val="center"/>
              <w:spacing w:before="156" w:after="156" w:line="280" w:lineRule="exact"/>
              <w:rPr>
                <w:color w:val="000000"/>
                <w:sz w:val="18"/>
                <w:szCs w:val="18"/>
                <w:lang w:val="en-US"/>
              </w:rPr>
            </w:pPr>
            <w:r>
              <w:rPr>
                <w:rFonts w:hint="eastAsia"/>
                <w:sz w:val="18"/>
                <w:szCs w:val="18"/>
              </w:rPr>
              <w:t xml:space="preserve">华为</w:t>
            </w:r>
            <w:r>
              <w:rPr>
                <w:rFonts w:hint="eastAsia"/>
                <w:color w:val="000000"/>
                <w:sz w:val="18"/>
                <w:szCs w:val="18"/>
              </w:rPr>
              <w:t xml:space="preserve">、</w:t>
            </w:r>
            <w:r>
              <w:rPr>
                <w:rFonts w:hint="eastAsia"/>
                <w:sz w:val="18"/>
                <w:szCs w:val="18"/>
              </w:rPr>
              <w:t xml:space="preserve">华三</w:t>
            </w:r>
            <w:r>
              <w:rPr>
                <w:rFonts w:hint="eastAsia"/>
                <w:color w:val="000000"/>
                <w:sz w:val="18"/>
                <w:szCs w:val="18"/>
              </w:rPr>
              <w:t xml:space="preserve">、</w:t>
            </w:r>
            <w:r>
              <w:rPr>
                <w:rFonts w:hint="eastAsia"/>
                <w:sz w:val="18"/>
                <w:szCs w:val="18"/>
              </w:rPr>
              <w:t xml:space="preserve">锐捷</w:t>
            </w:r>
            <w:r/>
          </w:p>
        </w:tc>
      </w:tr>
      <w:tr>
        <w:trPr>
          <w:jc w:val="center"/>
          <w:trHeight w:val="510"/>
        </w:trPr>
        <w:tc>
          <w:tcPr>
            <w:shd w:val="clear" w:color="auto" w:fill="auto"/>
            <w:tcW w:w="698"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lang w:val="en-US"/>
              </w:rPr>
              <w:t xml:space="preserve">60</w:t>
            </w:r>
            <w:r/>
          </w:p>
        </w:tc>
        <w:tc>
          <w:tcPr>
            <w:shd w:val="clear" w:color="auto" w:fill="auto"/>
            <w:tcW w:w="1781"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电源时序器A</w:t>
            </w:r>
            <w:r/>
          </w:p>
        </w:tc>
        <w:tc>
          <w:tcPr>
            <w:shd w:val="clear" w:color="auto" w:fill="auto"/>
            <w:tcW w:w="2520"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rPr>
              <w:t xml:space="preserve">湖山、锐丰、京邦</w:t>
            </w:r>
            <w:r/>
          </w:p>
        </w:tc>
      </w:tr>
      <w:tr>
        <w:trPr>
          <w:jc w:val="center"/>
          <w:trHeight w:val="510"/>
        </w:trPr>
        <w:tc>
          <w:tcPr>
            <w:shd w:val="clear" w:color="auto" w:fill="auto"/>
            <w:tcW w:w="698"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lang w:val="en-US"/>
              </w:rPr>
              <w:t xml:space="preserve">61</w:t>
            </w:r>
            <w:r/>
          </w:p>
        </w:tc>
        <w:tc>
          <w:tcPr>
            <w:shd w:val="clear" w:color="auto" w:fill="auto"/>
            <w:tcW w:w="1781"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电源时序器B</w:t>
            </w:r>
            <w:r/>
          </w:p>
        </w:tc>
        <w:tc>
          <w:tcPr>
            <w:shd w:val="clear" w:color="auto" w:fill="auto"/>
            <w:tcW w:w="2520"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rPr>
              <w:t xml:space="preserve">湖山、锐丰、京邦</w:t>
            </w:r>
            <w:r/>
          </w:p>
        </w:tc>
      </w:tr>
      <w:tr>
        <w:trPr>
          <w:jc w:val="center"/>
          <w:trHeight w:val="510"/>
        </w:trPr>
        <w:tc>
          <w:tcPr>
            <w:shd w:val="clear" w:color="auto" w:fill="auto"/>
            <w:tcW w:w="698"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lang w:val="en-US"/>
              </w:rPr>
              <w:t xml:space="preserve">62</w:t>
            </w:r>
            <w:r/>
          </w:p>
        </w:tc>
        <w:tc>
          <w:tcPr>
            <w:shd w:val="clear" w:color="auto" w:fill="auto"/>
            <w:tcW w:w="1781"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LED聚光灯</w:t>
            </w:r>
            <w:r/>
          </w:p>
        </w:tc>
        <w:tc>
          <w:tcPr>
            <w:shd w:val="clear" w:color="auto" w:fill="auto"/>
            <w:tcW w:w="2520"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rPr>
              <w:t xml:space="preserve">湖山、益尨、京邦</w:t>
            </w:r>
            <w:r/>
          </w:p>
        </w:tc>
      </w:tr>
      <w:tr>
        <w:trPr>
          <w:jc w:val="center"/>
          <w:trHeight w:val="510"/>
        </w:trPr>
        <w:tc>
          <w:tcPr>
            <w:shd w:val="clear" w:color="auto" w:fill="auto"/>
            <w:tcW w:w="698"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lang w:val="en-US"/>
              </w:rPr>
              <w:t xml:space="preserve">63</w:t>
            </w:r>
            <w:r/>
          </w:p>
        </w:tc>
        <w:tc>
          <w:tcPr>
            <w:shd w:val="clear" w:color="auto" w:fill="auto"/>
            <w:tcW w:w="1781"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LED平板柔光灯</w:t>
            </w:r>
            <w:r/>
          </w:p>
        </w:tc>
        <w:tc>
          <w:tcPr>
            <w:shd w:val="clear" w:color="auto" w:fill="auto"/>
            <w:tcW w:w="2520"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rPr>
              <w:t xml:space="preserve">湖山、益尨、京邦</w:t>
            </w:r>
            <w:r/>
          </w:p>
        </w:tc>
      </w:tr>
      <w:tr>
        <w:trPr>
          <w:jc w:val="center"/>
          <w:trHeight w:val="510"/>
        </w:trPr>
        <w:tc>
          <w:tcPr>
            <w:shd w:val="clear" w:color="auto" w:fill="auto"/>
            <w:tcW w:w="698"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lang w:val="en-US"/>
              </w:rPr>
              <w:t xml:space="preserve">64</w:t>
            </w:r>
            <w:r/>
          </w:p>
        </w:tc>
        <w:tc>
          <w:tcPr>
            <w:shd w:val="clear" w:color="auto" w:fill="auto"/>
            <w:tcW w:w="1781"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数字调光台</w:t>
            </w:r>
            <w:r/>
          </w:p>
        </w:tc>
        <w:tc>
          <w:tcPr>
            <w:shd w:val="clear" w:color="auto" w:fill="auto"/>
            <w:tcW w:w="2520"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rPr>
              <w:t xml:space="preserve">湖山、益尨、京邦</w:t>
            </w:r>
            <w:r/>
          </w:p>
        </w:tc>
      </w:tr>
      <w:tr>
        <w:trPr>
          <w:jc w:val="center"/>
          <w:trHeight w:val="510"/>
        </w:trPr>
        <w:tc>
          <w:tcPr>
            <w:shd w:val="clear" w:color="auto" w:fill="auto"/>
            <w:tcW w:w="698"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lang w:val="en-US"/>
              </w:rPr>
              <w:t xml:space="preserve">65</w:t>
            </w:r>
            <w:r/>
          </w:p>
        </w:tc>
        <w:tc>
          <w:tcPr>
            <w:shd w:val="clear" w:color="auto" w:fill="auto"/>
            <w:tcW w:w="1781"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8路放大器</w:t>
            </w:r>
            <w:r/>
          </w:p>
        </w:tc>
        <w:tc>
          <w:tcPr>
            <w:shd w:val="clear" w:color="auto" w:fill="auto"/>
            <w:tcW w:w="2520"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rPr>
              <w:t xml:space="preserve">湖山、益尨、京邦</w:t>
            </w:r>
            <w:r/>
          </w:p>
        </w:tc>
      </w:tr>
      <w:tr>
        <w:trPr>
          <w:jc w:val="center"/>
          <w:trHeight w:val="510"/>
        </w:trPr>
        <w:tc>
          <w:tcPr>
            <w:shd w:val="clear" w:color="auto" w:fill="auto"/>
            <w:tcW w:w="698"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lang w:val="en-US"/>
              </w:rPr>
              <w:t xml:space="preserve">66</w:t>
            </w:r>
            <w:r/>
          </w:p>
        </w:tc>
        <w:tc>
          <w:tcPr>
            <w:shd w:val="clear" w:color="auto" w:fill="auto"/>
            <w:tcW w:w="1781"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12路直通柜</w:t>
            </w:r>
            <w:r/>
          </w:p>
        </w:tc>
        <w:tc>
          <w:tcPr>
            <w:shd w:val="clear" w:color="auto" w:fill="auto"/>
            <w:tcW w:w="2520"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rPr>
              <w:t xml:space="preserve">湖山、益尨、京邦</w:t>
            </w:r>
            <w:r/>
          </w:p>
        </w:tc>
      </w:tr>
      <w:tr>
        <w:trPr>
          <w:jc w:val="center"/>
          <w:trHeight w:val="510"/>
        </w:trPr>
        <w:tc>
          <w:tcPr>
            <w:shd w:val="clear" w:color="auto" w:fill="auto"/>
            <w:tcW w:w="698"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lang w:val="en-US"/>
              </w:rPr>
              <w:t xml:space="preserve">67</w:t>
            </w:r>
            <w:r/>
          </w:p>
        </w:tc>
        <w:tc>
          <w:tcPr>
            <w:shd w:val="clear" w:color="auto" w:fill="auto"/>
            <w:tcW w:w="1781"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球机摄像机</w:t>
            </w:r>
            <w:r/>
          </w:p>
        </w:tc>
        <w:tc>
          <w:tcPr>
            <w:shd w:val="clear" w:color="auto" w:fill="auto"/>
            <w:tcW w:w="2520"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rPr>
              <w:t xml:space="preserve">海康威视、大华、宇视</w:t>
            </w:r>
            <w:r/>
          </w:p>
        </w:tc>
      </w:tr>
      <w:tr>
        <w:trPr>
          <w:jc w:val="center"/>
          <w:trHeight w:val="510"/>
        </w:trPr>
        <w:tc>
          <w:tcPr>
            <w:shd w:val="clear" w:color="auto" w:fill="auto"/>
            <w:tcW w:w="698"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lang w:val="en-US"/>
              </w:rPr>
              <w:t xml:space="preserve">68</w:t>
            </w:r>
            <w:r/>
          </w:p>
        </w:tc>
        <w:tc>
          <w:tcPr>
            <w:shd w:val="clear" w:color="auto" w:fill="auto"/>
            <w:tcW w:w="1781"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枪机摄像机</w:t>
            </w:r>
            <w:r/>
          </w:p>
        </w:tc>
        <w:tc>
          <w:tcPr>
            <w:shd w:val="clear" w:color="auto" w:fill="auto"/>
            <w:tcW w:w="2520"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rPr>
              <w:t xml:space="preserve">海康威视、大华、宇视</w:t>
            </w:r>
            <w:r/>
          </w:p>
        </w:tc>
      </w:tr>
      <w:tr>
        <w:trPr>
          <w:jc w:val="center"/>
          <w:trHeight w:val="510"/>
        </w:trPr>
        <w:tc>
          <w:tcPr>
            <w:shd w:val="clear" w:color="auto" w:fill="auto"/>
            <w:tcW w:w="698"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lang w:val="en-US"/>
              </w:rPr>
              <w:t xml:space="preserve">69</w:t>
            </w:r>
            <w:r/>
          </w:p>
        </w:tc>
        <w:tc>
          <w:tcPr>
            <w:shd w:val="clear" w:color="auto" w:fill="auto"/>
            <w:tcW w:w="1781"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硬盘录像机</w:t>
            </w:r>
            <w:r/>
          </w:p>
        </w:tc>
        <w:tc>
          <w:tcPr>
            <w:shd w:val="clear" w:color="auto" w:fill="auto"/>
            <w:tcW w:w="2520"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rPr>
              <w:t xml:space="preserve">海康威视、大华、宇视</w:t>
            </w:r>
            <w:r/>
          </w:p>
        </w:tc>
      </w:tr>
      <w:tr>
        <w:trPr>
          <w:jc w:val="center"/>
          <w:trHeight w:val="510"/>
        </w:trPr>
        <w:tc>
          <w:tcPr>
            <w:shd w:val="clear" w:color="auto" w:fill="auto"/>
            <w:tcW w:w="698"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lang w:val="en-US"/>
              </w:rPr>
              <w:t xml:space="preserve">70</w:t>
            </w:r>
            <w:r/>
          </w:p>
        </w:tc>
        <w:tc>
          <w:tcPr>
            <w:shd w:val="clear" w:color="auto" w:fill="auto"/>
            <w:tcW w:w="1781"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变频调速拉幕机</w:t>
            </w:r>
            <w:r/>
          </w:p>
        </w:tc>
        <w:tc>
          <w:tcPr>
            <w:shd w:val="clear" w:color="auto" w:fill="auto"/>
            <w:tcW w:w="2520"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rPr>
              <w:t xml:space="preserve">天安舞台、影星®、春宇</w:t>
            </w:r>
            <w:r/>
          </w:p>
        </w:tc>
      </w:tr>
      <w:tr>
        <w:trPr>
          <w:jc w:val="center"/>
          <w:trHeight w:val="510"/>
        </w:trPr>
        <w:tc>
          <w:tcPr>
            <w:shd w:val="clear" w:color="auto" w:fill="auto"/>
            <w:tcW w:w="698"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lang w:val="en-US"/>
              </w:rPr>
              <w:t xml:space="preserve">71</w:t>
            </w:r>
            <w:r/>
          </w:p>
        </w:tc>
        <w:tc>
          <w:tcPr>
            <w:shd w:val="clear" w:color="auto" w:fill="auto"/>
            <w:tcW w:w="1781"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匀速拉幕机</w:t>
            </w:r>
            <w:r/>
          </w:p>
        </w:tc>
        <w:tc>
          <w:tcPr>
            <w:shd w:val="clear" w:color="auto" w:fill="auto"/>
            <w:tcW w:w="2520"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rPr>
              <w:t xml:space="preserve">天安舞台、影星®、春宇</w:t>
            </w:r>
            <w:r/>
          </w:p>
        </w:tc>
      </w:tr>
      <w:tr>
        <w:trPr>
          <w:jc w:val="center"/>
          <w:trHeight w:val="510"/>
        </w:trPr>
        <w:tc>
          <w:tcPr>
            <w:shd w:val="clear" w:color="auto" w:fill="auto"/>
            <w:tcW w:w="698"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lang w:val="en-US"/>
              </w:rPr>
              <w:t xml:space="preserve">72</w:t>
            </w:r>
            <w:r/>
          </w:p>
        </w:tc>
        <w:tc>
          <w:tcPr>
            <w:shd w:val="clear" w:color="auto" w:fill="auto"/>
            <w:tcW w:w="1781"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幕布轨道</w:t>
            </w:r>
            <w:r/>
          </w:p>
        </w:tc>
        <w:tc>
          <w:tcPr>
            <w:shd w:val="clear" w:color="auto" w:fill="auto"/>
            <w:tcW w:w="2520"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rPr>
              <w:t xml:space="preserve">天安舞台、影星®、春宇</w:t>
            </w:r>
            <w:r/>
          </w:p>
        </w:tc>
      </w:tr>
      <w:tr>
        <w:trPr>
          <w:jc w:val="center"/>
          <w:trHeight w:val="510"/>
        </w:trPr>
        <w:tc>
          <w:tcPr>
            <w:shd w:val="clear" w:color="auto" w:fill="auto"/>
            <w:tcW w:w="698"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lang w:val="en-US"/>
              </w:rPr>
              <w:t xml:space="preserve">73</w:t>
            </w:r>
            <w:r/>
          </w:p>
        </w:tc>
        <w:tc>
          <w:tcPr>
            <w:shd w:val="clear" w:color="auto" w:fill="auto"/>
            <w:tcW w:w="1781"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电动升降幕布吊杆机</w:t>
            </w:r>
            <w:r/>
          </w:p>
        </w:tc>
        <w:tc>
          <w:tcPr>
            <w:shd w:val="clear" w:color="auto" w:fill="auto"/>
            <w:tcW w:w="2520"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rPr>
              <w:t xml:space="preserve">天安舞台、影星®、春宇</w:t>
            </w:r>
            <w:r/>
          </w:p>
        </w:tc>
      </w:tr>
      <w:tr>
        <w:trPr>
          <w:jc w:val="center"/>
          <w:trHeight w:val="510"/>
        </w:trPr>
        <w:tc>
          <w:tcPr>
            <w:shd w:val="clear" w:color="auto" w:fill="auto"/>
            <w:tcW w:w="698"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lang w:val="en-US"/>
              </w:rPr>
              <w:t xml:space="preserve">74</w:t>
            </w:r>
            <w:r/>
          </w:p>
        </w:tc>
        <w:tc>
          <w:tcPr>
            <w:shd w:val="clear" w:color="auto" w:fill="auto"/>
            <w:tcW w:w="1781"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电动升降灯光吊杆机</w:t>
            </w:r>
            <w:r/>
          </w:p>
        </w:tc>
        <w:tc>
          <w:tcPr>
            <w:shd w:val="clear" w:color="auto" w:fill="auto"/>
            <w:tcW w:w="2520"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rPr>
              <w:t xml:space="preserve">天安舞台、影星®、春宇</w:t>
            </w:r>
            <w:r/>
          </w:p>
        </w:tc>
      </w:tr>
      <w:tr>
        <w:trPr>
          <w:jc w:val="center"/>
          <w:trHeight w:val="510"/>
        </w:trPr>
        <w:tc>
          <w:tcPr>
            <w:shd w:val="clear" w:color="auto" w:fill="auto"/>
            <w:tcW w:w="698"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lang w:val="en-US"/>
              </w:rPr>
              <w:t xml:space="preserve">75</w:t>
            </w:r>
            <w:r/>
          </w:p>
        </w:tc>
        <w:tc>
          <w:tcPr>
            <w:shd w:val="clear" w:color="auto" w:fill="auto"/>
            <w:tcW w:w="1781"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导向滑轮组</w:t>
            </w:r>
            <w:r/>
          </w:p>
        </w:tc>
        <w:tc>
          <w:tcPr>
            <w:shd w:val="clear" w:color="auto" w:fill="auto"/>
            <w:tcW w:w="2520"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rPr>
              <w:t xml:space="preserve">天安舞台、影星®、春宇</w:t>
            </w:r>
            <w:r/>
          </w:p>
        </w:tc>
      </w:tr>
      <w:tr>
        <w:trPr>
          <w:jc w:val="center"/>
          <w:trHeight w:val="510"/>
        </w:trPr>
        <w:tc>
          <w:tcPr>
            <w:shd w:val="clear" w:color="auto" w:fill="auto"/>
            <w:tcW w:w="698"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lang w:val="en-US"/>
              </w:rPr>
              <w:t xml:space="preserve">76</w:t>
            </w:r>
            <w:r/>
          </w:p>
        </w:tc>
        <w:tc>
          <w:tcPr>
            <w:shd w:val="clear" w:color="auto" w:fill="auto"/>
            <w:tcW w:w="1781"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灯光吊杆杆体</w:t>
            </w:r>
            <w:r/>
          </w:p>
        </w:tc>
        <w:tc>
          <w:tcPr>
            <w:shd w:val="clear" w:color="auto" w:fill="auto"/>
            <w:tcW w:w="2520"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rPr>
              <w:t xml:space="preserve">天安舞台、影星®、春宇</w:t>
            </w:r>
            <w:r/>
          </w:p>
        </w:tc>
      </w:tr>
      <w:tr>
        <w:trPr>
          <w:jc w:val="center"/>
          <w:trHeight w:val="510"/>
        </w:trPr>
        <w:tc>
          <w:tcPr>
            <w:shd w:val="clear" w:color="auto" w:fill="auto"/>
            <w:tcW w:w="698"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lang w:val="en-US"/>
              </w:rPr>
              <w:t xml:space="preserve">77</w:t>
            </w:r>
            <w:r/>
          </w:p>
        </w:tc>
        <w:tc>
          <w:tcPr>
            <w:shd w:val="clear" w:color="auto" w:fill="auto"/>
            <w:tcW w:w="1781"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幕布吊杆杆体</w:t>
            </w:r>
            <w:r/>
          </w:p>
        </w:tc>
        <w:tc>
          <w:tcPr>
            <w:shd w:val="clear" w:color="auto" w:fill="auto"/>
            <w:tcW w:w="2520"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rPr>
              <w:t xml:space="preserve">天安舞台、影星®、春宇</w:t>
            </w:r>
            <w:r/>
          </w:p>
        </w:tc>
      </w:tr>
      <w:tr>
        <w:trPr>
          <w:jc w:val="center"/>
          <w:trHeight w:val="510"/>
        </w:trPr>
        <w:tc>
          <w:tcPr>
            <w:shd w:val="clear" w:color="auto" w:fill="auto"/>
            <w:tcW w:w="698"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lang w:val="en-US"/>
              </w:rPr>
              <w:t xml:space="preserve">78</w:t>
            </w:r>
            <w:r/>
          </w:p>
        </w:tc>
        <w:tc>
          <w:tcPr>
            <w:shd w:val="clear" w:color="auto" w:fill="auto"/>
            <w:tcW w:w="1781"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航空用钢丝绳</w:t>
            </w:r>
            <w:r/>
          </w:p>
        </w:tc>
        <w:tc>
          <w:tcPr>
            <w:shd w:val="clear" w:color="auto" w:fill="auto"/>
            <w:tcW w:w="2520"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rPr>
              <w:t xml:space="preserve">天安舞台、法尔胜、狼山</w:t>
            </w:r>
            <w:r/>
          </w:p>
        </w:tc>
      </w:tr>
      <w:tr>
        <w:trPr>
          <w:jc w:val="center"/>
          <w:trHeight w:val="510"/>
        </w:trPr>
        <w:tc>
          <w:tcPr>
            <w:shd w:val="clear" w:color="auto" w:fill="auto"/>
            <w:tcW w:w="698"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lang w:val="en-US"/>
              </w:rPr>
              <w:t xml:space="preserve">79</w:t>
            </w:r>
            <w:r/>
          </w:p>
        </w:tc>
        <w:tc>
          <w:tcPr>
            <w:shd w:val="clear" w:color="auto" w:fill="auto"/>
            <w:tcW w:w="1781"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灯光吊杆收线器</w:t>
            </w:r>
            <w:r/>
          </w:p>
        </w:tc>
        <w:tc>
          <w:tcPr>
            <w:shd w:val="clear" w:color="auto" w:fill="auto"/>
            <w:tcW w:w="2520"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rPr>
              <w:t xml:space="preserve">天安舞台、影星®、春宇</w:t>
            </w:r>
            <w:r/>
          </w:p>
        </w:tc>
      </w:tr>
      <w:tr>
        <w:trPr>
          <w:jc w:val="center"/>
          <w:trHeight w:val="510"/>
        </w:trPr>
        <w:tc>
          <w:tcPr>
            <w:shd w:val="clear" w:color="auto" w:fill="auto"/>
            <w:tcW w:w="698"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lang w:val="en-US"/>
              </w:rPr>
              <w:t xml:space="preserve">80</w:t>
            </w:r>
            <w:r/>
          </w:p>
        </w:tc>
        <w:tc>
          <w:tcPr>
            <w:shd w:val="clear" w:color="auto" w:fill="auto"/>
            <w:tcW w:w="1781"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舞台机械PLC控制系统</w:t>
            </w:r>
            <w:r/>
          </w:p>
        </w:tc>
        <w:tc>
          <w:tcPr>
            <w:shd w:val="clear" w:color="auto" w:fill="auto"/>
            <w:tcW w:w="2520"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rPr>
              <w:t xml:space="preserve">天安舞台、影星®、春宇</w:t>
            </w:r>
            <w:r/>
          </w:p>
        </w:tc>
      </w:tr>
      <w:tr>
        <w:trPr>
          <w:jc w:val="center"/>
          <w:trHeight w:val="510"/>
        </w:trPr>
        <w:tc>
          <w:tcPr>
            <w:shd w:val="clear" w:color="auto" w:fill="auto"/>
            <w:tcW w:w="698"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lang w:val="en-US"/>
              </w:rPr>
              <w:t xml:space="preserve">81</w:t>
            </w:r>
            <w:r/>
          </w:p>
        </w:tc>
        <w:tc>
          <w:tcPr>
            <w:shd w:val="clear" w:color="auto" w:fill="auto"/>
            <w:tcW w:w="1781"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舞台机械动力系统</w:t>
            </w:r>
            <w:r/>
          </w:p>
        </w:tc>
        <w:tc>
          <w:tcPr>
            <w:shd w:val="clear" w:color="auto" w:fill="auto"/>
            <w:tcW w:w="2520"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rPr>
              <w:t xml:space="preserve">天安舞台、影星®、春宇</w:t>
            </w:r>
            <w:r/>
          </w:p>
        </w:tc>
      </w:tr>
      <w:tr>
        <w:trPr>
          <w:jc w:val="center"/>
          <w:trHeight w:val="510"/>
        </w:trPr>
        <w:tc>
          <w:tcPr>
            <w:shd w:val="clear" w:color="auto" w:fill="auto"/>
            <w:tcW w:w="698"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lang w:val="en-US"/>
              </w:rPr>
              <w:t xml:space="preserve">82</w:t>
            </w:r>
            <w:r/>
          </w:p>
        </w:tc>
        <w:tc>
          <w:tcPr>
            <w:shd w:val="clear" w:color="auto" w:fill="auto"/>
            <w:tcW w:w="1781"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断火装置</w:t>
            </w:r>
            <w:r/>
          </w:p>
        </w:tc>
        <w:tc>
          <w:tcPr>
            <w:shd w:val="clear" w:color="auto" w:fill="auto"/>
            <w:tcW w:w="2520"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rPr>
              <w:t xml:space="preserve">天安舞台、影星®、春宇</w:t>
            </w:r>
            <w:r/>
          </w:p>
        </w:tc>
      </w:tr>
      <w:tr>
        <w:trPr>
          <w:jc w:val="center"/>
          <w:trHeight w:val="510"/>
        </w:trPr>
        <w:tc>
          <w:tcPr>
            <w:shd w:val="clear" w:color="auto" w:fill="auto"/>
            <w:tcW w:w="698"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lang w:val="en-US"/>
              </w:rPr>
              <w:t xml:space="preserve">83</w:t>
            </w:r>
            <w:r/>
          </w:p>
        </w:tc>
        <w:tc>
          <w:tcPr>
            <w:shd w:val="clear" w:color="auto" w:fill="auto"/>
            <w:tcW w:w="1781"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舞台葡萄架</w:t>
            </w:r>
            <w:r/>
          </w:p>
        </w:tc>
        <w:tc>
          <w:tcPr>
            <w:shd w:val="clear" w:color="auto" w:fill="auto"/>
            <w:tcW w:w="2520"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rPr>
              <w:t xml:space="preserve">天安舞台、影星®、春宇</w:t>
            </w:r>
            <w:r/>
          </w:p>
        </w:tc>
      </w:tr>
      <w:tr>
        <w:trPr>
          <w:jc w:val="center"/>
          <w:trHeight w:val="510"/>
        </w:trPr>
        <w:tc>
          <w:tcPr>
            <w:shd w:val="clear" w:color="auto" w:fill="auto"/>
            <w:tcW w:w="698"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lang w:val="en-US"/>
              </w:rPr>
              <w:t xml:space="preserve">84</w:t>
            </w:r>
            <w:r/>
          </w:p>
        </w:tc>
        <w:tc>
          <w:tcPr>
            <w:shd w:val="clear" w:color="auto" w:fill="auto"/>
            <w:tcW w:w="1781"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机械附件</w:t>
            </w:r>
            <w:r/>
          </w:p>
        </w:tc>
        <w:tc>
          <w:tcPr>
            <w:shd w:val="clear" w:color="auto" w:fill="auto"/>
            <w:tcW w:w="2520"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rPr>
              <w:t xml:space="preserve">天安舞台、影星®、春宇</w:t>
            </w:r>
            <w:r/>
          </w:p>
        </w:tc>
      </w:tr>
      <w:tr>
        <w:trPr>
          <w:jc w:val="center"/>
          <w:trHeight w:val="510"/>
        </w:trPr>
        <w:tc>
          <w:tcPr>
            <w:shd w:val="clear" w:color="auto" w:fill="auto"/>
            <w:tcW w:w="698"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lang w:val="en-US"/>
              </w:rPr>
              <w:t xml:space="preserve">85</w:t>
            </w:r>
            <w:r/>
          </w:p>
        </w:tc>
        <w:tc>
          <w:tcPr>
            <w:shd w:val="clear" w:color="auto" w:fill="auto"/>
            <w:tcW w:w="1781"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前檐幕 </w:t>
            </w:r>
            <w:r/>
          </w:p>
        </w:tc>
        <w:tc>
          <w:tcPr>
            <w:shd w:val="clear" w:color="auto" w:fill="auto"/>
            <w:tcW w:w="2520"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rPr>
              <w:t xml:space="preserve">天安舞台、影星®、春宇</w:t>
            </w:r>
            <w:r/>
          </w:p>
        </w:tc>
      </w:tr>
      <w:tr>
        <w:trPr>
          <w:jc w:val="center"/>
          <w:trHeight w:val="510"/>
        </w:trPr>
        <w:tc>
          <w:tcPr>
            <w:shd w:val="clear" w:color="auto" w:fill="auto"/>
            <w:tcW w:w="698"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lang w:val="en-US"/>
              </w:rPr>
              <w:t xml:space="preserve">86</w:t>
            </w:r>
            <w:r/>
          </w:p>
        </w:tc>
        <w:tc>
          <w:tcPr>
            <w:shd w:val="clear" w:color="auto" w:fill="auto"/>
            <w:tcW w:w="1781"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大幕</w:t>
            </w:r>
            <w:r/>
          </w:p>
        </w:tc>
        <w:tc>
          <w:tcPr>
            <w:shd w:val="clear" w:color="auto" w:fill="auto"/>
            <w:tcW w:w="2520"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rPr>
              <w:t xml:space="preserve">天安舞台、影星®、春宇</w:t>
            </w:r>
            <w:r/>
          </w:p>
        </w:tc>
      </w:tr>
      <w:tr>
        <w:trPr>
          <w:jc w:val="center"/>
          <w:trHeight w:val="510"/>
        </w:trPr>
        <w:tc>
          <w:tcPr>
            <w:shd w:val="clear" w:color="auto" w:fill="auto"/>
            <w:tcW w:w="698"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lang w:val="en-US"/>
              </w:rPr>
              <w:t xml:space="preserve">87</w:t>
            </w:r>
            <w:r/>
          </w:p>
        </w:tc>
        <w:tc>
          <w:tcPr>
            <w:shd w:val="clear" w:color="auto" w:fill="auto"/>
            <w:tcW w:w="1781"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横条幕</w:t>
            </w:r>
            <w:r/>
          </w:p>
        </w:tc>
        <w:tc>
          <w:tcPr>
            <w:shd w:val="clear" w:color="auto" w:fill="auto"/>
            <w:tcW w:w="2520"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rPr>
              <w:t xml:space="preserve">天安舞台、影星®、春宇</w:t>
            </w:r>
            <w:r/>
          </w:p>
        </w:tc>
      </w:tr>
      <w:tr>
        <w:trPr>
          <w:jc w:val="center"/>
          <w:trHeight w:val="510"/>
        </w:trPr>
        <w:tc>
          <w:tcPr>
            <w:shd w:val="clear" w:color="auto" w:fill="auto"/>
            <w:tcW w:w="698"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lang w:val="en-US"/>
              </w:rPr>
              <w:t xml:space="preserve">88</w:t>
            </w:r>
            <w:r/>
          </w:p>
        </w:tc>
        <w:tc>
          <w:tcPr>
            <w:shd w:val="clear" w:color="auto" w:fill="auto"/>
            <w:tcW w:w="1781"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侧条幕</w:t>
            </w:r>
            <w:r/>
          </w:p>
        </w:tc>
        <w:tc>
          <w:tcPr>
            <w:shd w:val="clear" w:color="auto" w:fill="auto"/>
            <w:tcW w:w="2520"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rPr>
              <w:t xml:space="preserve">天安舞台、影星®、春宇</w:t>
            </w:r>
            <w:r/>
          </w:p>
        </w:tc>
      </w:tr>
      <w:tr>
        <w:trPr>
          <w:jc w:val="center"/>
          <w:trHeight w:val="510"/>
        </w:trPr>
        <w:tc>
          <w:tcPr>
            <w:shd w:val="clear" w:color="auto" w:fill="auto"/>
            <w:tcW w:w="698"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lang w:val="en-US"/>
              </w:rPr>
              <w:t xml:space="preserve">89</w:t>
            </w:r>
            <w:r/>
          </w:p>
        </w:tc>
        <w:tc>
          <w:tcPr>
            <w:shd w:val="clear" w:color="auto" w:fill="auto"/>
            <w:tcW w:w="1781"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会议幕</w:t>
            </w:r>
            <w:r/>
          </w:p>
        </w:tc>
        <w:tc>
          <w:tcPr>
            <w:shd w:val="clear" w:color="auto" w:fill="auto"/>
            <w:tcW w:w="2520"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rPr>
              <w:t xml:space="preserve">天安舞台、影星®、春宇</w:t>
            </w:r>
            <w:r/>
          </w:p>
        </w:tc>
      </w:tr>
      <w:tr>
        <w:trPr>
          <w:jc w:val="center"/>
          <w:trHeight w:val="510"/>
        </w:trPr>
        <w:tc>
          <w:tcPr>
            <w:shd w:val="clear" w:color="auto" w:fill="auto"/>
            <w:tcW w:w="698"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lang w:val="en-US"/>
              </w:rPr>
              <w:t xml:space="preserve">90</w:t>
            </w:r>
            <w:r/>
          </w:p>
        </w:tc>
        <w:tc>
          <w:tcPr>
            <w:shd w:val="clear" w:color="auto" w:fill="auto"/>
            <w:tcW w:w="1781"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幕布衬里</w:t>
            </w:r>
            <w:r/>
          </w:p>
        </w:tc>
        <w:tc>
          <w:tcPr>
            <w:shd w:val="clear" w:color="auto" w:fill="auto"/>
            <w:tcW w:w="2520"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rPr>
              <w:t xml:space="preserve">天安舞台、影星®、春宇</w:t>
            </w:r>
            <w:r/>
          </w:p>
        </w:tc>
      </w:tr>
      <w:tr>
        <w:trPr>
          <w:jc w:val="center"/>
          <w:trHeight w:val="510"/>
        </w:trPr>
        <w:tc>
          <w:tcPr>
            <w:shd w:val="clear" w:color="auto" w:fill="auto"/>
            <w:tcW w:w="698"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lang w:val="en-US"/>
              </w:rPr>
              <w:t xml:space="preserve">91</w:t>
            </w:r>
            <w:r/>
          </w:p>
        </w:tc>
        <w:tc>
          <w:tcPr>
            <w:shd w:val="clear" w:color="auto" w:fill="auto"/>
            <w:tcW w:w="1781"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线阵列音箱配套吊架</w:t>
            </w:r>
            <w:r/>
          </w:p>
        </w:tc>
        <w:tc>
          <w:tcPr>
            <w:shd w:val="clear" w:color="auto" w:fill="auto"/>
            <w:tcW w:w="2520"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rPr>
              <w:t xml:space="preserve">湖山、锐丰、京邦</w:t>
            </w:r>
            <w:r/>
          </w:p>
        </w:tc>
      </w:tr>
      <w:tr>
        <w:trPr>
          <w:jc w:val="center"/>
          <w:trHeight w:val="510"/>
        </w:trPr>
        <w:tc>
          <w:tcPr>
            <w:shd w:val="clear" w:color="auto" w:fill="auto"/>
            <w:tcW w:w="698"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lang w:val="en-US"/>
              </w:rPr>
              <w:t xml:space="preserve">92</w:t>
            </w:r>
            <w:r/>
          </w:p>
        </w:tc>
        <w:tc>
          <w:tcPr>
            <w:shd w:val="clear" w:color="auto" w:fill="auto"/>
            <w:tcW w:w="1781"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线阵列音箱配套转接架</w:t>
            </w:r>
            <w:r/>
          </w:p>
        </w:tc>
        <w:tc>
          <w:tcPr>
            <w:shd w:val="clear" w:color="auto" w:fill="auto"/>
            <w:tcW w:w="2520"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rPr>
              <w:t xml:space="preserve">湖山、锐丰、京邦</w:t>
            </w:r>
            <w:r/>
          </w:p>
        </w:tc>
      </w:tr>
      <w:tr>
        <w:trPr>
          <w:jc w:val="center"/>
          <w:trHeight w:val="510"/>
        </w:trPr>
        <w:tc>
          <w:tcPr>
            <w:shd w:val="clear" w:color="auto" w:fill="auto"/>
            <w:tcW w:w="698"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lang w:val="en-US"/>
              </w:rPr>
              <w:t xml:space="preserve">93</w:t>
            </w:r>
            <w:r/>
          </w:p>
        </w:tc>
        <w:tc>
          <w:tcPr>
            <w:shd w:val="clear" w:color="auto" w:fill="auto"/>
            <w:tcW w:w="1781"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专业音箱壁挂架</w:t>
            </w:r>
            <w:r/>
          </w:p>
        </w:tc>
        <w:tc>
          <w:tcPr>
            <w:shd w:val="clear" w:color="auto" w:fill="auto"/>
            <w:tcW w:w="2520"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rPr>
              <w:t xml:space="preserve">湖山、锐丰、京邦</w:t>
            </w:r>
            <w:r/>
          </w:p>
        </w:tc>
      </w:tr>
      <w:tr>
        <w:trPr>
          <w:jc w:val="center"/>
          <w:trHeight w:val="510"/>
        </w:trPr>
        <w:tc>
          <w:tcPr>
            <w:shd w:val="clear" w:color="auto" w:fill="auto"/>
            <w:tcW w:w="698"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lang w:val="en-US"/>
              </w:rPr>
              <w:t xml:space="preserve">94</w:t>
            </w:r>
            <w:r/>
          </w:p>
        </w:tc>
        <w:tc>
          <w:tcPr>
            <w:shd w:val="clear" w:color="auto" w:fill="auto"/>
            <w:tcW w:w="1781"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手持话筒落地支架</w:t>
            </w:r>
            <w:r/>
          </w:p>
        </w:tc>
        <w:tc>
          <w:tcPr>
            <w:shd w:val="clear" w:color="auto" w:fill="auto"/>
            <w:tcW w:w="2520"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rPr>
              <w:t xml:space="preserve">海康威视、大华、宇视</w:t>
            </w:r>
            <w:r/>
          </w:p>
        </w:tc>
      </w:tr>
      <w:tr>
        <w:trPr>
          <w:jc w:val="center"/>
          <w:trHeight w:val="510"/>
        </w:trPr>
        <w:tc>
          <w:tcPr>
            <w:shd w:val="clear" w:color="auto" w:fill="auto"/>
            <w:tcW w:w="698"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lang w:val="en-US"/>
              </w:rPr>
              <w:t xml:space="preserve">95</w:t>
            </w:r>
            <w:r/>
          </w:p>
        </w:tc>
        <w:tc>
          <w:tcPr>
            <w:shd w:val="clear" w:color="auto" w:fill="auto"/>
            <w:tcW w:w="1781"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球机摄像机支架</w:t>
            </w:r>
            <w:r/>
          </w:p>
        </w:tc>
        <w:tc>
          <w:tcPr>
            <w:shd w:val="clear" w:color="auto" w:fill="auto"/>
            <w:tcW w:w="2520"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rPr>
              <w:t xml:space="preserve">海康威视、大华、宇视</w:t>
            </w:r>
            <w:r/>
          </w:p>
        </w:tc>
      </w:tr>
      <w:tr>
        <w:trPr>
          <w:jc w:val="center"/>
          <w:trHeight w:val="510"/>
        </w:trPr>
        <w:tc>
          <w:tcPr>
            <w:shd w:val="clear" w:color="auto" w:fill="auto"/>
            <w:tcW w:w="698"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lang w:val="en-US"/>
              </w:rPr>
              <w:t xml:space="preserve">96</w:t>
            </w:r>
            <w:r/>
          </w:p>
        </w:tc>
        <w:tc>
          <w:tcPr>
            <w:shd w:val="clear" w:color="auto" w:fill="auto"/>
            <w:tcW w:w="1781"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枪机摄像机支架</w:t>
            </w:r>
            <w:r/>
          </w:p>
        </w:tc>
        <w:tc>
          <w:tcPr>
            <w:shd w:val="clear" w:color="auto" w:fill="auto"/>
            <w:tcW w:w="2520"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rPr>
              <w:t xml:space="preserve">海康威视、大华、宇视</w:t>
            </w:r>
            <w:r/>
          </w:p>
        </w:tc>
      </w:tr>
      <w:tr>
        <w:trPr>
          <w:jc w:val="center"/>
          <w:trHeight w:val="510"/>
        </w:trPr>
        <w:tc>
          <w:tcPr>
            <w:shd w:val="clear" w:color="auto" w:fill="auto"/>
            <w:tcW w:w="698"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lang w:val="en-US"/>
              </w:rPr>
              <w:t xml:space="preserve">97</w:t>
            </w:r>
            <w:r/>
          </w:p>
        </w:tc>
        <w:tc>
          <w:tcPr>
            <w:shd w:val="clear" w:color="auto" w:fill="auto"/>
            <w:tcW w:w="1781"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设备机柜A</w:t>
            </w:r>
            <w:r/>
          </w:p>
        </w:tc>
        <w:tc>
          <w:tcPr>
            <w:shd w:val="clear" w:color="auto" w:fill="auto"/>
            <w:tcW w:w="2520"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rPr>
              <w:t xml:space="preserve">图腾、辉腾、南诺信</w:t>
            </w:r>
            <w:r/>
          </w:p>
        </w:tc>
      </w:tr>
      <w:tr>
        <w:trPr>
          <w:jc w:val="center"/>
          <w:trHeight w:val="510"/>
        </w:trPr>
        <w:tc>
          <w:tcPr>
            <w:shd w:val="clear" w:color="auto" w:fill="auto"/>
            <w:tcW w:w="698"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lang w:val="en-US"/>
              </w:rPr>
              <w:t xml:space="preserve">98</w:t>
            </w:r>
            <w:r/>
          </w:p>
        </w:tc>
        <w:tc>
          <w:tcPr>
            <w:shd w:val="clear" w:color="auto" w:fill="auto"/>
            <w:tcW w:w="1781"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设备机柜B</w:t>
            </w:r>
            <w:r/>
          </w:p>
        </w:tc>
        <w:tc>
          <w:tcPr>
            <w:shd w:val="clear" w:color="auto" w:fill="auto"/>
            <w:tcW w:w="2520"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rPr>
              <w:t xml:space="preserve">图腾、辉腾、南诺信</w:t>
            </w:r>
            <w:r/>
          </w:p>
        </w:tc>
      </w:tr>
      <w:tr>
        <w:trPr>
          <w:jc w:val="center"/>
          <w:trHeight w:val="510"/>
        </w:trPr>
        <w:tc>
          <w:tcPr>
            <w:shd w:val="clear" w:color="auto" w:fill="auto"/>
            <w:tcW w:w="698"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lang w:val="en-US"/>
              </w:rPr>
              <w:t xml:space="preserve">99</w:t>
            </w:r>
            <w:r/>
          </w:p>
        </w:tc>
        <w:tc>
          <w:tcPr>
            <w:shd w:val="clear" w:color="auto" w:fill="auto"/>
            <w:tcW w:w="1781"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金银线</w:t>
            </w:r>
            <w:r/>
          </w:p>
        </w:tc>
        <w:tc>
          <w:tcPr>
            <w:shd w:val="clear" w:color="auto" w:fill="auto"/>
            <w:tcW w:w="2520"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rPr>
              <w:t xml:space="preserve">天诚、金佳佰业、绿联</w:t>
            </w:r>
            <w:r/>
          </w:p>
        </w:tc>
      </w:tr>
      <w:tr>
        <w:trPr>
          <w:jc w:val="center"/>
          <w:trHeight w:val="510"/>
        </w:trPr>
        <w:tc>
          <w:tcPr>
            <w:shd w:val="clear" w:color="auto" w:fill="auto"/>
            <w:tcW w:w="698"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lang w:val="en-US"/>
              </w:rPr>
              <w:t xml:space="preserve">100</w:t>
            </w:r>
            <w:r/>
          </w:p>
        </w:tc>
        <w:tc>
          <w:tcPr>
            <w:shd w:val="clear" w:color="auto" w:fill="auto"/>
            <w:tcW w:w="1781"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天线同轴线</w:t>
            </w:r>
            <w:r/>
          </w:p>
        </w:tc>
        <w:tc>
          <w:tcPr>
            <w:shd w:val="clear" w:color="auto" w:fill="auto"/>
            <w:tcW w:w="2520"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rPr>
              <w:t xml:space="preserve">天诚、金佳佰业、绿联</w:t>
            </w:r>
            <w:r/>
          </w:p>
        </w:tc>
      </w:tr>
      <w:tr>
        <w:trPr>
          <w:jc w:val="center"/>
          <w:trHeight w:val="510"/>
        </w:trPr>
        <w:tc>
          <w:tcPr>
            <w:shd w:val="clear" w:color="auto" w:fill="auto"/>
            <w:tcW w:w="698"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lang w:val="en-US"/>
              </w:rPr>
              <w:t xml:space="preserve">101</w:t>
            </w:r>
            <w:r/>
          </w:p>
        </w:tc>
        <w:tc>
          <w:tcPr>
            <w:shd w:val="clear" w:color="auto" w:fill="auto"/>
            <w:tcW w:w="1781"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话筒线</w:t>
            </w:r>
            <w:r/>
          </w:p>
        </w:tc>
        <w:tc>
          <w:tcPr>
            <w:shd w:val="clear" w:color="auto" w:fill="auto"/>
            <w:tcW w:w="2520"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rPr>
              <w:t xml:space="preserve">天诚、金佳佰业、绿联</w:t>
            </w:r>
            <w:r/>
          </w:p>
        </w:tc>
      </w:tr>
      <w:tr>
        <w:trPr>
          <w:jc w:val="center"/>
          <w:trHeight w:val="510"/>
        </w:trPr>
        <w:tc>
          <w:tcPr>
            <w:shd w:val="clear" w:color="auto" w:fill="auto"/>
            <w:tcW w:w="698"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lang w:val="en-US"/>
              </w:rPr>
              <w:t xml:space="preserve">102</w:t>
            </w:r>
            <w:r/>
          </w:p>
        </w:tc>
        <w:tc>
          <w:tcPr>
            <w:shd w:val="clear" w:color="auto" w:fill="auto"/>
            <w:tcW w:w="1781"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高清线</w:t>
            </w:r>
            <w:r/>
          </w:p>
        </w:tc>
        <w:tc>
          <w:tcPr>
            <w:shd w:val="clear" w:color="auto" w:fill="auto"/>
            <w:tcW w:w="2520"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rPr>
              <w:t xml:space="preserve">天诚、金佳佰业、绿联</w:t>
            </w:r>
            <w:r/>
          </w:p>
        </w:tc>
      </w:tr>
      <w:tr>
        <w:trPr>
          <w:jc w:val="center"/>
          <w:trHeight w:val="510"/>
        </w:trPr>
        <w:tc>
          <w:tcPr>
            <w:shd w:val="clear" w:color="auto" w:fill="auto"/>
            <w:tcW w:w="698"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lang w:val="en-US"/>
              </w:rPr>
              <w:t xml:space="preserve">103</w:t>
            </w:r>
            <w:r/>
          </w:p>
        </w:tc>
        <w:tc>
          <w:tcPr>
            <w:shd w:val="clear" w:color="auto" w:fill="auto"/>
            <w:tcW w:w="1781"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扁平线</w:t>
            </w:r>
            <w:r/>
          </w:p>
        </w:tc>
        <w:tc>
          <w:tcPr>
            <w:shd w:val="clear" w:color="auto" w:fill="auto"/>
            <w:tcW w:w="2520"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rPr>
              <w:t xml:space="preserve">天诚、金佳佰业、绿联</w:t>
            </w:r>
            <w:r/>
          </w:p>
        </w:tc>
      </w:tr>
      <w:tr>
        <w:trPr>
          <w:jc w:val="center"/>
          <w:trHeight w:val="510"/>
        </w:trPr>
        <w:tc>
          <w:tcPr>
            <w:shd w:val="clear" w:color="auto" w:fill="auto"/>
            <w:tcW w:w="698"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lang w:val="en-US"/>
              </w:rPr>
              <w:t xml:space="preserve">104</w:t>
            </w:r>
            <w:r/>
          </w:p>
        </w:tc>
        <w:tc>
          <w:tcPr>
            <w:shd w:val="clear" w:color="auto" w:fill="auto"/>
            <w:tcW w:w="1781"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电源线A</w:t>
            </w:r>
            <w:r/>
          </w:p>
        </w:tc>
        <w:tc>
          <w:tcPr>
            <w:shd w:val="clear" w:color="auto" w:fill="auto"/>
            <w:tcW w:w="2520"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rPr>
              <w:t xml:space="preserve">远东、沪安、江南</w:t>
            </w:r>
            <w:r/>
          </w:p>
        </w:tc>
      </w:tr>
      <w:tr>
        <w:trPr>
          <w:jc w:val="center"/>
          <w:trHeight w:val="510"/>
        </w:trPr>
        <w:tc>
          <w:tcPr>
            <w:shd w:val="clear" w:color="auto" w:fill="auto"/>
            <w:tcW w:w="698"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lang w:val="en-US"/>
              </w:rPr>
              <w:t xml:space="preserve">105</w:t>
            </w:r>
            <w:r/>
          </w:p>
        </w:tc>
        <w:tc>
          <w:tcPr>
            <w:shd w:val="clear" w:color="auto" w:fill="auto"/>
            <w:tcW w:w="1781"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电源线B</w:t>
            </w:r>
            <w:r/>
          </w:p>
        </w:tc>
        <w:tc>
          <w:tcPr>
            <w:shd w:val="clear" w:color="auto" w:fill="auto"/>
            <w:tcW w:w="2520"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rPr>
              <w:t xml:space="preserve">远东、沪安、江南</w:t>
            </w:r>
            <w:r/>
          </w:p>
        </w:tc>
      </w:tr>
      <w:tr>
        <w:trPr>
          <w:jc w:val="center"/>
          <w:trHeight w:val="510"/>
        </w:trPr>
        <w:tc>
          <w:tcPr>
            <w:shd w:val="clear" w:color="auto" w:fill="auto"/>
            <w:tcW w:w="698"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lang w:val="en-US"/>
              </w:rPr>
              <w:t xml:space="preserve">106</w:t>
            </w:r>
            <w:r/>
          </w:p>
        </w:tc>
        <w:tc>
          <w:tcPr>
            <w:shd w:val="clear" w:color="auto" w:fill="auto"/>
            <w:tcW w:w="1781"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网络线</w:t>
            </w:r>
            <w:r/>
          </w:p>
        </w:tc>
        <w:tc>
          <w:tcPr>
            <w:shd w:val="clear" w:color="auto" w:fill="auto"/>
            <w:tcW w:w="2520"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rPr>
              <w:t xml:space="preserve">绿联、海康、一舟</w:t>
            </w:r>
            <w:r/>
          </w:p>
        </w:tc>
      </w:tr>
      <w:tr>
        <w:trPr>
          <w:jc w:val="center"/>
          <w:trHeight w:val="510"/>
        </w:trPr>
        <w:tc>
          <w:tcPr>
            <w:shd w:val="clear" w:color="auto" w:fill="auto"/>
            <w:tcW w:w="698"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lang w:val="en-US"/>
              </w:rPr>
              <w:t xml:space="preserve">107</w:t>
            </w:r>
            <w:r/>
          </w:p>
        </w:tc>
        <w:tc>
          <w:tcPr>
            <w:shd w:val="clear" w:color="auto" w:fill="auto"/>
            <w:tcW w:w="1781"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控制线</w:t>
            </w:r>
            <w:r/>
          </w:p>
        </w:tc>
        <w:tc>
          <w:tcPr>
            <w:shd w:val="clear" w:color="auto" w:fill="auto"/>
            <w:tcW w:w="2520"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rPr>
              <w:t xml:space="preserve">远东、沪安、江南</w:t>
            </w:r>
            <w:r/>
          </w:p>
        </w:tc>
      </w:tr>
      <w:tr>
        <w:trPr>
          <w:jc w:val="center"/>
          <w:trHeight w:val="510"/>
        </w:trPr>
        <w:tc>
          <w:tcPr>
            <w:shd w:val="clear" w:color="auto" w:fill="auto"/>
            <w:tcW w:w="698"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lang w:val="en-US"/>
              </w:rPr>
              <w:t xml:space="preserve">108</w:t>
            </w:r>
            <w:r/>
          </w:p>
        </w:tc>
        <w:tc>
          <w:tcPr>
            <w:shd w:val="clear" w:color="auto" w:fill="auto"/>
            <w:tcW w:w="1781"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编码器线</w:t>
            </w:r>
            <w:r/>
          </w:p>
        </w:tc>
        <w:tc>
          <w:tcPr>
            <w:shd w:val="clear" w:color="auto" w:fill="auto"/>
            <w:tcW w:w="2520"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rPr>
              <w:t xml:space="preserve">远东、沪安、江南</w:t>
            </w:r>
            <w:r/>
          </w:p>
        </w:tc>
      </w:tr>
      <w:tr>
        <w:trPr>
          <w:jc w:val="center"/>
          <w:trHeight w:val="510"/>
        </w:trPr>
        <w:tc>
          <w:tcPr>
            <w:shd w:val="clear" w:color="auto" w:fill="auto"/>
            <w:tcW w:w="698"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lang w:val="en-US"/>
              </w:rPr>
              <w:t xml:space="preserve">109</w:t>
            </w:r>
            <w:r/>
          </w:p>
        </w:tc>
        <w:tc>
          <w:tcPr>
            <w:shd w:val="clear" w:color="auto" w:fill="auto"/>
            <w:tcW w:w="1781"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刹车线</w:t>
            </w:r>
            <w:r/>
          </w:p>
        </w:tc>
        <w:tc>
          <w:tcPr>
            <w:shd w:val="clear" w:color="auto" w:fill="auto"/>
            <w:tcW w:w="2520" w:type="pct"/>
            <w:vAlign w:val="center"/>
            <w:textDirection w:val="lrTb"/>
            <w:noWrap w:val="false"/>
          </w:tcPr>
          <w:p>
            <w:pPr>
              <w:jc w:val="center"/>
              <w:spacing w:before="156" w:after="156" w:line="280" w:lineRule="exact"/>
              <w:rPr>
                <w:color w:val="000000"/>
                <w:sz w:val="18"/>
                <w:szCs w:val="18"/>
                <w:lang w:val="en-US"/>
              </w:rPr>
            </w:pPr>
            <w:r>
              <w:rPr>
                <w:rFonts w:hint="eastAsia"/>
                <w:color w:val="000000"/>
                <w:sz w:val="18"/>
                <w:szCs w:val="18"/>
              </w:rPr>
              <w:t xml:space="preserve">远东、沪安、江南</w:t>
            </w:r>
            <w:r/>
          </w:p>
        </w:tc>
      </w:tr>
    </w:tbl>
    <w:p>
      <w:pPr>
        <w:pStyle w:val="908"/>
        <w:contextualSpacing/>
        <w:ind w:firstLine="480"/>
        <w:spacing w:line="360" w:lineRule="auto"/>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备注：投标人本工程采用品牌必须参考《主要材料品牌一览表》中的推荐品牌及相应质量要求报价，并清晰列出本工程项目中“投标人采用品牌”；如采用其他品牌时，应提供充分依据，证明采用的材料质量高于或相当于推荐品牌产品，否则其投标文件将视为无效标处理。</w:t>
      </w:r>
      <w:r/>
    </w:p>
    <w:p>
      <w:pPr>
        <w:pStyle w:val="1437"/>
        <w:contextualSpacing/>
        <w:ind w:firstLine="470"/>
        <w:spacing w:line="360" w:lineRule="auto"/>
        <w:rPr>
          <w:rFonts w:hAnsi="宋体"/>
          <w:b/>
          <w:bCs/>
          <w:color w:val="000000" w:themeColor="text1"/>
          <w14:textFill>
            <w14:solidFill>
              <w14:schemeClr w14:val="tx1"/>
            </w14:solidFill>
          </w14:textFill>
        </w:rPr>
      </w:pPr>
      <w:r>
        <w:rPr>
          <w:rFonts w:hint="eastAsia" w:hAnsi="宋体"/>
          <w:b/>
          <w:bCs/>
          <w:color w:val="000000" w:themeColor="text1"/>
          <w14:textFill>
            <w14:solidFill>
              <w14:schemeClr w14:val="tx1"/>
            </w14:solidFill>
          </w14:textFill>
        </w:rPr>
        <w:t xml:space="preserve">四、工程量清单及图纸</w:t>
      </w:r>
      <w:r/>
    </w:p>
    <w:p>
      <w:pPr>
        <w:pStyle w:val="1437"/>
        <w:contextualSpacing/>
        <w:ind w:firstLine="468"/>
        <w:spacing w:line="360" w:lineRule="auto"/>
        <w:rPr>
          <w:rFonts w:hAnsi="宋体"/>
          <w:b/>
          <w:bCs/>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详见附件。</w:t>
      </w:r>
      <w:r/>
    </w:p>
    <w:p>
      <w:pPr>
        <w:pStyle w:val="1437"/>
        <w:contextualSpacing/>
        <w:ind w:firstLine="442"/>
        <w:spacing w:line="360" w:lineRule="auto"/>
        <w:rPr>
          <w:rFonts w:hAnsi="宋体"/>
          <w:b/>
          <w:szCs w:val="22"/>
        </w:rPr>
      </w:pPr>
      <w:r>
        <w:rPr>
          <w:rFonts w:hint="eastAsia" w:hAnsi="宋体"/>
          <w:b/>
          <w:bCs/>
          <w:color w:val="000000" w:themeColor="text1"/>
          <w:sz w:val="22"/>
          <w:szCs w:val="22"/>
          <w14:textFill>
            <w14:solidFill>
              <w14:schemeClr w14:val="tx1"/>
            </w14:solidFill>
          </w14:textFill>
        </w:rPr>
        <w:t xml:space="preserve">五、</w:t>
      </w:r>
      <w:r>
        <w:rPr>
          <w:rFonts w:hAnsi="宋体"/>
          <w:b/>
          <w:szCs w:val="22"/>
        </w:rPr>
        <w:t xml:space="preserve">验收标准</w:t>
      </w:r>
      <w:r/>
    </w:p>
    <w:p>
      <w:pPr>
        <w:pStyle w:val="908"/>
        <w:contextualSpacing/>
        <w:ind w:firstLine="480"/>
        <w:spacing w:line="360" w:lineRule="auto"/>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1、符合国家现行质量验收标准，《建筑工程施工质量验收统一标准》，合同约定的其他要求；</w:t>
      </w:r>
      <w:r/>
    </w:p>
    <w:p>
      <w:pPr>
        <w:pStyle w:val="908"/>
        <w:contextualSpacing/>
        <w:ind w:firstLine="480"/>
        <w:spacing w:line="360" w:lineRule="auto"/>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2、青春剧场设施及设备满足招标文件参数要求，相关设施及设备品牌需在投标时明确（不得调整变更），项目竣工后配合校方进行资产入库；</w:t>
      </w:r>
      <w:r/>
    </w:p>
    <w:p>
      <w:pPr>
        <w:pStyle w:val="908"/>
        <w:contextualSpacing/>
        <w:ind w:firstLine="480"/>
        <w:spacing w:line="360" w:lineRule="auto"/>
        <w:rPr>
          <w:rFonts w:hAnsi="宋体"/>
          <w:b/>
          <w:color w:val="000000"/>
          <w:sz w:val="28"/>
          <w:lang w:val="en-US"/>
        </w:rPr>
      </w:pPr>
      <w:r>
        <w:rPr>
          <w:rFonts w:hint="eastAsia" w:hAnsi="宋体"/>
          <w:color w:val="000000" w:themeColor="text1"/>
          <w14:textFill>
            <w14:solidFill>
              <w14:schemeClr w14:val="tx1"/>
            </w14:solidFill>
          </w14:textFill>
        </w:rPr>
        <w:t xml:space="preserve">3、满足环保要求。</w:t>
      </w:r>
      <w:r/>
    </w:p>
    <w:p>
      <w:pPr>
        <w:pStyle w:val="1437"/>
        <w:contextualSpacing/>
        <w:ind w:firstLine="470"/>
        <w:spacing w:line="360" w:lineRule="auto"/>
        <w:rPr>
          <w:rFonts w:hAnsi="宋体"/>
          <w:color w:val="000000" w:themeColor="text1"/>
          <w14:textFill>
            <w14:solidFill>
              <w14:schemeClr w14:val="tx1"/>
            </w14:solidFill>
          </w14:textFill>
        </w:rPr>
      </w:pPr>
      <w:r>
        <w:rPr>
          <w:rFonts w:hint="eastAsia" w:hAnsi="宋体"/>
          <w:b/>
          <w:bCs/>
          <w:color w:val="000000" w:themeColor="text1"/>
          <w14:textFill>
            <w14:solidFill>
              <w14:schemeClr w14:val="tx1"/>
            </w14:solidFill>
          </w14:textFill>
        </w:rPr>
        <w:t xml:space="preserve">六、履约保证金</w:t>
      </w:r>
      <w:r/>
    </w:p>
    <w:p>
      <w:pPr>
        <w:pStyle w:val="1437"/>
        <w:contextualSpacing/>
        <w:ind w:firstLine="468"/>
        <w:spacing w:line="360" w:lineRule="auto"/>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双方签署合同时，中标单位需向学校缴纳合同价款 3% 的履约保证金。</w:t>
      </w:r>
      <w:r/>
    </w:p>
    <w:p>
      <w:pPr>
        <w:pStyle w:val="1437"/>
        <w:contextualSpacing/>
        <w:ind w:firstLine="482"/>
        <w:spacing w:line="360" w:lineRule="auto"/>
        <w:rPr>
          <w:rFonts w:hAnsi="宋体"/>
          <w:color w:val="000000" w:themeColor="text1"/>
          <w14:textFill>
            <w14:solidFill>
              <w14:schemeClr w14:val="tx1"/>
            </w14:solidFill>
          </w14:textFill>
        </w:rPr>
      </w:pPr>
      <w:r>
        <w:rPr>
          <w:rFonts w:hAnsi="宋体"/>
          <w:color w:val="000000" w:themeColor="text1"/>
          <w14:textFill>
            <w14:solidFill>
              <w14:schemeClr w14:val="tx1"/>
            </w14:solidFill>
          </w14:textFill>
        </w:rPr>
        <w:t xml:space="preserve">履约保证金在本工程竣工验收合格后转作质量保证金，自甲方组织的竣工验收合格报告签署之日起算的质保期（24个月）满后，且甲方确认工程无质量且无任何遗留问题后【14】日内，发包人一次性无息返还乙方质量保证金（扣除因质量问题引起的维修费用、质量赔偿金及其他违约金等）。质量保证金支付程序：在缺陷责任期内，由发包人通知承包人进行该工程</w:t>
      </w:r>
      <w:r>
        <w:rPr>
          <w:rFonts w:hAnsi="宋体"/>
          <w:color w:val="000000" w:themeColor="text1"/>
          <w:sz w:val="21"/>
          <w:szCs w:val="21"/>
          <w14:textFill>
            <w14:solidFill>
              <w14:schemeClr w14:val="tx1"/>
            </w14:solidFill>
          </w14:textFill>
        </w:rPr>
        <w:t xml:space="preserve">的维修事项，若乙方尽心尽责的服务，甲方满意，则质保期（24个月）满后，经甲方单位盖章，无息返还乙方质量保证金。若乙方不能及时响应或保质处理维修事项，</w:t>
      </w:r>
      <w:r>
        <w:rPr>
          <w:rFonts w:hint="eastAsia" w:hAnsi="宋体"/>
          <w:color w:val="000000" w:themeColor="text1"/>
          <w:sz w:val="21"/>
          <w:szCs w:val="21"/>
          <w14:textFill>
            <w14:solidFill>
              <w14:schemeClr w14:val="tx1"/>
            </w14:solidFill>
          </w14:textFill>
        </w:rPr>
        <w:t xml:space="preserve">甲方有权另找工程队维修，所发生的费用从质量保证金中支付。</w:t>
      </w:r>
      <w:r/>
    </w:p>
    <w:p>
      <w:pPr>
        <w:pStyle w:val="1437"/>
        <w:contextualSpacing/>
        <w:ind w:firstLine="482"/>
        <w:spacing w:line="360" w:lineRule="auto"/>
        <w:rPr>
          <w:rFonts w:hAnsi="宋体"/>
          <w:color w:val="000000" w:themeColor="text1"/>
          <w14:textFill>
            <w14:solidFill>
              <w14:schemeClr w14:val="tx1"/>
            </w14:solidFill>
          </w14:textFill>
        </w:rPr>
      </w:pPr>
      <w:r>
        <w:rPr>
          <w:rFonts w:hint="eastAsia" w:hAnsi="宋体"/>
          <w:b/>
          <w:color w:val="000000" w:themeColor="text1"/>
          <w14:textFill>
            <w14:solidFill>
              <w14:schemeClr w14:val="tx1"/>
            </w14:solidFill>
          </w14:textFill>
        </w:rPr>
        <w:t xml:space="preserve">七</w:t>
      </w:r>
      <w:r>
        <w:rPr>
          <w:rFonts w:hint="eastAsia" w:hAnsi="宋体"/>
          <w:b/>
          <w:bCs/>
          <w:color w:val="000000" w:themeColor="text1"/>
          <w14:textFill>
            <w14:solidFill>
              <w14:schemeClr w14:val="tx1"/>
            </w14:solidFill>
          </w14:textFill>
        </w:rPr>
        <w:t xml:space="preserve">、质保要求</w:t>
      </w:r>
      <w:r/>
    </w:p>
    <w:p>
      <w:pPr>
        <w:pStyle w:val="1437"/>
        <w:contextualSpacing/>
        <w:ind w:firstLine="480"/>
        <w:spacing w:line="360" w:lineRule="auto"/>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自项目验收合格之日起，24个月。自发包人组织的竣工合格验收报告签署之日起计算。在缺陷责任期内，由发包人通知承包人进行该工程的维修事项，若承包人尽心尽责的服务，发包人满意，则缺陷责任期（24个月）满后，经发包人单位盖章，无息返还承包人质量保证金。若承包人不能及时响应或保质处理维修事项，发包人有权另找工程队维修，所发生的费用从质量保证金中支付。 </w:t>
      </w:r>
      <w:r/>
    </w:p>
    <w:p>
      <w:pPr>
        <w:pStyle w:val="1437"/>
        <w:contextualSpacing/>
        <w:ind w:firstLine="470"/>
        <w:spacing w:line="360" w:lineRule="auto"/>
        <w:rPr>
          <w:rFonts w:hAnsi="宋体"/>
          <w:color w:val="000000" w:themeColor="text1"/>
          <w14:textFill>
            <w14:solidFill>
              <w14:schemeClr w14:val="tx1"/>
            </w14:solidFill>
          </w14:textFill>
        </w:rPr>
      </w:pPr>
      <w:r>
        <w:rPr>
          <w:rFonts w:hint="eastAsia" w:hAnsi="宋体"/>
          <w:b/>
          <w:bCs/>
          <w:color w:val="000000" w:themeColor="text1"/>
          <w14:textFill>
            <w14:solidFill>
              <w14:schemeClr w14:val="tx1"/>
            </w14:solidFill>
          </w14:textFill>
        </w:rPr>
        <w:t xml:space="preserve">八、付款方式</w:t>
      </w:r>
      <w:r/>
    </w:p>
    <w:p>
      <w:pPr>
        <w:pStyle w:val="1437"/>
        <w:contextualSpacing/>
        <w:ind w:firstLine="468"/>
        <w:spacing w:line="360" w:lineRule="auto"/>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双方约定的工程款(进度款)支付的方式和时间：</w:t>
      </w:r>
      <w:r/>
    </w:p>
    <w:p>
      <w:pPr>
        <w:pStyle w:val="1437"/>
        <w:contextualSpacing/>
        <w:ind w:firstLine="468"/>
        <w:spacing w:line="360" w:lineRule="auto"/>
        <w:rPr>
          <w:rFonts w:hAnsi="宋体"/>
          <w:color w:val="000000" w:themeColor="text1"/>
          <w14:textFill>
            <w14:solidFill>
              <w14:schemeClr w14:val="tx1"/>
            </w14:solidFill>
          </w14:textFill>
        </w:rPr>
      </w:pPr>
      <w:r/>
      <w:bookmarkStart w:id="29" w:name="OLE_LINK15"/>
      <w:r/>
      <w:bookmarkStart w:id="30" w:name="OLE_LINK16"/>
      <w:r>
        <w:rPr>
          <w:rFonts w:hint="eastAsia" w:hAnsi="宋体"/>
          <w:color w:val="000000" w:themeColor="text1"/>
          <w14:textFill>
            <w14:solidFill>
              <w14:schemeClr w14:val="tx1"/>
            </w14:solidFill>
          </w14:textFill>
        </w:rPr>
        <w:t xml:space="preserve">1、工程结束，项目竣工验收完毕后，乙方应在60日内按甲方要求将项目结算资料送交甲方审计部门审计，甲方审计部门对乙方出具的项目结算资料无异议后15日内，承包人提供与当期应付款项金额相一致的足额发票，发包人向承包人付至合同暂定价的70％。</w:t>
      </w:r>
      <w:r/>
    </w:p>
    <w:p>
      <w:pPr>
        <w:pStyle w:val="1437"/>
        <w:contextualSpacing/>
        <w:ind w:firstLine="468"/>
        <w:spacing w:line="360" w:lineRule="auto"/>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2、项目决算审计结束后十五个工作日内，乙方配合使用方进行固定资产登记,甲方付至结算审计审定价的100％。履约保证金（合同签约价的3％）在本工程竣工并经发包人组织的验收合格后，自发包人组织的工程竣工验收合格报告签署之日起转为质量保证金，质保期24个月（自发包人组织的工程竣工验收合格报告签署之日起算），质保期满且发包人确认工程无质量问题且无任何遗留问题后，发包人一次性无息返还承包人质量保证金（扣除因质量问题引起的维修费用、违约赔偿金及其他违约金等）。</w:t>
      </w:r>
      <w:bookmarkEnd w:id="29"/>
      <w:r/>
      <w:bookmarkEnd w:id="30"/>
      <w:r/>
      <w:r/>
    </w:p>
    <w:p>
      <w:pPr>
        <w:ind w:firstLine="482"/>
        <w:spacing w:line="360" w:lineRule="auto"/>
        <w:rPr>
          <w:b/>
          <w:bCs/>
          <w:color w:val="000000"/>
          <w:sz w:val="24"/>
          <w:szCs w:val="24"/>
          <w:lang w:val="en-US" w:bidi="ar-SA"/>
        </w:rPr>
      </w:pPr>
      <w:r>
        <w:rPr>
          <w:rFonts w:hint="eastAsia"/>
          <w:b/>
          <w:bCs/>
          <w:color w:val="000000"/>
          <w:sz w:val="24"/>
          <w:szCs w:val="24"/>
          <w:lang w:val="en-US" w:bidi="ar-SA"/>
        </w:rPr>
        <w:t xml:space="preserve">★九、其他要求</w:t>
      </w:r>
      <w:r/>
    </w:p>
    <w:p>
      <w:pPr>
        <w:ind w:firstLine="480"/>
        <w:spacing w:line="360" w:lineRule="auto"/>
        <w:rPr>
          <w:color w:val="000000"/>
          <w:sz w:val="24"/>
          <w:szCs w:val="24"/>
          <w:lang w:val="en-US" w:bidi="ar-SA"/>
        </w:rPr>
      </w:pPr>
      <w:r>
        <w:rPr>
          <w:rFonts w:hint="eastAsia"/>
          <w:color w:val="000000"/>
          <w:sz w:val="24"/>
          <w:szCs w:val="24"/>
          <w:lang w:val="en-US" w:bidi="ar-SA"/>
        </w:rPr>
        <w:t xml:space="preserve">1、建设工程企业资质证书有效期延期执行国家及省、市相关文件规定。</w:t>
      </w:r>
      <w:r/>
    </w:p>
    <w:p>
      <w:pPr>
        <w:ind w:firstLine="480"/>
        <w:spacing w:line="360" w:lineRule="auto"/>
        <w:rPr>
          <w:b/>
          <w:bCs/>
          <w:color w:val="000000"/>
          <w:sz w:val="24"/>
          <w:szCs w:val="24"/>
          <w:lang w:val="en-US" w:bidi="ar-SA"/>
        </w:rPr>
      </w:pPr>
      <w:r>
        <w:rPr>
          <w:color w:val="000000"/>
          <w:sz w:val="24"/>
          <w:szCs w:val="24"/>
          <w:lang w:val="en-US" w:bidi="ar-SA"/>
        </w:rPr>
        <w:t xml:space="preserve">2</w:t>
      </w:r>
      <w:r>
        <w:rPr>
          <w:rFonts w:hint="eastAsia"/>
          <w:color w:val="000000"/>
          <w:sz w:val="24"/>
          <w:szCs w:val="24"/>
          <w:lang w:val="en-US" w:bidi="ar-SA"/>
        </w:rPr>
        <w:t xml:space="preserve">、根据住房和城乡建设部办公厅关于全面</w:t>
      </w:r>
      <w:r>
        <w:rPr>
          <w:rFonts w:hint="eastAsia"/>
          <w:color w:val="000000"/>
          <w:sz w:val="24"/>
          <w:szCs w:val="24"/>
          <w:lang w:val="en-US" w:bidi="ar-SA"/>
        </w:rPr>
        <w:t xml:space="preserve">实行一级建造师电子注册证书的通知（建办市〔2021〕40号）要求，自2022年10月15日起，在全国范围内实行一级建造师电子证书，电子证书式样按照《全国一体化在线政务服务平台电子证照一级建造师注册证书》标准执行。自2022年1月1日起，一级建造师统一使用电子证书，纸质注册证书作废。各投标人须提供一级建造师证书电子注册证书，电子注册证书应当符合相关文件规定，签名图像应当与持证人个人手写签名笔迹一致，证书应当在使用有效期限内。若提供的电子件无法识别有效信息的，视为无效。投标人将自行承担资格审查不通过等相应后果。</w:t>
      </w:r>
      <w:r>
        <w:rPr>
          <w:rFonts w:hint="eastAsia"/>
          <w:b/>
          <w:bCs/>
          <w:color w:val="000000"/>
          <w:sz w:val="24"/>
          <w:szCs w:val="24"/>
          <w:lang w:val="en-US" w:bidi="ar-SA"/>
        </w:rPr>
        <w:t xml:space="preserve"> </w:t>
      </w:r>
      <w:r/>
    </w:p>
    <w:p>
      <w:pPr>
        <w:ind w:firstLine="480"/>
        <w:jc w:val="both"/>
        <w:spacing w:before="100" w:after="100" w:line="300" w:lineRule="auto"/>
        <w:rPr>
          <w:rFonts w:ascii="Times New Roman" w:hAnsi="Times New Roman" w:cs="Times New Roman"/>
          <w:sz w:val="24"/>
          <w:szCs w:val="24"/>
          <w:lang w:val="en-US" w:bidi="ar-SA"/>
        </w:rPr>
      </w:pPr>
      <w:r>
        <w:rPr>
          <w:rFonts w:hint="eastAsia" w:ascii="Times New Roman" w:hAnsi="Times New Roman" w:cs="Times New Roman"/>
          <w:sz w:val="24"/>
          <w:szCs w:val="24"/>
          <w:lang w:val="en-US" w:bidi="ar-SA"/>
        </w:rPr>
        <w:t xml:space="preserve">3、根据苏建函建管〔2019〕393号文及建办市〔2019〕50号文规定，已取消一级、二级临时建造师执业证书，因此本项目不接受持临时建造师执业资格的项目负责人投标。</w:t>
      </w:r>
      <w:r/>
    </w:p>
    <w:p>
      <w:pPr>
        <w:pStyle w:val="1437"/>
        <w:contextualSpacing/>
        <w:ind w:firstLine="468"/>
        <w:spacing w:line="360" w:lineRule="auto"/>
        <w:rPr>
          <w:rFonts w:hAnsi="宋体"/>
          <w:color w:val="000000" w:themeColor="text1"/>
          <w:sz w:val="22"/>
          <w:szCs w:val="22"/>
          <w14:textFill>
            <w14:solidFill>
              <w14:schemeClr w14:val="tx1"/>
            </w14:solidFill>
          </w14:textFill>
        </w:rPr>
      </w:pPr>
      <w:r>
        <w:rPr>
          <w:rFonts w:hAnsi="宋体"/>
          <w:color w:val="000000" w:themeColor="text1"/>
          <w:sz w:val="22"/>
          <w:szCs w:val="22"/>
          <w14:textFill>
            <w14:solidFill>
              <w14:schemeClr w14:val="tx1"/>
            </w14:solidFill>
          </w14:textFill>
        </w:rPr>
      </w:r>
      <w:r/>
    </w:p>
    <w:p>
      <w:pPr>
        <w:pStyle w:val="1437"/>
        <w:contextualSpacing/>
        <w:ind w:firstLine="470"/>
        <w:spacing w:line="360" w:lineRule="auto"/>
        <w:rPr>
          <w:rFonts w:hAnsi="宋体"/>
          <w:b/>
          <w:bCs/>
          <w:color w:val="000000" w:themeColor="text1"/>
          <w14:textFill>
            <w14:solidFill>
              <w14:schemeClr w14:val="tx1"/>
            </w14:solidFill>
          </w14:textFill>
        </w:rPr>
      </w:pPr>
      <w:r>
        <w:rPr>
          <w:rFonts w:hAnsi="宋体"/>
          <w:b/>
          <w:bCs/>
          <w:color w:val="000000" w:themeColor="text1"/>
          <w14:textFill>
            <w14:solidFill>
              <w14:schemeClr w14:val="tx1"/>
            </w14:solidFill>
          </w14:textFill>
        </w:rPr>
      </w:r>
      <w:r/>
    </w:p>
    <w:p>
      <w:pPr>
        <w:rPr>
          <w:rFonts w:ascii="黑体" w:eastAsia="黑体"/>
          <w:b/>
          <w:bCs/>
          <w:color w:val="000000" w:themeColor="text1"/>
          <w:sz w:val="36"/>
          <w14:textFill>
            <w14:solidFill>
              <w14:schemeClr w14:val="tx1"/>
            </w14:solidFill>
          </w14:textFill>
        </w:rPr>
      </w:pPr>
      <w:r>
        <w:rPr>
          <w:rFonts w:hint="eastAsia" w:ascii="黑体" w:eastAsia="黑体"/>
          <w:b/>
          <w:bCs/>
          <w:color w:val="000000" w:themeColor="text1"/>
          <w:sz w:val="36"/>
          <w14:textFill>
            <w14:solidFill>
              <w14:schemeClr w14:val="tx1"/>
            </w14:solidFill>
          </w14:textFill>
        </w:rPr>
        <w:br w:type="page" w:clear="all"/>
      </w:r>
      <w:r/>
    </w:p>
    <w:p>
      <w:pPr>
        <w:ind w:right="40"/>
        <w:jc w:val="center"/>
        <w:spacing w:before="29"/>
        <w:tabs>
          <w:tab w:val="left" w:pos="1439" w:leader="none"/>
        </w:tabs>
        <w:rPr>
          <w:rFonts w:ascii="黑体" w:eastAsia="黑体"/>
          <w:b/>
          <w:bCs/>
          <w:color w:val="000000" w:themeColor="text1"/>
          <w:sz w:val="36"/>
          <w14:textFill>
            <w14:solidFill>
              <w14:schemeClr w14:val="tx1"/>
            </w14:solidFill>
          </w14:textFill>
        </w:rPr>
        <w:outlineLvl w:val="0"/>
      </w:pPr>
      <w:r>
        <w:rPr>
          <w:rFonts w:hint="eastAsia" w:ascii="黑体" w:eastAsia="黑体"/>
          <w:b/>
          <w:bCs/>
          <w:color w:val="000000" w:themeColor="text1"/>
          <w:sz w:val="36"/>
          <w14:textFill>
            <w14:solidFill>
              <w14:schemeClr w14:val="tx1"/>
            </w14:solidFill>
          </w14:textFill>
        </w:rPr>
        <w:t xml:space="preserve">第五章</w:t>
      </w:r>
      <w:bookmarkEnd w:id="26"/>
      <w:r/>
      <w:bookmarkStart w:id="31" w:name="_Toc11634"/>
      <w:r>
        <w:rPr>
          <w:rFonts w:hint="eastAsia" w:ascii="黑体" w:eastAsia="黑体"/>
          <w:b/>
          <w:bCs/>
          <w:color w:val="000000" w:themeColor="text1"/>
          <w:sz w:val="36"/>
          <w:lang w:val="en-US"/>
          <w14:textFill>
            <w14:solidFill>
              <w14:schemeClr w14:val="tx1"/>
            </w14:solidFill>
          </w14:textFill>
        </w:rPr>
        <w:t xml:space="preserve"> </w:t>
      </w:r>
      <w:r>
        <w:rPr>
          <w:rFonts w:hint="eastAsia" w:ascii="黑体" w:eastAsia="黑体"/>
          <w:b/>
          <w:bCs/>
          <w:color w:val="000000" w:themeColor="text1"/>
          <w:sz w:val="36"/>
          <w14:textFill>
            <w14:solidFill>
              <w14:schemeClr w14:val="tx1"/>
            </w14:solidFill>
          </w14:textFill>
        </w:rPr>
        <w:t xml:space="preserve">合同主要条款及格式</w:t>
      </w:r>
      <w:r/>
    </w:p>
    <w:p>
      <w:pPr>
        <w:rPr>
          <w:rFonts w:ascii="微软雅黑"/>
          <w:b/>
          <w:color w:val="000000" w:themeColor="text1"/>
          <w:sz w:val="21"/>
          <w:szCs w:val="24"/>
          <w14:textFill>
            <w14:solidFill>
              <w14:schemeClr w14:val="tx1"/>
            </w14:solidFill>
          </w14:textFill>
        </w:rPr>
      </w:pPr>
      <w:r>
        <w:rPr>
          <w:rFonts w:ascii="微软雅黑"/>
          <w:b/>
          <w:color w:val="000000" w:themeColor="text1"/>
          <w:sz w:val="21"/>
          <w:szCs w:val="24"/>
          <w14:textFill>
            <w14:solidFill>
              <w14:schemeClr w14:val="tx1"/>
            </w14:solidFill>
          </w14:textFill>
        </w:rPr>
      </w:r>
      <w:r/>
    </w:p>
    <w:p>
      <w:pPr>
        <w:ind w:firstLine="521"/>
        <w:jc w:val="center"/>
        <w:spacing w:line="360" w:lineRule="auto"/>
        <w:rPr>
          <w:rFonts w:cs="Times New Roman"/>
          <w:b/>
          <w:sz w:val="52"/>
          <w:szCs w:val="52"/>
          <w:lang w:val="en-US" w:bidi="ar-SA"/>
        </w:rPr>
      </w:pPr>
      <w:r>
        <w:rPr>
          <w:rFonts w:cs="Times New Roman"/>
          <w:b/>
          <w:sz w:val="52"/>
          <w:szCs w:val="52"/>
          <w:lang w:val="en-US" w:bidi="ar-SA"/>
        </w:rPr>
      </w:r>
      <w:r/>
    </w:p>
    <w:p>
      <w:pPr>
        <w:ind w:firstLine="521"/>
        <w:jc w:val="center"/>
        <w:spacing w:line="360" w:lineRule="auto"/>
        <w:rPr>
          <w:rFonts w:cs="Times New Roman"/>
          <w:b/>
          <w:sz w:val="52"/>
          <w:szCs w:val="52"/>
          <w:lang w:val="en-US" w:bidi="ar-SA"/>
        </w:rPr>
      </w:pPr>
      <w:r>
        <w:rPr>
          <w:rFonts w:cs="Times New Roman"/>
          <w:b/>
          <w:sz w:val="52"/>
          <w:szCs w:val="52"/>
          <w:lang w:val="en-US" w:bidi="ar-SA"/>
        </w:rPr>
      </w:r>
      <w:r/>
    </w:p>
    <w:p>
      <w:pPr>
        <w:ind w:firstLine="521"/>
        <w:jc w:val="center"/>
        <w:spacing w:line="360" w:lineRule="auto"/>
        <w:rPr>
          <w:rFonts w:cs="Times New Roman"/>
          <w:b/>
          <w:sz w:val="52"/>
          <w:szCs w:val="52"/>
          <w:lang w:val="en-US" w:bidi="ar-SA"/>
        </w:rPr>
      </w:pPr>
      <w:r>
        <w:rPr>
          <w:rFonts w:cs="Times New Roman"/>
          <w:b/>
          <w:sz w:val="52"/>
          <w:szCs w:val="52"/>
          <w:lang w:val="en-US" w:bidi="ar-SA"/>
        </w:rPr>
      </w:r>
      <w:r/>
    </w:p>
    <w:p>
      <w:pPr>
        <w:ind w:firstLine="721"/>
        <w:jc w:val="center"/>
        <w:spacing w:line="360" w:lineRule="auto"/>
        <w:rPr>
          <w:rFonts w:cs="Times New Roman"/>
          <w:b/>
          <w:sz w:val="72"/>
          <w:szCs w:val="52"/>
          <w:lang w:val="en-US" w:bidi="ar-SA"/>
        </w:rPr>
      </w:pPr>
      <w:r>
        <w:rPr>
          <w:rFonts w:cs="Times New Roman"/>
          <w:b/>
          <w:sz w:val="72"/>
          <w:szCs w:val="52"/>
          <w:lang w:val="en-US" w:bidi="ar-SA"/>
        </w:rPr>
        <w:t xml:space="preserve">建设工程施工合同</w:t>
      </w:r>
      <w:r/>
    </w:p>
    <w:p>
      <w:pPr>
        <w:jc w:val="both"/>
        <w:keepLines/>
        <w:keepNext/>
        <w:spacing w:before="120" w:after="120"/>
        <w:rPr>
          <w:rFonts w:ascii="Cambria" w:hAnsi="Cambria" w:cs="Times New Roman"/>
          <w:b/>
          <w:bCs/>
          <w:sz w:val="28"/>
          <w:szCs w:val="28"/>
          <w:lang w:val="en-US" w:bidi="ar-SA"/>
        </w:rPr>
        <w:outlineLvl w:val="3"/>
      </w:pPr>
      <w:r>
        <w:rPr>
          <w:rFonts w:ascii="Cambria" w:hAnsi="Cambria" w:cs="Times New Roman"/>
          <w:b/>
          <w:bCs/>
          <w:sz w:val="28"/>
          <w:szCs w:val="28"/>
          <w:lang w:val="en-US" w:bidi="ar-SA"/>
        </w:rPr>
      </w:r>
      <w:r/>
    </w:p>
    <w:p>
      <w:pPr>
        <w:ind w:firstLine="521"/>
        <w:jc w:val="center"/>
        <w:spacing w:line="360" w:lineRule="auto"/>
        <w:rPr>
          <w:rFonts w:cs="Times New Roman"/>
          <w:b/>
          <w:sz w:val="52"/>
          <w:szCs w:val="52"/>
          <w:lang w:val="en-US" w:bidi="ar-SA"/>
        </w:rPr>
      </w:pPr>
      <w:r>
        <w:rPr>
          <w:rFonts w:cs="Times New Roman"/>
          <w:b/>
          <w:sz w:val="52"/>
          <w:szCs w:val="52"/>
          <w:lang w:val="en-US" w:bidi="ar-SA"/>
        </w:rPr>
      </w:r>
      <w:r/>
    </w:p>
    <w:p>
      <w:pPr>
        <w:ind w:firstLine="723"/>
        <w:jc w:val="center"/>
        <w:spacing w:line="360" w:lineRule="auto"/>
        <w:rPr>
          <w:rFonts w:cs="Times New Roman"/>
          <w:b/>
          <w:sz w:val="72"/>
          <w:szCs w:val="72"/>
          <w:lang w:val="en-US" w:bidi="ar-SA"/>
        </w:rPr>
      </w:pPr>
      <w:r>
        <w:rPr>
          <w:rFonts w:cs="Times New Roman"/>
          <w:b/>
          <w:sz w:val="72"/>
          <w:szCs w:val="72"/>
          <w:lang w:val="en-US" w:bidi="ar-SA"/>
        </w:rPr>
      </w:r>
      <w:r/>
    </w:p>
    <w:p>
      <w:pPr>
        <w:ind w:firstLine="723"/>
        <w:jc w:val="center"/>
        <w:spacing w:line="360" w:lineRule="auto"/>
        <w:rPr>
          <w:rFonts w:cs="Times New Roman"/>
          <w:b/>
          <w:sz w:val="72"/>
          <w:szCs w:val="72"/>
          <w:lang w:val="en-US" w:bidi="ar-SA"/>
        </w:rPr>
      </w:pPr>
      <w:r>
        <w:rPr>
          <w:rFonts w:cs="Times New Roman"/>
          <w:b/>
          <w:sz w:val="72"/>
          <w:szCs w:val="72"/>
          <w:lang w:val="en-US" w:bidi="ar-SA"/>
        </w:rPr>
      </w:r>
      <w:r/>
    </w:p>
    <w:p>
      <w:pPr>
        <w:jc w:val="both"/>
        <w:spacing w:after="120"/>
        <w:rPr>
          <w:rFonts w:ascii="Times New Roman" w:hAnsi="Times New Roman" w:cs="Times New Roman"/>
          <w:sz w:val="20"/>
          <w:lang w:val="en-US" w:bidi="ar-SA"/>
        </w:rPr>
      </w:pPr>
      <w:r>
        <w:rPr>
          <w:rFonts w:ascii="Times New Roman" w:hAnsi="Times New Roman" w:cs="Times New Roman"/>
          <w:sz w:val="20"/>
          <w:lang w:val="en-US" w:bidi="ar-SA"/>
        </w:rPr>
      </w:r>
      <w:r/>
    </w:p>
    <w:p>
      <w:pPr>
        <w:jc w:val="both"/>
        <w:rPr>
          <w:rFonts w:ascii="Times New Roman" w:hAnsi="Times New Roman" w:cs="Times New Roman"/>
          <w:sz w:val="21"/>
          <w:szCs w:val="20"/>
          <w:lang w:val="en-US" w:bidi="ar-SA"/>
        </w:rPr>
      </w:pPr>
      <w:r>
        <w:rPr>
          <w:rFonts w:ascii="Times New Roman" w:hAnsi="Times New Roman" w:cs="Times New Roman"/>
          <w:sz w:val="21"/>
          <w:szCs w:val="20"/>
          <w:lang w:val="en-US" w:bidi="ar-SA"/>
        </w:rPr>
      </w:r>
      <w:r/>
    </w:p>
    <w:p>
      <w:pPr>
        <w:jc w:val="both"/>
        <w:spacing w:after="120"/>
        <w:rPr>
          <w:rFonts w:ascii="Times New Roman" w:hAnsi="Times New Roman" w:cs="Times New Roman"/>
          <w:sz w:val="20"/>
          <w:lang w:val="en-US" w:bidi="ar-SA"/>
        </w:rPr>
      </w:pPr>
      <w:r>
        <w:rPr>
          <w:rFonts w:ascii="Times New Roman" w:hAnsi="Times New Roman" w:cs="Times New Roman"/>
          <w:sz w:val="20"/>
          <w:lang w:val="en-US" w:bidi="ar-SA"/>
        </w:rPr>
      </w:r>
      <w:r/>
    </w:p>
    <w:p>
      <w:pPr>
        <w:jc w:val="both"/>
        <w:rPr>
          <w:rFonts w:ascii="Times New Roman" w:hAnsi="Times New Roman" w:cs="Times New Roman"/>
          <w:sz w:val="21"/>
          <w:szCs w:val="20"/>
          <w:lang w:val="en-US" w:bidi="ar-SA"/>
        </w:rPr>
      </w:pPr>
      <w:r>
        <w:rPr>
          <w:rFonts w:ascii="Times New Roman" w:hAnsi="Times New Roman" w:cs="Times New Roman"/>
          <w:sz w:val="21"/>
          <w:szCs w:val="20"/>
          <w:lang w:val="en-US" w:bidi="ar-SA"/>
        </w:rPr>
      </w:r>
      <w:r/>
    </w:p>
    <w:p>
      <w:pPr>
        <w:jc w:val="both"/>
        <w:spacing w:after="120"/>
        <w:rPr>
          <w:rFonts w:ascii="Times New Roman" w:hAnsi="Times New Roman" w:cs="Times New Roman"/>
          <w:sz w:val="20"/>
          <w:lang w:val="en-US" w:bidi="ar-SA"/>
        </w:rPr>
      </w:pPr>
      <w:r>
        <w:rPr>
          <w:rFonts w:ascii="Times New Roman" w:hAnsi="Times New Roman" w:cs="Times New Roman"/>
          <w:sz w:val="20"/>
          <w:lang w:val="en-US" w:bidi="ar-SA"/>
        </w:rPr>
      </w:r>
      <w:r/>
    </w:p>
    <w:p>
      <w:pPr>
        <w:jc w:val="both"/>
        <w:rPr>
          <w:rFonts w:ascii="Times New Roman" w:hAnsi="Times New Roman" w:cs="Times New Roman"/>
          <w:sz w:val="21"/>
          <w:szCs w:val="20"/>
          <w:lang w:val="en-US" w:bidi="ar-SA"/>
        </w:rPr>
      </w:pPr>
      <w:r>
        <w:rPr>
          <w:rFonts w:ascii="Times New Roman" w:hAnsi="Times New Roman" w:cs="Times New Roman"/>
          <w:sz w:val="21"/>
          <w:szCs w:val="20"/>
          <w:lang w:val="en-US" w:bidi="ar-SA"/>
        </w:rPr>
      </w:r>
      <w:r/>
    </w:p>
    <w:p>
      <w:pPr>
        <w:ind w:firstLine="281"/>
        <w:jc w:val="both"/>
        <w:spacing w:line="360" w:lineRule="auto"/>
        <w:rPr>
          <w:rFonts w:cs="Times New Roman"/>
          <w:b/>
          <w:sz w:val="28"/>
          <w:szCs w:val="28"/>
          <w:lang w:val="en-US" w:bidi="ar-SA"/>
        </w:rPr>
      </w:pPr>
      <w:r>
        <w:rPr>
          <w:rFonts w:cs="Times New Roman"/>
          <w:sz w:val="21"/>
          <w:szCs w:val="24"/>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3811905</wp:posOffset>
                </wp:positionH>
                <wp:positionV relativeFrom="paragraph">
                  <wp:posOffset>318770</wp:posOffset>
                </wp:positionV>
                <wp:extent cx="642620" cy="1418590"/>
                <wp:effectExtent l="4445" t="4445" r="8255" b="9525"/>
                <wp:wrapNone/>
                <wp:docPr id="6" name="文本框 3"/>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484505" cy="306070"/>
                        </a:xfrm>
                        <a:prstGeom prst="rect">
                          <a:avLst/>
                        </a:prstGeom>
                        <a:noFill/>
                        <a:ln w="9525">
                          <a:solidFill>
                            <a:srgbClr val="FFFFFF"/>
                          </a:solidFill>
                          <a:miter lim="800000"/>
                        </a:ln>
                        <a:effectLst/>
                      </wps:spPr>
                      <wps:txbx>
                        <w:txbxContent>
                          <w:p>
                            <w:pPr>
                              <w:pStyle w:val="1476"/>
                              <w:rPr>
                                <w:b/>
                                <w:bCs/>
                                <w:sz w:val="32"/>
                              </w:rPr>
                            </w:pPr>
                            <w:r>
                              <w:rPr>
                                <w:rFonts w:hint="eastAsia"/>
                                <w:b/>
                                <w:bCs/>
                                <w:sz w:val="32"/>
                              </w:rPr>
                              <w:t xml:space="preserve">制定</w:t>
                            </w:r>
                            <w:r/>
                          </w:p>
                        </w:txbxContent>
                      </wps:txbx>
                      <wps:bodyPr rot="0" vert="horz" wrap="square" lIns="91440" tIns="45720" rIns="91440" bIns="45720" anchor="t" anchorCtr="0" upright="1">
                        <a:noAutofit/>
                      </wps:bodyPr>
                    </wps:wsp>
                  </a:graphicData>
                </a:graphic>
              </wp:anchor>
            </w:drawing>
          </mc:Choice>
          <mc:Fallback>
            <w:pict>
              <v:shape id="shape 5" o:spid="_x0000_s5" o:spt="202" type="#_x0000_t202" style="position:absolute;z-index:251660288;o:allowoverlap:true;o:allowincell:true;mso-position-horizontal-relative:text;margin-left:300.1pt;mso-position-horizontal:absolute;mso-position-vertical-relative:text;margin-top:25.1pt;mso-position-vertical:absolute;width:50.6pt;height:111.7pt;mso-wrap-distance-left:9.0pt;mso-wrap-distance-top:0.0pt;mso-wrap-distance-right:9.0pt;mso-wrap-distance-bottom:0.0pt;v-text-anchor:top;visibility:visible;" filled="f" strokecolor="#FFFFFF" strokeweight="0.75pt">
                <v:textbox inset="0,0,0,0">
                  <w:txbxContent>
                    <w:p>
                      <w:pPr>
                        <w:pStyle w:val="1476"/>
                        <w:rPr>
                          <w:b/>
                          <w:bCs/>
                          <w:sz w:val="32"/>
                        </w:rPr>
                      </w:pPr>
                      <w:r>
                        <w:rPr>
                          <w:rFonts w:hint="eastAsia"/>
                          <w:b/>
                          <w:bCs/>
                          <w:sz w:val="32"/>
                        </w:rPr>
                        <w:t xml:space="preserve">制定</w:t>
                      </w:r>
                      <w:r/>
                    </w:p>
                  </w:txbxContent>
                </v:textbox>
              </v:shape>
            </w:pict>
          </mc:Fallback>
        </mc:AlternateContent>
      </w:r>
      <w:r/>
    </w:p>
    <w:p>
      <w:pPr>
        <w:ind w:right="2849" w:firstLine="2409"/>
        <w:jc w:val="both"/>
        <w:spacing w:line="360" w:lineRule="auto"/>
        <w:rPr>
          <w:rFonts w:cs="Times New Roman"/>
          <w:b/>
          <w:sz w:val="32"/>
          <w:szCs w:val="28"/>
          <w:lang w:val="en-US" w:bidi="ar-SA"/>
        </w:rPr>
      </w:pPr>
      <w:r>
        <w:rPr>
          <w:rFonts w:cs="Times New Roman"/>
          <w:b/>
          <w:sz w:val="32"/>
          <w:szCs w:val="28"/>
          <w:lang w:val="en-US" w:bidi="ar-SA"/>
        </w:rPr>
        <w:t xml:space="preserve">住房和城乡建设部</w:t>
      </w:r>
      <w:r/>
    </w:p>
    <w:p>
      <w:pPr>
        <w:ind w:right="2849" w:firstLine="1928"/>
        <w:jc w:val="both"/>
        <w:spacing w:line="360" w:lineRule="auto"/>
        <w:rPr>
          <w:rFonts w:cs="Times New Roman"/>
          <w:b/>
          <w:sz w:val="32"/>
          <w:szCs w:val="28"/>
          <w:lang w:val="en-US" w:bidi="ar-SA"/>
        </w:rPr>
      </w:pPr>
      <w:r>
        <w:rPr>
          <w:rFonts w:cs="Times New Roman"/>
          <w:b/>
          <w:sz w:val="32"/>
          <w:szCs w:val="28"/>
          <w:lang w:val="en-US" w:bidi="ar-SA"/>
        </w:rPr>
        <w:t xml:space="preserve">国家工商行政管理总局</w:t>
      </w:r>
      <w:r/>
    </w:p>
    <w:p>
      <w:pPr>
        <w:jc w:val="center"/>
        <w:rPr>
          <w:rFonts w:ascii="Times New Roman" w:hAnsi="Times New Roman" w:cs="Times New Roman"/>
          <w:b/>
          <w:bCs/>
          <w:sz w:val="32"/>
          <w:szCs w:val="32"/>
          <w:lang w:val="en-US" w:bidi="ar-SA"/>
        </w:rPr>
      </w:pPr>
      <w:r>
        <w:rPr>
          <w:rFonts w:cs="Times New Roman"/>
          <w:sz w:val="30"/>
          <w:szCs w:val="30"/>
          <w:lang w:val="en-US" w:bidi="ar-SA"/>
        </w:rPr>
        <w:br w:type="page" w:clear="all"/>
      </w:r>
      <w:r>
        <w:rPr>
          <w:rFonts w:hint="eastAsia" w:ascii="Times New Roman" w:hAnsi="Times New Roman" w:cs="Times New Roman"/>
          <w:b/>
          <w:bCs/>
          <w:sz w:val="32"/>
          <w:szCs w:val="32"/>
          <w:lang w:val="en-US" w:bidi="ar-SA"/>
        </w:rPr>
        <w:t xml:space="preserve">第一部分 合同协议书</w:t>
      </w:r>
      <w:r/>
    </w:p>
    <w:p>
      <w:pPr>
        <w:jc w:val="center"/>
        <w:rPr>
          <w:rFonts w:ascii="Times New Roman" w:hAnsi="Times New Roman" w:cs="Times New Roman"/>
          <w:b/>
          <w:bCs/>
          <w:sz w:val="32"/>
          <w:szCs w:val="32"/>
          <w:lang w:val="en-US" w:bidi="ar-SA"/>
        </w:rPr>
      </w:pPr>
      <w:r>
        <w:rPr>
          <w:rFonts w:ascii="Times New Roman" w:hAnsi="Times New Roman" w:cs="Times New Roman"/>
          <w:b/>
          <w:bCs/>
          <w:sz w:val="32"/>
          <w:szCs w:val="32"/>
          <w:lang w:val="en-US" w:bidi="ar-SA"/>
        </w:rPr>
      </w:r>
      <w:r/>
    </w:p>
    <w:p>
      <w:pPr>
        <w:jc w:val="both"/>
        <w:spacing w:line="360" w:lineRule="auto"/>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发包人（全称）：</w:t>
      </w:r>
      <w:r/>
    </w:p>
    <w:p>
      <w:pPr>
        <w:jc w:val="both"/>
        <w:spacing w:line="360" w:lineRule="auto"/>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承包人（全称）：</w:t>
      </w:r>
      <w:r/>
    </w:p>
    <w:p>
      <w:pPr>
        <w:ind w:firstLine="420"/>
        <w:jc w:val="both"/>
        <w:spacing w:line="360" w:lineRule="auto"/>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根据《中华人民共和国民法典》、《中华人民共和国建筑法》及有关法律规定，遵循平等、自愿、公平和诚实信用的原则，双方就</w:t>
      </w:r>
      <w:r>
        <w:rPr>
          <w:rFonts w:hint="eastAsia" w:ascii="Times New Roman" w:hAnsi="Times New Roman" w:cs="Times New Roman"/>
          <w:b/>
          <w:sz w:val="21"/>
          <w:szCs w:val="20"/>
          <w:u w:val="single"/>
          <w:lang w:val="en-US" w:bidi="ar-SA"/>
        </w:rPr>
        <w:t xml:space="preserve">南京中医药大学    校区  号楼   项目（项目编号：          ）</w:t>
      </w:r>
      <w:r>
        <w:rPr>
          <w:rFonts w:hint="eastAsia" w:ascii="Times New Roman" w:hAnsi="Times New Roman" w:cs="Times New Roman"/>
          <w:sz w:val="21"/>
          <w:szCs w:val="20"/>
          <w:lang w:val="en-US" w:bidi="ar-SA"/>
        </w:rPr>
        <w:t xml:space="preserve">及有关事项协商一致，共同达成如下协议：</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一、工程概况</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1.工程名称：                          </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2.工程地点：                          </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3.工程立项批准文号：/</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4.资金来源：</w:t>
      </w:r>
      <w:r>
        <w:rPr>
          <w:rFonts w:hint="eastAsia" w:ascii="Times New Roman" w:hAnsi="Times New Roman" w:cs="Times New Roman"/>
          <w:sz w:val="21"/>
          <w:szCs w:val="20"/>
          <w:u w:val="single"/>
          <w:lang w:val="en-US" w:bidi="ar-SA"/>
        </w:rPr>
        <w:t xml:space="preserve">财政资金</w:t>
      </w:r>
      <w:r/>
    </w:p>
    <w:p>
      <w:pPr>
        <w:jc w:val="both"/>
        <w:spacing w:line="460" w:lineRule="exact"/>
        <w:rPr>
          <w:rFonts w:ascii="Times New Roman" w:hAnsi="Times New Roman" w:cs="Times New Roman"/>
          <w:sz w:val="21"/>
          <w:szCs w:val="20"/>
          <w:u w:val="single"/>
          <w:lang w:val="en-US" w:bidi="ar-SA"/>
        </w:rPr>
      </w:pPr>
      <w:r>
        <w:rPr>
          <w:rFonts w:hint="eastAsia" w:ascii="Times New Roman" w:hAnsi="Times New Roman" w:cs="Times New Roman"/>
          <w:sz w:val="21"/>
          <w:szCs w:val="20"/>
          <w:u w:val="single"/>
          <w:lang w:val="en-US" w:bidi="ar-SA"/>
        </w:rPr>
        <w:t xml:space="preserve">5.工程内容：                                                                    </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群体工程应附《承包人承揽工程项目一览表》</w:t>
      </w:r>
      <w:r/>
    </w:p>
    <w:p>
      <w:pPr>
        <w:numPr>
          <w:ilvl w:val="0"/>
          <w:numId w:val="23"/>
        </w:numPr>
        <w:jc w:val="both"/>
        <w:spacing w:line="460" w:lineRule="exact"/>
        <w:rPr>
          <w:rFonts w:ascii="Times New Roman" w:hAnsi="Times New Roman" w:cs="Times New Roman"/>
          <w:sz w:val="21"/>
          <w:szCs w:val="20"/>
          <w:u w:val="single"/>
          <w:lang w:val="en-US" w:bidi="ar-SA"/>
        </w:rPr>
      </w:pPr>
      <w:r>
        <w:rPr>
          <w:rFonts w:hint="eastAsia" w:ascii="Times New Roman" w:hAnsi="Times New Roman" w:cs="Times New Roman"/>
          <w:sz w:val="21"/>
          <w:szCs w:val="20"/>
          <w:lang w:val="en-US" w:bidi="ar-SA"/>
        </w:rPr>
        <w:t xml:space="preserve">工程承包范围：</w:t>
      </w:r>
      <w:r>
        <w:rPr>
          <w:rFonts w:hint="eastAsia" w:ascii="Times New Roman" w:hAnsi="Times New Roman" w:cs="Times New Roman"/>
          <w:sz w:val="21"/>
          <w:szCs w:val="20"/>
          <w:u w:val="single"/>
          <w:lang w:val="en-US" w:bidi="ar-SA"/>
        </w:rPr>
        <w:t xml:space="preserve">详见施工图纸、工程量清单、招标或竞争性磋商项目的招标或竞争性磋商文件、投标文件等所示的全部工程内容。请承包人自行了解本工程周边环境及交通情况。</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二、合同工期</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计划开工日期：  年 月  日（暂定）。</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计划竣工日期：  年 月  日。</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工期总日历天数：</w:t>
      </w:r>
      <w:r>
        <w:rPr>
          <w:rFonts w:hint="eastAsia" w:ascii="Times New Roman" w:hAnsi="Times New Roman" w:cs="Times New Roman"/>
          <w:sz w:val="21"/>
          <w:szCs w:val="20"/>
          <w:u w:val="single"/>
          <w:lang w:val="en-US" w:bidi="ar-SA"/>
        </w:rPr>
        <w:t xml:space="preserve">   日历天</w:t>
      </w:r>
      <w:r>
        <w:rPr>
          <w:rFonts w:hint="eastAsia" w:ascii="Times New Roman" w:hAnsi="Times New Roman" w:cs="Times New Roman"/>
          <w:sz w:val="21"/>
          <w:szCs w:val="20"/>
          <w:lang w:val="en-US" w:bidi="ar-SA"/>
        </w:rPr>
        <w:t xml:space="preserve">。工期总日历天数与根据前述计划开竣工日期计算的工期天数不一致的，以工期总日历天数为准，但应确保不迟于  年 月 日前全部施工完成。</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三、质量标准</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工程质量应符合</w:t>
      </w:r>
      <w:r>
        <w:rPr>
          <w:rFonts w:hint="eastAsia" w:ascii="Times New Roman" w:hAnsi="Times New Roman" w:cs="Times New Roman"/>
          <w:sz w:val="21"/>
          <w:szCs w:val="20"/>
          <w:u w:val="single"/>
          <w:lang w:val="en-US" w:bidi="ar-SA"/>
        </w:rPr>
        <w:t xml:space="preserve">《建筑工程施工质量验收统一标准》等国家现行质量验收标准和本合同约定标准</w:t>
      </w:r>
      <w:r>
        <w:rPr>
          <w:rFonts w:hint="eastAsia" w:ascii="Times New Roman" w:hAnsi="Times New Roman" w:cs="Times New Roman"/>
          <w:sz w:val="21"/>
          <w:szCs w:val="20"/>
          <w:lang w:val="en-US" w:bidi="ar-SA"/>
        </w:rPr>
        <w:t xml:space="preserve">。</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四、签约合同价与合同价格形式</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1.签约合同价为：</w:t>
      </w:r>
      <w:r/>
    </w:p>
    <w:p>
      <w:pPr>
        <w:jc w:val="both"/>
        <w:spacing w:line="460" w:lineRule="exact"/>
        <w:rPr>
          <w:rFonts w:ascii="Times New Roman" w:hAnsi="Times New Roman" w:cs="Times New Roman"/>
          <w:strike/>
          <w:color w:val="ff0000"/>
          <w:sz w:val="21"/>
          <w:szCs w:val="20"/>
          <w:lang w:val="en-US" w:bidi="ar-SA"/>
        </w:rPr>
      </w:pPr>
      <w:r>
        <w:rPr>
          <w:rFonts w:ascii="Wingdings 2" w:hAnsi="Wingdings 2" w:eastAsia="Wingdings 2" w:cs="Wingdings 2"/>
          <w:sz w:val="21"/>
          <w:szCs w:val="20"/>
          <w:lang w:val="en-US" w:bidi="ar-SA"/>
        </w:rPr>
        <w:t xml:space="preserve">£</w:t>
      </w:r>
      <w:r>
        <w:rPr>
          <w:rFonts w:hint="eastAsia" w:ascii="Times New Roman" w:hAnsi="Times New Roman" w:cs="Times New Roman"/>
          <w:sz w:val="21"/>
          <w:szCs w:val="20"/>
          <w:lang w:val="en-US" w:bidi="ar-SA"/>
        </w:rPr>
        <w:t xml:space="preserve">人民币</w:t>
      </w:r>
      <w:r>
        <w:rPr>
          <w:rFonts w:hint="eastAsia" w:ascii="Times New Roman" w:hAnsi="Times New Roman" w:cs="Times New Roman"/>
          <w:sz w:val="21"/>
          <w:szCs w:val="20"/>
          <w:u w:val="single"/>
          <w:lang w:val="en-US" w:bidi="ar-SA"/>
        </w:rPr>
        <w:t xml:space="preserve">（大写）：        整(¥     ，含税），</w:t>
      </w:r>
      <w:r>
        <w:rPr>
          <w:rFonts w:hint="eastAsia" w:ascii="Times New Roman" w:hAnsi="Times New Roman" w:cs="Times New Roman"/>
          <w:sz w:val="21"/>
          <w:szCs w:val="20"/>
          <w:lang w:val="en-US" w:bidi="ar-SA"/>
        </w:rPr>
        <w:t xml:space="preserve">双方确认本合同最终结算价以发包人单方审计的审定金额为准；</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其中：</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（1）安全文明施工费：</w:t>
      </w:r>
      <w:r/>
    </w:p>
    <w:p>
      <w:pPr>
        <w:jc w:val="both"/>
        <w:spacing w:line="460" w:lineRule="exact"/>
        <w:rPr>
          <w:rFonts w:ascii="Times New Roman" w:hAnsi="Times New Roman" w:cs="Times New Roman"/>
          <w:strike/>
          <w:color w:val="ff0000"/>
          <w:sz w:val="21"/>
          <w:szCs w:val="20"/>
          <w:lang w:val="en-US" w:bidi="ar-SA"/>
        </w:rPr>
      </w:pPr>
      <w:r>
        <w:rPr>
          <w:rFonts w:ascii="Wingdings 2" w:hAnsi="Wingdings 2" w:eastAsia="Wingdings 2" w:cs="Wingdings 2"/>
          <w:sz w:val="21"/>
          <w:szCs w:val="20"/>
          <w:lang w:val="en-US" w:bidi="ar-SA"/>
        </w:rPr>
        <w:t xml:space="preserve">£</w:t>
      </w:r>
      <w:r>
        <w:rPr>
          <w:rFonts w:hint="eastAsia" w:ascii="Times New Roman" w:hAnsi="Times New Roman" w:cs="Times New Roman"/>
          <w:sz w:val="21"/>
          <w:szCs w:val="20"/>
          <w:lang w:val="en-US" w:bidi="ar-SA"/>
        </w:rPr>
        <w:t xml:space="preserve">人民币</w:t>
      </w:r>
      <w:r>
        <w:rPr>
          <w:rFonts w:hint="eastAsia" w:ascii="Times New Roman" w:hAnsi="Times New Roman" w:cs="Times New Roman"/>
          <w:sz w:val="21"/>
          <w:szCs w:val="20"/>
          <w:u w:val="single"/>
          <w:lang w:val="en-US" w:bidi="ar-SA"/>
        </w:rPr>
        <w:t xml:space="preserve">（大写：        ） (¥：        )</w:t>
      </w:r>
      <w:r>
        <w:rPr>
          <w:rFonts w:hint="eastAsia" w:ascii="Times New Roman" w:hAnsi="Times New Roman" w:cs="Times New Roman"/>
          <w:sz w:val="21"/>
          <w:szCs w:val="20"/>
          <w:lang w:val="en-US" w:bidi="ar-SA"/>
        </w:rPr>
        <w:t xml:space="preserve">；</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（2）材料和工程设备暂估价金额：</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人民币（大写）</w:t>
      </w:r>
      <w:r>
        <w:rPr>
          <w:rFonts w:hint="eastAsia" w:ascii="Times New Roman" w:hAnsi="Times New Roman" w:cs="Times New Roman"/>
          <w:sz w:val="21"/>
          <w:szCs w:val="20"/>
          <w:u w:val="single"/>
          <w:lang w:val="en-US" w:bidi="ar-SA"/>
        </w:rPr>
        <w:t xml:space="preserve">                 </w:t>
      </w:r>
      <w:r>
        <w:rPr>
          <w:rFonts w:hint="eastAsia" w:ascii="Times New Roman" w:hAnsi="Times New Roman" w:cs="Times New Roman"/>
          <w:sz w:val="21"/>
          <w:szCs w:val="20"/>
          <w:lang w:val="en-US" w:bidi="ar-SA"/>
        </w:rPr>
        <w:t xml:space="preserve"> (¥</w:t>
      </w:r>
      <w:r>
        <w:rPr>
          <w:rFonts w:hint="eastAsia" w:ascii="Times New Roman" w:hAnsi="Times New Roman" w:cs="Times New Roman"/>
          <w:sz w:val="21"/>
          <w:szCs w:val="20"/>
          <w:u w:val="single"/>
          <w:lang w:val="en-US" w:bidi="ar-SA"/>
        </w:rPr>
        <w:t xml:space="preserve">          </w:t>
      </w:r>
      <w:r>
        <w:rPr>
          <w:rFonts w:hint="eastAsia" w:ascii="Times New Roman" w:hAnsi="Times New Roman" w:cs="Times New Roman"/>
          <w:sz w:val="21"/>
          <w:szCs w:val="20"/>
          <w:lang w:val="en-US" w:bidi="ar-SA"/>
        </w:rPr>
        <w:t xml:space="preserve">元)；</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（3）专业工程暂估价金额：</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人民币（大写）</w:t>
      </w:r>
      <w:r>
        <w:rPr>
          <w:rFonts w:hint="eastAsia" w:ascii="Times New Roman" w:hAnsi="Times New Roman" w:cs="Times New Roman"/>
          <w:sz w:val="21"/>
          <w:szCs w:val="20"/>
          <w:u w:val="single"/>
          <w:lang w:val="en-US" w:bidi="ar-SA"/>
        </w:rPr>
        <w:t xml:space="preserve">                 </w:t>
      </w:r>
      <w:r>
        <w:rPr>
          <w:rFonts w:hint="eastAsia" w:ascii="Times New Roman" w:hAnsi="Times New Roman" w:cs="Times New Roman"/>
          <w:sz w:val="21"/>
          <w:szCs w:val="20"/>
          <w:lang w:val="en-US" w:bidi="ar-SA"/>
        </w:rPr>
        <w:t xml:space="preserve"> (¥</w:t>
      </w:r>
      <w:r>
        <w:rPr>
          <w:rFonts w:hint="eastAsia" w:ascii="Times New Roman" w:hAnsi="Times New Roman" w:cs="Times New Roman"/>
          <w:sz w:val="21"/>
          <w:szCs w:val="20"/>
          <w:u w:val="single"/>
          <w:lang w:val="en-US" w:bidi="ar-SA"/>
        </w:rPr>
        <w:t xml:space="preserve">          </w:t>
      </w:r>
      <w:r>
        <w:rPr>
          <w:rFonts w:hint="eastAsia" w:ascii="Times New Roman" w:hAnsi="Times New Roman" w:cs="Times New Roman"/>
          <w:sz w:val="21"/>
          <w:szCs w:val="20"/>
          <w:lang w:val="en-US" w:bidi="ar-SA"/>
        </w:rPr>
        <w:t xml:space="preserve">元)；</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（4）暂列金额：</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人民币（大写）</w:t>
      </w:r>
      <w:r>
        <w:rPr>
          <w:rFonts w:hint="eastAsia" w:ascii="Times New Roman" w:hAnsi="Times New Roman" w:cs="Times New Roman"/>
          <w:sz w:val="21"/>
          <w:szCs w:val="20"/>
          <w:u w:val="single"/>
          <w:lang w:val="en-US" w:bidi="ar-SA"/>
        </w:rPr>
        <w:t xml:space="preserve">                  (¥          </w:t>
      </w:r>
      <w:r>
        <w:rPr>
          <w:rFonts w:hint="eastAsia" w:ascii="Times New Roman" w:hAnsi="Times New Roman" w:cs="Times New Roman"/>
          <w:sz w:val="21"/>
          <w:szCs w:val="20"/>
          <w:lang w:val="en-US" w:bidi="ar-SA"/>
        </w:rPr>
        <w:t xml:space="preserve">元)。</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2.合同价格形式：</w:t>
      </w:r>
      <w:r>
        <w:rPr>
          <w:rFonts w:hint="eastAsia" w:ascii="Times New Roman" w:hAnsi="Times New Roman" w:cs="Times New Roman"/>
          <w:sz w:val="21"/>
          <w:szCs w:val="20"/>
          <w:u w:val="single"/>
          <w:lang w:val="en-US" w:bidi="ar-SA"/>
        </w:rPr>
        <w:t xml:space="preserve">固定综合单价合同</w:t>
      </w:r>
      <w:r>
        <w:rPr>
          <w:rFonts w:hint="eastAsia" w:ascii="Times New Roman" w:hAnsi="Times New Roman" w:cs="Times New Roman"/>
          <w:sz w:val="21"/>
          <w:szCs w:val="20"/>
          <w:lang w:val="en-US" w:bidi="ar-SA"/>
        </w:rPr>
        <w:t xml:space="preserve">。</w:t>
      </w:r>
      <w:r/>
    </w:p>
    <w:p>
      <w:pPr>
        <w:ind w:firstLine="420"/>
        <w:jc w:val="both"/>
        <w:spacing w:line="460" w:lineRule="exact"/>
        <w:rPr>
          <w:rFonts w:ascii="Times New Roman" w:hAnsi="Times New Roman" w:cs="Times New Roman"/>
          <w:b/>
          <w:bCs/>
          <w:sz w:val="21"/>
          <w:szCs w:val="20"/>
          <w:u w:val="single"/>
          <w:lang w:val="en-US" w:bidi="ar-SA"/>
        </w:rPr>
      </w:pPr>
      <w:r>
        <w:rPr>
          <w:rFonts w:hint="eastAsia" w:ascii="Times New Roman" w:hAnsi="Times New Roman" w:cs="Times New Roman"/>
          <w:sz w:val="21"/>
          <w:szCs w:val="20"/>
          <w:u w:val="single"/>
          <w:lang w:val="en-US" w:bidi="ar-SA"/>
        </w:rPr>
        <w:t xml:space="preserve">按照施工图和工程量清单采取固定综合单价；任何情况下综合单价不变，决算时按实际工程量乘以综合单价计算。</w:t>
      </w:r>
      <w:r>
        <w:rPr>
          <w:rFonts w:hint="eastAsia" w:ascii="Times New Roman" w:hAnsi="Times New Roman" w:cs="Times New Roman"/>
          <w:b/>
          <w:bCs/>
          <w:sz w:val="21"/>
          <w:szCs w:val="20"/>
          <w:u w:val="single"/>
          <w:lang w:val="en-US" w:bidi="ar-SA"/>
        </w:rPr>
        <w:t xml:space="preserve">非发包人需求且书面认可的变化导致的变更由承包人自行承担相关费用。</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五、项目经</w:t>
      </w:r>
      <w:r>
        <w:rPr>
          <w:rFonts w:hint="eastAsia" w:ascii="Times New Roman" w:hAnsi="Times New Roman" w:cs="Times New Roman"/>
          <w:sz w:val="21"/>
          <w:szCs w:val="20"/>
          <w:u w:val="single"/>
          <w:lang w:val="en-US" w:bidi="ar-SA"/>
        </w:rPr>
        <w:t xml:space="preserve">理和项目其他主要管理人员（现场技术负责人、施工员、质量员、安全员、资料员）</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承包人项目经理：</w:t>
      </w:r>
      <w:r>
        <w:rPr>
          <w:rFonts w:hint="eastAsia" w:ascii="Times New Roman" w:hAnsi="Times New Roman" w:cs="Times New Roman"/>
          <w:sz w:val="21"/>
          <w:szCs w:val="20"/>
          <w:u w:val="single"/>
          <w:lang w:val="en-US" w:bidi="ar-SA"/>
        </w:rPr>
        <w:t xml:space="preserve">         ，联系方式：      </w:t>
      </w:r>
      <w:r>
        <w:rPr>
          <w:rFonts w:hint="eastAsia" w:ascii="Times New Roman" w:hAnsi="Times New Roman" w:cs="Times New Roman"/>
          <w:sz w:val="21"/>
          <w:szCs w:val="20"/>
          <w:lang w:val="en-US" w:bidi="ar-SA"/>
        </w:rPr>
        <w:t xml:space="preserve">。</w:t>
      </w:r>
      <w:r/>
    </w:p>
    <w:p>
      <w:pPr>
        <w:jc w:val="both"/>
        <w:keepLines/>
        <w:keepNext/>
        <w:spacing w:before="120" w:after="120"/>
        <w:rPr>
          <w:rFonts w:ascii="Times New Roman" w:hAnsi="Times New Roman" w:cs="Times New Roman"/>
          <w:sz w:val="21"/>
          <w:szCs w:val="20"/>
          <w:u w:val="single"/>
          <w:lang w:val="en-US" w:bidi="ar-SA"/>
        </w:rPr>
        <w:outlineLvl w:val="3"/>
      </w:pPr>
      <w:r>
        <w:rPr>
          <w:rFonts w:hint="eastAsia" w:ascii="Times New Roman" w:hAnsi="Times New Roman" w:cs="Times New Roman"/>
          <w:sz w:val="21"/>
          <w:szCs w:val="20"/>
          <w:u w:val="single"/>
          <w:lang w:val="en-US" w:bidi="ar-SA"/>
        </w:rPr>
        <w:t xml:space="preserve">项目其他主要管理人员：       ，联系方式：       。【填写投标响应文件列明的现场技术负责人、施工员、质量员、安全员、资料员信息】</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六、合同文件构成</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本协议书与下列文件一起构成合同文件：</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（1）中标通知书（如果有）；</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（2）投标函及其附录（如果有）；</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（3）专用合同条款及其附件；</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（4）通用合同条款；</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（5）技术标准和要求；</w:t>
      </w:r>
      <w:r/>
    </w:p>
    <w:p>
      <w:pPr>
        <w:jc w:val="both"/>
        <w:spacing w:line="360" w:lineRule="auto"/>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（6）图纸；</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（7）已标价工程量清单或预算书；</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（8）其他合同文件。</w:t>
      </w:r>
      <w:r/>
    </w:p>
    <w:p>
      <w:pPr>
        <w:ind w:firstLine="420"/>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在合同订立及履行过程中形成的与合同有关的文件均构成合同文件组成部分。</w:t>
      </w:r>
      <w:r/>
    </w:p>
    <w:p>
      <w:pPr>
        <w:ind w:firstLine="420"/>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上述各项合同文件包括合同当事人就该项合同文件所作出的补充和修改，属于同一类内容的文件，应以最新签署的为准。专用合同条款及其附件须经合同当事人签字或盖章。</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七、承诺</w:t>
      </w:r>
      <w:r/>
    </w:p>
    <w:p>
      <w:pPr>
        <w:jc w:val="both"/>
        <w:spacing w:line="360" w:lineRule="auto"/>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1.发包人承诺按照法律规定履行项目审批手续、筹集工程建设资金并按照合同约定的期限和方式支付合同价款。</w:t>
      </w:r>
      <w:r/>
    </w:p>
    <w:p>
      <w:pPr>
        <w:jc w:val="both"/>
        <w:spacing w:line="360" w:lineRule="auto"/>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2.承包人承诺按照法律规定及合同约定组织完成工程施工，确保工程质量和安全，不进行转包及违法分包，并在缺陷责任期及保修期内承担相应的工程维修责任。</w:t>
      </w:r>
      <w:r/>
    </w:p>
    <w:p>
      <w:pPr>
        <w:jc w:val="both"/>
        <w:spacing w:line="360" w:lineRule="auto"/>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3.发包人和承包人通过招投标形式签订合同的，双方理解并承诺不再就同一工程另行签订与合同实质性内容相背离的协议。</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八、词语含义</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本协议书中词语含义与第二部分通用合同条款中赋予的含义相同。</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九、签订时间</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本合同于 </w:t>
      </w:r>
      <w:r>
        <w:rPr>
          <w:rFonts w:hint="eastAsia" w:ascii="Times New Roman" w:hAnsi="Times New Roman" w:cs="Times New Roman"/>
          <w:sz w:val="21"/>
          <w:szCs w:val="20"/>
          <w:u w:val="single"/>
          <w:lang w:val="en-US" w:bidi="ar-SA"/>
        </w:rPr>
        <w:t xml:space="preserve"> 年  月  日</w:t>
      </w:r>
      <w:r>
        <w:rPr>
          <w:rFonts w:hint="eastAsia" w:ascii="Times New Roman" w:hAnsi="Times New Roman" w:cs="Times New Roman"/>
          <w:sz w:val="21"/>
          <w:szCs w:val="20"/>
          <w:lang w:val="en-US" w:bidi="ar-SA"/>
        </w:rPr>
        <w:t xml:space="preserve">签订。</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十、签订地点</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本合同在</w:t>
      </w:r>
      <w:r>
        <w:rPr>
          <w:rFonts w:hint="eastAsia" w:ascii="Times New Roman" w:hAnsi="Times New Roman" w:cs="Times New Roman"/>
          <w:sz w:val="21"/>
          <w:szCs w:val="20"/>
          <w:u w:val="single"/>
          <w:lang w:val="en-US" w:bidi="ar-SA"/>
        </w:rPr>
        <w:t xml:space="preserve">南京市栖霞区仙林大道138号</w:t>
      </w:r>
      <w:r>
        <w:rPr>
          <w:rFonts w:hint="eastAsia" w:ascii="Times New Roman" w:hAnsi="Times New Roman" w:cs="Times New Roman"/>
          <w:sz w:val="21"/>
          <w:szCs w:val="20"/>
          <w:lang w:val="en-US" w:bidi="ar-SA"/>
        </w:rPr>
        <w:t xml:space="preserve">签订。</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十一、补充协议</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合同未尽事宜，合同当事人另行签订补充协议，补充协议是本合同的组成部分。</w:t>
      </w:r>
      <w:r>
        <w:rPr>
          <w:rFonts w:hint="eastAsia" w:ascii="Times New Roman" w:hAnsi="Times New Roman" w:cs="Times New Roman"/>
          <w:sz w:val="21"/>
          <w:szCs w:val="20"/>
          <w:lang w:bidi="ar-SA"/>
        </w:rPr>
        <w:t xml:space="preserve">发包人需要在本工程项下追加部分项目的，在不改变合同其他条款的前提下，可以与承包人协商签订</w:t>
      </w:r>
      <w:r>
        <w:rPr>
          <w:rFonts w:hint="eastAsia" w:ascii="Times New Roman" w:hAnsi="Times New Roman" w:cs="Times New Roman"/>
          <w:sz w:val="21"/>
          <w:szCs w:val="20"/>
          <w:lang w:val="en-US" w:bidi="ar-SA"/>
        </w:rPr>
        <w:t xml:space="preserve">书面</w:t>
      </w:r>
      <w:r>
        <w:rPr>
          <w:rFonts w:hint="eastAsia" w:ascii="Times New Roman" w:hAnsi="Times New Roman" w:cs="Times New Roman"/>
          <w:sz w:val="21"/>
          <w:szCs w:val="20"/>
          <w:lang w:bidi="ar-SA"/>
        </w:rPr>
        <w:t xml:space="preserve">补充合同，但所有补充合同的合同价不得超过本合同合同价的</w:t>
      </w:r>
      <w:r>
        <w:rPr>
          <w:rFonts w:ascii="Times New Roman" w:hAnsi="Times New Roman" w:cs="Times New Roman"/>
          <w:sz w:val="21"/>
          <w:szCs w:val="20"/>
          <w:lang w:bidi="ar-SA"/>
        </w:rPr>
        <w:t xml:space="preserve">10%</w:t>
      </w:r>
      <w:r>
        <w:rPr>
          <w:rFonts w:hint="eastAsia" w:ascii="Times New Roman" w:hAnsi="Times New Roman" w:cs="Times New Roman"/>
          <w:sz w:val="21"/>
          <w:szCs w:val="20"/>
          <w:lang w:bidi="ar-SA"/>
        </w:rPr>
        <w:t xml:space="preserve">，且本合同价格和补充合同价格之和不得超过本项目采购预算。</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十二、合同生效</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本合同自</w:t>
      </w:r>
      <w:r>
        <w:rPr>
          <w:rFonts w:hint="eastAsia" w:ascii="Times New Roman" w:hAnsi="Times New Roman" w:cs="Times New Roman"/>
          <w:bCs/>
          <w:sz w:val="21"/>
          <w:szCs w:val="20"/>
          <w:u w:val="single"/>
          <w:lang w:val="en-US" w:bidi="ar-SA"/>
        </w:rPr>
        <w:t xml:space="preserve">发包人、承包人双方法定代表人或其委托代理人签名并加盖单位印章（注：发包人加盖单位印章为发包人单位经济合同专用章）且发包人收到承包人按本合同约定提交的履约保证金后</w:t>
      </w:r>
      <w:r>
        <w:rPr>
          <w:rFonts w:hint="eastAsia" w:ascii="Times New Roman" w:hAnsi="Times New Roman" w:cs="Times New Roman"/>
          <w:bCs/>
          <w:sz w:val="21"/>
          <w:szCs w:val="20"/>
          <w:lang w:val="en-US" w:bidi="ar-SA"/>
        </w:rPr>
        <w:t xml:space="preserve">生效</w:t>
      </w:r>
      <w:r>
        <w:rPr>
          <w:rFonts w:hint="eastAsia" w:ascii="Times New Roman" w:hAnsi="Times New Roman" w:cs="Times New Roman"/>
          <w:sz w:val="21"/>
          <w:szCs w:val="20"/>
          <w:lang w:val="en-US" w:bidi="ar-SA"/>
        </w:rPr>
        <w:t xml:space="preserve">。</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十三、合同份数</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本合同一式</w:t>
      </w:r>
      <w:r>
        <w:rPr>
          <w:rFonts w:hint="eastAsia" w:ascii="Times New Roman" w:hAnsi="Times New Roman" w:cs="Times New Roman"/>
          <w:sz w:val="21"/>
          <w:szCs w:val="20"/>
          <w:u w:val="single"/>
          <w:lang w:val="en-US" w:bidi="ar-SA"/>
        </w:rPr>
        <w:t xml:space="preserve">  </w:t>
      </w:r>
      <w:r>
        <w:rPr>
          <w:rFonts w:hint="eastAsia" w:ascii="Times New Roman" w:hAnsi="Times New Roman" w:cs="Times New Roman"/>
          <w:sz w:val="21"/>
          <w:szCs w:val="20"/>
          <w:lang w:val="en-US" w:bidi="ar-SA"/>
        </w:rPr>
        <w:t xml:space="preserve">份，均具有同等法律效力，发包人执</w:t>
      </w:r>
      <w:r>
        <w:rPr>
          <w:rFonts w:hint="eastAsia" w:ascii="Times New Roman" w:hAnsi="Times New Roman" w:cs="Times New Roman"/>
          <w:sz w:val="21"/>
          <w:szCs w:val="20"/>
          <w:u w:val="single"/>
          <w:lang w:val="en-US" w:bidi="ar-SA"/>
        </w:rPr>
        <w:t xml:space="preserve">   </w:t>
      </w:r>
      <w:r>
        <w:rPr>
          <w:rFonts w:hint="eastAsia" w:ascii="Times New Roman" w:hAnsi="Times New Roman" w:cs="Times New Roman"/>
          <w:sz w:val="21"/>
          <w:szCs w:val="20"/>
          <w:lang w:val="en-US" w:bidi="ar-SA"/>
        </w:rPr>
        <w:t xml:space="preserve">份，承包人执 </w:t>
      </w:r>
      <w:r>
        <w:rPr>
          <w:rFonts w:hint="eastAsia" w:ascii="Times New Roman" w:hAnsi="Times New Roman" w:cs="Times New Roman"/>
          <w:sz w:val="21"/>
          <w:szCs w:val="20"/>
          <w:u w:val="single"/>
          <w:lang w:val="en-US" w:bidi="ar-SA"/>
        </w:rPr>
        <w:t xml:space="preserve">   </w:t>
      </w:r>
      <w:r>
        <w:rPr>
          <w:rFonts w:hint="eastAsia" w:ascii="Times New Roman" w:hAnsi="Times New Roman" w:cs="Times New Roman"/>
          <w:sz w:val="21"/>
          <w:szCs w:val="20"/>
          <w:lang w:val="en-US" w:bidi="ar-SA"/>
        </w:rPr>
        <w:t xml:space="preserve">份。</w:t>
      </w:r>
      <w:r/>
    </w:p>
    <w:p>
      <w:pPr>
        <w:jc w:val="both"/>
        <w:spacing w:after="120"/>
        <w:rPr>
          <w:rFonts w:ascii="Times New Roman" w:hAnsi="Times New Roman" w:cs="Times New Roman"/>
          <w:sz w:val="20"/>
          <w:lang w:val="en-US" w:bidi="ar-SA"/>
        </w:rPr>
      </w:pPr>
      <w:r>
        <w:rPr>
          <w:rFonts w:ascii="Times New Roman" w:hAnsi="Times New Roman" w:cs="Times New Roman"/>
          <w:sz w:val="20"/>
          <w:lang w:val="en-US" w:bidi="ar-SA"/>
        </w:rPr>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发包人： (盖章)                 承包人： (公章)</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法定代表人或其委托代理人：     法定代表人或其委托代理人：</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（签字）                      （签字）</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统一社会信用代码:              统一社会信用代码：</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地址：                         地址：</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邮政编码：                     邮政编码：</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法定代表人：                   法定代表人：</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委托代理人：                   委托代理人：</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电话：                         电话：</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传真：                         传真：</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电子信箱：                     电子信箱：</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开户银行：                     开户银行：</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账号：                         账号：</w:t>
      </w:r>
      <w:r/>
    </w:p>
    <w:p>
      <w:pPr>
        <w:widowControl/>
        <w:rPr>
          <w:b/>
          <w:bCs/>
          <w:sz w:val="28"/>
          <w:szCs w:val="28"/>
        </w:rPr>
        <w:sectPr>
          <w:footnotePr/>
          <w:endnotePr/>
          <w:type w:val="nextPage"/>
          <w:pgSz w:w="11906" w:h="16838" w:orient="portrait"/>
          <w:pgMar w:top="1440" w:right="1800" w:bottom="1440" w:left="1800" w:header="851" w:footer="992" w:gutter="0"/>
          <w:rtlGutter/>
          <w:cols w:num="1" w:sep="0" w:space="720" w:equalWidth="1"/>
          <w:docGrid w:linePitch="360"/>
        </w:sectPr>
      </w:pPr>
      <w:r>
        <w:rPr>
          <w:b/>
          <w:bCs/>
          <w:sz w:val="28"/>
          <w:szCs w:val="28"/>
        </w:rPr>
      </w:r>
      <w:r/>
    </w:p>
    <w:p>
      <w:pPr>
        <w:jc w:val="center"/>
        <w:rPr>
          <w:rFonts w:ascii="Times New Roman" w:hAnsi="Times New Roman" w:cs="Times New Roman"/>
          <w:b/>
          <w:bCs/>
          <w:sz w:val="28"/>
          <w:szCs w:val="28"/>
          <w:lang w:val="en-US" w:bidi="ar-SA"/>
        </w:rPr>
      </w:pPr>
      <w:r>
        <w:rPr>
          <w:rFonts w:hint="eastAsia" w:ascii="Times New Roman" w:hAnsi="Times New Roman" w:cs="Times New Roman"/>
          <w:b/>
          <w:bCs/>
          <w:sz w:val="28"/>
          <w:szCs w:val="28"/>
          <w:lang w:val="en-US" w:bidi="ar-SA"/>
        </w:rPr>
        <w:t xml:space="preserve">第二部分通用合同条款</w:t>
      </w:r>
      <w:r/>
    </w:p>
    <w:p>
      <w:pPr>
        <w:jc w:val="center"/>
        <w:rPr>
          <w:rFonts w:ascii="Times New Roman" w:hAnsi="Times New Roman" w:cs="Times New Roman"/>
          <w:b/>
          <w:bCs/>
          <w:sz w:val="21"/>
          <w:szCs w:val="20"/>
          <w:lang w:val="en-US" w:bidi="ar-SA"/>
        </w:rPr>
      </w:pPr>
      <w:r>
        <w:rPr>
          <w:rFonts w:ascii="Times New Roman" w:hAnsi="Times New Roman" w:cs="Times New Roman"/>
          <w:b/>
          <w:bCs/>
          <w:sz w:val="21"/>
          <w:szCs w:val="20"/>
          <w:lang w:val="en-US" w:bidi="ar-SA"/>
        </w:rPr>
      </w:r>
      <w:r/>
    </w:p>
    <w:p>
      <w:pPr>
        <w:jc w:val="both"/>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此部分采用《建设工程施工合同》范本（GF—2017—0201）中《第二部分通用条款》。</w:t>
      </w:r>
      <w:r/>
    </w:p>
    <w:p>
      <w:pPr>
        <w:jc w:val="center"/>
        <w:rPr>
          <w:rFonts w:ascii="Times New Roman" w:hAnsi="Times New Roman" w:cs="Times New Roman"/>
          <w:b/>
          <w:bCs/>
          <w:sz w:val="28"/>
          <w:szCs w:val="28"/>
          <w:lang w:val="en-US" w:bidi="ar-SA"/>
        </w:rPr>
      </w:pPr>
      <w:r>
        <w:rPr>
          <w:rFonts w:ascii="Times New Roman" w:hAnsi="Times New Roman" w:cs="Times New Roman"/>
          <w:b/>
          <w:bCs/>
          <w:sz w:val="28"/>
          <w:szCs w:val="28"/>
          <w:lang w:val="en-US" w:bidi="ar-SA"/>
        </w:rPr>
      </w:r>
      <w:r/>
    </w:p>
    <w:p>
      <w:pPr>
        <w:jc w:val="center"/>
        <w:rPr>
          <w:rFonts w:ascii="Times New Roman" w:hAnsi="Times New Roman" w:cs="Times New Roman"/>
          <w:b/>
          <w:bCs/>
          <w:sz w:val="28"/>
          <w:szCs w:val="28"/>
          <w:lang w:val="en-US" w:bidi="ar-SA"/>
        </w:rPr>
      </w:pPr>
      <w:r>
        <w:rPr>
          <w:rFonts w:hint="eastAsia" w:ascii="Times New Roman" w:hAnsi="Times New Roman" w:cs="Times New Roman"/>
          <w:b/>
          <w:bCs/>
          <w:sz w:val="28"/>
          <w:szCs w:val="28"/>
          <w:lang w:val="en-US" w:bidi="ar-SA"/>
        </w:rPr>
        <w:t xml:space="preserve">第三部分专用合同条款</w:t>
      </w:r>
      <w:r/>
    </w:p>
    <w:p>
      <w:pPr>
        <w:jc w:val="both"/>
        <w:spacing w:line="44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 . 一般约定</w:t>
      </w:r>
      <w:r/>
    </w:p>
    <w:p>
      <w:pPr>
        <w:jc w:val="both"/>
        <w:spacing w:line="44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1.1 词语定义</w:t>
      </w:r>
      <w:r/>
    </w:p>
    <w:p>
      <w:pPr>
        <w:jc w:val="both"/>
        <w:spacing w:line="44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1.1.1合同</w:t>
      </w:r>
      <w:r/>
    </w:p>
    <w:p>
      <w:pPr>
        <w:jc w:val="both"/>
        <w:spacing w:line="440" w:lineRule="exact"/>
        <w:rPr>
          <w:rFonts w:ascii="Times New Roman" w:hAnsi="Times New Roman" w:cs="Times New Roman"/>
          <w:sz w:val="21"/>
          <w:szCs w:val="20"/>
          <w:u w:val="single"/>
          <w:lang w:val="en-US" w:bidi="ar-SA"/>
        </w:rPr>
      </w:pPr>
      <w:r>
        <w:rPr>
          <w:rFonts w:hint="eastAsia" w:ascii="Times New Roman" w:hAnsi="Times New Roman" w:cs="Times New Roman"/>
          <w:sz w:val="21"/>
          <w:szCs w:val="20"/>
          <w:u w:val="single"/>
          <w:lang w:val="en-US" w:bidi="ar-SA"/>
        </w:rPr>
        <w:t xml:space="preserve">合同文件包括：（1）施工合同协议书；（2）中标通知书或成交通知书；（3）招标或竞争性磋商文件、投标书及其附件；（4）专用条款；（5）通用条款；（6）标准、规范及有关技术资料；（7）工程量清单；（8）工程报价单或预算书等履行合同过程中双方书面确认的对合同内容有实质性影响的文件以及会议纪要、签证、设计变更等资料。</w:t>
      </w:r>
      <w:r/>
    </w:p>
    <w:p>
      <w:pPr>
        <w:jc w:val="both"/>
        <w:spacing w:line="44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1.1.2 合同当事人及其他相关方</w:t>
      </w:r>
      <w:r/>
    </w:p>
    <w:p>
      <w:pPr>
        <w:jc w:val="both"/>
        <w:spacing w:line="44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1.1.2.1监理人：</w:t>
      </w:r>
      <w:r/>
    </w:p>
    <w:p>
      <w:pPr>
        <w:jc w:val="both"/>
        <w:spacing w:line="44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名称：；</w:t>
      </w:r>
      <w:r/>
    </w:p>
    <w:p>
      <w:pPr>
        <w:jc w:val="both"/>
        <w:spacing w:line="44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资质类别和等级：；</w:t>
      </w:r>
      <w:r/>
    </w:p>
    <w:p>
      <w:pPr>
        <w:jc w:val="both"/>
        <w:spacing w:line="44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联系电话：；</w:t>
      </w:r>
      <w:r/>
    </w:p>
    <w:p>
      <w:pPr>
        <w:jc w:val="both"/>
        <w:spacing w:line="44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电子信箱：；</w:t>
      </w:r>
      <w:r/>
    </w:p>
    <w:p>
      <w:pPr>
        <w:jc w:val="both"/>
        <w:spacing w:line="44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通信地址：。</w:t>
      </w:r>
      <w:r/>
    </w:p>
    <w:p>
      <w:pPr>
        <w:jc w:val="both"/>
        <w:spacing w:line="44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1.1.2.2设计人：</w:t>
      </w:r>
      <w:r/>
    </w:p>
    <w:p>
      <w:pPr>
        <w:jc w:val="both"/>
        <w:spacing w:line="44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名称：；</w:t>
      </w:r>
      <w:r/>
    </w:p>
    <w:p>
      <w:pPr>
        <w:jc w:val="both"/>
        <w:spacing w:line="44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资质类别和等级：；</w:t>
      </w:r>
      <w:r/>
    </w:p>
    <w:p>
      <w:pPr>
        <w:jc w:val="both"/>
        <w:spacing w:line="44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联系电话：；</w:t>
      </w:r>
      <w:r/>
    </w:p>
    <w:p>
      <w:pPr>
        <w:jc w:val="both"/>
        <w:spacing w:line="44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电子信箱：；</w:t>
      </w:r>
      <w:r/>
    </w:p>
    <w:p>
      <w:pPr>
        <w:jc w:val="both"/>
        <w:spacing w:line="44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通信地址：。</w:t>
      </w:r>
      <w:r/>
    </w:p>
    <w:p>
      <w:pPr>
        <w:jc w:val="both"/>
        <w:spacing w:line="44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1.1.3 工程和设备</w:t>
      </w:r>
      <w:r/>
    </w:p>
    <w:p>
      <w:pPr>
        <w:jc w:val="both"/>
        <w:spacing w:line="44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1.1.3.1作为施工现场组成部分的其他场所包括：</w:t>
      </w:r>
      <w:r>
        <w:rPr>
          <w:rFonts w:hint="eastAsia" w:ascii="Times New Roman" w:hAnsi="Times New Roman" w:cs="Times New Roman"/>
          <w:sz w:val="21"/>
          <w:szCs w:val="20"/>
          <w:u w:val="single"/>
          <w:lang w:val="en-US" w:bidi="ar-SA"/>
        </w:rPr>
        <w:t xml:space="preserve">无</w:t>
      </w:r>
      <w:r>
        <w:rPr>
          <w:rFonts w:hint="eastAsia" w:ascii="Times New Roman" w:hAnsi="Times New Roman" w:cs="Times New Roman"/>
          <w:sz w:val="21"/>
          <w:szCs w:val="20"/>
          <w:lang w:val="en-US" w:bidi="ar-SA"/>
        </w:rPr>
        <w:t xml:space="preserve">。</w:t>
      </w:r>
      <w:r/>
    </w:p>
    <w:p>
      <w:pPr>
        <w:jc w:val="both"/>
        <w:spacing w:line="44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1.1.3.2永久占地包括：</w:t>
      </w:r>
      <w:r>
        <w:rPr>
          <w:rFonts w:hint="eastAsia" w:ascii="Times New Roman" w:hAnsi="Times New Roman" w:cs="Times New Roman"/>
          <w:sz w:val="21"/>
          <w:szCs w:val="20"/>
          <w:u w:val="single"/>
          <w:lang w:val="en-US" w:bidi="ar-SA"/>
        </w:rPr>
        <w:t xml:space="preserve">无</w:t>
      </w:r>
      <w:r>
        <w:rPr>
          <w:rFonts w:hint="eastAsia" w:ascii="Times New Roman" w:hAnsi="Times New Roman" w:cs="Times New Roman"/>
          <w:sz w:val="21"/>
          <w:szCs w:val="20"/>
          <w:lang w:val="en-US" w:bidi="ar-SA"/>
        </w:rPr>
        <w:t xml:space="preserve">。</w:t>
      </w:r>
      <w:r/>
    </w:p>
    <w:p>
      <w:pPr>
        <w:jc w:val="both"/>
        <w:spacing w:line="44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1.1.3.3临时占地包括：</w:t>
      </w:r>
      <w:r>
        <w:rPr>
          <w:rFonts w:hint="eastAsia" w:ascii="Times New Roman" w:hAnsi="Times New Roman" w:cs="Times New Roman"/>
          <w:sz w:val="21"/>
          <w:szCs w:val="20"/>
          <w:u w:val="single"/>
          <w:lang w:val="en-US" w:bidi="ar-SA"/>
        </w:rPr>
        <w:t xml:space="preserve">施工场地周围道路</w:t>
      </w:r>
      <w:r>
        <w:rPr>
          <w:rFonts w:hint="eastAsia" w:ascii="Times New Roman" w:hAnsi="Times New Roman" w:cs="Times New Roman"/>
          <w:sz w:val="21"/>
          <w:szCs w:val="20"/>
          <w:lang w:val="en-US" w:bidi="ar-SA"/>
        </w:rPr>
        <w:t xml:space="preserve">。</w:t>
      </w:r>
      <w:r/>
    </w:p>
    <w:p>
      <w:pPr>
        <w:jc w:val="both"/>
        <w:spacing w:line="44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1.2法律</w:t>
      </w:r>
      <w:r/>
    </w:p>
    <w:p>
      <w:pPr>
        <w:jc w:val="both"/>
        <w:spacing w:line="440" w:lineRule="exact"/>
        <w:rPr>
          <w:rFonts w:ascii="Times New Roman" w:hAnsi="Times New Roman" w:cs="Times New Roman"/>
          <w:sz w:val="21"/>
          <w:szCs w:val="20"/>
          <w:u w:val="single"/>
          <w:lang w:val="en-US" w:bidi="ar-SA"/>
        </w:rPr>
      </w:pPr>
      <w:r>
        <w:rPr>
          <w:rFonts w:hint="eastAsia" w:ascii="Times New Roman" w:hAnsi="Times New Roman" w:cs="Times New Roman"/>
          <w:sz w:val="21"/>
          <w:szCs w:val="20"/>
          <w:lang w:val="en-US" w:bidi="ar-SA"/>
        </w:rPr>
        <w:t xml:space="preserve">适用于合同的其他规范性文件：</w:t>
      </w:r>
      <w:r>
        <w:rPr>
          <w:rFonts w:hint="eastAsia" w:ascii="Times New Roman" w:hAnsi="Times New Roman" w:cs="Times New Roman"/>
          <w:sz w:val="21"/>
          <w:szCs w:val="20"/>
          <w:u w:val="single"/>
          <w:lang w:val="en-US" w:bidi="ar-SA"/>
        </w:rPr>
        <w:t xml:space="preserve">《中华人民共和国民法典》、《中华人民共和国建筑法》、《中华人民共和国招标投标法》、《中华人民共和国招标投标法实施条例》、《建设工程质量管理条例》、七部委第12号令《评标小组和评标方法暂行规定》、七部委第30号令《工程建设项目施工招标投标办法》、建设部第89号令《房屋建筑和市政基础设施工程施工招标投标管理办法》等。</w:t>
      </w:r>
      <w:r/>
    </w:p>
    <w:p>
      <w:pPr>
        <w:jc w:val="both"/>
        <w:spacing w:line="44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1.3标准和规范</w:t>
      </w:r>
      <w:r/>
    </w:p>
    <w:p>
      <w:pPr>
        <w:jc w:val="both"/>
        <w:spacing w:line="440" w:lineRule="exact"/>
        <w:rPr>
          <w:rFonts w:ascii="Times New Roman" w:hAnsi="Times New Roman" w:cs="Times New Roman"/>
          <w:sz w:val="21"/>
          <w:szCs w:val="20"/>
          <w:u w:val="single"/>
          <w:lang w:val="en-US" w:bidi="ar-SA"/>
        </w:rPr>
      </w:pPr>
      <w:r>
        <w:rPr>
          <w:rFonts w:hint="eastAsia" w:ascii="Times New Roman" w:hAnsi="Times New Roman" w:cs="Times New Roman"/>
          <w:sz w:val="21"/>
          <w:szCs w:val="20"/>
          <w:lang w:val="en-US" w:bidi="ar-SA"/>
        </w:rPr>
        <w:t xml:space="preserve">1.3.1适用于工程的标准规范包括：</w:t>
      </w:r>
      <w:r>
        <w:rPr>
          <w:rFonts w:hint="eastAsia" w:ascii="Times New Roman" w:hAnsi="Times New Roman" w:cs="Times New Roman"/>
          <w:sz w:val="21"/>
          <w:szCs w:val="20"/>
          <w:u w:val="single"/>
          <w:lang w:val="en-US" w:bidi="ar-SA"/>
        </w:rPr>
        <w:t xml:space="preserve">本项目应按国家颁发的有关规范、标准及省、市有关规定的设计及施工要求。除非合同中另有规定，施工所用的规范及标准须采用最新版本。如遇设计或施工规范和标准对同一问题的处理出现相互矛盾，或设计若有不符合现行规范、规定、标准等或其他不到位之处的情况时，承包人应及时通知监理工程师，并提出解决办法，征得发包人和监理工程师的同意后实施。</w:t>
      </w:r>
      <w:r/>
    </w:p>
    <w:p>
      <w:pPr>
        <w:jc w:val="both"/>
        <w:spacing w:line="44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1.3.2 发包人提供国外标准、规范的名称：</w:t>
      </w:r>
      <w:r>
        <w:rPr>
          <w:rFonts w:hint="eastAsia" w:ascii="Times New Roman" w:hAnsi="Times New Roman" w:cs="Times New Roman"/>
          <w:sz w:val="21"/>
          <w:szCs w:val="20"/>
          <w:u w:val="single"/>
          <w:lang w:val="en-US" w:bidi="ar-SA"/>
        </w:rPr>
        <w:t xml:space="preserve">无</w:t>
      </w:r>
      <w:r>
        <w:rPr>
          <w:rFonts w:hint="eastAsia" w:ascii="Times New Roman" w:hAnsi="Times New Roman" w:cs="Times New Roman"/>
          <w:sz w:val="21"/>
          <w:szCs w:val="20"/>
          <w:lang w:val="en-US" w:bidi="ar-SA"/>
        </w:rPr>
        <w:t xml:space="preserve">；</w:t>
      </w:r>
      <w:r/>
    </w:p>
    <w:p>
      <w:pPr>
        <w:jc w:val="both"/>
        <w:spacing w:line="44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发包人提供国外标准、规范的份数：</w:t>
      </w:r>
      <w:r>
        <w:rPr>
          <w:rFonts w:hint="eastAsia" w:ascii="Times New Roman" w:hAnsi="Times New Roman" w:cs="Times New Roman"/>
          <w:sz w:val="21"/>
          <w:szCs w:val="20"/>
          <w:u w:val="single"/>
          <w:lang w:val="en-US" w:bidi="ar-SA"/>
        </w:rPr>
        <w:t xml:space="preserve">无</w:t>
      </w:r>
      <w:r>
        <w:rPr>
          <w:rFonts w:hint="eastAsia" w:ascii="Times New Roman" w:hAnsi="Times New Roman" w:cs="Times New Roman"/>
          <w:sz w:val="21"/>
          <w:szCs w:val="20"/>
          <w:lang w:val="en-US" w:bidi="ar-SA"/>
        </w:rPr>
        <w:t xml:space="preserve">；</w:t>
      </w:r>
      <w:r/>
    </w:p>
    <w:p>
      <w:pPr>
        <w:jc w:val="both"/>
        <w:spacing w:line="44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发包人提供国外标准、规范的名称：</w:t>
      </w:r>
      <w:r>
        <w:rPr>
          <w:rFonts w:hint="eastAsia" w:ascii="Times New Roman" w:hAnsi="Times New Roman" w:cs="Times New Roman"/>
          <w:sz w:val="21"/>
          <w:szCs w:val="20"/>
          <w:u w:val="single"/>
          <w:lang w:val="en-US" w:bidi="ar-SA"/>
        </w:rPr>
        <w:t xml:space="preserve">无</w:t>
      </w:r>
      <w:r>
        <w:rPr>
          <w:rFonts w:hint="eastAsia" w:ascii="Times New Roman" w:hAnsi="Times New Roman" w:cs="Times New Roman"/>
          <w:sz w:val="21"/>
          <w:szCs w:val="20"/>
          <w:lang w:val="en-US" w:bidi="ar-SA"/>
        </w:rPr>
        <w:t xml:space="preserve">。</w:t>
      </w:r>
      <w:r/>
    </w:p>
    <w:p>
      <w:pPr>
        <w:jc w:val="both"/>
        <w:spacing w:line="44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1.3.3发包人对工程的技术标准和功能要求的特殊要求：</w:t>
      </w:r>
      <w:r>
        <w:rPr>
          <w:rFonts w:hint="eastAsia" w:ascii="Times New Roman" w:hAnsi="Times New Roman" w:cs="Times New Roman"/>
          <w:sz w:val="21"/>
          <w:szCs w:val="20"/>
          <w:u w:val="single"/>
          <w:lang w:val="en-US" w:bidi="ar-SA"/>
        </w:rPr>
        <w:t xml:space="preserve">无</w:t>
      </w:r>
      <w:r>
        <w:rPr>
          <w:rFonts w:hint="eastAsia" w:ascii="Times New Roman" w:hAnsi="Times New Roman" w:cs="Times New Roman"/>
          <w:sz w:val="21"/>
          <w:szCs w:val="20"/>
          <w:lang w:val="en-US" w:bidi="ar-SA"/>
        </w:rPr>
        <w:t xml:space="preserve">。</w:t>
      </w:r>
      <w:r/>
    </w:p>
    <w:p>
      <w:pPr>
        <w:jc w:val="both"/>
        <w:spacing w:line="44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1.4合同文件的优先顺序</w:t>
      </w:r>
      <w:r/>
    </w:p>
    <w:p>
      <w:pPr>
        <w:ind w:firstLine="420"/>
        <w:jc w:val="both"/>
        <w:spacing w:line="400" w:lineRule="exact"/>
        <w:rPr>
          <w:rFonts w:ascii="Times New Roman" w:hAnsi="Times New Roman" w:cs="Times New Roman"/>
          <w:sz w:val="21"/>
          <w:szCs w:val="20"/>
          <w:u w:val="single"/>
          <w:lang w:val="en-US" w:bidi="ar-SA"/>
        </w:rPr>
      </w:pPr>
      <w:r>
        <w:rPr>
          <w:rFonts w:hint="eastAsia" w:ascii="Times New Roman" w:hAnsi="Times New Roman" w:cs="Times New Roman"/>
          <w:sz w:val="21"/>
          <w:szCs w:val="20"/>
          <w:lang w:val="en-US" w:bidi="ar-SA"/>
        </w:rPr>
        <w:t xml:space="preserve">合同文件组成及优先顺序为：</w:t>
      </w:r>
      <w:r>
        <w:rPr>
          <w:rFonts w:hint="eastAsia" w:ascii="Times New Roman" w:hAnsi="Times New Roman" w:cs="Times New Roman"/>
          <w:sz w:val="21"/>
          <w:szCs w:val="20"/>
          <w:u w:val="single"/>
          <w:lang w:val="en-US" w:bidi="ar-SA"/>
        </w:rPr>
        <w:t xml:space="preserve">（1）本施工合同协议书；（2）中标通知书或成交通知书；（3）本合同专用条款；（4）标准、规范及有关技术资料；（5）工程量清单；（6）工程报价单或预算书；（7）招标或竞争性磋商文件、投标书及其附件</w:t>
      </w:r>
      <w:r>
        <w:rPr>
          <w:rFonts w:hint="eastAsia" w:ascii="Times New Roman" w:hAnsi="Times New Roman" w:cs="Times New Roman"/>
          <w:sz w:val="21"/>
          <w:szCs w:val="24"/>
          <w:u w:val="single"/>
          <w:lang w:val="en-US" w:bidi="ar-SA"/>
        </w:rPr>
        <w:t xml:space="preserve">（含：承包人投标过程所作承诺）；（8）本合同通用条款；（9）合同履行中，发包人承包人有关工程的洽商、变更等书面协议或文件视为本合同的组成</w:t>
      </w:r>
      <w:r>
        <w:rPr>
          <w:rFonts w:hint="eastAsia" w:ascii="Times New Roman" w:hAnsi="Times New Roman" w:cs="Times New Roman"/>
          <w:sz w:val="21"/>
          <w:szCs w:val="20"/>
          <w:u w:val="single"/>
          <w:lang w:val="en-US" w:bidi="ar-SA"/>
        </w:rPr>
        <w:t xml:space="preserve">。</w:t>
      </w:r>
      <w:r/>
    </w:p>
    <w:p>
      <w:pPr>
        <w:ind w:firstLine="420"/>
        <w:jc w:val="both"/>
        <w:spacing w:line="400" w:lineRule="exact"/>
        <w:rPr>
          <w:rFonts w:ascii="Times New Roman" w:hAnsi="Times New Roman" w:cs="Times New Roman"/>
          <w:sz w:val="21"/>
          <w:szCs w:val="24"/>
          <w:lang w:val="en-US" w:bidi="ar-SA"/>
        </w:rPr>
      </w:pPr>
      <w:r>
        <w:rPr>
          <w:rFonts w:hint="eastAsia" w:ascii="Times New Roman" w:hAnsi="Times New Roman" w:cs="Times New Roman"/>
          <w:sz w:val="21"/>
          <w:szCs w:val="24"/>
          <w:lang w:val="en-US" w:bidi="ar-SA"/>
        </w:rPr>
        <w:t xml:space="preserve">上述各项合同文件包括合同当事人就该项合同文件所作出的补充和修改，属于同一类内容的文件，应以最新签署的为准。</w:t>
      </w:r>
      <w:r/>
    </w:p>
    <w:p>
      <w:pPr>
        <w:jc w:val="both"/>
        <w:spacing w:line="44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1.5图纸和承包人文件</w:t>
      </w:r>
      <w:r/>
    </w:p>
    <w:p>
      <w:pPr>
        <w:jc w:val="both"/>
        <w:spacing w:line="44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1.5.1 图纸的提供</w:t>
      </w:r>
      <w:r/>
    </w:p>
    <w:p>
      <w:pPr>
        <w:jc w:val="both"/>
        <w:spacing w:line="44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发包人向承包人提供图纸的期限：</w:t>
      </w:r>
      <w:r>
        <w:rPr>
          <w:rFonts w:hint="eastAsia" w:ascii="Times New Roman" w:hAnsi="Times New Roman" w:cs="Times New Roman"/>
          <w:sz w:val="21"/>
          <w:szCs w:val="20"/>
          <w:u w:val="single"/>
          <w:lang w:val="en-US" w:bidi="ar-SA"/>
        </w:rPr>
        <w:t xml:space="preserve">开工前【 7 】日内提供施工图</w:t>
      </w:r>
      <w:r>
        <w:rPr>
          <w:rFonts w:hint="eastAsia" w:ascii="Times New Roman" w:hAnsi="Times New Roman" w:cs="Times New Roman"/>
          <w:sz w:val="21"/>
          <w:szCs w:val="20"/>
          <w:lang w:val="en-US" w:bidi="ar-SA"/>
        </w:rPr>
        <w:t xml:space="preserve">；</w:t>
      </w:r>
      <w:r/>
    </w:p>
    <w:p>
      <w:pPr>
        <w:jc w:val="both"/>
        <w:spacing w:line="44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发包人向承包人提供图纸的数量：</w:t>
      </w:r>
      <w:r>
        <w:rPr>
          <w:rFonts w:hint="eastAsia" w:ascii="Times New Roman" w:hAnsi="Times New Roman" w:cs="Times New Roman"/>
          <w:sz w:val="21"/>
          <w:szCs w:val="20"/>
          <w:u w:val="single"/>
          <w:lang w:val="en-US" w:bidi="ar-SA"/>
        </w:rPr>
        <w:t xml:space="preserve">纸质版叁套，如需加晒图纸承包人自行承担所有费用</w:t>
      </w:r>
      <w:r>
        <w:rPr>
          <w:rFonts w:hint="eastAsia" w:ascii="Times New Roman" w:hAnsi="Times New Roman" w:cs="Times New Roman"/>
          <w:sz w:val="21"/>
          <w:szCs w:val="20"/>
          <w:lang w:val="en-US" w:bidi="ar-SA"/>
        </w:rPr>
        <w:t xml:space="preserve">；</w:t>
      </w:r>
      <w:r/>
    </w:p>
    <w:p>
      <w:pPr>
        <w:jc w:val="both"/>
        <w:spacing w:line="440" w:lineRule="exact"/>
        <w:rPr>
          <w:rFonts w:ascii="Times New Roman" w:hAnsi="Times New Roman" w:cs="Times New Roman"/>
          <w:sz w:val="21"/>
          <w:szCs w:val="20"/>
          <w:u w:val="single"/>
          <w:lang w:val="en-US" w:bidi="ar-SA"/>
        </w:rPr>
      </w:pPr>
      <w:r>
        <w:rPr>
          <w:rFonts w:hint="eastAsia" w:ascii="Times New Roman" w:hAnsi="Times New Roman" w:cs="Times New Roman"/>
          <w:sz w:val="21"/>
          <w:szCs w:val="20"/>
          <w:lang w:val="en-US" w:bidi="ar-SA"/>
        </w:rPr>
        <w:t xml:space="preserve">发包人向承包人提供图纸的内容：</w:t>
      </w:r>
      <w:r>
        <w:rPr>
          <w:rFonts w:hint="eastAsia" w:ascii="Times New Roman" w:hAnsi="Times New Roman" w:cs="Times New Roman"/>
          <w:sz w:val="21"/>
          <w:szCs w:val="20"/>
          <w:u w:val="single"/>
          <w:lang w:val="en-US" w:bidi="ar-SA"/>
        </w:rPr>
        <w:t xml:space="preserve">全套施工图</w:t>
      </w:r>
      <w:r/>
    </w:p>
    <w:p>
      <w:pPr>
        <w:jc w:val="both"/>
        <w:spacing w:line="44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1.5.2承包人文件</w:t>
      </w:r>
      <w:r/>
    </w:p>
    <w:p>
      <w:pPr>
        <w:jc w:val="both"/>
        <w:spacing w:line="44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需要由承包人提供的文件，包括：</w:t>
      </w:r>
      <w:r>
        <w:rPr>
          <w:rFonts w:hint="eastAsia" w:ascii="Times New Roman" w:hAnsi="Times New Roman" w:cs="Times New Roman"/>
          <w:sz w:val="21"/>
          <w:szCs w:val="20"/>
          <w:u w:val="single"/>
          <w:lang w:val="en-US" w:bidi="ar-SA"/>
        </w:rPr>
        <w:t xml:space="preserve">每七天分别向发包人及监理方提供详细的施工进度计划、已完工程量报表（含工程变更及签证算）、发包人供材料清单、承包人购材料清单、材料进场计划、劳动力及用款计划等资料。分项的施工组织设计在开工3日内向发包人提供。进场后一周内提供材料计划，每两周分别向发包人及监理方提供详细的施工进度计划、已完工程量报表（含工程变更及签证预算）、发包人供材料清单、承包人购材料清单、材料进场计划、劳动力及用款计划等资料。分项的施工组织设计在开工前1周内向发包人提供；</w:t>
      </w:r>
      <w:r>
        <w:rPr>
          <w:rFonts w:hint="eastAsia" w:ascii="Times New Roman" w:hAnsi="Times New Roman" w:cs="Times New Roman"/>
          <w:sz w:val="21"/>
          <w:szCs w:val="20"/>
          <w:lang w:val="en-US" w:bidi="ar-SA"/>
        </w:rPr>
        <w:t xml:space="preserve">需要由承包人提供的文件还包括：（1）设计变更、签证申请报告；（2）隐蔽工程和中间验收通知；（3）竣工验收申请报告；（4）竣工资料；（5）竣工结算申请单及结算资料；（6）最终结清申请单；</w:t>
      </w:r>
      <w:r>
        <w:rPr>
          <w:rFonts w:hint="eastAsia" w:ascii="Times New Roman" w:hAnsi="Times New Roman" w:cs="Times New Roman"/>
          <w:sz w:val="21"/>
          <w:szCs w:val="20"/>
          <w:u w:val="single"/>
          <w:lang w:val="en-US" w:bidi="ar-SA"/>
        </w:rPr>
        <w:t xml:space="preserve">其他应监理人或发包人要求提交的其他报告、报表</w:t>
      </w:r>
      <w:r>
        <w:rPr>
          <w:rFonts w:hint="eastAsia" w:cs="仿宋"/>
          <w:sz w:val="21"/>
          <w:szCs w:val="21"/>
          <w:u w:val="single"/>
          <w:lang w:val="en-US" w:bidi="ar-SA"/>
        </w:rPr>
        <w:t xml:space="preserve">：承包人应在正式施工前向发包人提供详细施工技术方案及未来清单报价表（含综合单价分析表等）并附光盘，经发包人审核</w:t>
      </w:r>
      <w:r>
        <w:rPr>
          <w:rFonts w:hint="eastAsia" w:eastAsia="Calibri" w:cs="仿宋"/>
          <w:sz w:val="21"/>
          <w:szCs w:val="21"/>
          <w:u w:val="single"/>
          <w:lang w:val="en-US" w:bidi="ar-SA"/>
        </w:rPr>
        <w:t xml:space="preserve">书面</w:t>
      </w:r>
      <w:r>
        <w:rPr>
          <w:rFonts w:hint="eastAsia" w:cs="仿宋"/>
          <w:sz w:val="21"/>
          <w:szCs w:val="21"/>
          <w:u w:val="single"/>
          <w:lang w:val="en-US" w:bidi="ar-SA"/>
        </w:rPr>
        <w:t xml:space="preserve">同意后方可进场施工。</w:t>
      </w:r>
      <w:r/>
    </w:p>
    <w:p>
      <w:pPr>
        <w:jc w:val="both"/>
        <w:spacing w:line="44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承包人提供的文件的期限为：除了上述第</w:t>
      </w:r>
      <w:r>
        <w:rPr>
          <w:rFonts w:ascii="Times New Roman" w:hAnsi="Times New Roman" w:cs="Times New Roman"/>
          <w:sz w:val="21"/>
          <w:szCs w:val="20"/>
          <w:lang w:val="en-US" w:bidi="ar-SA"/>
        </w:rPr>
        <w:t xml:space="preserve">1.5.2条款规定的文件提交期限外</w:t>
      </w:r>
      <w:r>
        <w:rPr>
          <w:rFonts w:hint="eastAsia" w:ascii="Times New Roman" w:hAnsi="Times New Roman" w:cs="Times New Roman"/>
          <w:sz w:val="21"/>
          <w:szCs w:val="20"/>
          <w:lang w:val="en-US" w:bidi="ar-SA"/>
        </w:rPr>
        <w:t xml:space="preserve">，</w:t>
      </w:r>
      <w:r>
        <w:rPr>
          <w:rFonts w:ascii="Times New Roman" w:hAnsi="Times New Roman" w:cs="Times New Roman"/>
          <w:sz w:val="21"/>
          <w:szCs w:val="20"/>
          <w:lang w:val="en-US" w:bidi="ar-SA"/>
        </w:rPr>
        <w:t xml:space="preserve">其他文件提交时间为</w:t>
      </w:r>
      <w:r>
        <w:rPr>
          <w:rFonts w:hint="eastAsia" w:ascii="Times New Roman" w:hAnsi="Times New Roman" w:cs="MingLiU_HKSCS"/>
          <w:sz w:val="21"/>
          <w:szCs w:val="20"/>
          <w:u w:val="single"/>
          <w:lang w:val="en-US" w:bidi="ar-SA"/>
        </w:rPr>
        <w:t xml:space="preserve">相关事件发生之日起3天内</w:t>
      </w:r>
      <w:r>
        <w:rPr>
          <w:rFonts w:hint="eastAsia" w:ascii="Times New Roman" w:hAnsi="Times New Roman" w:cs="Times New Roman"/>
          <w:sz w:val="21"/>
          <w:szCs w:val="20"/>
          <w:lang w:val="en-US" w:bidi="ar-SA"/>
        </w:rPr>
        <w:t xml:space="preserve">；</w:t>
      </w:r>
      <w:r/>
    </w:p>
    <w:p>
      <w:pPr>
        <w:jc w:val="both"/>
        <w:spacing w:line="44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承包人提供的文件的数量为：</w:t>
      </w:r>
      <w:r>
        <w:rPr>
          <w:rFonts w:hint="eastAsia" w:ascii="Times New Roman" w:hAnsi="Times New Roman" w:cs="MingLiU_HKSCS"/>
          <w:sz w:val="21"/>
          <w:szCs w:val="20"/>
          <w:u w:val="single"/>
          <w:lang w:val="en-US" w:bidi="ar-SA"/>
        </w:rPr>
        <w:t xml:space="preserve">一式叁份，交发包人和监理各一份，承包人留存一份</w:t>
      </w:r>
      <w:r>
        <w:rPr>
          <w:rFonts w:hint="eastAsia" w:ascii="Times New Roman" w:hAnsi="Times New Roman" w:cs="Times New Roman"/>
          <w:sz w:val="21"/>
          <w:szCs w:val="20"/>
          <w:lang w:val="en-US" w:bidi="ar-SA"/>
        </w:rPr>
        <w:t xml:space="preserve">；</w:t>
      </w:r>
      <w:r/>
    </w:p>
    <w:p>
      <w:pPr>
        <w:jc w:val="both"/>
        <w:spacing w:line="44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承包人提供的文件的形式为：</w:t>
      </w:r>
      <w:r>
        <w:rPr>
          <w:rFonts w:hint="eastAsia" w:ascii="Times New Roman" w:hAnsi="Times New Roman" w:cs="Times New Roman"/>
          <w:sz w:val="21"/>
          <w:szCs w:val="20"/>
          <w:u w:val="single"/>
          <w:lang w:val="en-US" w:bidi="ar-SA"/>
        </w:rPr>
        <w:t xml:space="preserve">书面形式</w:t>
      </w:r>
      <w:r>
        <w:rPr>
          <w:rFonts w:hint="eastAsia" w:ascii="Times New Roman" w:hAnsi="Times New Roman" w:cs="Times New Roman"/>
          <w:sz w:val="21"/>
          <w:szCs w:val="20"/>
          <w:lang w:val="en-US" w:bidi="ar-SA"/>
        </w:rPr>
        <w:t xml:space="preserve">；</w:t>
      </w:r>
      <w:r/>
    </w:p>
    <w:p>
      <w:pPr>
        <w:jc w:val="both"/>
        <w:spacing w:line="44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发包人审批承包人文件的期限：</w:t>
      </w:r>
      <w:r>
        <w:rPr>
          <w:rFonts w:hint="eastAsia" w:ascii="Times New Roman" w:hAnsi="Times New Roman" w:cs="MingLiU_HKSCS"/>
          <w:sz w:val="21"/>
          <w:szCs w:val="20"/>
          <w:u w:val="single"/>
          <w:lang w:val="en-US" w:bidi="ar-SA"/>
        </w:rPr>
        <w:t xml:space="preserve">发包人收到文件后14天内</w:t>
      </w:r>
      <w:r>
        <w:rPr>
          <w:rFonts w:hint="eastAsia" w:ascii="Times New Roman" w:hAnsi="Times New Roman" w:cs="Times New Roman"/>
          <w:sz w:val="21"/>
          <w:szCs w:val="20"/>
          <w:lang w:val="en-US" w:bidi="ar-SA"/>
        </w:rPr>
        <w:t xml:space="preserve">。</w:t>
      </w:r>
      <w:r/>
    </w:p>
    <w:p>
      <w:pPr>
        <w:jc w:val="both"/>
        <w:spacing w:line="44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1.5.3现场图纸准备</w:t>
      </w:r>
      <w:r/>
    </w:p>
    <w:p>
      <w:pPr>
        <w:jc w:val="both"/>
        <w:spacing w:line="44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关于现场图纸准备的约定：</w:t>
      </w:r>
      <w:r>
        <w:rPr>
          <w:rFonts w:hint="eastAsia" w:ascii="Times New Roman" w:hAnsi="Times New Roman" w:cs="Times New Roman"/>
          <w:sz w:val="21"/>
          <w:szCs w:val="20"/>
          <w:u w:val="single"/>
          <w:lang w:val="en-US" w:bidi="ar-SA"/>
        </w:rPr>
        <w:t xml:space="preserve">执行通用条款</w:t>
      </w:r>
      <w:r>
        <w:rPr>
          <w:rFonts w:hint="eastAsia" w:ascii="Times New Roman" w:hAnsi="Times New Roman" w:cs="Times New Roman"/>
          <w:sz w:val="21"/>
          <w:szCs w:val="20"/>
          <w:lang w:val="en-US" w:bidi="ar-SA"/>
        </w:rPr>
        <w:t xml:space="preserve">。</w:t>
      </w:r>
      <w:r/>
    </w:p>
    <w:p>
      <w:pPr>
        <w:jc w:val="both"/>
        <w:spacing w:line="44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1.6联络</w:t>
      </w:r>
      <w:r/>
    </w:p>
    <w:p>
      <w:pPr>
        <w:jc w:val="both"/>
        <w:spacing w:line="44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1.6.1发包人和承包人应当在</w:t>
      </w:r>
      <w:r>
        <w:rPr>
          <w:rFonts w:hint="eastAsia" w:ascii="Times New Roman" w:hAnsi="Times New Roman" w:cs="Times New Roman"/>
          <w:sz w:val="21"/>
          <w:szCs w:val="20"/>
          <w:u w:val="single"/>
          <w:lang w:val="en-US" w:bidi="ar-SA"/>
        </w:rPr>
        <w:t xml:space="preserve"> 3 </w:t>
      </w:r>
      <w:r>
        <w:rPr>
          <w:rFonts w:hint="eastAsia" w:ascii="Times New Roman" w:hAnsi="Times New Roman" w:cs="Times New Roman"/>
          <w:sz w:val="21"/>
          <w:szCs w:val="20"/>
          <w:lang w:val="en-US" w:bidi="ar-SA"/>
        </w:rPr>
        <w:t xml:space="preserve">天内将与合同有关的通知、批准、证明、证书、指示、指令、要求、请求、同意、意见、确定和决定等书面函件送达对方当事人（但发包人审批承包人文件的期限为：发包人收到文件后14天内）。</w:t>
      </w:r>
      <w:r/>
    </w:p>
    <w:p>
      <w:pPr>
        <w:jc w:val="both"/>
        <w:spacing w:line="44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1.6.2 发包人接收文件的地点：</w:t>
      </w:r>
      <w:r>
        <w:rPr>
          <w:rFonts w:hint="eastAsia" w:ascii="Times New Roman" w:hAnsi="Times New Roman" w:cs="MingLiU_HKSCS"/>
          <w:sz w:val="21"/>
          <w:szCs w:val="20"/>
          <w:u w:val="single"/>
          <w:lang w:val="en-US" w:bidi="ar-SA"/>
        </w:rPr>
        <w:t xml:space="preserve">南京中医药大学【仙林】校区发包人代表办公室</w:t>
      </w:r>
      <w:r>
        <w:rPr>
          <w:rFonts w:hint="eastAsia" w:ascii="Times New Roman" w:hAnsi="Times New Roman" w:cs="Times New Roman"/>
          <w:sz w:val="21"/>
          <w:szCs w:val="20"/>
          <w:lang w:val="en-US" w:bidi="ar-SA"/>
        </w:rPr>
        <w:t xml:space="preserve">；</w:t>
      </w:r>
      <w:r/>
    </w:p>
    <w:p>
      <w:pPr>
        <w:jc w:val="both"/>
        <w:spacing w:line="44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发包人指定的接收人为：_____。</w:t>
      </w:r>
      <w:r/>
    </w:p>
    <w:p>
      <w:pPr>
        <w:jc w:val="both"/>
        <w:spacing w:line="44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承包人接收文件的地点：</w:t>
      </w:r>
      <w:r>
        <w:rPr>
          <w:rFonts w:hint="eastAsia" w:ascii="Times New Roman" w:hAnsi="Times New Roman" w:cs="Times New Roman"/>
          <w:sz w:val="21"/>
          <w:szCs w:val="20"/>
          <w:u w:val="single"/>
          <w:lang w:val="en-US" w:bidi="ar-SA"/>
        </w:rPr>
        <w:t xml:space="preserve">项目现场</w:t>
      </w:r>
      <w:r>
        <w:rPr>
          <w:rFonts w:hint="eastAsia" w:ascii="Times New Roman" w:hAnsi="Times New Roman" w:cs="Times New Roman"/>
          <w:sz w:val="21"/>
          <w:szCs w:val="20"/>
          <w:lang w:val="en-US" w:bidi="ar-SA"/>
        </w:rPr>
        <w:t xml:space="preserve">；</w:t>
      </w:r>
      <w:r/>
    </w:p>
    <w:p>
      <w:pPr>
        <w:jc w:val="both"/>
        <w:spacing w:line="44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承包人指定的接收人为：</w:t>
      </w:r>
      <w:r>
        <w:rPr>
          <w:rFonts w:hint="eastAsia" w:ascii="Times New Roman" w:hAnsi="Times New Roman" w:cs="Times New Roman"/>
          <w:sz w:val="21"/>
          <w:szCs w:val="20"/>
          <w:u w:val="single"/>
          <w:lang w:val="en-US" w:bidi="ar-SA"/>
        </w:rPr>
        <w:t xml:space="preserve">项目经理***，联系方式***</w:t>
      </w:r>
      <w:r>
        <w:rPr>
          <w:rFonts w:hint="eastAsia" w:ascii="Times New Roman" w:hAnsi="Times New Roman" w:cs="Times New Roman"/>
          <w:sz w:val="21"/>
          <w:szCs w:val="20"/>
          <w:lang w:val="en-US" w:bidi="ar-SA"/>
        </w:rPr>
        <w:t xml:space="preserve">。</w:t>
      </w:r>
      <w:r/>
    </w:p>
    <w:p>
      <w:pPr>
        <w:jc w:val="both"/>
        <w:spacing w:line="44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监理人接收文件的地点：</w:t>
      </w:r>
      <w:r>
        <w:rPr>
          <w:rFonts w:hint="eastAsia" w:ascii="Times New Roman" w:hAnsi="Times New Roman" w:cs="Times New Roman"/>
          <w:sz w:val="21"/>
          <w:szCs w:val="20"/>
          <w:u w:val="single"/>
          <w:lang w:val="en-US" w:bidi="ar-SA"/>
        </w:rPr>
        <w:t xml:space="preserve">    </w:t>
      </w:r>
      <w:r>
        <w:rPr>
          <w:rFonts w:hint="eastAsia" w:ascii="Times New Roman" w:hAnsi="Times New Roman" w:cs="Times New Roman"/>
          <w:sz w:val="21"/>
          <w:szCs w:val="20"/>
          <w:lang w:val="en-US" w:bidi="ar-SA"/>
        </w:rPr>
        <w:t xml:space="preserve">；</w:t>
      </w:r>
      <w:r/>
    </w:p>
    <w:p>
      <w:pPr>
        <w:jc w:val="both"/>
        <w:spacing w:line="44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监理人指定的接收人为：</w:t>
      </w:r>
      <w:r>
        <w:rPr>
          <w:rFonts w:hint="eastAsia" w:ascii="Times New Roman" w:hAnsi="Times New Roman" w:cs="Times New Roman"/>
          <w:sz w:val="21"/>
          <w:szCs w:val="20"/>
          <w:u w:val="single"/>
          <w:lang w:val="en-US" w:bidi="ar-SA"/>
        </w:rPr>
        <w:t xml:space="preserve">     </w:t>
      </w:r>
      <w:r>
        <w:rPr>
          <w:rFonts w:hint="eastAsia" w:ascii="Times New Roman" w:hAnsi="Times New Roman" w:cs="Times New Roman"/>
          <w:sz w:val="21"/>
          <w:szCs w:val="20"/>
          <w:lang w:val="en-US" w:bidi="ar-SA"/>
        </w:rPr>
        <w:t xml:space="preserve">。</w:t>
      </w:r>
      <w:r/>
    </w:p>
    <w:p>
      <w:pPr>
        <w:jc w:val="both"/>
        <w:spacing w:line="44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1.7交通运输</w:t>
      </w:r>
      <w:r/>
    </w:p>
    <w:p>
      <w:pPr>
        <w:jc w:val="both"/>
        <w:spacing w:line="44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 .7.1 出入现场的权利</w:t>
      </w:r>
      <w:r/>
    </w:p>
    <w:p>
      <w:pPr>
        <w:jc w:val="both"/>
        <w:spacing w:line="44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关于出入现场的权利的约定：</w:t>
      </w:r>
      <w:r>
        <w:rPr>
          <w:rFonts w:hint="eastAsia" w:ascii="Times New Roman" w:hAnsi="Times New Roman" w:cs="Times New Roman"/>
          <w:sz w:val="21"/>
          <w:szCs w:val="20"/>
          <w:u w:val="single"/>
          <w:lang w:val="en-US" w:bidi="ar-SA"/>
        </w:rPr>
        <w:t xml:space="preserve">发包人项目负责人及主管领导、承包人项目组成员有权出入现场，禁止外单位施工车辆、人员出入工地</w:t>
      </w:r>
      <w:r>
        <w:rPr>
          <w:rFonts w:hint="eastAsia" w:ascii="Times New Roman" w:hAnsi="Times New Roman" w:cs="Times New Roman"/>
          <w:sz w:val="21"/>
          <w:szCs w:val="20"/>
          <w:lang w:val="en-US" w:bidi="ar-SA"/>
        </w:rPr>
        <w:t xml:space="preserve">。</w:t>
      </w:r>
      <w:r/>
    </w:p>
    <w:p>
      <w:pPr>
        <w:jc w:val="both"/>
        <w:spacing w:line="44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 .7.2场内交通</w:t>
      </w:r>
      <w:r/>
    </w:p>
    <w:p>
      <w:pPr>
        <w:jc w:val="both"/>
        <w:spacing w:line="44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关于场外交通和场内交通的边界的约定：</w:t>
      </w:r>
      <w:r>
        <w:rPr>
          <w:rFonts w:hint="eastAsia" w:ascii="Times New Roman" w:hAnsi="Times New Roman" w:cs="Times New Roman"/>
          <w:sz w:val="21"/>
          <w:szCs w:val="20"/>
          <w:u w:val="single"/>
          <w:lang w:val="en-US" w:bidi="ar-SA"/>
        </w:rPr>
        <w:t xml:space="preserve">视项目现场情况另行约定</w:t>
      </w:r>
      <w:r>
        <w:rPr>
          <w:rFonts w:hint="eastAsia" w:ascii="Times New Roman" w:hAnsi="Times New Roman" w:cs="Times New Roman"/>
          <w:sz w:val="21"/>
          <w:szCs w:val="20"/>
          <w:lang w:val="en-US" w:bidi="ar-SA"/>
        </w:rPr>
        <w:t xml:space="preserve">。</w:t>
      </w:r>
      <w:r/>
    </w:p>
    <w:p>
      <w:pPr>
        <w:jc w:val="both"/>
        <w:spacing w:line="44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关于发包人向承包人免费提供满足工程施工需要的场内道路和交通设施的约定：。</w:t>
      </w:r>
      <w:r/>
    </w:p>
    <w:p>
      <w:pPr>
        <w:jc w:val="both"/>
        <w:spacing w:line="44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1.7.3超大件和超重件的运输</w:t>
      </w:r>
      <w:r/>
    </w:p>
    <w:p>
      <w:pPr>
        <w:jc w:val="both"/>
        <w:spacing w:line="44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运输超大件或超重件所需的道路和桥梁临时加固改造费用和其他有关费用由</w:t>
      </w:r>
      <w:r>
        <w:rPr>
          <w:rFonts w:hint="eastAsia" w:ascii="Times New Roman" w:hAnsi="Times New Roman" w:cs="Times New Roman"/>
          <w:sz w:val="21"/>
          <w:szCs w:val="20"/>
          <w:u w:val="single"/>
          <w:lang w:val="en-US" w:bidi="ar-SA"/>
        </w:rPr>
        <w:t xml:space="preserve">承包人</w:t>
      </w:r>
      <w:r>
        <w:rPr>
          <w:rFonts w:hint="eastAsia" w:ascii="Times New Roman" w:hAnsi="Times New Roman" w:cs="Times New Roman"/>
          <w:sz w:val="21"/>
          <w:szCs w:val="20"/>
          <w:lang w:val="en-US" w:bidi="ar-SA"/>
        </w:rPr>
        <w:t xml:space="preserve">承担。</w:t>
      </w:r>
      <w:r/>
    </w:p>
    <w:p>
      <w:pPr>
        <w:jc w:val="both"/>
        <w:spacing w:line="44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1.8知识产权</w:t>
      </w:r>
      <w:r/>
    </w:p>
    <w:p>
      <w:pPr>
        <w:jc w:val="both"/>
        <w:spacing w:line="44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1.8.1关于发包人提供给承包人的图纸、发包人为实施工程自行编制或委托编制的技术规范以及反映发包人关于合同要求或其他类似性质的文件的著作权的归属：</w:t>
      </w:r>
      <w:r>
        <w:rPr>
          <w:rFonts w:hint="eastAsia" w:ascii="Times New Roman" w:hAnsi="Times New Roman" w:cs="Times New Roman"/>
          <w:sz w:val="21"/>
          <w:szCs w:val="20"/>
          <w:u w:val="single"/>
          <w:lang w:val="en-US" w:bidi="ar-SA"/>
        </w:rPr>
        <w:t xml:space="preserve">按照通用条款执行。</w:t>
      </w:r>
      <w:r/>
    </w:p>
    <w:p>
      <w:pPr>
        <w:jc w:val="both"/>
        <w:spacing w:line="44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关于发包人提供的上述文件的使用限制的要求：</w:t>
      </w:r>
      <w:r>
        <w:rPr>
          <w:rFonts w:hint="eastAsia" w:ascii="Times New Roman" w:hAnsi="Times New Roman" w:cs="Times New Roman"/>
          <w:sz w:val="21"/>
          <w:szCs w:val="20"/>
          <w:u w:val="single"/>
          <w:lang w:val="en-US" w:bidi="ar-SA"/>
        </w:rPr>
        <w:t xml:space="preserve">仅限于此工程项目</w:t>
      </w:r>
      <w:r>
        <w:rPr>
          <w:rFonts w:hint="eastAsia" w:ascii="Times New Roman" w:hAnsi="Times New Roman" w:cs="Times New Roman"/>
          <w:sz w:val="21"/>
          <w:szCs w:val="20"/>
          <w:lang w:val="en-US" w:bidi="ar-SA"/>
        </w:rPr>
        <w:t xml:space="preserve">。</w:t>
      </w:r>
      <w:r/>
    </w:p>
    <w:p>
      <w:pPr>
        <w:jc w:val="both"/>
        <w:spacing w:line="44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1.8.2 关于承包人为实施工程所编制文件的著作权的归属：</w:t>
      </w:r>
      <w:r>
        <w:rPr>
          <w:rFonts w:hint="eastAsia" w:ascii="Times New Roman" w:hAnsi="Times New Roman" w:cs="Times New Roman"/>
          <w:sz w:val="21"/>
          <w:szCs w:val="20"/>
          <w:u w:val="single"/>
          <w:lang w:val="en-US" w:bidi="ar-SA"/>
        </w:rPr>
        <w:t xml:space="preserve">按照通用条款执行</w:t>
      </w:r>
      <w:r>
        <w:rPr>
          <w:rFonts w:hint="eastAsia" w:ascii="Times New Roman" w:hAnsi="Times New Roman" w:cs="Times New Roman"/>
          <w:sz w:val="21"/>
          <w:szCs w:val="20"/>
          <w:lang w:val="en-US" w:bidi="ar-SA"/>
        </w:rPr>
        <w:t xml:space="preserve">。</w:t>
      </w:r>
      <w:r/>
    </w:p>
    <w:p>
      <w:pPr>
        <w:jc w:val="both"/>
        <w:spacing w:line="44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关于承包人提供的上述文件的使用限制的要求：</w:t>
      </w:r>
      <w:r>
        <w:rPr>
          <w:rFonts w:hint="eastAsia" w:ascii="Times New Roman" w:hAnsi="Times New Roman" w:cs="Times New Roman"/>
          <w:sz w:val="21"/>
          <w:szCs w:val="20"/>
          <w:u w:val="single"/>
          <w:lang w:val="en-US" w:bidi="ar-SA"/>
        </w:rPr>
        <w:t xml:space="preserve">按照通用条款执行</w:t>
      </w:r>
      <w:r>
        <w:rPr>
          <w:rFonts w:hint="eastAsia" w:ascii="Times New Roman" w:hAnsi="Times New Roman" w:cs="Times New Roman"/>
          <w:sz w:val="21"/>
          <w:szCs w:val="20"/>
          <w:lang w:val="en-US" w:bidi="ar-SA"/>
        </w:rPr>
        <w:t xml:space="preserve">。</w:t>
      </w:r>
      <w:r/>
    </w:p>
    <w:p>
      <w:pPr>
        <w:jc w:val="both"/>
        <w:spacing w:line="44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1.8.3承包人在施工过程中所采用的专利、专有技术、技术秘密的使用费的承担方式：</w:t>
      </w:r>
      <w:r>
        <w:rPr>
          <w:rFonts w:hint="eastAsia" w:ascii="Times New Roman" w:hAnsi="Times New Roman" w:cs="Times New Roman"/>
          <w:sz w:val="21"/>
          <w:szCs w:val="20"/>
          <w:u w:val="single"/>
          <w:lang w:val="en-US" w:bidi="ar-SA"/>
        </w:rPr>
        <w:t xml:space="preserve">由承包人承担</w:t>
      </w:r>
      <w:r>
        <w:rPr>
          <w:rFonts w:hint="eastAsia" w:ascii="Times New Roman" w:hAnsi="Times New Roman" w:cs="Times New Roman"/>
          <w:sz w:val="21"/>
          <w:szCs w:val="20"/>
          <w:lang w:val="en-US" w:bidi="ar-SA"/>
        </w:rPr>
        <w:t xml:space="preserve">。</w:t>
      </w:r>
      <w:r/>
    </w:p>
    <w:p>
      <w:pPr>
        <w:jc w:val="both"/>
        <w:spacing w:line="44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1.9工程量清单错误的修正</w:t>
      </w:r>
      <w:r/>
    </w:p>
    <w:p>
      <w:pPr>
        <w:jc w:val="both"/>
        <w:spacing w:line="460" w:lineRule="exact"/>
        <w:rPr>
          <w:rFonts w:ascii="Times New Roman" w:hAnsi="Times New Roman" w:cs="Times New Roman"/>
          <w:sz w:val="21"/>
          <w:szCs w:val="20"/>
          <w:u w:val="single"/>
          <w:lang w:val="en-US" w:bidi="ar-SA"/>
        </w:rPr>
      </w:pPr>
      <w:r>
        <w:rPr>
          <w:rFonts w:hint="eastAsia" w:ascii="Times New Roman" w:hAnsi="Times New Roman" w:cs="Times New Roman"/>
          <w:sz w:val="21"/>
          <w:szCs w:val="20"/>
          <w:u w:val="single"/>
          <w:lang w:val="en-US" w:bidi="ar-SA"/>
        </w:rPr>
        <w:t xml:space="preserve">当工程量清单存在缺项、漏项时，按下列规定调整合同价格。（1）已标价工程量清单有相同项目的，按照相同项目单价认定；（2）已标价工程量清单中无相同项目，但有类似项目的，参照类似项目的单价认定；</w:t>
      </w:r>
      <w:r/>
    </w:p>
    <w:p>
      <w:pPr>
        <w:jc w:val="both"/>
        <w:spacing w:line="460" w:lineRule="exact"/>
        <w:rPr>
          <w:rFonts w:ascii="Times New Roman" w:hAnsi="Times New Roman" w:cs="Times New Roman"/>
          <w:sz w:val="21"/>
          <w:szCs w:val="20"/>
          <w:u w:val="single"/>
          <w:lang w:val="en-US" w:bidi="ar-SA"/>
        </w:rPr>
      </w:pPr>
      <w:r>
        <w:rPr>
          <w:rFonts w:ascii="Wingdings 2" w:hAnsi="Wingdings 2" w:eastAsia="Wingdings 2" w:cs="Wingdings 2"/>
          <w:sz w:val="21"/>
          <w:szCs w:val="20"/>
          <w:u w:val="single"/>
          <w:lang w:val="en-US" w:bidi="ar-SA"/>
        </w:rPr>
        <w:t xml:space="preserve">£</w:t>
      </w:r>
      <w:r>
        <w:rPr>
          <w:rFonts w:hint="eastAsia" w:ascii="Times New Roman" w:hAnsi="Times New Roman" w:cs="Times New Roman"/>
          <w:sz w:val="21"/>
          <w:szCs w:val="20"/>
          <w:u w:val="single"/>
          <w:lang w:val="en-US" w:bidi="ar-SA"/>
        </w:rPr>
        <w:t xml:space="preserve">（公开招标方式、竞磋无二次报价项目选择）</w:t>
      </w:r>
      <w:r/>
    </w:p>
    <w:p>
      <w:pPr>
        <w:numPr>
          <w:ilvl w:val="0"/>
          <w:numId w:val="24"/>
        </w:numPr>
        <w:jc w:val="both"/>
        <w:spacing w:line="460" w:lineRule="exact"/>
        <w:rPr>
          <w:rFonts w:ascii="Times New Roman" w:hAnsi="Times New Roman" w:cs="Times New Roman"/>
          <w:sz w:val="21"/>
          <w:szCs w:val="20"/>
          <w:u w:val="single"/>
          <w:lang w:val="en-US" w:bidi="ar-SA"/>
        </w:rPr>
      </w:pPr>
      <w:r>
        <w:rPr>
          <w:rFonts w:hint="eastAsia" w:ascii="Times New Roman" w:hAnsi="Times New Roman" w:cs="Times New Roman"/>
          <w:sz w:val="21"/>
          <w:szCs w:val="20"/>
          <w:u w:val="single"/>
          <w:lang w:val="en-US" w:bidi="ar-SA"/>
        </w:rPr>
        <w:t xml:space="preserve">已标价工程量清单中没有适用也没有类似于变更工程项目的，由承包人根据变更工程资料（施工图变更文件和项目监理人批复的工程变更施工方案）、计量规则和计价办法、南京工程造价管理的信息价格（变更当月）和承包人报价浮动率提出变更工程项目的单价，报发包人及项目造价咨询人（跟踪审计单位）确认后调整乘以L为结算综合单价。承包人报价浮动率按下列公式计算：承包人报价浮动率 L=[1-（中标造价/采购控制价或最高限价）]× 100%；</w:t>
      </w:r>
      <w:r/>
    </w:p>
    <w:p>
      <w:pPr>
        <w:jc w:val="both"/>
        <w:spacing w:line="460" w:lineRule="exact"/>
        <w:rPr>
          <w:rFonts w:ascii="Times New Roman" w:hAnsi="Times New Roman" w:cs="Times New Roman"/>
          <w:sz w:val="21"/>
          <w:szCs w:val="20"/>
          <w:u w:val="single"/>
          <w:lang w:val="en-US" w:bidi="ar-SA"/>
        </w:rPr>
      </w:pPr>
      <w:r>
        <w:rPr>
          <w:rFonts w:ascii="Wingdings 2" w:hAnsi="Wingdings 2" w:eastAsia="Wingdings 2" w:cs="Wingdings 2"/>
          <w:sz w:val="21"/>
          <w:szCs w:val="20"/>
          <w:u w:val="single"/>
          <w:lang w:val="en-US" w:bidi="ar-SA"/>
        </w:rPr>
        <w:t xml:space="preserve">£</w:t>
      </w:r>
      <w:r>
        <w:rPr>
          <w:rFonts w:hint="eastAsia" w:ascii="Times New Roman" w:hAnsi="Times New Roman" w:cs="Times New Roman"/>
          <w:sz w:val="21"/>
          <w:szCs w:val="20"/>
          <w:u w:val="single"/>
          <w:lang w:val="en-US" w:bidi="ar-SA"/>
        </w:rPr>
        <w:t xml:space="preserve">（竞磋存在二次报价项目选用）</w:t>
      </w:r>
      <w:r/>
    </w:p>
    <w:p>
      <w:pPr>
        <w:numPr>
          <w:ilvl w:val="0"/>
          <w:numId w:val="25"/>
        </w:numPr>
        <w:jc w:val="both"/>
        <w:spacing w:line="460" w:lineRule="exact"/>
        <w:rPr>
          <w:rFonts w:ascii="Times New Roman" w:hAnsi="Times New Roman" w:cs="Times New Roman"/>
          <w:sz w:val="21"/>
          <w:szCs w:val="20"/>
          <w:u w:val="single"/>
          <w:lang w:val="en-US" w:bidi="ar-SA"/>
        </w:rPr>
      </w:pPr>
      <w:r>
        <w:rPr>
          <w:rFonts w:hint="eastAsia" w:ascii="Times New Roman" w:hAnsi="Times New Roman" w:cs="Times New Roman"/>
          <w:sz w:val="21"/>
          <w:szCs w:val="20"/>
          <w:u w:val="single"/>
          <w:lang w:val="en-US" w:bidi="ar-SA"/>
        </w:rPr>
        <w:t xml:space="preserve">已标价工程量清单中没有适用也没有类似于项目的，由承包人根据缺项、漏项内容、《江苏省建筑工程计价表》等现行省计价表以及南京市建筑委员会关于贯彻执行《建设工程量清单计价规范》(GB50500-2013)的通知规定计算，参照一次磋商报价中价格组成因素（相关费率、人工、材料、机械价格，如一次磋商报价中没有相应价格，依次按照南京工程造价管理的信息价格、市场询价次序确定）提出缺项、漏项项目的单价，报发包人及项目造价咨询人（跟踪审计单位）确认后，并执行中标金额相比一次磋商报价下浮比例，作为送审结算报价。</w:t>
      </w:r>
      <w:r/>
    </w:p>
    <w:p>
      <w:pPr>
        <w:jc w:val="both"/>
        <w:spacing w:line="460" w:lineRule="exact"/>
        <w:rPr>
          <w:rFonts w:ascii="Times New Roman" w:hAnsi="Times New Roman" w:cs="Times New Roman"/>
          <w:sz w:val="21"/>
          <w:szCs w:val="20"/>
          <w:u w:val="single"/>
          <w:lang w:val="en-US" w:bidi="ar-SA"/>
        </w:rPr>
      </w:pPr>
      <w:r>
        <w:rPr>
          <w:rFonts w:hint="eastAsia" w:ascii="Times New Roman" w:hAnsi="Times New Roman" w:cs="Times New Roman"/>
          <w:sz w:val="21"/>
          <w:szCs w:val="20"/>
          <w:u w:val="single"/>
          <w:lang w:val="en-US" w:bidi="ar-SA"/>
        </w:rPr>
        <w:t xml:space="preserve">（4）已标价工程量清单中没有适用也没有类似于变更工程项目，且南京工程造价管理机构发布的信息价格缺失的，材料价格由发包人、承包人、项目造价咨询人（跟踪审计单位）共同询价确认材料价后，按上条款办法确认单价。承包人不得以任何理由拒绝询价结果，否则认为承包人违约，发包人有权将涉及到此材料的分部分项工程量以不高于询价结果的材料价按本条目第（4）款组价后指定分包给有能力承担此项工程的其他承包人。</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允许调整合同价格的工程量偏差范围：</w:t>
      </w:r>
      <w:r>
        <w:rPr>
          <w:rFonts w:hint="eastAsia" w:ascii="Times New Roman" w:hAnsi="Times New Roman" w:cs="Times New Roman"/>
          <w:sz w:val="21"/>
          <w:szCs w:val="20"/>
          <w:u w:val="single"/>
          <w:lang w:val="en-US" w:bidi="ar-SA"/>
        </w:rPr>
        <w:t xml:space="preserve">/ 。</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2 . 发包人</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2.1发包人代表</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发包人代表：</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姓名：；</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身份证号：；</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职务：；</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联系电话：；</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电子信箱：；</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通信地址：。</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发包人对发包人代表的授权范围如下：</w:t>
      </w:r>
      <w:r/>
    </w:p>
    <w:p>
      <w:pPr>
        <w:jc w:val="both"/>
        <w:spacing w:line="460" w:lineRule="exact"/>
        <w:rPr>
          <w:rFonts w:ascii="Times New Roman" w:hAnsi="Times New Roman" w:cs="Times New Roman"/>
          <w:b/>
          <w:bCs/>
          <w:sz w:val="21"/>
          <w:szCs w:val="20"/>
          <w:u w:val="single"/>
          <w:lang w:val="en-US" w:bidi="ar-SA"/>
        </w:rPr>
      </w:pPr>
      <w:r>
        <w:rPr>
          <w:rFonts w:hint="eastAsia" w:ascii="Times New Roman" w:hAnsi="Times New Roman" w:cs="Times New Roman"/>
          <w:b/>
          <w:bCs/>
          <w:sz w:val="21"/>
          <w:szCs w:val="20"/>
          <w:u w:val="single"/>
          <w:lang w:val="en-US" w:bidi="ar-SA"/>
        </w:rPr>
        <w:t xml:space="preserve">主持施工现场发包人的工作；对施工过程中的合同执行情况进行检查监督。但是凡工程施工过程中发生的影响工程决算费用的事项均须经发包人单位盖章确认方为有效，方可作为工程价款的结算依据，包括但不限于：涉及工程造价的签证；增加工程量或设计变更的联系单或签证；涉及开工令、停工令、复工令以及工程延期、索赔等手续（本条款为特别约定）。</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2.2施工现场、施工条件和基础资料的提供</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2.2.1 提供施工现场</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关于发包人移交施工现场的期限要求：</w:t>
      </w:r>
      <w:r>
        <w:rPr>
          <w:rFonts w:hint="eastAsia" w:ascii="Times New Roman" w:hAnsi="Times New Roman" w:cs="Times New Roman"/>
          <w:sz w:val="21"/>
          <w:szCs w:val="20"/>
          <w:u w:val="single"/>
          <w:lang w:val="en-US" w:bidi="ar-SA"/>
        </w:rPr>
        <w:t xml:space="preserve">签订本合同，签署开工令后3日内</w:t>
      </w:r>
      <w:r>
        <w:rPr>
          <w:rFonts w:hint="eastAsia" w:ascii="Times New Roman" w:hAnsi="Times New Roman" w:cs="Times New Roman"/>
          <w:sz w:val="21"/>
          <w:szCs w:val="20"/>
          <w:lang w:val="en-US" w:bidi="ar-SA"/>
        </w:rPr>
        <w:t xml:space="preserve">。</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2.2.2 提供施工条件</w:t>
      </w:r>
      <w:r/>
    </w:p>
    <w:p>
      <w:pPr>
        <w:jc w:val="both"/>
        <w:rPr>
          <w:rFonts w:ascii="Calibri" w:hAnsi="Calibri" w:cs="Calibri"/>
          <w:sz w:val="21"/>
          <w:szCs w:val="24"/>
          <w:u w:val="single"/>
          <w:lang w:val="en-US" w:bidi="ar-SA"/>
        </w:rPr>
      </w:pPr>
      <w:r>
        <w:rPr>
          <w:rFonts w:hint="eastAsia" w:cs="Times New Roman"/>
          <w:sz w:val="21"/>
          <w:szCs w:val="21"/>
          <w:lang w:val="en-US" w:bidi="ar-SA"/>
        </w:rPr>
        <w:t xml:space="preserve">关于发包人应负责提供施工所需要的条件，包括</w:t>
      </w:r>
      <w:r>
        <w:rPr>
          <w:rFonts w:hint="eastAsia" w:ascii="Calibri" w:hAnsi="Calibri" w:cs="Calibri"/>
          <w:sz w:val="21"/>
          <w:szCs w:val="24"/>
          <w:u w:val="single"/>
          <w:lang w:val="en-US" w:bidi="ar-SA"/>
        </w:rPr>
        <w:t xml:space="preserve">：关于资源占用量（含水电）的约定，按照现行有效的《南京中医药大学水电管理办法》执行，详见附件1。</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2.3资金来源证明及支付担保</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发包人提供资金来源证明的期限要求：</w:t>
      </w:r>
      <w:r>
        <w:rPr>
          <w:rFonts w:hint="eastAsia" w:ascii="Times New Roman" w:hAnsi="Times New Roman" w:cs="Times New Roman"/>
          <w:sz w:val="21"/>
          <w:szCs w:val="20"/>
          <w:u w:val="single"/>
          <w:lang w:val="en-US" w:bidi="ar-SA"/>
        </w:rPr>
        <w:t xml:space="preserve">无</w:t>
      </w:r>
      <w:r>
        <w:rPr>
          <w:rFonts w:hint="eastAsia" w:ascii="Times New Roman" w:hAnsi="Times New Roman" w:cs="Times New Roman"/>
          <w:sz w:val="21"/>
          <w:szCs w:val="20"/>
          <w:lang w:val="en-US" w:bidi="ar-SA"/>
        </w:rPr>
        <w:t xml:space="preserve">。</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发包人是否提供支付担保：</w:t>
      </w:r>
      <w:r>
        <w:rPr>
          <w:rFonts w:hint="eastAsia" w:ascii="Times New Roman" w:hAnsi="Times New Roman" w:cs="Times New Roman"/>
          <w:sz w:val="21"/>
          <w:szCs w:val="20"/>
          <w:u w:val="single"/>
          <w:lang w:val="en-US" w:bidi="ar-SA"/>
        </w:rPr>
        <w:t xml:space="preserve">否</w:t>
      </w:r>
      <w:r>
        <w:rPr>
          <w:rFonts w:hint="eastAsia" w:ascii="Times New Roman" w:hAnsi="Times New Roman" w:cs="Times New Roman"/>
          <w:sz w:val="21"/>
          <w:szCs w:val="20"/>
          <w:lang w:val="en-US" w:bidi="ar-SA"/>
        </w:rPr>
        <w:t xml:space="preserve">。</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3 . 承包人</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3.1 承包人的一般义务</w:t>
      </w:r>
      <w:r/>
    </w:p>
    <w:p>
      <w:pPr>
        <w:jc w:val="both"/>
        <w:spacing w:line="360" w:lineRule="auto"/>
        <w:rPr>
          <w:rFonts w:ascii="Times New Roman" w:hAnsi="Times New Roman" w:cs="Times New Roman"/>
          <w:sz w:val="21"/>
          <w:szCs w:val="20"/>
          <w:u w:val="single"/>
          <w:lang w:val="en-US" w:bidi="ar-SA"/>
        </w:rPr>
      </w:pPr>
      <w:r>
        <w:rPr>
          <w:rFonts w:hint="eastAsia" w:ascii="Times New Roman" w:hAnsi="Times New Roman" w:cs="Times New Roman"/>
          <w:sz w:val="21"/>
          <w:szCs w:val="20"/>
          <w:lang w:val="en-US" w:bidi="ar-SA"/>
        </w:rPr>
        <w:t xml:space="preserve">（1）承包人提交的竣工资料的内容：</w:t>
      </w:r>
      <w:r>
        <w:rPr>
          <w:rFonts w:hint="eastAsia" w:ascii="Times New Roman" w:hAnsi="Times New Roman" w:cs="Times New Roman"/>
          <w:sz w:val="21"/>
          <w:szCs w:val="20"/>
          <w:u w:val="single"/>
          <w:lang w:val="en-US" w:bidi="ar-SA"/>
        </w:rPr>
        <w:t xml:space="preserve">提供工程竣工报告、施工技术管理资料、产品质量证明文件、施工质量试验资料、施工质量检测资料、施工记录、工程安全和功能检验资料核查及主要功能抽查记录等,同时还须符合工程所在地行政主管部门要求执行，提供符合城建档案馆及其他有关部门要求的竣工图纸和竣工资料。</w:t>
      </w:r>
      <w:r/>
    </w:p>
    <w:p>
      <w:pPr>
        <w:jc w:val="both"/>
        <w:spacing w:line="360" w:lineRule="auto"/>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承包人需要提交的竣工资料套数：</w:t>
      </w:r>
      <w:r>
        <w:rPr>
          <w:rFonts w:hint="eastAsia" w:ascii="Times New Roman" w:hAnsi="Times New Roman" w:cs="Times New Roman"/>
          <w:sz w:val="21"/>
          <w:szCs w:val="20"/>
          <w:u w:val="single"/>
          <w:lang w:val="en-US" w:bidi="ar-SA"/>
        </w:rPr>
        <w:t xml:space="preserve">【叁】套完整的纸质竣工资料（另附竣工电子文件一套），其中包括竣工决算资料等</w:t>
      </w:r>
      <w:r>
        <w:rPr>
          <w:rFonts w:hint="eastAsia" w:ascii="Times New Roman" w:hAnsi="Times New Roman" w:cs="Times New Roman"/>
          <w:sz w:val="21"/>
          <w:szCs w:val="20"/>
          <w:lang w:val="en-US" w:bidi="ar-SA"/>
        </w:rPr>
        <w:t xml:space="preserve">。</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承包人提交的竣工资料的费用承担：承包人</w:t>
      </w:r>
      <w:r>
        <w:rPr>
          <w:rFonts w:hint="eastAsia" w:ascii="Times New Roman" w:hAnsi="Times New Roman" w:cs="Times New Roman"/>
          <w:sz w:val="21"/>
          <w:szCs w:val="20"/>
          <w:u w:val="single"/>
          <w:lang w:val="en-US" w:bidi="ar-SA"/>
        </w:rPr>
        <w:t xml:space="preserve">自行承担</w:t>
      </w:r>
      <w:r>
        <w:rPr>
          <w:rFonts w:hint="eastAsia" w:ascii="Times New Roman" w:hAnsi="Times New Roman" w:cs="Times New Roman"/>
          <w:sz w:val="21"/>
          <w:szCs w:val="20"/>
          <w:lang w:val="en-US" w:bidi="ar-SA"/>
        </w:rPr>
        <w:t xml:space="preserve">。</w:t>
      </w:r>
      <w:r/>
    </w:p>
    <w:p>
      <w:pPr>
        <w:jc w:val="both"/>
        <w:spacing w:line="460" w:lineRule="exact"/>
        <w:rPr>
          <w:rFonts w:ascii="Times New Roman" w:hAnsi="Times New Roman" w:cs="Times New Roman"/>
          <w:sz w:val="21"/>
          <w:szCs w:val="20"/>
          <w:u w:val="single"/>
          <w:lang w:val="en-US" w:bidi="ar-SA"/>
        </w:rPr>
      </w:pPr>
      <w:r>
        <w:rPr>
          <w:rFonts w:hint="eastAsia" w:ascii="Times New Roman" w:hAnsi="Times New Roman" w:cs="Times New Roman"/>
          <w:sz w:val="21"/>
          <w:szCs w:val="20"/>
          <w:lang w:val="en-US" w:bidi="ar-SA"/>
        </w:rPr>
        <w:t xml:space="preserve">承包人提交的竣工资料移交时间：</w:t>
      </w:r>
      <w:r>
        <w:rPr>
          <w:rFonts w:hint="eastAsia" w:ascii="Times New Roman" w:hAnsi="Times New Roman" w:cs="Times New Roman"/>
          <w:sz w:val="21"/>
          <w:szCs w:val="20"/>
          <w:u w:val="single"/>
          <w:lang w:val="en-US" w:bidi="ar-SA"/>
        </w:rPr>
        <w:t xml:space="preserve">工程竣工验收合格后一周之内，承包人应向发包人递交竣工结算报告和完整的结算资料。</w:t>
      </w:r>
      <w:r/>
    </w:p>
    <w:p>
      <w:pPr>
        <w:jc w:val="both"/>
        <w:spacing w:line="360" w:lineRule="auto"/>
        <w:rPr>
          <w:rFonts w:ascii="Times New Roman" w:hAnsi="Times New Roman" w:cs="MingLiU_HKSCS"/>
          <w:sz w:val="21"/>
          <w:szCs w:val="20"/>
          <w:u w:val="single"/>
          <w:lang w:val="en-US" w:bidi="ar-SA"/>
        </w:rPr>
      </w:pPr>
      <w:r>
        <w:rPr>
          <w:rFonts w:hint="eastAsia" w:ascii="Times New Roman" w:hAnsi="Times New Roman" w:cs="Times New Roman"/>
          <w:sz w:val="21"/>
          <w:szCs w:val="20"/>
          <w:lang w:val="en-US" w:bidi="ar-SA"/>
        </w:rPr>
        <w:t xml:space="preserve">承包人提交的竣工资料形式要求：</w:t>
      </w:r>
      <w:r/>
    </w:p>
    <w:p>
      <w:pPr>
        <w:jc w:val="both"/>
        <w:spacing w:line="360" w:lineRule="auto"/>
        <w:rPr>
          <w:rFonts w:ascii="Times New Roman" w:hAnsi="Times New Roman" w:cs="Times New Roman"/>
          <w:sz w:val="21"/>
          <w:szCs w:val="20"/>
          <w:lang w:val="en-US" w:bidi="ar-SA"/>
        </w:rPr>
      </w:pPr>
      <w:r>
        <w:rPr>
          <w:rFonts w:hint="eastAsia" w:ascii="Times New Roman" w:hAnsi="Times New Roman" w:cs="MingLiU_HKSCS"/>
          <w:sz w:val="21"/>
          <w:szCs w:val="20"/>
          <w:u w:val="single"/>
          <w:lang w:val="en-US" w:bidi="ar-SA"/>
        </w:rPr>
        <w:t xml:space="preserve">书面及电子文档，</w:t>
      </w:r>
      <w:r>
        <w:rPr>
          <w:rFonts w:hint="eastAsia" w:ascii="Times New Roman" w:hAnsi="Times New Roman" w:cs="Times New Roman"/>
          <w:sz w:val="21"/>
          <w:szCs w:val="20"/>
          <w:u w:val="single"/>
          <w:lang w:val="en-US" w:bidi="ar-SA"/>
        </w:rPr>
        <w:t xml:space="preserve">所有工程资料必须符合工程验收和档案管理要求，因承包人提供的资料不符合档案管理要求而重新制作整理所产生的费用由承包人自行承担；承包人逾期提交竣工资料的，每逾期一日，应向发包人承担违约金</w:t>
      </w:r>
      <w:r>
        <w:rPr>
          <w:rFonts w:hint="eastAsia" w:ascii="Times New Roman" w:hAnsi="Times New Roman" w:cs="MingLiU_HKSCS"/>
          <w:sz w:val="21"/>
          <w:szCs w:val="20"/>
          <w:u w:val="single"/>
          <w:lang w:val="en-US" w:bidi="ar-SA"/>
        </w:rPr>
        <w:t xml:space="preserve">【500】</w:t>
      </w:r>
      <w:r>
        <w:rPr>
          <w:rFonts w:hint="eastAsia" w:ascii="Times New Roman" w:hAnsi="Times New Roman" w:cs="Times New Roman"/>
          <w:sz w:val="21"/>
          <w:szCs w:val="20"/>
          <w:u w:val="single"/>
          <w:lang w:val="en-US" w:bidi="ar-SA"/>
        </w:rPr>
        <w:t xml:space="preserve">元</w:t>
      </w:r>
      <w:r>
        <w:rPr>
          <w:rFonts w:hint="eastAsia" w:ascii="Times New Roman" w:hAnsi="Times New Roman" w:cs="Times New Roman"/>
          <w:sz w:val="21"/>
          <w:szCs w:val="20"/>
          <w:lang w:val="en-US" w:bidi="ar-SA"/>
        </w:rPr>
        <w:t xml:space="preserve">。</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（2）承包人应履行的其他义务：</w:t>
      </w:r>
      <w:r/>
    </w:p>
    <w:p>
      <w:pPr>
        <w:jc w:val="both"/>
        <w:spacing w:line="360" w:lineRule="auto"/>
        <w:rPr>
          <w:rFonts w:ascii="Times New Roman" w:hAnsi="Times New Roman" w:cs="Times New Roman"/>
          <w:sz w:val="21"/>
          <w:szCs w:val="20"/>
          <w:u w:val="single"/>
          <w:lang w:val="en-US" w:bidi="ar-SA"/>
        </w:rPr>
      </w:pPr>
      <w:r>
        <w:rPr>
          <w:rFonts w:hint="eastAsia" w:ascii="Times New Roman" w:hAnsi="Times New Roman" w:cs="Times New Roman"/>
          <w:sz w:val="21"/>
          <w:szCs w:val="20"/>
          <w:u w:val="single"/>
          <w:lang w:val="en-US" w:bidi="ar-SA"/>
        </w:rPr>
        <w:t xml:space="preserve">承包人除完成合同招标文件要求和合同约定的义务外，还须遵守发包人的监督管理 。承包人应保证本工程施工过程不对工程所在楼内的正常生活等使用功能和秩序造成不良影响，如需夜间施工，所涉及的所有费用由承包人自行承担。承包人在施工过程中，应根据发包人</w:t>
      </w:r>
      <w:r>
        <w:rPr>
          <w:rFonts w:hint="eastAsia" w:ascii="Times New Roman" w:hAnsi="Times New Roman" w:cs="Times New Roman"/>
          <w:sz w:val="21"/>
          <w:szCs w:val="20"/>
          <w:u w:val="single"/>
          <w:lang w:val="en-US" w:bidi="ar-SA"/>
        </w:rPr>
        <w:t xml:space="preserve">的要求和现场情况进行成品保护，做好安全防护和围挡施工，所有设备设施及物品未经发包人现场负责人同意均不可移动，特别是通风管道、净化空调管道、计算机、服务器等设施。施工须做好防尘、防水防潮、防震动、防噪音措施；明火施工须远离危化品储存柜及气体钢瓶接触。如有损坏，则由承包人负责恢复原状，无法恢复原状的，则由承包人按原价赔偿，造成发包人或第三人损失的，承包人还应赔偿发包人或第三人的相应损失。确需移动贵重仪器才能施工的，承包人须联系或申请发包人联系仪器设备供应商派专业人员统一移机和复位，所产生的一切费用由承包人承担。</w:t>
      </w:r>
      <w:r/>
    </w:p>
    <w:p>
      <w:pPr>
        <w:jc w:val="both"/>
        <w:spacing w:line="460" w:lineRule="exact"/>
        <w:rPr>
          <w:rFonts w:ascii="Times New Roman" w:hAnsi="Times New Roman" w:cs="Times New Roman"/>
          <w:sz w:val="21"/>
          <w:szCs w:val="20"/>
          <w:u w:val="single"/>
          <w:lang w:val="en-US" w:bidi="ar-SA"/>
        </w:rPr>
      </w:pPr>
      <w:r>
        <w:rPr>
          <w:rFonts w:hint="eastAsia" w:ascii="Times New Roman" w:hAnsi="Times New Roman" w:cs="Times New Roman"/>
          <w:sz w:val="21"/>
          <w:szCs w:val="20"/>
          <w:u w:val="single"/>
          <w:lang w:val="en-US" w:bidi="ar-SA"/>
        </w:rPr>
        <w:t xml:space="preserve">1）需由设计资质等级和业务范围允许的承包人完成的设计文件提交时间：不采用。</w:t>
      </w:r>
      <w:r/>
    </w:p>
    <w:p>
      <w:pPr>
        <w:jc w:val="both"/>
        <w:spacing w:line="460" w:lineRule="exact"/>
        <w:rPr>
          <w:rFonts w:ascii="Times New Roman" w:hAnsi="Times New Roman" w:cs="Times New Roman"/>
          <w:sz w:val="21"/>
          <w:szCs w:val="20"/>
          <w:u w:val="single"/>
          <w:lang w:val="en-US" w:bidi="ar-SA"/>
        </w:rPr>
      </w:pPr>
      <w:r>
        <w:rPr>
          <w:rFonts w:hint="eastAsia" w:ascii="Times New Roman" w:hAnsi="Times New Roman" w:cs="Times New Roman"/>
          <w:sz w:val="21"/>
          <w:szCs w:val="20"/>
          <w:u w:val="single"/>
          <w:lang w:val="en-US" w:bidi="ar-SA"/>
        </w:rPr>
        <w:t xml:space="preserve">2）应提供计划、报表的名称及完成时间：</w:t>
      </w:r>
      <w:r/>
    </w:p>
    <w:p>
      <w:pPr>
        <w:jc w:val="both"/>
        <w:spacing w:line="460" w:lineRule="exact"/>
        <w:rPr>
          <w:rFonts w:ascii="Times New Roman" w:hAnsi="Times New Roman" w:cs="Times New Roman"/>
          <w:sz w:val="21"/>
          <w:szCs w:val="20"/>
          <w:u w:val="single"/>
          <w:lang w:val="en-US" w:bidi="ar-SA"/>
        </w:rPr>
      </w:pPr>
      <w:r>
        <w:rPr>
          <w:rFonts w:hint="eastAsia" w:ascii="Times New Roman" w:hAnsi="Times New Roman" w:cs="Times New Roman"/>
          <w:sz w:val="21"/>
          <w:szCs w:val="20"/>
          <w:u w:val="single"/>
          <w:lang w:val="en-US" w:bidi="ar-SA"/>
        </w:rPr>
        <w:t xml:space="preserve">开工前根据发包人、监理要求提供合同内容工程建设项目总进度计划、材料设备总需求计划、材料设备供应计划表。承包人需在进场后一周内提供发包人供材料（如有）计划，每7天分别向发包人及监理方提供下周详细的施工进度计划、已完工程量报表（含工程变更及签证预算）、提供发包人供材用料计划（如有）、承包人购材料清单、材料进场计划、劳动力及用款计划等资料。分项的施工组织设计在开工前向发包人提供。</w:t>
      </w:r>
      <w:r/>
    </w:p>
    <w:p>
      <w:pPr>
        <w:jc w:val="both"/>
        <w:spacing w:line="460" w:lineRule="exact"/>
        <w:rPr>
          <w:rFonts w:ascii="Times New Roman" w:hAnsi="Times New Roman" w:cs="Times New Roman"/>
          <w:sz w:val="21"/>
          <w:szCs w:val="20"/>
          <w:u w:val="single"/>
          <w:lang w:val="en-US" w:bidi="ar-SA"/>
        </w:rPr>
      </w:pPr>
      <w:r>
        <w:rPr>
          <w:rFonts w:hint="eastAsia" w:ascii="Times New Roman" w:hAnsi="Times New Roman" w:cs="Times New Roman"/>
          <w:sz w:val="21"/>
          <w:szCs w:val="20"/>
          <w:u w:val="single"/>
          <w:lang w:val="en-US" w:bidi="ar-SA"/>
        </w:rPr>
        <w:t xml:space="preserve">3）承担施工安全保卫工作及非夜间施工照明的责任和要求：</w:t>
      </w:r>
      <w:r/>
    </w:p>
    <w:p>
      <w:pPr>
        <w:jc w:val="both"/>
        <w:spacing w:line="460" w:lineRule="exact"/>
        <w:rPr>
          <w:rFonts w:ascii="Times New Roman" w:hAnsi="Times New Roman" w:cs="Times New Roman"/>
          <w:sz w:val="21"/>
          <w:szCs w:val="20"/>
          <w:u w:val="single"/>
          <w:lang w:val="en-US" w:bidi="ar-SA"/>
        </w:rPr>
      </w:pPr>
      <w:r>
        <w:rPr>
          <w:rFonts w:hint="eastAsia" w:ascii="Times New Roman" w:hAnsi="Times New Roman" w:cs="Times New Roman"/>
          <w:sz w:val="21"/>
          <w:szCs w:val="20"/>
          <w:u w:val="single"/>
          <w:lang w:val="en-US" w:bidi="ar-SA"/>
        </w:rPr>
        <w:t xml:space="preserve">（1）建立和执行防火管理制度。</w:t>
      </w:r>
      <w:r/>
    </w:p>
    <w:p>
      <w:pPr>
        <w:jc w:val="both"/>
        <w:spacing w:line="460" w:lineRule="exact"/>
        <w:rPr>
          <w:rFonts w:ascii="Times New Roman" w:hAnsi="Times New Roman" w:cs="Times New Roman"/>
          <w:sz w:val="21"/>
          <w:szCs w:val="20"/>
          <w:u w:val="single"/>
          <w:lang w:val="en-US" w:bidi="ar-SA"/>
        </w:rPr>
      </w:pPr>
      <w:r>
        <w:rPr>
          <w:rFonts w:hint="eastAsia" w:ascii="Times New Roman" w:hAnsi="Times New Roman" w:cs="Times New Roman"/>
          <w:sz w:val="21"/>
          <w:szCs w:val="20"/>
          <w:u w:val="single"/>
          <w:lang w:val="en-US" w:bidi="ar-SA"/>
        </w:rPr>
        <w:t xml:space="preserve">（2）施工现场临时用水、电费用由承包人承担</w:t>
      </w:r>
      <w:r>
        <w:rPr>
          <w:rFonts w:hint="eastAsia" w:ascii="仿宋" w:hAnsi="仿宋" w:eastAsia="仿宋" w:cs="仿宋"/>
          <w:sz w:val="24"/>
          <w:szCs w:val="24"/>
          <w:u w:val="single"/>
          <w:lang w:val="en-US" w:bidi="ar-SA"/>
        </w:rPr>
        <w:t xml:space="preserve">，</w:t>
      </w:r>
      <w:r>
        <w:rPr>
          <w:rFonts w:hint="eastAsia" w:ascii="Times New Roman" w:hAnsi="Times New Roman" w:cs="Times New Roman"/>
          <w:sz w:val="21"/>
          <w:szCs w:val="20"/>
          <w:u w:val="single"/>
          <w:lang w:val="en-US" w:bidi="ar-SA"/>
        </w:rPr>
        <w:t xml:space="preserve">按照附件1：《南京中医药大学水电管理办法》第六章的具体规定执行。承包人认真做好施工现场的安全防护工作（包括照明、安全设施等），承包人对安全防护工作负全责（责任和费用均由承包人承担）。</w:t>
      </w:r>
      <w:r/>
    </w:p>
    <w:p>
      <w:pPr>
        <w:jc w:val="both"/>
        <w:spacing w:line="460" w:lineRule="exact"/>
        <w:rPr>
          <w:rFonts w:ascii="Times New Roman" w:hAnsi="Times New Roman" w:cs="Times New Roman"/>
          <w:sz w:val="21"/>
          <w:szCs w:val="20"/>
          <w:u w:val="single"/>
          <w:lang w:val="en-US" w:bidi="ar-SA"/>
        </w:rPr>
      </w:pPr>
      <w:r>
        <w:rPr>
          <w:rFonts w:hint="eastAsia" w:ascii="Times New Roman" w:hAnsi="Times New Roman" w:cs="Times New Roman"/>
          <w:sz w:val="21"/>
          <w:szCs w:val="20"/>
          <w:u w:val="single"/>
          <w:lang w:val="en-US" w:bidi="ar-SA"/>
        </w:rPr>
        <w:t xml:space="preserve">4）向发包人提供的办公和生活房屋及设施的要求：   /   。</w:t>
      </w:r>
      <w:r/>
    </w:p>
    <w:p>
      <w:pPr>
        <w:jc w:val="both"/>
        <w:spacing w:line="460" w:lineRule="exact"/>
        <w:rPr>
          <w:rFonts w:ascii="Times New Roman" w:hAnsi="Times New Roman" w:cs="Times New Roman"/>
          <w:sz w:val="21"/>
          <w:szCs w:val="20"/>
          <w:u w:val="single"/>
          <w:lang w:val="en-US" w:bidi="ar-SA"/>
        </w:rPr>
      </w:pPr>
      <w:r>
        <w:rPr>
          <w:rFonts w:hint="eastAsia" w:ascii="Times New Roman" w:hAnsi="Times New Roman" w:cs="Times New Roman"/>
          <w:sz w:val="21"/>
          <w:szCs w:val="20"/>
          <w:u w:val="single"/>
          <w:lang w:val="en-US" w:bidi="ar-SA"/>
        </w:rPr>
        <w:t xml:space="preserve">5）需承包人办理的有关施工场地交通、环卫和施工噪音管理等手续：此项工作及费用由承包人负责，发包人不再补贴。</w:t>
      </w:r>
      <w:r/>
    </w:p>
    <w:p>
      <w:pPr>
        <w:jc w:val="both"/>
        <w:spacing w:line="460" w:lineRule="exact"/>
        <w:rPr>
          <w:rFonts w:ascii="Times New Roman" w:hAnsi="Times New Roman" w:cs="Times New Roman"/>
          <w:sz w:val="21"/>
          <w:szCs w:val="20"/>
          <w:u w:val="single"/>
          <w:lang w:val="en-US" w:bidi="ar-SA"/>
        </w:rPr>
      </w:pPr>
      <w:r>
        <w:rPr>
          <w:rFonts w:hint="eastAsia" w:ascii="Times New Roman" w:hAnsi="Times New Roman" w:cs="Times New Roman"/>
          <w:sz w:val="21"/>
          <w:szCs w:val="20"/>
          <w:u w:val="single"/>
          <w:lang w:val="en-US" w:bidi="ar-SA"/>
        </w:rPr>
        <w:t xml:space="preserve">6）已完工程成品保护的特殊要求及费用承担：工程全部成品、半成品在竣工验收交付前均由承包人负责管理和保护，费用含在总承包管理（配合）费中；其它按通用条款9.1第（6）条执行。</w:t>
      </w:r>
      <w:r/>
    </w:p>
    <w:p>
      <w:pPr>
        <w:jc w:val="both"/>
        <w:spacing w:line="460" w:lineRule="exact"/>
        <w:rPr>
          <w:rFonts w:ascii="Times New Roman" w:hAnsi="Times New Roman" w:cs="Times New Roman"/>
          <w:sz w:val="21"/>
          <w:szCs w:val="20"/>
          <w:u w:val="single"/>
          <w:lang w:val="en-US" w:bidi="ar-SA"/>
        </w:rPr>
      </w:pPr>
      <w:r>
        <w:rPr>
          <w:rFonts w:hint="eastAsia" w:ascii="Times New Roman" w:hAnsi="Times New Roman" w:cs="Times New Roman"/>
          <w:sz w:val="21"/>
          <w:szCs w:val="20"/>
          <w:u w:val="single"/>
          <w:lang w:val="en-US" w:bidi="ar-SA"/>
        </w:rPr>
        <w:t xml:space="preserve">7）施工场地周围地下管线和邻近建筑物、构筑物（含文物保护建筑）、古树名木的保护要求及费用承担：</w:t>
      </w:r>
      <w:r/>
    </w:p>
    <w:p>
      <w:pPr>
        <w:jc w:val="both"/>
        <w:spacing w:line="460" w:lineRule="exact"/>
        <w:rPr>
          <w:rFonts w:ascii="Times New Roman" w:hAnsi="Times New Roman" w:cs="Times New Roman"/>
          <w:sz w:val="21"/>
          <w:szCs w:val="20"/>
          <w:u w:val="single"/>
          <w:lang w:val="en-US" w:bidi="ar-SA"/>
        </w:rPr>
      </w:pPr>
      <w:r>
        <w:rPr>
          <w:rFonts w:hint="eastAsia" w:ascii="Times New Roman" w:hAnsi="Times New Roman" w:cs="Times New Roman"/>
          <w:sz w:val="21"/>
          <w:szCs w:val="20"/>
          <w:u w:val="single"/>
          <w:lang w:val="en-US" w:bidi="ar-SA"/>
        </w:rPr>
        <w:t xml:space="preserve">承包人对该工程履行该工程承包责任和义务，施工期间严格按照招标文件、投标文件及（经批准的）施工组织设计要求进行保护，所发生费用在投标报价中。如有保护不周而至地下管线和邻近建筑物、构筑物（含文物保护建筑）、古树名木毁坏或古树名木死亡者，承包人依法并按实际发生的全部相关损失进行补偿或赔偿。</w:t>
      </w:r>
      <w:r/>
    </w:p>
    <w:p>
      <w:pPr>
        <w:jc w:val="both"/>
        <w:spacing w:line="460" w:lineRule="exact"/>
        <w:rPr>
          <w:rFonts w:ascii="Times New Roman" w:hAnsi="Times New Roman" w:cs="Times New Roman"/>
          <w:sz w:val="21"/>
          <w:szCs w:val="20"/>
          <w:u w:val="single"/>
          <w:lang w:val="en-US" w:bidi="ar-SA"/>
        </w:rPr>
      </w:pPr>
      <w:r>
        <w:rPr>
          <w:rFonts w:hint="eastAsia" w:ascii="Times New Roman" w:hAnsi="Times New Roman" w:cs="Times New Roman"/>
          <w:sz w:val="21"/>
          <w:szCs w:val="20"/>
          <w:u w:val="single"/>
          <w:lang w:val="en-US" w:bidi="ar-SA"/>
        </w:rPr>
        <w:t xml:space="preserve">8）施工场清洁卫生的要求：施工场地在保证安全的前提下，按照标准化施工现场要求，保持场内、场外、交通进出口的安全和清洁卫生，所发生费用已包含在投标报价中。</w:t>
      </w:r>
      <w:r/>
    </w:p>
    <w:p>
      <w:pPr>
        <w:jc w:val="both"/>
        <w:spacing w:line="460" w:lineRule="exact"/>
        <w:rPr>
          <w:rFonts w:ascii="Times New Roman" w:hAnsi="Times New Roman" w:cs="Times New Roman"/>
          <w:sz w:val="21"/>
          <w:szCs w:val="20"/>
          <w:u w:val="single"/>
          <w:lang w:val="en-US" w:bidi="ar-SA"/>
        </w:rPr>
      </w:pPr>
      <w:r>
        <w:rPr>
          <w:rFonts w:hint="eastAsia" w:ascii="Times New Roman" w:hAnsi="Times New Roman" w:cs="Times New Roman"/>
          <w:sz w:val="21"/>
          <w:szCs w:val="20"/>
          <w:u w:val="single"/>
          <w:lang w:val="en-US" w:bidi="ar-SA"/>
        </w:rPr>
        <w:t xml:space="preserve">9）双方约定承包人应做的其他工作： 1、施工期间保证场内相邻道路的畅通，安全防护减少噪音干扰和灰尘处理。2、施工现场所有外部协调工作由承包人负责解决。若因承包人不履行或未完全履行上述约定工作所产生工程质量问题、影响工程进度、造成有关部门找发包人处理等情形，发包人有权责令承包人停工和暂停支付工程款直到问题解决，并可先行处理理赔，费用从承包人工程款中扣除。上述情形下工期不予顺延，若导致工期延误，发包人另追究承包人违约责任。</w:t>
      </w:r>
      <w:r/>
    </w:p>
    <w:p>
      <w:pPr>
        <w:jc w:val="both"/>
        <w:spacing w:line="460" w:lineRule="exact"/>
        <w:rPr>
          <w:rFonts w:ascii="Times New Roman" w:hAnsi="Times New Roman" w:cs="Times New Roman"/>
          <w:sz w:val="21"/>
          <w:szCs w:val="20"/>
          <w:u w:val="single"/>
          <w:lang w:val="en-US" w:bidi="ar-SA"/>
        </w:rPr>
      </w:pPr>
      <w:r>
        <w:rPr>
          <w:rFonts w:hint="eastAsia" w:ascii="Times New Roman" w:hAnsi="Times New Roman" w:cs="Times New Roman"/>
          <w:sz w:val="21"/>
          <w:szCs w:val="20"/>
          <w:u w:val="single"/>
          <w:lang w:val="en-US" w:bidi="ar-SA"/>
        </w:rPr>
        <w:t xml:space="preserve">10）承包人应对建设工程施工过程中的环境安全负责，承包人员必须遵守《建设工程安全生产条例》等安全生产法律、法规规定，严格执行投标文件中的安全管理、防护和技术措施，保证建设工程安全生产，依法承担建设工程安全生产责任。如因承包人违反有关安全操作规程、消防条例或安全管理、防护不到位，导致发生安全或火灾事故，承包人应承担全部责任，并赔偿由此给发包人和第三方造成的一切损失。</w:t>
      </w:r>
      <w:r/>
    </w:p>
    <w:p>
      <w:pPr>
        <w:jc w:val="both"/>
        <w:spacing w:line="460" w:lineRule="exact"/>
        <w:rPr>
          <w:rFonts w:ascii="Times New Roman" w:hAnsi="Times New Roman" w:cs="Times New Roman"/>
          <w:sz w:val="21"/>
          <w:szCs w:val="20"/>
          <w:u w:val="single"/>
          <w:lang w:val="en-US" w:bidi="ar-SA"/>
        </w:rPr>
      </w:pPr>
      <w:r>
        <w:rPr>
          <w:rFonts w:hint="eastAsia" w:ascii="Times New Roman" w:hAnsi="Times New Roman" w:cs="Times New Roman"/>
          <w:sz w:val="21"/>
          <w:szCs w:val="20"/>
          <w:u w:val="single"/>
          <w:lang w:val="en-US" w:bidi="ar-SA"/>
        </w:rPr>
        <w:t xml:space="preserve">11）承包人应对建设工程施工过程中安全负责，承包人聘用人员在建设工程过程中发生的安全事故、意外伤亡事故或对第三方造成的一切损失由承包人负责并承担，发包人不承担任何连带责任和补充责任，亦不做任何赔偿和补偿。</w:t>
      </w:r>
      <w:r/>
    </w:p>
    <w:p>
      <w:pPr>
        <w:jc w:val="both"/>
        <w:spacing w:line="460" w:lineRule="exact"/>
        <w:rPr>
          <w:rFonts w:ascii="Times New Roman" w:hAnsi="Times New Roman" w:cs="Times New Roman"/>
          <w:sz w:val="21"/>
          <w:szCs w:val="20"/>
          <w:u w:val="single"/>
          <w:lang w:val="en-US" w:bidi="ar-SA"/>
        </w:rPr>
      </w:pPr>
      <w:r>
        <w:rPr>
          <w:rFonts w:hint="eastAsia" w:ascii="Times New Roman" w:hAnsi="Times New Roman" w:cs="Times New Roman"/>
          <w:sz w:val="21"/>
          <w:szCs w:val="20"/>
          <w:u w:val="single"/>
          <w:lang w:val="en-US" w:bidi="ar-SA"/>
        </w:rPr>
        <w:t xml:space="preserve">12）承包人聘用的人员应遵守当地法律法规、及发包人的各项规章制度，服从发包人管理。因工程建设不到位或工作人员违章作业、违法犯纪行为造成发包人损失时，承包人应负相应赔偿责任。</w:t>
      </w:r>
      <w:r/>
    </w:p>
    <w:p>
      <w:pPr>
        <w:jc w:val="both"/>
        <w:spacing w:line="460" w:lineRule="exact"/>
        <w:rPr>
          <w:rFonts w:ascii="Times New Roman" w:hAnsi="Times New Roman" w:cs="Times New Roman"/>
          <w:sz w:val="21"/>
          <w:szCs w:val="20"/>
          <w:u w:val="single"/>
          <w:lang w:val="en-US" w:bidi="ar-SA"/>
        </w:rPr>
      </w:pPr>
      <w:r>
        <w:rPr>
          <w:rFonts w:hint="eastAsia" w:ascii="Times New Roman" w:hAnsi="Times New Roman" w:cs="Times New Roman"/>
          <w:sz w:val="21"/>
          <w:szCs w:val="20"/>
          <w:u w:val="single"/>
          <w:lang w:val="en-US" w:bidi="ar-SA"/>
        </w:rPr>
        <w:t xml:space="preserve">13）承包人对于改建、扩建工程不得破坏原有消防设施。如消防设施需要变动的，须按照《中华人民共和国消防法》和《建设工程消防设计审查验收管理暂行规定》等法律，严格执行建设工程消防审查验收和备案制度，因此产生费用的，由承包人承担。</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3.2 项目经理</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3.2.1 项目经理：</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姓名：；</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身份证号：；</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建造师执业资格等级：；</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建造师注册证书号：；</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建造师执业印章号：；</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安全生产考核合格证书号：；</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联系电话：；</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电子信箱：；</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通信地址：；</w:t>
      </w:r>
      <w:r/>
    </w:p>
    <w:p>
      <w:pPr>
        <w:jc w:val="both"/>
        <w:spacing w:line="460" w:lineRule="exact"/>
        <w:rPr>
          <w:rFonts w:cs="仿宋"/>
          <w:sz w:val="21"/>
          <w:szCs w:val="21"/>
          <w:lang w:val="en-US" w:bidi="ar-SA"/>
        </w:rPr>
      </w:pPr>
      <w:r>
        <w:rPr>
          <w:rFonts w:hint="eastAsia" w:cs="仿宋"/>
          <w:sz w:val="21"/>
          <w:szCs w:val="21"/>
          <w:lang w:val="en-US" w:bidi="ar-SA"/>
        </w:rPr>
        <w:t xml:space="preserve">承包人对项目经理的授权范围如下：</w:t>
      </w:r>
      <w:r>
        <w:rPr>
          <w:rFonts w:hint="eastAsia" w:cs="仿宋"/>
          <w:sz w:val="21"/>
          <w:szCs w:val="21"/>
          <w:u w:val="single"/>
          <w:lang w:val="en-US" w:bidi="ar-SA"/>
        </w:rPr>
        <w:t xml:space="preserve">代表承包人行使合同约定的承包人权利和义务，履行合同约定的承包人职责，代表承包人与发包人办理各类文件、材料签收手续</w:t>
      </w:r>
      <w:r>
        <w:rPr>
          <w:rFonts w:hint="eastAsia" w:cs="仿宋"/>
          <w:sz w:val="21"/>
          <w:szCs w:val="21"/>
          <w:lang w:val="en-US" w:bidi="ar-SA"/>
        </w:rPr>
        <w:t xml:space="preserve">。</w:t>
      </w:r>
      <w:r/>
    </w:p>
    <w:p>
      <w:pPr>
        <w:jc w:val="both"/>
        <w:spacing w:line="460" w:lineRule="exact"/>
        <w:rPr>
          <w:rFonts w:ascii="Times New Roman" w:hAnsi="Times New Roman" w:cs="Times New Roman"/>
          <w:sz w:val="21"/>
          <w:szCs w:val="20"/>
          <w:lang w:val="en-US" w:bidi="ar-SA"/>
        </w:rPr>
      </w:pPr>
      <w:r>
        <w:rPr>
          <w:rFonts w:hint="eastAsia" w:cs="仿宋"/>
          <w:b/>
          <w:bCs/>
          <w:sz w:val="21"/>
          <w:szCs w:val="21"/>
          <w:lang w:val="en-US" w:bidi="ar-SA"/>
        </w:rPr>
        <w:t xml:space="preserve">关于项目经理在施工现场的时间要求：</w:t>
      </w:r>
      <w:r/>
    </w:p>
    <w:p>
      <w:pPr>
        <w:jc w:val="both"/>
        <w:spacing w:line="460" w:lineRule="exact"/>
        <w:rPr>
          <w:rFonts w:cs="仿宋"/>
          <w:sz w:val="21"/>
          <w:szCs w:val="21"/>
          <w:u w:val="single"/>
          <w:lang w:val="en-US" w:bidi="ar-SA"/>
        </w:rPr>
      </w:pPr>
      <w:r>
        <w:rPr>
          <w:rFonts w:hint="eastAsia" w:cs="仿宋"/>
          <w:sz w:val="21"/>
          <w:szCs w:val="21"/>
          <w:u w:val="single"/>
          <w:lang w:val="en-US" w:bidi="ar-SA"/>
        </w:rPr>
        <w:t xml:space="preserve">施工期间，项目经理每周不少于6天且每天不少于八小时必须在本工程现场工作，且必须参加每周召开的例会，并随时接受发包人代表、</w:t>
      </w:r>
      <w:r>
        <w:rPr>
          <w:rFonts w:hint="eastAsia" w:cs="仿宋"/>
          <w:b/>
          <w:bCs/>
          <w:sz w:val="21"/>
          <w:szCs w:val="21"/>
          <w:u w:val="single"/>
          <w:lang w:val="en-US" w:bidi="ar-SA"/>
        </w:rPr>
        <w:t xml:space="preserve">发包人其他管理部门</w:t>
      </w:r>
      <w:r>
        <w:rPr>
          <w:rFonts w:hint="eastAsia" w:cs="仿宋"/>
          <w:sz w:val="21"/>
          <w:szCs w:val="21"/>
          <w:u w:val="single"/>
          <w:lang w:val="en-US" w:bidi="ar-SA"/>
        </w:rPr>
        <w:t xml:space="preserve">和监理总监的考勤和监督检查。如项目经理、有特殊原因不能保证上述在岗时间的，需征得发包人书面同意后，授权</w:t>
      </w:r>
      <w:r>
        <w:rPr>
          <w:rFonts w:hint="eastAsia" w:eastAsia="Calibri" w:cs="仿宋"/>
          <w:sz w:val="21"/>
          <w:szCs w:val="21"/>
          <w:u w:val="single"/>
          <w:lang w:val="en-US" w:bidi="ar-SA"/>
        </w:rPr>
        <w:t xml:space="preserve">发包人认可的</w:t>
      </w:r>
      <w:r>
        <w:rPr>
          <w:rFonts w:hint="eastAsia" w:cs="仿宋"/>
          <w:sz w:val="21"/>
          <w:szCs w:val="21"/>
          <w:u w:val="single"/>
          <w:lang w:val="en-US" w:bidi="ar-SA"/>
        </w:rPr>
        <w:t xml:space="preserve">现场技术负责人全权处理现场事务。</w:t>
      </w:r>
      <w:r/>
    </w:p>
    <w:p>
      <w:pPr>
        <w:jc w:val="both"/>
        <w:spacing w:line="460" w:lineRule="exact"/>
        <w:rPr>
          <w:rFonts w:cs="仿宋"/>
          <w:b/>
          <w:bCs/>
          <w:sz w:val="21"/>
          <w:szCs w:val="21"/>
          <w:lang w:val="en-US" w:bidi="ar-SA"/>
        </w:rPr>
      </w:pPr>
      <w:r>
        <w:rPr>
          <w:rFonts w:hint="eastAsia" w:cs="仿宋"/>
          <w:b/>
          <w:bCs/>
          <w:sz w:val="21"/>
          <w:szCs w:val="21"/>
          <w:lang w:val="en-US" w:bidi="ar-SA"/>
        </w:rPr>
        <w:t xml:space="preserve">项目经理未经批准，擅自离开施工现场的违约责任：</w:t>
      </w:r>
      <w:r/>
    </w:p>
    <w:p>
      <w:pPr>
        <w:jc w:val="both"/>
        <w:spacing w:line="460" w:lineRule="exact"/>
        <w:rPr>
          <w:rFonts w:cs="仿宋"/>
          <w:sz w:val="21"/>
          <w:szCs w:val="21"/>
          <w:lang w:val="en-US" w:bidi="ar-SA"/>
        </w:rPr>
      </w:pPr>
      <w:r>
        <w:rPr>
          <w:rFonts w:hint="eastAsia" w:cs="仿宋"/>
          <w:sz w:val="21"/>
          <w:szCs w:val="21"/>
          <w:u w:val="single"/>
          <w:lang w:val="en-US" w:bidi="ar-SA"/>
        </w:rPr>
        <w:t xml:space="preserve">发包人发现项目经理未经批准连续【24】小时不在本工程现场工作，发包人有权按每天2000元人民币的标准向承包人收取违约金</w:t>
      </w:r>
      <w:r>
        <w:rPr>
          <w:rFonts w:hint="eastAsia" w:ascii="Times New Roman" w:hAnsi="Times New Roman" w:cs="Times New Roman"/>
          <w:sz w:val="21"/>
          <w:szCs w:val="20"/>
          <w:u w:val="single"/>
          <w:lang w:val="en-US" w:bidi="ar-SA"/>
        </w:rPr>
        <w:t xml:space="preserve">（发包人可从工程款中扣抵）</w:t>
      </w:r>
      <w:r>
        <w:rPr>
          <w:rFonts w:hint="eastAsia" w:cs="仿宋"/>
          <w:sz w:val="21"/>
          <w:szCs w:val="21"/>
          <w:u w:val="single"/>
          <w:lang w:val="en-US" w:bidi="ar-SA"/>
        </w:rPr>
        <w:t xml:space="preserve">。项目经理无故不参加每周例会的</w:t>
      </w:r>
      <w:r>
        <w:rPr>
          <w:rFonts w:hint="eastAsia" w:ascii="微软雅黑" w:hAnsi="微软雅黑" w:eastAsia="微软雅黑" w:cs="微软雅黑"/>
          <w:sz w:val="21"/>
          <w:szCs w:val="21"/>
          <w:u w:val="single"/>
          <w:lang w:val="en-US" w:bidi="ar-SA"/>
        </w:rPr>
        <w:t xml:space="preserve">，</w:t>
      </w:r>
      <w:r>
        <w:rPr>
          <w:rFonts w:hint="eastAsia" w:cs="仿宋"/>
          <w:sz w:val="21"/>
          <w:szCs w:val="21"/>
          <w:u w:val="single"/>
          <w:lang w:val="en-US" w:bidi="ar-SA"/>
        </w:rPr>
        <w:t xml:space="preserve">发包人有权向承包人收取违约金500元/次</w:t>
      </w:r>
      <w:r>
        <w:rPr>
          <w:rFonts w:hint="eastAsia" w:ascii="Times New Roman" w:hAnsi="Times New Roman" w:cs="Times New Roman"/>
          <w:sz w:val="21"/>
          <w:szCs w:val="20"/>
          <w:u w:val="single"/>
          <w:lang w:val="en-US" w:bidi="ar-SA"/>
        </w:rPr>
        <w:t xml:space="preserve">（发包人可从工程款中扣抵）</w:t>
      </w:r>
      <w:r>
        <w:rPr>
          <w:rFonts w:hint="eastAsia" w:cs="仿宋"/>
          <w:sz w:val="21"/>
          <w:szCs w:val="21"/>
          <w:u w:val="single"/>
          <w:lang w:val="en-US" w:bidi="ar-SA"/>
        </w:rPr>
        <w:t xml:space="preserve">。如项目经理连续两天或累计5天不在现场，视为承包人严重违约，发包人除有权按前述约定追索承包人违约金之外，还有权要求承包人更换项目经理（更换的新项目经理资质条件须不低于原项目经理、资质条件）或单方面解除合同、追究承包人违约责任。承包人不得擅自更换本合同确定的项目经理、，如经发包人书面同意更换的，更换后项目经理资质条件不得低于原项目经理，且发包人仍有权收取承包人违约金【2】万元。</w:t>
      </w:r>
      <w:r/>
    </w:p>
    <w:p>
      <w:pPr>
        <w:jc w:val="both"/>
        <w:spacing w:line="460" w:lineRule="exact"/>
        <w:rPr>
          <w:rFonts w:cs="仿宋"/>
          <w:b/>
          <w:bCs/>
          <w:sz w:val="21"/>
          <w:szCs w:val="21"/>
          <w:lang w:val="en-US" w:bidi="ar-SA"/>
        </w:rPr>
      </w:pPr>
      <w:r>
        <w:rPr>
          <w:rFonts w:hint="eastAsia" w:cs="仿宋"/>
          <w:b/>
          <w:bCs/>
          <w:sz w:val="21"/>
          <w:szCs w:val="21"/>
          <w:lang w:val="en-US" w:bidi="ar-SA"/>
        </w:rPr>
        <w:t xml:space="preserve">承包人未提交劳动合同，以及没有为项目经理缴纳社会保险证明的违约责任：</w:t>
      </w:r>
      <w:r/>
    </w:p>
    <w:p>
      <w:pPr>
        <w:jc w:val="both"/>
        <w:spacing w:line="460" w:lineRule="exact"/>
        <w:rPr>
          <w:rFonts w:cs="仿宋"/>
          <w:sz w:val="21"/>
          <w:szCs w:val="21"/>
          <w:u w:val="single"/>
          <w:lang w:val="en-US" w:bidi="ar-SA"/>
        </w:rPr>
      </w:pPr>
      <w:r>
        <w:rPr>
          <w:rFonts w:hint="eastAsia" w:cs="仿宋"/>
          <w:sz w:val="21"/>
          <w:szCs w:val="21"/>
          <w:u w:val="single"/>
          <w:lang w:val="en-US" w:bidi="ar-SA"/>
        </w:rPr>
        <w:t xml:space="preserve">承包人须在签订本合同时向发包人提交项目经理的劳动合同及缴纳社会保险证明。如未履行，每延迟一天，承包人承担违约金【5000】元/天，超过【7】日不提供的，发包人有权单方解除本合同。</w:t>
      </w:r>
      <w:r/>
    </w:p>
    <w:p>
      <w:pPr>
        <w:jc w:val="both"/>
        <w:spacing w:line="460" w:lineRule="exact"/>
        <w:rPr>
          <w:rFonts w:cs="仿宋"/>
          <w:b/>
          <w:bCs/>
          <w:sz w:val="21"/>
          <w:szCs w:val="21"/>
          <w:lang w:val="en-US" w:bidi="ar-SA"/>
        </w:rPr>
      </w:pPr>
      <w:r>
        <w:rPr>
          <w:rFonts w:hint="eastAsia" w:cs="仿宋"/>
          <w:b/>
          <w:bCs/>
          <w:sz w:val="21"/>
          <w:szCs w:val="21"/>
          <w:lang w:val="en-US" w:bidi="ar-SA"/>
        </w:rPr>
        <w:t xml:space="preserve">3.2.2承包人擅自更换项目经理的违约责任：</w:t>
      </w:r>
      <w:r/>
    </w:p>
    <w:p>
      <w:pPr>
        <w:jc w:val="both"/>
        <w:spacing w:line="460" w:lineRule="exact"/>
        <w:rPr>
          <w:rFonts w:cs="仿宋"/>
          <w:sz w:val="21"/>
          <w:szCs w:val="21"/>
          <w:lang w:val="en-US" w:bidi="ar-SA"/>
        </w:rPr>
      </w:pPr>
      <w:r>
        <w:rPr>
          <w:rFonts w:hint="eastAsia" w:cs="仿宋"/>
          <w:sz w:val="21"/>
          <w:szCs w:val="21"/>
          <w:u w:val="single"/>
          <w:lang w:val="en-US" w:bidi="ar-SA"/>
        </w:rPr>
        <w:t xml:space="preserve">承包人擅自更换项目经理的将被视为承包人违约，承包人须按20000元/人·次付向发包人支付违约金，在工程款中扣除，发包人还有权解除合同、追究承包人不能履约的违约责任，有权要求承包人赔偿发包人因此造成的一切损失，并报主管部门备案</w:t>
      </w:r>
      <w:r>
        <w:rPr>
          <w:rFonts w:hint="eastAsia" w:cs="仿宋"/>
          <w:sz w:val="21"/>
          <w:szCs w:val="21"/>
          <w:lang w:val="en-US" w:bidi="ar-SA"/>
        </w:rPr>
        <w:t xml:space="preserve">。</w:t>
      </w:r>
      <w:r/>
    </w:p>
    <w:p>
      <w:pPr>
        <w:jc w:val="both"/>
        <w:spacing w:line="360" w:lineRule="auto"/>
        <w:rPr>
          <w:rFonts w:cs="仿宋"/>
          <w:b/>
          <w:bCs/>
          <w:sz w:val="21"/>
          <w:szCs w:val="21"/>
          <w:u w:val="single"/>
          <w:lang w:val="en-US" w:bidi="ar-SA"/>
        </w:rPr>
      </w:pPr>
      <w:r>
        <w:rPr>
          <w:rFonts w:hint="eastAsia" w:cs="仿宋"/>
          <w:b/>
          <w:bCs/>
          <w:sz w:val="21"/>
          <w:szCs w:val="21"/>
          <w:lang w:val="en-US" w:bidi="ar-SA"/>
        </w:rPr>
        <w:t xml:space="preserve">3.2.3承包人无正当理由拒绝更换项目经理的违约责任：</w:t>
      </w:r>
      <w:r/>
    </w:p>
    <w:p>
      <w:pPr>
        <w:jc w:val="both"/>
        <w:spacing w:line="360" w:lineRule="auto"/>
        <w:rPr>
          <w:rFonts w:cs="仿宋"/>
          <w:sz w:val="21"/>
          <w:szCs w:val="21"/>
          <w:lang w:val="en-US" w:bidi="ar-SA"/>
        </w:rPr>
      </w:pPr>
      <w:r>
        <w:rPr>
          <w:rFonts w:hint="eastAsia" w:cs="仿宋"/>
          <w:sz w:val="21"/>
          <w:szCs w:val="21"/>
          <w:u w:val="single"/>
          <w:lang w:val="en-US" w:bidi="ar-SA"/>
        </w:rPr>
        <w:t xml:space="preserve">发包人有权要求承包人在一周内撤换调整不称职的项目经理，新的项目经理人选须经发包人审核同意。承包人无正当理由拒绝更换项目经理的，每次支付违约金【20000】元，由发包人从工程款中直接扣抵，且发包人有权解除合同，并追究承包人违约责任</w:t>
      </w:r>
      <w:r>
        <w:rPr>
          <w:rFonts w:hint="eastAsia" w:cs="仿宋"/>
          <w:sz w:val="21"/>
          <w:szCs w:val="21"/>
          <w:lang w:val="en-US" w:bidi="ar-SA"/>
        </w:rPr>
        <w:t xml:space="preserve">。</w:t>
      </w:r>
      <w:r/>
    </w:p>
    <w:p>
      <w:pPr>
        <w:jc w:val="both"/>
        <w:spacing w:line="460" w:lineRule="exact"/>
        <w:rPr>
          <w:rFonts w:cs="仿宋"/>
          <w:sz w:val="21"/>
          <w:szCs w:val="21"/>
          <w:lang w:val="en-US" w:bidi="ar-SA"/>
        </w:rPr>
      </w:pPr>
      <w:r>
        <w:rPr>
          <w:rFonts w:hint="eastAsia" w:cs="仿宋"/>
          <w:sz w:val="21"/>
          <w:szCs w:val="21"/>
          <w:lang w:val="en-US" w:bidi="ar-SA"/>
        </w:rPr>
        <w:t xml:space="preserve">3.3 承包人人员</w:t>
      </w:r>
      <w:r/>
    </w:p>
    <w:p>
      <w:pPr>
        <w:jc w:val="both"/>
        <w:spacing w:line="460" w:lineRule="exact"/>
        <w:rPr>
          <w:rFonts w:cs="仿宋"/>
          <w:sz w:val="21"/>
          <w:szCs w:val="21"/>
          <w:lang w:val="en-US" w:bidi="ar-SA"/>
        </w:rPr>
      </w:pPr>
      <w:r>
        <w:rPr>
          <w:rFonts w:hint="eastAsia" w:cs="仿宋"/>
          <w:sz w:val="21"/>
          <w:szCs w:val="21"/>
          <w:lang w:val="en-US" w:bidi="ar-SA"/>
        </w:rPr>
        <w:t xml:space="preserve">3.3.1 承包人提交项目管理机构及施工现场管理人员安排报告的期限：</w:t>
      </w:r>
      <w:r>
        <w:rPr>
          <w:rFonts w:hint="eastAsia" w:cs="仿宋"/>
          <w:sz w:val="21"/>
          <w:szCs w:val="21"/>
          <w:u w:val="single"/>
          <w:lang w:val="en-US" w:bidi="ar-SA"/>
        </w:rPr>
        <w:t xml:space="preserve">开工前一周</w:t>
      </w:r>
      <w:r>
        <w:rPr>
          <w:rFonts w:hint="eastAsia" w:cs="仿宋"/>
          <w:sz w:val="21"/>
          <w:szCs w:val="21"/>
          <w:lang w:val="en-US" w:bidi="ar-SA"/>
        </w:rPr>
        <w:t xml:space="preserve">。</w:t>
      </w:r>
      <w:r/>
    </w:p>
    <w:p>
      <w:pPr>
        <w:jc w:val="both"/>
        <w:spacing w:line="460" w:lineRule="exact"/>
        <w:rPr>
          <w:rFonts w:cs="仿宋"/>
          <w:b/>
          <w:bCs/>
          <w:sz w:val="21"/>
          <w:szCs w:val="21"/>
          <w:lang w:val="en-US" w:bidi="ar-SA"/>
        </w:rPr>
      </w:pPr>
      <w:r>
        <w:rPr>
          <w:rFonts w:hint="eastAsia" w:cs="仿宋"/>
          <w:b/>
          <w:bCs/>
          <w:sz w:val="21"/>
          <w:szCs w:val="21"/>
          <w:lang w:val="en-US" w:bidi="ar-SA"/>
        </w:rPr>
        <w:t xml:space="preserve">3.3.2关于项目其他主要管理人员（现场技术负责人、施工员、质量员、安全员、资料员）在施工现场的时间要求：</w:t>
      </w:r>
      <w:r/>
    </w:p>
    <w:p>
      <w:pPr>
        <w:jc w:val="both"/>
        <w:spacing w:line="460" w:lineRule="exact"/>
        <w:rPr>
          <w:rFonts w:cs="仿宋"/>
          <w:sz w:val="21"/>
          <w:szCs w:val="21"/>
          <w:u w:val="single"/>
          <w:lang w:val="en-US" w:bidi="ar-SA"/>
        </w:rPr>
      </w:pPr>
      <w:r>
        <w:rPr>
          <w:rFonts w:hint="eastAsia" w:cs="仿宋"/>
          <w:sz w:val="21"/>
          <w:szCs w:val="21"/>
          <w:u w:val="single"/>
          <w:lang w:val="en-US" w:bidi="ar-SA"/>
        </w:rPr>
        <w:t xml:space="preserve">施工期间，</w:t>
      </w:r>
      <w:r>
        <w:rPr>
          <w:rFonts w:hint="eastAsia" w:cs="仿宋"/>
          <w:b/>
          <w:bCs/>
          <w:sz w:val="21"/>
          <w:szCs w:val="21"/>
          <w:u w:val="single"/>
          <w:lang w:val="en-US" w:bidi="ar-SA"/>
        </w:rPr>
        <w:t xml:space="preserve">现场技术负责人、施工员、质量员、安全员</w:t>
      </w:r>
      <w:r>
        <w:rPr>
          <w:rFonts w:hint="eastAsia" w:cs="仿宋"/>
          <w:sz w:val="21"/>
          <w:szCs w:val="21"/>
          <w:u w:val="single"/>
          <w:lang w:val="en-US" w:bidi="ar-SA"/>
        </w:rPr>
        <w:t xml:space="preserve">每周不少于6天且每天不少于八小时必须在本工程现场工作，资料员按有关规定标准和本合同约定履行职责，并随时接受发包人代表、</w:t>
      </w:r>
      <w:r>
        <w:rPr>
          <w:rFonts w:hint="eastAsia" w:cs="仿宋"/>
          <w:b/>
          <w:bCs/>
          <w:sz w:val="21"/>
          <w:szCs w:val="21"/>
          <w:u w:val="single"/>
          <w:lang w:val="en-US" w:bidi="ar-SA"/>
        </w:rPr>
        <w:t xml:space="preserve">发包人其他管理部门</w:t>
      </w:r>
      <w:r>
        <w:rPr>
          <w:rFonts w:hint="eastAsia" w:cs="仿宋"/>
          <w:sz w:val="21"/>
          <w:szCs w:val="21"/>
          <w:u w:val="single"/>
          <w:lang w:val="en-US" w:bidi="ar-SA"/>
        </w:rPr>
        <w:t xml:space="preserve">和监理总监的考勤和监督检查。</w:t>
      </w:r>
      <w:r/>
    </w:p>
    <w:p>
      <w:pPr>
        <w:jc w:val="both"/>
        <w:spacing w:line="460" w:lineRule="exact"/>
        <w:rPr>
          <w:rFonts w:cs="仿宋"/>
          <w:b/>
          <w:bCs/>
          <w:sz w:val="21"/>
          <w:szCs w:val="21"/>
          <w:lang w:val="en-US" w:bidi="ar-SA"/>
        </w:rPr>
      </w:pPr>
      <w:r>
        <w:rPr>
          <w:rFonts w:hint="eastAsia" w:cs="仿宋"/>
          <w:b/>
          <w:bCs/>
          <w:sz w:val="21"/>
          <w:szCs w:val="21"/>
          <w:lang w:val="en-US" w:bidi="ar-SA"/>
        </w:rPr>
        <w:t xml:space="preserve">承包人项目其他主要管理人员（现场技术负责人、施工员、质量员、安全员）离开施工现场的批准要求：</w:t>
      </w:r>
      <w:r/>
    </w:p>
    <w:p>
      <w:pPr>
        <w:jc w:val="both"/>
        <w:spacing w:line="460" w:lineRule="exact"/>
        <w:rPr>
          <w:rFonts w:cs="仿宋"/>
          <w:sz w:val="21"/>
          <w:szCs w:val="21"/>
          <w:lang w:val="en-US" w:bidi="ar-SA"/>
        </w:rPr>
      </w:pPr>
      <w:r>
        <w:rPr>
          <w:rFonts w:hint="eastAsia" w:cs="仿宋"/>
          <w:sz w:val="21"/>
          <w:szCs w:val="21"/>
          <w:u w:val="single"/>
          <w:lang w:val="en-US" w:bidi="ar-SA"/>
        </w:rPr>
        <w:t xml:space="preserve">提前一天向发包人书面申请，经发包人书面批准后方可离开</w:t>
      </w:r>
      <w:r>
        <w:rPr>
          <w:rFonts w:hint="eastAsia" w:cs="仿宋"/>
          <w:sz w:val="21"/>
          <w:szCs w:val="21"/>
          <w:lang w:val="en-US" w:bidi="ar-SA"/>
        </w:rPr>
        <w:t xml:space="preserve">。</w:t>
      </w:r>
      <w:r/>
    </w:p>
    <w:p>
      <w:pPr>
        <w:jc w:val="both"/>
        <w:spacing w:line="460" w:lineRule="exact"/>
        <w:rPr>
          <w:rFonts w:cs="仿宋"/>
          <w:b/>
          <w:bCs/>
          <w:sz w:val="21"/>
          <w:szCs w:val="21"/>
          <w:lang w:val="en-US" w:bidi="ar-SA"/>
        </w:rPr>
      </w:pPr>
      <w:r>
        <w:rPr>
          <w:rFonts w:hint="eastAsia" w:cs="仿宋"/>
          <w:b/>
          <w:bCs/>
          <w:sz w:val="21"/>
          <w:szCs w:val="21"/>
          <w:lang w:val="en-US" w:bidi="ar-SA"/>
        </w:rPr>
        <w:t xml:space="preserve">承包人主要施工管理人员擅自离开施工现场的违约责任：</w:t>
      </w:r>
      <w:r/>
    </w:p>
    <w:p>
      <w:pPr>
        <w:jc w:val="both"/>
        <w:spacing w:line="460" w:lineRule="exact"/>
        <w:rPr>
          <w:rFonts w:ascii="Times New Roman" w:hAnsi="Times New Roman" w:cs="Times New Roman"/>
          <w:sz w:val="21"/>
          <w:szCs w:val="20"/>
          <w:u w:val="single"/>
          <w:lang w:val="en-US" w:bidi="ar-SA"/>
        </w:rPr>
      </w:pPr>
      <w:r>
        <w:rPr>
          <w:rFonts w:hint="eastAsia" w:cs="仿宋"/>
          <w:sz w:val="21"/>
          <w:szCs w:val="21"/>
          <w:u w:val="single"/>
          <w:lang w:val="en-US" w:bidi="ar-SA"/>
        </w:rPr>
        <w:t xml:space="preserve">若出现未经发包人书面批准的项目其他主要管理人员（现场技术负责人、施工员、质量员、安全员）擅自离开施工现场的情况，发包人将处罚承包人2000元/人·次的违约金（发包人可从工程款中扣抵）。</w:t>
      </w:r>
      <w:r>
        <w:rPr>
          <w:rFonts w:hint="eastAsia" w:cs="仿宋"/>
          <w:b/>
          <w:bCs/>
          <w:sz w:val="21"/>
          <w:szCs w:val="21"/>
          <w:u w:val="single"/>
          <w:lang w:val="en-US" w:bidi="ar-SA"/>
        </w:rPr>
        <w:t xml:space="preserve">现场技术负责人、施工员、质量员、安全员</w:t>
      </w:r>
      <w:r>
        <w:rPr>
          <w:rFonts w:hint="eastAsia" w:cs="仿宋"/>
          <w:sz w:val="21"/>
          <w:szCs w:val="21"/>
          <w:u w:val="single"/>
          <w:lang w:val="en-US" w:bidi="ar-SA"/>
        </w:rPr>
        <w:t xml:space="preserve">连续2天或施工期内累计5天不在现场，视为承包人严重违约，发包人除有权按前述约定追索承包人违约金之外，还有权</w:t>
      </w:r>
      <w:r>
        <w:rPr>
          <w:rFonts w:hint="eastAsia" w:eastAsia="Calibri" w:cs="仿宋"/>
          <w:sz w:val="21"/>
          <w:szCs w:val="21"/>
          <w:u w:val="single"/>
          <w:lang w:val="en-US" w:bidi="ar-SA"/>
        </w:rPr>
        <w:t xml:space="preserve">单方</w:t>
      </w:r>
      <w:r>
        <w:rPr>
          <w:rFonts w:hint="eastAsia" w:cs="仿宋"/>
          <w:sz w:val="21"/>
          <w:szCs w:val="21"/>
          <w:u w:val="single"/>
          <w:lang w:val="en-US" w:bidi="ar-SA"/>
        </w:rPr>
        <w:t xml:space="preserve">解除合同，并追究承包人违约责任。</w:t>
      </w:r>
      <w:r/>
    </w:p>
    <w:p>
      <w:pPr>
        <w:jc w:val="both"/>
        <w:spacing w:line="460" w:lineRule="exact"/>
        <w:rPr>
          <w:rFonts w:cs="仿宋"/>
          <w:b/>
          <w:bCs/>
          <w:sz w:val="21"/>
          <w:szCs w:val="21"/>
          <w:lang w:val="en-US" w:bidi="ar-SA"/>
        </w:rPr>
      </w:pPr>
      <w:r>
        <w:rPr>
          <w:rFonts w:hint="eastAsia" w:cs="仿宋"/>
          <w:b/>
          <w:bCs/>
          <w:sz w:val="21"/>
          <w:szCs w:val="21"/>
          <w:lang w:val="en-US" w:bidi="ar-SA"/>
        </w:rPr>
        <w:t xml:space="preserve">3.3.3承包人擅自更换项目其他主要管理人员（现场技术负责人、施工员、质量员、安全员、资料员）的违约责任：</w:t>
      </w:r>
      <w:r/>
    </w:p>
    <w:p>
      <w:pPr>
        <w:jc w:val="both"/>
        <w:spacing w:line="460" w:lineRule="exact"/>
        <w:rPr>
          <w:rFonts w:ascii="Times New Roman" w:hAnsi="Times New Roman" w:cs="Times New Roman"/>
          <w:sz w:val="21"/>
          <w:szCs w:val="20"/>
          <w:lang w:val="en-US" w:bidi="ar-SA"/>
        </w:rPr>
      </w:pPr>
      <w:r>
        <w:rPr>
          <w:rFonts w:hint="eastAsia" w:cs="仿宋"/>
          <w:sz w:val="21"/>
          <w:szCs w:val="21"/>
          <w:u w:val="single"/>
          <w:lang w:val="en-US" w:bidi="ar-SA"/>
        </w:rPr>
        <w:t xml:space="preserve">投标文件中及合同中明确的项目其他主要管理人员（现场技术负责人、施工员、质量员、安全员、资料员）不得擅自变更，开工时或施工过程中若有擅自变更，将被视为承包人违约，承包人须按20000元/人·次付向发包人支付违约金，在工程款中扣除，发包人还有权解除合同，并追究承包人不能履约的违约责任，有权要求承包人赔偿发包人因此造成的一切损失，并报主管部门备案</w:t>
      </w:r>
      <w:r>
        <w:rPr>
          <w:rFonts w:hint="eastAsia" w:cs="仿宋"/>
          <w:sz w:val="21"/>
          <w:szCs w:val="21"/>
          <w:lang w:val="en-US" w:bidi="ar-SA"/>
        </w:rPr>
        <w:t xml:space="preserve">。</w:t>
      </w:r>
      <w:r/>
    </w:p>
    <w:p>
      <w:pPr>
        <w:jc w:val="both"/>
        <w:spacing w:line="460" w:lineRule="exact"/>
        <w:rPr>
          <w:rFonts w:cs="仿宋"/>
          <w:b/>
          <w:bCs/>
          <w:sz w:val="21"/>
          <w:szCs w:val="21"/>
          <w:lang w:val="en-US" w:bidi="ar-SA"/>
        </w:rPr>
      </w:pPr>
      <w:r>
        <w:rPr>
          <w:rFonts w:hint="eastAsia" w:cs="仿宋"/>
          <w:b/>
          <w:bCs/>
          <w:sz w:val="21"/>
          <w:szCs w:val="21"/>
          <w:lang w:val="en-US" w:bidi="ar-SA"/>
        </w:rPr>
        <w:t xml:space="preserve">3.3.4承包人无正当理由拒绝撤换项目其他主要管理人员（现场技术负责人、施工员、质量员、安全员、资料员）的违约责任：</w:t>
      </w:r>
      <w:r/>
    </w:p>
    <w:p>
      <w:pPr>
        <w:jc w:val="both"/>
        <w:spacing w:line="460" w:lineRule="exact"/>
        <w:rPr>
          <w:rFonts w:cs="仿宋"/>
          <w:sz w:val="24"/>
          <w:szCs w:val="20"/>
          <w:lang w:val="en-US" w:bidi="ar-SA"/>
        </w:rPr>
      </w:pPr>
      <w:r>
        <w:rPr>
          <w:rFonts w:hint="eastAsia" w:cs="仿宋"/>
          <w:sz w:val="21"/>
          <w:szCs w:val="21"/>
          <w:u w:val="single"/>
          <w:lang w:val="en-US" w:bidi="ar-SA"/>
        </w:rPr>
        <w:t xml:space="preserve">发包人有权要求承包人撤换调整其认为不称职的项目其他主要管理人员，承包人拒绝撤换的，发包人除了有权参照上述3.2.3条款向承包人追索违约金，还有权解除合同、追究承包人违约责任</w:t>
      </w:r>
      <w:r>
        <w:rPr>
          <w:rFonts w:hint="eastAsia" w:cs="仿宋"/>
          <w:sz w:val="21"/>
          <w:szCs w:val="21"/>
          <w:lang w:val="en-US" w:bidi="ar-SA"/>
        </w:rPr>
        <w:t xml:space="preserve">。</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3 .4分包</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3 .4.1 分包的一般约定</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禁止分包的工程包括：</w:t>
      </w:r>
      <w:r>
        <w:rPr>
          <w:rFonts w:hint="eastAsia" w:ascii="Times New Roman" w:hAnsi="Times New Roman" w:cs="MingLiU_HKSCS"/>
          <w:sz w:val="21"/>
          <w:szCs w:val="20"/>
          <w:u w:val="single"/>
          <w:lang w:val="en-US" w:bidi="ar-SA"/>
        </w:rPr>
        <w:t xml:space="preserve">本工程禁止分包</w:t>
      </w:r>
      <w:r>
        <w:rPr>
          <w:rFonts w:hint="eastAsia" w:ascii="Times New Roman" w:hAnsi="Times New Roman" w:cs="Times New Roman"/>
          <w:sz w:val="21"/>
          <w:szCs w:val="20"/>
          <w:lang w:val="en-US" w:bidi="ar-SA"/>
        </w:rPr>
        <w:t xml:space="preserve">。</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主体结构、关键性工作的范围：</w:t>
      </w:r>
      <w:r>
        <w:rPr>
          <w:rFonts w:hint="eastAsia" w:ascii="Times New Roman" w:hAnsi="Times New Roman" w:cs="Times New Roman"/>
          <w:sz w:val="21"/>
          <w:szCs w:val="20"/>
          <w:u w:val="single"/>
          <w:lang w:val="en-US" w:bidi="ar-SA"/>
        </w:rPr>
        <w:t xml:space="preserve">本协议约定的所有施工内容</w:t>
      </w:r>
      <w:r>
        <w:rPr>
          <w:rFonts w:hint="eastAsia" w:ascii="Times New Roman" w:hAnsi="Times New Roman" w:cs="Times New Roman"/>
          <w:sz w:val="21"/>
          <w:szCs w:val="20"/>
          <w:lang w:val="en-US" w:bidi="ar-SA"/>
        </w:rPr>
        <w:t xml:space="preserve">。</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3 .4.2分包的确定</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允许分包的专业工程包括：</w:t>
      </w:r>
      <w:r>
        <w:rPr>
          <w:rFonts w:hint="eastAsia" w:ascii="Times New Roman" w:hAnsi="Times New Roman" w:cs="Times New Roman"/>
          <w:sz w:val="21"/>
          <w:szCs w:val="20"/>
          <w:u w:val="single"/>
          <w:lang w:val="en-US" w:bidi="ar-SA"/>
        </w:rPr>
        <w:t xml:space="preserve">无</w:t>
      </w:r>
      <w:r>
        <w:rPr>
          <w:rFonts w:hint="eastAsia" w:ascii="Times New Roman" w:hAnsi="Times New Roman" w:cs="Times New Roman"/>
          <w:sz w:val="21"/>
          <w:szCs w:val="20"/>
          <w:lang w:val="en-US" w:bidi="ar-SA"/>
        </w:rPr>
        <w:t xml:space="preserve">。</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其他关于分包的约定：</w:t>
      </w:r>
      <w:r>
        <w:rPr>
          <w:rFonts w:hint="eastAsia" w:ascii="Times New Roman" w:hAnsi="Times New Roman" w:cs="Times New Roman"/>
          <w:sz w:val="21"/>
          <w:szCs w:val="20"/>
          <w:u w:val="single"/>
          <w:lang w:val="en-US" w:bidi="ar-SA"/>
        </w:rPr>
        <w:t xml:space="preserve">无</w:t>
      </w:r>
      <w:r>
        <w:rPr>
          <w:rFonts w:hint="eastAsia" w:ascii="Times New Roman" w:hAnsi="Times New Roman" w:cs="Times New Roman"/>
          <w:sz w:val="21"/>
          <w:szCs w:val="20"/>
          <w:lang w:val="en-US" w:bidi="ar-SA"/>
        </w:rPr>
        <w:t xml:space="preserve">。</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3.4.3分包合同价款</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关于分包合同价款支付的约定：</w:t>
      </w:r>
      <w:r>
        <w:rPr>
          <w:rFonts w:hint="eastAsia" w:ascii="Times New Roman" w:hAnsi="Times New Roman" w:cs="Times New Roman"/>
          <w:sz w:val="21"/>
          <w:szCs w:val="20"/>
          <w:u w:val="single"/>
          <w:lang w:val="en-US" w:bidi="ar-SA"/>
        </w:rPr>
        <w:t xml:space="preserve">无</w:t>
      </w:r>
      <w:r>
        <w:rPr>
          <w:rFonts w:hint="eastAsia" w:ascii="Times New Roman" w:hAnsi="Times New Roman" w:cs="Times New Roman"/>
          <w:sz w:val="21"/>
          <w:szCs w:val="20"/>
          <w:lang w:val="en-US" w:bidi="ar-SA"/>
        </w:rPr>
        <w:t xml:space="preserve">。</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3.5 工程照管与成品、半成品保护</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承包人负责照管工程及工程相关的材料、工程设备的起始时间：</w:t>
      </w:r>
      <w:r>
        <w:rPr>
          <w:rFonts w:hint="eastAsia" w:ascii="Times New Roman" w:hAnsi="Times New Roman" w:cs="Times New Roman"/>
          <w:sz w:val="21"/>
          <w:szCs w:val="20"/>
          <w:u w:val="single"/>
          <w:lang w:val="en-US" w:bidi="ar-SA"/>
        </w:rPr>
        <w:t xml:space="preserve">自发包人向承包人移交施工现场之日起，承包人应负责照管工程及工程相关的材料、工程设备，直到颁发工程接收证书之日止，费用由承包人承担；在承包人负责照管期间，因承包人原因造成工程、材料、工程设备损坏的，由承包人负责修复或更换，并承担由此增加的费用和（或）延误的工期的违约责任</w:t>
      </w:r>
      <w:r>
        <w:rPr>
          <w:rFonts w:hint="eastAsia" w:ascii="Times New Roman" w:hAnsi="Times New Roman" w:cs="Times New Roman"/>
          <w:sz w:val="21"/>
          <w:szCs w:val="20"/>
          <w:lang w:val="en-US" w:bidi="ar-SA"/>
        </w:rPr>
        <w:t xml:space="preserve">。</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3.6履约担保</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承包人是否提供履约担保：</w:t>
      </w:r>
      <w:r>
        <w:rPr>
          <w:rFonts w:hint="eastAsia" w:ascii="Times New Roman" w:hAnsi="Times New Roman" w:cs="Times New Roman"/>
          <w:sz w:val="21"/>
          <w:szCs w:val="20"/>
          <w:u w:val="single"/>
          <w:lang w:val="en-US" w:bidi="ar-SA"/>
        </w:rPr>
        <w:t xml:space="preserve">是</w:t>
      </w:r>
      <w:r>
        <w:rPr>
          <w:rFonts w:hint="eastAsia" w:ascii="Times New Roman" w:hAnsi="Times New Roman" w:cs="Times New Roman"/>
          <w:sz w:val="21"/>
          <w:szCs w:val="20"/>
          <w:lang w:val="en-US" w:bidi="ar-SA"/>
        </w:rPr>
        <w:t xml:space="preserve">。</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承包人提供履约担保的形式、金额及期限：</w:t>
      </w:r>
      <w:r/>
    </w:p>
    <w:p>
      <w:pPr>
        <w:jc w:val="both"/>
        <w:spacing w:line="460" w:lineRule="exact"/>
        <w:rPr>
          <w:rFonts w:ascii="Times New Roman" w:hAnsi="Times New Roman" w:cs="Times New Roman"/>
          <w:sz w:val="21"/>
          <w:szCs w:val="20"/>
          <w:u w:val="single"/>
          <w:lang w:val="en-US" w:bidi="ar-SA"/>
        </w:rPr>
      </w:pPr>
      <w:r>
        <w:rPr>
          <w:rFonts w:hint="eastAsia" w:ascii="Times New Roman" w:hAnsi="Times New Roman" w:cs="Times New Roman"/>
          <w:sz w:val="21"/>
          <w:szCs w:val="20"/>
          <w:u w:val="single"/>
          <w:lang w:val="en-US" w:bidi="ar-SA"/>
        </w:rPr>
        <w:t xml:space="preserve">（1）本项目成交公示结束后【</w:t>
      </w:r>
      <w:r>
        <w:rPr>
          <w:rFonts w:ascii="Times New Roman" w:hAnsi="Times New Roman" w:cs="Times New Roman"/>
          <w:sz w:val="21"/>
          <w:szCs w:val="20"/>
          <w:u w:val="single"/>
          <w:lang w:val="en-US" w:bidi="ar-SA"/>
        </w:rPr>
        <w:t xml:space="preserve">3</w:t>
      </w:r>
      <w:r>
        <w:rPr>
          <w:rFonts w:hint="eastAsia" w:ascii="Times New Roman" w:hAnsi="Times New Roman" w:cs="Times New Roman"/>
          <w:sz w:val="21"/>
          <w:szCs w:val="20"/>
          <w:u w:val="single"/>
          <w:lang w:val="en-US" w:bidi="ar-SA"/>
        </w:rPr>
        <w:t xml:space="preserve">】日内，承包人按照如下信息缴纳履约保证金，履约保证金金额为合同签约价的</w:t>
      </w:r>
      <w:r>
        <w:rPr>
          <w:rFonts w:ascii="Times New Roman" w:hAnsi="Times New Roman" w:cs="Times New Roman"/>
          <w:sz w:val="21"/>
          <w:szCs w:val="20"/>
          <w:u w:val="single"/>
          <w:lang w:val="en-US" w:bidi="ar-SA"/>
        </w:rPr>
        <w:t xml:space="preserve">3</w:t>
      </w:r>
      <w:r>
        <w:rPr>
          <w:rFonts w:hint="eastAsia" w:ascii="Times New Roman" w:hAnsi="Times New Roman" w:cs="Times New Roman"/>
          <w:sz w:val="21"/>
          <w:szCs w:val="20"/>
          <w:u w:val="single"/>
          <w:lang w:val="en-US" w:bidi="ar-SA"/>
        </w:rPr>
        <w:t xml:space="preserve">%，工程项目竣工经发包人组织的验收合格后履约保证金自动转为质量保证金。质量保证金自工程竣工验收合格之日（即：发包人组织的竣工合格验收报告签署之日）起24个月质保期届满，并经发包人确认工程</w:t>
      </w:r>
      <w:r>
        <w:rPr>
          <w:rFonts w:hint="eastAsia" w:cs="Times New Roman"/>
          <w:sz w:val="21"/>
          <w:szCs w:val="20"/>
          <w:u w:val="single"/>
          <w:lang w:val="en-US" w:bidi="ar-SA"/>
        </w:rPr>
        <w:t xml:space="preserve">无质量问题且无任何遗留问题后一次性</w:t>
      </w:r>
      <w:r>
        <w:rPr>
          <w:rFonts w:hint="eastAsia" w:ascii="Times New Roman" w:hAnsi="Times New Roman" w:cs="Times New Roman"/>
          <w:sz w:val="21"/>
          <w:szCs w:val="20"/>
          <w:u w:val="single"/>
          <w:lang w:val="en-US" w:bidi="ar-SA"/>
        </w:rPr>
        <w:t xml:space="preserve">无息退还承包人（扣除因质量问题引起的维修费用、质量赔偿金及其他违约金等）。</w:t>
      </w:r>
      <w:r/>
    </w:p>
    <w:p>
      <w:pPr>
        <w:jc w:val="both"/>
        <w:spacing w:line="460" w:lineRule="exact"/>
        <w:rPr>
          <w:rFonts w:ascii="Times New Roman" w:hAnsi="Times New Roman" w:cs="Times New Roman"/>
          <w:sz w:val="21"/>
          <w:szCs w:val="20"/>
          <w:u w:val="single"/>
          <w:lang w:val="en-US" w:bidi="ar-SA"/>
        </w:rPr>
      </w:pPr>
      <w:r>
        <w:rPr>
          <w:rFonts w:hint="eastAsia" w:ascii="Times New Roman" w:hAnsi="Times New Roman" w:cs="Times New Roman"/>
          <w:sz w:val="21"/>
          <w:szCs w:val="20"/>
          <w:u w:val="single"/>
          <w:lang w:val="en-US" w:bidi="ar-SA"/>
        </w:rPr>
        <w:t xml:space="preserve">（2）履约保证金汇款银行、账号及户名：承包方必须在本项目成交公示结束后将履约保证金汇入发包方指定的账号，</w:t>
      </w:r>
      <w:r>
        <w:rPr>
          <w:rFonts w:hint="eastAsia" w:ascii="Times New Roman" w:hAnsi="Times New Roman" w:cs="Times New Roman"/>
          <w:sz w:val="21"/>
          <w:szCs w:val="20"/>
          <w:lang w:val="en-US" w:bidi="ar-SA"/>
        </w:rPr>
        <w:t xml:space="preserve">账号</w:t>
      </w:r>
      <w:r>
        <w:rPr>
          <w:rFonts w:hint="eastAsia" w:ascii="Times New Roman" w:hAnsi="Times New Roman" w:cs="Times New Roman"/>
          <w:sz w:val="21"/>
          <w:szCs w:val="20"/>
          <w:u w:val="single"/>
          <w:lang w:val="en-US" w:bidi="ar-SA"/>
        </w:rPr>
        <w:t xml:space="preserve">为：4301010109001027264（开户行为工行汉中门支行，收款人为南京中医药大学），汇款必须从承包方基本账户转出，在备注、用途或附加说明中写明是本</w:t>
      </w:r>
      <w:r>
        <w:rPr>
          <w:rFonts w:ascii="Times New Roman" w:hAnsi="Times New Roman" w:cs="Times New Roman"/>
          <w:sz w:val="21"/>
          <w:szCs w:val="20"/>
          <w:u w:val="single"/>
          <w:lang w:val="en-US" w:bidi="ar-SA"/>
        </w:rPr>
        <w:t xml:space="preserve">项目的</w:t>
      </w:r>
      <w:r>
        <w:rPr>
          <w:rFonts w:hint="eastAsia" w:ascii="Times New Roman" w:hAnsi="Times New Roman" w:cs="Times New Roman"/>
          <w:sz w:val="21"/>
          <w:szCs w:val="20"/>
          <w:u w:val="single"/>
          <w:lang w:val="en-US" w:bidi="ar-SA"/>
        </w:rPr>
        <w:t xml:space="preserve">履约保证金。承包方缴纳履约保证金后凭汇款凭证领取成交通知书。逾期不交者，将列入发包人不诚信单位记录名单，后期不得参与发包人任何采购活动。承包人未缴纳履约保证金的，本合同不生效。</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4 . 监理人</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4.1监理人的一般规定</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关于监理人的监理内容：</w:t>
      </w:r>
      <w:r>
        <w:rPr>
          <w:rFonts w:hint="eastAsia" w:ascii="Times New Roman" w:hAnsi="Times New Roman" w:cs="Times New Roman"/>
          <w:sz w:val="21"/>
          <w:szCs w:val="20"/>
          <w:u w:val="single"/>
          <w:lang w:val="en-US" w:bidi="ar-SA"/>
        </w:rPr>
        <w:t xml:space="preserve">即本工程施工阶段及保修阶段的全过程监理。监理人须依据国家监理规则相关内容和本合同约定，对交付发包人的全部施工内容实施监理，包括但不限于对工程质量、进度、造价、安全进行控制，信息管理、合同管理和现场的组织协调，以及负责将开工至竣工验收全套资料收集完备</w:t>
      </w:r>
      <w:r>
        <w:rPr>
          <w:rFonts w:hint="eastAsia" w:ascii="仿宋" w:hAnsi="仿宋" w:eastAsia="仿宋" w:cs="仿宋"/>
          <w:sz w:val="24"/>
          <w:szCs w:val="24"/>
          <w:u w:val="single"/>
          <w:lang w:val="en-US" w:bidi="ar-SA"/>
        </w:rPr>
        <w:t xml:space="preserve">，</w:t>
      </w:r>
      <w:r>
        <w:rPr>
          <w:rFonts w:hint="eastAsia" w:ascii="Times New Roman" w:hAnsi="Times New Roman" w:cs="Times New Roman"/>
          <w:sz w:val="21"/>
          <w:szCs w:val="20"/>
          <w:u w:val="single"/>
          <w:lang w:val="en-US" w:bidi="ar-SA"/>
        </w:rPr>
        <w:t xml:space="preserve">配合发包人在工程实施过程中的各种工程变更、索赔、验收，以及竣工结算、决算审计等。</w:t>
      </w:r>
      <w:r/>
    </w:p>
    <w:p>
      <w:pPr>
        <w:jc w:val="both"/>
        <w:spacing w:line="460" w:lineRule="exact"/>
        <w:rPr>
          <w:rFonts w:ascii="Times New Roman" w:hAnsi="Times New Roman" w:cs="Times New Roman"/>
          <w:sz w:val="21"/>
          <w:szCs w:val="20"/>
          <w:u w:val="single"/>
          <w:lang w:val="en-US" w:bidi="ar-SA"/>
        </w:rPr>
      </w:pPr>
      <w:r>
        <w:rPr>
          <w:rFonts w:hint="eastAsia" w:ascii="Times New Roman" w:hAnsi="Times New Roman" w:cs="Times New Roman"/>
          <w:sz w:val="21"/>
          <w:szCs w:val="20"/>
          <w:lang w:val="en-US" w:bidi="ar-SA"/>
        </w:rPr>
        <w:t xml:space="preserve">关于监理人的监理权限：</w:t>
      </w:r>
      <w:r>
        <w:rPr>
          <w:rFonts w:hint="eastAsia" w:ascii="Times New Roman" w:hAnsi="Times New Roman" w:cs="Times New Roman"/>
          <w:sz w:val="21"/>
          <w:szCs w:val="20"/>
          <w:u w:val="single"/>
          <w:lang w:val="en-US" w:bidi="ar-SA"/>
        </w:rPr>
        <w:t xml:space="preserve">所有涉及工程造价的签证、设计变更、标准的确认、分包单位的确定、工期延期、开工令、停工令、复工令以及工程施工过程中将会导致造价变化的一切事宜，监理人需要取得发包人书面盖章确认，其相关行为方为有效。详见监理合同。</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关于监理人在施工现场的办公场所、生活场所的提供和费用承担的约定：</w:t>
      </w:r>
      <w:r>
        <w:rPr>
          <w:rFonts w:hint="eastAsia" w:ascii="Times New Roman" w:hAnsi="Times New Roman" w:cs="Times New Roman"/>
          <w:sz w:val="21"/>
          <w:szCs w:val="20"/>
          <w:u w:val="single"/>
          <w:lang w:val="en-US" w:bidi="ar-SA"/>
        </w:rPr>
        <w:t xml:space="preserve">由承包人提供，费用已计入本合同价款中，或由承包人另行承担，发包人不再另行支付</w:t>
      </w:r>
      <w:r>
        <w:rPr>
          <w:rFonts w:hint="eastAsia" w:ascii="Times New Roman" w:hAnsi="Times New Roman" w:cs="Times New Roman"/>
          <w:sz w:val="21"/>
          <w:szCs w:val="20"/>
          <w:lang w:val="en-US" w:bidi="ar-SA"/>
        </w:rPr>
        <w:t xml:space="preserve">。</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4.2 监理人员</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总监理工程师：</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姓名：；</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职务：；</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监理工程师执业资格证书号：；</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联系电话：；</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电子信箱：；</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通信地址：；</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关于监理人的其他约定：详见监理合同。</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4.3商定或确定</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在发包人和承包人不能通过协商达成一致意见时，发包人授权监理人对以下事项进行确定：</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w:t>
      </w:r>
      <w:r>
        <w:rPr>
          <w:rFonts w:hint="eastAsia" w:ascii="Times New Roman" w:hAnsi="Times New Roman" w:cs="Times New Roman"/>
          <w:sz w:val="21"/>
          <w:szCs w:val="20"/>
          <w:u w:val="single"/>
          <w:lang w:val="en-US" w:bidi="ar-SA"/>
        </w:rPr>
        <w:t xml:space="preserve">/</w:t>
      </w:r>
      <w:r>
        <w:rPr>
          <w:rFonts w:hint="eastAsia" w:ascii="Times New Roman" w:hAnsi="Times New Roman" w:cs="Times New Roman"/>
          <w:sz w:val="21"/>
          <w:szCs w:val="20"/>
          <w:lang w:val="en-US" w:bidi="ar-SA"/>
        </w:rPr>
        <w:t xml:space="preserve">；</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（2）</w:t>
      </w:r>
      <w:r>
        <w:rPr>
          <w:rFonts w:hint="eastAsia" w:ascii="Times New Roman" w:hAnsi="Times New Roman" w:cs="Times New Roman"/>
          <w:sz w:val="21"/>
          <w:szCs w:val="20"/>
          <w:u w:val="single"/>
          <w:lang w:val="en-US" w:bidi="ar-SA"/>
        </w:rPr>
        <w:t xml:space="preserve">/</w:t>
      </w:r>
      <w:r>
        <w:rPr>
          <w:rFonts w:hint="eastAsia" w:ascii="Times New Roman" w:hAnsi="Times New Roman" w:cs="Times New Roman"/>
          <w:sz w:val="21"/>
          <w:szCs w:val="20"/>
          <w:lang w:val="en-US" w:bidi="ar-SA"/>
        </w:rPr>
        <w:t xml:space="preserve">；</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（3）</w:t>
      </w:r>
      <w:r>
        <w:rPr>
          <w:rFonts w:hint="eastAsia" w:ascii="Times New Roman" w:hAnsi="Times New Roman" w:cs="Times New Roman"/>
          <w:sz w:val="21"/>
          <w:szCs w:val="20"/>
          <w:u w:val="single"/>
          <w:lang w:val="en-US" w:bidi="ar-SA"/>
        </w:rPr>
        <w:t xml:space="preserve">/</w:t>
      </w:r>
      <w:r>
        <w:rPr>
          <w:rFonts w:hint="eastAsia" w:ascii="Times New Roman" w:hAnsi="Times New Roman" w:cs="Times New Roman"/>
          <w:sz w:val="21"/>
          <w:szCs w:val="20"/>
          <w:lang w:val="en-US" w:bidi="ar-SA"/>
        </w:rPr>
        <w:t xml:space="preserve">。</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5. 工程质量</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5.1 质量要求</w:t>
      </w:r>
      <w:r/>
    </w:p>
    <w:p>
      <w:pPr>
        <w:jc w:val="both"/>
        <w:spacing w:line="360" w:lineRule="auto"/>
        <w:rPr>
          <w:rFonts w:ascii="Times New Roman" w:hAnsi="Times New Roman" w:cs="Times New Roman"/>
          <w:sz w:val="21"/>
          <w:szCs w:val="20"/>
          <w:u w:val="single"/>
          <w:lang w:val="en-US" w:bidi="ar-SA"/>
        </w:rPr>
      </w:pPr>
      <w:r>
        <w:rPr>
          <w:rFonts w:hint="eastAsia" w:ascii="Times New Roman" w:hAnsi="Times New Roman" w:cs="Times New Roman"/>
          <w:sz w:val="21"/>
          <w:szCs w:val="20"/>
          <w:lang w:val="en-US" w:bidi="ar-SA"/>
        </w:rPr>
        <w:t xml:space="preserve">特殊质量标准和要求：</w:t>
      </w:r>
      <w:r>
        <w:rPr>
          <w:rFonts w:hint="eastAsia" w:cs="Times New Roman"/>
          <w:sz w:val="21"/>
          <w:szCs w:val="21"/>
          <w:u w:val="single"/>
          <w:lang w:val="en-US" w:bidi="ar-SA"/>
        </w:rPr>
        <w:t xml:space="preserve">质量标准的评定以现行国家、地方政府以及行业的质量检验评定标准为依据，确保质量符合国家现行质量验收标准、《建筑工程施工质量验收统一标准》、本合同约定的特殊要求</w:t>
      </w:r>
      <w:r>
        <w:rPr>
          <w:rFonts w:hint="eastAsia" w:ascii="Times New Roman" w:hAnsi="Times New Roman" w:cs="Times New Roman"/>
          <w:sz w:val="21"/>
          <w:szCs w:val="20"/>
          <w:u w:val="single"/>
          <w:lang w:val="en-US" w:bidi="ar-SA"/>
        </w:rPr>
        <w:t xml:space="preserve">。</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关于工程奖项的约定：/。</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5.2隐蔽工程检查</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承包人提前通知监理人隐蔽工程检查的期限的约定：</w:t>
      </w:r>
      <w:r>
        <w:rPr>
          <w:rFonts w:hint="eastAsia" w:ascii="Times New Roman" w:hAnsi="Times New Roman" w:cs="Times New Roman"/>
          <w:sz w:val="21"/>
          <w:szCs w:val="20"/>
          <w:u w:val="single"/>
          <w:lang w:val="en-US" w:bidi="ar-SA"/>
        </w:rPr>
        <w:t xml:space="preserve">共同检查前48小时书面通知监理</w:t>
      </w:r>
      <w:r>
        <w:rPr>
          <w:rFonts w:hint="eastAsia" w:ascii="Times New Roman" w:hAnsi="Times New Roman" w:cs="Times New Roman"/>
          <w:sz w:val="21"/>
          <w:szCs w:val="20"/>
          <w:lang w:val="en-US" w:bidi="ar-SA"/>
        </w:rPr>
        <w:t xml:space="preserve">。</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监理人不能按时进行检查时，应提前</w:t>
      </w:r>
      <w:r>
        <w:rPr>
          <w:rFonts w:hint="eastAsia" w:ascii="Times New Roman" w:hAnsi="Times New Roman" w:cs="Times New Roman"/>
          <w:sz w:val="21"/>
          <w:szCs w:val="20"/>
          <w:u w:val="single"/>
          <w:lang w:val="en-US" w:bidi="ar-SA"/>
        </w:rPr>
        <w:t xml:space="preserve"> 8 </w:t>
      </w:r>
      <w:r>
        <w:rPr>
          <w:rFonts w:hint="eastAsia" w:ascii="Times New Roman" w:hAnsi="Times New Roman" w:cs="Times New Roman"/>
          <w:sz w:val="21"/>
          <w:szCs w:val="20"/>
          <w:lang w:val="en-US" w:bidi="ar-SA"/>
        </w:rPr>
        <w:t xml:space="preserve">小时提交书面延期要求。</w:t>
      </w:r>
      <w:r>
        <w:rPr>
          <w:rFonts w:hint="eastAsia" w:ascii="Times New Roman" w:hAnsi="Times New Roman" w:cs="Times New Roman"/>
          <w:sz w:val="21"/>
          <w:szCs w:val="20"/>
          <w:u w:val="single"/>
          <w:lang w:val="en-US" w:bidi="ar-SA"/>
        </w:rPr>
        <w:t xml:space="preserve">所有隐蔽工程和中间验收均须经监理工程师和发包人验收确认后方可继续施工。</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关于延期最长不得超过：</w:t>
      </w:r>
      <w:r>
        <w:rPr>
          <w:rFonts w:hint="eastAsia" w:ascii="Times New Roman" w:hAnsi="Times New Roman" w:cs="Times New Roman"/>
          <w:sz w:val="21"/>
          <w:szCs w:val="20"/>
          <w:u w:val="single"/>
          <w:lang w:val="en-US" w:bidi="ar-SA"/>
        </w:rPr>
        <w:t xml:space="preserve"> 24 </w:t>
      </w:r>
      <w:r>
        <w:rPr>
          <w:rFonts w:hint="eastAsia" w:ascii="Times New Roman" w:hAnsi="Times New Roman" w:cs="Times New Roman"/>
          <w:sz w:val="21"/>
          <w:szCs w:val="20"/>
          <w:lang w:val="en-US" w:bidi="ar-SA"/>
        </w:rPr>
        <w:t xml:space="preserve">小时。</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5.3重新检验</w:t>
      </w:r>
      <w:r/>
    </w:p>
    <w:p>
      <w:pPr>
        <w:jc w:val="both"/>
        <w:spacing w:line="460" w:lineRule="exact"/>
        <w:rPr>
          <w:rFonts w:ascii="Times New Roman" w:hAnsi="Times New Roman" w:cs="Times New Roman"/>
          <w:sz w:val="21"/>
          <w:szCs w:val="20"/>
          <w:u w:val="single"/>
          <w:lang w:val="en-US" w:bidi="ar-SA"/>
        </w:rPr>
      </w:pPr>
      <w:r>
        <w:rPr>
          <w:rFonts w:hint="eastAsia" w:ascii="Times New Roman" w:hAnsi="Times New Roman" w:cs="Times New Roman"/>
          <w:sz w:val="21"/>
          <w:szCs w:val="20"/>
          <w:u w:val="single"/>
          <w:lang w:val="en-US" w:bidi="ar-SA"/>
        </w:rPr>
        <w:t xml:space="preserve">无论发包人、监理人员是否进行过验收，当其要求已经隐蔽的工程重新检验时，承包人应按要求进行剥离或开孔，并在检验后重新覆盖或修复。检验不合格时，承包人承担发生的全部费用，工期不顺延。</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5.3.1 工程质量</w:t>
      </w:r>
      <w:r/>
    </w:p>
    <w:p>
      <w:pPr>
        <w:jc w:val="both"/>
        <w:spacing w:line="460" w:lineRule="exact"/>
        <w:rPr>
          <w:rFonts w:ascii="Times New Roman" w:hAnsi="Times New Roman" w:cs="Times New Roman"/>
          <w:sz w:val="21"/>
          <w:szCs w:val="20"/>
          <w:u w:val="single"/>
          <w:lang w:val="en-US" w:bidi="ar-SA"/>
        </w:rPr>
      </w:pPr>
      <w:r>
        <w:rPr>
          <w:rFonts w:hint="eastAsia" w:ascii="Times New Roman" w:hAnsi="Times New Roman" w:cs="Times New Roman"/>
          <w:sz w:val="21"/>
          <w:szCs w:val="20"/>
          <w:u w:val="single"/>
          <w:lang w:val="en-US" w:bidi="ar-SA"/>
        </w:rPr>
        <w:t xml:space="preserve">按专用条款和采购文件执行。</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5.3.2检查和返工</w:t>
      </w:r>
      <w:r/>
    </w:p>
    <w:p>
      <w:pPr>
        <w:jc w:val="both"/>
        <w:spacing w:line="460" w:lineRule="exact"/>
        <w:rPr>
          <w:rFonts w:ascii="Times New Roman" w:hAnsi="Times New Roman" w:cs="Times New Roman"/>
          <w:sz w:val="21"/>
          <w:szCs w:val="20"/>
          <w:u w:val="single"/>
          <w:lang w:val="en-US" w:bidi="ar-SA"/>
        </w:rPr>
      </w:pPr>
      <w:r>
        <w:rPr>
          <w:rFonts w:hint="eastAsia" w:ascii="Times New Roman" w:hAnsi="Times New Roman" w:cs="Times New Roman"/>
          <w:sz w:val="21"/>
          <w:szCs w:val="20"/>
          <w:u w:val="single"/>
          <w:lang w:val="en-US" w:bidi="ar-SA"/>
        </w:rPr>
        <w:t xml:space="preserve">（1）承包人应严格按照施工规范、技术规程以及经监</w:t>
      </w:r>
      <w:r>
        <w:rPr>
          <w:rFonts w:hint="eastAsia" w:ascii="Times New Roman" w:hAnsi="Times New Roman" w:cs="Times New Roman"/>
          <w:sz w:val="21"/>
          <w:szCs w:val="20"/>
          <w:u w:val="single"/>
          <w:lang w:val="en-US" w:bidi="ar-SA"/>
        </w:rPr>
        <w:t xml:space="preserve">理工程师和发包人审核批复的实施性施工组织设计精心组织施工，确保工程进度及质量。在工序验收中，如检查发现质量不合格，承包人除必须返工至达标外，还应向发包人支付每项2000元/次的违约金。在分项工程验收中，如在各类抽测、抽检、抽查中发现质量不合格，承包人除必须返工达标外，还应向发包人支付每项10000元/次的违约金，并承担全部检测费用。在分项验收中对达不到验收合格标准的，如监理工程师和发包人决定降格验收，承包人按该分项工程造价的5%（不足10000元的按10000元执行）向发包人支付违约金，并承担全部检测费用。</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u w:val="single"/>
          <w:lang w:val="en-US" w:bidi="ar-SA"/>
        </w:rPr>
        <w:t xml:space="preserve">（2）承包人在发生工程质量问题时隐瞒监理工程师及发包人，或有偷工减料行为、使用假冒伪劣产品行为，除及时进行整改外另需向发包人支付40000元/次的质量违约金。</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6. 安全文明施工与环境保护</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6.1安全文明施工</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6.1.1 项目安全生产的达标目标及相应事项的约定：</w:t>
      </w:r>
      <w:r/>
    </w:p>
    <w:p>
      <w:pPr>
        <w:jc w:val="both"/>
        <w:spacing w:line="460" w:lineRule="exact"/>
        <w:rPr>
          <w:rFonts w:ascii="Times New Roman" w:hAnsi="Times New Roman" w:cs="Times New Roman"/>
          <w:sz w:val="21"/>
          <w:szCs w:val="20"/>
          <w:u w:val="single"/>
          <w:lang w:val="en-US" w:bidi="ar-SA"/>
        </w:rPr>
      </w:pPr>
      <w:r>
        <w:rPr>
          <w:rFonts w:hint="eastAsia" w:ascii="Times New Roman" w:hAnsi="Times New Roman" w:cs="Times New Roman"/>
          <w:sz w:val="21"/>
          <w:szCs w:val="20"/>
          <w:u w:val="single"/>
          <w:lang w:val="en-US" w:bidi="ar-SA"/>
        </w:rPr>
        <w:t xml:space="preserve">（1）除执行通用条款的相关规定外，承包人应严格按照施工组织设计组织施工，采取有效防护措施，并在安全管理方面除正常进行安全学习、安全教育外，同时应高度重视全部施工期间的安全工作，安全措施要落实到位，应急措施要跟上，</w:t>
      </w:r>
      <w:r>
        <w:rPr>
          <w:rFonts w:hint="eastAsia" w:cs="仿宋"/>
          <w:sz w:val="21"/>
          <w:szCs w:val="21"/>
          <w:u w:val="single"/>
          <w:lang w:val="en-US" w:bidi="ar-SA"/>
        </w:rPr>
        <w:t xml:space="preserve">高空作业必须有安全防护措施等，</w:t>
      </w:r>
      <w:r>
        <w:rPr>
          <w:rFonts w:hint="eastAsia" w:ascii="Times New Roman" w:hAnsi="Times New Roman" w:cs="Times New Roman"/>
          <w:sz w:val="21"/>
          <w:szCs w:val="20"/>
          <w:u w:val="single"/>
          <w:lang w:val="en-US" w:bidi="ar-SA"/>
        </w:rPr>
        <w:t xml:space="preserve">并配备专职安全人员，对于不重视安全工作，措施不到位，</w:t>
      </w:r>
      <w:r>
        <w:rPr>
          <w:rFonts w:hint="eastAsia" w:cs="仿宋"/>
          <w:sz w:val="21"/>
          <w:szCs w:val="21"/>
          <w:u w:val="single"/>
          <w:lang w:val="en-US" w:bidi="ar-SA"/>
        </w:rPr>
        <w:t xml:space="preserve">未按规定要求（安全文明施工、质量标准等方面）进行施工、管理的，每发现一次，承包人应按300-500元/次向发包人支付违约金；</w:t>
      </w:r>
      <w:r>
        <w:rPr>
          <w:rFonts w:hint="eastAsia" w:ascii="Times New Roman" w:hAnsi="Times New Roman" w:cs="Times New Roman"/>
          <w:sz w:val="21"/>
          <w:szCs w:val="20"/>
          <w:u w:val="single"/>
          <w:lang w:val="en-US" w:bidi="ar-SA"/>
        </w:rPr>
        <w:t xml:space="preserve">导致发生安全事故的，承包人将承担全部责任，并承担所有赔偿费用。若发生任何大小安全事故或伤亡事故均由承包方承担赔偿</w:t>
      </w:r>
      <w:r>
        <w:rPr>
          <w:rFonts w:ascii="Times New Roman" w:hAnsi="Times New Roman" w:cs="Times New Roman"/>
          <w:sz w:val="21"/>
          <w:szCs w:val="20"/>
          <w:u w:val="single"/>
          <w:lang w:val="en-US" w:bidi="ar-SA"/>
        </w:rPr>
        <w:t xml:space="preserve">责任</w:t>
      </w:r>
      <w:r>
        <w:rPr>
          <w:rFonts w:hint="eastAsia" w:ascii="Times New Roman" w:hAnsi="Times New Roman" w:cs="Times New Roman"/>
          <w:sz w:val="21"/>
          <w:szCs w:val="20"/>
          <w:u w:val="single"/>
          <w:lang w:val="en-US" w:bidi="ar-SA"/>
        </w:rPr>
        <w:t xml:space="preserve">，发包方不承担任何责任，并根据事故大小对承包人收取每次1万元至5万元的违约金，在工程款中直接扣除。</w:t>
      </w:r>
      <w:r/>
    </w:p>
    <w:p>
      <w:pPr>
        <w:jc w:val="both"/>
        <w:spacing w:line="460" w:lineRule="exact"/>
        <w:rPr>
          <w:rFonts w:ascii="Times New Roman" w:hAnsi="Times New Roman" w:cs="Times New Roman"/>
          <w:sz w:val="21"/>
          <w:szCs w:val="20"/>
          <w:u w:val="single"/>
          <w:lang w:val="en-US" w:bidi="ar-SA"/>
        </w:rPr>
      </w:pPr>
      <w:r>
        <w:rPr>
          <w:rFonts w:hint="eastAsia" w:ascii="Times New Roman" w:hAnsi="Times New Roman" w:cs="Times New Roman"/>
          <w:sz w:val="21"/>
          <w:szCs w:val="20"/>
          <w:u w:val="single"/>
          <w:lang w:val="en-US" w:bidi="ar-SA"/>
        </w:rPr>
        <w:t xml:space="preserve">（2）如由于承包人不安全施工或其他违法违规等原因，导致发包人受到区级及以上行政主管部门处罚的，发包人将对承包人进行处罚，每发生一次扣除工程总价款的1%作为违约金。</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6.1.2关于治安保卫的特别约定：</w:t>
      </w:r>
      <w:r>
        <w:rPr>
          <w:rFonts w:hint="eastAsia" w:ascii="Times New Roman" w:hAnsi="Times New Roman" w:cs="Times New Roman"/>
          <w:sz w:val="21"/>
          <w:szCs w:val="20"/>
          <w:u w:val="single"/>
          <w:lang w:val="en-US" w:bidi="ar-SA"/>
        </w:rPr>
        <w:t xml:space="preserve"> / </w:t>
      </w:r>
      <w:r>
        <w:rPr>
          <w:rFonts w:hint="eastAsia" w:ascii="Times New Roman" w:hAnsi="Times New Roman" w:cs="Times New Roman"/>
          <w:sz w:val="21"/>
          <w:szCs w:val="20"/>
          <w:lang w:val="en-US" w:bidi="ar-SA"/>
        </w:rPr>
        <w:t xml:space="preserve">。</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关于编制施工场地治安管理计划的约定：</w:t>
      </w:r>
      <w:r>
        <w:rPr>
          <w:rFonts w:hint="eastAsia" w:ascii="Times New Roman" w:hAnsi="Times New Roman" w:cs="Times New Roman"/>
          <w:sz w:val="21"/>
          <w:szCs w:val="20"/>
          <w:u w:val="single"/>
          <w:lang w:val="en-US" w:bidi="ar-SA"/>
        </w:rPr>
        <w:t xml:space="preserve">在开工前提交的施工组织设计中必须要有此部分内容</w:t>
      </w:r>
      <w:r>
        <w:rPr>
          <w:rFonts w:hint="eastAsia" w:ascii="Times New Roman" w:hAnsi="Times New Roman" w:cs="Times New Roman"/>
          <w:sz w:val="21"/>
          <w:szCs w:val="20"/>
          <w:lang w:val="en-US" w:bidi="ar-SA"/>
        </w:rPr>
        <w:t xml:space="preserve">。</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6.1.3文明施工</w:t>
      </w:r>
      <w:r/>
    </w:p>
    <w:p>
      <w:pPr>
        <w:jc w:val="both"/>
        <w:spacing w:line="360" w:lineRule="auto"/>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合同当事人对文明施工的要求：</w:t>
      </w:r>
      <w:r>
        <w:rPr>
          <w:rFonts w:hint="eastAsia" w:ascii="Times New Roman" w:hAnsi="Times New Roman" w:cs="Times New Roman"/>
          <w:sz w:val="21"/>
          <w:szCs w:val="20"/>
          <w:u w:val="single"/>
          <w:lang w:val="en-US" w:bidi="ar-SA"/>
        </w:rPr>
        <w:t xml:space="preserve">达到《建筑施工安全检查标准》。</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u w:val="single"/>
          <w:lang w:val="en-US" w:bidi="ar-SA"/>
        </w:rPr>
        <w:t xml:space="preserve">（1）承包人须定期上报现场一线操作工人名单、人数、籍贯等。如有人员调整，必须及时通知发包人</w:t>
      </w:r>
      <w:r>
        <w:rPr>
          <w:rFonts w:hint="eastAsia" w:ascii="Times New Roman" w:hAnsi="Times New Roman" w:cs="Times New Roman"/>
          <w:sz w:val="21"/>
          <w:szCs w:val="20"/>
          <w:lang w:val="en-US" w:bidi="ar-SA"/>
        </w:rPr>
        <w:t xml:space="preserve">；</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u w:val="single"/>
          <w:lang w:val="en-US" w:bidi="ar-SA"/>
        </w:rPr>
        <w:t xml:space="preserve">（2）施工人员未经允许不得进入已经交付的工程区域</w:t>
      </w:r>
      <w:r>
        <w:rPr>
          <w:rFonts w:hint="eastAsia" w:ascii="Times New Roman" w:hAnsi="Times New Roman" w:cs="Times New Roman"/>
          <w:sz w:val="21"/>
          <w:szCs w:val="20"/>
          <w:lang w:val="en-US" w:bidi="ar-SA"/>
        </w:rPr>
        <w:t xml:space="preserve">；</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u w:val="single"/>
          <w:lang w:val="en-US" w:bidi="ar-SA"/>
        </w:rPr>
        <w:t xml:space="preserve">（3）承包人对施工范围内的安全防火承担责任</w:t>
      </w:r>
      <w:r>
        <w:rPr>
          <w:rFonts w:hint="eastAsia" w:ascii="Times New Roman" w:hAnsi="Times New Roman" w:cs="Times New Roman"/>
          <w:sz w:val="21"/>
          <w:szCs w:val="20"/>
          <w:lang w:val="en-US" w:bidi="ar-SA"/>
        </w:rPr>
        <w:t xml:space="preserve">；</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u w:val="single"/>
          <w:lang w:val="en-US" w:bidi="ar-SA"/>
        </w:rPr>
        <w:t xml:space="preserve">（4）承包人应遵守工程建设安全生产有关管理规定，严格按安全标准组织施工，并随时接受行业安全检查人员依法实施的监督检查，采取必要的安全防护措施，消除事故隐患。安全施工防护费用已含在合同价款内。由于承包人安全措施不力造成事故的责任和因此发生的费用，由承包人承担，造成安全事故带来不良影响的，发包人按照</w:t>
      </w:r>
      <w:r>
        <w:rPr>
          <w:rFonts w:ascii="Times New Roman" w:hAnsi="Times New Roman" w:cs="Times New Roman"/>
          <w:sz w:val="21"/>
          <w:szCs w:val="20"/>
          <w:u w:val="single"/>
          <w:lang w:val="en-US" w:bidi="ar-SA"/>
        </w:rPr>
        <w:t xml:space="preserve">本</w:t>
      </w:r>
      <w:r>
        <w:rPr>
          <w:rFonts w:hint="eastAsia" w:ascii="Times New Roman" w:hAnsi="Times New Roman" w:cs="Times New Roman"/>
          <w:sz w:val="21"/>
          <w:szCs w:val="20"/>
          <w:u w:val="single"/>
          <w:lang w:val="en-US" w:bidi="ar-SA"/>
        </w:rPr>
        <w:t xml:space="preserve">合同</w:t>
      </w:r>
      <w:r>
        <w:rPr>
          <w:rFonts w:ascii="Times New Roman" w:hAnsi="Times New Roman" w:cs="Times New Roman"/>
          <w:sz w:val="21"/>
          <w:szCs w:val="20"/>
          <w:u w:val="single"/>
          <w:lang w:val="en-US" w:bidi="ar-SA"/>
        </w:rPr>
        <w:t xml:space="preserve">6.1.1(1)</w:t>
      </w:r>
      <w:r>
        <w:rPr>
          <w:rFonts w:hint="eastAsia" w:ascii="Times New Roman" w:hAnsi="Times New Roman" w:cs="Times New Roman"/>
          <w:sz w:val="21"/>
          <w:szCs w:val="20"/>
          <w:u w:val="single"/>
          <w:lang w:val="en-US" w:bidi="ar-SA"/>
        </w:rPr>
        <w:t xml:space="preserve">追究</w:t>
      </w:r>
      <w:r>
        <w:rPr>
          <w:rFonts w:ascii="Times New Roman" w:hAnsi="Times New Roman" w:cs="Times New Roman"/>
          <w:sz w:val="21"/>
          <w:szCs w:val="20"/>
          <w:u w:val="single"/>
          <w:lang w:val="en-US" w:bidi="ar-SA"/>
        </w:rPr>
        <w:t xml:space="preserve">承包人违约责任</w:t>
      </w:r>
      <w:r>
        <w:rPr>
          <w:rFonts w:hint="eastAsia" w:ascii="Times New Roman" w:hAnsi="Times New Roman" w:cs="Times New Roman"/>
          <w:sz w:val="21"/>
          <w:szCs w:val="20"/>
          <w:u w:val="single"/>
          <w:lang w:val="en-US" w:bidi="ar-SA"/>
        </w:rPr>
        <w:t xml:space="preserve">。承包人负责施工现场的安全及第三方人身安全</w:t>
      </w:r>
      <w:r>
        <w:rPr>
          <w:rFonts w:hint="eastAsia" w:ascii="Times New Roman" w:hAnsi="Times New Roman" w:cs="Times New Roman"/>
          <w:sz w:val="21"/>
          <w:szCs w:val="20"/>
          <w:lang w:val="en-US" w:bidi="ar-SA"/>
        </w:rPr>
        <w:t xml:space="preserve">；</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u w:val="single"/>
          <w:lang w:val="en-US" w:bidi="ar-SA"/>
        </w:rPr>
        <w:t xml:space="preserve">（5）承包人应负责为其雇员安排食宿并提供各种必需的生活设施，并应采取合理的卫生防护措施和安全措施以保护其雇员的健康和安全。若因卫生、火灾等原因造成损失，由承包人承担全部责任。发包人有权根据现场损失情况要求承包人承担合同价不超过2%的违约金</w:t>
      </w:r>
      <w:r>
        <w:rPr>
          <w:rFonts w:hint="eastAsia" w:ascii="Times New Roman" w:hAnsi="Times New Roman" w:cs="Times New Roman"/>
          <w:sz w:val="21"/>
          <w:szCs w:val="20"/>
          <w:lang w:val="en-US" w:bidi="ar-SA"/>
        </w:rPr>
        <w:t xml:space="preserve">；</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u w:val="single"/>
          <w:lang w:val="en-US" w:bidi="ar-SA"/>
        </w:rPr>
        <w:t xml:space="preserve">（6）施工期间必须做好场地清洁卫生，设置冲洗平台，做到净车出场，避免在场外道路上“抛、洒、滴、漏”。由此产生的责任由施工单位承担</w:t>
      </w:r>
      <w:r>
        <w:rPr>
          <w:rFonts w:hint="eastAsia" w:ascii="Times New Roman" w:hAnsi="Times New Roman" w:cs="Times New Roman"/>
          <w:sz w:val="21"/>
          <w:szCs w:val="20"/>
          <w:lang w:val="en-US" w:bidi="ar-SA"/>
        </w:rPr>
        <w:t xml:space="preserve">；</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u w:val="single"/>
          <w:lang w:val="en-US" w:bidi="ar-SA"/>
        </w:rPr>
        <w:t xml:space="preserve">（7）承包人严禁污水乱排放，将生活垃圾集中外运，达到标化现场要求</w:t>
      </w:r>
      <w:r>
        <w:rPr>
          <w:rFonts w:hint="eastAsia" w:ascii="Times New Roman" w:hAnsi="Times New Roman" w:cs="Times New Roman"/>
          <w:sz w:val="21"/>
          <w:szCs w:val="20"/>
          <w:lang w:val="en-US" w:bidi="ar-SA"/>
        </w:rPr>
        <w:t xml:space="preserve">；</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u w:val="single"/>
          <w:lang w:val="en-US" w:bidi="ar-SA"/>
        </w:rPr>
        <w:t xml:space="preserve">（8）对施工场地内的已完工程、在建工程、管沟、管网等进行保护</w:t>
      </w:r>
      <w:r>
        <w:rPr>
          <w:rFonts w:hint="eastAsia" w:ascii="Times New Roman" w:hAnsi="Times New Roman" w:cs="Times New Roman"/>
          <w:sz w:val="21"/>
          <w:szCs w:val="20"/>
          <w:lang w:val="en-US" w:bidi="ar-SA"/>
        </w:rPr>
        <w:t xml:space="preserve">；</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u w:val="single"/>
          <w:lang w:val="en-US" w:bidi="ar-SA"/>
        </w:rPr>
        <w:t xml:space="preserve">（9）施工期间必须挂牌上岗并统一着装</w:t>
      </w:r>
      <w:r>
        <w:rPr>
          <w:rFonts w:hint="eastAsia" w:ascii="Times New Roman" w:hAnsi="Times New Roman" w:cs="Times New Roman"/>
          <w:sz w:val="21"/>
          <w:szCs w:val="20"/>
          <w:lang w:val="en-US" w:bidi="ar-SA"/>
        </w:rPr>
        <w:t xml:space="preserve">；</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u w:val="single"/>
          <w:lang w:val="en-US" w:bidi="ar-SA"/>
        </w:rPr>
        <w:t xml:space="preserve">（10）禁止乱堆乱放材料与机械设备</w:t>
      </w:r>
      <w:r>
        <w:rPr>
          <w:rFonts w:hint="eastAsia" w:ascii="Times New Roman" w:hAnsi="Times New Roman" w:cs="Times New Roman"/>
          <w:sz w:val="21"/>
          <w:szCs w:val="20"/>
          <w:lang w:val="en-US" w:bidi="ar-SA"/>
        </w:rPr>
        <w:t xml:space="preserve">；</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u w:val="single"/>
          <w:lang w:val="en-US" w:bidi="ar-SA"/>
        </w:rPr>
        <w:t xml:space="preserve">（11）预制场、土场必须设置标语牌（包括安全、质量、环境、操作规程等）</w:t>
      </w:r>
      <w:r>
        <w:rPr>
          <w:rFonts w:hint="eastAsia" w:ascii="Times New Roman" w:hAnsi="Times New Roman" w:cs="Times New Roman"/>
          <w:sz w:val="21"/>
          <w:szCs w:val="20"/>
          <w:lang w:val="en-US" w:bidi="ar-SA"/>
        </w:rPr>
        <w:t xml:space="preserve">。</w:t>
      </w:r>
      <w:r/>
    </w:p>
    <w:p>
      <w:pPr>
        <w:jc w:val="both"/>
        <w:spacing w:line="360" w:lineRule="auto"/>
        <w:rPr>
          <w:rFonts w:ascii="Times New Roman" w:hAnsi="Times New Roman" w:cs="Times New Roman"/>
          <w:sz w:val="21"/>
          <w:szCs w:val="20"/>
          <w:u w:val="single"/>
          <w:lang w:val="en-US" w:bidi="ar-SA"/>
        </w:rPr>
      </w:pPr>
      <w:r>
        <w:rPr>
          <w:rFonts w:hint="eastAsia" w:ascii="Times New Roman" w:hAnsi="Times New Roman" w:cs="Times New Roman"/>
          <w:sz w:val="21"/>
          <w:szCs w:val="20"/>
          <w:lang w:val="en-US" w:bidi="ar-SA"/>
        </w:rPr>
        <w:t xml:space="preserve">6.1.4关于安全文明施工费支付比例和支付期限的约定：</w:t>
      </w:r>
      <w:r>
        <w:rPr>
          <w:rFonts w:hint="eastAsia" w:ascii="Times New Roman" w:hAnsi="Times New Roman" w:cs="Times New Roman"/>
          <w:sz w:val="21"/>
          <w:szCs w:val="20"/>
          <w:u w:val="single"/>
          <w:lang w:val="en-US" w:bidi="ar-SA"/>
        </w:rPr>
        <w:t xml:space="preserve">纳入合同价格执行</w:t>
      </w:r>
      <w:r>
        <w:rPr>
          <w:rFonts w:hint="eastAsia" w:ascii="Times New Roman" w:hAnsi="Times New Roman" w:cs="Times New Roman"/>
          <w:sz w:val="21"/>
          <w:szCs w:val="20"/>
          <w:lang w:val="en-US" w:bidi="ar-SA"/>
        </w:rPr>
        <w:t xml:space="preserve">。</w:t>
      </w:r>
      <w:r/>
    </w:p>
    <w:p>
      <w:pPr>
        <w:jc w:val="both"/>
        <w:spacing w:line="360" w:lineRule="auto"/>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7. 工期和进度</w:t>
      </w:r>
      <w:r/>
    </w:p>
    <w:p>
      <w:pPr>
        <w:jc w:val="both"/>
        <w:spacing w:line="360" w:lineRule="auto"/>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7.1 施工组织设计</w:t>
      </w:r>
      <w:r/>
    </w:p>
    <w:p>
      <w:pPr>
        <w:jc w:val="both"/>
        <w:spacing w:line="360" w:lineRule="auto"/>
        <w:rPr>
          <w:rFonts w:ascii="Times New Roman" w:hAnsi="Times New Roman" w:cs="Times New Roman"/>
          <w:sz w:val="21"/>
          <w:szCs w:val="20"/>
          <w:u w:val="single"/>
          <w:lang w:val="en-US" w:bidi="ar-SA"/>
        </w:rPr>
      </w:pPr>
      <w:r>
        <w:rPr>
          <w:rFonts w:hint="eastAsia" w:ascii="Times New Roman" w:hAnsi="Times New Roman" w:cs="Times New Roman"/>
          <w:sz w:val="21"/>
          <w:szCs w:val="20"/>
          <w:lang w:val="en-US" w:bidi="ar-SA"/>
        </w:rPr>
        <w:t xml:space="preserve">7.1.1 合同当事人约定的施工组织设计应包括的其他内容：</w:t>
      </w:r>
      <w:r>
        <w:rPr>
          <w:rFonts w:hint="eastAsia" w:ascii="Times New Roman" w:hAnsi="Times New Roman" w:cs="Times New Roman"/>
          <w:sz w:val="21"/>
          <w:szCs w:val="20"/>
          <w:u w:val="single"/>
          <w:lang w:val="en-US" w:bidi="ar-SA"/>
        </w:rPr>
        <w:t xml:space="preserve">按招标或竞争性磋商文件约定，招标或竞争性磋商文件无约定按通用条款或双方另行约定。</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7.1.2 施工组织设计的提交和修改</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承包人提交详细施工组织设计的期限的约定：</w:t>
      </w:r>
      <w:r>
        <w:rPr>
          <w:rFonts w:hint="eastAsia" w:ascii="Times New Roman" w:hAnsi="Times New Roman" w:cs="Times New Roman"/>
          <w:sz w:val="21"/>
          <w:szCs w:val="20"/>
          <w:u w:val="single"/>
          <w:lang w:val="en-US" w:bidi="ar-SA"/>
        </w:rPr>
        <w:t xml:space="preserve">合同签订后7日内，向监理人提交详细的施工组织设计，并由监理人报送发包人</w:t>
      </w:r>
      <w:r>
        <w:rPr>
          <w:rFonts w:hint="eastAsia" w:ascii="Times New Roman" w:hAnsi="Times New Roman" w:cs="Times New Roman"/>
          <w:sz w:val="21"/>
          <w:szCs w:val="20"/>
          <w:lang w:val="en-US" w:bidi="ar-SA"/>
        </w:rPr>
        <w:t xml:space="preserve">。</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发包人和监理人在收到详细的施工组织设计后确认或提出修改意见的期限：</w:t>
      </w:r>
      <w:r>
        <w:rPr>
          <w:rFonts w:hint="eastAsia" w:ascii="Times New Roman" w:hAnsi="Times New Roman" w:cs="Times New Roman"/>
          <w:sz w:val="21"/>
          <w:szCs w:val="20"/>
          <w:u w:val="single"/>
          <w:lang w:val="en-US" w:bidi="ar-SA"/>
        </w:rPr>
        <w:t xml:space="preserve">发包人和监理人应在监理人收到施工组织设计后【 】日内确认或提出修改意见</w:t>
      </w:r>
      <w:r>
        <w:rPr>
          <w:rFonts w:hint="eastAsia" w:ascii="Times New Roman" w:hAnsi="Times New Roman" w:cs="Times New Roman"/>
          <w:sz w:val="21"/>
          <w:szCs w:val="20"/>
          <w:lang w:val="en-US" w:bidi="ar-SA"/>
        </w:rPr>
        <w:t xml:space="preserve">。</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7 .2 施工进度计划</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施工进度计划的修订</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发包人和监理人在收到修订的施工进度计划后确认或提出修改意见的期限：</w:t>
      </w:r>
      <w:r>
        <w:rPr>
          <w:rFonts w:hint="eastAsia" w:ascii="Times New Roman" w:hAnsi="Times New Roman" w:cs="Times New Roman"/>
          <w:sz w:val="21"/>
          <w:szCs w:val="20"/>
          <w:u w:val="single"/>
          <w:lang w:val="en-US" w:bidi="ar-SA"/>
        </w:rPr>
        <w:t xml:space="preserve">发包人和监理人应在收到修订的施工进度计划后 7日内完成审核和批准或提出修改意见</w:t>
      </w:r>
      <w:r>
        <w:rPr>
          <w:rFonts w:hint="eastAsia" w:ascii="Times New Roman" w:hAnsi="Times New Roman" w:cs="Times New Roman"/>
          <w:sz w:val="21"/>
          <w:szCs w:val="20"/>
          <w:lang w:val="en-US" w:bidi="ar-SA"/>
        </w:rPr>
        <w:t xml:space="preserve">。</w:t>
      </w:r>
      <w:r/>
    </w:p>
    <w:p>
      <w:pPr>
        <w:jc w:val="both"/>
        <w:spacing w:line="460" w:lineRule="exact"/>
        <w:rPr>
          <w:rFonts w:ascii="Times New Roman" w:hAnsi="Times New Roman" w:cs="Times New Roman"/>
          <w:sz w:val="21"/>
          <w:szCs w:val="20"/>
          <w:u w:val="single"/>
          <w:lang w:val="en-US" w:bidi="ar-SA"/>
        </w:rPr>
      </w:pPr>
      <w:r>
        <w:rPr>
          <w:rFonts w:hint="eastAsia" w:ascii="Times New Roman" w:hAnsi="Times New Roman" w:cs="Times New Roman"/>
          <w:sz w:val="21"/>
          <w:szCs w:val="20"/>
          <w:u w:val="single"/>
          <w:lang w:val="en-US" w:bidi="ar-SA"/>
        </w:rPr>
        <w:t xml:space="preserve">开工前七天承包人须向发包人、监理提出总进度计划。开工后承包人每周例会时须报周进度计划。承包人提供的施工组织设计必须是交发包人、监理方审核后的施工组织设计。</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7.3 开工</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7.3.1 开工准备</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关于承包人提交工程开工报审表的期限：</w:t>
      </w:r>
      <w:r>
        <w:rPr>
          <w:rFonts w:hint="eastAsia" w:ascii="Times New Roman" w:hAnsi="Times New Roman" w:cs="Times New Roman"/>
          <w:sz w:val="21"/>
          <w:szCs w:val="20"/>
          <w:u w:val="single"/>
          <w:lang w:val="en-US" w:bidi="ar-SA"/>
        </w:rPr>
        <w:t xml:space="preserve">合同签订后3日</w:t>
      </w:r>
      <w:r>
        <w:rPr>
          <w:rFonts w:hint="eastAsia" w:ascii="Times New Roman" w:hAnsi="Times New Roman" w:cs="Times New Roman"/>
          <w:sz w:val="21"/>
          <w:szCs w:val="20"/>
          <w:lang w:val="en-US" w:bidi="ar-SA"/>
        </w:rPr>
        <w:t xml:space="preserve">。</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关于发包人应完成的其他开工准备工作及期限：</w:t>
      </w:r>
      <w:r>
        <w:rPr>
          <w:rFonts w:hint="eastAsia" w:ascii="Times New Roman" w:hAnsi="Times New Roman" w:cs="Times New Roman"/>
          <w:sz w:val="21"/>
          <w:szCs w:val="20"/>
          <w:u w:val="single"/>
          <w:lang w:val="en-US" w:bidi="ar-SA"/>
        </w:rPr>
        <w:t xml:space="preserve">无</w:t>
      </w:r>
      <w:r>
        <w:rPr>
          <w:rFonts w:hint="eastAsia" w:ascii="Times New Roman" w:hAnsi="Times New Roman" w:cs="Times New Roman"/>
          <w:sz w:val="21"/>
          <w:szCs w:val="20"/>
          <w:lang w:val="en-US" w:bidi="ar-SA"/>
        </w:rPr>
        <w:t xml:space="preserve">。</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关于承包人应完成的其他开工准备工作及期限：</w:t>
      </w:r>
      <w:r>
        <w:rPr>
          <w:rFonts w:hint="eastAsia" w:ascii="Times New Roman" w:hAnsi="Times New Roman" w:cs="Times New Roman"/>
          <w:sz w:val="21"/>
          <w:szCs w:val="20"/>
          <w:u w:val="single"/>
          <w:lang w:val="en-US" w:bidi="ar-SA"/>
        </w:rPr>
        <w:t xml:space="preserve">临时设施搭建、材料、设备、人员等须在合同签订后3日内完成</w:t>
      </w:r>
      <w:r>
        <w:rPr>
          <w:rFonts w:hint="eastAsia" w:ascii="Times New Roman" w:hAnsi="Times New Roman" w:cs="Times New Roman"/>
          <w:sz w:val="21"/>
          <w:szCs w:val="20"/>
          <w:lang w:val="en-US" w:bidi="ar-SA"/>
        </w:rPr>
        <w:t xml:space="preserve">。</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7.3.2开工通知</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计划开工日期之日起</w:t>
      </w:r>
      <w:r>
        <w:rPr>
          <w:rFonts w:hint="eastAsia" w:ascii="Times New Roman" w:hAnsi="Times New Roman" w:cs="Times New Roman"/>
          <w:sz w:val="21"/>
          <w:szCs w:val="20"/>
          <w:u w:val="single"/>
          <w:lang w:val="en-US" w:bidi="ar-SA"/>
        </w:rPr>
        <w:t xml:space="preserve"> 7 </w:t>
      </w:r>
      <w:r>
        <w:rPr>
          <w:rFonts w:hint="eastAsia" w:ascii="Times New Roman" w:hAnsi="Times New Roman" w:cs="Times New Roman"/>
          <w:sz w:val="21"/>
          <w:szCs w:val="20"/>
          <w:lang w:val="en-US" w:bidi="ar-SA"/>
        </w:rPr>
        <w:t xml:space="preserve">天内发出开工通知</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 7.4 测量放线</w:t>
      </w:r>
      <w:r/>
    </w:p>
    <w:p>
      <w:pPr>
        <w:jc w:val="both"/>
        <w:spacing w:line="460" w:lineRule="exact"/>
        <w:rPr>
          <w:rFonts w:ascii="Times New Roman" w:hAnsi="Times New Roman" w:cs="Times New Roman"/>
          <w:sz w:val="21"/>
          <w:szCs w:val="20"/>
          <w:u w:val="single"/>
          <w:lang w:val="en-US" w:bidi="ar-SA"/>
        </w:rPr>
      </w:pPr>
      <w:r>
        <w:rPr>
          <w:rFonts w:hint="eastAsia" w:ascii="Times New Roman" w:hAnsi="Times New Roman" w:cs="Times New Roman"/>
          <w:sz w:val="21"/>
          <w:szCs w:val="20"/>
          <w:lang w:val="en-US" w:bidi="ar-SA"/>
        </w:rPr>
        <w:t xml:space="preserve">发包人通过监理人向承包人提供测量基准点、基准线和水准点及其书面资料的期限：</w:t>
      </w:r>
      <w:r>
        <w:rPr>
          <w:rFonts w:hint="eastAsia" w:ascii="Times New Roman" w:hAnsi="Times New Roman" w:cs="Times New Roman"/>
          <w:sz w:val="21"/>
          <w:szCs w:val="20"/>
          <w:u w:val="single"/>
          <w:lang w:val="en-US" w:bidi="ar-SA"/>
        </w:rPr>
        <w:t xml:space="preserve">开工前。</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7.5 工期延误</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7.5.1 因发包人原因导致工期延误</w:t>
      </w:r>
      <w:r/>
    </w:p>
    <w:p>
      <w:pPr>
        <w:jc w:val="both"/>
        <w:spacing w:line="360" w:lineRule="auto"/>
        <w:rPr>
          <w:rFonts w:ascii="Times New Roman" w:hAnsi="Times New Roman" w:cs="Times New Roman"/>
          <w:sz w:val="21"/>
          <w:szCs w:val="20"/>
          <w:u w:val="single"/>
          <w:lang w:val="en-US" w:bidi="ar-SA"/>
        </w:rPr>
      </w:pPr>
      <w:r>
        <w:rPr>
          <w:rFonts w:hint="eastAsia" w:ascii="Times New Roman" w:hAnsi="Times New Roman" w:cs="Times New Roman"/>
          <w:sz w:val="21"/>
          <w:szCs w:val="20"/>
          <w:lang w:val="en-US" w:bidi="ar-SA"/>
        </w:rPr>
        <w:t xml:space="preserve">因发包人原因导致工期延误的其他情形：</w:t>
      </w:r>
      <w:r>
        <w:rPr>
          <w:rFonts w:hint="eastAsia" w:ascii="Times New Roman" w:hAnsi="Times New Roman" w:cs="Times New Roman"/>
          <w:sz w:val="21"/>
          <w:szCs w:val="20"/>
          <w:u w:val="single"/>
          <w:lang w:val="en-US" w:bidi="ar-SA"/>
        </w:rPr>
        <w:t xml:space="preserve">由于发包人原因和国家行政相关要求的停工（非承包方的责任），须由承包人书面提出，并经监理人和发包人同意并共同签证，工期方可顺延。对此，承包人同意在工期顺延的情况下不要求经济补偿或赔偿</w:t>
      </w:r>
      <w:r>
        <w:rPr>
          <w:rFonts w:hint="eastAsia" w:ascii="Times New Roman" w:hAnsi="Times New Roman" w:cs="Times New Roman"/>
          <w:sz w:val="21"/>
          <w:szCs w:val="20"/>
          <w:lang w:val="en-US" w:bidi="ar-SA"/>
        </w:rPr>
        <w:t xml:space="preserve">。</w:t>
      </w:r>
      <w:r/>
    </w:p>
    <w:p>
      <w:pPr>
        <w:jc w:val="both"/>
        <w:spacing w:line="360" w:lineRule="auto"/>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7.5.2 因承包人原因导致工期延误</w:t>
      </w:r>
      <w:r/>
    </w:p>
    <w:p>
      <w:pPr>
        <w:jc w:val="both"/>
        <w:spacing w:line="360" w:lineRule="auto"/>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因承包人原因造成工期延误，逾期竣工违约金的计算方法为：</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承包人不能按合同总工期竣工，每推迟一天，承包人向发包人支付合同价款1%作为违约金。因承包人原因造成工期延误，逾期竣工违约金的上限：合同价款的30%，如因承包人原因造成工期延误计算出的违约金超过上限（合同价款的30%），则视为承包人构成严重违约，发包人有权单方解除合同，并要求承包人并赔偿发包人损失。</w:t>
      </w:r>
      <w:r/>
    </w:p>
    <w:p>
      <w:pPr>
        <w:jc w:val="both"/>
        <w:spacing w:line="360" w:lineRule="auto"/>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7 .6 不利物质条件</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不利物质条件的其他情形和有关约定：</w:t>
      </w:r>
      <w:r>
        <w:rPr>
          <w:rFonts w:hint="eastAsia" w:ascii="Times New Roman" w:hAnsi="Times New Roman" w:cs="Times New Roman"/>
          <w:sz w:val="21"/>
          <w:szCs w:val="20"/>
          <w:u w:val="single"/>
          <w:lang w:val="en-US" w:bidi="ar-SA"/>
        </w:rPr>
        <w:t xml:space="preserve">无</w:t>
      </w:r>
      <w:r>
        <w:rPr>
          <w:rFonts w:hint="eastAsia" w:ascii="Times New Roman" w:hAnsi="Times New Roman" w:cs="Times New Roman"/>
          <w:sz w:val="21"/>
          <w:szCs w:val="20"/>
          <w:lang w:val="en-US" w:bidi="ar-SA"/>
        </w:rPr>
        <w:t xml:space="preserve">。</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7 .7异常恶劣的气候条件</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发包人和承包人同意以下情形视为异常恶劣的气候条件：</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w:t>
      </w:r>
      <w:r>
        <w:rPr>
          <w:rFonts w:hint="eastAsia" w:ascii="Times New Roman" w:hAnsi="Times New Roman" w:cs="Times New Roman"/>
          <w:sz w:val="21"/>
          <w:szCs w:val="20"/>
          <w:u w:val="single"/>
          <w:lang w:val="en-US" w:bidi="ar-SA"/>
        </w:rPr>
        <w:t xml:space="preserve">/</w:t>
      </w:r>
      <w:r>
        <w:rPr>
          <w:rFonts w:hint="eastAsia" w:ascii="Times New Roman" w:hAnsi="Times New Roman" w:cs="Times New Roman"/>
          <w:sz w:val="21"/>
          <w:szCs w:val="20"/>
          <w:lang w:val="en-US" w:bidi="ar-SA"/>
        </w:rPr>
        <w:t xml:space="preserve">；</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（2）</w:t>
      </w:r>
      <w:r>
        <w:rPr>
          <w:rFonts w:hint="eastAsia" w:ascii="Times New Roman" w:hAnsi="Times New Roman" w:cs="Times New Roman"/>
          <w:sz w:val="21"/>
          <w:szCs w:val="20"/>
          <w:u w:val="single"/>
          <w:lang w:val="en-US" w:bidi="ar-SA"/>
        </w:rPr>
        <w:t xml:space="preserve"> / </w:t>
      </w:r>
      <w:r>
        <w:rPr>
          <w:rFonts w:hint="eastAsia" w:ascii="Times New Roman" w:hAnsi="Times New Roman" w:cs="Times New Roman"/>
          <w:sz w:val="21"/>
          <w:szCs w:val="20"/>
          <w:lang w:val="en-US" w:bidi="ar-SA"/>
        </w:rPr>
        <w:t xml:space="preserve">；</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（3）</w:t>
      </w:r>
      <w:r>
        <w:rPr>
          <w:rFonts w:hint="eastAsia" w:ascii="Times New Roman" w:hAnsi="Times New Roman" w:cs="Times New Roman"/>
          <w:sz w:val="21"/>
          <w:szCs w:val="20"/>
          <w:u w:val="single"/>
          <w:lang w:val="en-US" w:bidi="ar-SA"/>
        </w:rPr>
        <w:t xml:space="preserve"> / </w:t>
      </w:r>
      <w:r>
        <w:rPr>
          <w:rFonts w:hint="eastAsia" w:ascii="Times New Roman" w:hAnsi="Times New Roman" w:cs="Times New Roman"/>
          <w:sz w:val="21"/>
          <w:szCs w:val="20"/>
          <w:lang w:val="en-US" w:bidi="ar-SA"/>
        </w:rPr>
        <w:t xml:space="preserve">。</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7.8提前竣工的奖励</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提前竣工的奖励：</w:t>
      </w:r>
      <w:r>
        <w:rPr>
          <w:rFonts w:hint="eastAsia" w:ascii="Times New Roman" w:hAnsi="Times New Roman" w:cs="Times New Roman"/>
          <w:sz w:val="21"/>
          <w:szCs w:val="20"/>
          <w:u w:val="single"/>
          <w:lang w:val="en-US" w:bidi="ar-SA"/>
        </w:rPr>
        <w:t xml:space="preserve">无</w:t>
      </w:r>
      <w:r>
        <w:rPr>
          <w:rFonts w:hint="eastAsia" w:ascii="Times New Roman" w:hAnsi="Times New Roman" w:cs="Times New Roman"/>
          <w:sz w:val="21"/>
          <w:szCs w:val="20"/>
          <w:lang w:val="en-US" w:bidi="ar-SA"/>
        </w:rPr>
        <w:t xml:space="preserve">。</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8. 材料与设备</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8 .1材料与工程设备的保管与使用</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8 .1.1发包人供应的材料设备的保管费用的承担：</w:t>
      </w:r>
      <w:r>
        <w:rPr>
          <w:rFonts w:hint="eastAsia" w:ascii="Times New Roman" w:hAnsi="Times New Roman" w:cs="Times New Roman"/>
          <w:sz w:val="21"/>
          <w:szCs w:val="20"/>
          <w:u w:val="single"/>
          <w:lang w:val="en-US" w:bidi="ar-SA"/>
        </w:rPr>
        <w:t xml:space="preserve">发包人供应的材料</w:t>
      </w:r>
      <w:r>
        <w:rPr>
          <w:rFonts w:hint="eastAsia" w:ascii="Times New Roman" w:hAnsi="Times New Roman" w:cs="Times New Roman"/>
          <w:sz w:val="21"/>
          <w:szCs w:val="20"/>
          <w:lang w:val="en-US" w:bidi="ar-SA"/>
        </w:rPr>
        <w:t xml:space="preserve">和</w:t>
      </w:r>
      <w:r>
        <w:rPr>
          <w:rFonts w:hint="eastAsia" w:ascii="Times New Roman" w:hAnsi="Times New Roman" w:cs="Times New Roman"/>
          <w:sz w:val="21"/>
          <w:szCs w:val="20"/>
          <w:u w:val="single"/>
          <w:lang w:val="en-US" w:bidi="ar-SA"/>
        </w:rPr>
        <w:t xml:space="preserve">设备</w:t>
      </w:r>
      <w:r>
        <w:rPr>
          <w:rFonts w:hint="eastAsia" w:ascii="Times New Roman" w:hAnsi="Times New Roman" w:cs="Times New Roman"/>
          <w:sz w:val="21"/>
          <w:szCs w:val="20"/>
          <w:lang w:val="en-US" w:bidi="ar-SA"/>
        </w:rPr>
        <w:t xml:space="preserve">，由承包人清点后由承包人妥善保管，</w:t>
      </w:r>
      <w:r>
        <w:rPr>
          <w:rFonts w:hint="eastAsia" w:ascii="Times New Roman" w:hAnsi="Times New Roman" w:cs="Times New Roman"/>
          <w:sz w:val="21"/>
          <w:szCs w:val="20"/>
          <w:u w:val="single"/>
          <w:lang w:val="en-US" w:bidi="ar-SA"/>
        </w:rPr>
        <w:t xml:space="preserve">保管费用含在投标报价中，发包人不另行支付，承包人承担所供应设备的保管费用</w:t>
      </w:r>
      <w:r>
        <w:rPr>
          <w:rFonts w:hint="eastAsia" w:ascii="Times New Roman" w:hAnsi="Times New Roman" w:cs="Times New Roman"/>
          <w:sz w:val="21"/>
          <w:szCs w:val="20"/>
          <w:lang w:val="en-US" w:bidi="ar-SA"/>
        </w:rPr>
        <w:t xml:space="preserve">。</w:t>
      </w:r>
      <w:r/>
    </w:p>
    <w:p>
      <w:pPr>
        <w:jc w:val="both"/>
        <w:spacing w:line="460" w:lineRule="exact"/>
        <w:rPr>
          <w:rFonts w:ascii="Times New Roman" w:hAnsi="Times New Roman" w:cs="Times New Roman"/>
          <w:sz w:val="21"/>
          <w:szCs w:val="20"/>
          <w:u w:val="single"/>
          <w:lang w:val="en-US" w:bidi="ar-SA"/>
        </w:rPr>
      </w:pPr>
      <w:r>
        <w:rPr>
          <w:rFonts w:hint="eastAsia" w:ascii="Times New Roman" w:hAnsi="Times New Roman" w:cs="Times New Roman"/>
          <w:sz w:val="21"/>
          <w:szCs w:val="20"/>
          <w:u w:val="single"/>
          <w:lang w:val="en-US" w:bidi="ar-SA"/>
        </w:rPr>
        <w:t xml:space="preserve">双方约定由承包人采购的材料必须符合有关规范规定的质量要求、环保要求以及以及投标时的样板要求和发包人验收要求，必须有详细的质保书及复试报告，且在进场前经发包人、设计人和监理人和监理方事先书面确认，发包人确认符合合同约定要求并批准后方可使用。若发生承包人所供材料与封样不符等不符前述要求的情形，，发包人可拒绝验收和使用，并按限定时间运出施工场地，重新采购，承包人承担由此发生的费用，由此延误的工期不予顺延。</w:t>
      </w:r>
      <w:r/>
    </w:p>
    <w:p>
      <w:pPr>
        <w:ind w:firstLine="525"/>
        <w:jc w:val="both"/>
        <w:spacing w:line="460" w:lineRule="exact"/>
        <w:rPr>
          <w:rFonts w:ascii="Times New Roman" w:hAnsi="Times New Roman" w:cs="Times New Roman"/>
          <w:sz w:val="21"/>
          <w:szCs w:val="20"/>
          <w:u w:val="single"/>
          <w:lang w:val="en-US" w:bidi="ar-SA"/>
        </w:rPr>
      </w:pPr>
      <w:r>
        <w:rPr>
          <w:rFonts w:hint="eastAsia" w:ascii="Times New Roman" w:hAnsi="Times New Roman" w:cs="Times New Roman"/>
          <w:sz w:val="21"/>
          <w:szCs w:val="20"/>
          <w:u w:val="single"/>
          <w:lang w:val="en-US" w:bidi="ar-SA"/>
        </w:rPr>
        <w:t xml:space="preserve">本项目材料在招标或竞争性磋商文件时如有推荐品牌的按推荐品牌执行，如承包人选择推荐品牌外的产品，需经发包人书面盖章确认后方可使用，同时发包人有权要求更换为推荐品牌中任一品牌的同质产品，所报材料单价不调整。所有材料进场前必须取得发包人书面盖章确认的品牌、质量、款式和颜色后方可批量进场，否则一切后果由承包人自行承担。</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8.2样品</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样品的报送与封存</w:t>
      </w:r>
      <w:r/>
    </w:p>
    <w:p>
      <w:pPr>
        <w:jc w:val="both"/>
        <w:spacing w:line="460" w:lineRule="exact"/>
        <w:rPr>
          <w:rFonts w:ascii="Times New Roman" w:hAnsi="Times New Roman" w:cs="Times New Roman"/>
          <w:sz w:val="21"/>
          <w:szCs w:val="20"/>
          <w:u w:val="single"/>
          <w:lang w:val="en-US" w:bidi="ar-SA"/>
        </w:rPr>
      </w:pPr>
      <w:r>
        <w:rPr>
          <w:rFonts w:hint="eastAsia" w:ascii="Times New Roman" w:hAnsi="Times New Roman" w:cs="Times New Roman"/>
          <w:sz w:val="21"/>
          <w:szCs w:val="20"/>
          <w:lang w:val="en-US" w:bidi="ar-SA"/>
        </w:rPr>
        <w:t xml:space="preserve">需要承包人报送样品的材料或工程设备，样品的种类、名称、规格、数量要求：</w:t>
      </w:r>
      <w:r>
        <w:rPr>
          <w:rFonts w:hint="eastAsia" w:ascii="Times New Roman" w:hAnsi="Times New Roman" w:cs="Times New Roman"/>
          <w:sz w:val="21"/>
          <w:szCs w:val="20"/>
          <w:u w:val="single"/>
          <w:lang w:val="en-US" w:bidi="ar-SA"/>
        </w:rPr>
        <w:t xml:space="preserve">工程使用的所有材料，承包人须向发包人提供样板并经发包人、设计师及现场监理单位确认，发包人确认符合工程要求并批准后方可使用。如发生所供材料等与封样不符，发包人有权拒用，损失由承包人承担。</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8.3施工设备和临时设施</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承包人提供的施工设备和临时设施</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关于修建临时设施费用承担的约定：承包人确认已经</w:t>
      </w:r>
      <w:r>
        <w:rPr>
          <w:rFonts w:hint="eastAsia" w:ascii="Times New Roman" w:hAnsi="Times New Roman" w:cs="Times New Roman"/>
          <w:sz w:val="21"/>
          <w:szCs w:val="20"/>
          <w:u w:val="single"/>
          <w:lang w:val="en-US" w:bidi="ar-SA"/>
        </w:rPr>
        <w:t xml:space="preserve">计入投标报价中</w:t>
      </w:r>
      <w:r>
        <w:rPr>
          <w:rFonts w:hint="eastAsia" w:ascii="Times New Roman" w:hAnsi="Times New Roman" w:cs="Times New Roman"/>
          <w:sz w:val="21"/>
          <w:szCs w:val="20"/>
          <w:lang w:val="en-US" w:bidi="ar-SA"/>
        </w:rPr>
        <w:t xml:space="preserve">。</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9 . 试验与检验</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9.1试验设备与试验人员</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施工现场需要配置的试验场所：</w:t>
      </w:r>
      <w:r>
        <w:rPr>
          <w:rFonts w:hint="eastAsia" w:ascii="Times New Roman" w:hAnsi="Times New Roman" w:cs="Times New Roman"/>
          <w:sz w:val="21"/>
          <w:szCs w:val="20"/>
          <w:u w:val="single"/>
          <w:lang w:val="en-US" w:bidi="ar-SA"/>
        </w:rPr>
        <w:t xml:space="preserve">无</w:t>
      </w:r>
      <w:r>
        <w:rPr>
          <w:rFonts w:hint="eastAsia" w:ascii="Times New Roman" w:hAnsi="Times New Roman" w:cs="Times New Roman"/>
          <w:sz w:val="21"/>
          <w:szCs w:val="20"/>
          <w:lang w:val="en-US" w:bidi="ar-SA"/>
        </w:rPr>
        <w:t xml:space="preserve">。</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施工现场需要配备的试验设备：</w:t>
      </w:r>
      <w:r>
        <w:rPr>
          <w:rFonts w:hint="eastAsia" w:ascii="Times New Roman" w:hAnsi="Times New Roman" w:cs="Times New Roman"/>
          <w:sz w:val="21"/>
          <w:szCs w:val="20"/>
          <w:u w:val="single"/>
          <w:lang w:val="en-US" w:bidi="ar-SA"/>
        </w:rPr>
        <w:t xml:space="preserve">水准仪、测量仪等</w:t>
      </w:r>
      <w:r>
        <w:rPr>
          <w:rFonts w:hint="eastAsia" w:ascii="Times New Roman" w:hAnsi="Times New Roman" w:cs="Times New Roman"/>
          <w:sz w:val="21"/>
          <w:szCs w:val="20"/>
          <w:lang w:val="en-US" w:bidi="ar-SA"/>
        </w:rPr>
        <w:t xml:space="preserve">。</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施工现场需要具备的其他试验条件：</w:t>
      </w:r>
      <w:r>
        <w:rPr>
          <w:rFonts w:hint="eastAsia" w:ascii="Times New Roman" w:hAnsi="Times New Roman" w:cs="Times New Roman"/>
          <w:sz w:val="21"/>
          <w:szCs w:val="20"/>
          <w:u w:val="single"/>
          <w:lang w:val="en-US" w:bidi="ar-SA"/>
        </w:rPr>
        <w:t xml:space="preserve">/</w:t>
      </w:r>
      <w:r>
        <w:rPr>
          <w:rFonts w:hint="eastAsia" w:ascii="Times New Roman" w:hAnsi="Times New Roman" w:cs="Times New Roman"/>
          <w:sz w:val="21"/>
          <w:szCs w:val="20"/>
          <w:lang w:val="en-US" w:bidi="ar-SA"/>
        </w:rPr>
        <w:t xml:space="preserve">。</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9.2现场工艺试验</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现场工艺试验的有关约定：</w:t>
      </w:r>
      <w:r>
        <w:rPr>
          <w:rFonts w:hint="eastAsia" w:ascii="Times New Roman" w:hAnsi="Times New Roman" w:cs="Times New Roman"/>
          <w:sz w:val="21"/>
          <w:szCs w:val="20"/>
          <w:u w:val="single"/>
          <w:lang w:val="en-US" w:bidi="ar-SA"/>
        </w:rPr>
        <w:t xml:space="preserve">无</w:t>
      </w:r>
      <w:r>
        <w:rPr>
          <w:rFonts w:hint="eastAsia" w:ascii="Times New Roman" w:hAnsi="Times New Roman" w:cs="Times New Roman"/>
          <w:sz w:val="21"/>
          <w:szCs w:val="20"/>
          <w:lang w:val="en-US" w:bidi="ar-SA"/>
        </w:rPr>
        <w:t xml:space="preserve">。</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10. 变更</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10.1变更的范围</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关于变更的范围的约定：</w:t>
      </w:r>
      <w:r>
        <w:rPr>
          <w:rFonts w:hint="eastAsia" w:ascii="Times New Roman" w:hAnsi="Times New Roman" w:cs="Times New Roman"/>
          <w:sz w:val="21"/>
          <w:szCs w:val="20"/>
          <w:u w:val="single"/>
          <w:lang w:val="en-US" w:bidi="ar-SA"/>
        </w:rPr>
        <w:t xml:space="preserve">发包人认可经发包人审核、批准后的设计变更；发包人和监理方均认可经发包人和监理方审核、批准后的工程签证</w:t>
      </w:r>
      <w:r>
        <w:rPr>
          <w:rFonts w:hint="eastAsia" w:ascii="Times New Roman" w:hAnsi="Times New Roman" w:cs="Times New Roman"/>
          <w:sz w:val="21"/>
          <w:szCs w:val="20"/>
          <w:lang w:val="en-US" w:bidi="ar-SA"/>
        </w:rPr>
        <w:t xml:space="preserve">。</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10.2工程设计变更</w:t>
      </w:r>
      <w:r/>
    </w:p>
    <w:p>
      <w:pPr>
        <w:jc w:val="both"/>
        <w:spacing w:line="460" w:lineRule="exact"/>
        <w:rPr>
          <w:rFonts w:ascii="Times New Roman" w:hAnsi="Times New Roman" w:cs="Times New Roman"/>
          <w:sz w:val="21"/>
          <w:szCs w:val="20"/>
          <w:u w:val="single"/>
          <w:lang w:val="en-US" w:bidi="ar-SA"/>
        </w:rPr>
      </w:pPr>
      <w:r>
        <w:rPr>
          <w:rFonts w:hint="eastAsia" w:ascii="Times New Roman" w:hAnsi="Times New Roman" w:cs="Times New Roman"/>
          <w:sz w:val="21"/>
          <w:szCs w:val="20"/>
          <w:u w:val="single"/>
          <w:lang w:val="en-US" w:bidi="ar-SA"/>
        </w:rPr>
        <w:t xml:space="preserve">10.2.1 发包人有可能根据工程需要修改施工图或发出指令增加或减少工程量，工程量不论增减多少，承包人均应无条件服从。承包人拒不接受和服从的，发包人有权单方解除合同、要求承包人无条件退场。施工中发包人需对原工程设计进行变更的，应提前 7 天以书面形式向承包人发出变更通知。承包人按照监理工程师发出的变更通知及有关要求，进行下列需要的变更：</w:t>
      </w:r>
      <w:r/>
    </w:p>
    <w:p>
      <w:pPr>
        <w:jc w:val="both"/>
        <w:spacing w:line="460" w:lineRule="exact"/>
        <w:rPr>
          <w:rFonts w:ascii="Times New Roman" w:hAnsi="Times New Roman" w:cs="Times New Roman"/>
          <w:sz w:val="21"/>
          <w:szCs w:val="20"/>
          <w:u w:val="single"/>
          <w:lang w:val="en-US" w:bidi="ar-SA"/>
        </w:rPr>
      </w:pPr>
      <w:r>
        <w:rPr>
          <w:rFonts w:hint="eastAsia" w:ascii="Times New Roman" w:hAnsi="Times New Roman" w:cs="Times New Roman"/>
          <w:sz w:val="21"/>
          <w:szCs w:val="20"/>
          <w:u w:val="single"/>
          <w:lang w:val="en-US" w:bidi="ar-SA"/>
        </w:rPr>
        <w:t xml:space="preserve">(1 )更改工程有关部分的标高、基线、位置和尺寸；</w:t>
      </w:r>
      <w:r/>
    </w:p>
    <w:p>
      <w:pPr>
        <w:jc w:val="both"/>
        <w:spacing w:line="460" w:lineRule="exact"/>
        <w:rPr>
          <w:rFonts w:ascii="Times New Roman" w:hAnsi="Times New Roman" w:cs="Times New Roman"/>
          <w:sz w:val="21"/>
          <w:szCs w:val="20"/>
          <w:u w:val="single"/>
          <w:lang w:val="en-US" w:bidi="ar-SA"/>
        </w:rPr>
      </w:pPr>
      <w:r>
        <w:rPr>
          <w:rFonts w:hint="eastAsia" w:ascii="Times New Roman" w:hAnsi="Times New Roman" w:cs="Times New Roman"/>
          <w:sz w:val="21"/>
          <w:szCs w:val="20"/>
          <w:u w:val="single"/>
          <w:lang w:val="en-US" w:bidi="ar-SA"/>
        </w:rPr>
        <w:t xml:space="preserve">(2) 增减合同中约定的工程量；</w:t>
      </w:r>
      <w:r/>
    </w:p>
    <w:p>
      <w:pPr>
        <w:jc w:val="both"/>
        <w:spacing w:line="460" w:lineRule="exact"/>
        <w:rPr>
          <w:rFonts w:ascii="Times New Roman" w:hAnsi="Times New Roman" w:cs="Times New Roman"/>
          <w:sz w:val="21"/>
          <w:szCs w:val="20"/>
          <w:u w:val="single"/>
          <w:lang w:val="en-US" w:bidi="ar-SA"/>
        </w:rPr>
      </w:pPr>
      <w:r>
        <w:rPr>
          <w:rFonts w:hint="eastAsia" w:ascii="Times New Roman" w:hAnsi="Times New Roman" w:cs="Times New Roman"/>
          <w:sz w:val="21"/>
          <w:szCs w:val="20"/>
          <w:u w:val="single"/>
          <w:lang w:val="en-US" w:bidi="ar-SA"/>
        </w:rPr>
        <w:t xml:space="preserve">(3) 改变有关工程的施工时间和顺序；</w:t>
      </w:r>
      <w:r/>
    </w:p>
    <w:p>
      <w:pPr>
        <w:jc w:val="both"/>
        <w:spacing w:line="460" w:lineRule="exact"/>
        <w:rPr>
          <w:rFonts w:ascii="Times New Roman" w:hAnsi="Times New Roman" w:cs="Times New Roman"/>
          <w:sz w:val="21"/>
          <w:szCs w:val="20"/>
          <w:u w:val="single"/>
          <w:lang w:val="en-US" w:bidi="ar-SA"/>
        </w:rPr>
      </w:pPr>
      <w:r>
        <w:rPr>
          <w:rFonts w:hint="eastAsia" w:ascii="Times New Roman" w:hAnsi="Times New Roman" w:cs="Times New Roman"/>
          <w:sz w:val="21"/>
          <w:szCs w:val="20"/>
          <w:u w:val="single"/>
          <w:lang w:val="en-US" w:bidi="ar-SA"/>
        </w:rPr>
        <w:t xml:space="preserve">(4) 其他有关工程变更需要的附加工作。</w:t>
      </w:r>
      <w:r/>
    </w:p>
    <w:p>
      <w:pPr>
        <w:jc w:val="both"/>
        <w:spacing w:line="460" w:lineRule="exact"/>
        <w:rPr>
          <w:rFonts w:ascii="Times New Roman" w:hAnsi="Times New Roman" w:cs="Times New Roman"/>
          <w:sz w:val="21"/>
          <w:szCs w:val="20"/>
          <w:u w:val="single"/>
          <w:lang w:val="en-US" w:bidi="ar-SA"/>
        </w:rPr>
      </w:pPr>
      <w:r>
        <w:rPr>
          <w:rFonts w:hint="eastAsia" w:ascii="Times New Roman" w:hAnsi="Times New Roman" w:cs="Times New Roman"/>
          <w:sz w:val="21"/>
          <w:szCs w:val="20"/>
          <w:u w:val="single"/>
          <w:lang w:val="en-US" w:bidi="ar-SA"/>
        </w:rPr>
        <w:t xml:space="preserve">因发包人变更导致延误的工期可相应顺延。</w:t>
      </w:r>
      <w:r/>
    </w:p>
    <w:p>
      <w:pPr>
        <w:jc w:val="both"/>
        <w:spacing w:line="460" w:lineRule="exact"/>
        <w:rPr>
          <w:rFonts w:ascii="Times New Roman" w:hAnsi="Times New Roman" w:cs="Times New Roman"/>
          <w:sz w:val="21"/>
          <w:szCs w:val="20"/>
          <w:u w:val="single"/>
          <w:lang w:val="en-US" w:bidi="ar-SA"/>
        </w:rPr>
      </w:pPr>
      <w:r>
        <w:rPr>
          <w:rFonts w:hint="eastAsia" w:ascii="Times New Roman" w:hAnsi="Times New Roman" w:cs="Times New Roman"/>
          <w:sz w:val="21"/>
          <w:szCs w:val="20"/>
          <w:u w:val="single"/>
          <w:lang w:val="en-US" w:bidi="ar-SA"/>
        </w:rPr>
        <w:t xml:space="preserve">10.2.2 施工中承包人不得对原工程设计进行变更。因承包人擅自变更设计发生的费用和由此导致发包人的直接损失，由承包人承担，延误的工期不予顺延。</w:t>
      </w:r>
      <w:r/>
    </w:p>
    <w:p>
      <w:pPr>
        <w:jc w:val="both"/>
        <w:spacing w:line="460" w:lineRule="exact"/>
        <w:rPr>
          <w:rFonts w:ascii="Times New Roman" w:hAnsi="Times New Roman" w:cs="Times New Roman"/>
          <w:sz w:val="21"/>
          <w:szCs w:val="20"/>
          <w:u w:val="single"/>
          <w:lang w:val="en-US" w:bidi="ar-SA"/>
        </w:rPr>
      </w:pPr>
      <w:r>
        <w:rPr>
          <w:rFonts w:hint="eastAsia" w:ascii="Times New Roman" w:hAnsi="Times New Roman" w:cs="Times New Roman"/>
          <w:sz w:val="21"/>
          <w:szCs w:val="20"/>
          <w:u w:val="single"/>
          <w:lang w:val="en-US" w:bidi="ar-SA"/>
        </w:rPr>
        <w:t xml:space="preserve">10.2.3 承包人在施工中提出的合理化建议涉及到对设计图纸或施工组织设计的更改及对材料、设备的换用，须经发包人、工程监理、跟踪审计三方同意。未经同意擅自更改或换用时，承包人承担由此发生的费用，并赔偿发包人的有关损失，延误的工期不予顺延。</w:t>
      </w:r>
      <w:r/>
    </w:p>
    <w:p>
      <w:pPr>
        <w:jc w:val="both"/>
        <w:spacing w:line="460" w:lineRule="exact"/>
        <w:rPr>
          <w:rFonts w:ascii="Times New Roman" w:hAnsi="Times New Roman" w:cs="Times New Roman"/>
          <w:sz w:val="21"/>
          <w:szCs w:val="20"/>
          <w:u w:val="single"/>
          <w:lang w:val="en-US" w:bidi="ar-SA"/>
        </w:rPr>
      </w:pPr>
      <w:r>
        <w:rPr>
          <w:rFonts w:hint="eastAsia" w:ascii="Times New Roman" w:hAnsi="Times New Roman" w:cs="Times New Roman"/>
          <w:sz w:val="21"/>
          <w:szCs w:val="20"/>
          <w:u w:val="single"/>
          <w:lang w:val="en-US" w:bidi="ar-SA"/>
        </w:rPr>
        <w:t xml:space="preserve">10.3其他变更</w:t>
      </w:r>
      <w:r/>
    </w:p>
    <w:p>
      <w:pPr>
        <w:jc w:val="both"/>
        <w:spacing w:line="460" w:lineRule="exact"/>
        <w:rPr>
          <w:rFonts w:ascii="Times New Roman" w:hAnsi="Times New Roman" w:cs="Times New Roman"/>
          <w:sz w:val="21"/>
          <w:szCs w:val="20"/>
          <w:u w:val="single"/>
          <w:lang w:val="en-US" w:bidi="ar-SA"/>
        </w:rPr>
      </w:pPr>
      <w:r>
        <w:rPr>
          <w:rFonts w:hint="eastAsia" w:ascii="Times New Roman" w:hAnsi="Times New Roman" w:cs="Times New Roman"/>
          <w:sz w:val="21"/>
          <w:szCs w:val="20"/>
          <w:u w:val="single"/>
          <w:lang w:val="en-US" w:bidi="ar-SA"/>
        </w:rPr>
        <w:t xml:space="preserve">10.3.1 发包人保留变更或调整工程量的权力，承包人不得拒绝变更，更不得以变更为由提出不合理的要求；</w:t>
      </w:r>
      <w:r/>
    </w:p>
    <w:p>
      <w:pPr>
        <w:jc w:val="both"/>
        <w:spacing w:line="460" w:lineRule="exact"/>
        <w:rPr>
          <w:rFonts w:ascii="Times New Roman" w:hAnsi="Times New Roman" w:cs="Times New Roman"/>
          <w:sz w:val="21"/>
          <w:szCs w:val="20"/>
          <w:u w:val="single"/>
          <w:lang w:val="en-US" w:bidi="ar-SA"/>
        </w:rPr>
      </w:pPr>
      <w:r>
        <w:rPr>
          <w:rFonts w:hint="eastAsia" w:ascii="Times New Roman" w:hAnsi="Times New Roman" w:cs="Times New Roman"/>
          <w:sz w:val="21"/>
          <w:szCs w:val="20"/>
          <w:u w:val="single"/>
          <w:lang w:val="en-US" w:bidi="ar-SA"/>
        </w:rPr>
        <w:t xml:space="preserve">10.3.2 承包人必须按发包人要求完成变更工作，若承包人拒不执行，经发包人书面催告后在【5】日内仍不纠正其行为的，发包人有权单方通知其解除合同，将本合同工程交由第三方承包商继续完成。届时，承包人须立即退场，并配合发包人就承包人已完成的工程量进行审计，发包人按最终审定价的【50】%与承包人结付工程款。同时，承包人还须按本合同签约合同价的【10】%向发包人支付违约金。</w:t>
      </w:r>
      <w:r/>
    </w:p>
    <w:p>
      <w:pPr>
        <w:jc w:val="both"/>
        <w:spacing w:line="460" w:lineRule="exact"/>
        <w:rPr>
          <w:rFonts w:ascii="Times New Roman" w:hAnsi="Times New Roman" w:cs="Times New Roman"/>
          <w:sz w:val="21"/>
          <w:szCs w:val="20"/>
          <w:u w:val="single"/>
          <w:lang w:val="en-US" w:bidi="ar-SA"/>
        </w:rPr>
      </w:pPr>
      <w:r>
        <w:rPr>
          <w:rFonts w:hint="eastAsia" w:ascii="Times New Roman" w:hAnsi="Times New Roman" w:cs="Times New Roman"/>
          <w:sz w:val="21"/>
          <w:szCs w:val="20"/>
          <w:u w:val="single"/>
          <w:lang w:val="en-US" w:bidi="ar-SA"/>
        </w:rPr>
        <w:t xml:space="preserve">10.3.3 变更导致工期的顺延时间以监理工程师审核、发包人批准为准。</w:t>
      </w:r>
      <w:r/>
    </w:p>
    <w:p>
      <w:pPr>
        <w:jc w:val="both"/>
        <w:spacing w:line="460" w:lineRule="exact"/>
        <w:rPr>
          <w:rFonts w:ascii="Times New Roman" w:hAnsi="Times New Roman" w:cs="Times New Roman"/>
          <w:sz w:val="21"/>
          <w:szCs w:val="20"/>
          <w:u w:val="single"/>
          <w:lang w:val="en-US" w:bidi="ar-SA"/>
        </w:rPr>
      </w:pPr>
      <w:r>
        <w:rPr>
          <w:rFonts w:hint="eastAsia" w:ascii="Times New Roman" w:hAnsi="Times New Roman" w:cs="Times New Roman"/>
          <w:sz w:val="21"/>
          <w:szCs w:val="20"/>
          <w:u w:val="single"/>
          <w:lang w:val="en-US" w:bidi="ar-SA"/>
        </w:rPr>
        <w:t xml:space="preserve">10.3.4承包人提出的工程变更申请必须严格按照发包人规定的工程变更管理流程执行，涉及主体结构的变更内容必须经设计单位确认。</w:t>
      </w:r>
      <w:r/>
    </w:p>
    <w:p>
      <w:pPr>
        <w:jc w:val="both"/>
        <w:spacing w:line="460" w:lineRule="exact"/>
        <w:rPr>
          <w:rFonts w:ascii="Times New Roman" w:hAnsi="Times New Roman" w:cs="Times New Roman"/>
          <w:sz w:val="21"/>
          <w:szCs w:val="20"/>
          <w:u w:val="single"/>
          <w:lang w:val="en-US" w:bidi="ar-SA"/>
        </w:rPr>
      </w:pPr>
      <w:r>
        <w:rPr>
          <w:rFonts w:hint="eastAsia" w:ascii="Times New Roman" w:hAnsi="Times New Roman" w:cs="Times New Roman"/>
          <w:sz w:val="21"/>
          <w:szCs w:val="20"/>
          <w:u w:val="single"/>
          <w:lang w:val="en-US" w:bidi="ar-SA"/>
        </w:rPr>
        <w:t xml:space="preserve"> 10.3.5 设计单位出具的设计变更必须得到发包人的批准。承包人不得直接从设计单位取得设计变更，或者以贿赂等不正当手段影响本工程的设计师进行变更。否则，由此增加的工程费用由承包人承担，工期不予顺延。</w:t>
      </w:r>
      <w:r/>
    </w:p>
    <w:p>
      <w:pPr>
        <w:jc w:val="both"/>
        <w:spacing w:line="460" w:lineRule="exact"/>
        <w:rPr>
          <w:rFonts w:ascii="Times New Roman" w:hAnsi="Times New Roman" w:cs="Times New Roman"/>
          <w:sz w:val="21"/>
          <w:szCs w:val="20"/>
          <w:u w:val="single"/>
          <w:lang w:val="en-US" w:bidi="ar-SA"/>
        </w:rPr>
      </w:pPr>
      <w:r>
        <w:rPr>
          <w:rFonts w:hint="eastAsia" w:ascii="Times New Roman" w:hAnsi="Times New Roman" w:cs="Times New Roman"/>
          <w:sz w:val="21"/>
          <w:szCs w:val="20"/>
          <w:u w:val="single"/>
          <w:lang w:val="en-US" w:bidi="ar-SA"/>
        </w:rPr>
        <w:t xml:space="preserve">10.3.6 针对工程量发生变化的隐蔽工程及发包人提出的对已完成的分项工程进行变更，承包人应在施工前将施工方案报发包人及监理工程师确认；对于有可能重复利用的材料设备，承包人应小心保护，属承包人拆除时未采取保护措施或拆除后保护不当的，由承包人负责赔偿损失。</w:t>
      </w:r>
      <w:r/>
    </w:p>
    <w:p>
      <w:pPr>
        <w:jc w:val="both"/>
        <w:spacing w:line="460" w:lineRule="exact"/>
        <w:rPr>
          <w:rFonts w:ascii="Times New Roman" w:hAnsi="Times New Roman" w:cs="Times New Roman"/>
          <w:sz w:val="21"/>
          <w:szCs w:val="20"/>
          <w:u w:val="single"/>
          <w:lang w:val="en-US" w:bidi="ar-SA"/>
        </w:rPr>
      </w:pPr>
      <w:r>
        <w:rPr>
          <w:rFonts w:hint="eastAsia" w:ascii="Times New Roman" w:hAnsi="Times New Roman" w:cs="Times New Roman"/>
          <w:sz w:val="21"/>
          <w:szCs w:val="20"/>
          <w:u w:val="single"/>
          <w:lang w:val="en-US" w:bidi="ar-SA"/>
        </w:rPr>
        <w:t xml:space="preserve">10.3.7 办理签证时，变更、签证结算费用编制应按“一单一价”的原则，即每一份变更、签证附一份造价核定单。一份造价核定单上只能申报一项内容。签证原件1式4份，发包人二份、监理一份、承包人保留一份。</w:t>
      </w:r>
      <w:r/>
    </w:p>
    <w:p>
      <w:pPr>
        <w:jc w:val="both"/>
        <w:spacing w:line="460" w:lineRule="exact"/>
        <w:rPr>
          <w:rFonts w:ascii="Times New Roman" w:hAnsi="Times New Roman" w:cs="Times New Roman"/>
          <w:sz w:val="21"/>
          <w:szCs w:val="20"/>
          <w:u w:val="single"/>
          <w:lang w:val="en-US" w:bidi="ar-SA"/>
        </w:rPr>
      </w:pPr>
      <w:r>
        <w:rPr>
          <w:rFonts w:hint="eastAsia" w:ascii="Times New Roman" w:hAnsi="Times New Roman" w:cs="Times New Roman"/>
          <w:sz w:val="21"/>
          <w:szCs w:val="20"/>
          <w:u w:val="single"/>
          <w:lang w:val="en-US" w:bidi="ar-SA"/>
        </w:rPr>
        <w:t xml:space="preserve">10.3.8 为避免签证出现混乱、重复结算，承包人在办理签证时必须明确每份签证的具体原因、施工部位、施工时间、签证的编号等，否则，该签证为无效签证。</w:t>
      </w:r>
      <w:r/>
    </w:p>
    <w:p>
      <w:pPr>
        <w:jc w:val="both"/>
        <w:spacing w:line="460" w:lineRule="exact"/>
        <w:rPr>
          <w:rFonts w:ascii="Times New Roman" w:hAnsi="Times New Roman" w:cs="Times New Roman"/>
          <w:sz w:val="21"/>
          <w:szCs w:val="20"/>
          <w:u w:val="single"/>
          <w:lang w:val="en-US" w:bidi="ar-SA"/>
        </w:rPr>
      </w:pPr>
      <w:r>
        <w:rPr>
          <w:rFonts w:hint="eastAsia" w:ascii="Times New Roman" w:hAnsi="Times New Roman" w:cs="Times New Roman"/>
          <w:sz w:val="21"/>
          <w:szCs w:val="20"/>
          <w:u w:val="single"/>
          <w:lang w:val="en-US" w:bidi="ar-SA"/>
        </w:rPr>
        <w:t xml:space="preserve">10.4 确定变更价款</w:t>
      </w:r>
      <w:r/>
    </w:p>
    <w:p>
      <w:pPr>
        <w:jc w:val="both"/>
        <w:spacing w:line="460" w:lineRule="exact"/>
        <w:rPr>
          <w:rFonts w:ascii="Times New Roman" w:hAnsi="Times New Roman" w:cs="Times New Roman"/>
          <w:sz w:val="21"/>
          <w:szCs w:val="20"/>
          <w:u w:val="single"/>
          <w:lang w:val="en-US" w:bidi="ar-SA"/>
        </w:rPr>
      </w:pPr>
      <w:r>
        <w:rPr>
          <w:rFonts w:hint="eastAsia" w:ascii="Times New Roman" w:hAnsi="Times New Roman" w:cs="Times New Roman"/>
          <w:sz w:val="21"/>
          <w:szCs w:val="20"/>
          <w:u w:val="single"/>
          <w:lang w:val="en-US" w:bidi="ar-SA"/>
        </w:rPr>
        <w:t xml:space="preserve">10.4.1 承包人在工程变更、现场签证确定后14天内，完成变更申报及签证手续，提出变更工程价款的报告，经须经发包人、工程监理、跟踪审计三方确认后调整合同价款。变更合同价款按下列方法进行：</w:t>
      </w:r>
      <w:r/>
    </w:p>
    <w:p>
      <w:pPr>
        <w:jc w:val="both"/>
        <w:spacing w:line="460" w:lineRule="exact"/>
        <w:rPr>
          <w:rFonts w:ascii="Times New Roman" w:hAnsi="Times New Roman" w:cs="Times New Roman"/>
          <w:sz w:val="21"/>
          <w:szCs w:val="20"/>
          <w:u w:val="single"/>
          <w:lang w:val="en-US" w:bidi="ar-SA"/>
        </w:rPr>
      </w:pPr>
      <w:r>
        <w:rPr>
          <w:rFonts w:hint="eastAsia" w:ascii="Times New Roman" w:hAnsi="Times New Roman" w:cs="Times New Roman"/>
          <w:sz w:val="21"/>
          <w:szCs w:val="20"/>
          <w:u w:val="single"/>
          <w:lang w:val="en-US" w:bidi="ar-SA"/>
        </w:rPr>
        <w:t xml:space="preserve">(1) 合同中已有适用于变更工程的价格，按合同已有的价格变更合同价款；</w:t>
      </w:r>
      <w:r/>
    </w:p>
    <w:p>
      <w:pPr>
        <w:jc w:val="both"/>
        <w:spacing w:line="460" w:lineRule="exact"/>
        <w:rPr>
          <w:rFonts w:ascii="Times New Roman" w:hAnsi="Times New Roman" w:cs="Times New Roman"/>
          <w:sz w:val="21"/>
          <w:szCs w:val="20"/>
          <w:u w:val="single"/>
          <w:lang w:val="en-US" w:bidi="ar-SA"/>
        </w:rPr>
      </w:pPr>
      <w:r>
        <w:rPr>
          <w:rFonts w:hint="eastAsia" w:ascii="Times New Roman" w:hAnsi="Times New Roman" w:cs="Times New Roman"/>
          <w:sz w:val="21"/>
          <w:szCs w:val="20"/>
          <w:u w:val="single"/>
          <w:lang w:val="en-US" w:bidi="ar-SA"/>
        </w:rPr>
        <w:t xml:space="preserve">(2) 合同中只有类似于变更工程的价格，可以参照类似价格变更合同价款；</w:t>
      </w:r>
      <w:r/>
    </w:p>
    <w:p>
      <w:pPr>
        <w:jc w:val="both"/>
        <w:spacing w:line="460" w:lineRule="exact"/>
        <w:rPr>
          <w:rFonts w:ascii="Times New Roman" w:hAnsi="Times New Roman" w:cs="Times New Roman"/>
          <w:strike/>
          <w:sz w:val="21"/>
          <w:szCs w:val="20"/>
          <w:u w:val="single"/>
          <w:lang w:val="en-US" w:bidi="ar-SA"/>
        </w:rPr>
      </w:pPr>
      <w:r>
        <w:rPr>
          <w:rFonts w:hint="eastAsia" w:ascii="Times New Roman" w:hAnsi="Times New Roman" w:cs="Times New Roman"/>
          <w:sz w:val="21"/>
          <w:szCs w:val="20"/>
          <w:u w:val="single"/>
          <w:lang w:val="en-US" w:bidi="ar-SA"/>
        </w:rPr>
        <w:t xml:space="preserve">(3) 合同中没有适用或类似于变更工程的价格，按《江苏省建筑工程计价表》等现行省计价表以及南京市建筑委员会关于贯彻执行《建设工程工程量清单计价规范》</w:t>
      </w:r>
      <w:r>
        <w:rPr>
          <w:rFonts w:ascii="Times New Roman" w:hAnsi="Times New Roman" w:cs="Times New Roman"/>
          <w:sz w:val="21"/>
          <w:szCs w:val="20"/>
          <w:u w:val="single"/>
          <w:lang w:val="en-US" w:bidi="ar-SA"/>
        </w:rPr>
        <w:t xml:space="preserve">(GB/T50500-2024）</w:t>
      </w:r>
      <w:r>
        <w:rPr>
          <w:rFonts w:hint="eastAsia" w:ascii="Times New Roman" w:hAnsi="Times New Roman" w:cs="Times New Roman"/>
          <w:sz w:val="21"/>
          <w:szCs w:val="20"/>
          <w:u w:val="single"/>
          <w:lang w:val="en-US" w:bidi="ar-SA"/>
        </w:rPr>
        <w:t xml:space="preserve">的通知规定计算。参照一次磋商报价中价格组成因素（相关费率、人工、材料、机械价格，如一次磋商报价中没有相应价格，依次按照南京工程造价管理的信息价格、市场询价次序确定）提出变更工程项目的单价，报发包人及项目造价咨询人（跟踪审计单位）确认后，并执行中标金额相比一次磋商报价下浮比例，作为变更的送审结算报价。</w:t>
      </w:r>
      <w:r/>
    </w:p>
    <w:p>
      <w:pPr>
        <w:jc w:val="both"/>
        <w:spacing w:line="460" w:lineRule="exact"/>
        <w:rPr>
          <w:rFonts w:ascii="Times New Roman" w:hAnsi="Times New Roman" w:cs="Times New Roman"/>
          <w:sz w:val="21"/>
          <w:szCs w:val="20"/>
          <w:u w:val="single"/>
          <w:lang w:val="en-US" w:bidi="ar-SA"/>
        </w:rPr>
      </w:pPr>
      <w:r>
        <w:rPr>
          <w:rFonts w:hint="eastAsia" w:ascii="Times New Roman" w:hAnsi="Times New Roman" w:cs="Times New Roman"/>
          <w:sz w:val="21"/>
          <w:szCs w:val="20"/>
          <w:u w:val="single"/>
          <w:lang w:val="en-US" w:bidi="ar-SA"/>
        </w:rPr>
        <w:t xml:space="preserve">10.4.2 承包人在双方确定变更、现场签证后14天内不向发包人提出变更程价款报告时，视为该项变更、签证不涉及合同价款的变更。</w:t>
      </w:r>
      <w:r/>
    </w:p>
    <w:p>
      <w:pPr>
        <w:jc w:val="both"/>
        <w:spacing w:line="460" w:lineRule="exact"/>
        <w:rPr>
          <w:rFonts w:ascii="Times New Roman" w:hAnsi="Times New Roman" w:cs="Times New Roman"/>
          <w:sz w:val="21"/>
          <w:szCs w:val="20"/>
          <w:u w:val="single"/>
          <w:lang w:val="en-US" w:bidi="ar-SA"/>
        </w:rPr>
      </w:pPr>
      <w:r>
        <w:rPr>
          <w:rFonts w:hint="eastAsia" w:ascii="Times New Roman" w:hAnsi="Times New Roman" w:cs="Times New Roman"/>
          <w:sz w:val="21"/>
          <w:szCs w:val="20"/>
          <w:u w:val="single"/>
          <w:lang w:val="en-US" w:bidi="ar-SA"/>
        </w:rPr>
        <w:t xml:space="preserve">10.4.3 因承包人自身原因导致的工程变更，承包人无权要求追加合同价款。</w:t>
      </w:r>
      <w:r/>
    </w:p>
    <w:p>
      <w:pPr>
        <w:jc w:val="both"/>
        <w:spacing w:line="460" w:lineRule="exact"/>
        <w:rPr>
          <w:rFonts w:ascii="Times New Roman" w:hAnsi="Times New Roman" w:cs="Times New Roman"/>
          <w:sz w:val="21"/>
          <w:szCs w:val="20"/>
          <w:u w:val="single"/>
          <w:lang w:val="en-US" w:bidi="ar-SA"/>
        </w:rPr>
      </w:pPr>
      <w:r>
        <w:rPr>
          <w:rFonts w:hint="eastAsia" w:ascii="Times New Roman" w:hAnsi="Times New Roman" w:cs="Times New Roman"/>
          <w:sz w:val="21"/>
          <w:szCs w:val="20"/>
          <w:u w:val="single"/>
          <w:lang w:val="en-US" w:bidi="ar-SA"/>
        </w:rPr>
        <w:t xml:space="preserve">10.4.4不同金额的变更签证由发包人实行分级授权制度：</w:t>
      </w:r>
      <w:r/>
    </w:p>
    <w:p>
      <w:pPr>
        <w:jc w:val="both"/>
        <w:spacing w:line="460" w:lineRule="exact"/>
        <w:rPr>
          <w:rFonts w:ascii="Times New Roman" w:hAnsi="Times New Roman" w:cs="Times New Roman"/>
          <w:sz w:val="21"/>
          <w:szCs w:val="20"/>
          <w:u w:val="single"/>
          <w:lang w:val="en-US" w:bidi="ar-SA"/>
        </w:rPr>
      </w:pPr>
      <w:r>
        <w:rPr>
          <w:rFonts w:hint="eastAsia" w:ascii="Times New Roman" w:hAnsi="Times New Roman" w:cs="Times New Roman"/>
          <w:sz w:val="21"/>
          <w:szCs w:val="20"/>
          <w:u w:val="single"/>
          <w:lang w:val="en-US" w:bidi="ar-SA"/>
        </w:rPr>
        <w:t xml:space="preserve">（1）对于变更、签证计价及结算的约定：</w:t>
      </w:r>
      <w:r/>
    </w:p>
    <w:p>
      <w:pPr>
        <w:jc w:val="both"/>
        <w:spacing w:line="460" w:lineRule="exact"/>
        <w:rPr>
          <w:sz w:val="21"/>
          <w:szCs w:val="21"/>
          <w:u w:val="single"/>
          <w:lang w:val="en-US" w:bidi="ar-SA"/>
        </w:rPr>
      </w:pPr>
      <w:r>
        <w:rPr>
          <w:rFonts w:hint="eastAsia"/>
          <w:sz w:val="21"/>
          <w:szCs w:val="21"/>
          <w:u w:val="single"/>
          <w:lang w:val="en-US" w:bidi="ar-SA"/>
        </w:rPr>
        <w:t xml:space="preserve">1）工程变更签证的审批程序：</w:t>
      </w:r>
      <w:r/>
    </w:p>
    <w:p>
      <w:pPr>
        <w:jc w:val="both"/>
        <w:spacing w:line="460" w:lineRule="exact"/>
        <w:rPr>
          <w:sz w:val="21"/>
          <w:szCs w:val="21"/>
          <w:u w:val="single"/>
          <w:lang w:val="en-US" w:bidi="ar-SA"/>
        </w:rPr>
      </w:pPr>
      <w:r>
        <w:rPr>
          <w:rFonts w:hint="eastAsia"/>
          <w:sz w:val="21"/>
          <w:szCs w:val="21"/>
          <w:u w:val="single"/>
          <w:lang w:val="en-US" w:bidi="ar-SA"/>
        </w:rPr>
        <w:t xml:space="preserve">a、工程变更签证的情形发生后，承包人将工程变更签证报监理组初审，监理工程师在签证单上签署审核意见（如需现场计量，监理单位应提前24小时通知项目代表、跟踪审计咨询人员到场）；</w:t>
      </w:r>
      <w:r/>
    </w:p>
    <w:p>
      <w:pPr>
        <w:jc w:val="both"/>
        <w:spacing w:line="460" w:lineRule="exact"/>
        <w:rPr>
          <w:sz w:val="21"/>
          <w:szCs w:val="21"/>
          <w:u w:val="single"/>
          <w:lang w:val="en-US" w:bidi="ar-SA"/>
        </w:rPr>
      </w:pPr>
      <w:r>
        <w:rPr>
          <w:rFonts w:hint="eastAsia"/>
          <w:sz w:val="21"/>
          <w:szCs w:val="21"/>
          <w:u w:val="single"/>
          <w:lang w:val="en-US" w:bidi="ar-SA"/>
        </w:rPr>
        <w:t xml:space="preserve">b、监理组初审批准后报发包人代表，由发包人代表将监理工程师初审批准的相关资料送跟踪审计咨询人员，跟踪审计咨询人员审核后在签证单上签署审核意见；</w:t>
      </w:r>
      <w:r/>
    </w:p>
    <w:p>
      <w:pPr>
        <w:jc w:val="both"/>
        <w:spacing w:line="460" w:lineRule="exact"/>
        <w:rPr>
          <w:sz w:val="21"/>
          <w:szCs w:val="21"/>
          <w:u w:val="single"/>
          <w:lang w:val="en-US" w:bidi="ar-SA"/>
        </w:rPr>
      </w:pPr>
      <w:r>
        <w:rPr>
          <w:rFonts w:hint="eastAsia"/>
          <w:sz w:val="21"/>
          <w:szCs w:val="21"/>
          <w:u w:val="single"/>
          <w:lang w:val="en-US" w:bidi="ar-SA"/>
        </w:rPr>
        <w:t xml:space="preserve">c、项目代表根据监理工程师和跟踪审计咨询人员的审核意见，对所报资料进行审核，并按审批权限报相关领导批准后在签证单上签署审核意见。</w:t>
      </w:r>
      <w:r/>
    </w:p>
    <w:p>
      <w:pPr>
        <w:jc w:val="both"/>
        <w:spacing w:line="460" w:lineRule="exact"/>
        <w:rPr>
          <w:sz w:val="21"/>
          <w:szCs w:val="21"/>
          <w:u w:val="single"/>
          <w:lang w:val="en-US" w:bidi="ar-SA"/>
        </w:rPr>
      </w:pPr>
      <w:r>
        <w:rPr>
          <w:rFonts w:hint="eastAsia"/>
          <w:sz w:val="21"/>
          <w:szCs w:val="21"/>
          <w:u w:val="single"/>
          <w:lang w:val="en-US" w:bidi="ar-SA"/>
        </w:rPr>
        <w:t xml:space="preserve">2）有效工程签证的认定原则：签证单上必须有发包人代表、跟踪审计咨询人员、监理工程师、承包人项目经理及项目部（项目经理签字、项目部盖章）四方代表的签字和单位盖章，方可作为竣工结算的依据；签证单上必须明确签证的原因、位置、尺寸、数量、材料、人工、机械台班、价格等和签证时间。</w:t>
      </w:r>
      <w:r/>
    </w:p>
    <w:p>
      <w:pPr>
        <w:jc w:val="both"/>
        <w:spacing w:line="460" w:lineRule="exact"/>
        <w:rPr>
          <w:sz w:val="21"/>
          <w:szCs w:val="21"/>
          <w:u w:val="single"/>
          <w:lang w:val="en-US" w:bidi="ar-SA"/>
        </w:rPr>
      </w:pPr>
      <w:r>
        <w:rPr>
          <w:rFonts w:hint="eastAsia"/>
          <w:sz w:val="21"/>
          <w:szCs w:val="21"/>
          <w:u w:val="single"/>
          <w:lang w:val="en-US" w:bidi="ar-SA"/>
        </w:rPr>
        <w:t xml:space="preserve">3）关于临时用工的签证事项，双方应在签证通知单上协商确定以下问题：工作内容及工作量、工作时间、工作人数、取定的人工单价（是综合单价，已含管理费和利润）。</w:t>
      </w:r>
      <w:r/>
    </w:p>
    <w:p>
      <w:pPr>
        <w:jc w:val="both"/>
        <w:spacing w:line="460" w:lineRule="exact"/>
        <w:rPr>
          <w:sz w:val="21"/>
          <w:szCs w:val="21"/>
          <w:u w:val="single"/>
          <w:lang w:val="en-US" w:bidi="ar-SA"/>
        </w:rPr>
      </w:pPr>
      <w:r>
        <w:rPr>
          <w:rFonts w:hint="eastAsia"/>
          <w:sz w:val="21"/>
          <w:szCs w:val="21"/>
          <w:u w:val="single"/>
          <w:lang w:val="en-US" w:bidi="ar-SA"/>
        </w:rPr>
        <w:t xml:space="preserve">4）当变更的工作内容完成之后，承包人要及时督促监理人员和发包人项目代表签字确认，对于隐蔽工程的签证，必须在覆盖前完成验收手续、工程量的确认和费用数额的报送手续，否则发包人可以不予支付相关款项。</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10.5变更估价</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变更估价原则</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关于变更估价的约定：</w:t>
      </w:r>
      <w:r>
        <w:rPr>
          <w:rFonts w:hint="eastAsia" w:ascii="Times New Roman" w:hAnsi="Times New Roman" w:cs="Times New Roman"/>
          <w:sz w:val="21"/>
          <w:szCs w:val="20"/>
          <w:u w:val="single"/>
          <w:lang w:val="en-US" w:bidi="ar-SA"/>
        </w:rPr>
        <w:t xml:space="preserve">因经发包人同意的设计变更，由承包人将工程量变更设计价款报送监理方和发包人（包括发包人委托的跟踪审计单位）审核，获得发包人书面盖章同意后，在工程结算审计时予以调整价款；由承包人提出的变更，承包人应编制变更依据，变更的工程量，变更的价款报设计方、监理方、发包人（包括发包人委托的跟踪审计单位）审核，获得发包人书面盖章同意后，变更价款按照14.竣工结算的约定在工程结算审计时予以调整</w:t>
      </w:r>
      <w:r>
        <w:rPr>
          <w:rFonts w:hint="eastAsia" w:ascii="Times New Roman" w:hAnsi="Times New Roman" w:cs="Times New Roman"/>
          <w:sz w:val="21"/>
          <w:szCs w:val="20"/>
          <w:lang w:val="en-US" w:bidi="ar-SA"/>
        </w:rPr>
        <w:t xml:space="preserve">。</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 0.6承包人的合理化建议</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监理人审查承包人合理化建议的期限：</w:t>
      </w:r>
      <w:r>
        <w:rPr>
          <w:rFonts w:hint="eastAsia" w:ascii="Times New Roman" w:hAnsi="Times New Roman" w:cs="Times New Roman"/>
          <w:sz w:val="21"/>
          <w:szCs w:val="20"/>
          <w:u w:val="single"/>
          <w:lang w:val="en-US" w:bidi="ar-SA"/>
        </w:rPr>
        <w:t xml:space="preserve">收到建议之日起3日</w:t>
      </w:r>
      <w:r>
        <w:rPr>
          <w:rFonts w:hint="eastAsia" w:ascii="Times New Roman" w:hAnsi="Times New Roman" w:cs="Times New Roman"/>
          <w:sz w:val="21"/>
          <w:szCs w:val="20"/>
          <w:lang w:val="en-US" w:bidi="ar-SA"/>
        </w:rPr>
        <w:t xml:space="preserve">。</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发包人审批承包人合理化建议的期限：</w:t>
      </w:r>
      <w:r>
        <w:rPr>
          <w:rFonts w:hint="eastAsia" w:ascii="Times New Roman" w:hAnsi="Times New Roman" w:cs="Times New Roman"/>
          <w:sz w:val="21"/>
          <w:szCs w:val="20"/>
          <w:u w:val="single"/>
          <w:lang w:val="en-US" w:bidi="ar-SA"/>
        </w:rPr>
        <w:t xml:space="preserve">收到建议之日起3日</w:t>
      </w:r>
      <w:r>
        <w:rPr>
          <w:rFonts w:hint="eastAsia" w:ascii="Times New Roman" w:hAnsi="Times New Roman" w:cs="Times New Roman"/>
          <w:sz w:val="21"/>
          <w:szCs w:val="20"/>
          <w:lang w:val="en-US" w:bidi="ar-SA"/>
        </w:rPr>
        <w:t xml:space="preserve">。</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承包人提出的合理化建议降低了合同价格或者提高了工程经济效益的奖励的方法和金额为：</w:t>
      </w:r>
      <w:r>
        <w:rPr>
          <w:rFonts w:hint="eastAsia" w:ascii="Times New Roman" w:hAnsi="Times New Roman" w:cs="Times New Roman"/>
          <w:sz w:val="21"/>
          <w:szCs w:val="20"/>
          <w:u w:val="single"/>
          <w:lang w:val="en-US" w:bidi="ar-SA"/>
        </w:rPr>
        <w:t xml:space="preserve">无</w:t>
      </w:r>
      <w:r>
        <w:rPr>
          <w:rFonts w:hint="eastAsia" w:ascii="Times New Roman" w:hAnsi="Times New Roman" w:cs="Times New Roman"/>
          <w:sz w:val="21"/>
          <w:szCs w:val="20"/>
          <w:lang w:val="en-US" w:bidi="ar-SA"/>
        </w:rPr>
        <w:t xml:space="preserve">。</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10.7 暂估价</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本项目无暂估价</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 0.7.1 依法必须招标的暂估价项目</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对于依法必须招标的暂估价项目的确认和批准采取第</w:t>
      </w:r>
      <w:r>
        <w:rPr>
          <w:rFonts w:hint="eastAsia" w:ascii="Times New Roman" w:hAnsi="Times New Roman" w:cs="Times New Roman"/>
          <w:sz w:val="21"/>
          <w:szCs w:val="20"/>
          <w:u w:val="single"/>
          <w:lang w:val="en-US" w:bidi="ar-SA"/>
        </w:rPr>
        <w:t xml:space="preserve">/</w:t>
      </w:r>
      <w:r>
        <w:rPr>
          <w:rFonts w:hint="eastAsia" w:ascii="Times New Roman" w:hAnsi="Times New Roman" w:cs="Times New Roman"/>
          <w:sz w:val="21"/>
          <w:szCs w:val="20"/>
          <w:lang w:val="en-US" w:bidi="ar-SA"/>
        </w:rPr>
        <w:t xml:space="preserve">种方式确定。</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10.7.2 不属于依法必须招标的暂估价项目</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对于不属于依法必须招标的暂估价项目的确认和批准采取第</w:t>
      </w:r>
      <w:r>
        <w:rPr>
          <w:rFonts w:hint="eastAsia" w:ascii="Times New Roman" w:hAnsi="Times New Roman" w:cs="Times New Roman"/>
          <w:sz w:val="21"/>
          <w:szCs w:val="20"/>
          <w:u w:val="single"/>
          <w:lang w:val="en-US" w:bidi="ar-SA"/>
        </w:rPr>
        <w:t xml:space="preserve"> / </w:t>
      </w:r>
      <w:r>
        <w:rPr>
          <w:rFonts w:hint="eastAsia" w:ascii="Times New Roman" w:hAnsi="Times New Roman" w:cs="Times New Roman"/>
          <w:sz w:val="21"/>
          <w:szCs w:val="20"/>
          <w:lang w:val="en-US" w:bidi="ar-SA"/>
        </w:rPr>
        <w:t xml:space="preserve">种方式确定。</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第3种方式：承包人直接实施的暂估价项目</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承包人直接实施的暂估价项目的约定：</w:t>
      </w:r>
      <w:r>
        <w:rPr>
          <w:rFonts w:hint="eastAsia" w:ascii="Times New Roman" w:hAnsi="Times New Roman" w:cs="Times New Roman"/>
          <w:sz w:val="21"/>
          <w:szCs w:val="20"/>
          <w:u w:val="single"/>
          <w:lang w:val="en-US" w:bidi="ar-SA"/>
        </w:rPr>
        <w:t xml:space="preserve">无</w:t>
      </w:r>
      <w:r>
        <w:rPr>
          <w:rFonts w:hint="eastAsia" w:ascii="Times New Roman" w:hAnsi="Times New Roman" w:cs="Times New Roman"/>
          <w:sz w:val="21"/>
          <w:szCs w:val="20"/>
          <w:lang w:val="en-US" w:bidi="ar-SA"/>
        </w:rPr>
        <w:t xml:space="preserve">。</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10.8 暂列金额</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合同当事人关于暂列金额使用的约定：暂列金额应按照发包人的要求使用。</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11. 价格调整</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11.1 市场价格波动引起的调整</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市场价格波动是否调整合同价格的约定：</w:t>
      </w:r>
      <w:r>
        <w:rPr>
          <w:rFonts w:hint="eastAsia" w:ascii="Times New Roman" w:hAnsi="Times New Roman" w:cs="Times New Roman"/>
          <w:sz w:val="21"/>
          <w:szCs w:val="20"/>
          <w:u w:val="single"/>
          <w:lang w:val="en-US" w:bidi="ar-SA"/>
        </w:rPr>
        <w:t xml:space="preserve">不调整</w:t>
      </w:r>
      <w:r>
        <w:rPr>
          <w:rFonts w:hint="eastAsia" w:ascii="Times New Roman" w:hAnsi="Times New Roman" w:cs="Times New Roman"/>
          <w:sz w:val="21"/>
          <w:szCs w:val="20"/>
          <w:lang w:val="en-US" w:bidi="ar-SA"/>
        </w:rPr>
        <w:t xml:space="preserve">。</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因市场价格波动调整合同价格，采用以下第</w:t>
      </w:r>
      <w:r>
        <w:rPr>
          <w:rFonts w:hint="eastAsia" w:ascii="Times New Roman" w:hAnsi="Times New Roman" w:cs="Times New Roman"/>
          <w:sz w:val="21"/>
          <w:szCs w:val="20"/>
          <w:u w:val="single"/>
          <w:lang w:val="en-US" w:bidi="ar-SA"/>
        </w:rPr>
        <w:t xml:space="preserve">/</w:t>
      </w:r>
      <w:r>
        <w:rPr>
          <w:rFonts w:hint="eastAsia" w:ascii="Times New Roman" w:hAnsi="Times New Roman" w:cs="Times New Roman"/>
          <w:sz w:val="21"/>
          <w:szCs w:val="20"/>
          <w:lang w:val="en-US" w:bidi="ar-SA"/>
        </w:rPr>
        <w:t xml:space="preserve">种方式对合同价格进行调整：</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第1种方式：采用价格指数进行价格调整。</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关于各可调因子、定值和变值权重，以及基本价格指数及其来源的约定：</w:t>
      </w:r>
      <w:r>
        <w:rPr>
          <w:rFonts w:hint="eastAsia" w:ascii="Times New Roman" w:hAnsi="Times New Roman" w:cs="Times New Roman"/>
          <w:sz w:val="21"/>
          <w:szCs w:val="20"/>
          <w:u w:val="single"/>
          <w:lang w:val="en-US" w:bidi="ar-SA"/>
        </w:rPr>
        <w:t xml:space="preserve"> / </w:t>
      </w:r>
      <w:r>
        <w:rPr>
          <w:rFonts w:hint="eastAsia" w:ascii="Times New Roman" w:hAnsi="Times New Roman" w:cs="Times New Roman"/>
          <w:sz w:val="21"/>
          <w:szCs w:val="20"/>
          <w:lang w:val="en-US" w:bidi="ar-SA"/>
        </w:rPr>
        <w:t xml:space="preserve">；</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第2种方式：采用造价信息进行价格调整。</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12. 合同价格、计量与支付</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12.1 合同价格形式</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1、单价合同：</w:t>
      </w:r>
      <w:r/>
    </w:p>
    <w:p>
      <w:pPr>
        <w:jc w:val="both"/>
        <w:spacing w:line="360" w:lineRule="auto"/>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综合单价包含的风险范围：</w:t>
      </w:r>
      <w:r>
        <w:rPr>
          <w:rFonts w:hint="eastAsia" w:ascii="Times New Roman" w:hAnsi="Times New Roman" w:cs="Times New Roman"/>
          <w:sz w:val="21"/>
          <w:szCs w:val="20"/>
          <w:u w:val="single"/>
          <w:lang w:val="en-US" w:bidi="ar-SA"/>
        </w:rPr>
        <w:t xml:space="preserve">已包含所有风险</w:t>
      </w:r>
      <w:r>
        <w:rPr>
          <w:rFonts w:hint="eastAsia" w:ascii="Times New Roman" w:hAnsi="Times New Roman" w:cs="Times New Roman"/>
          <w:sz w:val="21"/>
          <w:szCs w:val="20"/>
          <w:lang w:val="en-US" w:bidi="ar-SA"/>
        </w:rPr>
        <w:t xml:space="preserve">。</w:t>
      </w:r>
      <w:r/>
    </w:p>
    <w:p>
      <w:pPr>
        <w:jc w:val="both"/>
        <w:spacing w:line="360" w:lineRule="auto"/>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风险费用的计算方法：</w:t>
      </w:r>
      <w:r>
        <w:rPr>
          <w:rFonts w:hint="eastAsia" w:ascii="Times New Roman" w:hAnsi="Times New Roman" w:cs="Times New Roman"/>
          <w:sz w:val="21"/>
          <w:szCs w:val="20"/>
          <w:u w:val="single"/>
          <w:lang w:val="en-US" w:bidi="ar-SA"/>
        </w:rPr>
        <w:t xml:space="preserve">风险费用已包含在报价中,不予调整</w:t>
      </w:r>
      <w:r>
        <w:rPr>
          <w:rFonts w:hint="eastAsia" w:ascii="Times New Roman" w:hAnsi="Times New Roman" w:cs="Times New Roman"/>
          <w:sz w:val="21"/>
          <w:szCs w:val="20"/>
          <w:lang w:val="en-US" w:bidi="ar-SA"/>
        </w:rPr>
        <w:t xml:space="preserve">。</w:t>
      </w:r>
      <w:r/>
    </w:p>
    <w:p>
      <w:pPr>
        <w:jc w:val="both"/>
        <w:spacing w:line="460" w:lineRule="exact"/>
        <w:rPr>
          <w:rFonts w:ascii="Times New Roman" w:hAnsi="Times New Roman" w:cs="Times New Roman"/>
          <w:sz w:val="21"/>
          <w:szCs w:val="20"/>
          <w:u w:val="single"/>
          <w:lang w:val="en-US" w:bidi="ar-SA"/>
        </w:rPr>
      </w:pPr>
      <w:r>
        <w:rPr>
          <w:rFonts w:hint="eastAsia" w:ascii="Times New Roman" w:hAnsi="Times New Roman" w:cs="Times New Roman"/>
          <w:sz w:val="21"/>
          <w:szCs w:val="20"/>
          <w:lang w:val="en-US" w:bidi="ar-SA"/>
        </w:rPr>
        <w:t xml:space="preserve">风险范围以外合同价格的调整方法：</w:t>
      </w:r>
      <w:r>
        <w:rPr>
          <w:rFonts w:hint="eastAsia" w:ascii="Times New Roman" w:hAnsi="Times New Roman" w:cs="Times New Roman"/>
          <w:sz w:val="21"/>
          <w:szCs w:val="20"/>
          <w:u w:val="single"/>
          <w:lang w:val="en-US" w:bidi="ar-SA"/>
        </w:rPr>
        <w:t xml:space="preserve">①工程设计变更及签证以及发包人另行委托施工的追加的工程，结算时必须提供经发包人、监理等有关各方共同签字盖章的确认单，按照承包人的投标报价和取费标准，在工程竣工后进行结算。具体对设计变更、签证部分的结算方法双方约定如下：①合同中已有的适用于变更工程的价格，按合同已有价格结算，变更合同价款；②合同中有类似</w:t>
      </w:r>
      <w:r>
        <w:rPr>
          <w:rFonts w:hint="eastAsia" w:ascii="Times New Roman" w:hAnsi="Times New Roman" w:cs="Times New Roman"/>
          <w:sz w:val="21"/>
          <w:szCs w:val="20"/>
          <w:u w:val="single"/>
          <w:lang w:val="en-US" w:bidi="ar-SA"/>
        </w:rPr>
        <w:t xml:space="preserve">于变更工程价格的，可参照此价格确定变更合同价款；③合同中没有适用或类似于变更工程价格，按《江苏省建筑工程计价表》等现行省计价表以及南京市建筑委员会关于贯彻执行《建设工程量清单计价规范》(GB50500-2013)的通知规定计算，参照一次磋商报价中价格组成因素（相关费率、人工、材料、机械价格，如一次磋商报价中没有相应价格，依次按照南京工程造价管理的信息价格、市场询价次序确定）提出变更工程项目的单价，报发包人及项目造价咨询人（跟踪审计单位）确认后，并执行中标金额相比一次磋商报价下浮比例，作为变更的送审结算报价。</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2、总价合同。</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总价包含的风险范围：</w:t>
      </w:r>
      <w:r>
        <w:rPr>
          <w:rFonts w:hint="eastAsia" w:ascii="Times New Roman" w:hAnsi="Times New Roman" w:cs="Times New Roman"/>
          <w:sz w:val="21"/>
          <w:szCs w:val="20"/>
          <w:u w:val="single"/>
          <w:lang w:val="en-US" w:bidi="ar-SA"/>
        </w:rPr>
        <w:t xml:space="preserve">/</w:t>
      </w:r>
      <w:r>
        <w:rPr>
          <w:rFonts w:hint="eastAsia" w:ascii="Times New Roman" w:hAnsi="Times New Roman" w:cs="Times New Roman"/>
          <w:sz w:val="21"/>
          <w:szCs w:val="20"/>
          <w:lang w:val="en-US" w:bidi="ar-SA"/>
        </w:rPr>
        <w:t xml:space="preserve">。</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风险费用的计算方法：</w:t>
      </w:r>
      <w:r>
        <w:rPr>
          <w:rFonts w:hint="eastAsia" w:ascii="Times New Roman" w:hAnsi="Times New Roman" w:cs="Times New Roman"/>
          <w:sz w:val="21"/>
          <w:szCs w:val="20"/>
          <w:u w:val="single"/>
          <w:lang w:val="en-US" w:bidi="ar-SA"/>
        </w:rPr>
        <w:t xml:space="preserve">/</w:t>
      </w:r>
      <w:r>
        <w:rPr>
          <w:rFonts w:hint="eastAsia" w:ascii="Times New Roman" w:hAnsi="Times New Roman" w:cs="Times New Roman"/>
          <w:sz w:val="21"/>
          <w:szCs w:val="20"/>
          <w:lang w:val="en-US" w:bidi="ar-SA"/>
        </w:rPr>
        <w:t xml:space="preserve">。</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风险范围以外合同价格的调整方法：</w:t>
      </w:r>
      <w:r>
        <w:rPr>
          <w:rFonts w:hint="eastAsia" w:ascii="Times New Roman" w:hAnsi="Times New Roman" w:cs="Times New Roman"/>
          <w:sz w:val="21"/>
          <w:szCs w:val="20"/>
          <w:u w:val="single"/>
          <w:lang w:val="en-US" w:bidi="ar-SA"/>
        </w:rPr>
        <w:t xml:space="preserve">/</w:t>
      </w:r>
      <w:r>
        <w:rPr>
          <w:rFonts w:hint="eastAsia" w:ascii="Times New Roman" w:hAnsi="Times New Roman" w:cs="Times New Roman"/>
          <w:sz w:val="21"/>
          <w:szCs w:val="20"/>
          <w:lang w:val="en-US" w:bidi="ar-SA"/>
        </w:rPr>
        <w:t xml:space="preserve">。</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3、其他价格方式：</w:t>
      </w:r>
      <w:r>
        <w:rPr>
          <w:rFonts w:hint="eastAsia" w:ascii="Times New Roman" w:hAnsi="Times New Roman" w:cs="Times New Roman"/>
          <w:sz w:val="21"/>
          <w:szCs w:val="20"/>
          <w:u w:val="single"/>
          <w:lang w:val="en-US" w:bidi="ar-SA"/>
        </w:rPr>
        <w:t xml:space="preserve">/</w:t>
      </w:r>
      <w:r>
        <w:rPr>
          <w:rFonts w:hint="eastAsia" w:ascii="Times New Roman" w:hAnsi="Times New Roman" w:cs="Times New Roman"/>
          <w:sz w:val="21"/>
          <w:szCs w:val="20"/>
          <w:lang w:val="en-US" w:bidi="ar-SA"/>
        </w:rPr>
        <w:t xml:space="preserve">。</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12.2 预付款</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12.2.1 预付款的支付</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预付款支付比例或金额：</w:t>
      </w:r>
      <w:r>
        <w:rPr>
          <w:rFonts w:hint="eastAsia" w:ascii="Times New Roman" w:hAnsi="Times New Roman" w:cs="Times New Roman"/>
          <w:sz w:val="21"/>
          <w:szCs w:val="20"/>
          <w:u w:val="single"/>
          <w:lang w:val="en-US" w:bidi="ar-SA"/>
        </w:rPr>
        <w:t xml:space="preserve">有</w:t>
      </w:r>
      <w:r>
        <w:rPr>
          <w:rFonts w:hint="eastAsia" w:ascii="Times New Roman" w:hAnsi="Times New Roman" w:cs="Times New Roman"/>
          <w:sz w:val="21"/>
          <w:szCs w:val="20"/>
          <w:lang w:val="en-US" w:bidi="ar-SA"/>
        </w:rPr>
        <w:t xml:space="preserve">。</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预付款支付期限：</w:t>
      </w:r>
      <w:r>
        <w:rPr>
          <w:rFonts w:hint="eastAsia" w:ascii="Times New Roman" w:hAnsi="Times New Roman" w:cs="Times New Roman"/>
          <w:sz w:val="21"/>
          <w:szCs w:val="20"/>
          <w:u w:val="single"/>
          <w:lang w:val="en-US" w:bidi="ar-SA"/>
        </w:rPr>
        <w:t xml:space="preserve">/</w:t>
      </w:r>
      <w:r>
        <w:rPr>
          <w:rFonts w:hint="eastAsia" w:ascii="Times New Roman" w:hAnsi="Times New Roman" w:cs="Times New Roman"/>
          <w:sz w:val="21"/>
          <w:szCs w:val="20"/>
          <w:lang w:val="en-US" w:bidi="ar-SA"/>
        </w:rPr>
        <w:t xml:space="preserve">。</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预付款扣回的方式：</w:t>
      </w:r>
      <w:r>
        <w:rPr>
          <w:rFonts w:hint="eastAsia" w:ascii="Times New Roman" w:hAnsi="Times New Roman" w:cs="Times New Roman"/>
          <w:sz w:val="21"/>
          <w:szCs w:val="20"/>
          <w:u w:val="single"/>
          <w:lang w:val="en-US" w:bidi="ar-SA"/>
        </w:rPr>
        <w:t xml:space="preserve">/</w:t>
      </w:r>
      <w:r>
        <w:rPr>
          <w:rFonts w:hint="eastAsia" w:ascii="Times New Roman" w:hAnsi="Times New Roman" w:cs="Times New Roman"/>
          <w:sz w:val="21"/>
          <w:szCs w:val="20"/>
          <w:lang w:val="en-US" w:bidi="ar-SA"/>
        </w:rPr>
        <w:t xml:space="preserve">。</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12.2.2 预付款担保</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承包人提交预付款担保的期限：</w:t>
      </w:r>
      <w:r>
        <w:rPr>
          <w:rFonts w:hint="eastAsia" w:ascii="Times New Roman" w:hAnsi="Times New Roman" w:cs="Times New Roman"/>
          <w:sz w:val="21"/>
          <w:szCs w:val="20"/>
          <w:u w:val="single"/>
          <w:lang w:val="en-US" w:bidi="ar-SA"/>
        </w:rPr>
        <w:t xml:space="preserve">/</w:t>
      </w:r>
      <w:r>
        <w:rPr>
          <w:rFonts w:hint="eastAsia" w:ascii="Times New Roman" w:hAnsi="Times New Roman" w:cs="Times New Roman"/>
          <w:sz w:val="21"/>
          <w:szCs w:val="20"/>
          <w:lang w:val="en-US" w:bidi="ar-SA"/>
        </w:rPr>
        <w:t xml:space="preserve">。</w:t>
      </w:r>
      <w:r/>
    </w:p>
    <w:p>
      <w:pPr>
        <w:jc w:val="both"/>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预付款担保的形式为：</w:t>
      </w:r>
      <w:r>
        <w:rPr>
          <w:rFonts w:hint="eastAsia" w:ascii="Times New Roman" w:hAnsi="Times New Roman" w:cs="Times New Roman"/>
          <w:sz w:val="21"/>
          <w:szCs w:val="20"/>
          <w:u w:val="single"/>
          <w:lang w:val="en-US" w:bidi="ar-SA"/>
        </w:rPr>
        <w:t xml:space="preserve">/</w:t>
      </w:r>
      <w:r>
        <w:rPr>
          <w:rFonts w:hint="eastAsia" w:ascii="Times New Roman" w:hAnsi="Times New Roman" w:cs="Times New Roman"/>
          <w:sz w:val="21"/>
          <w:szCs w:val="20"/>
          <w:lang w:val="en-US" w:bidi="ar-SA"/>
        </w:rPr>
        <w:t xml:space="preserve">。</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12.3 计量</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12.3.1 计量原则</w:t>
      </w:r>
      <w:r/>
    </w:p>
    <w:p>
      <w:pPr>
        <w:jc w:val="both"/>
        <w:spacing w:line="360" w:lineRule="auto"/>
        <w:rPr>
          <w:rFonts w:ascii="Times New Roman" w:hAnsi="Times New Roman" w:cs="Times New Roman"/>
          <w:sz w:val="21"/>
          <w:szCs w:val="20"/>
          <w:u w:val="single"/>
          <w:lang w:val="en-US" w:bidi="ar-SA"/>
        </w:rPr>
      </w:pPr>
      <w:r>
        <w:rPr>
          <w:rFonts w:hint="eastAsia" w:ascii="Times New Roman" w:hAnsi="Times New Roman" w:cs="Times New Roman"/>
          <w:sz w:val="21"/>
          <w:szCs w:val="20"/>
          <w:lang w:val="en-US" w:bidi="ar-SA"/>
        </w:rPr>
        <w:t xml:space="preserve">工程量计算规则：</w:t>
      </w:r>
      <w:r/>
    </w:p>
    <w:p>
      <w:pPr>
        <w:jc w:val="both"/>
        <w:spacing w:line="360" w:lineRule="auto"/>
        <w:rPr>
          <w:rFonts w:ascii="Times New Roman" w:hAnsi="Times New Roman" w:cs="Times New Roman"/>
          <w:sz w:val="21"/>
          <w:szCs w:val="20"/>
          <w:u w:val="single"/>
          <w:lang w:val="en-US" w:bidi="ar-SA"/>
        </w:rPr>
      </w:pPr>
      <w:r>
        <w:rPr>
          <w:rFonts w:hint="eastAsia" w:ascii="Times New Roman" w:hAnsi="Times New Roman" w:cs="Times New Roman"/>
          <w:sz w:val="21"/>
          <w:szCs w:val="20"/>
          <w:u w:val="single"/>
          <w:lang w:val="en-US" w:bidi="ar-SA"/>
        </w:rPr>
        <w:t xml:space="preserve">工程量计量按照合同约定的工程量计算规则、图纸及变更指示等进行计量。工程量计算规则应以相关的国家标准、行业标准等为依据，由合同当事人在专用合同条款中约定。</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12.3.2 计量周期</w:t>
      </w:r>
      <w:r/>
    </w:p>
    <w:p>
      <w:pPr>
        <w:jc w:val="both"/>
        <w:spacing w:line="460" w:lineRule="exact"/>
        <w:rPr>
          <w:rFonts w:ascii="Times New Roman" w:hAnsi="Times New Roman" w:cs="Times New Roman"/>
          <w:sz w:val="21"/>
          <w:szCs w:val="20"/>
          <w:u w:val="single"/>
          <w:lang w:val="en-US" w:bidi="ar-SA"/>
        </w:rPr>
      </w:pPr>
      <w:r>
        <w:rPr>
          <w:rFonts w:hint="eastAsia" w:ascii="Times New Roman" w:hAnsi="Times New Roman" w:cs="Times New Roman"/>
          <w:sz w:val="21"/>
          <w:szCs w:val="20"/>
          <w:lang w:val="en-US" w:bidi="ar-SA"/>
        </w:rPr>
        <w:t xml:space="preserve">关于计量周期的约定：</w:t>
      </w:r>
      <w:r>
        <w:rPr>
          <w:rFonts w:hint="eastAsia" w:ascii="Times New Roman" w:hAnsi="Times New Roman" w:cs="Times New Roman"/>
          <w:sz w:val="21"/>
          <w:szCs w:val="20"/>
          <w:u w:val="single"/>
          <w:lang w:val="en-US" w:bidi="ar-SA"/>
        </w:rPr>
        <w:t xml:space="preserve">/</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12.3.3 单价合同的计量</w:t>
      </w:r>
      <w:r/>
    </w:p>
    <w:p>
      <w:pPr>
        <w:jc w:val="both"/>
        <w:spacing w:line="360" w:lineRule="auto"/>
        <w:rPr>
          <w:rFonts w:ascii="Times New Roman" w:hAnsi="Times New Roman" w:cs="Times New Roman"/>
          <w:sz w:val="21"/>
          <w:szCs w:val="20"/>
          <w:u w:val="single"/>
          <w:lang w:val="en-US" w:bidi="ar-SA"/>
        </w:rPr>
      </w:pPr>
      <w:r>
        <w:rPr>
          <w:rFonts w:hint="eastAsia" w:ascii="Times New Roman" w:hAnsi="Times New Roman" w:cs="Times New Roman"/>
          <w:sz w:val="21"/>
          <w:szCs w:val="20"/>
          <w:lang w:val="en-US" w:bidi="ar-SA"/>
        </w:rPr>
        <w:t xml:space="preserve">关于单价合同计量的约定：</w:t>
      </w:r>
      <w:r/>
    </w:p>
    <w:p>
      <w:pPr>
        <w:jc w:val="both"/>
        <w:spacing w:line="360" w:lineRule="auto"/>
        <w:rPr>
          <w:rFonts w:ascii="Times New Roman" w:hAnsi="Times New Roman" w:cs="Times New Roman"/>
          <w:sz w:val="21"/>
          <w:szCs w:val="20"/>
          <w:u w:val="single"/>
          <w:lang w:val="en-US" w:bidi="ar-SA"/>
        </w:rPr>
      </w:pPr>
      <w:r>
        <w:rPr>
          <w:rFonts w:hint="eastAsia" w:ascii="Times New Roman" w:hAnsi="Times New Roman" w:cs="Times New Roman"/>
          <w:sz w:val="21"/>
          <w:szCs w:val="20"/>
          <w:u w:val="single"/>
          <w:lang w:val="en-US" w:bidi="ar-SA"/>
        </w:rPr>
        <w:t xml:space="preserve">除专用合同条款另有约定外，单价合同的计量按照本项约定执行：</w:t>
      </w:r>
      <w:r/>
    </w:p>
    <w:p>
      <w:pPr>
        <w:jc w:val="both"/>
        <w:spacing w:line="360" w:lineRule="auto"/>
        <w:rPr>
          <w:rFonts w:ascii="Times New Roman" w:hAnsi="Times New Roman" w:cs="Times New Roman"/>
          <w:sz w:val="21"/>
          <w:szCs w:val="20"/>
          <w:u w:val="single"/>
          <w:lang w:val="en-US" w:bidi="ar-SA"/>
        </w:rPr>
      </w:pPr>
      <w:r>
        <w:rPr>
          <w:rFonts w:hint="eastAsia" w:ascii="Times New Roman" w:hAnsi="Times New Roman" w:cs="Times New Roman"/>
          <w:sz w:val="21"/>
          <w:szCs w:val="20"/>
          <w:u w:val="single"/>
          <w:lang w:val="en-US" w:bidi="ar-SA"/>
        </w:rPr>
        <w:t xml:space="preserve">（1）承包人应于每月25日向监理人报送上月20日至当月19日已完成的工程量报告，并附具进度付款申请单、已完成工程量报表和有关资料。</w:t>
      </w:r>
      <w:r/>
    </w:p>
    <w:p>
      <w:pPr>
        <w:jc w:val="both"/>
        <w:spacing w:line="360" w:lineRule="auto"/>
        <w:rPr>
          <w:rFonts w:ascii="Times New Roman" w:hAnsi="Times New Roman" w:cs="Times New Roman"/>
          <w:sz w:val="21"/>
          <w:szCs w:val="20"/>
          <w:u w:val="single"/>
          <w:lang w:val="en-US" w:bidi="ar-SA"/>
        </w:rPr>
      </w:pPr>
      <w:r>
        <w:rPr>
          <w:rFonts w:hint="eastAsia" w:ascii="Times New Roman" w:hAnsi="Times New Roman" w:cs="Times New Roman"/>
          <w:sz w:val="21"/>
          <w:szCs w:val="20"/>
          <w:u w:val="single"/>
          <w:lang w:val="en-US" w:bidi="ar-SA"/>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p>
    <w:p>
      <w:pPr>
        <w:jc w:val="both"/>
        <w:spacing w:line="360" w:lineRule="auto"/>
        <w:rPr>
          <w:rFonts w:ascii="Times New Roman" w:hAnsi="Times New Roman" w:cs="Times New Roman"/>
          <w:sz w:val="21"/>
          <w:szCs w:val="20"/>
          <w:u w:val="single"/>
          <w:lang w:val="en-US" w:bidi="ar-SA"/>
        </w:rPr>
      </w:pPr>
      <w:r>
        <w:rPr>
          <w:rFonts w:hint="eastAsia" w:ascii="Times New Roman" w:hAnsi="Times New Roman" w:cs="Times New Roman"/>
          <w:sz w:val="21"/>
          <w:szCs w:val="20"/>
          <w:u w:val="single"/>
          <w:lang w:val="en-US" w:bidi="ar-SA"/>
        </w:rPr>
        <w:t xml:space="preserve">（3）监理人和发包人在收到承包人提交的工程量报表后的</w:t>
      </w:r>
      <w:r>
        <w:rPr>
          <w:rFonts w:ascii="Times New Roman" w:hAnsi="Times New Roman" w:cs="Times New Roman"/>
          <w:sz w:val="21"/>
          <w:szCs w:val="20"/>
          <w:u w:val="single"/>
          <w:lang w:val="en-US" w:bidi="ar-SA"/>
        </w:rPr>
        <w:t xml:space="preserve">14</w:t>
      </w:r>
      <w:r>
        <w:rPr>
          <w:rFonts w:hint="eastAsia" w:ascii="Times New Roman" w:hAnsi="Times New Roman" w:cs="Times New Roman"/>
          <w:sz w:val="21"/>
          <w:szCs w:val="20"/>
          <w:u w:val="single"/>
          <w:lang w:val="en-US" w:bidi="ar-SA"/>
        </w:rPr>
        <w:t xml:space="preserve">天内完成审核。</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12.3.4 总价合同的计量</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关于总价合同计量的约定：</w:t>
      </w:r>
      <w:r>
        <w:rPr>
          <w:rFonts w:hint="eastAsia" w:ascii="Times New Roman" w:hAnsi="Times New Roman" w:cs="Times New Roman"/>
          <w:sz w:val="21"/>
          <w:szCs w:val="20"/>
          <w:u w:val="single"/>
          <w:lang w:val="en-US" w:bidi="ar-SA"/>
        </w:rPr>
        <w:t xml:space="preserve">不采用</w:t>
      </w:r>
      <w:r>
        <w:rPr>
          <w:rFonts w:hint="eastAsia" w:ascii="Times New Roman" w:hAnsi="Times New Roman" w:cs="Times New Roman"/>
          <w:sz w:val="21"/>
          <w:szCs w:val="20"/>
          <w:lang w:val="en-US" w:bidi="ar-SA"/>
        </w:rPr>
        <w:t xml:space="preserve">。</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12.3.5总价合同采用支付分解表计量支付的，是否适用第12.3.4 项〔总价合同的计量〕约定进行计量：</w:t>
      </w:r>
      <w:r>
        <w:rPr>
          <w:rFonts w:hint="eastAsia" w:ascii="Times New Roman" w:hAnsi="Times New Roman" w:cs="Times New Roman"/>
          <w:sz w:val="21"/>
          <w:szCs w:val="20"/>
          <w:u w:val="single"/>
          <w:lang w:val="en-US" w:bidi="ar-SA"/>
        </w:rPr>
        <w:t xml:space="preserve"> / </w:t>
      </w:r>
      <w:r>
        <w:rPr>
          <w:rFonts w:hint="eastAsia" w:ascii="Times New Roman" w:hAnsi="Times New Roman" w:cs="Times New Roman"/>
          <w:sz w:val="21"/>
          <w:szCs w:val="20"/>
          <w:lang w:val="en-US" w:bidi="ar-SA"/>
        </w:rPr>
        <w:t xml:space="preserve">。</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12.3.6 其他价格形式合同的计量</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其他价格形式的计量方式和程序：</w:t>
      </w:r>
      <w:r>
        <w:rPr>
          <w:rFonts w:hint="eastAsia" w:ascii="Times New Roman" w:hAnsi="Times New Roman" w:cs="Times New Roman"/>
          <w:sz w:val="21"/>
          <w:szCs w:val="20"/>
          <w:u w:val="single"/>
          <w:lang w:val="en-US" w:bidi="ar-SA"/>
        </w:rPr>
        <w:t xml:space="preserve"> / </w:t>
      </w:r>
      <w:r>
        <w:rPr>
          <w:rFonts w:hint="eastAsia" w:ascii="Times New Roman" w:hAnsi="Times New Roman" w:cs="Times New Roman"/>
          <w:sz w:val="21"/>
          <w:szCs w:val="20"/>
          <w:lang w:val="en-US" w:bidi="ar-SA"/>
        </w:rPr>
        <w:t xml:space="preserve">。</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12.4 工程进度款支付</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12.4.1 付款周期</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关于付款周期的约定：</w:t>
      </w:r>
      <w:r/>
    </w:p>
    <w:p>
      <w:pPr>
        <w:jc w:val="both"/>
        <w:keepLines/>
        <w:keepNext/>
        <w:spacing w:before="120" w:after="120" w:line="360" w:lineRule="auto"/>
        <w:rPr>
          <w:rFonts w:ascii="Times New Roman" w:hAnsi="Times New Roman" w:cs="Times New Roman"/>
          <w:sz w:val="21"/>
          <w:szCs w:val="20"/>
          <w:u w:val="single"/>
          <w:lang w:val="en-US" w:bidi="ar-SA"/>
        </w:rPr>
        <w:outlineLvl w:val="3"/>
      </w:pPr>
      <w:r>
        <w:rPr>
          <w:rFonts w:hint="eastAsia" w:ascii="Times New Roman" w:hAnsi="Times New Roman" w:cs="Times New Roman"/>
          <w:sz w:val="21"/>
          <w:szCs w:val="20"/>
          <w:u w:val="single"/>
          <w:lang w:val="en-US" w:bidi="ar-SA"/>
        </w:rPr>
        <w:t xml:space="preserve">（1）</w:t>
      </w:r>
      <w:r>
        <w:rPr>
          <w:rFonts w:ascii="Times New Roman" w:hAnsi="Times New Roman" w:cs="Times New Roman"/>
          <w:sz w:val="21"/>
          <w:szCs w:val="20"/>
          <w:u w:val="single"/>
          <w:lang w:val="en-US" w:bidi="ar-SA"/>
        </w:rPr>
        <w:t xml:space="preserve">工程结束，项目竣工验收完毕后，</w:t>
      </w:r>
      <w:r>
        <w:rPr>
          <w:rFonts w:hint="eastAsia" w:ascii="Times New Roman" w:hAnsi="Times New Roman" w:cs="Times New Roman"/>
          <w:sz w:val="21"/>
          <w:szCs w:val="20"/>
          <w:u w:val="single"/>
          <w:lang w:val="en-US" w:bidi="ar-SA"/>
        </w:rPr>
        <w:t xml:space="preserve">承包人</w:t>
      </w:r>
      <w:r>
        <w:rPr>
          <w:rFonts w:ascii="Times New Roman" w:hAnsi="Times New Roman" w:cs="Times New Roman"/>
          <w:sz w:val="21"/>
          <w:szCs w:val="20"/>
          <w:u w:val="single"/>
          <w:lang w:val="en-US" w:bidi="ar-SA"/>
        </w:rPr>
        <w:t xml:space="preserve">应在60日内按甲方要求将项目结算资料送交</w:t>
      </w:r>
      <w:r>
        <w:rPr>
          <w:rFonts w:hint="eastAsia" w:ascii="Times New Roman" w:hAnsi="Times New Roman" w:cs="Times New Roman"/>
          <w:sz w:val="21"/>
          <w:szCs w:val="20"/>
          <w:u w:val="single"/>
          <w:lang w:val="en-US" w:bidi="ar-SA"/>
        </w:rPr>
        <w:t xml:space="preserve">发包人</w:t>
      </w:r>
      <w:r>
        <w:rPr>
          <w:rFonts w:ascii="Times New Roman" w:hAnsi="Times New Roman" w:cs="Times New Roman"/>
          <w:sz w:val="21"/>
          <w:szCs w:val="20"/>
          <w:u w:val="single"/>
          <w:lang w:val="en-US" w:bidi="ar-SA"/>
        </w:rPr>
        <w:t xml:space="preserve">审计部门审计，</w:t>
      </w:r>
      <w:r>
        <w:rPr>
          <w:rFonts w:hint="eastAsia" w:ascii="Times New Roman" w:hAnsi="Times New Roman" w:cs="Times New Roman"/>
          <w:sz w:val="21"/>
          <w:szCs w:val="20"/>
          <w:u w:val="single"/>
          <w:lang w:val="en-US" w:bidi="ar-SA"/>
        </w:rPr>
        <w:t xml:space="preserve">发包人</w:t>
      </w:r>
      <w:r>
        <w:rPr>
          <w:rFonts w:ascii="Times New Roman" w:hAnsi="Times New Roman" w:cs="Times New Roman"/>
          <w:sz w:val="21"/>
          <w:szCs w:val="20"/>
          <w:u w:val="single"/>
          <w:lang w:val="en-US" w:bidi="ar-SA"/>
        </w:rPr>
        <w:t xml:space="preserve">审计部门对</w:t>
      </w:r>
      <w:r>
        <w:rPr>
          <w:rFonts w:hint="eastAsia" w:ascii="Times New Roman" w:hAnsi="Times New Roman" w:cs="Times New Roman"/>
          <w:sz w:val="21"/>
          <w:szCs w:val="20"/>
          <w:u w:val="single"/>
          <w:lang w:val="en-US" w:bidi="ar-SA"/>
        </w:rPr>
        <w:t xml:space="preserve">承包人</w:t>
      </w:r>
      <w:r>
        <w:rPr>
          <w:rFonts w:ascii="Times New Roman" w:hAnsi="Times New Roman" w:cs="Times New Roman"/>
          <w:sz w:val="21"/>
          <w:szCs w:val="20"/>
          <w:u w:val="single"/>
          <w:lang w:val="en-US" w:bidi="ar-SA"/>
        </w:rPr>
        <w:t xml:space="preserve">出具的项目结算资料无异议后15日内，承包人提供与当期应付款项金额相一致的足额发票，发包人向承包人付至合同暂定价的70％。</w:t>
      </w:r>
      <w:r/>
    </w:p>
    <w:p>
      <w:pPr>
        <w:jc w:val="both"/>
        <w:keepLines/>
        <w:keepNext/>
        <w:spacing w:before="120" w:after="120" w:line="360" w:lineRule="auto"/>
        <w:rPr>
          <w:rFonts w:ascii="Times New Roman" w:hAnsi="Times New Roman" w:cs="Times New Roman"/>
          <w:sz w:val="21"/>
          <w:szCs w:val="20"/>
          <w:u w:val="single"/>
          <w:lang w:val="en-US" w:bidi="ar-SA"/>
        </w:rPr>
        <w:outlineLvl w:val="3"/>
      </w:pPr>
      <w:r>
        <w:rPr>
          <w:rFonts w:hint="eastAsia" w:ascii="Times New Roman" w:hAnsi="Times New Roman" w:cs="Times New Roman"/>
          <w:sz w:val="21"/>
          <w:szCs w:val="20"/>
          <w:u w:val="single"/>
          <w:lang w:val="en-US" w:bidi="ar-SA"/>
        </w:rPr>
        <w:t xml:space="preserve">（2）</w:t>
      </w:r>
      <w:r>
        <w:rPr>
          <w:rFonts w:ascii="Times New Roman" w:hAnsi="Times New Roman" w:cs="Times New Roman"/>
          <w:sz w:val="21"/>
          <w:szCs w:val="20"/>
          <w:u w:val="single"/>
          <w:lang w:val="en-US" w:bidi="ar-SA"/>
        </w:rPr>
        <w:t xml:space="preserve">项目决算审计结束后十五个工作日内，</w:t>
      </w:r>
      <w:r>
        <w:rPr>
          <w:rFonts w:hint="eastAsia" w:ascii="Times New Roman" w:hAnsi="Times New Roman" w:cs="Times New Roman"/>
          <w:sz w:val="21"/>
          <w:szCs w:val="20"/>
          <w:u w:val="single"/>
          <w:lang w:val="en-US" w:bidi="ar-SA"/>
        </w:rPr>
        <w:t xml:space="preserve">承包人</w:t>
      </w:r>
      <w:r>
        <w:rPr>
          <w:rFonts w:ascii="Times New Roman" w:hAnsi="Times New Roman" w:cs="Times New Roman"/>
          <w:sz w:val="21"/>
          <w:szCs w:val="20"/>
          <w:u w:val="single"/>
          <w:lang w:val="en-US" w:bidi="ar-SA"/>
        </w:rPr>
        <w:t xml:space="preserve">配合</w:t>
      </w:r>
      <w:r>
        <w:rPr>
          <w:rFonts w:hint="eastAsia" w:ascii="Times New Roman" w:hAnsi="Times New Roman" w:cs="Times New Roman"/>
          <w:sz w:val="21"/>
          <w:szCs w:val="20"/>
          <w:u w:val="single"/>
          <w:lang w:val="en-US" w:bidi="ar-SA"/>
        </w:rPr>
        <w:t xml:space="preserve">发包人</w:t>
      </w:r>
      <w:r>
        <w:rPr>
          <w:rFonts w:ascii="Times New Roman" w:hAnsi="Times New Roman" w:cs="Times New Roman"/>
          <w:sz w:val="21"/>
          <w:szCs w:val="20"/>
          <w:u w:val="single"/>
          <w:lang w:val="en-US" w:bidi="ar-SA"/>
        </w:rPr>
        <w:t xml:space="preserve">进行固定资产登记</w:t>
      </w:r>
      <w:r>
        <w:rPr>
          <w:rFonts w:hint="eastAsia" w:ascii="Times New Roman" w:hAnsi="Times New Roman" w:cs="Times New Roman"/>
          <w:sz w:val="21"/>
          <w:szCs w:val="20"/>
          <w:u w:val="single"/>
          <w:lang w:val="en-US" w:bidi="ar-SA"/>
        </w:rPr>
        <w:t xml:space="preserve">，</w:t>
      </w:r>
      <w:r>
        <w:rPr>
          <w:rFonts w:ascii="Times New Roman" w:hAnsi="Times New Roman" w:cs="Times New Roman"/>
          <w:sz w:val="21"/>
          <w:szCs w:val="20"/>
          <w:u w:val="single"/>
          <w:lang w:val="en-US" w:bidi="ar-SA"/>
        </w:rPr>
        <w:t xml:space="preserve">,</w:t>
      </w:r>
      <w:r>
        <w:rPr>
          <w:rFonts w:hint="eastAsia" w:ascii="Times New Roman" w:hAnsi="Times New Roman" w:cs="Times New Roman"/>
          <w:sz w:val="21"/>
          <w:szCs w:val="20"/>
          <w:u w:val="single"/>
          <w:lang w:val="en-US" w:bidi="ar-SA"/>
        </w:rPr>
        <w:t xml:space="preserve">发包人</w:t>
      </w:r>
      <w:r>
        <w:rPr>
          <w:rFonts w:ascii="Times New Roman" w:hAnsi="Times New Roman" w:cs="Times New Roman"/>
          <w:sz w:val="21"/>
          <w:szCs w:val="20"/>
          <w:u w:val="single"/>
          <w:lang w:val="en-US" w:bidi="ar-SA"/>
        </w:rPr>
        <w:t xml:space="preserve">付至结算审计审定价的100％。履约保证金（合同签约价的3％）在本工程竣工并经发包人组织的验收合格后，自发包人组织的工程竣工验收合格报告签署之日起转为质量保证金，质保期24个月（自发包人组织的工程竣工验收合格报告签署之日起算），质保期满且发包人确认工程无质量问题且无任何遗留问题后，发包人一次性无息返还承包人质量保证金（扣除因质量问题引起的维修费用、违约赔偿金及其他违约金等）。</w:t>
      </w:r>
      <w:r/>
    </w:p>
    <w:p>
      <w:pPr>
        <w:jc w:val="both"/>
        <w:spacing w:line="360" w:lineRule="auto"/>
        <w:rPr>
          <w:rFonts w:ascii="Times New Roman" w:hAnsi="Times New Roman" w:cs="Times New Roman"/>
          <w:sz w:val="21"/>
          <w:szCs w:val="20"/>
          <w:u w:val="single"/>
          <w:lang w:val="en-US" w:bidi="ar-SA"/>
        </w:rPr>
      </w:pPr>
      <w:r>
        <w:rPr>
          <w:rFonts w:hint="eastAsia" w:ascii="Times New Roman" w:hAnsi="Times New Roman" w:cs="Times New Roman"/>
          <w:sz w:val="21"/>
          <w:szCs w:val="20"/>
          <w:u w:val="single"/>
          <w:lang w:val="en-US" w:bidi="ar-SA"/>
        </w:rPr>
        <w:t xml:space="preserve">每次付款前承包人必须提供发票开具方与承包人、金额与当期应付款金额均相一致的，且符合国家规定的增值税专用发票。</w:t>
      </w:r>
      <w:r/>
    </w:p>
    <w:p>
      <w:pPr>
        <w:jc w:val="both"/>
        <w:spacing w:line="360" w:lineRule="auto"/>
        <w:rPr>
          <w:rFonts w:ascii="仿宋" w:hAnsi="仿宋" w:eastAsia="仿宋" w:cs="仿宋"/>
          <w:sz w:val="24"/>
          <w:szCs w:val="24"/>
          <w:u w:val="single"/>
          <w:lang w:val="en-US" w:bidi="ar-SA"/>
        </w:rPr>
      </w:pPr>
      <w:r>
        <w:rPr>
          <w:rFonts w:hint="eastAsia" w:ascii="Times New Roman" w:hAnsi="Times New Roman" w:cs="Times New Roman"/>
          <w:sz w:val="21"/>
          <w:szCs w:val="20"/>
          <w:u w:val="single"/>
          <w:lang w:val="en-US" w:bidi="ar-SA"/>
        </w:rPr>
        <w:t xml:space="preserve">发包人支付给承包人的工程进度款承包人只能用于与本工程相关的劳力、材料、机械等费用，如工程进度款用于支付与本工程无关的费用，发包人有权拒付。</w:t>
      </w:r>
      <w:r/>
    </w:p>
    <w:p>
      <w:pPr>
        <w:jc w:val="both"/>
        <w:spacing w:line="440" w:lineRule="exact"/>
        <w:rPr>
          <w:rFonts w:ascii="Times New Roman" w:hAnsi="Times New Roman" w:cs="Times New Roman"/>
          <w:sz w:val="21"/>
          <w:szCs w:val="20"/>
          <w:u w:val="single"/>
          <w:lang w:val="en-US" w:bidi="ar-SA"/>
        </w:rPr>
      </w:pPr>
      <w:r>
        <w:rPr>
          <w:rFonts w:hint="eastAsia" w:ascii="Times New Roman" w:hAnsi="Times New Roman" w:cs="Times New Roman"/>
          <w:sz w:val="21"/>
          <w:szCs w:val="20"/>
          <w:u w:val="single"/>
          <w:lang w:val="en-US" w:bidi="ar-SA"/>
        </w:rPr>
        <w:t xml:space="preserve">注：在达到相应的付款节点后，承包人应向发包人提出书面付款申请，写明收款账号，并开具等额发票，在工程审计完成后，承包人应开齐对应审定价的全额发票，经发包人审核无误后支付。承包人前述手续不全的，发包人有权暂停支付相关款项。</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12.4.2 进度付款申请单的编制</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关于进度付款申请单编制的约定：</w:t>
      </w:r>
      <w:r>
        <w:rPr>
          <w:rFonts w:hint="eastAsia" w:ascii="Times New Roman" w:hAnsi="Times New Roman" w:cs="Times New Roman"/>
          <w:sz w:val="21"/>
          <w:szCs w:val="20"/>
          <w:u w:val="single"/>
          <w:lang w:val="en-US" w:bidi="ar-SA"/>
        </w:rPr>
        <w:t xml:space="preserve">按通用条款执行</w:t>
      </w:r>
      <w:r>
        <w:rPr>
          <w:rFonts w:hint="eastAsia" w:ascii="Times New Roman" w:hAnsi="Times New Roman" w:cs="Times New Roman"/>
          <w:sz w:val="21"/>
          <w:szCs w:val="20"/>
          <w:lang w:val="en-US" w:bidi="ar-SA"/>
        </w:rPr>
        <w:t xml:space="preserve">。</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12.4.3 进度付款申请单的提交</w:t>
      </w:r>
      <w:r/>
    </w:p>
    <w:p>
      <w:pPr>
        <w:jc w:val="both"/>
        <w:spacing w:line="460" w:lineRule="exact"/>
        <w:rPr>
          <w:rFonts w:ascii="Times New Roman" w:hAnsi="Times New Roman" w:cs="Times New Roman"/>
          <w:sz w:val="21"/>
          <w:szCs w:val="20"/>
          <w:u w:val="single"/>
          <w:lang w:val="en-US" w:bidi="ar-SA"/>
        </w:rPr>
      </w:pPr>
      <w:r>
        <w:rPr>
          <w:rFonts w:hint="eastAsia" w:ascii="Times New Roman" w:hAnsi="Times New Roman" w:cs="Times New Roman"/>
          <w:sz w:val="21"/>
          <w:szCs w:val="20"/>
          <w:lang w:val="en-US" w:bidi="ar-SA"/>
        </w:rPr>
        <w:t xml:space="preserve">（1）单价合同进度付款申请单提交的约定：</w:t>
      </w:r>
      <w:r>
        <w:rPr>
          <w:rFonts w:hint="eastAsia" w:ascii="Times New Roman" w:hAnsi="Times New Roman" w:cs="Times New Roman"/>
          <w:sz w:val="21"/>
          <w:szCs w:val="20"/>
          <w:u w:val="single"/>
          <w:lang w:val="en-US" w:bidi="ar-SA"/>
        </w:rPr>
        <w:t xml:space="preserve">所有工程款支付均须有发包人、监理、跟踪审计三方代表签字确认工作量和付款意见后，发包人才予办理工程款支付的手续；</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u w:val="single"/>
          <w:lang w:val="en-US" w:bidi="ar-SA"/>
        </w:rPr>
        <w:t xml:space="preserve">所有合同外增加的工作内容和工程变更调整的价款，一律不作为进度款支付的计算基数，须待竣工结算审计后与工程款结算款同期支付。</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（2）总价合同进度付款申请单提交的约定：</w:t>
      </w:r>
      <w:r>
        <w:rPr>
          <w:rFonts w:hint="eastAsia" w:ascii="Times New Roman" w:hAnsi="Times New Roman" w:cs="Times New Roman"/>
          <w:sz w:val="21"/>
          <w:szCs w:val="20"/>
          <w:u w:val="single"/>
          <w:lang w:val="en-US" w:bidi="ar-SA"/>
        </w:rPr>
        <w:t xml:space="preserve"> / </w:t>
      </w:r>
      <w:r>
        <w:rPr>
          <w:rFonts w:hint="eastAsia" w:ascii="Times New Roman" w:hAnsi="Times New Roman" w:cs="Times New Roman"/>
          <w:sz w:val="21"/>
          <w:szCs w:val="20"/>
          <w:lang w:val="en-US" w:bidi="ar-SA"/>
        </w:rPr>
        <w:t xml:space="preserve">。</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（3）其他价格形式合同进度付款申请单提交的约定：</w:t>
      </w:r>
      <w:r>
        <w:rPr>
          <w:rFonts w:hint="eastAsia" w:ascii="Times New Roman" w:hAnsi="Times New Roman" w:cs="Times New Roman"/>
          <w:sz w:val="21"/>
          <w:szCs w:val="20"/>
          <w:u w:val="single"/>
          <w:lang w:val="en-US" w:bidi="ar-SA"/>
        </w:rPr>
        <w:t xml:space="preserve"> / </w:t>
      </w:r>
      <w:r>
        <w:rPr>
          <w:rFonts w:hint="eastAsia" w:ascii="Times New Roman" w:hAnsi="Times New Roman" w:cs="Times New Roman"/>
          <w:sz w:val="21"/>
          <w:szCs w:val="20"/>
          <w:lang w:val="en-US" w:bidi="ar-SA"/>
        </w:rPr>
        <w:t xml:space="preserve">。</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12.4.4 进度款审核和支付</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（1）监理人审查并报送发包人的期限：</w:t>
      </w:r>
      <w:r>
        <w:rPr>
          <w:rFonts w:hint="eastAsia" w:ascii="Times New Roman" w:hAnsi="Times New Roman" w:cs="Times New Roman"/>
          <w:sz w:val="21"/>
          <w:szCs w:val="20"/>
          <w:u w:val="single"/>
          <w:lang w:val="en-US" w:bidi="ar-SA"/>
        </w:rPr>
        <w:t xml:space="preserve">按专用条款执行</w:t>
      </w:r>
      <w:r>
        <w:rPr>
          <w:rFonts w:hint="eastAsia" w:ascii="Times New Roman" w:hAnsi="Times New Roman" w:cs="Times New Roman"/>
          <w:sz w:val="21"/>
          <w:szCs w:val="20"/>
          <w:lang w:val="en-US" w:bidi="ar-SA"/>
        </w:rPr>
        <w:t xml:space="preserve">。</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发包人完成审批并签发进度款支付证书的期限：</w:t>
      </w:r>
      <w:r>
        <w:rPr>
          <w:rFonts w:hint="eastAsia" w:ascii="Times New Roman" w:hAnsi="Times New Roman" w:cs="Times New Roman"/>
          <w:sz w:val="21"/>
          <w:szCs w:val="20"/>
          <w:u w:val="single"/>
          <w:lang w:val="en-US" w:bidi="ar-SA"/>
        </w:rPr>
        <w:t xml:space="preserve">按专用条款执行</w:t>
      </w:r>
      <w:r>
        <w:rPr>
          <w:rFonts w:hint="eastAsia" w:ascii="Times New Roman" w:hAnsi="Times New Roman" w:cs="Times New Roman"/>
          <w:sz w:val="21"/>
          <w:szCs w:val="20"/>
          <w:lang w:val="en-US" w:bidi="ar-SA"/>
        </w:rPr>
        <w:t xml:space="preserve">。</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（2）发包人支付进度款的期限：</w:t>
      </w:r>
      <w:r>
        <w:rPr>
          <w:rFonts w:hint="eastAsia" w:ascii="Times New Roman" w:hAnsi="Times New Roman" w:cs="Times New Roman"/>
          <w:sz w:val="21"/>
          <w:szCs w:val="20"/>
          <w:u w:val="single"/>
          <w:lang w:val="en-US" w:bidi="ar-SA"/>
        </w:rPr>
        <w:t xml:space="preserve">按专用条款执行</w:t>
      </w:r>
      <w:r>
        <w:rPr>
          <w:rFonts w:hint="eastAsia" w:ascii="Times New Roman" w:hAnsi="Times New Roman" w:cs="Times New Roman"/>
          <w:sz w:val="21"/>
          <w:szCs w:val="20"/>
          <w:lang w:val="en-US" w:bidi="ar-SA"/>
        </w:rPr>
        <w:t xml:space="preserve">。</w:t>
      </w:r>
      <w:r/>
    </w:p>
    <w:p>
      <w:pPr>
        <w:jc w:val="both"/>
        <w:spacing w:line="360" w:lineRule="auto"/>
        <w:rPr>
          <w:rFonts w:ascii="Times New Roman" w:hAnsi="Times New Roman" w:cs="Times New Roman"/>
          <w:sz w:val="21"/>
          <w:szCs w:val="20"/>
          <w:u w:val="single"/>
          <w:lang w:val="en-US" w:bidi="ar-SA"/>
        </w:rPr>
      </w:pPr>
      <w:r>
        <w:rPr>
          <w:rFonts w:hint="eastAsia" w:ascii="Times New Roman" w:hAnsi="Times New Roman" w:cs="Times New Roman"/>
          <w:sz w:val="21"/>
          <w:szCs w:val="20"/>
          <w:lang w:val="en-US" w:bidi="ar-SA"/>
        </w:rPr>
        <w:t xml:space="preserve">发包人逾期支付进度款的违约金的计算方式：</w:t>
      </w:r>
      <w:r/>
    </w:p>
    <w:p>
      <w:pPr>
        <w:jc w:val="both"/>
        <w:spacing w:line="360" w:lineRule="auto"/>
        <w:rPr>
          <w:rFonts w:ascii="Times New Roman" w:hAnsi="Times New Roman" w:cs="Times New Roman"/>
          <w:sz w:val="21"/>
          <w:szCs w:val="20"/>
          <w:lang w:val="en-US" w:bidi="ar-SA"/>
        </w:rPr>
      </w:pPr>
      <w:r>
        <w:rPr>
          <w:rFonts w:hint="eastAsia" w:ascii="Times New Roman" w:hAnsi="Times New Roman" w:cs="Times New Roman"/>
          <w:sz w:val="21"/>
          <w:szCs w:val="20"/>
          <w:u w:val="single"/>
          <w:lang w:val="en-US" w:bidi="ar-SA"/>
        </w:rPr>
        <w:t xml:space="preserve">按同期全国银行间同业拆借中心公布的贷款市场报价利率计算利息</w:t>
      </w:r>
      <w:r>
        <w:rPr>
          <w:rFonts w:hint="eastAsia" w:ascii="Times New Roman" w:hAnsi="Times New Roman" w:cs="Times New Roman"/>
          <w:sz w:val="21"/>
          <w:szCs w:val="20"/>
          <w:lang w:val="en-US" w:bidi="ar-SA"/>
        </w:rPr>
        <w:t xml:space="preserve">。承包人理解发包人高校财务付款制度的特殊性，自愿放弃违约金主张。</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12.4.5支付分解表的编制</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1、总价合同支付分解表的编制与审批：</w:t>
      </w:r>
      <w:r>
        <w:rPr>
          <w:rFonts w:hint="eastAsia" w:ascii="Times New Roman" w:hAnsi="Times New Roman" w:cs="Times New Roman"/>
          <w:sz w:val="21"/>
          <w:szCs w:val="20"/>
          <w:u w:val="single"/>
          <w:lang w:val="en-US" w:bidi="ar-SA"/>
        </w:rPr>
        <w:t xml:space="preserve">不采用</w:t>
      </w:r>
      <w:r>
        <w:rPr>
          <w:rFonts w:hint="eastAsia" w:ascii="Times New Roman" w:hAnsi="Times New Roman" w:cs="Times New Roman"/>
          <w:sz w:val="21"/>
          <w:szCs w:val="20"/>
          <w:lang w:val="en-US" w:bidi="ar-SA"/>
        </w:rPr>
        <w:t xml:space="preserve">。</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2、单价合同的总价项目支付分解表的编制与审批：</w:t>
      </w:r>
      <w:r>
        <w:rPr>
          <w:rFonts w:hint="eastAsia" w:ascii="Times New Roman" w:hAnsi="Times New Roman" w:cs="Times New Roman"/>
          <w:sz w:val="21"/>
          <w:szCs w:val="20"/>
          <w:u w:val="single"/>
          <w:lang w:val="en-US" w:bidi="ar-SA"/>
        </w:rPr>
        <w:t xml:space="preserve">不采用</w:t>
      </w:r>
      <w:r>
        <w:rPr>
          <w:rFonts w:hint="eastAsia" w:ascii="Times New Roman" w:hAnsi="Times New Roman" w:cs="Times New Roman"/>
          <w:sz w:val="21"/>
          <w:szCs w:val="20"/>
          <w:lang w:val="en-US" w:bidi="ar-SA"/>
        </w:rPr>
        <w:t xml:space="preserve">。</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13. 验收和工程试车</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13.1 分部分项工程验收</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监理人不能按时进行验收时，应提前</w:t>
      </w:r>
      <w:r>
        <w:rPr>
          <w:rFonts w:hint="eastAsia" w:ascii="Times New Roman" w:hAnsi="Times New Roman" w:cs="Times New Roman"/>
          <w:sz w:val="21"/>
          <w:szCs w:val="20"/>
          <w:u w:val="single"/>
          <w:lang w:val="en-US" w:bidi="ar-SA"/>
        </w:rPr>
        <w:t xml:space="preserve"> 24</w:t>
      </w:r>
      <w:r>
        <w:rPr>
          <w:rFonts w:hint="eastAsia" w:ascii="Times New Roman" w:hAnsi="Times New Roman" w:cs="Times New Roman"/>
          <w:sz w:val="21"/>
          <w:szCs w:val="20"/>
          <w:lang w:val="en-US" w:bidi="ar-SA"/>
        </w:rPr>
        <w:t xml:space="preserve">小时提交书面延期要求。</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关于延期最长不得超过：</w:t>
      </w:r>
      <w:r>
        <w:rPr>
          <w:rFonts w:hint="eastAsia" w:ascii="Times New Roman" w:hAnsi="Times New Roman" w:cs="Times New Roman"/>
          <w:sz w:val="21"/>
          <w:szCs w:val="20"/>
          <w:u w:val="single"/>
          <w:lang w:val="en-US" w:bidi="ar-SA"/>
        </w:rPr>
        <w:t xml:space="preserve"> 48 </w:t>
      </w:r>
      <w:r>
        <w:rPr>
          <w:rFonts w:hint="eastAsia" w:ascii="Times New Roman" w:hAnsi="Times New Roman" w:cs="Times New Roman"/>
          <w:sz w:val="21"/>
          <w:szCs w:val="20"/>
          <w:lang w:val="en-US" w:bidi="ar-SA"/>
        </w:rPr>
        <w:t xml:space="preserve">小时。</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13.2 竣工验收</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13.2.1竣工验收程序</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承包人向监理报送竣工验收申请报告，监理应在收到竣工验收申请报告后【7】天内完成审查并报送发包人。监理审查后认为尚不具备验收条件的，应通知承包人在竣工验收前承包人还需完成的工作内容，承包人应在完成监理通知的全部工作内容后，再次提交竣工验收申请报告。</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(2)监理审查后认为已具备竣工验收条件的，应将竣工验收申请报告提交发包人，发包人应在收到经监理审核的竣工验收申请报告后【7】天内审批完毕并组织监理、承包人、设计单位等相关单位完成竣工验收。</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(3)项目竣工验收合格后，承包人需安排人员看管，直至将项目整体移交给项目发包人为止。在项目未移交前的现场看管费，成品保护费均由承包人承担。遇特殊情况，承发包人双方另行协商。</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(4)竣工验收不合格的，承包人应按照发包人和监理人的验收意见和指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firstLine="420"/>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发包人有权在工程竣工前和竣工后的质保期内对本工程所涉及的工程内容进行</w:t>
      </w:r>
      <w:r>
        <w:rPr>
          <w:rFonts w:hint="eastAsia" w:ascii="Times New Roman" w:hAnsi="Times New Roman" w:cs="Times New Roman"/>
          <w:sz w:val="21"/>
          <w:szCs w:val="20"/>
          <w:lang w:val="en-US" w:bidi="ar-SA"/>
        </w:rPr>
        <w:t xml:space="preserve">环保检测或质量检测，具体检测内容和检测单位由发包人指定，承包人须无条件配合，检测单位必须出具符合国家规范及具有法律效力的检测报告。工程竣工前的检测费用由承包人承担。工程竣工后的质保期内进行的检测，检测报告结果为合格的，则检测费用由发包人承担；检测结果为不合格的，则检测费用由承包人承担。检测报告结果为不合格的，承包人须及时进行返工、修复或采取其他补救措施，由此增加的费用和工期延误的责任以及对发包人、发包人师生及其他方造成的人身伤害或损失赔偿责任均由承包人承担。在质保期内发生的检测不合格问题，质保期须相应顺延。</w:t>
      </w:r>
      <w:r/>
    </w:p>
    <w:p>
      <w:pPr>
        <w:ind w:firstLine="420"/>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工程质量不符合设计要求或质量不能达到合同约定标准的，发包人有权要求承包人返工或有权单方解除合同，承包人须无条件接受；返工的费用由承包人承担，工期不予顺延。</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发包人不按照本项约定组织竣工验收、颁发工程接收证书的违约金的计算方法：无。</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13.2.2移交、接收全部与部分工程</w:t>
      </w:r>
      <w:r/>
    </w:p>
    <w:p>
      <w:pPr>
        <w:jc w:val="both"/>
        <w:spacing w:line="460" w:lineRule="exact"/>
        <w:rPr>
          <w:rFonts w:ascii="仿宋" w:hAnsi="仿宋" w:eastAsia="仿宋" w:cs="仿宋"/>
          <w:sz w:val="24"/>
          <w:szCs w:val="24"/>
          <w:lang w:val="en-US" w:bidi="ar-SA"/>
        </w:rPr>
      </w:pPr>
      <w:r>
        <w:rPr>
          <w:rFonts w:hint="eastAsia" w:ascii="Times New Roman" w:hAnsi="Times New Roman" w:cs="Times New Roman"/>
          <w:sz w:val="21"/>
          <w:szCs w:val="20"/>
          <w:lang w:val="en-US" w:bidi="ar-SA"/>
        </w:rPr>
        <w:t xml:space="preserve">承包人向发包人移交工程的期限：</w:t>
      </w:r>
      <w:r>
        <w:rPr>
          <w:rFonts w:hint="eastAsia" w:ascii="Times New Roman" w:hAnsi="Times New Roman" w:cs="Times New Roman"/>
          <w:sz w:val="21"/>
          <w:szCs w:val="20"/>
          <w:u w:val="single"/>
          <w:lang w:val="en-US" w:bidi="ar-SA"/>
        </w:rPr>
        <w:t xml:space="preserve">竣工验收合格后，自验收合格之日起10天内承包人将工程移交给发包人</w:t>
      </w:r>
      <w:r>
        <w:rPr>
          <w:rFonts w:hint="eastAsia" w:ascii="Times New Roman" w:hAnsi="Times New Roman" w:cs="Times New Roman"/>
          <w:sz w:val="21"/>
          <w:szCs w:val="20"/>
          <w:lang w:val="en-US" w:bidi="ar-SA"/>
        </w:rPr>
        <w:t xml:space="preserve">。</w:t>
      </w:r>
      <w:r/>
    </w:p>
    <w:p>
      <w:pPr>
        <w:ind w:firstLine="420"/>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发包人未按本合同约定接收全部或部分工程的，违约金的计算方法为：无。</w:t>
      </w:r>
      <w:r/>
    </w:p>
    <w:p>
      <w:pPr>
        <w:ind w:firstLine="420"/>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承包人未按时移交工程的，违约金的计算方法为：经发包人组织验收合格的工程，则自验收合格之日起10天内承包人将工程移交给发包人，撤出全部临建、施工人员、施工机械和剩余材料，并将承包范围内的所有工程清理干净，如承包人不能及时拆除或清理，对于占用的范围发包人将收取100元/平方•天的占用费，发包人还有权派人强行拆除并清理，造成的费用和损失由承包人承担。</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13.3 工程试车</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13.3.1 试车程序</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工程试车内容：</w:t>
      </w:r>
      <w:r>
        <w:rPr>
          <w:rFonts w:hint="eastAsia" w:ascii="Times New Roman" w:hAnsi="Times New Roman" w:cs="Times New Roman"/>
          <w:sz w:val="21"/>
          <w:szCs w:val="20"/>
          <w:u w:val="single"/>
          <w:lang w:val="en-US" w:bidi="ar-SA"/>
        </w:rPr>
        <w:t xml:space="preserve"> / </w:t>
      </w:r>
      <w:r>
        <w:rPr>
          <w:rFonts w:hint="eastAsia" w:ascii="Times New Roman" w:hAnsi="Times New Roman" w:cs="Times New Roman"/>
          <w:sz w:val="21"/>
          <w:szCs w:val="20"/>
          <w:lang w:val="en-US" w:bidi="ar-SA"/>
        </w:rPr>
        <w:t xml:space="preserve">。</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（1）单机无负荷试车费用由</w:t>
      </w:r>
      <w:r>
        <w:rPr>
          <w:rFonts w:hint="eastAsia" w:ascii="Times New Roman" w:hAnsi="Times New Roman" w:cs="Times New Roman"/>
          <w:sz w:val="21"/>
          <w:szCs w:val="20"/>
          <w:u w:val="single"/>
          <w:lang w:val="en-US" w:bidi="ar-SA"/>
        </w:rPr>
        <w:t xml:space="preserve"> / </w:t>
      </w:r>
      <w:r>
        <w:rPr>
          <w:rFonts w:hint="eastAsia" w:ascii="Times New Roman" w:hAnsi="Times New Roman" w:cs="Times New Roman"/>
          <w:sz w:val="21"/>
          <w:szCs w:val="20"/>
          <w:lang w:val="en-US" w:bidi="ar-SA"/>
        </w:rPr>
        <w:t xml:space="preserve">承担；</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（2）无负荷联动试车费用由</w:t>
      </w:r>
      <w:r>
        <w:rPr>
          <w:rFonts w:hint="eastAsia" w:ascii="Times New Roman" w:hAnsi="Times New Roman" w:cs="Times New Roman"/>
          <w:sz w:val="21"/>
          <w:szCs w:val="20"/>
          <w:u w:val="single"/>
          <w:lang w:val="en-US" w:bidi="ar-SA"/>
        </w:rPr>
        <w:t xml:space="preserve"> / </w:t>
      </w:r>
      <w:r>
        <w:rPr>
          <w:rFonts w:hint="eastAsia" w:ascii="Times New Roman" w:hAnsi="Times New Roman" w:cs="Times New Roman"/>
          <w:sz w:val="21"/>
          <w:szCs w:val="20"/>
          <w:lang w:val="en-US" w:bidi="ar-SA"/>
        </w:rPr>
        <w:t xml:space="preserve">承担。</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13.3.2投料试车</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关于投料试车相关事项的约定：</w:t>
      </w:r>
      <w:r>
        <w:rPr>
          <w:rFonts w:hint="eastAsia" w:ascii="Times New Roman" w:hAnsi="Times New Roman" w:cs="Times New Roman"/>
          <w:sz w:val="21"/>
          <w:szCs w:val="20"/>
          <w:u w:val="single"/>
          <w:lang w:val="en-US" w:bidi="ar-SA"/>
        </w:rPr>
        <w:t xml:space="preserve"> / </w:t>
      </w:r>
      <w:r>
        <w:rPr>
          <w:rFonts w:hint="eastAsia" w:ascii="Times New Roman" w:hAnsi="Times New Roman" w:cs="Times New Roman"/>
          <w:sz w:val="21"/>
          <w:szCs w:val="20"/>
          <w:lang w:val="en-US" w:bidi="ar-SA"/>
        </w:rPr>
        <w:t xml:space="preserve">。</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13.6 竣工退场</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承包人完成竣工退场的期限：</w:t>
      </w:r>
      <w:r>
        <w:rPr>
          <w:rFonts w:hint="eastAsia" w:ascii="Times New Roman" w:hAnsi="Times New Roman" w:cs="Times New Roman"/>
          <w:sz w:val="21"/>
          <w:szCs w:val="20"/>
          <w:u w:val="single"/>
          <w:lang w:val="en-US" w:bidi="ar-SA"/>
        </w:rPr>
        <w:t xml:space="preserve">竣工验收合格后10日内</w:t>
      </w:r>
      <w:r>
        <w:rPr>
          <w:rFonts w:hint="eastAsia" w:ascii="Times New Roman" w:hAnsi="Times New Roman" w:cs="Times New Roman"/>
          <w:sz w:val="21"/>
          <w:szCs w:val="20"/>
          <w:lang w:val="en-US" w:bidi="ar-SA"/>
        </w:rPr>
        <w:t xml:space="preserve">。</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14. 竣工结算</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14.1 竣工结算申请</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承包人提交竣工结算申请单的期限：</w:t>
      </w:r>
      <w:r>
        <w:rPr>
          <w:rFonts w:hint="eastAsia" w:ascii="Times New Roman" w:hAnsi="Times New Roman" w:cs="Times New Roman"/>
          <w:sz w:val="21"/>
          <w:szCs w:val="20"/>
          <w:u w:val="single"/>
          <w:lang w:val="en-US" w:bidi="ar-SA"/>
        </w:rPr>
        <w:t xml:space="preserve">竣工验收合格后28天内</w:t>
      </w:r>
      <w:r>
        <w:rPr>
          <w:rFonts w:hint="eastAsia" w:ascii="Times New Roman" w:hAnsi="Times New Roman" w:cs="Times New Roman"/>
          <w:sz w:val="21"/>
          <w:szCs w:val="20"/>
          <w:lang w:val="en-US" w:bidi="ar-SA"/>
        </w:rPr>
        <w:t xml:space="preserve">。</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竣工付款申请单应包括的内容：</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承包人应向发包人提交承包人盖章、结算编制人员盖章的竣工结算报告及完整、有效的结算资料，工程结算资料包括送审资料清单、结算汇总表、各项结算调整的依据、内容及费用、已经发包人工程人员确认的竣工图、变更联系单（原件，包括图纸会审纪要、过程中的洽商等）、隐蔽工程记录、工程结算书、招投标相关资料一式三份。发包人工程师对结算资料进行审核，符合要求的在竣工结算资料回执上签字方可视为发包人收到竣工结算资料；由发包人送审计部门开展竣工结算审计。</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（2）若审计部门在结算审核中发现结算资料无效或不完整的，审计延误的责任由承包人承担。</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（3）承包人未按本条款约定的时间和要求向发包人提交竣工结算报告和资料的，发包人将不能保证按专用条款规定的时间内提出审核意见，并且发包人有权根据已有资料进行审核，责任由承包人自行承担。</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14.2 竣工结算审核</w:t>
      </w:r>
      <w:r/>
    </w:p>
    <w:p>
      <w:pPr>
        <w:jc w:val="both"/>
        <w:spacing w:line="360" w:lineRule="auto"/>
        <w:rPr>
          <w:rFonts w:ascii="Times New Roman" w:hAnsi="Times New Roman" w:cs="Times New Roman"/>
          <w:sz w:val="21"/>
          <w:szCs w:val="20"/>
          <w:u w:val="single"/>
          <w:lang w:val="en-US" w:bidi="ar-SA"/>
        </w:rPr>
      </w:pPr>
      <w:r>
        <w:rPr>
          <w:rFonts w:hint="eastAsia" w:ascii="Times New Roman" w:hAnsi="Times New Roman" w:cs="Times New Roman"/>
          <w:sz w:val="21"/>
          <w:szCs w:val="20"/>
          <w:lang w:val="en-US" w:bidi="ar-SA"/>
        </w:rPr>
        <w:t xml:space="preserve">发包人审批竣工付款申请单的期限：</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监理人应在收到竣工结算申请单后14天内完成核查并报送发包人。发包人应在收到监理人提交的经审核的竣工结算申请单后14天内完成审批，并由监理人向承包人签发经发包人签认的竣工付款证书。监理人或发包人对竣工结算申请单有异议的，有权要求承包人进行修正和提供补充资料，承包人应提交修正后的竣工结算申请单。发包人在收到承包人提交竣工结算申请书后60天内未完成审批且未提出异议的，视为发包人认可承包人提交的竣工结算申请单，并自发包人收到承包人提交的竣工结算申请单后第61天起视为已签发竣工付款证书。</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发包人完成竣工付款的期限：发包人审计部门审计并出具最终审计报告后按约定付款。但是，考虑发包人高校财务管理的特殊性，如该项目为跨年度工程或遇付款时间为学校财务封帐期及寒暑假等特殊情况，暂时无法支付工程款时，付款时间由发包人、承包人双方另行商定。对此承包人表示，遇此情况下发包人可以推迟付款时间且不构成违约。</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关于竣工付款证书异议部分复核的方式和程序：</w:t>
      </w:r>
      <w:r>
        <w:rPr>
          <w:rFonts w:hint="eastAsia" w:ascii="Times New Roman" w:hAnsi="Times New Roman" w:cs="Times New Roman"/>
          <w:sz w:val="21"/>
          <w:szCs w:val="20"/>
          <w:u w:val="single"/>
          <w:lang w:val="en-US" w:bidi="ar-SA"/>
        </w:rPr>
        <w:t xml:space="preserve">承包人对发包人签认的竣工付款证书有异议的，对于有异议部分应在收到发包人签认的竣工付款证书后7天内提出异议，并由合同当事人按照专用合同条款约定的方式和程序进行复核。承包人逾期未提出异议的，视为认可发包人的审批结果</w:t>
      </w:r>
      <w:r>
        <w:rPr>
          <w:rFonts w:hint="eastAsia" w:ascii="Times New Roman" w:hAnsi="Times New Roman" w:cs="Times New Roman"/>
          <w:sz w:val="21"/>
          <w:szCs w:val="20"/>
          <w:lang w:val="en-US" w:bidi="ar-SA"/>
        </w:rPr>
        <w:t xml:space="preserve">。</w:t>
      </w:r>
      <w:r/>
    </w:p>
    <w:p>
      <w:pPr>
        <w:ind w:firstLine="422"/>
        <w:jc w:val="both"/>
        <w:spacing w:line="460" w:lineRule="exact"/>
        <w:rPr>
          <w:rFonts w:ascii="Times New Roman" w:hAnsi="Times New Roman" w:cs="Times New Roman"/>
          <w:b/>
          <w:sz w:val="21"/>
          <w:szCs w:val="20"/>
          <w:u w:val="single"/>
          <w:lang w:val="en-US" w:bidi="ar-SA"/>
        </w:rPr>
      </w:pPr>
      <w:r>
        <w:rPr>
          <w:rFonts w:hint="eastAsia" w:ascii="Times New Roman" w:hAnsi="Times New Roman" w:cs="Times New Roman"/>
          <w:b/>
          <w:sz w:val="21"/>
          <w:szCs w:val="20"/>
          <w:u w:val="single"/>
          <w:lang w:val="en-US" w:bidi="ar-SA"/>
        </w:rPr>
        <w:t xml:space="preserve">发包人、承包人双方一致同意：发包人可以以发包</w:t>
      </w:r>
      <w:r>
        <w:rPr>
          <w:rFonts w:hint="eastAsia" w:ascii="Times New Roman" w:hAnsi="Times New Roman" w:cs="Times New Roman"/>
          <w:b/>
          <w:sz w:val="21"/>
          <w:szCs w:val="20"/>
          <w:u w:val="single"/>
          <w:lang w:val="en-US" w:bidi="ar-SA"/>
        </w:rPr>
        <w:t xml:space="preserve">人的名义单方委托有相应资质的第三方审计机构（工程造价咨询单位）对本工程做跟踪审计（初审），也可以以发包人名义单方委托有相应资质的第三方审计机构（工程造价咨询单位）对本工程做结算审计（复审），承包人承诺对相关的跟踪审计和结算审计的结果给予认可。承包人确认同意审计结果的，则发包人审定的价款为双方竣工结算价款的最终依据；如承包人不同意的，双方针对争议部分进行核对和协商；经核对、协商不能解决的争议部分，双方可共同申请当地工程造价管理部门进行解释和协调解决；经以上协商、协调仍不能解决的，则可以就争议部分提交诉讼解决。</w:t>
      </w:r>
      <w:r/>
    </w:p>
    <w:p>
      <w:pPr>
        <w:ind w:firstLine="422"/>
        <w:jc w:val="both"/>
        <w:spacing w:line="460" w:lineRule="exact"/>
        <w:rPr>
          <w:rFonts w:ascii="Times New Roman" w:hAnsi="Times New Roman" w:cs="Times New Roman"/>
          <w:b/>
          <w:bCs/>
          <w:sz w:val="21"/>
          <w:szCs w:val="20"/>
          <w:u w:val="single"/>
          <w:lang w:val="en-US" w:bidi="ar-SA"/>
        </w:rPr>
      </w:pPr>
      <w:r>
        <w:rPr>
          <w:rFonts w:hint="eastAsia" w:ascii="Times New Roman" w:hAnsi="Times New Roman" w:cs="Times New Roman"/>
          <w:b/>
          <w:sz w:val="21"/>
          <w:szCs w:val="20"/>
          <w:u w:val="single"/>
          <w:lang w:val="en-US" w:bidi="ar-SA"/>
        </w:rPr>
        <w:t xml:space="preserve">承包人明确知晓《南京中医药大学工程项目审计管理办法》（南中医大审字[2020]4号），并同意按照该规定中相关办法承担和支付相应的工程审计费用。属于承包人承担的审计费部分，发包人有权在应付工程款中予以扣减。</w:t>
      </w:r>
      <w:r>
        <w:rPr>
          <w:rFonts w:hint="eastAsia" w:ascii="Times New Roman" w:hAnsi="Times New Roman" w:cs="Times New Roman"/>
          <w:b/>
          <w:sz w:val="21"/>
          <w:szCs w:val="21"/>
          <w:lang w:val="en-US" w:bidi="ar-SA"/>
        </w:rPr>
        <w:t xml:space="preserve">承包人同意：若发包人审计规定发生调整修订，则按照发包人调整修订后的新审计规定执行</w:t>
      </w:r>
      <w:r/>
    </w:p>
    <w:p>
      <w:pPr>
        <w:ind w:firstLine="422"/>
        <w:jc w:val="both"/>
        <w:spacing w:line="460" w:lineRule="exact"/>
        <w:rPr>
          <w:rFonts w:ascii="Times New Roman" w:hAnsi="Times New Roman" w:cs="Times New Roman"/>
          <w:b/>
          <w:sz w:val="21"/>
          <w:szCs w:val="20"/>
          <w:u w:val="single"/>
          <w:lang w:val="en-US" w:bidi="ar-SA"/>
        </w:rPr>
      </w:pPr>
      <w:r>
        <w:rPr>
          <w:rFonts w:hint="eastAsia" w:ascii="Times New Roman" w:hAnsi="Times New Roman" w:cs="Times New Roman"/>
          <w:b/>
          <w:sz w:val="21"/>
          <w:szCs w:val="20"/>
          <w:u w:val="single"/>
          <w:lang w:val="en-US" w:bidi="ar-SA"/>
        </w:rPr>
        <w:t xml:space="preserve">若本合同项下的工程在发包人、承包人双方完成结算审计之后，发包人上级主管单位又在该审计结论的基础上进行再次审计的，承包人承诺认可该最终审计结果。</w:t>
      </w:r>
      <w:r/>
    </w:p>
    <w:p>
      <w:pPr>
        <w:jc w:val="both"/>
        <w:spacing w:line="460" w:lineRule="exact"/>
        <w:rPr>
          <w:rFonts w:ascii="Times New Roman" w:hAnsi="Times New Roman" w:cs="Times New Roman"/>
          <w:b/>
          <w:sz w:val="21"/>
          <w:szCs w:val="20"/>
          <w:u w:val="single"/>
          <w:lang w:val="en-US" w:bidi="ar-SA"/>
        </w:rPr>
      </w:pPr>
      <w:r>
        <w:rPr>
          <w:rFonts w:hint="eastAsia" w:ascii="Times New Roman" w:hAnsi="Times New Roman" w:cs="Times New Roman"/>
          <w:b/>
          <w:sz w:val="21"/>
          <w:szCs w:val="20"/>
          <w:u w:val="single"/>
          <w:lang w:val="en-US" w:bidi="ar-SA"/>
        </w:rPr>
        <w:t xml:space="preserve">（本条款为特别约定）</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14.3最终结清</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14.3.1 最终结清申请单</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承包人提交最终结清申请单的份数：</w:t>
      </w:r>
      <w:r>
        <w:rPr>
          <w:rFonts w:hint="eastAsia" w:ascii="Times New Roman" w:hAnsi="Times New Roman" w:cs="Times New Roman"/>
          <w:sz w:val="21"/>
          <w:szCs w:val="20"/>
          <w:u w:val="single"/>
          <w:lang w:val="en-US" w:bidi="ar-SA"/>
        </w:rPr>
        <w:t xml:space="preserve">叁份</w:t>
      </w:r>
      <w:r>
        <w:rPr>
          <w:rFonts w:hint="eastAsia" w:ascii="Times New Roman" w:hAnsi="Times New Roman" w:cs="Times New Roman"/>
          <w:sz w:val="21"/>
          <w:szCs w:val="20"/>
          <w:lang w:val="en-US" w:bidi="ar-SA"/>
        </w:rPr>
        <w:t xml:space="preserve">。</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承包人提交最终结算申请单的期限：</w:t>
      </w:r>
      <w:r>
        <w:rPr>
          <w:rFonts w:hint="eastAsia" w:ascii="Times New Roman" w:hAnsi="Times New Roman" w:cs="Times New Roman"/>
          <w:sz w:val="21"/>
          <w:szCs w:val="20"/>
          <w:u w:val="single"/>
          <w:lang w:val="en-US" w:bidi="ar-SA"/>
        </w:rPr>
        <w:t xml:space="preserve">缺陷责任期终止证书颁发后7天内。</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14.3.2 最终结清证书和支付</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（1）发包人完成最终结清申请单的审批并颁发最终结清证书的期限：</w:t>
      </w:r>
      <w:r>
        <w:rPr>
          <w:rFonts w:hint="eastAsia" w:ascii="Times New Roman" w:hAnsi="Times New Roman" w:cs="Times New Roman"/>
          <w:sz w:val="21"/>
          <w:szCs w:val="20"/>
          <w:u w:val="single"/>
          <w:lang w:val="en-US" w:bidi="ar-SA"/>
        </w:rPr>
        <w:t xml:space="preserve">执行通用条款</w:t>
      </w:r>
      <w:r>
        <w:rPr>
          <w:rFonts w:hint="eastAsia" w:ascii="Times New Roman" w:hAnsi="Times New Roman" w:cs="Times New Roman"/>
          <w:sz w:val="21"/>
          <w:szCs w:val="20"/>
          <w:lang w:val="en-US" w:bidi="ar-SA"/>
        </w:rPr>
        <w:t xml:space="preserve">。</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（2）发包人完成支付的期限：</w:t>
      </w:r>
      <w:r>
        <w:rPr>
          <w:rFonts w:hint="eastAsia" w:ascii="Times New Roman" w:hAnsi="Times New Roman" w:cs="Times New Roman"/>
          <w:sz w:val="21"/>
          <w:szCs w:val="20"/>
          <w:u w:val="single"/>
          <w:lang w:val="en-US" w:bidi="ar-SA"/>
        </w:rPr>
        <w:t xml:space="preserve">按进度款支付约定</w:t>
      </w:r>
      <w:r>
        <w:rPr>
          <w:rFonts w:hint="eastAsia" w:ascii="Times New Roman" w:hAnsi="Times New Roman" w:cs="Times New Roman"/>
          <w:sz w:val="21"/>
          <w:szCs w:val="20"/>
          <w:lang w:val="en-US" w:bidi="ar-SA"/>
        </w:rPr>
        <w:t xml:space="preserve">。</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15. 缺陷责任期与保修</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15.1缺陷责任期</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缺陷责任期的具体期限：</w:t>
      </w:r>
      <w:r>
        <w:rPr>
          <w:rFonts w:hint="eastAsia" w:ascii="Times New Roman" w:hAnsi="Times New Roman" w:cs="Times New Roman"/>
          <w:sz w:val="21"/>
          <w:szCs w:val="20"/>
          <w:u w:val="single"/>
          <w:lang w:val="en-US" w:bidi="ar-SA"/>
        </w:rPr>
        <w:t xml:space="preserve">自工程竣工验收合格之日起24个月</w:t>
      </w:r>
      <w:r>
        <w:rPr>
          <w:rFonts w:hint="eastAsia" w:ascii="Times New Roman" w:hAnsi="Times New Roman" w:cs="Times New Roman"/>
          <w:sz w:val="21"/>
          <w:szCs w:val="20"/>
          <w:lang w:val="en-US" w:bidi="ar-SA"/>
        </w:rPr>
        <w:t xml:space="preserve">。</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15.2质量保证金</w:t>
      </w:r>
      <w:r/>
    </w:p>
    <w:p>
      <w:pPr>
        <w:jc w:val="both"/>
        <w:spacing w:line="460" w:lineRule="exact"/>
        <w:rPr>
          <w:rFonts w:ascii="Times New Roman" w:hAnsi="Times New Roman" w:cs="Times New Roman"/>
          <w:sz w:val="21"/>
          <w:szCs w:val="20"/>
          <w:u w:val="single"/>
          <w:lang w:val="en-US" w:bidi="ar-SA"/>
        </w:rPr>
      </w:pPr>
      <w:r>
        <w:rPr>
          <w:rFonts w:hint="eastAsia" w:ascii="Times New Roman" w:hAnsi="Times New Roman" w:cs="Times New Roman"/>
          <w:sz w:val="21"/>
          <w:szCs w:val="20"/>
          <w:lang w:val="en-US" w:bidi="ar-SA"/>
        </w:rPr>
        <w:t xml:space="preserve">关于是否扣留质量保证金的约定：</w:t>
      </w:r>
      <w:r>
        <w:rPr>
          <w:rFonts w:hint="eastAsia" w:ascii="Times New Roman" w:hAnsi="Times New Roman" w:cs="Times New Roman"/>
          <w:sz w:val="21"/>
          <w:szCs w:val="20"/>
          <w:u w:val="single"/>
          <w:lang w:val="en-US" w:bidi="ar-SA"/>
        </w:rPr>
        <w:t xml:space="preserve">合同签约价的【 3 %】的履约保证金在本工程验收合格后转作质量保</w:t>
      </w:r>
      <w:r>
        <w:rPr>
          <w:rFonts w:hint="eastAsia" w:ascii="Times New Roman" w:hAnsi="Times New Roman" w:cs="Times New Roman"/>
          <w:sz w:val="21"/>
          <w:szCs w:val="20"/>
          <w:u w:val="single"/>
          <w:lang w:val="en-US" w:bidi="ar-SA"/>
        </w:rPr>
        <w:t xml:space="preserve">证金，自发包人组织的竣工验收合格报告签署之日起算的质保期（ 24 个月）满后，且发包人确认工程无质量且无任何遗留问题后【14】日内，发包人一次性无息返还承包人质量保证金（扣除因质量问题引起的维修费用、质量赔偿金及其他违约金等）。质量保证金支付程序：在缺陷责任期内，由发包人通知承包人进行该工程的维修事项，若承包人尽心尽责的服务，发包人满意，则质保期（ 24 个月）满后，经发包人单位盖章，无息返还承包人质量保证金。若承包人不能及时响应或保质处理维修事项，发包人有权另找工程队维修，所发生的费用从质量保证金中支付。</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在工程项目竣工前，承包人按专用合同条款第3.6条提供履约担保的，发包人不得同时预留工程质量保证金。</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15.2.1 承包人提供质量保证金的方式</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质量保证金采用以下第3种方式：</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（1）质量保证金保函，保证金额为：</w:t>
      </w:r>
      <w:r>
        <w:rPr>
          <w:rFonts w:hint="eastAsia" w:ascii="Times New Roman" w:hAnsi="Times New Roman" w:cs="Times New Roman"/>
          <w:sz w:val="21"/>
          <w:szCs w:val="20"/>
          <w:u w:val="single"/>
          <w:lang w:val="en-US" w:bidi="ar-SA"/>
        </w:rPr>
        <w:t xml:space="preserve">/；</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（2）合同价款</w:t>
      </w:r>
      <w:r>
        <w:rPr>
          <w:rFonts w:hint="eastAsia" w:ascii="Times New Roman" w:hAnsi="Times New Roman" w:cs="Times New Roman"/>
          <w:sz w:val="21"/>
          <w:szCs w:val="20"/>
          <w:u w:val="single"/>
          <w:lang w:val="en-US" w:bidi="ar-SA"/>
        </w:rPr>
        <w:t xml:space="preserve">/</w:t>
      </w:r>
      <w:r>
        <w:rPr>
          <w:rFonts w:hint="eastAsia" w:ascii="Times New Roman" w:hAnsi="Times New Roman" w:cs="Times New Roman"/>
          <w:sz w:val="21"/>
          <w:szCs w:val="20"/>
          <w:lang w:val="en-US" w:bidi="ar-SA"/>
        </w:rPr>
        <w:t xml:space="preserve">的工程款；</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（3）其他方式：</w:t>
      </w:r>
      <w:r>
        <w:rPr>
          <w:rFonts w:hint="eastAsia" w:ascii="Times New Roman" w:hAnsi="Times New Roman" w:cs="MingLiU_HKSCS"/>
          <w:sz w:val="21"/>
          <w:szCs w:val="20"/>
          <w:u w:val="single"/>
          <w:lang w:val="en-US" w:bidi="ar-SA"/>
        </w:rPr>
        <w:t xml:space="preserve">合同签约价3%的履约保证金转作质保金。</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15.2.2 质量保证金的扣留</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质量保证金的扣留采取以下第</w:t>
      </w:r>
      <w:r>
        <w:rPr>
          <w:rFonts w:hint="eastAsia" w:ascii="Times New Roman" w:hAnsi="Times New Roman" w:cs="Times New Roman"/>
          <w:sz w:val="21"/>
          <w:szCs w:val="20"/>
          <w:u w:val="single"/>
          <w:lang w:val="en-US" w:bidi="ar-SA"/>
        </w:rPr>
        <w:t xml:space="preserve"> 3 </w:t>
      </w:r>
      <w:r>
        <w:rPr>
          <w:rFonts w:hint="eastAsia" w:ascii="Times New Roman" w:hAnsi="Times New Roman" w:cs="Times New Roman"/>
          <w:sz w:val="21"/>
          <w:szCs w:val="20"/>
          <w:lang w:val="en-US" w:bidi="ar-SA"/>
        </w:rPr>
        <w:t xml:space="preserve">种方式：</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（1）在支付工程进度款时逐次扣留，在此情形下，质量保证金的计算基数不包括预付款的支付、扣回以及价格调整的金额；</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（2）工程竣工结算时提交质量保证金保函，金额为</w:t>
      </w:r>
      <w:r>
        <w:rPr>
          <w:rFonts w:hint="eastAsia" w:ascii="Times New Roman" w:hAnsi="Times New Roman" w:cs="MingLiU_HKSCS"/>
          <w:sz w:val="21"/>
          <w:szCs w:val="20"/>
          <w:u w:val="single"/>
          <w:lang w:val="en-US" w:bidi="ar-SA"/>
        </w:rPr>
        <w:t xml:space="preserve">  /</w:t>
      </w:r>
      <w:r>
        <w:rPr>
          <w:rFonts w:hint="eastAsia" w:ascii="Times New Roman" w:hAnsi="Times New Roman" w:cs="Times New Roman"/>
          <w:sz w:val="21"/>
          <w:szCs w:val="20"/>
          <w:lang w:val="en-US" w:bidi="ar-SA"/>
        </w:rPr>
        <w:t xml:space="preserve">；</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（3）其他扣留方式:</w:t>
      </w:r>
      <w:r>
        <w:rPr>
          <w:rFonts w:hint="eastAsia" w:ascii="Times New Roman" w:hAnsi="Times New Roman" w:cs="Times New Roman"/>
          <w:sz w:val="21"/>
          <w:szCs w:val="20"/>
          <w:u w:val="single"/>
          <w:lang w:val="en-US" w:bidi="ar-SA"/>
        </w:rPr>
        <w:t xml:space="preserve"> </w:t>
      </w:r>
      <w:r>
        <w:rPr>
          <w:rFonts w:hint="eastAsia" w:ascii="Times New Roman" w:hAnsi="Times New Roman" w:cs="MingLiU_HKSCS"/>
          <w:sz w:val="21"/>
          <w:szCs w:val="20"/>
          <w:u w:val="single"/>
          <w:lang w:val="en-US" w:bidi="ar-SA"/>
        </w:rPr>
        <w:t xml:space="preserve">签订合同前缴纳3%的履约保证金转化为质量保证金</w:t>
      </w:r>
      <w:r>
        <w:rPr>
          <w:rFonts w:hint="eastAsia" w:ascii="Times New Roman" w:hAnsi="Times New Roman" w:cs="Times New Roman"/>
          <w:sz w:val="21"/>
          <w:szCs w:val="20"/>
          <w:lang w:val="en-US" w:bidi="ar-SA"/>
        </w:rPr>
        <w:t xml:space="preserve">。</w:t>
      </w:r>
      <w:r/>
    </w:p>
    <w:p>
      <w:pPr>
        <w:jc w:val="both"/>
        <w:spacing w:line="460" w:lineRule="exact"/>
        <w:rPr>
          <w:rFonts w:ascii="Times New Roman" w:hAnsi="Times New Roman" w:cs="MingLiU_HKSCS"/>
          <w:sz w:val="21"/>
          <w:szCs w:val="20"/>
          <w:u w:val="single"/>
          <w:lang w:val="en-US" w:bidi="ar-SA"/>
        </w:rPr>
      </w:pPr>
      <w:r>
        <w:rPr>
          <w:rFonts w:hint="eastAsia" w:ascii="Times New Roman" w:hAnsi="Times New Roman" w:cs="Times New Roman"/>
          <w:sz w:val="21"/>
          <w:szCs w:val="20"/>
          <w:lang w:val="en-US" w:bidi="ar-SA"/>
        </w:rPr>
        <w:t xml:space="preserve">关于质量保证金的补充约定：</w:t>
      </w:r>
      <w:r>
        <w:rPr>
          <w:rFonts w:hint="eastAsia" w:ascii="Times New Roman" w:hAnsi="Times New Roman" w:cs="MingLiU_HKSCS"/>
          <w:sz w:val="21"/>
          <w:szCs w:val="20"/>
          <w:u w:val="single"/>
          <w:lang w:val="en-US" w:bidi="ar-SA"/>
        </w:rPr>
        <w:t xml:space="preserve">工程质量保修金在自发包人组织的竣工验收合格报告签署之日起算的质保期（24 个月）满后，且发包人确认工程无质问题量且无任何遗留问题后【14】日内一次性退还承包人（不计息，扣除因质量问题引起的维修费用、质量赔偿金及其他违约金等）。</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15.3保修</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15.3.1 保修责任</w:t>
      </w:r>
      <w:r/>
    </w:p>
    <w:p>
      <w:pPr>
        <w:jc w:val="both"/>
        <w:spacing w:before="120" w:line="360" w:lineRule="auto"/>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工程保修期为：</w:t>
      </w:r>
      <w:r>
        <w:rPr>
          <w:rFonts w:hint="eastAsia" w:ascii="Times New Roman" w:hAnsi="Times New Roman" w:cs="Times New Roman"/>
          <w:sz w:val="21"/>
          <w:szCs w:val="20"/>
          <w:u w:val="single"/>
          <w:lang w:val="en-US" w:bidi="ar-SA"/>
        </w:rPr>
        <w:t xml:space="preserve">自工程竣工验收合格之日起24个月</w:t>
      </w:r>
      <w:r>
        <w:rPr>
          <w:rFonts w:hint="eastAsia" w:ascii="Times New Roman" w:hAnsi="Times New Roman" w:cs="Times New Roman"/>
          <w:sz w:val="21"/>
          <w:szCs w:val="20"/>
          <w:lang w:val="en-US" w:bidi="ar-SA"/>
        </w:rPr>
        <w:t xml:space="preserve">。</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15.3.2修复通知</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承包人收到保修通知并到达工程现场的合理时间：</w:t>
      </w:r>
      <w:r>
        <w:rPr>
          <w:rFonts w:hint="eastAsia" w:cs="Times New Roman"/>
          <w:sz w:val="21"/>
          <w:szCs w:val="20"/>
          <w:u w:val="single"/>
          <w:lang w:val="en-US" w:bidi="ar-SA"/>
        </w:rPr>
        <w:t xml:space="preserve">本工程质保期内如发生质量问题，承包方必须及时响应并免费上门服务，要求提供7*24不间断热线响应；常见问题1小时到达现场，2小时修复；大故障6小时修复</w:t>
      </w:r>
      <w:r>
        <w:rPr>
          <w:rFonts w:hint="eastAsia" w:ascii="Times New Roman" w:hAnsi="Times New Roman" w:cs="Times New Roman"/>
          <w:sz w:val="21"/>
          <w:szCs w:val="20"/>
          <w:lang w:val="en-US" w:bidi="ar-SA"/>
        </w:rPr>
        <w:t xml:space="preserve">。</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16. 违约</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16.1 发包人违约</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16.1.1发包人违约的情形</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发包人违约的其他情形：</w:t>
      </w:r>
      <w:r>
        <w:rPr>
          <w:rFonts w:hint="eastAsia" w:ascii="Times New Roman" w:hAnsi="Times New Roman" w:cs="Times New Roman"/>
          <w:sz w:val="21"/>
          <w:szCs w:val="20"/>
          <w:u w:val="single"/>
          <w:lang w:val="en-US" w:bidi="ar-SA"/>
        </w:rPr>
        <w:t xml:space="preserve">按通用条款执行</w:t>
      </w:r>
      <w:r>
        <w:rPr>
          <w:rFonts w:hint="eastAsia" w:ascii="Times New Roman" w:hAnsi="Times New Roman" w:cs="Times New Roman"/>
          <w:sz w:val="21"/>
          <w:szCs w:val="20"/>
          <w:lang w:val="en-US" w:bidi="ar-SA"/>
        </w:rPr>
        <w:t xml:space="preserve">。</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16.1.2 发包人违约的责任</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发包人违约责任的承担方式和计算方法：</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（1）因发包人原因未能在计划开工日期前7天内下达开工通知的违约责任：</w:t>
      </w:r>
      <w:r>
        <w:rPr>
          <w:rFonts w:hint="eastAsia" w:ascii="Times New Roman" w:hAnsi="Times New Roman" w:cs="MingLiU_HKSCS"/>
          <w:sz w:val="21"/>
          <w:szCs w:val="20"/>
          <w:u w:val="single"/>
          <w:lang w:val="en-US" w:bidi="ar-SA"/>
        </w:rPr>
        <w:t xml:space="preserve">相应工期顺延，承包人不主张违约金或补偿金</w:t>
      </w:r>
      <w:r>
        <w:rPr>
          <w:rFonts w:hint="eastAsia" w:ascii="Times New Roman" w:hAnsi="Times New Roman" w:cs="Times New Roman"/>
          <w:sz w:val="21"/>
          <w:szCs w:val="20"/>
          <w:lang w:val="en-US" w:bidi="ar-SA"/>
        </w:rPr>
        <w:t xml:space="preserve">。</w:t>
      </w:r>
      <w:r/>
    </w:p>
    <w:p>
      <w:pPr>
        <w:jc w:val="both"/>
        <w:spacing w:line="360" w:lineRule="auto"/>
        <w:rPr>
          <w:rFonts w:ascii="Times New Roman" w:hAnsi="Times New Roman" w:cs="MingLiU_HKSCS"/>
          <w:sz w:val="21"/>
          <w:szCs w:val="20"/>
          <w:u w:val="single"/>
          <w:lang w:val="en-US" w:bidi="ar-SA"/>
        </w:rPr>
      </w:pPr>
      <w:r>
        <w:rPr>
          <w:rFonts w:hint="eastAsia" w:ascii="Times New Roman" w:hAnsi="Times New Roman" w:cs="Times New Roman"/>
          <w:sz w:val="21"/>
          <w:szCs w:val="20"/>
          <w:lang w:val="en-US" w:bidi="ar-SA"/>
        </w:rPr>
        <w:t xml:space="preserve">（2）因发包人原因未能按合同约定支付合同价款的违约责任：</w:t>
      </w:r>
      <w:r>
        <w:rPr>
          <w:rFonts w:hint="eastAsia" w:ascii="Times New Roman" w:hAnsi="Times New Roman" w:cs="MingLiU_HKSCS"/>
          <w:sz w:val="21"/>
          <w:szCs w:val="20"/>
          <w:u w:val="single"/>
          <w:lang w:val="en-US" w:bidi="ar-SA"/>
        </w:rPr>
        <w:t xml:space="preserve">按同期全国银行间同业拆借中心公布的贷款市场报价利率计算利息</w:t>
      </w:r>
      <w:r>
        <w:rPr>
          <w:rFonts w:hint="eastAsia" w:ascii="Times New Roman" w:hAnsi="Times New Roman" w:cs="Times New Roman"/>
          <w:sz w:val="21"/>
          <w:szCs w:val="20"/>
          <w:lang w:val="en-US" w:bidi="ar-SA"/>
        </w:rPr>
        <w:t xml:space="preserve">。</w:t>
      </w:r>
      <w:r>
        <w:rPr>
          <w:rFonts w:hint="eastAsia" w:cs="仿宋"/>
          <w:sz w:val="21"/>
          <w:szCs w:val="21"/>
          <w:u w:val="single"/>
          <w:lang w:val="en-US" w:bidi="ar-SA"/>
        </w:rPr>
        <w:t xml:space="preserve">承包人理解发包人高校财务付款制度的特殊性，</w:t>
      </w:r>
      <w:r>
        <w:rPr>
          <w:rFonts w:hint="eastAsia" w:eastAsia="Calibri" w:cs="仿宋"/>
          <w:sz w:val="21"/>
          <w:szCs w:val="21"/>
          <w:u w:val="single"/>
          <w:lang w:val="en-US" w:bidi="ar-SA"/>
        </w:rPr>
        <w:t xml:space="preserve">由于发包人财务付款制度导致的迟延付款，承包人</w:t>
      </w:r>
      <w:r>
        <w:rPr>
          <w:rFonts w:hint="eastAsia" w:cs="仿宋"/>
          <w:sz w:val="21"/>
          <w:szCs w:val="21"/>
          <w:u w:val="single"/>
          <w:lang w:val="en-US" w:bidi="ar-SA"/>
        </w:rPr>
        <w:t xml:space="preserve">自愿放弃违约金主张</w:t>
      </w:r>
      <w:r>
        <w:rPr>
          <w:rFonts w:hint="eastAsia" w:eastAsia="Calibri" w:cs="仿宋"/>
          <w:sz w:val="21"/>
          <w:szCs w:val="21"/>
          <w:u w:val="single"/>
          <w:lang w:val="en-US" w:bidi="ar-SA"/>
        </w:rPr>
        <w:t xml:space="preserve">。</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（3）发包人违反第10.1款〔变更的范围〕第（2）项约定，自行实施被取消的工作或转由他人实施的违约责任：</w:t>
      </w:r>
      <w:r>
        <w:rPr>
          <w:rFonts w:hint="eastAsia" w:ascii="Times New Roman" w:hAnsi="Times New Roman" w:cs="Times New Roman"/>
          <w:sz w:val="21"/>
          <w:szCs w:val="20"/>
          <w:u w:val="single"/>
          <w:lang w:val="en-US" w:bidi="ar-SA"/>
        </w:rPr>
        <w:t xml:space="preserve">无</w:t>
      </w:r>
      <w:r>
        <w:rPr>
          <w:rFonts w:hint="eastAsia" w:ascii="Times New Roman" w:hAnsi="Times New Roman" w:cs="Times New Roman"/>
          <w:sz w:val="21"/>
          <w:szCs w:val="20"/>
          <w:lang w:val="en-US" w:bidi="ar-SA"/>
        </w:rPr>
        <w:t xml:space="preserve">。</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（4）发包人提供的材料、工程设备的规格、数量或质量不符合合同约定，或因发包人原因导致交货日期延误或交货地点变更等情况的违约责任：无。</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（5）因发包人违反合同约定造成暂停施工的违约责任：</w:t>
      </w:r>
      <w:r>
        <w:rPr>
          <w:rFonts w:hint="eastAsia" w:ascii="Times New Roman" w:hAnsi="Times New Roman" w:cs="Times New Roman"/>
          <w:sz w:val="21"/>
          <w:szCs w:val="20"/>
          <w:u w:val="single"/>
          <w:lang w:val="en-US" w:bidi="ar-SA"/>
        </w:rPr>
        <w:t xml:space="preserve">无</w:t>
      </w:r>
      <w:r>
        <w:rPr>
          <w:rFonts w:hint="eastAsia" w:ascii="Times New Roman" w:hAnsi="Times New Roman" w:cs="Times New Roman"/>
          <w:sz w:val="21"/>
          <w:szCs w:val="20"/>
          <w:lang w:val="en-US" w:bidi="ar-SA"/>
        </w:rPr>
        <w:t xml:space="preserve">。</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（6）发包人无正当理由没有在约定期限内发出复工指示，导致承包人无法复工的违约责任：</w:t>
      </w:r>
      <w:r>
        <w:rPr>
          <w:rFonts w:hint="eastAsia" w:ascii="Times New Roman" w:hAnsi="Times New Roman" w:cs="Times New Roman"/>
          <w:sz w:val="21"/>
          <w:szCs w:val="20"/>
          <w:u w:val="single"/>
          <w:lang w:val="en-US" w:bidi="ar-SA"/>
        </w:rPr>
        <w:t xml:space="preserve">无</w:t>
      </w:r>
      <w:r>
        <w:rPr>
          <w:rFonts w:hint="eastAsia" w:ascii="Times New Roman" w:hAnsi="Times New Roman" w:cs="Times New Roman"/>
          <w:sz w:val="21"/>
          <w:szCs w:val="20"/>
          <w:lang w:val="en-US" w:bidi="ar-SA"/>
        </w:rPr>
        <w:t xml:space="preserve">。</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（7）其他：</w:t>
      </w:r>
      <w:r>
        <w:rPr>
          <w:rFonts w:hint="eastAsia" w:ascii="Times New Roman" w:hAnsi="Times New Roman" w:cs="Times New Roman"/>
          <w:sz w:val="21"/>
          <w:szCs w:val="20"/>
          <w:u w:val="single"/>
          <w:lang w:val="en-US" w:bidi="ar-SA"/>
        </w:rPr>
        <w:t xml:space="preserve">无</w:t>
      </w:r>
      <w:r>
        <w:rPr>
          <w:rFonts w:hint="eastAsia" w:ascii="Times New Roman" w:hAnsi="Times New Roman" w:cs="Times New Roman"/>
          <w:sz w:val="21"/>
          <w:szCs w:val="20"/>
          <w:lang w:val="en-US" w:bidi="ar-SA"/>
        </w:rPr>
        <w:t xml:space="preserve">。</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16.1.3 因发包人违约解除合同</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承包人按16.1.1项〔发包人违约的情形〕约定暂停施工满</w:t>
      </w:r>
      <w:r>
        <w:rPr>
          <w:rFonts w:hint="eastAsia" w:ascii="Times New Roman" w:hAnsi="Times New Roman" w:cs="Times New Roman"/>
          <w:sz w:val="21"/>
          <w:szCs w:val="20"/>
          <w:u w:val="single"/>
          <w:lang w:val="en-US" w:bidi="ar-SA"/>
        </w:rPr>
        <w:t xml:space="preserve"> / </w:t>
      </w:r>
      <w:r>
        <w:rPr>
          <w:rFonts w:hint="eastAsia" w:ascii="Times New Roman" w:hAnsi="Times New Roman" w:cs="Times New Roman"/>
          <w:sz w:val="21"/>
          <w:szCs w:val="20"/>
          <w:lang w:val="en-US" w:bidi="ar-SA"/>
        </w:rPr>
        <w:t xml:space="preserve">天后发包人仍不纠正其违约行为并致使合同目的不能实现的，承包人有权解除合同。</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16.2 承包人违约</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16.2.1 承包人违约的情形</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承包人违约的其他情形：</w:t>
      </w:r>
      <w:r>
        <w:rPr>
          <w:rFonts w:hint="eastAsia" w:ascii="Times New Roman" w:hAnsi="Times New Roman" w:cs="Times New Roman"/>
          <w:sz w:val="21"/>
          <w:szCs w:val="20"/>
          <w:u w:val="single"/>
          <w:lang w:val="en-US" w:bidi="ar-SA"/>
        </w:rPr>
        <w:t xml:space="preserve">工期延误、质量问题、技术文件未按约定时间提交、承包人擅自停工或单方面终止合同等</w:t>
      </w:r>
      <w:r>
        <w:rPr>
          <w:rFonts w:hint="eastAsia" w:ascii="Times New Roman" w:hAnsi="Times New Roman" w:cs="Times New Roman"/>
          <w:sz w:val="21"/>
          <w:szCs w:val="20"/>
          <w:lang w:val="en-US" w:bidi="ar-SA"/>
        </w:rPr>
        <w:t xml:space="preserve">。</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16.2.2承包人违约的责任</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承包人违约责任的承担方式和计算方法：</w:t>
      </w:r>
      <w:r/>
    </w:p>
    <w:p>
      <w:pPr>
        <w:jc w:val="both"/>
        <w:spacing w:line="460" w:lineRule="exact"/>
        <w:rPr>
          <w:rFonts w:ascii="Times New Roman" w:hAnsi="Times New Roman" w:cs="Times New Roman"/>
          <w:sz w:val="21"/>
          <w:szCs w:val="20"/>
          <w:u w:val="single"/>
          <w:lang w:val="en-US" w:bidi="ar-SA"/>
        </w:rPr>
      </w:pPr>
      <w:r>
        <w:rPr>
          <w:rFonts w:hint="eastAsia" w:ascii="Times New Roman" w:hAnsi="Times New Roman" w:cs="Times New Roman"/>
          <w:sz w:val="21"/>
          <w:szCs w:val="20"/>
          <w:u w:val="single"/>
          <w:lang w:val="en-US" w:bidi="ar-SA"/>
        </w:rPr>
        <w:t xml:space="preserve">1. 承包人不能按合同总工期竣工，每推迟一天，承包人向发包人支付合同价款1%的违约金；违约金总额累计不超过合同价款的30%；</w:t>
      </w:r>
      <w:r>
        <w:rPr>
          <w:rFonts w:ascii="Times New Roman" w:hAnsi="Times New Roman" w:cs="Times New Roman"/>
          <w:sz w:val="21"/>
          <w:szCs w:val="20"/>
          <w:u w:val="single"/>
          <w:lang w:val="en-US" w:bidi="ar-SA"/>
        </w:rPr>
        <w:t xml:space="preserve">但是</w:t>
      </w:r>
      <w:r>
        <w:rPr>
          <w:rFonts w:hint="eastAsia" w:ascii="Times New Roman" w:hAnsi="Times New Roman" w:cs="Times New Roman"/>
          <w:sz w:val="21"/>
          <w:szCs w:val="20"/>
          <w:u w:val="single"/>
          <w:lang w:val="en-US" w:bidi="ar-SA"/>
        </w:rPr>
        <w:t xml:space="preserve">，</w:t>
      </w:r>
      <w:r>
        <w:rPr>
          <w:rFonts w:ascii="Times New Roman" w:hAnsi="Times New Roman" w:cs="Times New Roman"/>
          <w:sz w:val="21"/>
          <w:szCs w:val="20"/>
          <w:u w:val="single"/>
          <w:lang w:val="en-US" w:bidi="ar-SA"/>
        </w:rPr>
        <w:t xml:space="preserve">若该违约金不足以弥补发包人损失的</w:t>
      </w:r>
      <w:r>
        <w:rPr>
          <w:rFonts w:hint="eastAsia" w:ascii="Times New Roman" w:hAnsi="Times New Roman" w:cs="Times New Roman"/>
          <w:sz w:val="21"/>
          <w:szCs w:val="20"/>
          <w:u w:val="single"/>
          <w:lang w:val="en-US" w:bidi="ar-SA"/>
        </w:rPr>
        <w:t xml:space="preserve">，</w:t>
      </w:r>
      <w:r>
        <w:rPr>
          <w:rFonts w:ascii="Times New Roman" w:hAnsi="Times New Roman" w:cs="Times New Roman"/>
          <w:sz w:val="21"/>
          <w:szCs w:val="20"/>
          <w:u w:val="single"/>
          <w:lang w:val="en-US" w:bidi="ar-SA"/>
        </w:rPr>
        <w:t xml:space="preserve">承包人还须继续承担赔偿责任</w:t>
      </w:r>
      <w:r>
        <w:rPr>
          <w:rFonts w:hint="eastAsia" w:ascii="仿宋" w:hAnsi="仿宋" w:eastAsia="仿宋" w:cs="仿宋"/>
          <w:sz w:val="24"/>
          <w:szCs w:val="24"/>
          <w:lang w:val="en-US" w:bidi="ar-SA"/>
        </w:rPr>
        <w:t xml:space="preserve">；</w:t>
      </w:r>
      <w:r/>
    </w:p>
    <w:p>
      <w:pPr>
        <w:jc w:val="both"/>
        <w:spacing w:line="360" w:lineRule="auto"/>
        <w:rPr>
          <w:rFonts w:ascii="Times New Roman" w:hAnsi="Times New Roman" w:cs="Times New Roman"/>
          <w:sz w:val="21"/>
          <w:szCs w:val="20"/>
          <w:u w:val="single"/>
          <w:lang w:val="en-US" w:bidi="ar-SA"/>
        </w:rPr>
      </w:pPr>
      <w:r>
        <w:rPr>
          <w:rFonts w:hint="eastAsia" w:ascii="Times New Roman" w:hAnsi="Times New Roman" w:cs="Times New Roman"/>
          <w:sz w:val="21"/>
          <w:szCs w:val="20"/>
          <w:u w:val="single"/>
          <w:lang w:val="en-US" w:bidi="ar-SA"/>
        </w:rPr>
        <w:t xml:space="preserve">2. 本工程具体分项工程完成时间应服从发包人的总体要求，如因承包人原因导致实际进度与发包人要求的进</w:t>
      </w:r>
      <w:r>
        <w:rPr>
          <w:rFonts w:hint="eastAsia" w:ascii="Times New Roman" w:hAnsi="Times New Roman" w:cs="Times New Roman"/>
          <w:sz w:val="21"/>
          <w:szCs w:val="20"/>
          <w:u w:val="single"/>
          <w:lang w:val="en-US" w:bidi="ar-SA"/>
        </w:rPr>
        <w:t xml:space="preserve">度计划不符，承包人无法按工期完工或质量无法达到合同要求的，发包人有权对部分分项工程指定第三方施工，承包人必须无条件服从和配合；此分项工程费用由发包人按实际发生费用从承包人的工程款中扣除，，同时，承包人还须按本合同签约合同价的10%向发包人支付违约金；合同约定的工期届满时，当承包人累计完成工程量不足计划进度的70%时，可认为承包人无能力按期履行合同并构成严重违约，发包人有权单方解除合同，承包人须按签约合同价的30%向发包人支付违约金，若该违约金不足以弥补发包人损失的，承包人还须承担由此给发包人造成的一切损失。</w:t>
      </w:r>
      <w:r/>
    </w:p>
    <w:p>
      <w:pPr>
        <w:jc w:val="both"/>
        <w:spacing w:line="360" w:lineRule="auto"/>
        <w:rPr>
          <w:rFonts w:ascii="Times New Roman" w:hAnsi="Times New Roman" w:cs="Times New Roman"/>
          <w:sz w:val="21"/>
          <w:szCs w:val="20"/>
          <w:u w:val="single"/>
          <w:lang w:val="en-US" w:bidi="ar-SA"/>
        </w:rPr>
      </w:pPr>
      <w:r>
        <w:rPr>
          <w:rFonts w:hint="eastAsia" w:ascii="Times New Roman" w:hAnsi="Times New Roman" w:cs="Times New Roman"/>
          <w:sz w:val="21"/>
          <w:szCs w:val="20"/>
          <w:u w:val="single"/>
          <w:lang w:val="en-US" w:bidi="ar-SA"/>
        </w:rPr>
        <w:t xml:space="preserve">3. 承包人未按程序报验的，每次向发包人支付2000元违约赔偿金；工序验收不合格的，须按要求返工，并每次向发包人支付2000元/次违约赔偿金；</w:t>
      </w:r>
      <w:r/>
    </w:p>
    <w:p>
      <w:pPr>
        <w:jc w:val="both"/>
        <w:spacing w:line="360" w:lineRule="auto"/>
        <w:rPr>
          <w:rFonts w:ascii="Times New Roman" w:hAnsi="Times New Roman" w:cs="Times New Roman"/>
          <w:sz w:val="21"/>
          <w:szCs w:val="20"/>
          <w:u w:val="single"/>
          <w:lang w:val="en-US" w:bidi="ar-SA"/>
        </w:rPr>
      </w:pPr>
      <w:r>
        <w:rPr>
          <w:rFonts w:hint="eastAsia" w:ascii="Times New Roman" w:hAnsi="Times New Roman" w:cs="Times New Roman"/>
          <w:sz w:val="21"/>
          <w:szCs w:val="20"/>
          <w:u w:val="single"/>
          <w:lang w:val="en-US" w:bidi="ar-SA"/>
        </w:rPr>
        <w:t xml:space="preserve">4. 承包人必须服从发包人发布的各项符合现行法律、法规的管理规定，如承包人不服从发包人及监理的管理，每次向发包人支付10000元违约赔偿金，且发包人有权解除合同，并要求承包人赔偿损失；</w:t>
      </w:r>
      <w:r/>
    </w:p>
    <w:p>
      <w:pPr>
        <w:jc w:val="both"/>
        <w:spacing w:line="360" w:lineRule="auto"/>
        <w:rPr>
          <w:rFonts w:ascii="Times New Roman" w:hAnsi="Times New Roman" w:cs="Times New Roman"/>
          <w:sz w:val="21"/>
          <w:szCs w:val="20"/>
          <w:u w:val="single"/>
          <w:lang w:val="en-US" w:bidi="ar-SA"/>
        </w:rPr>
      </w:pPr>
      <w:r>
        <w:rPr>
          <w:rFonts w:hint="eastAsia" w:ascii="Times New Roman" w:hAnsi="Times New Roman" w:cs="Times New Roman"/>
          <w:sz w:val="21"/>
          <w:szCs w:val="20"/>
          <w:u w:val="single"/>
          <w:lang w:val="en-US" w:bidi="ar-SA"/>
        </w:rPr>
        <w:t xml:space="preserve">5. 投标文件中明确的项目经理和主要管理人员不得擅自变更，开工时或施工过程中若有承包人擅自变更，发包人有权依据本合同追究承包人的违约责任，直至解除合同，并追究损失赔偿责任。</w:t>
      </w:r>
      <w:r/>
    </w:p>
    <w:p>
      <w:pPr>
        <w:jc w:val="both"/>
        <w:spacing w:line="360" w:lineRule="auto"/>
        <w:rPr>
          <w:rFonts w:ascii="Times New Roman" w:hAnsi="Times New Roman" w:cs="Times New Roman"/>
          <w:sz w:val="21"/>
          <w:szCs w:val="20"/>
          <w:u w:val="single"/>
          <w:lang w:val="en-US" w:bidi="ar-SA"/>
        </w:rPr>
      </w:pPr>
      <w:r>
        <w:rPr>
          <w:rFonts w:hint="eastAsia" w:ascii="Times New Roman" w:hAnsi="Times New Roman" w:cs="Times New Roman"/>
          <w:sz w:val="21"/>
          <w:szCs w:val="20"/>
          <w:u w:val="single"/>
          <w:lang w:val="en-US" w:bidi="ar-SA"/>
        </w:rPr>
        <w:t xml:space="preserve">6.在施工过程中，发包人将对承包人的安全文明情况进行考评，只有考评合格，结算时方可计取现场安全文明措施费现场考评费和奖励费，否则结算时不得计取该项费用；</w:t>
      </w:r>
      <w:r/>
    </w:p>
    <w:p>
      <w:pPr>
        <w:jc w:val="both"/>
        <w:spacing w:line="360" w:lineRule="auto"/>
        <w:rPr>
          <w:rFonts w:ascii="Times New Roman" w:hAnsi="Times New Roman" w:cs="Times New Roman"/>
          <w:sz w:val="21"/>
          <w:szCs w:val="20"/>
          <w:u w:val="single"/>
          <w:lang w:val="en-US" w:bidi="ar-SA"/>
        </w:rPr>
      </w:pPr>
      <w:r>
        <w:rPr>
          <w:rFonts w:hint="eastAsia" w:ascii="Times New Roman" w:hAnsi="Times New Roman" w:cs="Times New Roman"/>
          <w:sz w:val="21"/>
          <w:szCs w:val="20"/>
          <w:u w:val="single"/>
          <w:lang w:val="en-US" w:bidi="ar-SA"/>
        </w:rPr>
        <w:t xml:space="preserve">7. 工程竣工验收合格后</w:t>
      </w:r>
      <w:r>
        <w:rPr>
          <w:rFonts w:ascii="Times New Roman" w:hAnsi="Times New Roman" w:cs="Times New Roman"/>
          <w:sz w:val="21"/>
          <w:szCs w:val="20"/>
          <w:u w:val="single"/>
          <w:lang w:val="en-US" w:bidi="ar-SA"/>
        </w:rPr>
        <w:t xml:space="preserve">28</w:t>
      </w:r>
      <w:r>
        <w:rPr>
          <w:rFonts w:hint="eastAsia" w:ascii="Times New Roman" w:hAnsi="Times New Roman" w:cs="Times New Roman"/>
          <w:sz w:val="21"/>
          <w:szCs w:val="20"/>
          <w:u w:val="single"/>
          <w:lang w:val="en-US" w:bidi="ar-SA"/>
        </w:rPr>
        <w:t xml:space="preserve">天内，承包人必须将符合发包人要求的竣工结算书及相关资料上报给发包人，否则每延迟一天须向发包人支付5000元作为违约赔偿金；</w:t>
      </w:r>
      <w:r/>
    </w:p>
    <w:p>
      <w:pPr>
        <w:jc w:val="both"/>
        <w:spacing w:line="360" w:lineRule="auto"/>
        <w:rPr>
          <w:rFonts w:ascii="Times New Roman" w:hAnsi="Times New Roman" w:cs="Times New Roman"/>
          <w:sz w:val="21"/>
          <w:szCs w:val="20"/>
          <w:u w:val="single"/>
          <w:lang w:val="en-US" w:bidi="ar-SA"/>
        </w:rPr>
      </w:pPr>
      <w:r>
        <w:rPr>
          <w:rFonts w:hint="eastAsia" w:ascii="Times New Roman" w:hAnsi="Times New Roman" w:cs="Times New Roman"/>
          <w:sz w:val="21"/>
          <w:szCs w:val="20"/>
          <w:u w:val="single"/>
          <w:lang w:val="en-US" w:bidi="ar-SA"/>
        </w:rPr>
        <w:t xml:space="preserve">8. 经查实如承包人有出借资质或挂靠施工现象发生，视承包人严重违约，承包人除须立即进行纠正外，发包人有权没收履约保证金，发包人还有权选择解除合同并要求承包人承担损失赔偿责任。</w:t>
      </w:r>
      <w:r/>
    </w:p>
    <w:p>
      <w:pPr>
        <w:jc w:val="both"/>
        <w:spacing w:line="360" w:lineRule="auto"/>
        <w:rPr>
          <w:rFonts w:ascii="Times New Roman" w:hAnsi="Times New Roman" w:cs="MingLiU_HKSCS"/>
          <w:sz w:val="21"/>
          <w:szCs w:val="20"/>
          <w:u w:val="single"/>
          <w:lang w:val="en-US" w:bidi="ar-SA"/>
        </w:rPr>
      </w:pPr>
      <w:r>
        <w:rPr>
          <w:rFonts w:hint="eastAsia" w:ascii="Times New Roman" w:hAnsi="Times New Roman" w:cs="MingLiU_HKSCS"/>
          <w:sz w:val="21"/>
          <w:szCs w:val="20"/>
          <w:u w:val="single"/>
          <w:lang w:val="en-US" w:bidi="ar-SA"/>
        </w:rPr>
        <w:t xml:space="preserve">9.工程质量应符合国家和本合同约定的验收规范，并一次性验收合格，若质量未达到要求，承包人按合同签约价的2%向发包人支付违约金，同时承包人应进行整改，并须承担使工程达到约定质量标准所发生的所有费用。返工合格后，发包人有权在承包人工程结算款中扣除承包人工期延误违约金以及由此而给发包人造成的经济损失。</w:t>
      </w:r>
      <w:r/>
    </w:p>
    <w:p>
      <w:pPr>
        <w:jc w:val="both"/>
        <w:spacing w:line="360" w:lineRule="auto"/>
        <w:rPr>
          <w:rFonts w:ascii="Times New Roman" w:hAnsi="Times New Roman" w:cs="MingLiU_HKSCS"/>
          <w:sz w:val="21"/>
          <w:szCs w:val="20"/>
          <w:u w:val="single"/>
          <w:lang w:val="en-US" w:bidi="ar-SA"/>
        </w:rPr>
      </w:pPr>
      <w:r>
        <w:rPr>
          <w:rFonts w:hint="eastAsia" w:ascii="Times New Roman" w:hAnsi="Times New Roman" w:cs="MingLiU_HKSCS"/>
          <w:sz w:val="21"/>
          <w:szCs w:val="20"/>
          <w:u w:val="single"/>
          <w:lang w:val="en-US" w:bidi="ar-SA"/>
        </w:rPr>
        <w:t xml:space="preserve">10.若承包人擅自停工、单方面终止合同、工期严重延误或存在其他严重违约行为，导致发包人不得不单方解除合同的，在发包人通知解除本合同的情况下，承包人必须在5天内无条件退场。发包人将在承包人完成退场的情况下按承包人已完成工程量的50%给予结算，承包人还须按合同价款【30】%标准向发包人支付违约金。若违约金不足以弥补发包人损失的，承包人还应承担由此而给发包方造成的一切损失。</w:t>
      </w:r>
      <w:r/>
    </w:p>
    <w:p>
      <w:pPr>
        <w:jc w:val="both"/>
        <w:spacing w:line="360" w:lineRule="auto"/>
        <w:rPr>
          <w:rFonts w:ascii="Times New Roman" w:hAnsi="Times New Roman" w:cs="MingLiU_HKSCS"/>
          <w:sz w:val="21"/>
          <w:szCs w:val="20"/>
          <w:u w:val="single"/>
          <w:lang w:val="en-US" w:bidi="ar-SA"/>
        </w:rPr>
      </w:pPr>
      <w:r>
        <w:rPr>
          <w:rFonts w:hint="eastAsia" w:ascii="Times New Roman" w:hAnsi="Times New Roman" w:cs="MingLiU_HKSCS"/>
          <w:sz w:val="21"/>
          <w:szCs w:val="20"/>
          <w:u w:val="single"/>
          <w:lang w:val="en-US" w:bidi="ar-SA"/>
        </w:rPr>
        <w:t xml:space="preserve">11.因承包人原因导致技术文件（包括竣工图纸、签证等）未能按约定时间提交，每迟一天，发包人在支付给承包人的工程款内扣除1000元的违约金。同时并不解除承包人继续交付上述技术文件的义务。</w:t>
      </w:r>
      <w:r/>
    </w:p>
    <w:p>
      <w:pPr>
        <w:jc w:val="both"/>
        <w:spacing w:line="360" w:lineRule="auto"/>
        <w:rPr>
          <w:rFonts w:ascii="Times New Roman" w:hAnsi="Times New Roman" w:cs="MingLiU_HKSCS"/>
          <w:sz w:val="21"/>
          <w:szCs w:val="20"/>
          <w:u w:val="single"/>
          <w:lang w:val="en-US" w:bidi="ar-SA"/>
        </w:rPr>
      </w:pPr>
      <w:r>
        <w:rPr>
          <w:rFonts w:hint="eastAsia" w:ascii="Times New Roman" w:hAnsi="Times New Roman" w:cs="MingLiU_HKSCS"/>
          <w:sz w:val="21"/>
          <w:szCs w:val="20"/>
          <w:u w:val="single"/>
          <w:lang w:val="en-US" w:bidi="ar-SA"/>
        </w:rPr>
        <w:t xml:space="preserve">12.若因承包人施工质量问题或所使用产品、材料、设备的质量问题引起的安全责任（包括造成发包人师生或其他方人身伤害或财产损失等情形）由承包人负责，承包人应承担全部损失赔偿责任和相关法律责任。</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16.2.3 因承包人违约解除合同</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关于承包人违约解除合同的特别约定：</w:t>
      </w:r>
      <w:r>
        <w:rPr>
          <w:rFonts w:hint="eastAsia" w:ascii="Times New Roman" w:hAnsi="Times New Roman" w:cs="Times New Roman"/>
          <w:sz w:val="21"/>
          <w:szCs w:val="20"/>
          <w:u w:val="single"/>
          <w:lang w:val="en-US" w:bidi="ar-SA"/>
        </w:rPr>
        <w:t xml:space="preserve">在本合同解除后，承包人必须在5天内无条件退场。发包人将按承包人已完成工程量的50%给予结算，承包人还须按合同签约价【30】%标准向发包人支付违约金承包人并承担由此而给发包方造成的一切损失</w:t>
      </w:r>
      <w:r>
        <w:rPr>
          <w:rFonts w:hint="eastAsia" w:ascii="Times New Roman" w:hAnsi="Times New Roman" w:cs="Times New Roman"/>
          <w:sz w:val="21"/>
          <w:szCs w:val="20"/>
          <w:lang w:val="en-US" w:bidi="ar-SA"/>
        </w:rPr>
        <w:t xml:space="preserve">。</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发包人继续使用承包人在施工现场的材料、设备、临时工程、承包人文件和由承包人或以其名义编制的其他文件的费用承担方式：</w:t>
      </w:r>
      <w:r>
        <w:rPr>
          <w:rFonts w:hint="eastAsia" w:ascii="Times New Roman" w:hAnsi="Times New Roman" w:cs="Times New Roman"/>
          <w:sz w:val="21"/>
          <w:szCs w:val="20"/>
          <w:u w:val="single"/>
          <w:lang w:val="en-US" w:bidi="ar-SA"/>
        </w:rPr>
        <w:t xml:space="preserve">根据监理、审计出具的报告结算给承包人</w:t>
      </w:r>
      <w:r>
        <w:rPr>
          <w:rFonts w:hint="eastAsia" w:ascii="Times New Roman" w:hAnsi="Times New Roman" w:cs="Times New Roman"/>
          <w:sz w:val="21"/>
          <w:szCs w:val="20"/>
          <w:lang w:val="en-US" w:bidi="ar-SA"/>
        </w:rPr>
        <w:t xml:space="preserve">。</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17. 不可抗力</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17.1 不可抗力的确认</w:t>
      </w:r>
      <w:r/>
    </w:p>
    <w:p>
      <w:pPr>
        <w:jc w:val="both"/>
        <w:spacing w:line="360" w:lineRule="auto"/>
        <w:rPr>
          <w:rFonts w:ascii="Times New Roman" w:hAnsi="Times New Roman" w:cs="Times New Roman"/>
          <w:sz w:val="21"/>
          <w:szCs w:val="20"/>
          <w:u w:val="single"/>
          <w:lang w:val="en-US" w:bidi="ar-SA"/>
        </w:rPr>
      </w:pPr>
      <w:r>
        <w:rPr>
          <w:rFonts w:hint="eastAsia" w:ascii="Times New Roman" w:hAnsi="Times New Roman" w:cs="Times New Roman"/>
          <w:sz w:val="21"/>
          <w:szCs w:val="20"/>
          <w:lang w:val="en-US" w:bidi="ar-SA"/>
        </w:rPr>
        <w:t xml:space="preserve">除通用合同条款约定的不可抗力事件之外，视为不可抗力的其他情形：</w:t>
      </w:r>
      <w:r>
        <w:rPr>
          <w:rFonts w:hint="eastAsia" w:ascii="Times New Roman" w:hAnsi="Times New Roman" w:cs="Times New Roman"/>
          <w:sz w:val="21"/>
          <w:szCs w:val="20"/>
          <w:u w:val="single"/>
          <w:lang w:val="en-US" w:bidi="ar-SA"/>
        </w:rPr>
        <w:t xml:space="preserve">因国家和政府举办大型活动限制施工、因维护学生稳定而不能正常施工</w:t>
      </w:r>
      <w:r>
        <w:rPr>
          <w:rFonts w:hint="eastAsia" w:ascii="Times New Roman" w:hAnsi="Times New Roman" w:cs="Times New Roman"/>
          <w:sz w:val="21"/>
          <w:szCs w:val="20"/>
          <w:lang w:val="en-US" w:bidi="ar-SA"/>
        </w:rPr>
        <w:t xml:space="preserve">。</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17.2因不可抗力解除合同</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合同解除后，发包人应在商定或确定发包人应支付款项后</w:t>
      </w:r>
      <w:r>
        <w:rPr>
          <w:rFonts w:hint="eastAsia" w:ascii="Times New Roman" w:hAnsi="Times New Roman" w:cs="Times New Roman"/>
          <w:sz w:val="21"/>
          <w:szCs w:val="20"/>
          <w:u w:val="single"/>
          <w:lang w:val="en-US" w:bidi="ar-SA"/>
        </w:rPr>
        <w:t xml:space="preserve">/</w:t>
      </w:r>
      <w:r>
        <w:rPr>
          <w:rFonts w:hint="eastAsia" w:ascii="Times New Roman" w:hAnsi="Times New Roman" w:cs="Times New Roman"/>
          <w:sz w:val="21"/>
          <w:szCs w:val="20"/>
          <w:lang w:val="en-US" w:bidi="ar-SA"/>
        </w:rPr>
        <w:t xml:space="preserve">天内完成款项的支付。</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18. 保险</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18.1 工程保险</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关于工程保险的特别约定：</w:t>
      </w:r>
      <w:r>
        <w:rPr>
          <w:rFonts w:hint="eastAsia" w:ascii="Times New Roman" w:hAnsi="Times New Roman" w:cs="Times New Roman"/>
          <w:sz w:val="21"/>
          <w:szCs w:val="20"/>
          <w:u w:val="single"/>
          <w:lang w:val="en-US" w:bidi="ar-SA"/>
        </w:rPr>
        <w:t xml:space="preserve">/</w:t>
      </w:r>
      <w:r>
        <w:rPr>
          <w:rFonts w:hint="eastAsia" w:ascii="Times New Roman" w:hAnsi="Times New Roman" w:cs="Times New Roman"/>
          <w:sz w:val="21"/>
          <w:szCs w:val="20"/>
          <w:lang w:val="en-US" w:bidi="ar-SA"/>
        </w:rPr>
        <w:t xml:space="preserve">。</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18.2其他保险</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关于其他保险的约定：</w:t>
      </w:r>
      <w:r>
        <w:rPr>
          <w:rFonts w:hint="eastAsia" w:ascii="Times New Roman" w:hAnsi="Times New Roman" w:cs="Times New Roman"/>
          <w:sz w:val="21"/>
          <w:szCs w:val="20"/>
          <w:u w:val="single"/>
          <w:lang w:val="en-US" w:bidi="ar-SA"/>
        </w:rPr>
        <w:t xml:space="preserve"> / </w:t>
      </w:r>
      <w:r>
        <w:rPr>
          <w:rFonts w:hint="eastAsia" w:ascii="Times New Roman" w:hAnsi="Times New Roman" w:cs="Times New Roman"/>
          <w:sz w:val="21"/>
          <w:szCs w:val="20"/>
          <w:lang w:val="en-US" w:bidi="ar-SA"/>
        </w:rPr>
        <w:t xml:space="preserve">。</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承包人是否应为其施工设备等办理财产保险：</w:t>
      </w:r>
      <w:r>
        <w:rPr>
          <w:rFonts w:hint="eastAsia" w:ascii="Times New Roman" w:hAnsi="Times New Roman" w:cs="Times New Roman"/>
          <w:sz w:val="21"/>
          <w:szCs w:val="20"/>
          <w:u w:val="single"/>
          <w:lang w:val="en-US" w:bidi="ar-SA"/>
        </w:rPr>
        <w:t xml:space="preserve">/</w:t>
      </w:r>
      <w:r>
        <w:rPr>
          <w:rFonts w:hint="eastAsia" w:ascii="Times New Roman" w:hAnsi="Times New Roman" w:cs="Times New Roman"/>
          <w:sz w:val="21"/>
          <w:szCs w:val="20"/>
          <w:lang w:val="en-US" w:bidi="ar-SA"/>
        </w:rPr>
        <w:t xml:space="preserve">。</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18.3通知义务</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关于变更保险合同时的通知义务的约定：</w:t>
      </w:r>
      <w:r>
        <w:rPr>
          <w:rFonts w:hint="eastAsia" w:ascii="Times New Roman" w:hAnsi="Times New Roman" w:cs="Times New Roman"/>
          <w:sz w:val="21"/>
          <w:szCs w:val="20"/>
          <w:u w:val="single"/>
          <w:lang w:val="en-US" w:bidi="ar-SA"/>
        </w:rPr>
        <w:t xml:space="preserve">/</w:t>
      </w:r>
      <w:r>
        <w:rPr>
          <w:rFonts w:hint="eastAsia" w:ascii="Times New Roman" w:hAnsi="Times New Roman" w:cs="Times New Roman"/>
          <w:sz w:val="21"/>
          <w:szCs w:val="20"/>
          <w:lang w:val="en-US" w:bidi="ar-SA"/>
        </w:rPr>
        <w:t xml:space="preserve">。</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19. 争议解决</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19.1争议评审</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合同当事人是否同意将工程争议提交争议评审小组决定：</w:t>
      </w:r>
      <w:r>
        <w:rPr>
          <w:rFonts w:hint="eastAsia" w:ascii="Times New Roman" w:hAnsi="Times New Roman" w:cs="Times New Roman"/>
          <w:sz w:val="21"/>
          <w:szCs w:val="20"/>
          <w:u w:val="single"/>
          <w:lang w:val="en-US" w:bidi="ar-SA"/>
        </w:rPr>
        <w:t xml:space="preserve">不同意</w:t>
      </w:r>
      <w:r>
        <w:rPr>
          <w:rFonts w:hint="eastAsia" w:ascii="Times New Roman" w:hAnsi="Times New Roman" w:cs="Times New Roman"/>
          <w:sz w:val="21"/>
          <w:szCs w:val="20"/>
          <w:lang w:val="en-US" w:bidi="ar-SA"/>
        </w:rPr>
        <w:t xml:space="preserve">。</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19.1.1 争议评审小组的确定</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争议评审小组成员的确定：</w:t>
      </w:r>
      <w:r>
        <w:rPr>
          <w:rFonts w:hint="eastAsia" w:ascii="Times New Roman" w:hAnsi="Times New Roman" w:cs="Times New Roman"/>
          <w:sz w:val="21"/>
          <w:szCs w:val="20"/>
          <w:u w:val="single"/>
          <w:lang w:val="en-US" w:bidi="ar-SA"/>
        </w:rPr>
        <w:t xml:space="preserve"> / </w:t>
      </w:r>
      <w:r>
        <w:rPr>
          <w:rFonts w:hint="eastAsia" w:ascii="Times New Roman" w:hAnsi="Times New Roman" w:cs="Times New Roman"/>
          <w:sz w:val="21"/>
          <w:szCs w:val="20"/>
          <w:lang w:val="en-US" w:bidi="ar-SA"/>
        </w:rPr>
        <w:t xml:space="preserve">。</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选定争议评审员的期限：</w:t>
      </w:r>
      <w:r>
        <w:rPr>
          <w:rFonts w:hint="eastAsia" w:ascii="Times New Roman" w:hAnsi="Times New Roman" w:cs="Times New Roman"/>
          <w:sz w:val="21"/>
          <w:szCs w:val="20"/>
          <w:u w:val="single"/>
          <w:lang w:val="en-US" w:bidi="ar-SA"/>
        </w:rPr>
        <w:t xml:space="preserve"> / </w:t>
      </w:r>
      <w:r>
        <w:rPr>
          <w:rFonts w:hint="eastAsia" w:ascii="Times New Roman" w:hAnsi="Times New Roman" w:cs="Times New Roman"/>
          <w:sz w:val="21"/>
          <w:szCs w:val="20"/>
          <w:lang w:val="en-US" w:bidi="ar-SA"/>
        </w:rPr>
        <w:t xml:space="preserve">。</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争议评审小组成员的报酬承担方式：</w:t>
      </w:r>
      <w:r>
        <w:rPr>
          <w:rFonts w:hint="eastAsia" w:ascii="Times New Roman" w:hAnsi="Times New Roman" w:cs="Times New Roman"/>
          <w:sz w:val="21"/>
          <w:szCs w:val="20"/>
          <w:u w:val="single"/>
          <w:lang w:val="en-US" w:bidi="ar-SA"/>
        </w:rPr>
        <w:t xml:space="preserve"> / </w:t>
      </w:r>
      <w:r>
        <w:rPr>
          <w:rFonts w:hint="eastAsia" w:ascii="Times New Roman" w:hAnsi="Times New Roman" w:cs="Times New Roman"/>
          <w:sz w:val="21"/>
          <w:szCs w:val="20"/>
          <w:lang w:val="en-US" w:bidi="ar-SA"/>
        </w:rPr>
        <w:t xml:space="preserve">。</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其他事项的约定：</w:t>
      </w:r>
      <w:r>
        <w:rPr>
          <w:rFonts w:hint="eastAsia" w:ascii="Times New Roman" w:hAnsi="Times New Roman" w:cs="Times New Roman"/>
          <w:sz w:val="21"/>
          <w:szCs w:val="20"/>
          <w:u w:val="single"/>
          <w:lang w:val="en-US" w:bidi="ar-SA"/>
        </w:rPr>
        <w:t xml:space="preserve"> / </w:t>
      </w:r>
      <w:r>
        <w:rPr>
          <w:rFonts w:hint="eastAsia" w:ascii="Times New Roman" w:hAnsi="Times New Roman" w:cs="Times New Roman"/>
          <w:sz w:val="21"/>
          <w:szCs w:val="20"/>
          <w:lang w:val="en-US" w:bidi="ar-SA"/>
        </w:rPr>
        <w:t xml:space="preserve">。</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19.1.2 争议评审小组的决定</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合同当事人关于本项的约定：</w:t>
      </w:r>
      <w:r>
        <w:rPr>
          <w:rFonts w:hint="eastAsia" w:ascii="Times New Roman" w:hAnsi="Times New Roman" w:cs="Times New Roman"/>
          <w:sz w:val="21"/>
          <w:szCs w:val="20"/>
          <w:u w:val="single"/>
          <w:lang w:val="en-US" w:bidi="ar-SA"/>
        </w:rPr>
        <w:t xml:space="preserve"> / </w:t>
      </w:r>
      <w:r>
        <w:rPr>
          <w:rFonts w:hint="eastAsia" w:ascii="Times New Roman" w:hAnsi="Times New Roman" w:cs="Times New Roman"/>
          <w:sz w:val="21"/>
          <w:szCs w:val="20"/>
          <w:lang w:val="en-US" w:bidi="ar-SA"/>
        </w:rPr>
        <w:t xml:space="preserve">。</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19.2仲裁或诉讼</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因合同及合同有关事项发生的争议，按下列第</w:t>
      </w:r>
      <w:r>
        <w:rPr>
          <w:rFonts w:hint="eastAsia" w:ascii="Times New Roman" w:hAnsi="Times New Roman" w:cs="Times New Roman"/>
          <w:sz w:val="21"/>
          <w:szCs w:val="20"/>
          <w:u w:val="single"/>
          <w:lang w:val="en-US" w:bidi="ar-SA"/>
        </w:rPr>
        <w:t xml:space="preserve">（2）</w:t>
      </w:r>
      <w:r>
        <w:rPr>
          <w:rFonts w:hint="eastAsia" w:ascii="Times New Roman" w:hAnsi="Times New Roman" w:cs="Times New Roman"/>
          <w:sz w:val="21"/>
          <w:szCs w:val="20"/>
          <w:lang w:val="en-US" w:bidi="ar-SA"/>
        </w:rPr>
        <w:t xml:space="preserve">种方式解决：</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（1）向</w:t>
      </w:r>
      <w:r>
        <w:rPr>
          <w:rFonts w:hint="eastAsia" w:ascii="Times New Roman" w:hAnsi="Times New Roman" w:cs="Times New Roman"/>
          <w:sz w:val="21"/>
          <w:szCs w:val="20"/>
          <w:u w:val="single"/>
          <w:lang w:val="en-US" w:bidi="ar-SA"/>
        </w:rPr>
        <w:t xml:space="preserve"> / </w:t>
      </w:r>
      <w:r>
        <w:rPr>
          <w:rFonts w:hint="eastAsia" w:ascii="Times New Roman" w:hAnsi="Times New Roman" w:cs="Times New Roman"/>
          <w:sz w:val="21"/>
          <w:szCs w:val="20"/>
          <w:lang w:val="en-US" w:bidi="ar-SA"/>
        </w:rPr>
        <w:t xml:space="preserve">仲裁委员会申请仲裁；</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（2）向</w:t>
      </w:r>
      <w:r>
        <w:rPr>
          <w:rFonts w:hint="eastAsia" w:ascii="Times New Roman" w:hAnsi="Times New Roman" w:cs="Times New Roman"/>
          <w:sz w:val="21"/>
          <w:szCs w:val="20"/>
          <w:u w:val="single"/>
          <w:lang w:val="en-US" w:bidi="ar-SA"/>
        </w:rPr>
        <w:t xml:space="preserve">工程所在地</w:t>
      </w:r>
      <w:r>
        <w:rPr>
          <w:rFonts w:hint="eastAsia" w:ascii="Times New Roman" w:hAnsi="Times New Roman" w:cs="Times New Roman"/>
          <w:sz w:val="21"/>
          <w:szCs w:val="20"/>
          <w:lang w:val="en-US" w:bidi="ar-SA"/>
        </w:rPr>
        <w:t xml:space="preserve">人民法院起诉。</w:t>
      </w:r>
      <w:r/>
    </w:p>
    <w:p>
      <w:pPr>
        <w:jc w:val="both"/>
        <w:spacing w:before="19" w:line="360" w:lineRule="auto"/>
        <w:widowControl/>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20. 补充条款（特别约定）</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20.1发包人就该工程为承包人垫付的建设工程社会保障费，可以在向承包人支付工程进度款时扣除。</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20.2审计费用的取费标准及分摊原则：</w:t>
      </w:r>
      <w:r/>
    </w:p>
    <w:p>
      <w:pPr>
        <w:jc w:val="both"/>
        <w:spacing w:line="460" w:lineRule="exact"/>
        <w:rPr>
          <w:rFonts w:ascii="Times New Roman" w:hAnsi="Times New Roman" w:cs="Times New Roman"/>
          <w:sz w:val="21"/>
          <w:szCs w:val="20"/>
          <w:lang w:val="en-US" w:bidi="ar-SA"/>
        </w:rPr>
      </w:pPr>
      <w:r>
        <w:rPr>
          <w:rFonts w:hint="eastAsia" w:ascii="Times New Roman" w:hAnsi="Times New Roman" w:cs="Times New Roman"/>
          <w:sz w:val="21"/>
          <w:szCs w:val="20"/>
          <w:lang w:val="en-US" w:bidi="ar-SA"/>
        </w:rPr>
        <w:t xml:space="preserve">承包人同意发包人以自己的名义单方委托有相应资质的审计机构（工程造价咨询单位）对本工程作决算审计（包括初审和复审），</w:t>
      </w:r>
      <w:r>
        <w:rPr>
          <w:rFonts w:hint="eastAsia" w:ascii="Times New Roman" w:hAnsi="Times New Roman" w:cs="MingLiU_HKSCS"/>
          <w:sz w:val="21"/>
          <w:szCs w:val="20"/>
          <w:lang w:val="en-US" w:bidi="ar-SA"/>
        </w:rPr>
        <w:t xml:space="preserve">初审和复审的审计费，均由发包人和承包人双方按规定分担。</w:t>
      </w:r>
      <w:r>
        <w:rPr>
          <w:rFonts w:hint="eastAsia" w:ascii="Times New Roman" w:hAnsi="Times New Roman" w:cs="Times New Roman"/>
          <w:sz w:val="21"/>
          <w:szCs w:val="20"/>
          <w:lang w:val="en-US" w:bidi="ar-SA"/>
        </w:rPr>
        <w:t xml:space="preserve">审计费用的承担方式为：</w:t>
      </w:r>
      <w:r/>
    </w:p>
    <w:p>
      <w:pPr>
        <w:jc w:val="both"/>
        <w:spacing w:line="460" w:lineRule="exact"/>
        <w:rPr>
          <w:rFonts w:ascii="Times New Roman" w:hAnsi="Times New Roman" w:cs="Times New Roman"/>
          <w:b/>
          <w:bCs/>
          <w:sz w:val="21"/>
          <w:szCs w:val="20"/>
          <w:lang w:val="en-US" w:bidi="ar-SA"/>
        </w:rPr>
      </w:pPr>
      <w:r>
        <w:rPr>
          <w:rFonts w:hint="eastAsia" w:ascii="Times New Roman" w:hAnsi="Times New Roman" w:cs="Times New Roman"/>
          <w:b/>
          <w:bCs/>
          <w:sz w:val="21"/>
          <w:szCs w:val="20"/>
          <w:lang w:val="en-US" w:bidi="ar-SA"/>
        </w:rPr>
        <w:t xml:space="preserve">（一）核减率（含复审）达5%（含5%）以上的，</w:t>
      </w:r>
      <w:r>
        <w:rPr>
          <w:rFonts w:hint="eastAsia" w:cs="Times New Roman"/>
          <w:b/>
          <w:bCs/>
          <w:sz w:val="21"/>
          <w:szCs w:val="20"/>
          <w:lang w:val="en-US" w:bidi="ar-SA"/>
        </w:rPr>
        <w:t xml:space="preserve">全部审计费用</w:t>
      </w:r>
      <w:r>
        <w:rPr>
          <w:rFonts w:hint="eastAsia" w:ascii="Times New Roman" w:hAnsi="Times New Roman" w:cs="Times New Roman"/>
          <w:b/>
          <w:bCs/>
          <w:sz w:val="21"/>
          <w:szCs w:val="20"/>
          <w:lang w:val="en-US" w:bidi="ar-SA"/>
        </w:rPr>
        <w:t xml:space="preserve">由承包人承担，并由发包人从承包人的工程款中扣除。</w:t>
      </w:r>
      <w:r/>
    </w:p>
    <w:p>
      <w:pPr>
        <w:jc w:val="both"/>
        <w:spacing w:line="460" w:lineRule="exact"/>
        <w:rPr>
          <w:rFonts w:ascii="Times New Roman" w:hAnsi="Times New Roman" w:cs="Times New Roman"/>
          <w:b/>
          <w:bCs/>
          <w:sz w:val="21"/>
          <w:szCs w:val="20"/>
          <w:lang w:val="en-US" w:bidi="ar-SA"/>
        </w:rPr>
      </w:pPr>
      <w:r>
        <w:rPr>
          <w:rFonts w:hint="eastAsia" w:ascii="Times New Roman" w:hAnsi="Times New Roman" w:cs="Times New Roman"/>
          <w:b/>
          <w:bCs/>
          <w:sz w:val="21"/>
          <w:szCs w:val="20"/>
          <w:lang w:val="en-US" w:bidi="ar-SA"/>
        </w:rPr>
        <w:t xml:space="preserve">（二）核减率（含复审）为5%以下的审计费用，由发包人承担。</w:t>
      </w:r>
      <w:r/>
    </w:p>
    <w:p>
      <w:pPr>
        <w:spacing w:line="360" w:lineRule="auto"/>
        <w:rPr>
          <w:rFonts w:eastAsia="Calibri" w:cs="仿宋"/>
          <w:b/>
          <w:bCs/>
          <w:sz w:val="21"/>
          <w:szCs w:val="21"/>
          <w:lang w:val="en-US" w:bidi="ar-SA"/>
        </w:rPr>
      </w:pPr>
      <w:r>
        <w:rPr>
          <w:rFonts w:hint="eastAsia" w:cs="仿宋"/>
          <w:b/>
          <w:bCs/>
          <w:sz w:val="21"/>
          <w:szCs w:val="21"/>
          <w:lang w:val="en-US" w:bidi="ar-SA"/>
        </w:rPr>
        <w:t xml:space="preserve">承包人</w:t>
      </w:r>
      <w:r>
        <w:rPr>
          <w:rFonts w:hint="eastAsia" w:eastAsia="Calibri" w:cs="仿宋"/>
          <w:b/>
          <w:bCs/>
          <w:sz w:val="21"/>
          <w:szCs w:val="21"/>
          <w:lang w:val="en-US" w:bidi="ar-SA"/>
        </w:rPr>
        <w:t xml:space="preserve">同意：若</w:t>
      </w:r>
      <w:r>
        <w:rPr>
          <w:rFonts w:hint="eastAsia" w:cs="仿宋"/>
          <w:b/>
          <w:bCs/>
          <w:sz w:val="21"/>
          <w:szCs w:val="21"/>
          <w:lang w:val="en-US" w:bidi="ar-SA"/>
        </w:rPr>
        <w:t xml:space="preserve">发包人</w:t>
      </w:r>
      <w:r>
        <w:rPr>
          <w:rFonts w:hint="eastAsia" w:eastAsia="Calibri" w:cs="仿宋"/>
          <w:b/>
          <w:bCs/>
          <w:sz w:val="21"/>
          <w:szCs w:val="21"/>
          <w:lang w:val="en-US" w:bidi="ar-SA"/>
        </w:rPr>
        <w:t xml:space="preserve">审计规定发生调整修订，则按照</w:t>
      </w:r>
      <w:r>
        <w:rPr>
          <w:rFonts w:hint="eastAsia" w:cs="仿宋"/>
          <w:b/>
          <w:bCs/>
          <w:sz w:val="21"/>
          <w:szCs w:val="21"/>
          <w:lang w:val="en-US" w:bidi="ar-SA"/>
        </w:rPr>
        <w:t xml:space="preserve">发包人</w:t>
      </w:r>
      <w:r>
        <w:rPr>
          <w:rFonts w:hint="eastAsia" w:eastAsia="Calibri" w:cs="仿宋"/>
          <w:b/>
          <w:bCs/>
          <w:sz w:val="21"/>
          <w:szCs w:val="21"/>
          <w:lang w:val="en-US" w:bidi="ar-SA"/>
        </w:rPr>
        <w:t xml:space="preserve">调整修订后的新审计规定执行。</w:t>
      </w:r>
      <w:r/>
    </w:p>
    <w:p>
      <w:pPr>
        <w:jc w:val="both"/>
        <w:spacing w:line="460" w:lineRule="exact"/>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附件1：南京中医药大学水电管理办法（修订稿）</w:t>
      </w:r>
      <w:r/>
    </w:p>
    <w:p>
      <w:pPr>
        <w:jc w:val="both"/>
        <w:rPr>
          <w:rFonts w:ascii="Times New Roman" w:hAnsi="Times New Roman" w:cs="Times New Roman"/>
          <w:b/>
          <w:sz w:val="21"/>
          <w:szCs w:val="20"/>
          <w:lang w:val="en-US" w:bidi="ar-SA"/>
        </w:rPr>
      </w:pPr>
      <w:r>
        <w:rPr>
          <w:rFonts w:ascii="Times New Roman" w:hAnsi="Times New Roman" w:cs="Times New Roman"/>
          <w:b/>
          <w:sz w:val="21"/>
          <w:szCs w:val="20"/>
          <w:lang w:val="en-US" w:bidi="ar-SA"/>
        </w:rPr>
      </w:r>
      <w:r/>
    </w:p>
    <w:p>
      <w:pPr>
        <w:jc w:val="both"/>
        <w:keepLines/>
        <w:keepNext/>
        <w:spacing w:before="120" w:after="120"/>
        <w:rPr>
          <w:rFonts w:ascii="Cambria" w:hAnsi="Cambria" w:cs="Times New Roman"/>
          <w:bCs/>
          <w:sz w:val="28"/>
          <w:szCs w:val="28"/>
          <w:lang w:val="en-US" w:bidi="ar-SA"/>
        </w:rPr>
        <w:outlineLvl w:val="3"/>
      </w:pPr>
      <w:r>
        <w:rPr>
          <w:rFonts w:ascii="Cambria" w:hAnsi="Cambria" w:cs="Times New Roman"/>
          <w:b/>
          <w:bCs/>
          <w:sz w:val="28"/>
          <w:szCs w:val="28"/>
          <w:lang w:val="en-US" w:bidi="ar-SA"/>
        </w:rPr>
        <w:br w:type="page" w:clear="all"/>
      </w:r>
      <w:r>
        <w:rPr>
          <w:rFonts w:hint="eastAsia" w:ascii="Times New Roman" w:hAnsi="Times New Roman" w:cs="Times New Roman"/>
          <w:b/>
          <w:sz w:val="21"/>
          <w:szCs w:val="20"/>
          <w:lang w:val="en-US" w:bidi="ar-SA"/>
        </w:rPr>
        <w:t xml:space="preserve">附件1：南京中医药大学水电管理办法（修订稿）</w:t>
      </w:r>
      <w:r/>
    </w:p>
    <w:p>
      <w:pPr>
        <w:jc w:val="center"/>
        <w:rPr>
          <w:rFonts w:ascii="Times New Roman" w:hAnsi="Times New Roman" w:cs="Times New Roman"/>
          <w:b/>
          <w:bCs/>
          <w:sz w:val="32"/>
          <w:szCs w:val="32"/>
          <w:lang w:val="en-US" w:bidi="ar-SA"/>
        </w:rPr>
      </w:pPr>
      <w:r>
        <w:rPr>
          <w:rFonts w:ascii="Times New Roman" w:hAnsi="Times New Roman" w:cs="Times New Roman"/>
          <w:b/>
          <w:bCs/>
          <w:sz w:val="32"/>
          <w:szCs w:val="32"/>
          <w:lang w:val="en-US" w:bidi="ar-SA"/>
        </w:rPr>
        <w:t xml:space="preserve">南京中医药大学水电管理办法</w:t>
      </w:r>
      <w:r/>
    </w:p>
    <w:p>
      <w:pPr>
        <w:jc w:val="center"/>
        <w:rPr>
          <w:rFonts w:ascii="Times New Roman" w:hAnsi="Times New Roman" w:cs="Times New Roman"/>
          <w:b/>
          <w:bCs/>
          <w:sz w:val="32"/>
          <w:szCs w:val="32"/>
          <w:lang w:val="en-US" w:bidi="ar-SA"/>
        </w:rPr>
      </w:pPr>
      <w:r>
        <w:rPr>
          <w:rFonts w:ascii="Times New Roman" w:hAnsi="Times New Roman" w:cs="Times New Roman"/>
          <w:b/>
          <w:bCs/>
          <w:sz w:val="32"/>
          <w:szCs w:val="32"/>
          <w:lang w:val="en-US" w:bidi="ar-SA"/>
        </w:rPr>
        <w:t xml:space="preserve">（2022年5月修订）</w:t>
      </w:r>
      <w:r/>
    </w:p>
    <w:p>
      <w:pPr>
        <w:jc w:val="both"/>
        <w:rPr>
          <w:rFonts w:ascii="Times New Roman" w:hAnsi="Times New Roman" w:cs="Times New Roman"/>
          <w:sz w:val="21"/>
          <w:szCs w:val="20"/>
          <w:lang w:val="en-US" w:bidi="ar-SA"/>
        </w:rPr>
      </w:pPr>
      <w:r>
        <w:rPr>
          <w:rFonts w:ascii="Times New Roman" w:hAnsi="Times New Roman" w:cs="Times New Roman"/>
          <w:sz w:val="21"/>
          <w:szCs w:val="20"/>
          <w:lang w:val="en-US" w:bidi="ar-SA"/>
        </w:rPr>
        <w:t xml:space="preserve"> </w:t>
      </w:r>
      <w:r/>
    </w:p>
    <w:p>
      <w:pPr>
        <w:jc w:val="both"/>
        <w:rPr>
          <w:rFonts w:ascii="Times New Roman" w:hAnsi="Times New Roman" w:cs="Times New Roman"/>
          <w:b/>
          <w:bCs/>
          <w:sz w:val="21"/>
          <w:szCs w:val="20"/>
          <w:lang w:val="en-US" w:bidi="ar-SA"/>
        </w:rPr>
      </w:pPr>
      <w:r>
        <w:rPr>
          <w:rFonts w:ascii="Times New Roman" w:hAnsi="Times New Roman" w:cs="Times New Roman"/>
          <w:b/>
          <w:bCs/>
          <w:sz w:val="21"/>
          <w:szCs w:val="20"/>
          <w:lang w:val="en-US" w:bidi="ar-SA"/>
        </w:rPr>
        <w:t xml:space="preserve">第一章  总则</w:t>
      </w:r>
      <w:r/>
    </w:p>
    <w:p>
      <w:pPr>
        <w:jc w:val="both"/>
        <w:rPr>
          <w:rFonts w:ascii="Times New Roman" w:hAnsi="Times New Roman" w:cs="Times New Roman"/>
          <w:sz w:val="21"/>
          <w:szCs w:val="20"/>
          <w:lang w:val="en-US" w:bidi="ar-SA"/>
        </w:rPr>
      </w:pPr>
      <w:r>
        <w:rPr>
          <w:rFonts w:ascii="Times New Roman" w:hAnsi="Times New Roman" w:cs="Times New Roman"/>
          <w:sz w:val="21"/>
          <w:szCs w:val="20"/>
          <w:lang w:val="en-US" w:bidi="ar-SA"/>
        </w:rPr>
        <w:t xml:space="preserve">第一条 为切实加强学校节能减排工作，强化水电管理，协调水电供用双方的关系，明确供用双方的责任，规范全校水电管理秩序，确保学校教学、科研及师生生活用水用电需要，根据《中华人民共和国电力法》《中华人民共和国水法》及其他相关水电法规，结合我校建设节约型学校的实际，遵循“安全、计划、节约、方便”的原则制定本办法。</w:t>
      </w:r>
      <w:r/>
    </w:p>
    <w:p>
      <w:pPr>
        <w:jc w:val="both"/>
        <w:rPr>
          <w:rFonts w:ascii="Times New Roman" w:hAnsi="Times New Roman" w:cs="Times New Roman"/>
          <w:b/>
          <w:bCs/>
          <w:sz w:val="21"/>
          <w:szCs w:val="20"/>
          <w:lang w:val="en-US" w:bidi="ar-SA"/>
        </w:rPr>
      </w:pPr>
      <w:r>
        <w:rPr>
          <w:rFonts w:ascii="Times New Roman" w:hAnsi="Times New Roman" w:cs="Times New Roman"/>
          <w:b/>
          <w:bCs/>
          <w:sz w:val="21"/>
          <w:szCs w:val="20"/>
          <w:lang w:val="en-US" w:bidi="ar-SA"/>
        </w:rPr>
        <w:t xml:space="preserve">第二章  管理机构及职责</w:t>
      </w:r>
      <w:r/>
    </w:p>
    <w:p>
      <w:pPr>
        <w:jc w:val="both"/>
        <w:rPr>
          <w:rFonts w:ascii="Times New Roman" w:hAnsi="Times New Roman" w:cs="Times New Roman"/>
          <w:sz w:val="21"/>
          <w:szCs w:val="20"/>
          <w:lang w:val="en-US" w:bidi="ar-SA"/>
        </w:rPr>
      </w:pPr>
      <w:r>
        <w:rPr>
          <w:rFonts w:ascii="Times New Roman" w:hAnsi="Times New Roman" w:cs="Times New Roman"/>
          <w:sz w:val="21"/>
          <w:szCs w:val="20"/>
          <w:lang w:val="en-US" w:bidi="ar-SA"/>
        </w:rPr>
        <w:t xml:space="preserve">第二条 学校建立管理、使用、服务三位一体的水电管理服务体系。</w:t>
      </w:r>
      <w:r/>
    </w:p>
    <w:p>
      <w:pPr>
        <w:jc w:val="both"/>
        <w:rPr>
          <w:rFonts w:ascii="Times New Roman" w:hAnsi="Times New Roman" w:cs="Times New Roman"/>
          <w:sz w:val="21"/>
          <w:szCs w:val="20"/>
          <w:lang w:val="en-US" w:bidi="ar-SA"/>
        </w:rPr>
      </w:pPr>
      <w:r>
        <w:rPr>
          <w:rFonts w:ascii="Times New Roman" w:hAnsi="Times New Roman" w:cs="Times New Roman"/>
          <w:sz w:val="21"/>
          <w:szCs w:val="20"/>
          <w:lang w:val="en-US" w:bidi="ar-SA"/>
        </w:rPr>
        <w:t xml:space="preserve">第三条 学校水电管理机构为三级节水节电管理网络。即南京中医药大学大保障工作小组（校级节约水电工作领导机构）→后勤管理处（校节约水电工作办公室）→各部门、各学院、各单位（节约水电管理（成员）小组）。</w:t>
      </w:r>
      <w:r/>
    </w:p>
    <w:p>
      <w:pPr>
        <w:jc w:val="both"/>
        <w:rPr>
          <w:rFonts w:ascii="Times New Roman" w:hAnsi="Times New Roman" w:cs="Times New Roman"/>
          <w:sz w:val="21"/>
          <w:szCs w:val="20"/>
          <w:lang w:val="en-US" w:bidi="ar-SA"/>
        </w:rPr>
      </w:pPr>
      <w:r>
        <w:rPr>
          <w:rFonts w:ascii="Times New Roman" w:hAnsi="Times New Roman" w:cs="Times New Roman"/>
          <w:sz w:val="21"/>
          <w:szCs w:val="20"/>
          <w:lang w:val="en-US" w:bidi="ar-SA"/>
        </w:rPr>
        <w:t xml:space="preserve">（一）大保障工作小组（校级节约水电工作领导机构）的职责：</w:t>
      </w:r>
      <w:r/>
    </w:p>
    <w:p>
      <w:pPr>
        <w:jc w:val="both"/>
        <w:rPr>
          <w:rFonts w:ascii="Times New Roman" w:hAnsi="Times New Roman" w:cs="Times New Roman"/>
          <w:sz w:val="21"/>
          <w:szCs w:val="20"/>
          <w:lang w:val="en-US" w:bidi="ar-SA"/>
        </w:rPr>
      </w:pPr>
      <w:r>
        <w:rPr>
          <w:rFonts w:ascii="Times New Roman" w:hAnsi="Times New Roman" w:cs="Times New Roman"/>
          <w:sz w:val="21"/>
          <w:szCs w:val="20"/>
          <w:lang w:val="en-US" w:bidi="ar-SA"/>
        </w:rPr>
        <w:t xml:space="preserve">领导全校节水节电工作，负责制定全校节水节电工作的总体规划，节水节电技术改造及资金的审批，研究处理学校有关节水节电工作中的重大问题，并对全校日常节水节电工作进行指导。</w:t>
      </w:r>
      <w:r/>
    </w:p>
    <w:p>
      <w:pPr>
        <w:jc w:val="both"/>
        <w:rPr>
          <w:rFonts w:ascii="Times New Roman" w:hAnsi="Times New Roman" w:cs="Times New Roman"/>
          <w:sz w:val="21"/>
          <w:szCs w:val="20"/>
          <w:lang w:val="en-US" w:bidi="ar-SA"/>
        </w:rPr>
      </w:pPr>
      <w:r>
        <w:rPr>
          <w:rFonts w:ascii="Times New Roman" w:hAnsi="Times New Roman" w:cs="Times New Roman"/>
          <w:sz w:val="21"/>
          <w:szCs w:val="20"/>
          <w:lang w:val="en-US" w:bidi="ar-SA"/>
        </w:rPr>
        <w:t xml:space="preserve">（二）后勤管理处（校节约水电工作办公室）的职责：</w:t>
      </w:r>
      <w:r/>
    </w:p>
    <w:p>
      <w:pPr>
        <w:jc w:val="both"/>
        <w:rPr>
          <w:rFonts w:ascii="Times New Roman" w:hAnsi="Times New Roman" w:cs="Times New Roman"/>
          <w:sz w:val="21"/>
          <w:szCs w:val="20"/>
          <w:lang w:val="en-US" w:bidi="ar-SA"/>
        </w:rPr>
      </w:pPr>
      <w:r>
        <w:rPr>
          <w:rFonts w:ascii="Times New Roman" w:hAnsi="Times New Roman" w:cs="Times New Roman"/>
          <w:sz w:val="21"/>
          <w:szCs w:val="20"/>
          <w:lang w:val="en-US" w:bidi="ar-SA"/>
        </w:rPr>
        <w:t xml:space="preserve">后勤管理处是学校水电管理的职能部门，对学校水电系统的保障、运行、维护等履行检查、管理和监督职能。学校节约水电领导机构下设节约水电办公室，挂靠后勤管理处。</w:t>
      </w:r>
      <w:r/>
    </w:p>
    <w:p>
      <w:pPr>
        <w:jc w:val="both"/>
        <w:rPr>
          <w:rFonts w:ascii="Times New Roman" w:hAnsi="Times New Roman" w:cs="Times New Roman"/>
          <w:sz w:val="21"/>
          <w:szCs w:val="20"/>
          <w:lang w:val="en-US" w:bidi="ar-SA"/>
        </w:rPr>
      </w:pPr>
      <w:r>
        <w:rPr>
          <w:rFonts w:ascii="Times New Roman" w:hAnsi="Times New Roman" w:cs="Times New Roman"/>
          <w:sz w:val="21"/>
          <w:szCs w:val="20"/>
          <w:lang w:val="en-US" w:bidi="ar-SA"/>
        </w:rPr>
        <w:t xml:space="preserve">1．负责制定学校年度节水节电工作计划和做好学校年度节水节电工作总结，上报大保障工作小组。</w:t>
      </w:r>
      <w:r/>
    </w:p>
    <w:p>
      <w:pPr>
        <w:jc w:val="both"/>
        <w:rPr>
          <w:rFonts w:ascii="Times New Roman" w:hAnsi="Times New Roman" w:cs="Times New Roman"/>
          <w:sz w:val="21"/>
          <w:szCs w:val="20"/>
          <w:lang w:val="en-US" w:bidi="ar-SA"/>
        </w:rPr>
      </w:pPr>
      <w:r>
        <w:rPr>
          <w:rFonts w:ascii="Times New Roman" w:hAnsi="Times New Roman" w:cs="Times New Roman"/>
          <w:sz w:val="21"/>
          <w:szCs w:val="20"/>
          <w:lang w:val="en-US" w:bidi="ar-SA"/>
        </w:rPr>
        <w:t xml:space="preserve">2．负责组织实施经批准后年度计划，每季度进行一次检查，发现问题及时向大保障工作小组汇报，并根据实际情况对计划提出调整建议和修改方案。</w:t>
      </w:r>
      <w:r/>
    </w:p>
    <w:p>
      <w:pPr>
        <w:jc w:val="both"/>
        <w:rPr>
          <w:rFonts w:ascii="Times New Roman" w:hAnsi="Times New Roman" w:cs="Times New Roman"/>
          <w:sz w:val="21"/>
          <w:szCs w:val="20"/>
          <w:lang w:val="en-US" w:bidi="ar-SA"/>
        </w:rPr>
      </w:pPr>
      <w:r>
        <w:rPr>
          <w:rFonts w:ascii="Times New Roman" w:hAnsi="Times New Roman" w:cs="Times New Roman"/>
          <w:sz w:val="21"/>
          <w:szCs w:val="20"/>
          <w:lang w:val="en-US" w:bidi="ar-SA"/>
        </w:rPr>
        <w:t xml:space="preserve">3．协助相关部门制定学校节水节电宣传教育计划并参与组织实施。协助组织好节能宣传周活动，定期出版节能专刊。</w:t>
      </w:r>
      <w:r/>
    </w:p>
    <w:p>
      <w:pPr>
        <w:jc w:val="both"/>
        <w:rPr>
          <w:rFonts w:ascii="Times New Roman" w:hAnsi="Times New Roman" w:cs="Times New Roman"/>
          <w:sz w:val="21"/>
          <w:szCs w:val="20"/>
          <w:lang w:val="en-US" w:bidi="ar-SA"/>
        </w:rPr>
      </w:pPr>
      <w:r>
        <w:rPr>
          <w:rFonts w:ascii="Times New Roman" w:hAnsi="Times New Roman" w:cs="Times New Roman"/>
          <w:sz w:val="21"/>
          <w:szCs w:val="20"/>
          <w:lang w:val="en-US" w:bidi="ar-SA"/>
        </w:rPr>
        <w:t xml:space="preserve">4．负责节水节电技术改造项目的论证选定，组织人员施工，检验技术改造项目的节水节电效果。</w:t>
      </w:r>
      <w:r/>
    </w:p>
    <w:p>
      <w:pPr>
        <w:jc w:val="both"/>
        <w:rPr>
          <w:rFonts w:ascii="Times New Roman" w:hAnsi="Times New Roman" w:cs="Times New Roman"/>
          <w:sz w:val="21"/>
          <w:szCs w:val="20"/>
          <w:lang w:val="en-US" w:bidi="ar-SA"/>
        </w:rPr>
      </w:pPr>
      <w:r>
        <w:rPr>
          <w:rFonts w:ascii="Times New Roman" w:hAnsi="Times New Roman" w:cs="Times New Roman"/>
          <w:sz w:val="21"/>
          <w:szCs w:val="20"/>
          <w:lang w:val="en-US" w:bidi="ar-SA"/>
        </w:rPr>
        <w:t xml:space="preserve">5．负责全校用水用电的指标分解，并定时考核。按照学校制定的水电管理办法规定负责对全校用水用电检查工作,对违章用水用电给予处理，对节水节电工作成绩突出的单位和个人给予奖励。</w:t>
      </w:r>
      <w:r/>
    </w:p>
    <w:p>
      <w:pPr>
        <w:jc w:val="both"/>
        <w:rPr>
          <w:rFonts w:ascii="Times New Roman" w:hAnsi="Times New Roman" w:cs="Times New Roman"/>
          <w:sz w:val="21"/>
          <w:szCs w:val="20"/>
          <w:lang w:val="en-US" w:bidi="ar-SA"/>
        </w:rPr>
      </w:pPr>
      <w:r>
        <w:rPr>
          <w:rFonts w:ascii="Times New Roman" w:hAnsi="Times New Roman" w:cs="Times New Roman"/>
          <w:sz w:val="21"/>
          <w:szCs w:val="20"/>
          <w:lang w:val="en-US" w:bidi="ar-SA"/>
        </w:rPr>
        <w:t xml:space="preserve">6．充分发挥基层节水节电管理小组（成员）的作用，按期召开季度基层节能管理碰头会。</w:t>
      </w:r>
      <w:r/>
    </w:p>
    <w:p>
      <w:pPr>
        <w:jc w:val="both"/>
        <w:rPr>
          <w:rFonts w:ascii="Times New Roman" w:hAnsi="Times New Roman" w:cs="Times New Roman"/>
          <w:sz w:val="21"/>
          <w:szCs w:val="20"/>
          <w:lang w:val="en-US" w:bidi="ar-SA"/>
        </w:rPr>
      </w:pPr>
      <w:r>
        <w:rPr>
          <w:rFonts w:ascii="Times New Roman" w:hAnsi="Times New Roman" w:cs="Times New Roman"/>
          <w:sz w:val="21"/>
          <w:szCs w:val="20"/>
          <w:lang w:val="en-US" w:bidi="ar-SA"/>
        </w:rPr>
        <w:t xml:space="preserve">7．坚持在日常巡视的基础上，每月初、月中两次对全校重点单位、地段进行巡检并填写巡查记录。</w:t>
      </w:r>
      <w:r/>
    </w:p>
    <w:p>
      <w:pPr>
        <w:jc w:val="both"/>
        <w:rPr>
          <w:rFonts w:ascii="Times New Roman" w:hAnsi="Times New Roman" w:cs="Times New Roman"/>
          <w:sz w:val="21"/>
          <w:szCs w:val="20"/>
          <w:lang w:val="en-US" w:bidi="ar-SA"/>
        </w:rPr>
      </w:pPr>
      <w:r>
        <w:rPr>
          <w:rFonts w:ascii="Times New Roman" w:hAnsi="Times New Roman" w:cs="Times New Roman"/>
          <w:sz w:val="21"/>
          <w:szCs w:val="20"/>
          <w:lang w:val="en-US" w:bidi="ar-SA"/>
        </w:rPr>
        <w:t xml:space="preserve">8．督促其成员在处理日常节能工作中的问题时，依照上级及学校的有关管理规定，以身作则，严格执纪。在日常管理工作中，发现重大问题及时向上级报告。</w:t>
      </w:r>
      <w:r/>
    </w:p>
    <w:p>
      <w:pPr>
        <w:jc w:val="both"/>
        <w:rPr>
          <w:rFonts w:ascii="Times New Roman" w:hAnsi="Times New Roman" w:cs="Times New Roman"/>
          <w:sz w:val="21"/>
          <w:szCs w:val="20"/>
          <w:lang w:val="en-US" w:bidi="ar-SA"/>
        </w:rPr>
      </w:pPr>
      <w:r>
        <w:rPr>
          <w:rFonts w:ascii="Times New Roman" w:hAnsi="Times New Roman" w:cs="Times New Roman"/>
          <w:sz w:val="21"/>
          <w:szCs w:val="20"/>
          <w:lang w:val="en-US" w:bidi="ar-SA"/>
        </w:rPr>
        <w:t xml:space="preserve">（三）各部门、各学院、各单位节约水电管理小组的职责是：</w:t>
      </w:r>
      <w:r/>
    </w:p>
    <w:p>
      <w:pPr>
        <w:jc w:val="both"/>
        <w:rPr>
          <w:rFonts w:ascii="Times New Roman" w:hAnsi="Times New Roman" w:cs="Times New Roman"/>
          <w:sz w:val="21"/>
          <w:szCs w:val="20"/>
          <w:lang w:val="en-US" w:bidi="ar-SA"/>
        </w:rPr>
      </w:pPr>
      <w:r>
        <w:rPr>
          <w:rFonts w:ascii="Times New Roman" w:hAnsi="Times New Roman" w:cs="Times New Roman"/>
          <w:sz w:val="21"/>
          <w:szCs w:val="20"/>
          <w:lang w:val="en-US" w:bidi="ar-SA"/>
        </w:rPr>
        <w:t xml:space="preserve">各部门、各学院、各单位节约水电管理小组是学校的节约水电工作基层管理机构，其组成人员不少于3人，由主要领导任管理小组组长，并根据本单位情况设置1～2名节约水电管理员，管理小组对校节约水电办公室负责。</w:t>
      </w:r>
      <w:r/>
    </w:p>
    <w:p>
      <w:pPr>
        <w:jc w:val="both"/>
        <w:rPr>
          <w:rFonts w:ascii="Times New Roman" w:hAnsi="Times New Roman" w:cs="Times New Roman"/>
          <w:sz w:val="21"/>
          <w:szCs w:val="20"/>
          <w:lang w:val="en-US" w:bidi="ar-SA"/>
        </w:rPr>
      </w:pPr>
      <w:r>
        <w:rPr>
          <w:rFonts w:ascii="Times New Roman" w:hAnsi="Times New Roman" w:cs="Times New Roman"/>
          <w:sz w:val="21"/>
          <w:szCs w:val="20"/>
          <w:lang w:val="en-US" w:bidi="ar-SA"/>
        </w:rPr>
        <w:t xml:space="preserve">1．负责制定本部门年度节水节电工作计划和工作总结，上报校节约水电办公室。</w:t>
      </w:r>
      <w:r/>
    </w:p>
    <w:p>
      <w:pPr>
        <w:jc w:val="both"/>
        <w:rPr>
          <w:rFonts w:ascii="Times New Roman" w:hAnsi="Times New Roman" w:cs="Times New Roman"/>
          <w:sz w:val="21"/>
          <w:szCs w:val="20"/>
          <w:lang w:val="en-US" w:bidi="ar-SA"/>
        </w:rPr>
      </w:pPr>
      <w:r>
        <w:rPr>
          <w:rFonts w:ascii="Times New Roman" w:hAnsi="Times New Roman" w:cs="Times New Roman"/>
          <w:sz w:val="21"/>
          <w:szCs w:val="20"/>
          <w:lang w:val="en-US" w:bidi="ar-SA"/>
        </w:rPr>
        <w:t xml:space="preserve">2．负责组织定期自查工作，发现问题及时与节约水电办公室联系、沟通，并根据实际情况提出调整建议和修改方案。</w:t>
      </w:r>
      <w:r/>
    </w:p>
    <w:p>
      <w:pPr>
        <w:jc w:val="both"/>
        <w:rPr>
          <w:rFonts w:ascii="Times New Roman" w:hAnsi="Times New Roman" w:cs="Times New Roman"/>
          <w:sz w:val="21"/>
          <w:szCs w:val="20"/>
          <w:lang w:val="en-US" w:bidi="ar-SA"/>
        </w:rPr>
      </w:pPr>
      <w:r>
        <w:rPr>
          <w:rFonts w:ascii="Times New Roman" w:hAnsi="Times New Roman" w:cs="Times New Roman"/>
          <w:sz w:val="21"/>
          <w:szCs w:val="20"/>
          <w:lang w:val="en-US" w:bidi="ar-SA"/>
        </w:rPr>
        <w:t xml:space="preserve">3．负责本部门用水用电的指标分解，并定时考核。</w:t>
      </w:r>
      <w:r/>
    </w:p>
    <w:p>
      <w:pPr>
        <w:jc w:val="both"/>
        <w:rPr>
          <w:rFonts w:ascii="Times New Roman" w:hAnsi="Times New Roman" w:cs="Times New Roman"/>
          <w:sz w:val="21"/>
          <w:szCs w:val="20"/>
          <w:lang w:val="en-US" w:bidi="ar-SA"/>
        </w:rPr>
      </w:pPr>
      <w:r>
        <w:rPr>
          <w:rFonts w:ascii="Times New Roman" w:hAnsi="Times New Roman" w:cs="Times New Roman"/>
          <w:sz w:val="21"/>
          <w:szCs w:val="20"/>
          <w:lang w:val="en-US" w:bidi="ar-SA"/>
        </w:rPr>
        <w:t xml:space="preserve">4．督促部门成员严格依照学校的有关管理规定，节约使用水电，在日常管理工作中，发现重大问题时应及时向学校节约水电办公室报告。</w:t>
      </w:r>
      <w:r/>
    </w:p>
    <w:p>
      <w:pPr>
        <w:jc w:val="both"/>
        <w:rPr>
          <w:rFonts w:ascii="Times New Roman" w:hAnsi="Times New Roman" w:cs="Times New Roman"/>
          <w:b/>
          <w:bCs/>
          <w:sz w:val="21"/>
          <w:szCs w:val="20"/>
          <w:lang w:val="en-US" w:bidi="ar-SA"/>
        </w:rPr>
      </w:pPr>
      <w:r>
        <w:rPr>
          <w:rFonts w:ascii="Times New Roman" w:hAnsi="Times New Roman" w:cs="Times New Roman"/>
          <w:b/>
          <w:bCs/>
          <w:sz w:val="21"/>
          <w:szCs w:val="20"/>
          <w:lang w:val="en-US" w:bidi="ar-SA"/>
        </w:rPr>
        <w:t xml:space="preserve">第三章  运行、维护、保障</w:t>
      </w:r>
      <w:r/>
    </w:p>
    <w:p>
      <w:pPr>
        <w:jc w:val="both"/>
        <w:rPr>
          <w:rFonts w:ascii="Times New Roman" w:hAnsi="Times New Roman" w:cs="Times New Roman"/>
          <w:sz w:val="21"/>
          <w:szCs w:val="20"/>
          <w:lang w:val="en-US" w:bidi="ar-SA"/>
        </w:rPr>
      </w:pPr>
      <w:r>
        <w:rPr>
          <w:rFonts w:ascii="Times New Roman" w:hAnsi="Times New Roman" w:cs="Times New Roman"/>
          <w:sz w:val="21"/>
          <w:szCs w:val="20"/>
          <w:lang w:val="en-US" w:bidi="ar-SA"/>
        </w:rPr>
        <w:t xml:space="preserve">第四条 后勤管理处负责学校水电的运行、维护、保障工作。</w:t>
      </w:r>
      <w:r/>
    </w:p>
    <w:p>
      <w:pPr>
        <w:jc w:val="both"/>
        <w:rPr>
          <w:rFonts w:ascii="Times New Roman" w:hAnsi="Times New Roman" w:cs="Times New Roman"/>
          <w:sz w:val="21"/>
          <w:szCs w:val="20"/>
          <w:lang w:val="en-US" w:bidi="ar-SA"/>
        </w:rPr>
      </w:pPr>
      <w:r>
        <w:rPr>
          <w:rFonts w:ascii="Times New Roman" w:hAnsi="Times New Roman" w:cs="Times New Roman"/>
          <w:sz w:val="21"/>
          <w:szCs w:val="20"/>
          <w:lang w:val="en-US" w:bidi="ar-SA"/>
        </w:rPr>
        <w:t xml:space="preserve">第五条 为确保学校重大活动的水电正常供应，活动承办单位须提前一周提出书面申请，后勤管理处及时向南京市供水供电部门申办保供手续。</w:t>
      </w:r>
      <w:r/>
    </w:p>
    <w:p>
      <w:pPr>
        <w:jc w:val="both"/>
        <w:rPr>
          <w:rFonts w:ascii="Times New Roman" w:hAnsi="Times New Roman" w:cs="Times New Roman"/>
          <w:sz w:val="21"/>
          <w:szCs w:val="20"/>
          <w:lang w:val="en-US" w:bidi="ar-SA"/>
        </w:rPr>
      </w:pPr>
      <w:r>
        <w:rPr>
          <w:rFonts w:ascii="Times New Roman" w:hAnsi="Times New Roman" w:cs="Times New Roman"/>
          <w:sz w:val="21"/>
          <w:szCs w:val="20"/>
          <w:lang w:val="en-US" w:bidi="ar-SA"/>
        </w:rPr>
        <w:t xml:space="preserve">第六条 出现供电系统重大设备、设施故障或市供电部门临时限负荷等情况时，后勤管理处能源管理科有权按照有关规程或调度命令改变运行方式，尽可能地保证生活和重点用户供电，并及时逐级汇报。</w:t>
      </w:r>
      <w:r/>
    </w:p>
    <w:p>
      <w:pPr>
        <w:jc w:val="both"/>
        <w:rPr>
          <w:rFonts w:ascii="Times New Roman" w:hAnsi="Times New Roman" w:cs="Times New Roman"/>
          <w:b/>
          <w:bCs/>
          <w:sz w:val="21"/>
          <w:szCs w:val="20"/>
          <w:lang w:val="en-US" w:bidi="ar-SA"/>
        </w:rPr>
      </w:pPr>
      <w:r>
        <w:rPr>
          <w:rFonts w:ascii="Times New Roman" w:hAnsi="Times New Roman" w:cs="Times New Roman"/>
          <w:b/>
          <w:bCs/>
          <w:sz w:val="21"/>
          <w:szCs w:val="20"/>
          <w:lang w:val="en-US" w:bidi="ar-SA"/>
        </w:rPr>
        <w:t xml:space="preserve">第四章  停水、停电</w:t>
      </w:r>
      <w:r/>
    </w:p>
    <w:p>
      <w:pPr>
        <w:jc w:val="both"/>
        <w:rPr>
          <w:rFonts w:ascii="Times New Roman" w:hAnsi="Times New Roman" w:cs="Times New Roman"/>
          <w:sz w:val="21"/>
          <w:szCs w:val="20"/>
          <w:lang w:val="en-US" w:bidi="ar-SA"/>
        </w:rPr>
      </w:pPr>
      <w:r>
        <w:rPr>
          <w:rFonts w:ascii="Times New Roman" w:hAnsi="Times New Roman" w:cs="Times New Roman"/>
          <w:sz w:val="21"/>
          <w:szCs w:val="20"/>
          <w:lang w:val="en-US" w:bidi="ar-SA"/>
        </w:rPr>
        <w:t xml:space="preserve">第七条 如遇自来水公司、供电局安排计划停水、停电，后勤管理处应根据具体情况，提出相应的应对方案，报分管校长批准后实施。</w:t>
      </w:r>
      <w:r/>
    </w:p>
    <w:p>
      <w:pPr>
        <w:jc w:val="both"/>
        <w:rPr>
          <w:rFonts w:ascii="Times New Roman" w:hAnsi="Times New Roman" w:cs="Times New Roman"/>
          <w:sz w:val="21"/>
          <w:szCs w:val="20"/>
          <w:lang w:val="en-US" w:bidi="ar-SA"/>
        </w:rPr>
      </w:pPr>
      <w:r>
        <w:rPr>
          <w:rFonts w:ascii="Times New Roman" w:hAnsi="Times New Roman" w:cs="Times New Roman"/>
          <w:sz w:val="21"/>
          <w:szCs w:val="20"/>
          <w:lang w:val="en-US" w:bidi="ar-SA"/>
        </w:rPr>
        <w:t xml:space="preserve">第八条 因工程建设(施工、检修等)需要区域性停水、停电，工程建设管理单位应提前提出书面申请，后勤管理处视停水、停电的范围及影响程度，合理安排，并提前在学校公告栏及校园网上通知公告；对可能受影响的重要教学、科研、生活等，必须预先通知，专人负责。</w:t>
      </w:r>
      <w:r/>
    </w:p>
    <w:p>
      <w:pPr>
        <w:jc w:val="both"/>
        <w:rPr>
          <w:rFonts w:ascii="Times New Roman" w:hAnsi="Times New Roman" w:cs="Times New Roman"/>
          <w:sz w:val="21"/>
          <w:szCs w:val="20"/>
          <w:lang w:val="en-US" w:bidi="ar-SA"/>
        </w:rPr>
      </w:pPr>
      <w:r>
        <w:rPr>
          <w:rFonts w:ascii="Times New Roman" w:hAnsi="Times New Roman" w:cs="Times New Roman"/>
          <w:sz w:val="21"/>
          <w:szCs w:val="20"/>
          <w:lang w:val="en-US" w:bidi="ar-SA"/>
        </w:rPr>
        <w:t xml:space="preserve">第九条 出现下列情况之一者，后勤管理处应立即予以停水、停电：</w:t>
      </w:r>
      <w:r/>
    </w:p>
    <w:p>
      <w:pPr>
        <w:jc w:val="both"/>
        <w:rPr>
          <w:rFonts w:ascii="Times New Roman" w:hAnsi="Times New Roman" w:cs="Times New Roman"/>
          <w:sz w:val="21"/>
          <w:szCs w:val="20"/>
          <w:lang w:val="en-US" w:bidi="ar-SA"/>
        </w:rPr>
      </w:pPr>
      <w:r>
        <w:rPr>
          <w:rFonts w:ascii="Times New Roman" w:hAnsi="Times New Roman" w:cs="Times New Roman"/>
          <w:sz w:val="21"/>
          <w:szCs w:val="20"/>
          <w:lang w:val="en-US" w:bidi="ar-SA"/>
        </w:rPr>
        <w:t xml:space="preserve">1．发生或可能引发人身伤害等重大事故时；</w:t>
      </w:r>
      <w:r/>
    </w:p>
    <w:p>
      <w:pPr>
        <w:jc w:val="both"/>
        <w:rPr>
          <w:rFonts w:ascii="Times New Roman" w:hAnsi="Times New Roman" w:cs="Times New Roman"/>
          <w:sz w:val="21"/>
          <w:szCs w:val="20"/>
          <w:lang w:val="en-US" w:bidi="ar-SA"/>
        </w:rPr>
      </w:pPr>
      <w:r>
        <w:rPr>
          <w:rFonts w:ascii="Times New Roman" w:hAnsi="Times New Roman" w:cs="Times New Roman"/>
          <w:sz w:val="21"/>
          <w:szCs w:val="20"/>
          <w:lang w:val="en-US" w:bidi="ar-SA"/>
        </w:rPr>
        <w:t xml:space="preserve">2．发生爆炸、火灾、自然灾害、外力破坏等突发性事故时。</w:t>
      </w:r>
      <w:r/>
    </w:p>
    <w:p>
      <w:pPr>
        <w:jc w:val="both"/>
        <w:rPr>
          <w:rFonts w:ascii="Times New Roman" w:hAnsi="Times New Roman" w:cs="Times New Roman"/>
          <w:sz w:val="21"/>
          <w:szCs w:val="20"/>
          <w:lang w:val="en-US" w:bidi="ar-SA"/>
        </w:rPr>
      </w:pPr>
      <w:r>
        <w:rPr>
          <w:rFonts w:ascii="Times New Roman" w:hAnsi="Times New Roman" w:cs="Times New Roman"/>
          <w:sz w:val="21"/>
          <w:szCs w:val="20"/>
          <w:lang w:val="en-US" w:bidi="ar-SA"/>
        </w:rPr>
        <w:t xml:space="preserve">以上情况的处置应在安全第一的原则下，尽可能缩小停水、停电的范围，并迅速逐级报告。</w:t>
      </w:r>
      <w:r/>
    </w:p>
    <w:p>
      <w:pPr>
        <w:jc w:val="both"/>
        <w:rPr>
          <w:rFonts w:ascii="Times New Roman" w:hAnsi="Times New Roman" w:cs="Times New Roman"/>
          <w:b/>
          <w:bCs/>
          <w:sz w:val="21"/>
          <w:szCs w:val="20"/>
          <w:lang w:val="en-US" w:bidi="ar-SA"/>
        </w:rPr>
      </w:pPr>
      <w:r>
        <w:rPr>
          <w:rFonts w:ascii="Times New Roman" w:hAnsi="Times New Roman" w:cs="Times New Roman"/>
          <w:b/>
          <w:bCs/>
          <w:sz w:val="21"/>
          <w:szCs w:val="20"/>
          <w:lang w:val="en-US" w:bidi="ar-SA"/>
        </w:rPr>
        <w:t xml:space="preserve">第五章  计划、增容</w:t>
      </w:r>
      <w:r/>
    </w:p>
    <w:p>
      <w:pPr>
        <w:jc w:val="both"/>
        <w:rPr>
          <w:rFonts w:ascii="Times New Roman" w:hAnsi="Times New Roman" w:cs="Times New Roman"/>
          <w:sz w:val="21"/>
          <w:szCs w:val="20"/>
          <w:lang w:val="en-US" w:bidi="ar-SA"/>
        </w:rPr>
      </w:pPr>
      <w:r>
        <w:rPr>
          <w:rFonts w:ascii="Times New Roman" w:hAnsi="Times New Roman" w:cs="Times New Roman"/>
          <w:sz w:val="21"/>
          <w:szCs w:val="20"/>
          <w:lang w:val="en-US" w:bidi="ar-SA"/>
        </w:rPr>
        <w:t xml:space="preserve">第十条 校内各单位的新建工程或改建工程中涉及到水电设施改造的，须将供水供电方案报后勤管理处审批，经论证同意后方可实施。项目竣工必须经后勤管理处能源管理专业验收合格方可接入学校水电管网。</w:t>
      </w:r>
      <w:r/>
    </w:p>
    <w:p>
      <w:pPr>
        <w:jc w:val="both"/>
        <w:rPr>
          <w:rFonts w:ascii="Times New Roman" w:hAnsi="Times New Roman" w:cs="Times New Roman"/>
          <w:sz w:val="21"/>
          <w:szCs w:val="20"/>
          <w:lang w:val="en-US" w:bidi="ar-SA"/>
        </w:rPr>
      </w:pPr>
      <w:r>
        <w:rPr>
          <w:rFonts w:ascii="Times New Roman" w:hAnsi="Times New Roman" w:cs="Times New Roman"/>
          <w:sz w:val="21"/>
          <w:szCs w:val="20"/>
          <w:lang w:val="en-US" w:bidi="ar-SA"/>
        </w:rPr>
        <w:t xml:space="preserve">第十一条 凡具备单独装表计量条件的新(改)建项目均应安装水电计量装置。水电计量装置的选型由后勤管理处确定；工程结束后一周内将水电计量装置的技术数据(规格、型号、起始读数、出厂编号等)书面报送后勤管理处建档。</w:t>
      </w:r>
      <w:r/>
    </w:p>
    <w:p>
      <w:pPr>
        <w:jc w:val="both"/>
        <w:rPr>
          <w:rFonts w:ascii="Times New Roman" w:hAnsi="Times New Roman" w:cs="Times New Roman"/>
          <w:sz w:val="21"/>
          <w:szCs w:val="20"/>
          <w:lang w:val="en-US" w:bidi="ar-SA"/>
        </w:rPr>
      </w:pPr>
      <w:r>
        <w:rPr>
          <w:rFonts w:ascii="Times New Roman" w:hAnsi="Times New Roman" w:cs="Times New Roman"/>
          <w:sz w:val="21"/>
          <w:szCs w:val="20"/>
          <w:lang w:val="en-US" w:bidi="ar-SA"/>
        </w:rPr>
        <w:t xml:space="preserve">第十二条 经批准同意增容的生产、开发、经营用户应向学校缴纳水电增容费，主要用于节能技改、水电计量装置与更新等。增容费标准按届时南京市水电主管部门的规定执行。</w:t>
      </w:r>
      <w:r/>
    </w:p>
    <w:p>
      <w:pPr>
        <w:jc w:val="both"/>
        <w:rPr>
          <w:rFonts w:ascii="Times New Roman" w:hAnsi="Times New Roman" w:cs="Times New Roman"/>
          <w:sz w:val="21"/>
          <w:szCs w:val="20"/>
          <w:lang w:val="en-US" w:bidi="ar-SA"/>
        </w:rPr>
      </w:pPr>
      <w:r>
        <w:rPr>
          <w:rFonts w:ascii="Times New Roman" w:hAnsi="Times New Roman" w:cs="Times New Roman"/>
          <w:sz w:val="21"/>
          <w:szCs w:val="20"/>
          <w:lang w:val="en-US" w:bidi="ar-SA"/>
        </w:rPr>
        <w:t xml:space="preserve">第十三条 为保证学校水电设施的安全运行，未经后勤管理处批准，任何单位和个人不得改变现有供电线路与上下水管线。</w:t>
      </w:r>
      <w:r/>
    </w:p>
    <w:p>
      <w:pPr>
        <w:jc w:val="both"/>
        <w:rPr>
          <w:rFonts w:ascii="Times New Roman" w:hAnsi="Times New Roman" w:cs="Times New Roman"/>
          <w:b/>
          <w:bCs/>
          <w:sz w:val="21"/>
          <w:szCs w:val="20"/>
          <w:lang w:val="en-US" w:bidi="ar-SA"/>
        </w:rPr>
      </w:pPr>
      <w:r>
        <w:rPr>
          <w:rFonts w:ascii="Times New Roman" w:hAnsi="Times New Roman" w:cs="Times New Roman"/>
          <w:b/>
          <w:bCs/>
          <w:sz w:val="21"/>
          <w:szCs w:val="20"/>
          <w:lang w:val="en-US" w:bidi="ar-SA"/>
        </w:rPr>
        <w:t xml:space="preserve">第六章  计量、收费</w:t>
      </w:r>
      <w:r/>
    </w:p>
    <w:p>
      <w:pPr>
        <w:jc w:val="both"/>
        <w:rPr>
          <w:rFonts w:ascii="Times New Roman" w:hAnsi="Times New Roman" w:cs="Times New Roman"/>
          <w:sz w:val="21"/>
          <w:szCs w:val="20"/>
          <w:lang w:val="en-US" w:bidi="ar-SA"/>
        </w:rPr>
      </w:pPr>
      <w:r>
        <w:rPr>
          <w:rFonts w:ascii="Times New Roman" w:hAnsi="Times New Roman" w:cs="Times New Roman"/>
          <w:sz w:val="21"/>
          <w:szCs w:val="20"/>
          <w:lang w:val="en-US" w:bidi="ar-SA"/>
        </w:rPr>
        <w:t xml:space="preserve">第十四条 后勤管理处根据南京市下达的计划分配指标，结合学校综合改革方案，逐步推行单位、部门和学院用水用电全面计量计费的管理办法。</w:t>
      </w:r>
      <w:r/>
    </w:p>
    <w:p>
      <w:pPr>
        <w:jc w:val="both"/>
        <w:rPr>
          <w:rFonts w:ascii="Times New Roman" w:hAnsi="Times New Roman" w:cs="Times New Roman"/>
          <w:sz w:val="21"/>
          <w:szCs w:val="20"/>
          <w:lang w:val="en-US" w:bidi="ar-SA"/>
        </w:rPr>
      </w:pPr>
      <w:r>
        <w:rPr>
          <w:rFonts w:ascii="Times New Roman" w:hAnsi="Times New Roman" w:cs="Times New Roman"/>
          <w:sz w:val="21"/>
          <w:szCs w:val="20"/>
          <w:lang w:val="en-US" w:bidi="ar-SA"/>
        </w:rPr>
        <w:t xml:space="preserve">第十五条 单台设备容量20Kw、总容量50Kw以上的用户，应按后勤管理处规定的时间避峰使用。</w:t>
      </w:r>
      <w:r/>
    </w:p>
    <w:p>
      <w:pPr>
        <w:jc w:val="both"/>
        <w:rPr>
          <w:rFonts w:ascii="Times New Roman" w:hAnsi="Times New Roman" w:cs="Times New Roman"/>
          <w:sz w:val="21"/>
          <w:szCs w:val="20"/>
          <w:lang w:val="en-US" w:bidi="ar-SA"/>
        </w:rPr>
      </w:pPr>
      <w:r>
        <w:rPr>
          <w:rFonts w:ascii="Times New Roman" w:hAnsi="Times New Roman" w:cs="Times New Roman"/>
          <w:sz w:val="21"/>
          <w:szCs w:val="20"/>
          <w:lang w:val="en-US" w:bidi="ar-SA"/>
        </w:rPr>
        <w:t xml:space="preserve">第十六条 各单位添置的设备必须采用国家规定的低耗能高效产品，并接受后勤管理处的监督检查。</w:t>
      </w:r>
      <w:r/>
    </w:p>
    <w:p>
      <w:pPr>
        <w:jc w:val="both"/>
        <w:rPr>
          <w:rFonts w:ascii="Times New Roman" w:hAnsi="Times New Roman" w:cs="Times New Roman"/>
          <w:sz w:val="21"/>
          <w:szCs w:val="20"/>
          <w:lang w:val="en-US" w:bidi="ar-SA"/>
        </w:rPr>
      </w:pPr>
      <w:r>
        <w:rPr>
          <w:rFonts w:ascii="Times New Roman" w:hAnsi="Times New Roman" w:cs="Times New Roman"/>
          <w:sz w:val="21"/>
          <w:szCs w:val="20"/>
          <w:lang w:val="en-US" w:bidi="ar-SA"/>
        </w:rPr>
        <w:t xml:space="preserve">第十七条 后勤管理处依据南京供电局和自来水公司的水电费价格，结合实际，制定我校的水电费价格标准。宿舍、公用房、食堂、商业网点等用水电均参照南京市生活用水电价格执行，若遇政策性水电价格调整，学校将按政府规定作相应的调整。</w:t>
      </w:r>
      <w:r/>
    </w:p>
    <w:p>
      <w:pPr>
        <w:jc w:val="both"/>
        <w:rPr>
          <w:rFonts w:ascii="Times New Roman" w:hAnsi="Times New Roman" w:cs="Times New Roman"/>
          <w:sz w:val="21"/>
          <w:szCs w:val="20"/>
          <w:lang w:val="en-US" w:bidi="ar-SA"/>
        </w:rPr>
      </w:pPr>
      <w:r>
        <w:rPr>
          <w:rFonts w:ascii="Times New Roman" w:hAnsi="Times New Roman" w:cs="Times New Roman"/>
          <w:sz w:val="21"/>
          <w:szCs w:val="20"/>
          <w:lang w:val="en-US" w:bidi="ar-SA"/>
        </w:rPr>
        <w:t xml:space="preserve">第十八条 所有生产经营性的单位和个人有偿使用学校水电，其水电费按实收取。以下情况使用学校水电的属于有偿使用的范围：</w:t>
      </w:r>
      <w:r/>
    </w:p>
    <w:p>
      <w:pPr>
        <w:jc w:val="both"/>
        <w:rPr>
          <w:rFonts w:ascii="Times New Roman" w:hAnsi="Times New Roman" w:cs="Times New Roman"/>
          <w:sz w:val="21"/>
          <w:szCs w:val="20"/>
          <w:lang w:val="en-US" w:bidi="ar-SA"/>
        </w:rPr>
      </w:pPr>
      <w:r>
        <w:rPr>
          <w:rFonts w:ascii="Times New Roman" w:hAnsi="Times New Roman" w:cs="Times New Roman"/>
          <w:sz w:val="21"/>
          <w:szCs w:val="20"/>
          <w:lang w:val="en-US" w:bidi="ar-SA"/>
        </w:rPr>
        <w:t xml:space="preserve">1．校内从事生产、经营等业务的企业、商店等经济独立核算部门；</w:t>
      </w:r>
      <w:r/>
    </w:p>
    <w:p>
      <w:pPr>
        <w:jc w:val="both"/>
        <w:rPr>
          <w:rFonts w:ascii="Times New Roman" w:hAnsi="Times New Roman" w:cs="Times New Roman"/>
          <w:sz w:val="21"/>
          <w:szCs w:val="20"/>
          <w:lang w:val="en-US" w:bidi="ar-SA"/>
        </w:rPr>
      </w:pPr>
      <w:r>
        <w:rPr>
          <w:rFonts w:ascii="Times New Roman" w:hAnsi="Times New Roman" w:cs="Times New Roman"/>
          <w:sz w:val="21"/>
          <w:szCs w:val="20"/>
          <w:lang w:val="en-US" w:bidi="ar-SA"/>
        </w:rPr>
        <w:t xml:space="preserve">2．校外单位或个人来校开展经营、加工等业务项目，或借用学校场地（设施）开展教学、科研、实验、生产、经营等；</w:t>
      </w:r>
      <w:r/>
    </w:p>
    <w:p>
      <w:pPr>
        <w:jc w:val="both"/>
        <w:rPr>
          <w:rFonts w:ascii="Times New Roman" w:hAnsi="Times New Roman" w:cs="Times New Roman"/>
          <w:sz w:val="21"/>
          <w:szCs w:val="20"/>
          <w:lang w:val="en-US" w:bidi="ar-SA"/>
        </w:rPr>
      </w:pPr>
      <w:r>
        <w:rPr>
          <w:rFonts w:ascii="Times New Roman" w:hAnsi="Times New Roman" w:cs="Times New Roman"/>
          <w:sz w:val="21"/>
          <w:szCs w:val="20"/>
          <w:lang w:val="en-US" w:bidi="ar-SA"/>
        </w:rPr>
        <w:t xml:space="preserve">3．学校新建、改建、扩建等基建修缮项目；</w:t>
      </w:r>
      <w:r/>
    </w:p>
    <w:p>
      <w:pPr>
        <w:jc w:val="both"/>
        <w:rPr>
          <w:rFonts w:ascii="Times New Roman" w:hAnsi="Times New Roman" w:cs="Times New Roman"/>
          <w:sz w:val="21"/>
          <w:szCs w:val="20"/>
          <w:lang w:val="en-US" w:bidi="ar-SA"/>
        </w:rPr>
      </w:pPr>
      <w:r>
        <w:rPr>
          <w:rFonts w:ascii="Times New Roman" w:hAnsi="Times New Roman" w:cs="Times New Roman"/>
          <w:sz w:val="21"/>
          <w:szCs w:val="20"/>
          <w:lang w:val="en-US" w:bidi="ar-SA"/>
        </w:rPr>
        <w:t xml:space="preserve">4．各部门（学院）开展创收业务；</w:t>
      </w:r>
      <w:r/>
    </w:p>
    <w:p>
      <w:pPr>
        <w:jc w:val="both"/>
        <w:rPr>
          <w:rFonts w:ascii="Times New Roman" w:hAnsi="Times New Roman" w:cs="Times New Roman"/>
          <w:sz w:val="21"/>
          <w:szCs w:val="20"/>
          <w:lang w:val="en-US" w:bidi="ar-SA"/>
        </w:rPr>
      </w:pPr>
      <w:r>
        <w:rPr>
          <w:rFonts w:ascii="Times New Roman" w:hAnsi="Times New Roman" w:cs="Times New Roman"/>
          <w:sz w:val="21"/>
          <w:szCs w:val="20"/>
          <w:lang w:val="en-US" w:bidi="ar-SA"/>
        </w:rPr>
        <w:t xml:space="preserve">5．学校各类出租房和其它使用学校水电的。</w:t>
      </w:r>
      <w:r/>
    </w:p>
    <w:p>
      <w:pPr>
        <w:jc w:val="both"/>
        <w:rPr>
          <w:rFonts w:ascii="Times New Roman" w:hAnsi="Times New Roman" w:cs="Times New Roman"/>
          <w:sz w:val="21"/>
          <w:szCs w:val="20"/>
          <w:lang w:val="en-US" w:bidi="ar-SA"/>
        </w:rPr>
      </w:pPr>
      <w:r>
        <w:rPr>
          <w:rFonts w:ascii="Times New Roman" w:hAnsi="Times New Roman" w:cs="Times New Roman"/>
          <w:sz w:val="21"/>
          <w:szCs w:val="20"/>
          <w:lang w:val="en-US" w:bidi="ar-SA"/>
        </w:rPr>
        <w:t xml:space="preserve">上述规定范围内的水电用户都应安装水电计量表具。由于客观原因，暂时无法装表计量的，水电费按人头（灯头）、设备数，协商计数收取，待条件成熟一律装表计量收费。</w:t>
      </w:r>
      <w:r/>
    </w:p>
    <w:p>
      <w:pPr>
        <w:jc w:val="both"/>
        <w:rPr>
          <w:rFonts w:ascii="Times New Roman" w:hAnsi="Times New Roman" w:cs="Times New Roman"/>
          <w:sz w:val="21"/>
          <w:szCs w:val="20"/>
          <w:lang w:val="en-US" w:bidi="ar-SA"/>
        </w:rPr>
      </w:pPr>
      <w:r>
        <w:rPr>
          <w:rFonts w:ascii="Times New Roman" w:hAnsi="Times New Roman" w:cs="Times New Roman"/>
          <w:sz w:val="21"/>
          <w:szCs w:val="20"/>
          <w:lang w:val="en-US" w:bidi="ar-SA"/>
        </w:rPr>
        <w:t xml:space="preserve">第十九条 校区内生产经营单位水电计量装置由学校统一安装，所发生的费用自理。</w:t>
      </w:r>
      <w:r/>
    </w:p>
    <w:p>
      <w:pPr>
        <w:jc w:val="both"/>
        <w:rPr>
          <w:rFonts w:ascii="Times New Roman" w:hAnsi="Times New Roman" w:cs="Times New Roman"/>
          <w:sz w:val="21"/>
          <w:szCs w:val="20"/>
          <w:lang w:val="en-US" w:bidi="ar-SA"/>
        </w:rPr>
      </w:pPr>
      <w:r>
        <w:rPr>
          <w:rFonts w:ascii="Times New Roman" w:hAnsi="Times New Roman" w:cs="Times New Roman"/>
          <w:sz w:val="21"/>
          <w:szCs w:val="20"/>
          <w:lang w:val="en-US" w:bidi="ar-SA"/>
        </w:rPr>
        <w:t xml:space="preserve">第二十条 校内工程项目临时用水用电参考《江苏省建设工程费用定额标准》按以下分类由审计处审计时按占用费在建设单位工程审定价中扣除：</w:t>
      </w:r>
      <w:r/>
    </w:p>
    <w:p>
      <w:pPr>
        <w:jc w:val="both"/>
        <w:rPr>
          <w:rFonts w:ascii="Times New Roman" w:hAnsi="Times New Roman" w:cs="Times New Roman"/>
          <w:sz w:val="21"/>
          <w:szCs w:val="20"/>
          <w:lang w:val="en-US" w:bidi="ar-SA"/>
        </w:rPr>
      </w:pPr>
      <w:r>
        <w:rPr>
          <w:rFonts w:ascii="Times New Roman" w:hAnsi="Times New Roman" w:cs="Times New Roman"/>
          <w:sz w:val="21"/>
          <w:szCs w:val="20"/>
          <w:lang w:val="en-US" w:bidi="ar-SA"/>
        </w:rPr>
        <w:t xml:space="preserve">1.新建基建工程项目水电等费用单独挂表计量，基建工程用水、电价格参照施工用水、电价格计算扣除；</w:t>
      </w:r>
      <w:r/>
    </w:p>
    <w:p>
      <w:pPr>
        <w:jc w:val="both"/>
        <w:rPr>
          <w:rFonts w:ascii="Times New Roman" w:hAnsi="Times New Roman" w:cs="Times New Roman"/>
          <w:sz w:val="21"/>
          <w:szCs w:val="20"/>
          <w:lang w:val="en-US" w:bidi="ar-SA"/>
        </w:rPr>
      </w:pPr>
      <w:r>
        <w:rPr>
          <w:rFonts w:ascii="Times New Roman" w:hAnsi="Times New Roman" w:cs="Times New Roman"/>
          <w:sz w:val="21"/>
          <w:szCs w:val="20"/>
          <w:lang w:val="en-US" w:bidi="ar-SA"/>
        </w:rPr>
        <w:t xml:space="preserve">2.装饰装修、园林绿化及修缮类等项目水电等占用费按总造价的5‰扣除；</w:t>
      </w:r>
      <w:r/>
    </w:p>
    <w:p>
      <w:pPr>
        <w:jc w:val="both"/>
        <w:rPr>
          <w:rFonts w:ascii="Times New Roman" w:hAnsi="Times New Roman" w:cs="Times New Roman"/>
          <w:sz w:val="21"/>
          <w:szCs w:val="20"/>
          <w:lang w:val="en-US" w:bidi="ar-SA"/>
        </w:rPr>
      </w:pPr>
      <w:r>
        <w:rPr>
          <w:rFonts w:ascii="Times New Roman" w:hAnsi="Times New Roman" w:cs="Times New Roman"/>
          <w:sz w:val="21"/>
          <w:szCs w:val="20"/>
          <w:lang w:val="en-US" w:bidi="ar-SA"/>
        </w:rPr>
        <w:t xml:space="preserve">3.设备造价占总造价60%以上的设备购置类项目，水电等占用费按总造价的2‰扣除；</w:t>
      </w:r>
      <w:r/>
    </w:p>
    <w:p>
      <w:pPr>
        <w:jc w:val="both"/>
        <w:rPr>
          <w:rFonts w:ascii="Times New Roman" w:hAnsi="Times New Roman" w:cs="Times New Roman"/>
          <w:sz w:val="21"/>
          <w:szCs w:val="20"/>
          <w:lang w:val="en-US" w:bidi="ar-SA"/>
        </w:rPr>
      </w:pPr>
      <w:r>
        <w:rPr>
          <w:rFonts w:ascii="Times New Roman" w:hAnsi="Times New Roman" w:cs="Times New Roman"/>
          <w:sz w:val="21"/>
          <w:szCs w:val="20"/>
          <w:lang w:val="en-US" w:bidi="ar-SA"/>
        </w:rPr>
        <w:t xml:space="preserve">4.布展、幕墙、铝合金门窗、家具等安装项目，水电等占用费按总造价的1‰扣除。</w:t>
      </w:r>
      <w:r/>
    </w:p>
    <w:p>
      <w:pPr>
        <w:jc w:val="both"/>
        <w:rPr>
          <w:rFonts w:ascii="Times New Roman" w:hAnsi="Times New Roman" w:cs="Times New Roman"/>
          <w:sz w:val="21"/>
          <w:szCs w:val="20"/>
          <w:lang w:val="en-US" w:bidi="ar-SA"/>
        </w:rPr>
      </w:pPr>
      <w:r>
        <w:rPr>
          <w:rFonts w:ascii="Times New Roman" w:hAnsi="Times New Roman" w:cs="Times New Roman"/>
          <w:sz w:val="21"/>
          <w:szCs w:val="20"/>
          <w:lang w:val="en-US" w:bidi="ar-SA"/>
        </w:rPr>
        <w:t xml:space="preserve">第二十一条 施工单位临时用电用水，需事先提出申请，经同意后安装学校提供的计量装置，并交纳押金。工程结束后扣除损坏和折旧费用，退还押金，所用水电量定期按实计算。</w:t>
      </w:r>
      <w:r/>
    </w:p>
    <w:p>
      <w:pPr>
        <w:jc w:val="both"/>
        <w:rPr>
          <w:rFonts w:ascii="Times New Roman" w:hAnsi="Times New Roman" w:cs="Times New Roman"/>
          <w:sz w:val="21"/>
          <w:szCs w:val="20"/>
          <w:lang w:val="en-US" w:bidi="ar-SA"/>
        </w:rPr>
      </w:pPr>
      <w:r>
        <w:rPr>
          <w:rFonts w:ascii="Times New Roman" w:hAnsi="Times New Roman" w:cs="Times New Roman"/>
          <w:sz w:val="21"/>
          <w:szCs w:val="20"/>
          <w:lang w:val="en-US" w:bidi="ar-SA"/>
        </w:rPr>
        <w:t xml:space="preserve">第二十二条 因管理不善或使用不当，造成水电表失准，毁坏，其损失由用户负责，水电费参照该用户全年用量最高月份计算。</w:t>
      </w:r>
      <w:r/>
    </w:p>
    <w:p>
      <w:pPr>
        <w:jc w:val="both"/>
        <w:rPr>
          <w:rFonts w:ascii="Times New Roman" w:hAnsi="Times New Roman" w:cs="Times New Roman"/>
          <w:sz w:val="21"/>
          <w:szCs w:val="20"/>
          <w:lang w:val="en-US" w:bidi="ar-SA"/>
        </w:rPr>
      </w:pPr>
      <w:r>
        <w:rPr>
          <w:rFonts w:ascii="Times New Roman" w:hAnsi="Times New Roman" w:cs="Times New Roman"/>
          <w:sz w:val="21"/>
          <w:szCs w:val="20"/>
          <w:lang w:val="en-US" w:bidi="ar-SA"/>
        </w:rPr>
        <w:t xml:space="preserve">第二十三条 所有回收水电费用统一上缴给校财务部门。各用户应在水电费缴费通知单规定的时间内交费，逾期不交，按日加收2‰的滞纳金。对拒交水电费的单位或个人，由后勤管理处通知财务部门从对应经费或工资中代扣。经催缴仍未交水电费的单位和个人，后勤管理处将按规定程序停供水电。</w:t>
      </w:r>
      <w:r/>
    </w:p>
    <w:p>
      <w:pPr>
        <w:jc w:val="both"/>
        <w:rPr>
          <w:rFonts w:ascii="Times New Roman" w:hAnsi="Times New Roman" w:cs="Times New Roman"/>
          <w:b/>
          <w:bCs/>
          <w:sz w:val="21"/>
          <w:szCs w:val="20"/>
          <w:lang w:val="en-US" w:bidi="ar-SA"/>
        </w:rPr>
      </w:pPr>
      <w:r>
        <w:rPr>
          <w:rFonts w:ascii="Times New Roman" w:hAnsi="Times New Roman" w:cs="Times New Roman"/>
          <w:b/>
          <w:bCs/>
          <w:sz w:val="21"/>
          <w:szCs w:val="20"/>
          <w:lang w:val="en-US" w:bidi="ar-SA"/>
        </w:rPr>
        <w:t xml:space="preserve">第七章  违章查处</w:t>
      </w:r>
      <w:r/>
    </w:p>
    <w:p>
      <w:pPr>
        <w:jc w:val="both"/>
        <w:rPr>
          <w:rFonts w:ascii="Times New Roman" w:hAnsi="Times New Roman" w:cs="Times New Roman"/>
          <w:sz w:val="21"/>
          <w:szCs w:val="20"/>
          <w:lang w:val="en-US" w:bidi="ar-SA"/>
        </w:rPr>
      </w:pPr>
      <w:r>
        <w:rPr>
          <w:rFonts w:ascii="Times New Roman" w:hAnsi="Times New Roman" w:cs="Times New Roman"/>
          <w:sz w:val="21"/>
          <w:szCs w:val="20"/>
          <w:lang w:val="en-US" w:bidi="ar-SA"/>
        </w:rPr>
        <w:t xml:space="preserve">第二十四条 有下列违章行为之一者，学校后勤管理处除按最大用量计算追回水电费（含滞纳金）外，有权中止其违章行为、限期责令其恢复原状，并在绩效考核中扣分。逾期不改的，可依法停供水电：</w:t>
      </w:r>
      <w:r/>
    </w:p>
    <w:p>
      <w:pPr>
        <w:jc w:val="both"/>
        <w:rPr>
          <w:rFonts w:ascii="Times New Roman" w:hAnsi="Times New Roman" w:cs="Times New Roman"/>
          <w:sz w:val="21"/>
          <w:szCs w:val="20"/>
          <w:lang w:val="en-US" w:bidi="ar-SA"/>
        </w:rPr>
      </w:pPr>
      <w:r>
        <w:rPr>
          <w:rFonts w:ascii="Times New Roman" w:hAnsi="Times New Roman" w:cs="Times New Roman"/>
          <w:sz w:val="21"/>
          <w:szCs w:val="20"/>
          <w:lang w:val="en-US" w:bidi="ar-SA"/>
        </w:rPr>
        <w:t xml:space="preserve">1．在0～300 C 内擅自开空调者（会议室有接待任务除外）；</w:t>
      </w:r>
      <w:r/>
    </w:p>
    <w:p>
      <w:pPr>
        <w:jc w:val="both"/>
        <w:rPr>
          <w:rFonts w:ascii="Times New Roman" w:hAnsi="Times New Roman" w:cs="Times New Roman"/>
          <w:sz w:val="21"/>
          <w:szCs w:val="20"/>
          <w:lang w:val="en-US" w:bidi="ar-SA"/>
        </w:rPr>
      </w:pPr>
      <w:r>
        <w:rPr>
          <w:rFonts w:ascii="Times New Roman" w:hAnsi="Times New Roman" w:cs="Times New Roman"/>
          <w:sz w:val="21"/>
          <w:szCs w:val="20"/>
          <w:lang w:val="en-US" w:bidi="ar-SA"/>
        </w:rPr>
        <w:t xml:space="preserve">2.未经批准擅自施工，或私改乱接学校水电设施危及系统安全者；</w:t>
      </w:r>
      <w:r/>
    </w:p>
    <w:p>
      <w:pPr>
        <w:jc w:val="both"/>
        <w:rPr>
          <w:rFonts w:ascii="Times New Roman" w:hAnsi="Times New Roman" w:cs="Times New Roman"/>
          <w:sz w:val="21"/>
          <w:szCs w:val="20"/>
          <w:lang w:val="en-US" w:bidi="ar-SA"/>
        </w:rPr>
      </w:pPr>
      <w:r>
        <w:rPr>
          <w:rFonts w:ascii="Times New Roman" w:hAnsi="Times New Roman" w:cs="Times New Roman"/>
          <w:sz w:val="21"/>
          <w:szCs w:val="20"/>
          <w:lang w:val="en-US" w:bidi="ar-SA"/>
        </w:rPr>
        <w:t xml:space="preserve">3.野蛮施工，造成学校水电设施损坏，影响系统正常运行者；</w:t>
      </w:r>
      <w:r/>
    </w:p>
    <w:p>
      <w:pPr>
        <w:jc w:val="both"/>
        <w:rPr>
          <w:rFonts w:ascii="Times New Roman" w:hAnsi="Times New Roman" w:cs="Times New Roman"/>
          <w:sz w:val="21"/>
          <w:szCs w:val="20"/>
          <w:lang w:val="en-US" w:bidi="ar-SA"/>
        </w:rPr>
      </w:pPr>
      <w:r>
        <w:rPr>
          <w:rFonts w:ascii="Times New Roman" w:hAnsi="Times New Roman" w:cs="Times New Roman"/>
          <w:sz w:val="21"/>
          <w:szCs w:val="20"/>
          <w:lang w:val="en-US" w:bidi="ar-SA"/>
        </w:rPr>
        <w:t xml:space="preserve">4.违反学校水电管理有关规定用水用电，并造成不良影响者；</w:t>
      </w:r>
      <w:r/>
    </w:p>
    <w:p>
      <w:pPr>
        <w:jc w:val="both"/>
        <w:rPr>
          <w:rFonts w:ascii="Times New Roman" w:hAnsi="Times New Roman" w:cs="Times New Roman"/>
          <w:sz w:val="21"/>
          <w:szCs w:val="20"/>
          <w:lang w:val="en-US" w:bidi="ar-SA"/>
        </w:rPr>
      </w:pPr>
      <w:r>
        <w:rPr>
          <w:rFonts w:ascii="Times New Roman" w:hAnsi="Times New Roman" w:cs="Times New Roman"/>
          <w:sz w:val="21"/>
          <w:szCs w:val="20"/>
          <w:lang w:val="en-US" w:bidi="ar-SA"/>
        </w:rPr>
        <w:t xml:space="preserve">5.使用违章用水用电器具，造成严重后果或安全隐患者；</w:t>
      </w:r>
      <w:r/>
    </w:p>
    <w:p>
      <w:pPr>
        <w:jc w:val="both"/>
        <w:rPr>
          <w:rFonts w:ascii="Times New Roman" w:hAnsi="Times New Roman" w:cs="Times New Roman"/>
          <w:sz w:val="21"/>
          <w:szCs w:val="20"/>
          <w:lang w:val="en-US" w:bidi="ar-SA"/>
        </w:rPr>
      </w:pPr>
      <w:r>
        <w:rPr>
          <w:rFonts w:ascii="Times New Roman" w:hAnsi="Times New Roman" w:cs="Times New Roman"/>
          <w:sz w:val="21"/>
          <w:szCs w:val="20"/>
          <w:lang w:val="en-US" w:bidi="ar-SA"/>
        </w:rPr>
        <w:t xml:space="preserve">6.采取各种手段窃水、窃电者；</w:t>
      </w:r>
      <w:r/>
    </w:p>
    <w:p>
      <w:pPr>
        <w:jc w:val="both"/>
        <w:rPr>
          <w:rFonts w:ascii="Times New Roman" w:hAnsi="Times New Roman" w:cs="Times New Roman"/>
          <w:sz w:val="21"/>
          <w:szCs w:val="20"/>
          <w:lang w:val="en-US" w:bidi="ar-SA"/>
        </w:rPr>
      </w:pPr>
      <w:r>
        <w:rPr>
          <w:rFonts w:ascii="Times New Roman" w:hAnsi="Times New Roman" w:cs="Times New Roman"/>
          <w:sz w:val="21"/>
          <w:szCs w:val="20"/>
          <w:lang w:val="en-US" w:bidi="ar-SA"/>
        </w:rPr>
        <w:t xml:space="preserve">7.浪费水电，造成较大经济损失或不良影响者；</w:t>
      </w:r>
      <w:r/>
    </w:p>
    <w:p>
      <w:pPr>
        <w:jc w:val="both"/>
        <w:rPr>
          <w:rFonts w:ascii="Times New Roman" w:hAnsi="Times New Roman" w:cs="Times New Roman"/>
          <w:sz w:val="21"/>
          <w:szCs w:val="20"/>
          <w:lang w:val="en-US" w:bidi="ar-SA"/>
        </w:rPr>
      </w:pPr>
      <w:r>
        <w:rPr>
          <w:rFonts w:ascii="Times New Roman" w:hAnsi="Times New Roman" w:cs="Times New Roman"/>
          <w:sz w:val="21"/>
          <w:szCs w:val="20"/>
          <w:lang w:val="en-US" w:bidi="ar-SA"/>
        </w:rPr>
        <w:t xml:space="preserve">8.不按学校规定办理用水用电手续或不按时交纳水电费者。</w:t>
      </w:r>
      <w:r/>
    </w:p>
    <w:p>
      <w:pPr>
        <w:jc w:val="both"/>
        <w:rPr>
          <w:rFonts w:ascii="Times New Roman" w:hAnsi="Times New Roman" w:cs="Times New Roman"/>
          <w:sz w:val="21"/>
          <w:szCs w:val="20"/>
          <w:lang w:val="en-US" w:bidi="ar-SA"/>
        </w:rPr>
      </w:pPr>
      <w:r>
        <w:rPr>
          <w:rFonts w:ascii="Times New Roman" w:hAnsi="Times New Roman" w:cs="Times New Roman"/>
          <w:sz w:val="21"/>
          <w:szCs w:val="20"/>
          <w:lang w:val="en-US" w:bidi="ar-SA"/>
        </w:rPr>
        <w:t xml:space="preserve">因违章或窃用水、电造成集体或个人财物损失的，责任者必须承担赔偿责任；因此导致集体、个人财物重大损失、危及人身安全的，学校有权追究其法律责任。</w:t>
      </w:r>
      <w:r/>
    </w:p>
    <w:p>
      <w:pPr>
        <w:jc w:val="both"/>
        <w:rPr>
          <w:rFonts w:ascii="Times New Roman" w:hAnsi="Times New Roman" w:cs="Times New Roman"/>
          <w:sz w:val="21"/>
          <w:szCs w:val="20"/>
          <w:lang w:val="en-US" w:bidi="ar-SA"/>
        </w:rPr>
      </w:pPr>
      <w:r>
        <w:rPr>
          <w:rFonts w:ascii="Times New Roman" w:hAnsi="Times New Roman" w:cs="Times New Roman"/>
          <w:sz w:val="21"/>
          <w:szCs w:val="20"/>
          <w:lang w:val="en-US" w:bidi="ar-SA"/>
        </w:rPr>
        <w:t xml:space="preserve">    第二十五条 后勤管理处必须安排人员对全校节水节电进行巡查，发现下列情况按规定处罚：</w:t>
      </w:r>
      <w:r/>
    </w:p>
    <w:p>
      <w:pPr>
        <w:jc w:val="both"/>
        <w:rPr>
          <w:rFonts w:ascii="Times New Roman" w:hAnsi="Times New Roman" w:cs="Times New Roman"/>
          <w:sz w:val="21"/>
          <w:szCs w:val="20"/>
          <w:lang w:val="en-US" w:bidi="ar-SA"/>
        </w:rPr>
      </w:pPr>
      <w:r>
        <w:rPr>
          <w:rFonts w:ascii="Times New Roman" w:hAnsi="Times New Roman" w:cs="Times New Roman"/>
          <w:sz w:val="21"/>
          <w:szCs w:val="20"/>
          <w:lang w:val="en-US" w:bidi="ar-SA"/>
        </w:rPr>
        <w:t xml:space="preserve">1．教室、公共厕所长明灯：50元/次。处罚对象：物业公司；</w:t>
      </w:r>
      <w:r/>
    </w:p>
    <w:p>
      <w:pPr>
        <w:jc w:val="both"/>
        <w:rPr>
          <w:rFonts w:ascii="Times New Roman" w:hAnsi="Times New Roman" w:cs="Times New Roman"/>
          <w:sz w:val="21"/>
          <w:szCs w:val="20"/>
          <w:lang w:val="en-US" w:bidi="ar-SA"/>
        </w:rPr>
      </w:pPr>
      <w:r>
        <w:rPr>
          <w:rFonts w:ascii="Times New Roman" w:hAnsi="Times New Roman" w:cs="Times New Roman"/>
          <w:sz w:val="21"/>
          <w:szCs w:val="20"/>
          <w:lang w:val="en-US" w:bidi="ar-SA"/>
        </w:rPr>
        <w:t xml:space="preserve">  2．办公室长明灯（下班后不关灯）：50元/次。处罚对象：使用部门；</w:t>
      </w:r>
      <w:r/>
    </w:p>
    <w:p>
      <w:pPr>
        <w:jc w:val="both"/>
        <w:rPr>
          <w:rFonts w:ascii="Times New Roman" w:hAnsi="Times New Roman" w:cs="Times New Roman"/>
          <w:sz w:val="21"/>
          <w:szCs w:val="20"/>
          <w:lang w:val="en-US" w:bidi="ar-SA"/>
        </w:rPr>
      </w:pPr>
      <w:r>
        <w:rPr>
          <w:rFonts w:ascii="Times New Roman" w:hAnsi="Times New Roman" w:cs="Times New Roman"/>
          <w:sz w:val="21"/>
          <w:szCs w:val="20"/>
          <w:lang w:val="en-US" w:bidi="ar-SA"/>
        </w:rPr>
        <w:t xml:space="preserve">    3．下班后开无人空调：100元/次。处罚对象：使用部门；</w:t>
      </w:r>
      <w:r/>
    </w:p>
    <w:p>
      <w:pPr>
        <w:jc w:val="both"/>
        <w:rPr>
          <w:rFonts w:ascii="Times New Roman" w:hAnsi="Times New Roman" w:cs="Times New Roman"/>
          <w:sz w:val="21"/>
          <w:szCs w:val="20"/>
          <w:lang w:val="en-US" w:bidi="ar-SA"/>
        </w:rPr>
      </w:pPr>
      <w:r>
        <w:rPr>
          <w:rFonts w:ascii="Times New Roman" w:hAnsi="Times New Roman" w:cs="Times New Roman"/>
          <w:sz w:val="21"/>
          <w:szCs w:val="20"/>
          <w:lang w:val="en-US" w:bidi="ar-SA"/>
        </w:rPr>
        <w:t xml:space="preserve">    4．浪费学校公共场所自来水：50元/次。处罚对象：物业公司、绿化养护单位、实训场所管理部门。</w:t>
      </w:r>
      <w:r/>
    </w:p>
    <w:p>
      <w:pPr>
        <w:jc w:val="both"/>
        <w:rPr>
          <w:rFonts w:ascii="Times New Roman" w:hAnsi="Times New Roman" w:cs="Times New Roman"/>
          <w:sz w:val="21"/>
          <w:szCs w:val="20"/>
          <w:lang w:val="en-US" w:bidi="ar-SA"/>
        </w:rPr>
      </w:pPr>
      <w:r>
        <w:rPr>
          <w:rFonts w:ascii="Times New Roman" w:hAnsi="Times New Roman" w:cs="Times New Roman"/>
          <w:sz w:val="21"/>
          <w:szCs w:val="20"/>
          <w:lang w:val="en-US" w:bidi="ar-SA"/>
        </w:rPr>
        <w:t xml:space="preserve">罚款所得归学校所有，上缴给学校财务部门。</w:t>
      </w:r>
      <w:r/>
    </w:p>
    <w:p>
      <w:pPr>
        <w:jc w:val="both"/>
        <w:rPr>
          <w:rFonts w:ascii="Times New Roman" w:hAnsi="Times New Roman" w:cs="Times New Roman"/>
          <w:sz w:val="21"/>
          <w:szCs w:val="20"/>
          <w:lang w:val="en-US" w:bidi="ar-SA"/>
        </w:rPr>
      </w:pPr>
      <w:r>
        <w:rPr>
          <w:rFonts w:ascii="Times New Roman" w:hAnsi="Times New Roman" w:cs="Times New Roman"/>
          <w:sz w:val="21"/>
          <w:szCs w:val="20"/>
          <w:lang w:val="en-US" w:bidi="ar-SA"/>
        </w:rPr>
        <w:t xml:space="preserve">第二十六条 学生宿舍内使用电器，应严格执行学校学生宿舍(公寓)用电标准及规定，如有违反，按该规定进行处理。</w:t>
      </w:r>
      <w:r/>
    </w:p>
    <w:p>
      <w:pPr>
        <w:jc w:val="both"/>
        <w:rPr>
          <w:rFonts w:ascii="Times New Roman" w:hAnsi="Times New Roman" w:cs="Times New Roman"/>
          <w:sz w:val="21"/>
          <w:szCs w:val="20"/>
          <w:lang w:val="en-US" w:bidi="ar-SA"/>
        </w:rPr>
      </w:pPr>
      <w:r>
        <w:rPr>
          <w:rFonts w:ascii="Times New Roman" w:hAnsi="Times New Roman" w:cs="Times New Roman"/>
          <w:sz w:val="21"/>
          <w:szCs w:val="20"/>
          <w:lang w:val="en-US" w:bidi="ar-SA"/>
        </w:rPr>
        <w:t xml:space="preserve">第二十七条 公共场所、办公室、集体宿舍不得私拉电线、使用电炉、热得快等电热设备，一经发现，按电热器设备功率1～3月的电量交纳电费，私拉电线造成的一切损失，由私拉电线者承担全部责任。</w:t>
      </w:r>
      <w:r/>
    </w:p>
    <w:p>
      <w:pPr>
        <w:jc w:val="both"/>
        <w:rPr>
          <w:rFonts w:ascii="Times New Roman" w:hAnsi="Times New Roman" w:cs="Times New Roman"/>
          <w:sz w:val="21"/>
          <w:szCs w:val="20"/>
          <w:lang w:val="en-US" w:bidi="ar-SA"/>
        </w:rPr>
      </w:pPr>
      <w:r>
        <w:rPr>
          <w:rFonts w:ascii="Times New Roman" w:hAnsi="Times New Roman" w:cs="Times New Roman"/>
          <w:sz w:val="21"/>
          <w:szCs w:val="20"/>
          <w:lang w:val="en-US" w:bidi="ar-SA"/>
        </w:rPr>
        <w:t xml:space="preserve">第二十八条 损坏水电设备按价赔偿工料费。故意损坏水电设备除按价赔偿工料费外，根据情节轻重处以工料费2～10倍的罚款。</w:t>
      </w:r>
      <w:r/>
    </w:p>
    <w:p>
      <w:pPr>
        <w:jc w:val="both"/>
        <w:rPr>
          <w:rFonts w:ascii="Times New Roman" w:hAnsi="Times New Roman" w:cs="Times New Roman"/>
          <w:sz w:val="21"/>
          <w:szCs w:val="20"/>
          <w:lang w:val="en-US" w:bidi="ar-SA"/>
        </w:rPr>
      </w:pPr>
      <w:r>
        <w:rPr>
          <w:rFonts w:ascii="Times New Roman" w:hAnsi="Times New Roman" w:cs="Times New Roman"/>
          <w:sz w:val="21"/>
          <w:szCs w:val="20"/>
          <w:lang w:val="en-US" w:bidi="ar-SA"/>
        </w:rPr>
        <w:t xml:space="preserve">第二十九条 任何单位和个人私自使用水电从事经营活动、私接水电、毁坏水电表铅封、私自拆装和移动水电表、以不正当手段使计量装置失准等，均为盗窃水电行为。</w:t>
      </w:r>
      <w:r/>
    </w:p>
    <w:p>
      <w:pPr>
        <w:jc w:val="both"/>
        <w:rPr>
          <w:rFonts w:ascii="Times New Roman" w:hAnsi="Times New Roman" w:cs="Times New Roman"/>
          <w:sz w:val="21"/>
          <w:szCs w:val="20"/>
          <w:lang w:val="en-US" w:bidi="ar-SA"/>
        </w:rPr>
      </w:pPr>
      <w:r>
        <w:rPr>
          <w:rFonts w:ascii="Times New Roman" w:hAnsi="Times New Roman" w:cs="Times New Roman"/>
          <w:sz w:val="21"/>
          <w:szCs w:val="20"/>
          <w:lang w:val="en-US" w:bidi="ar-SA"/>
        </w:rPr>
        <w:t xml:space="preserve">（一）凡有下列行为之一的，均按违章用电处理:</w:t>
      </w:r>
      <w:r/>
    </w:p>
    <w:p>
      <w:pPr>
        <w:jc w:val="both"/>
        <w:rPr>
          <w:rFonts w:ascii="Times New Roman" w:hAnsi="Times New Roman" w:cs="Times New Roman"/>
          <w:sz w:val="21"/>
          <w:szCs w:val="20"/>
          <w:lang w:val="en-US" w:bidi="ar-SA"/>
        </w:rPr>
      </w:pPr>
      <w:r>
        <w:rPr>
          <w:rFonts w:ascii="Times New Roman" w:hAnsi="Times New Roman" w:cs="Times New Roman"/>
          <w:sz w:val="21"/>
          <w:szCs w:val="20"/>
          <w:lang w:val="en-US" w:bidi="ar-SA"/>
        </w:rPr>
        <w:t xml:space="preserve">1．在供电线路上擅自接线或越电表用电的；</w:t>
      </w:r>
      <w:r/>
    </w:p>
    <w:p>
      <w:pPr>
        <w:jc w:val="both"/>
        <w:rPr>
          <w:rFonts w:ascii="Times New Roman" w:hAnsi="Times New Roman" w:cs="Times New Roman"/>
          <w:sz w:val="21"/>
          <w:szCs w:val="20"/>
          <w:lang w:val="en-US" w:bidi="ar-SA"/>
        </w:rPr>
      </w:pPr>
      <w:r>
        <w:rPr>
          <w:rFonts w:ascii="Times New Roman" w:hAnsi="Times New Roman" w:cs="Times New Roman"/>
          <w:sz w:val="21"/>
          <w:szCs w:val="20"/>
          <w:lang w:val="en-US" w:bidi="ar-SA"/>
        </w:rPr>
        <w:t xml:space="preserve">2．改变电表接线，伪造或私自更换电表，以及采用其他方法使表计不准的；</w:t>
      </w:r>
      <w:r/>
    </w:p>
    <w:p>
      <w:pPr>
        <w:jc w:val="both"/>
        <w:rPr>
          <w:rFonts w:ascii="Times New Roman" w:hAnsi="Times New Roman" w:cs="Times New Roman"/>
          <w:sz w:val="21"/>
          <w:szCs w:val="20"/>
          <w:lang w:val="en-US" w:bidi="ar-SA"/>
        </w:rPr>
      </w:pPr>
      <w:r>
        <w:rPr>
          <w:rFonts w:ascii="Times New Roman" w:hAnsi="Times New Roman" w:cs="Times New Roman"/>
          <w:sz w:val="21"/>
          <w:szCs w:val="20"/>
          <w:lang w:val="en-US" w:bidi="ar-SA"/>
        </w:rPr>
        <w:t xml:space="preserve">3．擅自使用大功率电器的。</w:t>
      </w:r>
      <w:r/>
    </w:p>
    <w:p>
      <w:pPr>
        <w:jc w:val="both"/>
        <w:rPr>
          <w:rFonts w:ascii="Times New Roman" w:hAnsi="Times New Roman" w:cs="Times New Roman"/>
          <w:sz w:val="21"/>
          <w:szCs w:val="20"/>
          <w:lang w:val="en-US" w:bidi="ar-SA"/>
        </w:rPr>
      </w:pPr>
      <w:r>
        <w:rPr>
          <w:rFonts w:ascii="Times New Roman" w:hAnsi="Times New Roman" w:cs="Times New Roman"/>
          <w:sz w:val="21"/>
          <w:szCs w:val="20"/>
          <w:lang w:val="en-US" w:bidi="ar-SA"/>
        </w:rPr>
        <w:t xml:space="preserve">根据《中华人民共和国电力法》第七十一条规定：供电部门对查获的窃电者，应予制止并可当场终止供电，窃电者应按所窃电量补交电费并承担补交电费5倍以下的违约使用电费（总表用电量减去其他用户的使用量等于窃电量）。对上述违章用电行为，除责令整改或没收器具或停止供电外，按私接容量及实际使用时间追补电费，并按1～3倍追补电费；绕越电表用电或使表计量不准的，或违章用电起讫日期无法查明的，按用户的用电容量，至少以六个月（动力用电每日按12小时，照明用电每日按8小时）计算追补电费。</w:t>
      </w:r>
      <w:r/>
    </w:p>
    <w:p>
      <w:pPr>
        <w:jc w:val="both"/>
        <w:rPr>
          <w:rFonts w:ascii="Times New Roman" w:hAnsi="Times New Roman" w:cs="Times New Roman"/>
          <w:sz w:val="21"/>
          <w:szCs w:val="20"/>
          <w:lang w:val="en-US" w:bidi="ar-SA"/>
        </w:rPr>
      </w:pPr>
      <w:r>
        <w:rPr>
          <w:rFonts w:ascii="Times New Roman" w:hAnsi="Times New Roman" w:cs="Times New Roman"/>
          <w:sz w:val="21"/>
          <w:szCs w:val="20"/>
          <w:lang w:val="en-US" w:bidi="ar-SA"/>
        </w:rPr>
        <w:t xml:space="preserve">（二）凡有下列行为之一的，均按违章用水处理：</w:t>
      </w:r>
      <w:r/>
    </w:p>
    <w:p>
      <w:pPr>
        <w:jc w:val="both"/>
        <w:rPr>
          <w:rFonts w:ascii="Times New Roman" w:hAnsi="Times New Roman" w:cs="Times New Roman"/>
          <w:sz w:val="21"/>
          <w:szCs w:val="20"/>
          <w:lang w:val="en-US" w:bidi="ar-SA"/>
        </w:rPr>
      </w:pPr>
      <w:r>
        <w:rPr>
          <w:rFonts w:ascii="Times New Roman" w:hAnsi="Times New Roman" w:cs="Times New Roman"/>
          <w:sz w:val="21"/>
          <w:szCs w:val="20"/>
          <w:lang w:val="en-US" w:bidi="ar-SA"/>
        </w:rPr>
        <w:t xml:space="preserve">1．擅自改装自来水管道或在管道上接管用水的；</w:t>
      </w:r>
      <w:r/>
    </w:p>
    <w:p>
      <w:pPr>
        <w:jc w:val="both"/>
        <w:rPr>
          <w:rFonts w:ascii="Times New Roman" w:hAnsi="Times New Roman" w:cs="Times New Roman"/>
          <w:sz w:val="21"/>
          <w:szCs w:val="20"/>
          <w:lang w:val="en-US" w:bidi="ar-SA"/>
        </w:rPr>
      </w:pPr>
      <w:r>
        <w:rPr>
          <w:rFonts w:ascii="Times New Roman" w:hAnsi="Times New Roman" w:cs="Times New Roman"/>
          <w:sz w:val="21"/>
          <w:szCs w:val="20"/>
          <w:lang w:val="en-US" w:bidi="ar-SA"/>
        </w:rPr>
        <w:t xml:space="preserve">2．绕越水表用水或采用其他方法使水表计量不准的；</w:t>
      </w:r>
      <w:r/>
    </w:p>
    <w:p>
      <w:pPr>
        <w:jc w:val="both"/>
        <w:rPr>
          <w:rFonts w:ascii="Times New Roman" w:hAnsi="Times New Roman" w:cs="Times New Roman"/>
          <w:sz w:val="21"/>
          <w:szCs w:val="20"/>
          <w:lang w:val="en-US" w:bidi="ar-SA"/>
        </w:rPr>
      </w:pPr>
      <w:r>
        <w:rPr>
          <w:rFonts w:ascii="Times New Roman" w:hAnsi="Times New Roman" w:cs="Times New Roman"/>
          <w:sz w:val="21"/>
          <w:szCs w:val="20"/>
          <w:lang w:val="en-US" w:bidi="ar-SA"/>
        </w:rPr>
        <w:t xml:space="preserve">3．伪造或启动水表封印的，私自更换水表的。</w:t>
      </w:r>
      <w:r/>
    </w:p>
    <w:p>
      <w:pPr>
        <w:jc w:val="both"/>
        <w:rPr>
          <w:rFonts w:ascii="Times New Roman" w:hAnsi="Times New Roman" w:cs="Times New Roman"/>
          <w:sz w:val="21"/>
          <w:szCs w:val="20"/>
          <w:lang w:val="en-US" w:bidi="ar-SA"/>
        </w:rPr>
      </w:pPr>
      <w:r>
        <w:rPr>
          <w:rFonts w:ascii="Times New Roman" w:hAnsi="Times New Roman" w:cs="Times New Roman"/>
          <w:sz w:val="21"/>
          <w:szCs w:val="20"/>
          <w:lang w:val="en-US" w:bidi="ar-SA"/>
        </w:rPr>
        <w:t xml:space="preserve">对上述违章用水行为，除责令整改或停止供水外，按私接流量及实际使用时间追补水费。</w:t>
      </w:r>
      <w:r/>
    </w:p>
    <w:p>
      <w:pPr>
        <w:jc w:val="both"/>
        <w:rPr>
          <w:rFonts w:ascii="Times New Roman" w:hAnsi="Times New Roman" w:cs="Times New Roman"/>
          <w:sz w:val="21"/>
          <w:szCs w:val="20"/>
          <w:lang w:val="en-US" w:bidi="ar-SA"/>
        </w:rPr>
      </w:pPr>
      <w:r>
        <w:rPr>
          <w:rFonts w:ascii="Times New Roman" w:hAnsi="Times New Roman" w:cs="Times New Roman"/>
          <w:sz w:val="21"/>
          <w:szCs w:val="20"/>
          <w:lang w:val="en-US" w:bidi="ar-SA"/>
        </w:rPr>
        <w:t xml:space="preserve">第三十条 任何单位如违反程序购买、使用水电设施、设备，由该单位主要负责人负全责。一经发现，后勤管理处有权要求该用户立即停止使用，限期整改并追究其主要责任人责任。</w:t>
      </w:r>
      <w:r/>
    </w:p>
    <w:p>
      <w:pPr>
        <w:jc w:val="both"/>
        <w:rPr>
          <w:rFonts w:ascii="Times New Roman" w:hAnsi="Times New Roman" w:cs="Times New Roman"/>
          <w:sz w:val="21"/>
          <w:szCs w:val="20"/>
          <w:lang w:val="en-US" w:bidi="ar-SA"/>
        </w:rPr>
      </w:pPr>
      <w:r>
        <w:rPr>
          <w:rFonts w:ascii="Times New Roman" w:hAnsi="Times New Roman" w:cs="Times New Roman"/>
          <w:sz w:val="21"/>
          <w:szCs w:val="20"/>
          <w:lang w:val="en-US" w:bidi="ar-SA"/>
        </w:rPr>
        <w:t xml:space="preserve">第三十一条 凡违章用电用水的单位和个人，应在接到后勤管理处通知后五天内到校财务处交纳追补水电费。对拒不交纳或逾期不交纳的，则由后勤管理处作停供水电处理。如确需校内水电供应者，应缴清所欠电费和滞纳金，提出用水用电申请，经批准后再予以接通水电，但应承担全部工料费用。</w:t>
      </w:r>
      <w:r/>
    </w:p>
    <w:p>
      <w:pPr>
        <w:jc w:val="both"/>
        <w:rPr>
          <w:rFonts w:ascii="Times New Roman" w:hAnsi="Times New Roman" w:cs="Times New Roman"/>
          <w:sz w:val="21"/>
          <w:szCs w:val="20"/>
          <w:lang w:val="en-US" w:bidi="ar-SA"/>
        </w:rPr>
      </w:pPr>
      <w:r>
        <w:rPr>
          <w:rFonts w:ascii="Times New Roman" w:hAnsi="Times New Roman" w:cs="Times New Roman"/>
          <w:sz w:val="21"/>
          <w:szCs w:val="20"/>
          <w:lang w:val="en-US" w:bidi="ar-SA"/>
        </w:rPr>
        <w:t xml:space="preserve">第三十二条 凡未经后勤管理处批准，任何单位和个人私自进行水电设施新（改）建，改变原供电线路和上下管线等，一切责任由单位主要负责人和当事人负责。一经发现，后勤管理处有权要求该用户立即停止使用。</w:t>
      </w:r>
      <w:r/>
    </w:p>
    <w:p>
      <w:pPr>
        <w:jc w:val="both"/>
        <w:rPr>
          <w:rFonts w:ascii="Times New Roman" w:hAnsi="Times New Roman" w:cs="Times New Roman"/>
          <w:sz w:val="21"/>
          <w:szCs w:val="20"/>
          <w:lang w:val="en-US" w:bidi="ar-SA"/>
        </w:rPr>
      </w:pPr>
      <w:r>
        <w:rPr>
          <w:rFonts w:ascii="Times New Roman" w:hAnsi="Times New Roman" w:cs="Times New Roman"/>
          <w:sz w:val="21"/>
          <w:szCs w:val="20"/>
          <w:lang w:val="en-US" w:bidi="ar-SA"/>
        </w:rPr>
        <w:t xml:space="preserve">第三十三条 对违章使用和浪费、盗窃水电的行为，任何单位与个人均有权监督并向后勤管理处举报，对于损坏水电设备，私自接水接电、偷用水电等行为应进行劝阻揭发，学校按收缴罚款的20%予以奖励。</w:t>
      </w:r>
      <w:r/>
    </w:p>
    <w:p>
      <w:pPr>
        <w:jc w:val="both"/>
        <w:rPr>
          <w:rFonts w:ascii="Times New Roman" w:hAnsi="Times New Roman" w:cs="Times New Roman"/>
          <w:b/>
          <w:bCs/>
          <w:sz w:val="21"/>
          <w:szCs w:val="20"/>
          <w:lang w:val="en-US" w:bidi="ar-SA"/>
        </w:rPr>
      </w:pPr>
      <w:r>
        <w:rPr>
          <w:rFonts w:ascii="Times New Roman" w:hAnsi="Times New Roman" w:cs="Times New Roman"/>
          <w:b/>
          <w:bCs/>
          <w:sz w:val="21"/>
          <w:szCs w:val="20"/>
          <w:lang w:val="en-US" w:bidi="ar-SA"/>
        </w:rPr>
        <w:t xml:space="preserve">第八章  附则</w:t>
      </w:r>
      <w:r/>
    </w:p>
    <w:p>
      <w:pPr>
        <w:jc w:val="both"/>
        <w:rPr>
          <w:rFonts w:ascii="Times New Roman" w:hAnsi="Times New Roman" w:cs="Times New Roman"/>
          <w:sz w:val="21"/>
          <w:szCs w:val="20"/>
          <w:lang w:val="en-US" w:bidi="ar-SA"/>
        </w:rPr>
      </w:pPr>
      <w:r>
        <w:rPr>
          <w:rFonts w:ascii="Times New Roman" w:hAnsi="Times New Roman" w:cs="Times New Roman"/>
          <w:sz w:val="21"/>
          <w:szCs w:val="20"/>
          <w:lang w:val="en-US" w:bidi="ar-SA"/>
        </w:rPr>
        <w:t xml:space="preserve">第三十三条 本办法颁布前学校相关水电管理规定与本办法不符的，一律作废，以本办法为准。</w:t>
      </w:r>
      <w:r/>
    </w:p>
    <w:p>
      <w:pPr>
        <w:jc w:val="both"/>
        <w:rPr>
          <w:rFonts w:ascii="Times New Roman" w:hAnsi="Times New Roman" w:cs="Times New Roman"/>
          <w:sz w:val="21"/>
          <w:szCs w:val="20"/>
          <w:lang w:val="en-US" w:bidi="ar-SA"/>
        </w:rPr>
      </w:pPr>
      <w:r>
        <w:rPr>
          <w:rFonts w:ascii="Times New Roman" w:hAnsi="Times New Roman" w:cs="Times New Roman"/>
          <w:sz w:val="21"/>
          <w:szCs w:val="20"/>
          <w:lang w:val="en-US" w:bidi="ar-SA"/>
        </w:rPr>
        <w:t xml:space="preserve">第三十四条 本办法解释权归后勤管理处。</w:t>
      </w:r>
      <w:r/>
    </w:p>
    <w:p>
      <w:pPr>
        <w:jc w:val="both"/>
        <w:rPr>
          <w:rFonts w:ascii="Times New Roman" w:hAnsi="Times New Roman" w:cs="Times New Roman"/>
          <w:sz w:val="21"/>
          <w:szCs w:val="20"/>
          <w:lang w:val="en-US" w:bidi="ar-SA"/>
        </w:rPr>
      </w:pPr>
      <w:r>
        <w:rPr>
          <w:rFonts w:ascii="Times New Roman" w:hAnsi="Times New Roman" w:cs="Times New Roman"/>
          <w:sz w:val="21"/>
          <w:szCs w:val="20"/>
          <w:lang w:val="en-US" w:bidi="ar-SA"/>
        </w:rPr>
        <w:t xml:space="preserve">第三十五条 本办法自大保障工作协调推进会通过之日起执行。</w:t>
      </w:r>
      <w:r/>
    </w:p>
    <w:p>
      <w:pPr>
        <w:jc w:val="both"/>
        <w:rPr>
          <w:rFonts w:ascii="Times New Roman" w:hAnsi="Times New Roman" w:cs="Times New Roman"/>
          <w:sz w:val="21"/>
          <w:szCs w:val="20"/>
          <w:lang w:val="en-US" w:bidi="ar-SA"/>
        </w:rPr>
      </w:pPr>
      <w:r>
        <w:rPr>
          <w:rFonts w:ascii="Times New Roman" w:hAnsi="Times New Roman" w:cs="Times New Roman"/>
          <w:sz w:val="21"/>
          <w:szCs w:val="20"/>
          <w:lang w:val="en-US" w:bidi="ar-SA"/>
        </w:rPr>
      </w:r>
      <w:r/>
    </w:p>
    <w:p>
      <w:pPr>
        <w:jc w:val="both"/>
        <w:rPr>
          <w:rFonts w:ascii="Calibri" w:hAnsi="Calibri" w:cs="Times New Roman"/>
          <w:color w:val="000000"/>
          <w:sz w:val="21"/>
          <w:lang w:val="en-US" w:bidi="ar-SA"/>
        </w:rPr>
      </w:pPr>
      <w:r>
        <w:rPr>
          <w:rFonts w:ascii="Calibri" w:hAnsi="Calibri" w:cs="Times New Roman"/>
          <w:color w:val="000000"/>
          <w:sz w:val="21"/>
          <w:lang w:val="en-US" w:bidi="ar-SA"/>
        </w:rPr>
      </w:r>
      <w:r/>
    </w:p>
    <w:p>
      <w:pPr>
        <w:jc w:val="both"/>
        <w:rPr>
          <w:rFonts w:cs="仿宋"/>
          <w:b/>
          <w:bCs/>
          <w:color w:val="000000"/>
          <w:sz w:val="21"/>
          <w:szCs w:val="21"/>
          <w:lang w:val="en-US" w:bidi="ar-SA"/>
        </w:rPr>
      </w:pPr>
      <w:r>
        <w:rPr>
          <w:rFonts w:hint="eastAsia" w:cs="仿宋"/>
          <w:b/>
          <w:bCs/>
          <w:color w:val="000000"/>
          <w:sz w:val="21"/>
          <w:szCs w:val="21"/>
          <w:lang w:val="en-US" w:bidi="ar-SA"/>
        </w:rPr>
        <w:br w:type="page" w:clear="all"/>
      </w:r>
      <w:r/>
    </w:p>
    <w:p>
      <w:pPr>
        <w:jc w:val="both"/>
        <w:rPr>
          <w:color w:val="000000"/>
          <w:sz w:val="24"/>
          <w:szCs w:val="24"/>
          <w:lang w:val="en-US" w:bidi="ar-SA"/>
        </w:rPr>
      </w:pPr>
      <w:r>
        <w:rPr>
          <w:rFonts w:hint="eastAsia"/>
          <w:color w:val="000000"/>
          <w:sz w:val="24"/>
          <w:szCs w:val="24"/>
          <w:lang w:val="en-US" w:bidi="ar-SA"/>
        </w:rPr>
        <w:t xml:space="preserve">附</w:t>
      </w:r>
      <w:bookmarkStart w:id="32" w:name="_Toc296891266"/>
      <w:r/>
      <w:bookmarkStart w:id="33" w:name="_Toc296503226"/>
      <w:r/>
      <w:bookmarkStart w:id="34" w:name="_Toc267261693"/>
      <w:r/>
      <w:bookmarkStart w:id="35" w:name="_Toc296346727"/>
      <w:r/>
      <w:bookmarkStart w:id="36" w:name="_Toc296944565"/>
      <w:r/>
      <w:bookmarkStart w:id="37" w:name="_Toc296347225"/>
      <w:r/>
      <w:bookmarkStart w:id="38" w:name="_Toc296891054"/>
      <w:r>
        <w:rPr>
          <w:rFonts w:hint="eastAsia"/>
          <w:color w:val="000000"/>
          <w:sz w:val="24"/>
          <w:szCs w:val="24"/>
          <w:lang w:val="en-US" w:bidi="ar-SA"/>
        </w:rPr>
        <w:t xml:space="preserve">件1：</w:t>
      </w:r>
      <w:bookmarkEnd w:id="32"/>
      <w:r/>
      <w:bookmarkEnd w:id="33"/>
      <w:r/>
      <w:bookmarkEnd w:id="34"/>
      <w:r/>
      <w:bookmarkEnd w:id="35"/>
      <w:r/>
      <w:bookmarkEnd w:id="36"/>
      <w:r/>
      <w:bookmarkEnd w:id="37"/>
      <w:r/>
      <w:bookmarkEnd w:id="38"/>
      <w:r/>
      <w:r/>
    </w:p>
    <w:p>
      <w:pPr>
        <w:jc w:val="center"/>
        <w:spacing w:before="156" w:after="156"/>
        <w:rPr>
          <w:b/>
          <w:bCs/>
          <w:color w:val="000000"/>
          <w:sz w:val="32"/>
          <w:szCs w:val="32"/>
          <w:lang w:val="en-US" w:bidi="ar-SA"/>
        </w:rPr>
      </w:pPr>
      <w:r>
        <w:rPr>
          <w:rFonts w:hint="eastAsia"/>
          <w:b/>
          <w:bCs/>
          <w:color w:val="000000"/>
          <w:sz w:val="32"/>
          <w:szCs w:val="32"/>
          <w:lang w:val="en-US" w:bidi="ar-SA"/>
        </w:rPr>
        <w:t xml:space="preserve">工程质量保修书</w:t>
      </w:r>
      <w:r/>
    </w:p>
    <w:p>
      <w:pPr>
        <w:ind w:firstLine="840"/>
        <w:jc w:val="both"/>
        <w:spacing w:line="360" w:lineRule="auto"/>
        <w:rPr>
          <w:color w:val="000000"/>
          <w:sz w:val="21"/>
          <w:u w:val="single"/>
          <w:lang w:val="en-US" w:bidi="ar-SA"/>
        </w:rPr>
      </w:pPr>
      <w:r>
        <w:rPr>
          <w:rFonts w:hint="eastAsia"/>
          <w:color w:val="000000"/>
          <w:sz w:val="21"/>
          <w:szCs w:val="21"/>
          <w:lang w:val="en-US" w:bidi="ar-SA"/>
        </w:rPr>
        <w:t xml:space="preserve">发包方（全称）：</w:t>
      </w:r>
      <w:r>
        <w:rPr>
          <w:rFonts w:hint="eastAsia"/>
          <w:color w:val="000000"/>
          <w:sz w:val="21"/>
          <w:szCs w:val="21"/>
          <w:u w:val="single"/>
          <w:lang w:val="en-US" w:bidi="ar-SA"/>
        </w:rPr>
        <w:t xml:space="preserve">                </w:t>
      </w:r>
      <w:r>
        <w:rPr>
          <w:color w:val="000000"/>
          <w:sz w:val="21"/>
          <w:u w:val="single"/>
          <w:lang w:val="en-US" w:bidi="ar-SA"/>
        </w:rPr>
        <w:t xml:space="preserve"> </w:t>
      </w:r>
      <w:r/>
    </w:p>
    <w:p>
      <w:pPr>
        <w:ind w:firstLine="420"/>
        <w:jc w:val="both"/>
        <w:spacing w:line="360" w:lineRule="auto"/>
        <w:rPr>
          <w:color w:val="000000"/>
          <w:sz w:val="21"/>
          <w:lang w:val="en-US" w:bidi="ar-SA"/>
        </w:rPr>
      </w:pPr>
      <w:r>
        <w:rPr>
          <w:rFonts w:hint="eastAsia"/>
          <w:color w:val="000000"/>
          <w:sz w:val="21"/>
          <w:szCs w:val="21"/>
          <w:lang w:val="en-US" w:bidi="ar-SA"/>
        </w:rPr>
        <w:t xml:space="preserve">　　承包方（全称）：</w:t>
      </w:r>
      <w:r>
        <w:rPr>
          <w:rFonts w:hint="eastAsia"/>
          <w:color w:val="000000"/>
          <w:sz w:val="21"/>
          <w:szCs w:val="21"/>
          <w:u w:val="single"/>
          <w:lang w:val="en-US" w:bidi="ar-SA"/>
        </w:rPr>
        <w:t xml:space="preserve">               </w:t>
      </w:r>
      <w:r/>
    </w:p>
    <w:p>
      <w:pPr>
        <w:ind w:firstLine="420"/>
        <w:jc w:val="both"/>
        <w:spacing w:line="360" w:lineRule="auto"/>
        <w:rPr>
          <w:color w:val="000000"/>
          <w:sz w:val="21"/>
          <w:lang w:val="en-US" w:bidi="ar-SA"/>
        </w:rPr>
      </w:pPr>
      <w:r>
        <w:rPr>
          <w:rFonts w:hint="eastAsia"/>
          <w:color w:val="000000"/>
          <w:sz w:val="21"/>
          <w:szCs w:val="21"/>
          <w:lang w:val="en-US" w:bidi="ar-SA"/>
        </w:rPr>
        <w:t xml:space="preserve">　　发包方和承包方根据《中华人民共和国建筑法》和《建设工程质量管理条例》，经协商一致就</w:t>
      </w:r>
      <w:r>
        <w:rPr>
          <w:rFonts w:hint="eastAsia"/>
          <w:color w:val="000000"/>
          <w:sz w:val="21"/>
          <w:u w:val="single"/>
          <w:lang w:val="en-US" w:bidi="ar-SA"/>
        </w:rPr>
        <w:t xml:space="preserve">                     </w:t>
      </w:r>
      <w:r>
        <w:rPr>
          <w:rFonts w:hint="eastAsia"/>
          <w:color w:val="000000"/>
          <w:sz w:val="21"/>
          <w:szCs w:val="21"/>
          <w:lang w:val="en-US" w:bidi="ar-SA"/>
        </w:rPr>
        <w:t xml:space="preserve">（工程全称）签订工程质量保修书。</w:t>
      </w:r>
      <w:r/>
    </w:p>
    <w:p>
      <w:pPr>
        <w:ind w:firstLine="420"/>
        <w:jc w:val="both"/>
        <w:spacing w:line="360" w:lineRule="auto"/>
        <w:rPr>
          <w:color w:val="000000"/>
          <w:sz w:val="21"/>
          <w:lang w:val="en-US" w:bidi="ar-SA"/>
        </w:rPr>
      </w:pPr>
      <w:r>
        <w:rPr>
          <w:rFonts w:hint="eastAsia"/>
          <w:color w:val="000000"/>
          <w:sz w:val="21"/>
          <w:szCs w:val="21"/>
          <w:lang w:val="en-US" w:bidi="ar-SA"/>
        </w:rPr>
        <w:t xml:space="preserve">　　</w:t>
      </w:r>
      <w:bookmarkStart w:id="39" w:name="_Toc69283050"/>
      <w:r/>
      <w:bookmarkStart w:id="40" w:name="_Toc103865604"/>
      <w:r>
        <w:rPr>
          <w:rFonts w:hint="eastAsia"/>
          <w:color w:val="000000"/>
          <w:sz w:val="21"/>
          <w:szCs w:val="21"/>
          <w:lang w:val="en-US" w:bidi="ar-SA"/>
        </w:rPr>
        <w:t xml:space="preserve">一、工程质量保修范围和内容</w:t>
      </w:r>
      <w:bookmarkEnd w:id="39"/>
      <w:r/>
      <w:bookmarkEnd w:id="40"/>
      <w:r/>
      <w:r/>
    </w:p>
    <w:p>
      <w:pPr>
        <w:ind w:firstLine="420"/>
        <w:jc w:val="both"/>
        <w:spacing w:line="360" w:lineRule="auto"/>
        <w:rPr>
          <w:color w:val="000000"/>
          <w:sz w:val="21"/>
          <w:lang w:val="en-US" w:bidi="ar-SA"/>
        </w:rPr>
      </w:pPr>
      <w:r>
        <w:rPr>
          <w:rFonts w:hint="eastAsia"/>
          <w:color w:val="000000"/>
          <w:sz w:val="21"/>
          <w:szCs w:val="21"/>
          <w:lang w:val="en-US" w:bidi="ar-SA"/>
        </w:rPr>
        <w:t xml:space="preserve">　　承包方在质量保修期内，按照有关法律规定和合同约定，承担工程质量保修责任。</w:t>
      </w:r>
      <w:r/>
    </w:p>
    <w:p>
      <w:pPr>
        <w:ind w:firstLine="420"/>
        <w:jc w:val="both"/>
        <w:spacing w:line="360" w:lineRule="auto"/>
        <w:rPr>
          <w:color w:val="000000"/>
          <w:sz w:val="21"/>
          <w:u w:val="single"/>
          <w:lang w:val="en-US" w:bidi="ar-SA"/>
        </w:rPr>
      </w:pPr>
      <w:r>
        <w:rPr>
          <w:rFonts w:hint="eastAsia"/>
          <w:color w:val="000000"/>
          <w:sz w:val="21"/>
          <w:szCs w:val="21"/>
          <w:lang w:val="en-US" w:bidi="ar-SA"/>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color w:val="000000"/>
          <w:sz w:val="21"/>
          <w:szCs w:val="21"/>
          <w:u w:val="single"/>
          <w:lang w:val="en-US" w:bidi="ar-SA"/>
        </w:rPr>
        <w:t xml:space="preserve">保修范围为承包方施工的全部内容。</w:t>
      </w:r>
      <w:r/>
    </w:p>
    <w:p>
      <w:pPr>
        <w:ind w:firstLine="422"/>
        <w:jc w:val="both"/>
        <w:spacing w:line="360" w:lineRule="auto"/>
        <w:rPr>
          <w:color w:val="000000"/>
          <w:sz w:val="21"/>
          <w:lang w:val="en-US" w:bidi="ar-SA"/>
        </w:rPr>
      </w:pPr>
      <w:r>
        <w:rPr>
          <w:rFonts w:hint="eastAsia"/>
          <w:b/>
          <w:color w:val="000000"/>
          <w:sz w:val="21"/>
          <w:szCs w:val="21"/>
          <w:lang w:val="en-US" w:bidi="ar-SA"/>
        </w:rPr>
        <w:t xml:space="preserve">　　</w:t>
      </w:r>
      <w:bookmarkStart w:id="41" w:name="_Toc69283051"/>
      <w:r/>
      <w:bookmarkStart w:id="42" w:name="_Toc103865605"/>
      <w:r>
        <w:rPr>
          <w:rFonts w:hint="eastAsia"/>
          <w:color w:val="000000"/>
          <w:sz w:val="21"/>
          <w:szCs w:val="21"/>
          <w:lang w:val="en-US" w:bidi="ar-SA"/>
        </w:rPr>
        <w:t xml:space="preserve">二、质量保修期</w:t>
      </w:r>
      <w:bookmarkEnd w:id="41"/>
      <w:r/>
      <w:bookmarkEnd w:id="42"/>
      <w:r/>
      <w:r/>
    </w:p>
    <w:p>
      <w:pPr>
        <w:ind w:firstLine="840"/>
        <w:jc w:val="both"/>
        <w:spacing w:line="360" w:lineRule="auto"/>
        <w:rPr>
          <w:color w:val="000000"/>
          <w:sz w:val="21"/>
          <w:lang w:val="en-US" w:bidi="ar-SA"/>
        </w:rPr>
      </w:pPr>
      <w:r>
        <w:rPr>
          <w:rFonts w:hint="eastAsia"/>
          <w:color w:val="000000"/>
          <w:sz w:val="21"/>
          <w:szCs w:val="21"/>
          <w:lang w:val="en-US" w:bidi="ar-SA"/>
        </w:rPr>
        <w:t xml:space="preserve">根据《建设工程质量管理条例》及有关规定，工程的质量保修期如下：</w:t>
      </w:r>
      <w:r/>
    </w:p>
    <w:p>
      <w:pPr>
        <w:ind w:firstLine="840"/>
        <w:jc w:val="both"/>
        <w:spacing w:line="360" w:lineRule="auto"/>
        <w:rPr>
          <w:color w:val="000000"/>
          <w:sz w:val="21"/>
          <w:lang w:val="en-US" w:bidi="ar-SA"/>
        </w:rPr>
      </w:pPr>
      <w:r>
        <w:rPr>
          <w:rFonts w:hint="eastAsia"/>
          <w:color w:val="000000"/>
          <w:sz w:val="21"/>
          <w:szCs w:val="21"/>
          <w:lang w:val="en-US" w:bidi="ar-SA"/>
        </w:rPr>
        <w:t xml:space="preserve">1．地基基础工程和主体结构工程为设计文件规定的工程合理使用年限；</w:t>
      </w:r>
      <w:r/>
    </w:p>
    <w:p>
      <w:pPr>
        <w:ind w:firstLine="840"/>
        <w:jc w:val="both"/>
        <w:spacing w:line="360" w:lineRule="auto"/>
        <w:rPr>
          <w:color w:val="000000"/>
          <w:sz w:val="21"/>
          <w:lang w:val="en-US" w:bidi="ar-SA"/>
        </w:rPr>
      </w:pPr>
      <w:r>
        <w:rPr>
          <w:rFonts w:hint="eastAsia"/>
          <w:color w:val="000000"/>
          <w:sz w:val="21"/>
          <w:szCs w:val="21"/>
          <w:lang w:val="en-US" w:bidi="ar-SA"/>
        </w:rPr>
        <w:t xml:space="preserve">2．屋面防水工程、有防水要求的卫生间、房间和外墙面的防渗，为</w:t>
      </w:r>
      <w:r>
        <w:rPr>
          <w:rFonts w:hint="eastAsia"/>
          <w:color w:val="000000"/>
          <w:sz w:val="21"/>
          <w:szCs w:val="21"/>
          <w:u w:val="single"/>
          <w:lang w:val="en-US" w:bidi="ar-SA"/>
        </w:rPr>
        <w:t xml:space="preserve">5</w:t>
      </w:r>
      <w:r>
        <w:rPr>
          <w:rFonts w:hint="eastAsia"/>
          <w:color w:val="000000"/>
          <w:sz w:val="21"/>
          <w:szCs w:val="21"/>
          <w:lang w:val="en-US" w:bidi="ar-SA"/>
        </w:rPr>
        <w:t xml:space="preserve">年；</w:t>
      </w:r>
      <w:r/>
    </w:p>
    <w:p>
      <w:pPr>
        <w:ind w:firstLine="420"/>
        <w:jc w:val="both"/>
        <w:spacing w:line="360" w:lineRule="auto"/>
        <w:rPr>
          <w:color w:val="000000"/>
          <w:sz w:val="21"/>
          <w:lang w:val="en-US" w:bidi="ar-SA"/>
        </w:rPr>
      </w:pPr>
      <w:r>
        <w:rPr>
          <w:rFonts w:hint="eastAsia"/>
          <w:color w:val="000000"/>
          <w:sz w:val="21"/>
          <w:szCs w:val="21"/>
          <w:lang w:val="en-US" w:bidi="ar-SA"/>
        </w:rPr>
        <w:t xml:space="preserve">    3．装修工程为</w:t>
      </w:r>
      <w:r>
        <w:rPr>
          <w:rFonts w:hint="eastAsia"/>
          <w:color w:val="000000"/>
          <w:sz w:val="21"/>
          <w:szCs w:val="21"/>
          <w:u w:val="single"/>
          <w:lang w:val="en-US" w:bidi="ar-SA"/>
        </w:rPr>
        <w:t xml:space="preserve">2</w:t>
      </w:r>
      <w:r>
        <w:rPr>
          <w:rFonts w:hint="eastAsia"/>
          <w:color w:val="000000"/>
          <w:sz w:val="21"/>
          <w:szCs w:val="21"/>
          <w:lang w:val="en-US" w:bidi="ar-SA"/>
        </w:rPr>
        <w:t xml:space="preserve">年；</w:t>
      </w:r>
      <w:r/>
    </w:p>
    <w:p>
      <w:pPr>
        <w:ind w:firstLine="840"/>
        <w:jc w:val="both"/>
        <w:spacing w:line="360" w:lineRule="auto"/>
        <w:rPr>
          <w:color w:val="000000"/>
          <w:sz w:val="21"/>
          <w:lang w:val="en-US" w:bidi="ar-SA"/>
        </w:rPr>
      </w:pPr>
      <w:r>
        <w:rPr>
          <w:rFonts w:hint="eastAsia"/>
          <w:color w:val="000000"/>
          <w:sz w:val="21"/>
          <w:szCs w:val="21"/>
          <w:lang w:val="en-US" w:bidi="ar-SA"/>
        </w:rPr>
        <w:t xml:space="preserve">4．电气管线、给排水管道、设备安装工程为</w:t>
      </w:r>
      <w:r>
        <w:rPr>
          <w:rFonts w:hint="eastAsia"/>
          <w:color w:val="000000"/>
          <w:sz w:val="21"/>
          <w:szCs w:val="21"/>
          <w:u w:val="single"/>
          <w:lang w:val="en-US" w:bidi="ar-SA"/>
        </w:rPr>
        <w:t xml:space="preserve">2</w:t>
      </w:r>
      <w:r>
        <w:rPr>
          <w:rFonts w:hint="eastAsia"/>
          <w:color w:val="000000"/>
          <w:sz w:val="21"/>
          <w:szCs w:val="21"/>
          <w:lang w:val="en-US" w:bidi="ar-SA"/>
        </w:rPr>
        <w:t xml:space="preserve">年；</w:t>
      </w:r>
      <w:r/>
    </w:p>
    <w:p>
      <w:pPr>
        <w:ind w:firstLine="840"/>
        <w:jc w:val="both"/>
        <w:spacing w:line="360" w:lineRule="auto"/>
        <w:rPr>
          <w:color w:val="000000"/>
          <w:sz w:val="21"/>
          <w:lang w:val="en-US" w:bidi="ar-SA"/>
        </w:rPr>
      </w:pPr>
      <w:r>
        <w:rPr>
          <w:rFonts w:hint="eastAsia"/>
          <w:color w:val="000000"/>
          <w:sz w:val="21"/>
          <w:szCs w:val="21"/>
          <w:lang w:val="en-US" w:bidi="ar-SA"/>
        </w:rPr>
        <w:t xml:space="preserve">5．供热与供冷系统为</w:t>
      </w:r>
      <w:r>
        <w:rPr>
          <w:rFonts w:hint="eastAsia"/>
          <w:color w:val="000000"/>
          <w:sz w:val="21"/>
          <w:szCs w:val="21"/>
          <w:u w:val="single"/>
          <w:lang w:val="en-US" w:bidi="ar-SA"/>
        </w:rPr>
        <w:t xml:space="preserve">2</w:t>
      </w:r>
      <w:r>
        <w:rPr>
          <w:rFonts w:hint="eastAsia"/>
          <w:color w:val="000000"/>
          <w:sz w:val="21"/>
          <w:szCs w:val="21"/>
          <w:lang w:val="en-US" w:bidi="ar-SA"/>
        </w:rPr>
        <w:t xml:space="preserve">个采暖期、供冷期；</w:t>
      </w:r>
      <w:r/>
    </w:p>
    <w:p>
      <w:pPr>
        <w:ind w:firstLine="840"/>
        <w:jc w:val="both"/>
        <w:spacing w:line="360" w:lineRule="auto"/>
        <w:rPr>
          <w:color w:val="000000"/>
          <w:sz w:val="21"/>
          <w:lang w:val="en-US" w:bidi="ar-SA"/>
        </w:rPr>
      </w:pPr>
      <w:r>
        <w:rPr>
          <w:rFonts w:hint="eastAsia"/>
          <w:color w:val="000000"/>
          <w:sz w:val="21"/>
          <w:szCs w:val="21"/>
          <w:lang w:val="en-US" w:bidi="ar-SA"/>
        </w:rPr>
        <w:t xml:space="preserve">6．住宅小区内的给排水设施、道路等配套工程为</w:t>
      </w:r>
      <w:r>
        <w:rPr>
          <w:rFonts w:hint="eastAsia"/>
          <w:color w:val="000000"/>
          <w:sz w:val="21"/>
          <w:szCs w:val="21"/>
          <w:u w:val="single"/>
          <w:lang w:val="en-US" w:bidi="ar-SA"/>
        </w:rPr>
        <w:t xml:space="preserve">1</w:t>
      </w:r>
      <w:r>
        <w:rPr>
          <w:rFonts w:hint="eastAsia"/>
          <w:color w:val="000000"/>
          <w:sz w:val="21"/>
          <w:szCs w:val="21"/>
          <w:lang w:val="en-US" w:bidi="ar-SA"/>
        </w:rPr>
        <w:t xml:space="preserve">年；</w:t>
      </w:r>
      <w:r/>
    </w:p>
    <w:p>
      <w:pPr>
        <w:ind w:firstLine="840"/>
        <w:jc w:val="both"/>
        <w:spacing w:line="360" w:lineRule="auto"/>
        <w:rPr>
          <w:color w:val="000000"/>
          <w:sz w:val="21"/>
          <w:lang w:val="en-US" w:bidi="ar-SA"/>
        </w:rPr>
      </w:pPr>
      <w:r>
        <w:rPr>
          <w:rFonts w:hint="eastAsia"/>
          <w:color w:val="000000"/>
          <w:sz w:val="21"/>
          <w:szCs w:val="21"/>
          <w:lang w:val="en-US" w:bidi="ar-SA"/>
        </w:rPr>
        <w:t xml:space="preserve">7．其他项目保修期限约定如下：</w:t>
      </w:r>
      <w:r>
        <w:rPr>
          <w:rFonts w:hint="eastAsia"/>
          <w:color w:val="000000"/>
          <w:sz w:val="21"/>
          <w:szCs w:val="21"/>
          <w:u w:val="single"/>
          <w:lang w:val="en-US" w:bidi="ar-SA"/>
        </w:rPr>
        <w:t xml:space="preserve">/。</w:t>
      </w:r>
      <w:r/>
    </w:p>
    <w:p>
      <w:pPr>
        <w:ind w:firstLine="420"/>
        <w:jc w:val="both"/>
        <w:spacing w:line="360" w:lineRule="auto"/>
        <w:rPr>
          <w:color w:val="000000"/>
          <w:sz w:val="21"/>
          <w:lang w:val="en-US" w:bidi="ar-SA"/>
        </w:rPr>
      </w:pPr>
      <w:r>
        <w:rPr>
          <w:rFonts w:hint="eastAsia"/>
          <w:color w:val="000000"/>
          <w:sz w:val="21"/>
          <w:szCs w:val="21"/>
          <w:lang w:val="en-US" w:bidi="ar-SA"/>
        </w:rPr>
        <w:t xml:space="preserve">　　质量保修期自工程竣工验收合格之日起计算。</w:t>
      </w:r>
      <w:r/>
    </w:p>
    <w:p>
      <w:pPr>
        <w:ind w:firstLine="840"/>
        <w:jc w:val="both"/>
        <w:spacing w:line="360" w:lineRule="auto"/>
        <w:rPr>
          <w:color w:val="000000"/>
          <w:sz w:val="21"/>
          <w:lang w:val="en-US" w:bidi="ar-SA"/>
        </w:rPr>
      </w:pPr>
      <w:r/>
      <w:bookmarkStart w:id="43" w:name="_Toc69283052"/>
      <w:r/>
      <w:bookmarkStart w:id="44" w:name="_Toc103865606"/>
      <w:r>
        <w:rPr>
          <w:rFonts w:hint="eastAsia"/>
          <w:color w:val="000000"/>
          <w:sz w:val="21"/>
          <w:szCs w:val="21"/>
          <w:lang w:val="en-US" w:bidi="ar-SA"/>
        </w:rPr>
        <w:t xml:space="preserve">三、缺陷责任期</w:t>
      </w:r>
      <w:bookmarkEnd w:id="43"/>
      <w:r/>
      <w:bookmarkEnd w:id="44"/>
      <w:r/>
      <w:r/>
    </w:p>
    <w:p>
      <w:pPr>
        <w:ind w:left="220" w:firstLine="420"/>
        <w:jc w:val="both"/>
        <w:spacing w:line="360" w:lineRule="auto"/>
        <w:rPr>
          <w:color w:val="000000"/>
          <w:sz w:val="21"/>
          <w:lang w:val="en-US" w:bidi="ar-SA"/>
        </w:rPr>
      </w:pPr>
      <w:r>
        <w:rPr>
          <w:rFonts w:hint="eastAsia"/>
          <w:color w:val="000000"/>
          <w:sz w:val="21"/>
          <w:szCs w:val="21"/>
          <w:lang w:val="en-US" w:bidi="ar-SA"/>
        </w:rPr>
        <w:t xml:space="preserve">工程缺陷责任期为</w:t>
      </w:r>
      <w:r>
        <w:rPr>
          <w:rFonts w:hint="eastAsia"/>
          <w:color w:val="000000"/>
          <w:sz w:val="21"/>
          <w:szCs w:val="21"/>
          <w:u w:val="single"/>
          <w:lang w:val="en-US" w:bidi="ar-SA"/>
        </w:rPr>
        <w:t xml:space="preserve">24</w:t>
      </w:r>
      <w:r>
        <w:rPr>
          <w:rFonts w:hint="eastAsia"/>
          <w:color w:val="000000"/>
          <w:sz w:val="21"/>
          <w:szCs w:val="21"/>
          <w:lang w:val="en-US" w:bidi="ar-SA"/>
        </w:rPr>
        <w:t xml:space="preserve">个月，缺陷责任期自工程通过竣工验收之日起计算。单位工程先于全部工程进行验收，单位工程缺陷责任期自单位工程验收合格之日起算。</w:t>
      </w:r>
      <w:r/>
    </w:p>
    <w:p>
      <w:pPr>
        <w:ind w:firstLine="630"/>
        <w:jc w:val="both"/>
        <w:spacing w:line="360" w:lineRule="auto"/>
        <w:rPr>
          <w:color w:val="000000"/>
          <w:sz w:val="21"/>
          <w:lang w:val="en-US" w:bidi="ar-SA"/>
        </w:rPr>
      </w:pPr>
      <w:r>
        <w:rPr>
          <w:rFonts w:hint="eastAsia"/>
          <w:color w:val="000000"/>
          <w:sz w:val="21"/>
          <w:szCs w:val="21"/>
          <w:lang w:val="en-US" w:bidi="ar-SA"/>
        </w:rPr>
        <w:t xml:space="preserve">缺陷责任期终止后，发包方应退还剩余的质量保证金。</w:t>
      </w:r>
      <w:r/>
    </w:p>
    <w:p>
      <w:pPr>
        <w:ind w:firstLine="420"/>
        <w:jc w:val="both"/>
        <w:spacing w:line="360" w:lineRule="auto"/>
        <w:rPr>
          <w:color w:val="000000"/>
          <w:sz w:val="21"/>
          <w:lang w:val="en-US" w:bidi="ar-SA"/>
        </w:rPr>
      </w:pPr>
      <w:r>
        <w:rPr>
          <w:rFonts w:hint="eastAsia"/>
          <w:color w:val="000000"/>
          <w:sz w:val="21"/>
          <w:szCs w:val="21"/>
          <w:lang w:val="en-US" w:bidi="ar-SA"/>
        </w:rPr>
        <w:t xml:space="preserve">    </w:t>
      </w:r>
      <w:bookmarkStart w:id="45" w:name="_Toc69283053"/>
      <w:r/>
      <w:bookmarkStart w:id="46" w:name="_Toc103865607"/>
      <w:r>
        <w:rPr>
          <w:rFonts w:hint="eastAsia"/>
          <w:color w:val="000000"/>
          <w:sz w:val="21"/>
          <w:szCs w:val="21"/>
          <w:lang w:val="en-US" w:bidi="ar-SA"/>
        </w:rPr>
        <w:t xml:space="preserve">四、质量保修责任</w:t>
      </w:r>
      <w:bookmarkEnd w:id="45"/>
      <w:r/>
      <w:bookmarkEnd w:id="46"/>
      <w:r/>
      <w:r/>
    </w:p>
    <w:p>
      <w:pPr>
        <w:ind w:left="440" w:firstLine="420"/>
        <w:jc w:val="both"/>
        <w:spacing w:line="360" w:lineRule="auto"/>
        <w:rPr>
          <w:color w:val="000000"/>
          <w:sz w:val="21"/>
          <w:lang w:val="en-US" w:bidi="ar-SA"/>
        </w:rPr>
      </w:pPr>
      <w:r>
        <w:rPr>
          <w:rFonts w:hint="eastAsia"/>
          <w:color w:val="000000"/>
          <w:sz w:val="21"/>
          <w:szCs w:val="21"/>
          <w:lang w:val="en-US" w:bidi="ar-SA"/>
        </w:rPr>
        <w:t xml:space="preserve">1．属于保修范围、内容的项目，承包方应当在接到保修通知之日起7天内派人保修。承包方不在约定期限内派人保修的，发包方可以委托他人修理。</w:t>
      </w:r>
      <w:r/>
    </w:p>
    <w:p>
      <w:pPr>
        <w:ind w:firstLine="840"/>
        <w:jc w:val="both"/>
        <w:spacing w:line="360" w:lineRule="auto"/>
        <w:rPr>
          <w:color w:val="000000"/>
          <w:sz w:val="21"/>
          <w:lang w:val="en-US" w:bidi="ar-SA"/>
        </w:rPr>
      </w:pPr>
      <w:r>
        <w:rPr>
          <w:rFonts w:hint="eastAsia"/>
          <w:color w:val="000000"/>
          <w:sz w:val="21"/>
          <w:szCs w:val="21"/>
          <w:lang w:val="en-US" w:bidi="ar-SA"/>
        </w:rPr>
        <w:t xml:space="preserve">2．发生紧急事故需抢修的，承包方在接到事故通知后，应当立即到达事故现场抢修。</w:t>
      </w:r>
      <w:r/>
    </w:p>
    <w:p>
      <w:pPr>
        <w:ind w:left="440" w:firstLine="420"/>
        <w:jc w:val="both"/>
        <w:spacing w:line="360" w:lineRule="auto"/>
        <w:rPr>
          <w:color w:val="000000"/>
          <w:sz w:val="21"/>
          <w:lang w:val="en-US" w:bidi="ar-SA"/>
        </w:rPr>
      </w:pPr>
      <w:r>
        <w:rPr>
          <w:rFonts w:hint="eastAsia"/>
          <w:color w:val="000000"/>
          <w:sz w:val="21"/>
          <w:szCs w:val="21"/>
          <w:lang w:val="en-US" w:bidi="ar-SA"/>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方实施保修。</w:t>
      </w:r>
      <w:r/>
    </w:p>
    <w:p>
      <w:pPr>
        <w:ind w:firstLine="840"/>
        <w:jc w:val="both"/>
        <w:spacing w:line="360" w:lineRule="auto"/>
        <w:rPr>
          <w:color w:val="000000"/>
          <w:sz w:val="21"/>
          <w:lang w:val="en-US" w:bidi="ar-SA"/>
        </w:rPr>
      </w:pPr>
      <w:r>
        <w:rPr>
          <w:rFonts w:hint="eastAsia"/>
          <w:color w:val="000000"/>
          <w:sz w:val="21"/>
          <w:szCs w:val="21"/>
          <w:lang w:val="en-US" w:bidi="ar-SA"/>
        </w:rPr>
        <w:t xml:space="preserve">4．质量保修完成后，由发包方组织验收。</w:t>
      </w:r>
      <w:r/>
    </w:p>
    <w:p>
      <w:pPr>
        <w:ind w:firstLine="420"/>
        <w:jc w:val="both"/>
        <w:spacing w:line="360" w:lineRule="auto"/>
        <w:rPr>
          <w:color w:val="000000"/>
          <w:sz w:val="21"/>
          <w:lang w:val="en-US" w:bidi="ar-SA"/>
        </w:rPr>
      </w:pPr>
      <w:r>
        <w:rPr>
          <w:rFonts w:hint="eastAsia"/>
          <w:color w:val="000000"/>
          <w:sz w:val="21"/>
          <w:szCs w:val="21"/>
          <w:lang w:val="en-US" w:bidi="ar-SA"/>
        </w:rPr>
        <w:t xml:space="preserve">　　</w:t>
      </w:r>
      <w:bookmarkStart w:id="47" w:name="_Toc69283054"/>
      <w:r/>
      <w:bookmarkStart w:id="48" w:name="_Toc103865608"/>
      <w:r>
        <w:rPr>
          <w:rFonts w:hint="eastAsia"/>
          <w:color w:val="000000"/>
          <w:sz w:val="21"/>
          <w:szCs w:val="21"/>
          <w:lang w:val="en-US" w:bidi="ar-SA"/>
        </w:rPr>
        <w:t xml:space="preserve">五、保修费用</w:t>
      </w:r>
      <w:bookmarkEnd w:id="47"/>
      <w:r/>
      <w:bookmarkEnd w:id="48"/>
      <w:r/>
      <w:r/>
    </w:p>
    <w:p>
      <w:pPr>
        <w:ind w:firstLine="420"/>
        <w:jc w:val="both"/>
        <w:spacing w:line="360" w:lineRule="auto"/>
        <w:rPr>
          <w:color w:val="000000"/>
          <w:sz w:val="21"/>
          <w:lang w:val="en-US" w:bidi="ar-SA"/>
        </w:rPr>
      </w:pPr>
      <w:r>
        <w:rPr>
          <w:rFonts w:hint="eastAsia"/>
          <w:color w:val="000000"/>
          <w:sz w:val="21"/>
          <w:szCs w:val="21"/>
          <w:lang w:val="en-US" w:bidi="ar-SA"/>
        </w:rPr>
        <w:t xml:space="preserve">　　保修费用由造成质量缺陷的责任方承担。</w:t>
      </w:r>
      <w:r/>
    </w:p>
    <w:p>
      <w:pPr>
        <w:ind w:firstLine="840"/>
        <w:spacing w:line="360" w:lineRule="auto"/>
        <w:rPr>
          <w:color w:val="000000"/>
          <w:sz w:val="21"/>
          <w:u w:val="single"/>
          <w:lang w:val="en-US" w:bidi="ar-SA"/>
        </w:rPr>
      </w:pPr>
      <w:r/>
      <w:bookmarkStart w:id="49" w:name="_Toc69283055"/>
      <w:r/>
      <w:bookmarkStart w:id="50" w:name="_Toc103865609"/>
      <w:r>
        <w:rPr>
          <w:rFonts w:hint="eastAsia"/>
          <w:color w:val="000000"/>
          <w:sz w:val="21"/>
          <w:szCs w:val="21"/>
          <w:lang w:val="en-US" w:bidi="ar-SA"/>
        </w:rPr>
        <w:t xml:space="preserve">六、双方约定的其他工程质量保修事项：</w:t>
      </w:r>
      <w:bookmarkEnd w:id="49"/>
      <w:r>
        <w:rPr>
          <w:rFonts w:hint="eastAsia"/>
          <w:color w:val="000000"/>
          <w:sz w:val="21"/>
          <w:szCs w:val="21"/>
          <w:u w:val="single"/>
          <w:lang w:val="en-US" w:bidi="ar-SA"/>
        </w:rPr>
        <w:t xml:space="preserve">同一部位同一质量问题的保修以最后一次维修时间向后顺延。</w:t>
      </w:r>
      <w:bookmarkEnd w:id="50"/>
      <w:r/>
      <w:r/>
    </w:p>
    <w:p>
      <w:pPr>
        <w:ind w:firstLine="420"/>
        <w:jc w:val="both"/>
        <w:spacing w:line="360" w:lineRule="auto"/>
        <w:rPr>
          <w:color w:val="000000"/>
          <w:sz w:val="21"/>
          <w:lang w:val="en-US" w:bidi="ar-SA"/>
        </w:rPr>
      </w:pPr>
      <w:r>
        <w:rPr>
          <w:rFonts w:hint="eastAsia"/>
          <w:color w:val="000000"/>
          <w:sz w:val="21"/>
          <w:szCs w:val="21"/>
          <w:lang w:val="en-US" w:bidi="ar-SA"/>
        </w:rPr>
        <w:t xml:space="preserve">工程质量保修书由发包方、承包方在工程竣工验收前共同签署，作为施工合同附件，其有效期限至保修期满。</w:t>
      </w:r>
      <w:r/>
    </w:p>
    <w:p>
      <w:pPr>
        <w:ind w:firstLine="420"/>
        <w:jc w:val="both"/>
        <w:spacing w:line="360" w:lineRule="auto"/>
        <w:rPr>
          <w:color w:val="000000"/>
          <w:sz w:val="21"/>
          <w:szCs w:val="21"/>
          <w:lang w:val="en-US" w:bidi="ar-SA"/>
        </w:rPr>
      </w:pPr>
      <w:r>
        <w:rPr>
          <w:rFonts w:hint="eastAsia"/>
          <w:color w:val="000000"/>
          <w:sz w:val="21"/>
          <w:szCs w:val="21"/>
          <w:lang w:val="en-US" w:bidi="ar-SA"/>
        </w:rPr>
        <w:t xml:space="preserve">（以下无正文）</w:t>
      </w:r>
      <w:r/>
    </w:p>
    <w:p>
      <w:pPr>
        <w:ind w:firstLine="420"/>
        <w:jc w:val="both"/>
        <w:spacing w:line="360" w:lineRule="auto"/>
        <w:rPr>
          <w:color w:val="000000"/>
          <w:sz w:val="21"/>
          <w:szCs w:val="21"/>
          <w:lang w:val="en-US" w:bidi="ar-SA"/>
        </w:rPr>
      </w:pPr>
      <w:r>
        <w:rPr>
          <w:color w:val="000000"/>
          <w:sz w:val="21"/>
          <w:szCs w:val="21"/>
          <w:lang w:val="en-US" w:bidi="ar-SA"/>
        </w:rPr>
      </w:r>
      <w:r/>
    </w:p>
    <w:p>
      <w:pPr>
        <w:ind w:firstLine="420"/>
        <w:jc w:val="both"/>
        <w:spacing w:line="360" w:lineRule="auto"/>
        <w:rPr>
          <w:color w:val="000000"/>
          <w:sz w:val="21"/>
          <w:lang w:val="en-US" w:bidi="ar-SA"/>
        </w:rPr>
      </w:pPr>
      <w:r>
        <w:rPr>
          <w:rFonts w:hint="eastAsia"/>
          <w:color w:val="000000"/>
          <w:sz w:val="21"/>
          <w:szCs w:val="21"/>
          <w:lang w:val="en-US" w:bidi="ar-SA"/>
        </w:rPr>
        <w:t xml:space="preserve">发包方（公章）：                         承包方（公章）：          </w:t>
      </w:r>
      <w:r/>
    </w:p>
    <w:p>
      <w:pPr>
        <w:ind w:firstLine="420"/>
        <w:jc w:val="both"/>
        <w:spacing w:line="360" w:lineRule="auto"/>
        <w:rPr>
          <w:color w:val="000000"/>
          <w:sz w:val="21"/>
          <w:lang w:val="en-US" w:bidi="ar-SA"/>
        </w:rPr>
      </w:pPr>
      <w:r>
        <w:rPr>
          <w:rFonts w:hint="eastAsia"/>
          <w:color w:val="000000"/>
          <w:sz w:val="21"/>
          <w:szCs w:val="21"/>
          <w:lang w:val="en-US" w:bidi="ar-SA"/>
        </w:rPr>
        <w:t xml:space="preserve">地  址：                               地  址：  </w:t>
      </w:r>
      <w:r/>
    </w:p>
    <w:p>
      <w:pPr>
        <w:ind w:firstLine="420"/>
        <w:jc w:val="both"/>
        <w:spacing w:line="360" w:lineRule="auto"/>
        <w:rPr>
          <w:color w:val="000000"/>
          <w:sz w:val="21"/>
          <w:lang w:val="en-US" w:bidi="ar-SA"/>
        </w:rPr>
      </w:pPr>
      <w:r>
        <w:rPr>
          <w:rFonts w:hint="eastAsia"/>
          <w:color w:val="000000"/>
          <w:sz w:val="21"/>
          <w:szCs w:val="21"/>
          <w:lang w:val="en-US" w:bidi="ar-SA"/>
        </w:rPr>
        <w:t xml:space="preserve">法定代表人（签字）：                     法定代表人（签字）：</w:t>
      </w:r>
      <w:r/>
    </w:p>
    <w:p>
      <w:pPr>
        <w:ind w:firstLine="420"/>
        <w:jc w:val="both"/>
        <w:spacing w:line="360" w:lineRule="auto"/>
        <w:rPr>
          <w:color w:val="000000"/>
          <w:sz w:val="21"/>
          <w:lang w:val="en-US" w:bidi="ar-SA"/>
        </w:rPr>
      </w:pPr>
      <w:r>
        <w:rPr>
          <w:rFonts w:hint="eastAsia"/>
          <w:color w:val="000000"/>
          <w:sz w:val="21"/>
          <w:szCs w:val="21"/>
          <w:lang w:val="en-US" w:bidi="ar-SA"/>
        </w:rPr>
        <w:t xml:space="preserve">委托代理人（签字）：                      委托代理人（签字）：</w:t>
      </w:r>
      <w:r/>
    </w:p>
    <w:p>
      <w:pPr>
        <w:ind w:firstLine="420"/>
        <w:jc w:val="both"/>
        <w:spacing w:line="360" w:lineRule="auto"/>
        <w:rPr>
          <w:color w:val="000000"/>
          <w:sz w:val="21"/>
          <w:lang w:val="en-US" w:bidi="ar-SA"/>
        </w:rPr>
      </w:pPr>
      <w:r>
        <w:rPr>
          <w:rFonts w:hint="eastAsia"/>
          <w:color w:val="000000"/>
          <w:sz w:val="21"/>
          <w:szCs w:val="21"/>
          <w:lang w:val="en-US" w:bidi="ar-SA"/>
        </w:rPr>
        <w:t xml:space="preserve">电  话：                                电  话：</w:t>
      </w:r>
      <w:r/>
    </w:p>
    <w:p>
      <w:pPr>
        <w:ind w:firstLine="420"/>
        <w:jc w:val="both"/>
        <w:spacing w:line="360" w:lineRule="auto"/>
        <w:rPr>
          <w:color w:val="000000"/>
          <w:sz w:val="21"/>
          <w:lang w:val="en-US" w:bidi="ar-SA"/>
        </w:rPr>
      </w:pPr>
      <w:r>
        <w:rPr>
          <w:rFonts w:hint="eastAsia"/>
          <w:color w:val="000000"/>
          <w:sz w:val="21"/>
          <w:szCs w:val="21"/>
          <w:lang w:val="en-US" w:bidi="ar-SA"/>
        </w:rPr>
        <w:t xml:space="preserve">开户银行：                             开户银行：</w:t>
      </w:r>
      <w:r/>
    </w:p>
    <w:p>
      <w:pPr>
        <w:ind w:firstLine="420"/>
        <w:jc w:val="both"/>
        <w:spacing w:line="360" w:lineRule="auto"/>
        <w:rPr>
          <w:color w:val="000000"/>
          <w:sz w:val="21"/>
          <w:szCs w:val="21"/>
          <w:lang w:val="en-US" w:bidi="ar-SA"/>
        </w:rPr>
      </w:pPr>
      <w:r>
        <w:rPr>
          <w:rFonts w:hint="eastAsia"/>
          <w:color w:val="000000"/>
          <w:sz w:val="21"/>
          <w:szCs w:val="21"/>
          <w:lang w:val="en-US" w:bidi="ar-SA"/>
        </w:rPr>
        <w:t xml:space="preserve">账  号：                                账  号：</w:t>
      </w:r>
      <w:r/>
    </w:p>
    <w:p>
      <w:pPr>
        <w:jc w:val="both"/>
        <w:rPr>
          <w:color w:val="000000"/>
          <w:sz w:val="24"/>
          <w:szCs w:val="24"/>
          <w:lang w:val="en-US" w:bidi="ar-SA"/>
        </w:rPr>
      </w:pPr>
      <w:r>
        <w:rPr>
          <w:rFonts w:hint="eastAsia"/>
          <w:color w:val="000000"/>
          <w:sz w:val="24"/>
          <w:szCs w:val="24"/>
          <w:lang w:val="en-US" w:bidi="ar-SA"/>
        </w:rPr>
        <w:br w:type="page" w:clear="all"/>
      </w:r>
      <w:r/>
    </w:p>
    <w:p>
      <w:pPr>
        <w:widowControl/>
        <w:rPr>
          <w:color w:val="000000"/>
          <w:sz w:val="24"/>
          <w:szCs w:val="24"/>
          <w:lang w:val="en-US" w:bidi="ar-SA"/>
        </w:rPr>
      </w:pPr>
      <w:r>
        <w:rPr>
          <w:rFonts w:hint="eastAsia"/>
          <w:color w:val="000000"/>
          <w:sz w:val="24"/>
          <w:szCs w:val="24"/>
          <w:lang w:val="en-US" w:bidi="ar-SA"/>
        </w:rPr>
        <w:t xml:space="preserve">附件2：</w:t>
      </w:r>
      <w:r/>
    </w:p>
    <w:p>
      <w:pPr>
        <w:jc w:val="center"/>
        <w:spacing w:before="156" w:after="156"/>
        <w:rPr>
          <w:b/>
          <w:bCs/>
          <w:color w:val="000000"/>
          <w:sz w:val="32"/>
          <w:szCs w:val="32"/>
          <w:lang w:val="en-US" w:bidi="ar-SA"/>
        </w:rPr>
      </w:pPr>
      <w:r>
        <w:rPr>
          <w:rFonts w:hint="eastAsia"/>
          <w:b/>
          <w:bCs/>
          <w:color w:val="000000"/>
          <w:sz w:val="32"/>
          <w:szCs w:val="32"/>
          <w:lang w:val="en-US" w:bidi="ar-SA"/>
        </w:rPr>
        <w:t xml:space="preserve">安 全 施 工 协 议</w:t>
      </w:r>
      <w:r/>
    </w:p>
    <w:p>
      <w:pPr>
        <w:ind w:firstLine="420"/>
        <w:jc w:val="both"/>
        <w:spacing w:line="360" w:lineRule="auto"/>
        <w:rPr>
          <w:rFonts w:cs="Times New Roman"/>
          <w:color w:val="000000"/>
          <w:sz w:val="21"/>
          <w:u w:val="single"/>
          <w:lang w:val="en-US" w:bidi="ar-SA"/>
        </w:rPr>
      </w:pPr>
      <w:r>
        <w:rPr>
          <w:rFonts w:hint="eastAsia" w:cs="Times New Roman"/>
          <w:color w:val="000000"/>
          <w:sz w:val="21"/>
          <w:szCs w:val="21"/>
          <w:lang w:val="en-US" w:bidi="ar-SA"/>
        </w:rPr>
        <w:t xml:space="preserve">发包单位：</w:t>
      </w:r>
      <w:r>
        <w:rPr>
          <w:rFonts w:hint="eastAsia" w:cs="Times New Roman"/>
          <w:color w:val="000000"/>
          <w:sz w:val="21"/>
          <w:u w:val="single"/>
          <w:lang w:val="en-US" w:bidi="ar-SA"/>
        </w:rPr>
        <w:t xml:space="preserve">                 </w:t>
      </w:r>
      <w:r>
        <w:rPr>
          <w:rFonts w:cs="Times New Roman"/>
          <w:color w:val="000000"/>
          <w:sz w:val="21"/>
          <w:u w:val="single"/>
          <w:lang w:val="en-US" w:bidi="ar-SA"/>
        </w:rPr>
        <w:t xml:space="preserve"> </w:t>
      </w:r>
      <w:r/>
    </w:p>
    <w:p>
      <w:pPr>
        <w:ind w:firstLine="420"/>
        <w:jc w:val="both"/>
        <w:spacing w:line="360" w:lineRule="auto"/>
        <w:rPr>
          <w:rFonts w:cs="Times New Roman"/>
          <w:color w:val="000000"/>
          <w:sz w:val="21"/>
          <w:lang w:val="en-US" w:bidi="ar-SA"/>
        </w:rPr>
      </w:pPr>
      <w:r>
        <w:rPr>
          <w:rFonts w:hint="eastAsia" w:cs="Times New Roman"/>
          <w:color w:val="000000"/>
          <w:sz w:val="21"/>
          <w:szCs w:val="21"/>
          <w:lang w:val="en-US" w:bidi="ar-SA"/>
        </w:rPr>
        <w:t xml:space="preserve">承包单位： </w:t>
      </w:r>
      <w:r>
        <w:rPr>
          <w:rFonts w:hint="eastAsia" w:cs="Times New Roman"/>
          <w:color w:val="000000"/>
          <w:sz w:val="21"/>
          <w:szCs w:val="21"/>
          <w:u w:val="single"/>
          <w:lang w:val="en-US" w:bidi="ar-SA"/>
        </w:rPr>
        <w:t xml:space="preserve">                 </w:t>
      </w:r>
      <w:r/>
    </w:p>
    <w:p>
      <w:pPr>
        <w:ind w:firstLine="420"/>
        <w:jc w:val="both"/>
        <w:spacing w:line="360" w:lineRule="auto"/>
        <w:rPr>
          <w:rFonts w:cs="Times New Roman"/>
          <w:color w:val="000000"/>
          <w:sz w:val="21"/>
          <w:lang w:val="en-US" w:bidi="ar-SA"/>
        </w:rPr>
      </w:pPr>
      <w:r>
        <w:rPr>
          <w:rFonts w:hint="eastAsia" w:cs="Times New Roman"/>
          <w:color w:val="000000"/>
          <w:sz w:val="21"/>
          <w:szCs w:val="21"/>
          <w:lang w:val="en-US" w:bidi="ar-SA"/>
        </w:rPr>
        <w:t xml:space="preserve">为贯彻“安全第一，预防为主”的安全生产方针，明确发、承包单位双方安全文明施工职责，做好安全管理工作，实现安全施工，现根据国家和上级的有关规定，结合公司《环境、职业健康安全管理规定》，双方在签订建筑安装工程合同的同时，特签订本协议。</w:t>
      </w:r>
      <w:r/>
    </w:p>
    <w:p>
      <w:pPr>
        <w:ind w:firstLine="420"/>
        <w:jc w:val="both"/>
        <w:spacing w:line="360" w:lineRule="auto"/>
        <w:rPr>
          <w:rFonts w:cs="Times New Roman"/>
          <w:color w:val="000000"/>
          <w:sz w:val="21"/>
          <w:lang w:val="en-US" w:bidi="ar-SA"/>
        </w:rPr>
      </w:pPr>
      <w:r>
        <w:rPr>
          <w:rFonts w:hint="eastAsia" w:cs="Times New Roman"/>
          <w:color w:val="000000"/>
          <w:sz w:val="21"/>
          <w:szCs w:val="21"/>
          <w:lang w:val="en-US" w:bidi="ar-SA"/>
        </w:rPr>
        <w:t xml:space="preserve">一、承包工程项目</w:t>
      </w:r>
      <w:r/>
    </w:p>
    <w:p>
      <w:pPr>
        <w:ind w:firstLine="420"/>
        <w:jc w:val="both"/>
        <w:spacing w:line="360" w:lineRule="auto"/>
        <w:rPr>
          <w:rFonts w:cs="Times New Roman"/>
          <w:color w:val="000000"/>
          <w:sz w:val="21"/>
          <w:u w:val="single"/>
          <w:lang w:val="en-US" w:bidi="ar-SA"/>
        </w:rPr>
      </w:pPr>
      <w:r>
        <w:rPr>
          <w:rFonts w:hint="eastAsia" w:cs="Times New Roman"/>
          <w:color w:val="000000"/>
          <w:sz w:val="21"/>
          <w:szCs w:val="21"/>
          <w:lang w:val="en-US" w:bidi="ar-SA"/>
        </w:rPr>
        <w:t xml:space="preserve">1、工程名称：</w:t>
      </w:r>
      <w:r>
        <w:rPr>
          <w:rFonts w:hint="eastAsia" w:cs="Times New Roman"/>
          <w:color w:val="000000"/>
          <w:sz w:val="21"/>
          <w:u w:val="single"/>
          <w:lang w:val="en-US" w:bidi="ar-SA"/>
        </w:rPr>
        <w:t xml:space="preserve">                  </w:t>
      </w:r>
      <w:r/>
    </w:p>
    <w:p>
      <w:pPr>
        <w:ind w:firstLine="420"/>
        <w:jc w:val="both"/>
        <w:spacing w:line="360" w:lineRule="auto"/>
        <w:rPr>
          <w:rFonts w:cs="Times New Roman"/>
          <w:color w:val="000000"/>
          <w:sz w:val="21"/>
          <w:u w:val="single"/>
          <w:lang w:val="en-US" w:bidi="ar-SA"/>
        </w:rPr>
      </w:pPr>
      <w:r>
        <w:rPr>
          <w:rFonts w:hint="eastAsia" w:cs="Times New Roman"/>
          <w:color w:val="000000"/>
          <w:sz w:val="21"/>
          <w:szCs w:val="21"/>
          <w:lang w:val="en-US" w:bidi="ar-SA"/>
        </w:rPr>
        <w:t xml:space="preserve">2、工程地点：</w:t>
      </w:r>
      <w:r>
        <w:rPr>
          <w:rFonts w:hint="eastAsia" w:cs="Times New Roman"/>
          <w:color w:val="000000"/>
          <w:sz w:val="21"/>
          <w:u w:val="single"/>
          <w:lang w:val="en-US" w:bidi="ar-SA"/>
        </w:rPr>
        <w:t xml:space="preserve">                  </w:t>
      </w:r>
      <w:r>
        <w:rPr>
          <w:rFonts w:cs="Times New Roman"/>
          <w:color w:val="000000"/>
          <w:sz w:val="21"/>
          <w:u w:val="single"/>
          <w:lang w:val="en-US" w:bidi="ar-SA"/>
        </w:rPr>
        <w:t xml:space="preserve"> </w:t>
      </w:r>
      <w:r/>
    </w:p>
    <w:p>
      <w:pPr>
        <w:ind w:firstLine="420"/>
        <w:jc w:val="both"/>
        <w:spacing w:line="360" w:lineRule="auto"/>
        <w:rPr>
          <w:rFonts w:cs="Times New Roman"/>
          <w:color w:val="000000"/>
          <w:sz w:val="21"/>
          <w:lang w:val="en-US" w:bidi="ar-SA"/>
        </w:rPr>
      </w:pPr>
      <w:r>
        <w:rPr>
          <w:rFonts w:hint="eastAsia" w:cs="Times New Roman"/>
          <w:color w:val="000000"/>
          <w:sz w:val="21"/>
          <w:szCs w:val="21"/>
          <w:lang w:val="en-US" w:bidi="ar-SA"/>
        </w:rPr>
        <w:t xml:space="preserve">3、承包范围：详见施工合同内内容。</w:t>
      </w:r>
      <w:r/>
    </w:p>
    <w:p>
      <w:pPr>
        <w:ind w:firstLine="420"/>
        <w:jc w:val="both"/>
        <w:spacing w:line="360" w:lineRule="auto"/>
        <w:rPr>
          <w:rFonts w:cs="Times New Roman"/>
          <w:color w:val="000000"/>
          <w:sz w:val="21"/>
          <w:lang w:val="en-US" w:bidi="ar-SA"/>
        </w:rPr>
      </w:pPr>
      <w:r>
        <w:rPr>
          <w:rFonts w:hint="eastAsia" w:cs="Times New Roman"/>
          <w:color w:val="000000"/>
          <w:sz w:val="21"/>
          <w:szCs w:val="21"/>
          <w:lang w:val="en-US" w:bidi="ar-SA"/>
        </w:rPr>
        <w:t xml:space="preserve">工程分包方式：包工包料。乙方所承担的施工范围内容见上述。</w:t>
      </w:r>
      <w:r/>
    </w:p>
    <w:p>
      <w:pPr>
        <w:ind w:firstLine="420"/>
        <w:jc w:val="both"/>
        <w:spacing w:line="360" w:lineRule="auto"/>
        <w:rPr>
          <w:rFonts w:cs="Times New Roman"/>
          <w:color w:val="000000"/>
          <w:sz w:val="21"/>
          <w:lang w:val="en-US" w:bidi="ar-SA"/>
        </w:rPr>
      </w:pPr>
      <w:r>
        <w:rPr>
          <w:rFonts w:hint="eastAsia" w:cs="Times New Roman"/>
          <w:color w:val="000000"/>
          <w:sz w:val="21"/>
          <w:szCs w:val="21"/>
          <w:lang w:val="en-US" w:bidi="ar-SA"/>
        </w:rPr>
        <w:t xml:space="preserve">二、工程项目期限：详见施工合同</w:t>
      </w:r>
      <w:r/>
    </w:p>
    <w:p>
      <w:pPr>
        <w:ind w:firstLine="420"/>
        <w:jc w:val="both"/>
        <w:spacing w:line="360" w:lineRule="auto"/>
        <w:rPr>
          <w:rFonts w:cs="Times New Roman"/>
          <w:color w:val="000000"/>
          <w:sz w:val="21"/>
          <w:lang w:val="en-US" w:bidi="ar-SA"/>
        </w:rPr>
      </w:pPr>
      <w:r>
        <w:rPr>
          <w:rFonts w:hint="eastAsia" w:cs="Times New Roman"/>
          <w:color w:val="000000"/>
          <w:sz w:val="21"/>
          <w:szCs w:val="21"/>
          <w:lang w:val="en-US" w:bidi="ar-SA"/>
        </w:rPr>
        <w:t xml:space="preserve">三、甲方安全职责</w:t>
      </w:r>
      <w:r/>
    </w:p>
    <w:p>
      <w:pPr>
        <w:ind w:firstLine="420"/>
        <w:jc w:val="both"/>
        <w:spacing w:line="360" w:lineRule="auto"/>
        <w:rPr>
          <w:rFonts w:cs="Times New Roman"/>
          <w:color w:val="000000"/>
          <w:sz w:val="21"/>
          <w:lang w:val="en-US" w:bidi="ar-SA"/>
        </w:rPr>
      </w:pPr>
      <w:r>
        <w:rPr>
          <w:rFonts w:hint="eastAsia" w:cs="Times New Roman"/>
          <w:color w:val="000000"/>
          <w:sz w:val="21"/>
          <w:szCs w:val="21"/>
          <w:lang w:val="en-US" w:bidi="ar-SA"/>
        </w:rPr>
        <w:t xml:space="preserve">1.</w:t>
      </w:r>
      <w:r>
        <w:rPr>
          <w:rFonts w:hint="eastAsia" w:cs="Times New Roman"/>
          <w:color w:val="000000"/>
          <w:sz w:val="21"/>
          <w:szCs w:val="21"/>
          <w:lang w:val="en-US" w:bidi="ar-SA"/>
        </w:rPr>
        <w:tab/>
      </w:r>
      <w:r>
        <w:rPr>
          <w:rFonts w:hint="eastAsia" w:cs="Times New Roman"/>
          <w:color w:val="000000"/>
          <w:sz w:val="21"/>
          <w:szCs w:val="21"/>
          <w:lang w:val="en-US" w:bidi="ar-SA"/>
        </w:rPr>
        <w:t xml:space="preserve">向乙方提供有关安全文明施工的规章和有关规定。</w:t>
      </w:r>
      <w:r/>
    </w:p>
    <w:p>
      <w:pPr>
        <w:ind w:firstLine="420"/>
        <w:jc w:val="both"/>
        <w:spacing w:line="360" w:lineRule="auto"/>
        <w:rPr>
          <w:rFonts w:cs="Times New Roman"/>
          <w:color w:val="000000"/>
          <w:sz w:val="21"/>
          <w:lang w:val="en-US" w:bidi="ar-SA"/>
        </w:rPr>
      </w:pPr>
      <w:r>
        <w:rPr>
          <w:rFonts w:hint="eastAsia" w:cs="Times New Roman"/>
          <w:color w:val="000000"/>
          <w:sz w:val="21"/>
          <w:szCs w:val="21"/>
          <w:lang w:val="en-US" w:bidi="ar-SA"/>
        </w:rPr>
        <w:t xml:space="preserve">2.</w:t>
      </w:r>
      <w:r>
        <w:rPr>
          <w:rFonts w:hint="eastAsia" w:cs="Times New Roman"/>
          <w:color w:val="000000"/>
          <w:sz w:val="21"/>
          <w:szCs w:val="21"/>
          <w:lang w:val="en-US" w:bidi="ar-SA"/>
        </w:rPr>
        <w:tab/>
      </w:r>
      <w:r>
        <w:rPr>
          <w:rFonts w:hint="eastAsia" w:cs="Times New Roman"/>
          <w:color w:val="000000"/>
          <w:sz w:val="21"/>
          <w:szCs w:val="21"/>
          <w:lang w:val="en-US" w:bidi="ar-SA"/>
        </w:rPr>
        <w:t xml:space="preserve">审查乙方的安全施工资质。</w:t>
      </w:r>
      <w:r/>
    </w:p>
    <w:p>
      <w:pPr>
        <w:ind w:firstLine="420"/>
        <w:jc w:val="both"/>
        <w:spacing w:line="360" w:lineRule="auto"/>
        <w:rPr>
          <w:rFonts w:cs="Times New Roman"/>
          <w:color w:val="000000"/>
          <w:sz w:val="21"/>
          <w:lang w:val="en-US" w:bidi="ar-SA"/>
        </w:rPr>
      </w:pPr>
      <w:r>
        <w:rPr>
          <w:rFonts w:hint="eastAsia" w:cs="Times New Roman"/>
          <w:color w:val="000000"/>
          <w:sz w:val="21"/>
          <w:szCs w:val="21"/>
          <w:lang w:val="en-US" w:bidi="ar-SA"/>
        </w:rPr>
        <w:t xml:space="preserve">3.</w:t>
      </w:r>
      <w:r>
        <w:rPr>
          <w:rFonts w:hint="eastAsia" w:cs="Times New Roman"/>
          <w:color w:val="000000"/>
          <w:sz w:val="21"/>
          <w:szCs w:val="21"/>
          <w:lang w:val="en-US" w:bidi="ar-SA"/>
        </w:rPr>
        <w:tab/>
      </w:r>
      <w:r>
        <w:rPr>
          <w:rFonts w:hint="eastAsia" w:cs="Times New Roman"/>
          <w:color w:val="000000"/>
          <w:sz w:val="21"/>
          <w:szCs w:val="21"/>
          <w:lang w:val="en-US" w:bidi="ar-SA"/>
        </w:rPr>
        <w:t xml:space="preserve">协调乙方在交叉施工安全中存在的问题。</w:t>
      </w:r>
      <w:r/>
    </w:p>
    <w:p>
      <w:pPr>
        <w:ind w:firstLine="420"/>
        <w:jc w:val="both"/>
        <w:spacing w:line="360" w:lineRule="auto"/>
        <w:rPr>
          <w:rFonts w:cs="Times New Roman"/>
          <w:color w:val="000000"/>
          <w:sz w:val="21"/>
          <w:lang w:val="en-US" w:bidi="ar-SA"/>
        </w:rPr>
      </w:pPr>
      <w:r>
        <w:rPr>
          <w:rFonts w:hint="eastAsia" w:cs="Times New Roman"/>
          <w:color w:val="000000"/>
          <w:sz w:val="21"/>
          <w:szCs w:val="21"/>
          <w:lang w:val="en-US" w:bidi="ar-SA"/>
        </w:rPr>
        <w:t xml:space="preserve">4.</w:t>
      </w:r>
      <w:r>
        <w:rPr>
          <w:rFonts w:hint="eastAsia" w:cs="Times New Roman"/>
          <w:color w:val="000000"/>
          <w:sz w:val="21"/>
          <w:szCs w:val="21"/>
          <w:lang w:val="en-US" w:bidi="ar-SA"/>
        </w:rPr>
        <w:tab/>
      </w:r>
      <w:r>
        <w:rPr>
          <w:rFonts w:hint="eastAsia" w:cs="Times New Roman"/>
          <w:color w:val="000000"/>
          <w:sz w:val="21"/>
          <w:szCs w:val="21"/>
          <w:lang w:val="en-US" w:bidi="ar-SA"/>
        </w:rPr>
        <w:t xml:space="preserve">负责审查乙方编制的安全技术措施。</w:t>
      </w:r>
      <w:r/>
    </w:p>
    <w:p>
      <w:pPr>
        <w:ind w:firstLine="420"/>
        <w:jc w:val="both"/>
        <w:spacing w:line="360" w:lineRule="auto"/>
        <w:rPr>
          <w:rFonts w:cs="Times New Roman"/>
          <w:color w:val="000000"/>
          <w:sz w:val="21"/>
          <w:lang w:val="en-US" w:bidi="ar-SA"/>
        </w:rPr>
      </w:pPr>
      <w:r>
        <w:rPr>
          <w:rFonts w:hint="eastAsia" w:cs="Times New Roman"/>
          <w:color w:val="000000"/>
          <w:sz w:val="21"/>
          <w:szCs w:val="21"/>
          <w:lang w:val="en-US" w:bidi="ar-SA"/>
        </w:rPr>
        <w:t xml:space="preserve">5.</w:t>
      </w:r>
      <w:r>
        <w:rPr>
          <w:rFonts w:hint="eastAsia" w:cs="Times New Roman"/>
          <w:color w:val="000000"/>
          <w:sz w:val="21"/>
          <w:szCs w:val="21"/>
          <w:lang w:val="en-US" w:bidi="ar-SA"/>
        </w:rPr>
        <w:tab/>
      </w:r>
      <w:r>
        <w:rPr>
          <w:rFonts w:hint="eastAsia" w:cs="Times New Roman"/>
          <w:color w:val="000000"/>
          <w:sz w:val="21"/>
          <w:szCs w:val="21"/>
          <w:lang w:val="en-US" w:bidi="ar-SA"/>
        </w:rPr>
        <w:t xml:space="preserve">负责对乙方进行安全监督、检查和指导，对事故隐患提出限期整改意见，对乙方“三违（违章指挥、违章作业、违反劳动纪律）”等行为及不服从甲方安全管理的、管理混乱、事故不断的提出警告、违约金、停工、直至解除合同等处理。</w:t>
      </w:r>
      <w:r/>
    </w:p>
    <w:p>
      <w:pPr>
        <w:ind w:firstLine="420"/>
        <w:jc w:val="both"/>
        <w:spacing w:line="360" w:lineRule="auto"/>
        <w:rPr>
          <w:rFonts w:cs="Times New Roman"/>
          <w:color w:val="000000"/>
          <w:sz w:val="21"/>
          <w:lang w:val="en-US" w:bidi="ar-SA"/>
        </w:rPr>
      </w:pPr>
      <w:r>
        <w:rPr>
          <w:rFonts w:hint="eastAsia" w:cs="Times New Roman"/>
          <w:color w:val="000000"/>
          <w:sz w:val="21"/>
          <w:szCs w:val="21"/>
          <w:lang w:val="en-US" w:bidi="ar-SA"/>
        </w:rPr>
        <w:t xml:space="preserve">6.</w:t>
      </w:r>
      <w:r>
        <w:rPr>
          <w:rFonts w:hint="eastAsia" w:cs="Times New Roman"/>
          <w:color w:val="000000"/>
          <w:sz w:val="21"/>
          <w:szCs w:val="21"/>
          <w:lang w:val="en-US" w:bidi="ar-SA"/>
        </w:rPr>
        <w:tab/>
      </w:r>
      <w:r>
        <w:rPr>
          <w:rFonts w:hint="eastAsia" w:cs="Times New Roman"/>
          <w:color w:val="000000"/>
          <w:sz w:val="21"/>
          <w:szCs w:val="21"/>
          <w:lang w:val="en-US" w:bidi="ar-SA"/>
        </w:rPr>
        <w:t xml:space="preserve">组织乙方参加甲方的安全活动。</w:t>
      </w:r>
      <w:r/>
    </w:p>
    <w:p>
      <w:pPr>
        <w:ind w:firstLine="420"/>
        <w:jc w:val="both"/>
        <w:spacing w:line="360" w:lineRule="auto"/>
        <w:rPr>
          <w:rFonts w:cs="Times New Roman"/>
          <w:color w:val="000000"/>
          <w:sz w:val="21"/>
          <w:lang w:val="en-US" w:bidi="ar-SA"/>
        </w:rPr>
      </w:pPr>
      <w:r>
        <w:rPr>
          <w:rFonts w:hint="eastAsia" w:cs="Times New Roman"/>
          <w:color w:val="000000"/>
          <w:sz w:val="21"/>
          <w:szCs w:val="21"/>
          <w:lang w:val="en-US" w:bidi="ar-SA"/>
        </w:rPr>
        <w:t xml:space="preserve">7.</w:t>
      </w:r>
      <w:r>
        <w:rPr>
          <w:rFonts w:hint="eastAsia" w:cs="Times New Roman"/>
          <w:color w:val="000000"/>
          <w:sz w:val="21"/>
          <w:szCs w:val="21"/>
          <w:lang w:val="en-US" w:bidi="ar-SA"/>
        </w:rPr>
        <w:tab/>
      </w:r>
      <w:r>
        <w:rPr>
          <w:rFonts w:hint="eastAsia" w:cs="Times New Roman"/>
          <w:color w:val="000000"/>
          <w:sz w:val="21"/>
          <w:szCs w:val="21"/>
          <w:lang w:val="en-US" w:bidi="ar-SA"/>
        </w:rPr>
        <w:t xml:space="preserve">协调处理乙方与甲方的其他分包单位在交叉施工中发生的事故。</w:t>
      </w:r>
      <w:r/>
    </w:p>
    <w:p>
      <w:pPr>
        <w:ind w:firstLine="420"/>
        <w:jc w:val="both"/>
        <w:spacing w:line="360" w:lineRule="auto"/>
        <w:rPr>
          <w:rFonts w:cs="Times New Roman"/>
          <w:color w:val="000000"/>
          <w:sz w:val="21"/>
          <w:lang w:val="en-US" w:bidi="ar-SA"/>
        </w:rPr>
      </w:pPr>
      <w:r>
        <w:rPr>
          <w:rFonts w:hint="eastAsia" w:cs="Times New Roman"/>
          <w:color w:val="000000"/>
          <w:sz w:val="21"/>
          <w:szCs w:val="21"/>
          <w:lang w:val="en-US" w:bidi="ar-SA"/>
        </w:rPr>
        <w:t xml:space="preserve">8.</w:t>
      </w:r>
      <w:r>
        <w:rPr>
          <w:rFonts w:hint="eastAsia" w:cs="Times New Roman"/>
          <w:color w:val="000000"/>
          <w:sz w:val="21"/>
          <w:szCs w:val="21"/>
          <w:lang w:val="en-US" w:bidi="ar-SA"/>
        </w:rPr>
        <w:tab/>
      </w:r>
      <w:r>
        <w:rPr>
          <w:rFonts w:hint="eastAsia" w:cs="Times New Roman"/>
          <w:color w:val="000000"/>
          <w:sz w:val="21"/>
          <w:szCs w:val="21"/>
          <w:lang w:val="en-US" w:bidi="ar-SA"/>
        </w:rPr>
        <w:t xml:space="preserve">甲方有权拒绝超龄人员、童工及未成年工、素质低下等人员进入作业现场。甲方有权不定期对乙方人员进行抽查，对未经审查、培训进入的人员将处 100 元/人的违约金。</w:t>
      </w:r>
      <w:r/>
    </w:p>
    <w:p>
      <w:pPr>
        <w:ind w:firstLine="420"/>
        <w:jc w:val="both"/>
        <w:spacing w:line="360" w:lineRule="auto"/>
        <w:rPr>
          <w:rFonts w:cs="Times New Roman"/>
          <w:color w:val="000000"/>
          <w:sz w:val="21"/>
          <w:lang w:val="en-US" w:bidi="ar-SA"/>
        </w:rPr>
      </w:pPr>
      <w:r>
        <w:rPr>
          <w:rFonts w:hint="eastAsia" w:cs="Times New Roman"/>
          <w:color w:val="000000"/>
          <w:sz w:val="21"/>
          <w:szCs w:val="21"/>
          <w:lang w:val="en-US" w:bidi="ar-SA"/>
        </w:rPr>
        <w:t xml:space="preserve">9.</w:t>
      </w:r>
      <w:r>
        <w:rPr>
          <w:rFonts w:hint="eastAsia" w:cs="Times New Roman"/>
          <w:color w:val="000000"/>
          <w:sz w:val="21"/>
          <w:szCs w:val="21"/>
          <w:lang w:val="en-US" w:bidi="ar-SA"/>
        </w:rPr>
        <w:tab/>
      </w:r>
      <w:r>
        <w:rPr>
          <w:rFonts w:hint="eastAsia" w:cs="Times New Roman"/>
          <w:color w:val="000000"/>
          <w:sz w:val="21"/>
          <w:szCs w:val="21"/>
          <w:lang w:val="en-US" w:bidi="ar-SA"/>
        </w:rPr>
        <w:t xml:space="preserve">甲方有权对乙方项目经理、专兼职安全人员的资格证书及履行安全生产职责情况进行检查，对不履行职责人员有权提出警告直至驱逐出现场。</w:t>
      </w:r>
      <w:r/>
    </w:p>
    <w:p>
      <w:pPr>
        <w:ind w:firstLine="420"/>
        <w:jc w:val="both"/>
        <w:spacing w:line="360" w:lineRule="auto"/>
        <w:rPr>
          <w:rFonts w:cs="Times New Roman"/>
          <w:color w:val="000000"/>
          <w:sz w:val="21"/>
          <w:lang w:val="en-US" w:bidi="ar-SA"/>
        </w:rPr>
      </w:pPr>
      <w:r>
        <w:rPr>
          <w:rFonts w:hint="eastAsia" w:cs="Times New Roman"/>
          <w:color w:val="000000"/>
          <w:sz w:val="21"/>
          <w:szCs w:val="21"/>
          <w:lang w:val="en-US" w:bidi="ar-SA"/>
        </w:rPr>
        <w:t xml:space="preserve">10.乙方发生重复性人员违章、拒绝安全文明施工设施投入以及乙方发生各类事故后，甲方有权扣除乙方的安全保证金、违约金直至将乙方清退出场。</w:t>
      </w:r>
      <w:r/>
    </w:p>
    <w:p>
      <w:pPr>
        <w:ind w:firstLine="420"/>
        <w:jc w:val="both"/>
        <w:spacing w:line="360" w:lineRule="auto"/>
        <w:rPr>
          <w:rFonts w:cs="Times New Roman"/>
          <w:color w:val="000000"/>
          <w:sz w:val="21"/>
          <w:lang w:val="en-US" w:bidi="ar-SA"/>
        </w:rPr>
      </w:pPr>
      <w:r>
        <w:rPr>
          <w:rFonts w:hint="eastAsia" w:cs="Times New Roman"/>
          <w:color w:val="000000"/>
          <w:sz w:val="21"/>
          <w:szCs w:val="21"/>
          <w:lang w:val="en-US" w:bidi="ar-SA"/>
        </w:rPr>
        <w:t xml:space="preserve">四、乙方安全职责</w:t>
      </w:r>
      <w:r/>
    </w:p>
    <w:p>
      <w:pPr>
        <w:ind w:firstLine="420"/>
        <w:jc w:val="both"/>
        <w:spacing w:line="360" w:lineRule="auto"/>
        <w:rPr>
          <w:rFonts w:cs="Times New Roman"/>
          <w:color w:val="000000"/>
          <w:sz w:val="21"/>
          <w:lang w:val="en-US" w:bidi="ar-SA"/>
        </w:rPr>
      </w:pPr>
      <w:r>
        <w:rPr>
          <w:rFonts w:hint="eastAsia" w:cs="Times New Roman"/>
          <w:color w:val="000000"/>
          <w:sz w:val="21"/>
          <w:szCs w:val="21"/>
          <w:lang w:val="en-US" w:bidi="ar-SA"/>
        </w:rPr>
        <w:t xml:space="preserve">1.</w:t>
      </w:r>
      <w:r>
        <w:rPr>
          <w:rFonts w:hint="eastAsia" w:cs="Times New Roman"/>
          <w:color w:val="000000"/>
          <w:sz w:val="21"/>
          <w:szCs w:val="21"/>
          <w:lang w:val="en-US" w:bidi="ar-SA"/>
        </w:rPr>
        <w:tab/>
      </w:r>
      <w:r>
        <w:rPr>
          <w:rFonts w:hint="eastAsia" w:cs="Times New Roman"/>
          <w:color w:val="000000"/>
          <w:sz w:val="21"/>
          <w:szCs w:val="21"/>
          <w:lang w:val="en-US" w:bidi="ar-SA"/>
        </w:rPr>
        <w:t xml:space="preserve">认真贯彻执行国家有关安全生产的方针、政策、规定等，遵守和执行甲方制定的有关安全文明施工规章制度。接受甲方的监督、检查、指导，但并不因此减轻乙方的责任。</w:t>
      </w:r>
      <w:r/>
    </w:p>
    <w:p>
      <w:pPr>
        <w:ind w:firstLine="420"/>
        <w:jc w:val="both"/>
        <w:spacing w:line="360" w:lineRule="auto"/>
        <w:rPr>
          <w:rFonts w:cs="Times New Roman"/>
          <w:color w:val="000000"/>
          <w:sz w:val="21"/>
          <w:lang w:val="en-US" w:bidi="ar-SA"/>
        </w:rPr>
      </w:pPr>
      <w:r>
        <w:rPr>
          <w:rFonts w:hint="eastAsia" w:cs="Times New Roman"/>
          <w:color w:val="000000"/>
          <w:sz w:val="21"/>
          <w:szCs w:val="21"/>
          <w:lang w:val="en-US" w:bidi="ar-SA"/>
        </w:rPr>
        <w:t xml:space="preserve">2.</w:t>
      </w:r>
      <w:r>
        <w:rPr>
          <w:rFonts w:hint="eastAsia" w:cs="Times New Roman"/>
          <w:color w:val="000000"/>
          <w:sz w:val="21"/>
          <w:szCs w:val="21"/>
          <w:lang w:val="en-US" w:bidi="ar-SA"/>
        </w:rPr>
        <w:tab/>
      </w:r>
      <w:r>
        <w:rPr>
          <w:rFonts w:hint="eastAsia" w:cs="Times New Roman"/>
          <w:color w:val="000000"/>
          <w:sz w:val="21"/>
          <w:szCs w:val="21"/>
          <w:lang w:val="en-US" w:bidi="ar-SA"/>
        </w:rPr>
        <w:t xml:space="preserve">在与甲方签订工程项目合同前，必须经甲方安全资格审查合格后，方可承包工程。</w:t>
      </w:r>
      <w:r/>
    </w:p>
    <w:p>
      <w:pPr>
        <w:ind w:firstLine="420"/>
        <w:jc w:val="both"/>
        <w:spacing w:line="360" w:lineRule="auto"/>
        <w:rPr>
          <w:rFonts w:cs="Times New Roman"/>
          <w:color w:val="000000"/>
          <w:sz w:val="21"/>
          <w:lang w:val="en-US" w:bidi="ar-SA"/>
        </w:rPr>
      </w:pPr>
      <w:r>
        <w:rPr>
          <w:rFonts w:hint="eastAsia" w:cs="Times New Roman"/>
          <w:color w:val="000000"/>
          <w:sz w:val="21"/>
          <w:szCs w:val="21"/>
          <w:lang w:val="en-US" w:bidi="ar-SA"/>
        </w:rPr>
        <w:t xml:space="preserve">3.</w:t>
      </w:r>
      <w:r>
        <w:rPr>
          <w:rFonts w:hint="eastAsia" w:cs="Times New Roman"/>
          <w:color w:val="000000"/>
          <w:sz w:val="21"/>
          <w:szCs w:val="21"/>
          <w:lang w:val="en-US" w:bidi="ar-SA"/>
        </w:rPr>
        <w:tab/>
      </w:r>
      <w:r>
        <w:rPr>
          <w:rFonts w:hint="eastAsia" w:cs="Times New Roman"/>
          <w:color w:val="000000"/>
          <w:sz w:val="21"/>
          <w:szCs w:val="21"/>
          <w:lang w:val="en-US" w:bidi="ar-SA"/>
        </w:rPr>
        <w:t xml:space="preserve">乙方签订合同后必须在施工前对所承包的施工项目编制安全施工技术措施，并经甲方审查合格后方可施工。</w:t>
      </w:r>
      <w:r/>
    </w:p>
    <w:p>
      <w:pPr>
        <w:ind w:firstLine="420"/>
        <w:jc w:val="both"/>
        <w:spacing w:line="360" w:lineRule="auto"/>
        <w:rPr>
          <w:rFonts w:cs="Times New Roman"/>
          <w:color w:val="000000"/>
          <w:sz w:val="21"/>
          <w:lang w:val="en-US" w:bidi="ar-SA"/>
        </w:rPr>
      </w:pPr>
      <w:r>
        <w:rPr>
          <w:rFonts w:hint="eastAsia" w:cs="Times New Roman"/>
          <w:color w:val="000000"/>
          <w:sz w:val="21"/>
          <w:szCs w:val="21"/>
          <w:lang w:val="en-US" w:bidi="ar-SA"/>
        </w:rPr>
        <w:t xml:space="preserve">4.</w:t>
      </w:r>
      <w:r>
        <w:rPr>
          <w:rFonts w:hint="eastAsia" w:cs="Times New Roman"/>
          <w:color w:val="000000"/>
          <w:sz w:val="21"/>
          <w:szCs w:val="21"/>
          <w:lang w:val="en-US" w:bidi="ar-SA"/>
        </w:rPr>
        <w:tab/>
      </w:r>
      <w:r>
        <w:rPr>
          <w:rFonts w:hint="eastAsia" w:cs="Times New Roman"/>
          <w:color w:val="000000"/>
          <w:sz w:val="21"/>
          <w:szCs w:val="21"/>
          <w:lang w:val="en-US" w:bidi="ar-SA"/>
        </w:rPr>
        <w:t xml:space="preserve">30人以上的必须配有专职安全员，30人以下的可设兼职安全员并能满足现场管理要求。若乙方安全管理差，应增加安全管理人数，直至现场安全文明施工管理能够到位，现场管理必须实施全过程管理，无论何时只要有人，施工现场必须有安全管理人员在现场监督。</w:t>
      </w:r>
      <w:r/>
    </w:p>
    <w:p>
      <w:pPr>
        <w:ind w:firstLine="420"/>
        <w:jc w:val="both"/>
        <w:spacing w:line="360" w:lineRule="auto"/>
        <w:rPr>
          <w:rFonts w:cs="Times New Roman"/>
          <w:color w:val="000000"/>
          <w:sz w:val="21"/>
          <w:lang w:val="en-US" w:bidi="ar-SA"/>
        </w:rPr>
      </w:pPr>
      <w:r>
        <w:rPr>
          <w:rFonts w:hint="eastAsia" w:cs="Times New Roman"/>
          <w:color w:val="000000"/>
          <w:sz w:val="21"/>
          <w:szCs w:val="21"/>
          <w:lang w:val="en-US" w:bidi="ar-SA"/>
        </w:rPr>
        <w:t xml:space="preserve">5.</w:t>
      </w:r>
      <w:r>
        <w:rPr>
          <w:rFonts w:hint="eastAsia" w:cs="Times New Roman"/>
          <w:color w:val="000000"/>
          <w:sz w:val="21"/>
          <w:szCs w:val="21"/>
          <w:lang w:val="en-US" w:bidi="ar-SA"/>
        </w:rPr>
        <w:tab/>
      </w:r>
      <w:r>
        <w:rPr>
          <w:rFonts w:hint="eastAsia" w:cs="Times New Roman"/>
          <w:color w:val="000000"/>
          <w:sz w:val="21"/>
          <w:szCs w:val="21"/>
          <w:lang w:val="en-US" w:bidi="ar-SA"/>
        </w:rPr>
        <w:t xml:space="preserve">乙方在开工前，必须对本单位参加工程建设的全体人员进行安全教育，内容包括本附件，并进行安全考试和体检，受教育人员名单和考试成绩、体检情况送甲方备案。（也可委托甲方进行安全教育，费用自理）经甲方抽考（查）合格后方可允许进入现场施工。补增人员或调换工种时，及时到甲方办理手续。</w:t>
      </w:r>
      <w:r/>
    </w:p>
    <w:p>
      <w:pPr>
        <w:ind w:firstLine="420"/>
        <w:jc w:val="both"/>
        <w:spacing w:line="360" w:lineRule="auto"/>
        <w:rPr>
          <w:rFonts w:cs="Times New Roman"/>
          <w:color w:val="000000"/>
          <w:sz w:val="21"/>
          <w:lang w:val="en-US" w:bidi="ar-SA"/>
        </w:rPr>
      </w:pPr>
      <w:r>
        <w:rPr>
          <w:rFonts w:hint="eastAsia" w:cs="Times New Roman"/>
          <w:color w:val="000000"/>
          <w:sz w:val="21"/>
          <w:szCs w:val="21"/>
          <w:lang w:val="en-US" w:bidi="ar-SA"/>
        </w:rPr>
        <w:t xml:space="preserve">6.</w:t>
      </w:r>
      <w:r>
        <w:rPr>
          <w:rFonts w:hint="eastAsia" w:cs="Times New Roman"/>
          <w:color w:val="000000"/>
          <w:sz w:val="21"/>
          <w:szCs w:val="21"/>
          <w:lang w:val="en-US" w:bidi="ar-SA"/>
        </w:rPr>
        <w:tab/>
      </w:r>
      <w:r>
        <w:rPr>
          <w:rFonts w:hint="eastAsia" w:cs="Times New Roman"/>
          <w:color w:val="000000"/>
          <w:sz w:val="21"/>
          <w:szCs w:val="21"/>
          <w:lang w:val="en-US" w:bidi="ar-SA"/>
        </w:rPr>
        <w:t xml:space="preserve">乙方应每周组织本单位人员进行安全活动，每月组织安全检查，及时纠正和处理“三违”。在每个项目施工前，乙方必须对施工人员进行安全施工技术措施交底，确保安全施工。</w:t>
      </w:r>
      <w:r/>
    </w:p>
    <w:p>
      <w:pPr>
        <w:ind w:firstLine="420"/>
        <w:jc w:val="both"/>
        <w:spacing w:line="360" w:lineRule="auto"/>
        <w:rPr>
          <w:rFonts w:cs="Times New Roman"/>
          <w:color w:val="000000"/>
          <w:sz w:val="21"/>
          <w:lang w:val="en-US" w:bidi="ar-SA"/>
        </w:rPr>
      </w:pPr>
      <w:r>
        <w:rPr>
          <w:rFonts w:hint="eastAsia" w:cs="Times New Roman"/>
          <w:color w:val="000000"/>
          <w:sz w:val="21"/>
          <w:szCs w:val="21"/>
          <w:lang w:val="en-US" w:bidi="ar-SA"/>
        </w:rPr>
        <w:t xml:space="preserve">7.</w:t>
      </w:r>
      <w:r>
        <w:rPr>
          <w:rFonts w:hint="eastAsia" w:cs="Times New Roman"/>
          <w:color w:val="000000"/>
          <w:sz w:val="21"/>
          <w:szCs w:val="21"/>
          <w:lang w:val="en-US" w:bidi="ar-SA"/>
        </w:rPr>
        <w:tab/>
      </w:r>
      <w:r>
        <w:rPr>
          <w:rFonts w:hint="eastAsia" w:cs="Times New Roman"/>
          <w:color w:val="000000"/>
          <w:sz w:val="21"/>
          <w:szCs w:val="21"/>
          <w:lang w:val="en-US" w:bidi="ar-SA"/>
        </w:rPr>
        <w:t xml:space="preserve">乙方队伍中的特种作业人员，必须持证上岗，名单报甲方，并出示原始证件，复印件留存，严禁无证操作。</w:t>
      </w:r>
      <w:r/>
    </w:p>
    <w:p>
      <w:pPr>
        <w:ind w:firstLine="420"/>
        <w:jc w:val="both"/>
        <w:spacing w:line="360" w:lineRule="auto"/>
        <w:rPr>
          <w:rFonts w:cs="Times New Roman"/>
          <w:color w:val="000000"/>
          <w:sz w:val="21"/>
          <w:lang w:val="en-US" w:bidi="ar-SA"/>
        </w:rPr>
      </w:pPr>
      <w:r>
        <w:rPr>
          <w:rFonts w:hint="eastAsia" w:cs="Times New Roman"/>
          <w:color w:val="000000"/>
          <w:sz w:val="21"/>
          <w:szCs w:val="21"/>
          <w:lang w:val="en-US" w:bidi="ar-SA"/>
        </w:rPr>
        <w:t xml:space="preserve">8.</w:t>
      </w:r>
      <w:r>
        <w:rPr>
          <w:rFonts w:hint="eastAsia" w:cs="Times New Roman"/>
          <w:color w:val="000000"/>
          <w:sz w:val="21"/>
          <w:szCs w:val="21"/>
          <w:lang w:val="en-US" w:bidi="ar-SA"/>
        </w:rPr>
        <w:tab/>
      </w:r>
      <w:r>
        <w:rPr>
          <w:rFonts w:hint="eastAsia" w:cs="Times New Roman"/>
          <w:color w:val="000000"/>
          <w:sz w:val="21"/>
          <w:szCs w:val="21"/>
          <w:lang w:val="en-US" w:bidi="ar-SA"/>
        </w:rPr>
        <w:t xml:space="preserve">乙方必须为所属施工人员配备符合国家标准的劳动防护用品（安全帽、工作服由甲方统一配置，费用由乙方承担）、用具、工器具，并符合安全使用要求，接受甲方的抽查。管理人员不按规定佩戴安全防护用品每次违约金50元，工人不按规定佩戴安全防护用品每次违约金50元，以现金形式处罚。</w:t>
      </w:r>
      <w:r/>
    </w:p>
    <w:p>
      <w:pPr>
        <w:ind w:firstLine="420"/>
        <w:jc w:val="both"/>
        <w:spacing w:line="360" w:lineRule="auto"/>
        <w:rPr>
          <w:rFonts w:cs="Times New Roman"/>
          <w:color w:val="000000"/>
          <w:sz w:val="21"/>
          <w:lang w:val="en-US" w:bidi="ar-SA"/>
        </w:rPr>
      </w:pPr>
      <w:r>
        <w:rPr>
          <w:rFonts w:hint="eastAsia" w:cs="Times New Roman"/>
          <w:color w:val="000000"/>
          <w:sz w:val="21"/>
          <w:szCs w:val="21"/>
          <w:lang w:val="en-US" w:bidi="ar-SA"/>
        </w:rPr>
        <w:t xml:space="preserve">9.</w:t>
      </w:r>
      <w:r>
        <w:rPr>
          <w:rFonts w:hint="eastAsia" w:cs="Times New Roman"/>
          <w:color w:val="000000"/>
          <w:sz w:val="21"/>
          <w:szCs w:val="21"/>
          <w:lang w:val="en-US" w:bidi="ar-SA"/>
        </w:rPr>
        <w:tab/>
      </w:r>
      <w:r>
        <w:rPr>
          <w:rFonts w:hint="eastAsia" w:cs="Times New Roman"/>
          <w:color w:val="000000"/>
          <w:sz w:val="21"/>
          <w:szCs w:val="21"/>
          <w:lang w:val="en-US" w:bidi="ar-SA"/>
        </w:rPr>
        <w:t xml:space="preserve">乙方携带的施工机械必须做到安全防护装置完好，符合安全使用要求，对其中的起重机械、压力容器等特种设备必须出示有关产品合格证、国家有关部门的检测资料等。起重机械在安装前，自行向当地有关部门办理申报手续和申请检测，合格后方可投入使用。</w:t>
      </w:r>
      <w:r/>
    </w:p>
    <w:p>
      <w:pPr>
        <w:ind w:firstLine="420"/>
        <w:jc w:val="both"/>
        <w:spacing w:line="360" w:lineRule="auto"/>
        <w:rPr>
          <w:rFonts w:cs="Times New Roman"/>
          <w:color w:val="000000"/>
          <w:sz w:val="21"/>
          <w:lang w:val="en-US" w:bidi="ar-SA"/>
        </w:rPr>
      </w:pPr>
      <w:r>
        <w:rPr>
          <w:rFonts w:hint="eastAsia" w:cs="Times New Roman"/>
          <w:color w:val="000000"/>
          <w:sz w:val="21"/>
          <w:szCs w:val="21"/>
          <w:lang w:val="en-US" w:bidi="ar-SA"/>
        </w:rPr>
        <w:t xml:space="preserve">10.乙方在施工前必须对作业场所认真检查，做好安全防护工作。在施工过程中，形成的“四口、五临边”时必须及时设置牢固可靠的防护设施，并负责管理和维护。危险场所标志明显，有专人管理，施工机械、用电设施的安全装置必须齐全、有效。并做到按序施工、物料堆放整齐，工完料尽场地清、文明施工。</w:t>
      </w:r>
      <w:r/>
    </w:p>
    <w:p>
      <w:pPr>
        <w:ind w:firstLine="420"/>
        <w:jc w:val="both"/>
        <w:spacing w:line="360" w:lineRule="auto"/>
        <w:rPr>
          <w:rFonts w:cs="Times New Roman"/>
          <w:color w:val="000000"/>
          <w:sz w:val="21"/>
          <w:lang w:val="en-US" w:bidi="ar-SA"/>
        </w:rPr>
      </w:pPr>
      <w:r>
        <w:rPr>
          <w:rFonts w:hint="eastAsia" w:cs="Times New Roman"/>
          <w:color w:val="000000"/>
          <w:sz w:val="21"/>
          <w:szCs w:val="21"/>
          <w:lang w:val="en-US" w:bidi="ar-SA"/>
        </w:rPr>
        <w:t xml:space="preserve">11.乙方在施工中，未经甲方代表许可，不得擅自使用甲方的施工器材、设施、机械等，否则，由此而发生的事故，由乙方负责，交叉作业，有碍施工安全时，乙方有权提出协调，但应服从甲方的统一调度。</w:t>
      </w:r>
      <w:r/>
    </w:p>
    <w:p>
      <w:pPr>
        <w:ind w:firstLine="420"/>
        <w:jc w:val="both"/>
        <w:spacing w:line="360" w:lineRule="auto"/>
        <w:rPr>
          <w:rFonts w:cs="Times New Roman"/>
          <w:color w:val="000000"/>
          <w:sz w:val="21"/>
          <w:lang w:val="en-US" w:bidi="ar-SA"/>
        </w:rPr>
      </w:pPr>
      <w:r>
        <w:rPr>
          <w:rFonts w:hint="eastAsia" w:cs="Times New Roman"/>
          <w:color w:val="000000"/>
          <w:sz w:val="21"/>
          <w:szCs w:val="21"/>
          <w:lang w:val="en-US" w:bidi="ar-SA"/>
        </w:rPr>
        <w:t xml:space="preserve">12.乙方在施工中发生工伤事故，除立即报告隶属上级和劳动部门外，应及时通报甲方，并由乙方按“四不放过”原则进行调查、分析、统计、上报，送甲方备案，凡因乙方责任造成的人身、火灾、设备等事故，其经济损失，由乙方全部承担，并负责处理上报。如因多方责任，按责任分析承担相应的经济损失。</w:t>
      </w:r>
      <w:r/>
    </w:p>
    <w:p>
      <w:pPr>
        <w:ind w:firstLine="420"/>
        <w:jc w:val="both"/>
        <w:spacing w:line="360" w:lineRule="auto"/>
        <w:rPr>
          <w:rFonts w:cs="Times New Roman"/>
          <w:color w:val="000000"/>
          <w:sz w:val="21"/>
          <w:lang w:val="en-US" w:bidi="ar-SA"/>
        </w:rPr>
      </w:pPr>
      <w:r>
        <w:rPr>
          <w:rFonts w:hint="eastAsia" w:cs="Times New Roman"/>
          <w:color w:val="000000"/>
          <w:sz w:val="21"/>
          <w:szCs w:val="21"/>
          <w:lang w:val="en-US" w:bidi="ar-SA"/>
        </w:rPr>
        <w:t xml:space="preserve">13.乙方必须及时将进入现场的各类人员名单报甲方审核，负责组织新进场人员参加甲方的一、二级安全教育；乙方负责本单位人员的三级安全教育，并保留培训记录备查。</w:t>
      </w:r>
      <w:r/>
    </w:p>
    <w:p>
      <w:pPr>
        <w:ind w:firstLine="420"/>
        <w:jc w:val="both"/>
        <w:spacing w:line="360" w:lineRule="auto"/>
        <w:rPr>
          <w:rFonts w:cs="Times New Roman"/>
          <w:color w:val="000000"/>
          <w:sz w:val="21"/>
          <w:lang w:val="en-US" w:bidi="ar-SA"/>
        </w:rPr>
      </w:pPr>
      <w:r>
        <w:rPr>
          <w:rFonts w:hint="eastAsia" w:cs="Times New Roman"/>
          <w:color w:val="000000"/>
          <w:sz w:val="21"/>
          <w:szCs w:val="21"/>
          <w:lang w:val="en-US" w:bidi="ar-SA"/>
        </w:rPr>
        <w:t xml:space="preserve">14.乙方有权拒绝甲方安排的危及员工生命安全与健康的各项工作；对需甲方协调而甲方未及时协调解决危及员工安全健康的问题，可越级上告直至清除隐患。</w:t>
      </w:r>
      <w:r/>
    </w:p>
    <w:p>
      <w:pPr>
        <w:ind w:firstLine="420"/>
        <w:jc w:val="both"/>
        <w:spacing w:line="360" w:lineRule="auto"/>
        <w:rPr>
          <w:rFonts w:cs="Times New Roman"/>
          <w:color w:val="000000"/>
          <w:sz w:val="21"/>
          <w:lang w:val="en-US" w:bidi="ar-SA"/>
        </w:rPr>
      </w:pPr>
      <w:r>
        <w:rPr>
          <w:rFonts w:hint="eastAsia" w:cs="Times New Roman"/>
          <w:color w:val="000000"/>
          <w:sz w:val="21"/>
          <w:szCs w:val="21"/>
          <w:lang w:val="en-US" w:bidi="ar-SA"/>
        </w:rPr>
        <w:t xml:space="preserve">15.乙方有义务执行甲方的各类安全管理规章制度，并组织本单位员工进行培训、学习。</w:t>
      </w:r>
      <w:r/>
    </w:p>
    <w:p>
      <w:pPr>
        <w:ind w:firstLine="420"/>
        <w:jc w:val="both"/>
        <w:spacing w:line="360" w:lineRule="auto"/>
        <w:rPr>
          <w:rFonts w:cs="Times New Roman"/>
          <w:color w:val="000000"/>
          <w:sz w:val="21"/>
          <w:lang w:val="en-US" w:bidi="ar-SA"/>
        </w:rPr>
      </w:pPr>
      <w:r>
        <w:rPr>
          <w:rFonts w:hint="eastAsia" w:cs="Times New Roman"/>
          <w:color w:val="000000"/>
          <w:sz w:val="21"/>
          <w:szCs w:val="21"/>
          <w:lang w:val="en-US" w:bidi="ar-SA"/>
        </w:rPr>
        <w:t xml:space="preserve">16.乙方有义务将施工生产过程中的各类危险以书面形式告知本单位员工；有义务投入安全经费、改善作业环境、并消除或控制各类危险；督促本单位员工作好事故防范工作。</w:t>
      </w:r>
      <w:r/>
    </w:p>
    <w:p>
      <w:pPr>
        <w:ind w:firstLine="420"/>
        <w:jc w:val="both"/>
        <w:spacing w:line="360" w:lineRule="auto"/>
        <w:rPr>
          <w:rFonts w:cs="Times New Roman"/>
          <w:color w:val="000000"/>
          <w:sz w:val="21"/>
          <w:lang w:val="en-US" w:bidi="ar-SA"/>
        </w:rPr>
      </w:pPr>
      <w:r>
        <w:rPr>
          <w:rFonts w:cs="Times New Roman"/>
          <w:color w:val="000000"/>
          <w:sz w:val="21"/>
          <w:lang w:val="en-US" w:bidi="ar-SA"/>
        </w:rPr>
      </w:r>
      <w:r/>
    </w:p>
    <w:p>
      <w:pPr>
        <w:ind w:firstLine="420"/>
        <w:jc w:val="both"/>
        <w:spacing w:line="360" w:lineRule="auto"/>
        <w:rPr>
          <w:rFonts w:cs="Times New Roman"/>
          <w:color w:val="000000"/>
          <w:sz w:val="21"/>
          <w:lang w:val="en-US" w:bidi="ar-SA"/>
        </w:rPr>
      </w:pPr>
      <w:r>
        <w:rPr>
          <w:rFonts w:hint="eastAsia" w:cs="Times New Roman"/>
          <w:color w:val="000000"/>
          <w:sz w:val="21"/>
          <w:lang w:val="en-US" w:bidi="ar-SA"/>
        </w:rPr>
        <w:t xml:space="preserve">（以下无正文）</w:t>
      </w:r>
      <w:r/>
    </w:p>
    <w:p>
      <w:pPr>
        <w:ind w:firstLine="420"/>
        <w:jc w:val="both"/>
        <w:spacing w:line="360" w:lineRule="auto"/>
        <w:rPr>
          <w:rFonts w:cs="Times New Roman"/>
          <w:color w:val="000000"/>
          <w:sz w:val="21"/>
          <w:lang w:val="en-US" w:bidi="ar-SA"/>
        </w:rPr>
      </w:pPr>
      <w:r>
        <w:rPr>
          <w:rFonts w:cs="Times New Roman"/>
          <w:color w:val="000000"/>
          <w:sz w:val="21"/>
          <w:lang w:val="en-US" w:bidi="ar-SA"/>
        </w:rPr>
      </w:r>
      <w:r/>
    </w:p>
    <w:p>
      <w:pPr>
        <w:ind w:firstLine="420"/>
        <w:jc w:val="both"/>
        <w:spacing w:line="360" w:lineRule="auto"/>
        <w:rPr>
          <w:rFonts w:cs="Times New Roman"/>
          <w:color w:val="000000"/>
          <w:sz w:val="21"/>
          <w:lang w:val="en-US" w:bidi="ar-SA"/>
        </w:rPr>
      </w:pPr>
      <w:r>
        <w:rPr>
          <w:rFonts w:hint="eastAsia" w:cs="Times New Roman"/>
          <w:color w:val="000000"/>
          <w:sz w:val="21"/>
          <w:szCs w:val="21"/>
          <w:lang w:val="en-US" w:bidi="ar-SA"/>
        </w:rPr>
        <w:t xml:space="preserve">甲方（盖章）                              乙方（盖章）</w:t>
      </w:r>
      <w:r/>
    </w:p>
    <w:p>
      <w:pPr>
        <w:ind w:firstLine="420"/>
        <w:jc w:val="both"/>
        <w:spacing w:line="360" w:lineRule="auto"/>
        <w:rPr>
          <w:rFonts w:cs="Times New Roman"/>
          <w:color w:val="000000"/>
          <w:sz w:val="21"/>
          <w:lang w:val="en-US" w:bidi="ar-SA"/>
        </w:rPr>
      </w:pPr>
      <w:r>
        <w:rPr>
          <w:rFonts w:hint="eastAsia" w:cs="Times New Roman"/>
          <w:color w:val="000000"/>
          <w:sz w:val="21"/>
          <w:szCs w:val="21"/>
          <w:lang w:val="en-US" w:bidi="ar-SA"/>
        </w:rPr>
        <w:t xml:space="preserve">代表（签字）                              代表（签字）</w:t>
      </w:r>
      <w:r/>
    </w:p>
    <w:p>
      <w:pPr>
        <w:ind w:firstLine="525"/>
        <w:jc w:val="both"/>
        <w:spacing w:line="360" w:lineRule="auto"/>
        <w:rPr>
          <w:rFonts w:cs="Times New Roman"/>
          <w:color w:val="000000"/>
          <w:sz w:val="21"/>
          <w:lang w:val="en-US" w:bidi="ar-SA"/>
        </w:rPr>
      </w:pPr>
      <w:r>
        <w:rPr>
          <w:rFonts w:hint="eastAsia" w:cs="Times New Roman"/>
          <w:color w:val="000000"/>
          <w:sz w:val="21"/>
          <w:szCs w:val="21"/>
          <w:lang w:val="en-US" w:bidi="ar-SA"/>
        </w:rPr>
        <w:t xml:space="preserve">年   月   日                             年   月   日</w:t>
      </w:r>
      <w:r/>
    </w:p>
    <w:p>
      <w:pPr>
        <w:jc w:val="both"/>
        <w:rPr>
          <w:color w:val="000000"/>
          <w:sz w:val="24"/>
          <w:szCs w:val="24"/>
          <w:lang w:val="en-US" w:bidi="ar-SA"/>
        </w:rPr>
      </w:pPr>
      <w:r>
        <w:rPr>
          <w:rFonts w:hint="eastAsia"/>
          <w:color w:val="000000"/>
          <w:sz w:val="24"/>
          <w:szCs w:val="24"/>
          <w:lang w:val="en-US" w:bidi="ar-SA"/>
        </w:rPr>
        <w:br w:type="page" w:clear="all"/>
      </w:r>
      <w:r/>
    </w:p>
    <w:p>
      <w:pPr>
        <w:widowControl/>
        <w:rPr>
          <w:color w:val="000000"/>
          <w:sz w:val="24"/>
          <w:szCs w:val="24"/>
          <w:lang w:val="en-US" w:bidi="ar-SA"/>
        </w:rPr>
      </w:pPr>
      <w:r>
        <w:rPr>
          <w:rFonts w:hint="eastAsia"/>
          <w:color w:val="000000"/>
          <w:sz w:val="24"/>
          <w:szCs w:val="24"/>
          <w:lang w:val="en-US" w:bidi="ar-SA"/>
        </w:rPr>
        <w:t xml:space="preserve">附件3</w:t>
      </w:r>
      <w:r/>
    </w:p>
    <w:p>
      <w:pPr>
        <w:jc w:val="center"/>
        <w:spacing w:before="156" w:after="156"/>
        <w:rPr>
          <w:b/>
          <w:bCs/>
          <w:color w:val="000000"/>
          <w:sz w:val="32"/>
          <w:szCs w:val="32"/>
          <w:lang w:val="en-US" w:bidi="ar-SA"/>
        </w:rPr>
      </w:pPr>
      <w:r>
        <w:rPr>
          <w:rFonts w:hint="eastAsia"/>
          <w:b/>
          <w:bCs/>
          <w:color w:val="000000"/>
          <w:sz w:val="32"/>
          <w:szCs w:val="32"/>
          <w:lang w:val="en-US" w:bidi="ar-SA"/>
        </w:rPr>
        <w:t xml:space="preserve">工程建设项目廉政责任书</w:t>
      </w:r>
      <w:r/>
    </w:p>
    <w:p>
      <w:pPr>
        <w:ind w:firstLine="420"/>
        <w:spacing w:line="360" w:lineRule="auto"/>
        <w:tabs>
          <w:tab w:val="left" w:pos="501" w:leader="none"/>
        </w:tabs>
        <w:rPr>
          <w:rFonts w:cs="Times New Roman"/>
          <w:color w:val="000000"/>
          <w:sz w:val="21"/>
          <w:u w:val="single"/>
          <w:lang w:val="en-US" w:bidi="ar-SA"/>
        </w:rPr>
      </w:pPr>
      <w:r>
        <w:rPr>
          <w:rFonts w:hint="eastAsia" w:cs="Times New Roman"/>
          <w:color w:val="000000"/>
          <w:sz w:val="21"/>
          <w:szCs w:val="21"/>
          <w:lang w:val="en-US" w:bidi="ar-SA"/>
        </w:rPr>
        <w:t xml:space="preserve">工程名称：</w:t>
      </w:r>
      <w:r>
        <w:rPr>
          <w:rFonts w:hint="eastAsia" w:cs="Times New Roman"/>
          <w:color w:val="000000"/>
          <w:sz w:val="21"/>
          <w:u w:val="single"/>
          <w:lang w:val="en-US" w:bidi="ar-SA"/>
        </w:rPr>
        <w:t xml:space="preserve">                 </w:t>
      </w:r>
      <w:r/>
    </w:p>
    <w:p>
      <w:pPr>
        <w:ind w:firstLine="420"/>
        <w:spacing w:line="360" w:lineRule="auto"/>
        <w:tabs>
          <w:tab w:val="left" w:pos="501" w:leader="none"/>
        </w:tabs>
        <w:rPr>
          <w:rFonts w:cs="Times New Roman"/>
          <w:color w:val="000000"/>
          <w:sz w:val="21"/>
          <w:u w:val="single"/>
          <w:lang w:val="en-US" w:bidi="ar-SA"/>
        </w:rPr>
      </w:pPr>
      <w:r>
        <w:rPr>
          <w:rFonts w:hint="eastAsia" w:cs="Times New Roman"/>
          <w:color w:val="000000"/>
          <w:sz w:val="21"/>
          <w:szCs w:val="21"/>
          <w:lang w:val="en-US" w:bidi="ar-SA"/>
        </w:rPr>
        <w:t xml:space="preserve">工程地址：</w:t>
      </w:r>
      <w:r>
        <w:rPr>
          <w:rFonts w:hint="eastAsia" w:cs="Times New Roman"/>
          <w:color w:val="000000"/>
          <w:sz w:val="21"/>
          <w:u w:val="single"/>
          <w:lang w:val="en-US" w:bidi="ar-SA"/>
        </w:rPr>
        <w:t xml:space="preserve">                </w:t>
      </w:r>
      <w:r>
        <w:rPr>
          <w:rFonts w:cs="Times New Roman"/>
          <w:color w:val="000000"/>
          <w:sz w:val="21"/>
          <w:u w:val="single"/>
          <w:lang w:val="en-US" w:bidi="ar-SA"/>
        </w:rPr>
        <w:t xml:space="preserve"> </w:t>
      </w:r>
      <w:r/>
    </w:p>
    <w:p>
      <w:pPr>
        <w:ind w:firstLine="420"/>
        <w:jc w:val="both"/>
        <w:spacing w:line="360" w:lineRule="auto"/>
        <w:rPr>
          <w:rFonts w:cs="Times New Roman"/>
          <w:color w:val="000000"/>
          <w:sz w:val="21"/>
          <w:u w:val="single"/>
          <w:lang w:val="en-US" w:bidi="ar-SA"/>
        </w:rPr>
      </w:pPr>
      <w:r>
        <w:rPr>
          <w:rFonts w:hint="eastAsia" w:cs="Times New Roman"/>
          <w:color w:val="000000"/>
          <w:sz w:val="21"/>
          <w:szCs w:val="21"/>
          <w:lang w:val="en-US" w:bidi="ar-SA"/>
        </w:rPr>
        <w:t xml:space="preserve">建设单位（甲方）：</w:t>
      </w:r>
      <w:r>
        <w:rPr>
          <w:rFonts w:cs="Times New Roman"/>
          <w:color w:val="000000"/>
          <w:sz w:val="21"/>
          <w:u w:val="single"/>
          <w:lang w:val="en-US" w:bidi="ar-SA"/>
        </w:rPr>
        <w:t xml:space="preserve"> </w:t>
      </w:r>
      <w:r>
        <w:rPr>
          <w:rFonts w:hint="eastAsia" w:cs="Times New Roman"/>
          <w:color w:val="000000"/>
          <w:sz w:val="21"/>
          <w:u w:val="single"/>
          <w:lang w:val="en-US" w:bidi="ar-SA"/>
        </w:rPr>
        <w:t xml:space="preserve">           </w:t>
      </w:r>
      <w:r/>
    </w:p>
    <w:p>
      <w:pPr>
        <w:ind w:firstLine="420"/>
        <w:jc w:val="both"/>
        <w:spacing w:line="360" w:lineRule="auto"/>
        <w:rPr>
          <w:rFonts w:cs="Times New Roman"/>
          <w:color w:val="000000"/>
          <w:sz w:val="21"/>
          <w:lang w:val="en-US" w:bidi="ar-SA"/>
        </w:rPr>
      </w:pPr>
      <w:r>
        <w:rPr>
          <w:rFonts w:hint="eastAsia" w:cs="Times New Roman"/>
          <w:color w:val="000000"/>
          <w:sz w:val="21"/>
          <w:szCs w:val="21"/>
          <w:lang w:val="en-US" w:bidi="ar-SA"/>
        </w:rPr>
        <w:t xml:space="preserve">施工单位（乙方）：</w:t>
      </w:r>
      <w:r>
        <w:rPr>
          <w:rFonts w:cs="Times New Roman"/>
          <w:color w:val="000000"/>
          <w:sz w:val="21"/>
          <w:u w:val="single"/>
          <w:lang w:val="en-US" w:bidi="ar-SA"/>
        </w:rPr>
        <w:t xml:space="preserve"> </w:t>
      </w:r>
      <w:r>
        <w:rPr>
          <w:rFonts w:hint="eastAsia" w:cs="Times New Roman"/>
          <w:color w:val="000000"/>
          <w:sz w:val="21"/>
          <w:u w:val="single"/>
          <w:lang w:val="en-US" w:bidi="ar-SA"/>
        </w:rPr>
        <w:t xml:space="preserve">           </w:t>
      </w:r>
      <w:r/>
    </w:p>
    <w:p>
      <w:pPr>
        <w:ind w:firstLine="420"/>
        <w:jc w:val="both"/>
        <w:spacing w:line="360" w:lineRule="auto"/>
        <w:rPr>
          <w:rFonts w:cs="Times New Roman"/>
          <w:color w:val="000000"/>
          <w:sz w:val="21"/>
          <w:lang w:val="en-US" w:bidi="ar-SA"/>
        </w:rPr>
      </w:pPr>
      <w:r>
        <w:rPr>
          <w:rFonts w:hint="eastAsia" w:cs="Times New Roman"/>
          <w:color w:val="000000"/>
          <w:sz w:val="21"/>
          <w:szCs w:val="21"/>
          <w:lang w:val="en-US" w:bidi="ar-SA"/>
        </w:rPr>
        <w:t xml:space="preserve">为加强工程建设中的廉政建设，规范工程建设项目承发包的各项活动，防止发生各种谋取不正当利益的违法违纪行为，保护国家、集体和当事人的合法权益，根据国家有关工程建设的法律法规和廉政建设责任制规定，特订立本廉政责任书。</w:t>
      </w:r>
      <w:r/>
    </w:p>
    <w:p>
      <w:pPr>
        <w:ind w:firstLine="420"/>
        <w:jc w:val="both"/>
        <w:spacing w:line="360" w:lineRule="auto"/>
        <w:rPr>
          <w:rFonts w:cs="Times New Roman"/>
          <w:color w:val="000000"/>
          <w:sz w:val="21"/>
          <w:lang w:val="en-US" w:bidi="ar-SA"/>
        </w:rPr>
      </w:pPr>
      <w:r>
        <w:rPr>
          <w:rFonts w:hint="eastAsia" w:cs="Times New Roman"/>
          <w:color w:val="000000"/>
          <w:sz w:val="21"/>
          <w:szCs w:val="21"/>
          <w:lang w:val="en-US" w:bidi="ar-SA"/>
        </w:rPr>
        <w:t xml:space="preserve">第一条 甲乙双方的责任</w:t>
      </w:r>
      <w:r/>
    </w:p>
    <w:p>
      <w:pPr>
        <w:ind w:firstLine="420"/>
        <w:jc w:val="both"/>
        <w:spacing w:line="360" w:lineRule="auto"/>
        <w:rPr>
          <w:rFonts w:cs="Times New Roman"/>
          <w:color w:val="000000"/>
          <w:sz w:val="21"/>
          <w:lang w:val="en-US" w:bidi="ar-SA"/>
        </w:rPr>
      </w:pPr>
      <w:r>
        <w:rPr>
          <w:rFonts w:hint="eastAsia" w:cs="Times New Roman"/>
          <w:color w:val="000000"/>
          <w:sz w:val="21"/>
          <w:szCs w:val="21"/>
          <w:lang w:val="en-US" w:bidi="ar-SA"/>
        </w:rPr>
        <w:t xml:space="preserve">（一）应严格遵守国家关于市场准入、项目招标投标、工程建设、施工安装和市场活动等有关法律、法规，相关政策，以及廉政建设的各项规定。</w:t>
      </w:r>
      <w:r/>
    </w:p>
    <w:p>
      <w:pPr>
        <w:ind w:firstLine="420"/>
        <w:jc w:val="both"/>
        <w:spacing w:line="360" w:lineRule="auto"/>
        <w:rPr>
          <w:rFonts w:cs="Times New Roman"/>
          <w:color w:val="000000"/>
          <w:sz w:val="21"/>
          <w:lang w:val="en-US" w:bidi="ar-SA"/>
        </w:rPr>
      </w:pPr>
      <w:r>
        <w:rPr>
          <w:rFonts w:hint="eastAsia" w:cs="Times New Roman"/>
          <w:color w:val="000000"/>
          <w:sz w:val="21"/>
          <w:szCs w:val="21"/>
          <w:lang w:val="en-US" w:bidi="ar-SA"/>
        </w:rPr>
        <w:t xml:space="preserve">（二）严格执行建设工程项目承包合同文件，自觉按合同办事。</w:t>
      </w:r>
      <w:r/>
    </w:p>
    <w:p>
      <w:pPr>
        <w:ind w:firstLine="420"/>
        <w:jc w:val="both"/>
        <w:spacing w:line="360" w:lineRule="auto"/>
        <w:rPr>
          <w:rFonts w:cs="Times New Roman"/>
          <w:color w:val="000000"/>
          <w:sz w:val="21"/>
          <w:lang w:val="en-US" w:bidi="ar-SA"/>
        </w:rPr>
      </w:pPr>
      <w:r>
        <w:rPr>
          <w:rFonts w:hint="eastAsia" w:cs="Times New Roman"/>
          <w:color w:val="000000"/>
          <w:sz w:val="21"/>
          <w:szCs w:val="21"/>
          <w:lang w:val="en-US" w:bidi="ar-SA"/>
        </w:rPr>
        <w:t xml:space="preserve">（三）业务活动必须坚持公开、公平、公正、诚信、透明的原则（除法律法规另有规定者外），不得为获取不正当的利益，损害国家、集体和对方利益，不得违反工程建设管理、施工安装的规章制度。</w:t>
      </w:r>
      <w:r/>
    </w:p>
    <w:p>
      <w:pPr>
        <w:ind w:firstLine="420"/>
        <w:jc w:val="both"/>
        <w:spacing w:line="360" w:lineRule="auto"/>
        <w:rPr>
          <w:rFonts w:cs="Times New Roman"/>
          <w:color w:val="000000"/>
          <w:sz w:val="21"/>
          <w:lang w:val="en-US" w:bidi="ar-SA"/>
        </w:rPr>
      </w:pPr>
      <w:r>
        <w:rPr>
          <w:rFonts w:hint="eastAsia" w:cs="Times New Roman"/>
          <w:color w:val="000000"/>
          <w:sz w:val="21"/>
          <w:szCs w:val="21"/>
          <w:lang w:val="en-US" w:bidi="ar-SA"/>
        </w:rPr>
        <w:t xml:space="preserve">（四）发现对方在业务活动中有违规、违纪、违法行为的，应及时提醒对方，情节严重的，应向其上级主管部门或纪检监察、司法等有关机关举报。</w:t>
      </w:r>
      <w:r/>
    </w:p>
    <w:p>
      <w:pPr>
        <w:ind w:firstLine="420"/>
        <w:jc w:val="both"/>
        <w:spacing w:line="360" w:lineRule="auto"/>
        <w:rPr>
          <w:rFonts w:cs="Times New Roman"/>
          <w:color w:val="000000"/>
          <w:sz w:val="21"/>
          <w:lang w:val="en-US" w:bidi="ar-SA"/>
        </w:rPr>
      </w:pPr>
      <w:r>
        <w:rPr>
          <w:rFonts w:hint="eastAsia" w:cs="Times New Roman"/>
          <w:color w:val="000000"/>
          <w:sz w:val="21"/>
          <w:szCs w:val="21"/>
          <w:lang w:val="en-US" w:bidi="ar-SA"/>
        </w:rPr>
        <w:t xml:space="preserve">第二条 甲方的责任</w:t>
      </w:r>
      <w:r/>
    </w:p>
    <w:p>
      <w:pPr>
        <w:ind w:firstLine="420"/>
        <w:jc w:val="both"/>
        <w:spacing w:line="360" w:lineRule="auto"/>
        <w:rPr>
          <w:rFonts w:cs="Times New Roman"/>
          <w:color w:val="000000"/>
          <w:sz w:val="21"/>
          <w:lang w:val="en-US" w:bidi="ar-SA"/>
        </w:rPr>
      </w:pPr>
      <w:r>
        <w:rPr>
          <w:rFonts w:hint="eastAsia" w:cs="Times New Roman"/>
          <w:color w:val="000000"/>
          <w:sz w:val="21"/>
          <w:szCs w:val="21"/>
          <w:lang w:val="en-US" w:bidi="ar-SA"/>
        </w:rPr>
        <w:t xml:space="preserve">甲方的领导和从事该建设工程项目的工作人员，在工程建设的事前、事中、事后应遵守以下规定：</w:t>
      </w:r>
      <w:r/>
    </w:p>
    <w:p>
      <w:pPr>
        <w:ind w:firstLine="420"/>
        <w:jc w:val="both"/>
        <w:spacing w:line="360" w:lineRule="auto"/>
        <w:rPr>
          <w:rFonts w:cs="Times New Roman"/>
          <w:color w:val="000000"/>
          <w:sz w:val="21"/>
          <w:lang w:val="en-US" w:bidi="ar-SA"/>
        </w:rPr>
      </w:pPr>
      <w:r>
        <w:rPr>
          <w:rFonts w:hint="eastAsia" w:cs="Times New Roman"/>
          <w:color w:val="000000"/>
          <w:sz w:val="21"/>
          <w:szCs w:val="21"/>
          <w:lang w:val="en-US" w:bidi="ar-SA"/>
        </w:rPr>
        <w:t xml:space="preserve">（一）不准向乙方和相关单位索要或接受回扣、礼金、有价证券、贵重物品和好处费、感谢费等。</w:t>
      </w:r>
      <w:r/>
    </w:p>
    <w:p>
      <w:pPr>
        <w:ind w:firstLine="420"/>
        <w:jc w:val="both"/>
        <w:spacing w:line="360" w:lineRule="auto"/>
        <w:rPr>
          <w:rFonts w:cs="Times New Roman"/>
          <w:color w:val="000000"/>
          <w:sz w:val="21"/>
          <w:lang w:val="en-US" w:bidi="ar-SA"/>
        </w:rPr>
      </w:pPr>
      <w:r>
        <w:rPr>
          <w:rFonts w:hint="eastAsia" w:cs="Times New Roman"/>
          <w:color w:val="000000"/>
          <w:sz w:val="21"/>
          <w:szCs w:val="21"/>
          <w:lang w:val="en-US" w:bidi="ar-SA"/>
        </w:rPr>
        <w:t xml:space="preserve">（二）不准在乙方和相关单位报销任何应由甲方或个人支付的费用。</w:t>
      </w:r>
      <w:r/>
    </w:p>
    <w:p>
      <w:pPr>
        <w:ind w:firstLine="420"/>
        <w:jc w:val="both"/>
        <w:spacing w:line="360" w:lineRule="auto"/>
        <w:rPr>
          <w:rFonts w:cs="Times New Roman"/>
          <w:color w:val="000000"/>
          <w:sz w:val="21"/>
          <w:lang w:val="en-US" w:bidi="ar-SA"/>
        </w:rPr>
      </w:pPr>
      <w:r>
        <w:rPr>
          <w:rFonts w:hint="eastAsia" w:cs="Times New Roman"/>
          <w:color w:val="000000"/>
          <w:sz w:val="21"/>
          <w:szCs w:val="21"/>
          <w:lang w:val="en-US" w:bidi="ar-SA"/>
        </w:rPr>
        <w:t xml:space="preserve">（三）不准要求、暗示和接受乙方和相关单位为个人装修住房、婚丧嫁娶、配偶子女的工作安排及出国（境）、旅游等提供方便。</w:t>
      </w:r>
      <w:r/>
    </w:p>
    <w:p>
      <w:pPr>
        <w:ind w:firstLine="420"/>
        <w:jc w:val="both"/>
        <w:spacing w:line="360" w:lineRule="auto"/>
        <w:rPr>
          <w:rFonts w:cs="Times New Roman"/>
          <w:color w:val="000000"/>
          <w:sz w:val="21"/>
          <w:lang w:val="en-US" w:bidi="ar-SA"/>
        </w:rPr>
      </w:pPr>
      <w:r>
        <w:rPr>
          <w:rFonts w:hint="eastAsia" w:cs="Times New Roman"/>
          <w:color w:val="000000"/>
          <w:sz w:val="21"/>
          <w:szCs w:val="21"/>
          <w:lang w:val="en-US" w:bidi="ar-SA"/>
        </w:rPr>
        <w:t xml:space="preserve">（四）不准参加有可能影响公正执行公务的乙方和相关单位的宴请和健身、娱乐等活动。</w:t>
      </w:r>
      <w:r/>
    </w:p>
    <w:p>
      <w:pPr>
        <w:ind w:firstLine="420"/>
        <w:jc w:val="both"/>
        <w:spacing w:line="360" w:lineRule="auto"/>
        <w:rPr>
          <w:rFonts w:cs="Times New Roman"/>
          <w:color w:val="000000"/>
          <w:sz w:val="21"/>
          <w:lang w:val="en-US" w:bidi="ar-SA"/>
        </w:rPr>
      </w:pPr>
      <w:r>
        <w:rPr>
          <w:rFonts w:hint="eastAsia" w:cs="Times New Roman"/>
          <w:color w:val="000000"/>
          <w:sz w:val="21"/>
          <w:szCs w:val="21"/>
          <w:lang w:val="en-US" w:bidi="ar-SA"/>
        </w:rPr>
        <w:t xml:space="preserve">（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r/>
    </w:p>
    <w:p>
      <w:pPr>
        <w:ind w:firstLine="420"/>
        <w:jc w:val="both"/>
        <w:spacing w:line="360" w:lineRule="auto"/>
        <w:rPr>
          <w:rFonts w:cs="Times New Roman"/>
          <w:color w:val="000000"/>
          <w:sz w:val="21"/>
          <w:lang w:val="en-US" w:bidi="ar-SA"/>
        </w:rPr>
      </w:pPr>
      <w:r>
        <w:rPr>
          <w:rFonts w:hint="eastAsia" w:cs="Times New Roman"/>
          <w:color w:val="000000"/>
          <w:sz w:val="21"/>
          <w:szCs w:val="21"/>
          <w:lang w:val="en-US" w:bidi="ar-SA"/>
        </w:rPr>
        <w:t xml:space="preserve">第三条 乙方的责任</w:t>
      </w:r>
      <w:r/>
    </w:p>
    <w:p>
      <w:pPr>
        <w:ind w:firstLine="420"/>
        <w:jc w:val="both"/>
        <w:spacing w:line="360" w:lineRule="auto"/>
        <w:rPr>
          <w:rFonts w:cs="Times New Roman"/>
          <w:color w:val="000000"/>
          <w:sz w:val="21"/>
          <w:lang w:val="en-US" w:bidi="ar-SA"/>
        </w:rPr>
      </w:pPr>
      <w:r>
        <w:rPr>
          <w:rFonts w:hint="eastAsia" w:cs="Times New Roman"/>
          <w:color w:val="000000"/>
          <w:sz w:val="21"/>
          <w:szCs w:val="21"/>
          <w:lang w:val="en-US" w:bidi="ar-SA"/>
        </w:rPr>
        <w:t xml:space="preserve">应与甲方保持正常的业务交往，按照有关法律法规和程序开展业务工作，严格执行工程建设和有关方针、政策，尤其是有关建筑施工安装的强制性标准和规范，并遵守以下规定：</w:t>
      </w:r>
      <w:r/>
    </w:p>
    <w:p>
      <w:pPr>
        <w:ind w:firstLine="420"/>
        <w:jc w:val="both"/>
        <w:spacing w:line="360" w:lineRule="auto"/>
        <w:rPr>
          <w:rFonts w:cs="Times New Roman"/>
          <w:color w:val="000000"/>
          <w:sz w:val="21"/>
          <w:lang w:val="en-US" w:bidi="ar-SA"/>
        </w:rPr>
      </w:pPr>
      <w:r>
        <w:rPr>
          <w:rFonts w:hint="eastAsia" w:cs="Times New Roman"/>
          <w:color w:val="000000"/>
          <w:sz w:val="21"/>
          <w:szCs w:val="21"/>
          <w:lang w:val="en-US" w:bidi="ar-SA"/>
        </w:rPr>
        <w:t xml:space="preserve">（一）不准以任何理由向甲方、相关单位及其工作人员索要、接受或赠送礼金、有价证券、贵重物品和回扣、好处费、感谢费等。</w:t>
      </w:r>
      <w:r/>
    </w:p>
    <w:p>
      <w:pPr>
        <w:ind w:firstLine="420"/>
        <w:jc w:val="both"/>
        <w:spacing w:line="360" w:lineRule="auto"/>
        <w:rPr>
          <w:rFonts w:cs="Times New Roman"/>
          <w:color w:val="000000"/>
          <w:sz w:val="21"/>
          <w:lang w:val="en-US" w:bidi="ar-SA"/>
        </w:rPr>
      </w:pPr>
      <w:r>
        <w:rPr>
          <w:rFonts w:hint="eastAsia" w:cs="Times New Roman"/>
          <w:color w:val="000000"/>
          <w:sz w:val="21"/>
          <w:szCs w:val="21"/>
          <w:lang w:val="en-US" w:bidi="ar-SA"/>
        </w:rPr>
        <w:t xml:space="preserve">（二）不准以任何理由为甲方和相关单位报销应由对方或个人支付的费用。</w:t>
      </w:r>
      <w:r/>
    </w:p>
    <w:p>
      <w:pPr>
        <w:ind w:firstLine="420"/>
        <w:jc w:val="both"/>
        <w:spacing w:line="360" w:lineRule="auto"/>
        <w:rPr>
          <w:rFonts w:cs="Times New Roman"/>
          <w:color w:val="000000"/>
          <w:sz w:val="21"/>
          <w:lang w:val="en-US" w:bidi="ar-SA"/>
        </w:rPr>
      </w:pPr>
      <w:r>
        <w:rPr>
          <w:rFonts w:hint="eastAsia" w:cs="Times New Roman"/>
          <w:color w:val="000000"/>
          <w:sz w:val="21"/>
          <w:szCs w:val="21"/>
          <w:lang w:val="en-US" w:bidi="ar-SA"/>
        </w:rPr>
        <w:t xml:space="preserve">（三）不准接受或暗示为甲方、相关单位或个人装修住房、婚丧嫁娶、配偶子女的工作安排及出国（境）、旅游等提供方便。</w:t>
      </w:r>
      <w:r/>
    </w:p>
    <w:p>
      <w:pPr>
        <w:ind w:firstLine="420"/>
        <w:jc w:val="both"/>
        <w:spacing w:line="360" w:lineRule="auto"/>
        <w:rPr>
          <w:rFonts w:cs="Times New Roman"/>
          <w:color w:val="000000"/>
          <w:sz w:val="21"/>
          <w:lang w:val="en-US" w:bidi="ar-SA"/>
        </w:rPr>
      </w:pPr>
      <w:r>
        <w:rPr>
          <w:rFonts w:hint="eastAsia" w:cs="Times New Roman"/>
          <w:color w:val="000000"/>
          <w:sz w:val="21"/>
          <w:szCs w:val="21"/>
          <w:lang w:val="en-US" w:bidi="ar-SA"/>
        </w:rPr>
        <w:t xml:space="preserve">（四）不准以任何理由为甲方、相关单位或个人组织有可能影响公正执行公务的宴请、健身、娱乐等活动。</w:t>
      </w:r>
      <w:r/>
    </w:p>
    <w:p>
      <w:pPr>
        <w:ind w:firstLine="420"/>
        <w:jc w:val="both"/>
        <w:spacing w:line="360" w:lineRule="auto"/>
        <w:rPr>
          <w:rFonts w:cs="Times New Roman"/>
          <w:color w:val="000000"/>
          <w:sz w:val="21"/>
          <w:lang w:val="en-US" w:bidi="ar-SA"/>
        </w:rPr>
      </w:pPr>
      <w:r>
        <w:rPr>
          <w:rFonts w:hint="eastAsia" w:cs="Times New Roman"/>
          <w:color w:val="000000"/>
          <w:sz w:val="21"/>
          <w:szCs w:val="21"/>
          <w:lang w:val="en-US" w:bidi="ar-SA"/>
        </w:rPr>
        <w:t xml:space="preserve">第四条</w:t>
      </w:r>
      <w:r>
        <w:rPr>
          <w:rFonts w:hint="eastAsia" w:cs="Times New Roman"/>
          <w:color w:val="000000"/>
          <w:sz w:val="21"/>
          <w:szCs w:val="21"/>
          <w:lang w:val="en-US" w:bidi="ar-SA"/>
        </w:rPr>
        <w:tab/>
      </w:r>
      <w:r>
        <w:rPr>
          <w:rFonts w:hint="eastAsia" w:cs="Times New Roman"/>
          <w:color w:val="000000"/>
          <w:sz w:val="21"/>
          <w:szCs w:val="21"/>
          <w:lang w:val="en-US" w:bidi="ar-SA"/>
        </w:rPr>
        <w:t xml:space="preserve">违约责任</w:t>
      </w:r>
      <w:r/>
    </w:p>
    <w:p>
      <w:pPr>
        <w:ind w:firstLine="420"/>
        <w:jc w:val="both"/>
        <w:spacing w:line="360" w:lineRule="auto"/>
        <w:rPr>
          <w:rFonts w:cs="Times New Roman"/>
          <w:color w:val="000000"/>
          <w:sz w:val="21"/>
          <w:lang w:val="en-US" w:bidi="ar-SA"/>
        </w:rPr>
      </w:pPr>
      <w:r>
        <w:rPr>
          <w:rFonts w:hint="eastAsia" w:cs="Times New Roman"/>
          <w:color w:val="000000"/>
          <w:sz w:val="21"/>
          <w:szCs w:val="21"/>
          <w:lang w:val="en-US" w:bidi="ar-SA"/>
        </w:rPr>
        <w:t xml:space="preserve">（一）甲方工作人员有违反本责任书第一、二条责任行为的，按照管理权限，根据有关法律法规和规定给予党纪、政纪处分或组织处理；涉嫌犯罪的，移交司法机关追究刑事责任；给乙方单位造成经济损失的，应予以赔偿。</w:t>
      </w:r>
      <w:r/>
    </w:p>
    <w:p>
      <w:pPr>
        <w:ind w:firstLine="420"/>
        <w:jc w:val="both"/>
        <w:spacing w:line="360" w:lineRule="auto"/>
        <w:rPr>
          <w:rFonts w:cs="Times New Roman"/>
          <w:color w:val="000000"/>
          <w:sz w:val="21"/>
          <w:lang w:val="en-US" w:bidi="ar-SA"/>
        </w:rPr>
      </w:pPr>
      <w:r>
        <w:rPr>
          <w:rFonts w:hint="eastAsia" w:cs="Times New Roman"/>
          <w:color w:val="000000"/>
          <w:sz w:val="21"/>
          <w:szCs w:val="21"/>
          <w:lang w:val="en-US" w:bidi="ar-SA"/>
        </w:rPr>
        <w:t xml:space="preserve">（二）乙方工作人员有违反本责任书第一、三条责任行为的，按照管理权限，依据有关法律法规和规定给予党纪、政纪处分或组织处理；涉嫌犯罪的，移交司法机关追究刑事责任；给甲方单位造成经济损失的，应予以赔偿。</w:t>
      </w:r>
      <w:r/>
    </w:p>
    <w:p>
      <w:pPr>
        <w:ind w:firstLine="420"/>
        <w:jc w:val="both"/>
        <w:spacing w:line="360" w:lineRule="auto"/>
        <w:rPr>
          <w:rFonts w:cs="Times New Roman"/>
          <w:color w:val="000000"/>
          <w:sz w:val="21"/>
          <w:lang w:val="en-US" w:bidi="ar-SA"/>
        </w:rPr>
      </w:pPr>
      <w:r>
        <w:rPr>
          <w:rFonts w:hint="eastAsia" w:cs="Times New Roman"/>
          <w:color w:val="000000"/>
          <w:sz w:val="21"/>
          <w:szCs w:val="21"/>
          <w:lang w:val="en-US" w:bidi="ar-SA"/>
        </w:rPr>
        <w:t xml:space="preserve">第五条 本责任书作为工程施工合同的附件，与工程施工合同具有同等法律效力。经双方签署后立即生效。</w:t>
      </w:r>
      <w:r/>
    </w:p>
    <w:p>
      <w:pPr>
        <w:ind w:firstLine="420"/>
        <w:jc w:val="both"/>
        <w:spacing w:line="360" w:lineRule="auto"/>
        <w:rPr>
          <w:rFonts w:cs="Times New Roman"/>
          <w:color w:val="000000"/>
          <w:sz w:val="21"/>
          <w:lang w:val="en-US" w:bidi="ar-SA"/>
        </w:rPr>
      </w:pPr>
      <w:r>
        <w:rPr>
          <w:rFonts w:hint="eastAsia" w:cs="Times New Roman"/>
          <w:color w:val="000000"/>
          <w:sz w:val="21"/>
          <w:szCs w:val="21"/>
          <w:lang w:val="en-US" w:bidi="ar-SA"/>
        </w:rPr>
        <w:t xml:space="preserve">第六条 本责任书的有效期为双方签署之日起至该工程项目竣工验收合格时止。</w:t>
      </w:r>
      <w:r/>
    </w:p>
    <w:p>
      <w:pPr>
        <w:ind w:firstLine="420"/>
        <w:jc w:val="both"/>
        <w:spacing w:line="360" w:lineRule="auto"/>
        <w:rPr>
          <w:rFonts w:cs="Times New Roman"/>
          <w:color w:val="000000"/>
          <w:sz w:val="21"/>
          <w:lang w:val="en-US" w:bidi="ar-SA"/>
        </w:rPr>
      </w:pPr>
      <w:r>
        <w:rPr>
          <w:rFonts w:hint="eastAsia" w:cs="Times New Roman"/>
          <w:color w:val="000000"/>
          <w:sz w:val="21"/>
          <w:szCs w:val="21"/>
          <w:lang w:val="en-US" w:bidi="ar-SA"/>
        </w:rPr>
        <w:t xml:space="preserve">第七条 本责任书一式四份，由甲乙双方各执一份，送交甲乙双方的监督单位各一份。</w:t>
      </w:r>
      <w:r/>
    </w:p>
    <w:p>
      <w:pPr>
        <w:ind w:firstLine="420"/>
        <w:jc w:val="both"/>
        <w:spacing w:line="360" w:lineRule="auto"/>
        <w:rPr>
          <w:rFonts w:cs="Times New Roman"/>
          <w:color w:val="000000"/>
          <w:sz w:val="21"/>
          <w:szCs w:val="21"/>
          <w:lang w:val="en-US" w:bidi="ar-SA"/>
        </w:rPr>
      </w:pPr>
      <w:r>
        <w:rPr>
          <w:rFonts w:hint="eastAsia" w:cs="Times New Roman"/>
          <w:color w:val="000000"/>
          <w:sz w:val="21"/>
          <w:szCs w:val="21"/>
          <w:lang w:val="en-US" w:bidi="ar-SA"/>
        </w:rPr>
        <w:t xml:space="preserve">（以下无正文）</w:t>
      </w:r>
      <w:r/>
    </w:p>
    <w:p>
      <w:pPr>
        <w:ind w:firstLine="420"/>
        <w:jc w:val="both"/>
        <w:spacing w:line="360" w:lineRule="auto"/>
        <w:rPr>
          <w:rFonts w:cs="Times New Roman"/>
          <w:color w:val="000000"/>
          <w:sz w:val="21"/>
          <w:szCs w:val="21"/>
          <w:lang w:val="en-US" w:bidi="ar-SA"/>
        </w:rPr>
      </w:pPr>
      <w:r>
        <w:rPr>
          <w:rFonts w:cs="Times New Roman"/>
          <w:color w:val="000000"/>
          <w:sz w:val="21"/>
          <w:szCs w:val="21"/>
          <w:lang w:val="en-US" w:bidi="ar-SA"/>
        </w:rPr>
      </w:r>
      <w:r/>
    </w:p>
    <w:p>
      <w:pPr>
        <w:ind w:firstLine="420"/>
        <w:jc w:val="both"/>
        <w:spacing w:line="360" w:lineRule="auto"/>
        <w:rPr>
          <w:rFonts w:cs="Times New Roman"/>
          <w:color w:val="000000"/>
          <w:sz w:val="21"/>
          <w:lang w:val="en-US" w:bidi="ar-SA"/>
        </w:rPr>
      </w:pPr>
      <w:r>
        <w:rPr>
          <w:rFonts w:hint="eastAsia" w:cs="Times New Roman"/>
          <w:color w:val="000000"/>
          <w:sz w:val="21"/>
          <w:szCs w:val="21"/>
          <w:lang w:val="en-US" w:bidi="ar-SA"/>
        </w:rPr>
        <w:t xml:space="preserve">甲方单位：（盖章）                           乙方单位：（盖章）         </w:t>
      </w:r>
      <w:r/>
    </w:p>
    <w:p>
      <w:pPr>
        <w:ind w:firstLine="420"/>
        <w:jc w:val="both"/>
        <w:spacing w:line="360" w:lineRule="auto"/>
        <w:rPr>
          <w:rFonts w:cs="Times New Roman"/>
          <w:color w:val="000000"/>
          <w:sz w:val="21"/>
          <w:lang w:val="en-US" w:bidi="ar-SA"/>
        </w:rPr>
      </w:pPr>
      <w:r>
        <w:rPr>
          <w:rFonts w:hint="eastAsia" w:cs="Times New Roman"/>
          <w:color w:val="000000"/>
          <w:sz w:val="21"/>
          <w:szCs w:val="21"/>
          <w:lang w:val="en-US" w:bidi="ar-SA"/>
        </w:rPr>
        <w:t xml:space="preserve">签字：                                       签字：                        </w:t>
      </w:r>
      <w:r/>
    </w:p>
    <w:p>
      <w:pPr>
        <w:ind w:firstLine="420"/>
        <w:jc w:val="both"/>
        <w:spacing w:line="360" w:lineRule="auto"/>
        <w:rPr>
          <w:rFonts w:cs="Times New Roman"/>
          <w:color w:val="000000"/>
          <w:sz w:val="21"/>
          <w:lang w:val="en-US" w:bidi="ar-SA"/>
        </w:rPr>
      </w:pPr>
      <w:r>
        <w:rPr>
          <w:rFonts w:hint="eastAsia" w:cs="Times New Roman"/>
          <w:color w:val="000000"/>
          <w:sz w:val="21"/>
          <w:szCs w:val="21"/>
          <w:lang w:val="en-US" w:bidi="ar-SA"/>
        </w:rPr>
        <w:t xml:space="preserve">地址：                                       地址：                        </w:t>
      </w:r>
      <w:r/>
    </w:p>
    <w:p>
      <w:pPr>
        <w:ind w:firstLine="420"/>
        <w:jc w:val="both"/>
        <w:spacing w:line="360" w:lineRule="auto"/>
        <w:rPr>
          <w:rFonts w:cs="Times New Roman"/>
          <w:color w:val="000000"/>
          <w:sz w:val="21"/>
          <w:lang w:val="en-US" w:bidi="ar-SA"/>
        </w:rPr>
      </w:pPr>
      <w:r>
        <w:rPr>
          <w:rFonts w:hint="eastAsia" w:cs="Times New Roman"/>
          <w:color w:val="000000"/>
          <w:sz w:val="21"/>
          <w:szCs w:val="21"/>
          <w:lang w:val="en-US" w:bidi="ar-SA"/>
        </w:rPr>
        <w:t xml:space="preserve">          年   月   日                                      年   月   日   </w:t>
      </w:r>
      <w:r/>
    </w:p>
    <w:p>
      <w:pPr>
        <w:ind w:firstLine="420"/>
        <w:jc w:val="both"/>
        <w:spacing w:line="360" w:lineRule="auto"/>
        <w:rPr>
          <w:color w:val="000000"/>
          <w:sz w:val="21"/>
          <w:szCs w:val="21"/>
          <w:lang w:val="en-US" w:bidi="ar-SA"/>
        </w:rPr>
      </w:pPr>
      <w:r>
        <w:rPr>
          <w:color w:val="000000"/>
          <w:sz w:val="21"/>
          <w:szCs w:val="21"/>
          <w:lang w:val="en-US" w:bidi="ar-SA"/>
        </w:rPr>
      </w:r>
      <w:r/>
    </w:p>
    <w:p>
      <w:pPr>
        <w:rPr>
          <w:b/>
          <w:bCs/>
        </w:rPr>
        <w:sectPr>
          <w:headerReference w:type="default" r:id="rId9"/>
          <w:footerReference w:type="default" r:id="rId12"/>
          <w:footerReference w:type="even" r:id="rId13"/>
          <w:footnotePr/>
          <w:endnotePr/>
          <w:type w:val="nextPage"/>
          <w:pgSz w:w="11906" w:h="16838" w:orient="portrait"/>
          <w:pgMar w:top="1440" w:right="1800" w:bottom="1440" w:left="1380" w:header="851" w:footer="992" w:gutter="0"/>
          <w:rtlGutter/>
          <w:cols w:num="1" w:sep="0" w:space="720" w:equalWidth="1"/>
          <w:docGrid w:linePitch="360"/>
        </w:sectPr>
      </w:pPr>
      <w:r>
        <w:rPr>
          <w:b/>
          <w:bCs/>
        </w:rPr>
      </w:r>
      <w:r/>
    </w:p>
    <w:p>
      <w:pPr>
        <w:ind w:right="85"/>
        <w:jc w:val="both"/>
        <w:spacing w:line="360" w:lineRule="auto"/>
        <w:rPr>
          <w:rFonts w:ascii="黑体" w:eastAsia="黑体"/>
          <w:b/>
          <w:bCs/>
          <w:color w:val="000000" w:themeColor="text1"/>
          <w:sz w:val="36"/>
          <w14:textFill>
            <w14:solidFill>
              <w14:schemeClr w14:val="tx1"/>
            </w14:solidFill>
          </w14:textFill>
        </w:rPr>
        <w:outlineLvl w:val="0"/>
      </w:pPr>
      <w:r>
        <w:rPr>
          <w:rFonts w:ascii="黑体" w:eastAsia="黑体"/>
          <w:b/>
          <w:bCs/>
          <w:color w:val="000000" w:themeColor="text1"/>
          <w:sz w:val="36"/>
          <w14:textFill>
            <w14:solidFill>
              <w14:schemeClr w14:val="tx1"/>
            </w14:solidFill>
          </w14:textFill>
        </w:rPr>
      </w:r>
      <w:r/>
    </w:p>
    <w:p>
      <w:pPr>
        <w:ind w:right="85"/>
        <w:jc w:val="center"/>
        <w:spacing w:line="360" w:lineRule="auto"/>
        <w:rPr>
          <w:rFonts w:ascii="黑体" w:eastAsia="黑体"/>
          <w:b/>
          <w:bCs/>
          <w:color w:val="000000" w:themeColor="text1"/>
          <w:sz w:val="36"/>
          <w14:textFill>
            <w14:solidFill>
              <w14:schemeClr w14:val="tx1"/>
            </w14:solidFill>
          </w14:textFill>
        </w:rPr>
        <w:outlineLvl w:val="0"/>
      </w:pPr>
      <w:r>
        <w:rPr>
          <w:rFonts w:hint="eastAsia" w:ascii="黑体" w:eastAsia="黑体"/>
          <w:b/>
          <w:bCs/>
          <w:color w:val="000000" w:themeColor="text1"/>
          <w:sz w:val="36"/>
          <w14:textFill>
            <w14:solidFill>
              <w14:schemeClr w14:val="tx1"/>
            </w14:solidFill>
          </w14:textFill>
        </w:rPr>
        <w:t xml:space="preserve">第六章</w:t>
      </w:r>
      <w:r>
        <w:rPr>
          <w:rFonts w:hint="eastAsia" w:ascii="黑体" w:eastAsia="黑体"/>
          <w:b/>
          <w:bCs/>
          <w:color w:val="000000" w:themeColor="text1"/>
          <w:sz w:val="36"/>
          <w:lang w:val="en-US"/>
          <w14:textFill>
            <w14:solidFill>
              <w14:schemeClr w14:val="tx1"/>
            </w14:solidFill>
          </w14:textFill>
        </w:rPr>
        <w:t xml:space="preserve"> </w:t>
      </w:r>
      <w:r>
        <w:rPr>
          <w:rFonts w:hint="eastAsia" w:ascii="黑体" w:eastAsia="黑体"/>
          <w:b/>
          <w:bCs/>
          <w:color w:val="000000" w:themeColor="text1"/>
          <w:sz w:val="36"/>
          <w14:textFill>
            <w14:solidFill>
              <w14:schemeClr w14:val="tx1"/>
            </w14:solidFill>
          </w14:textFill>
        </w:rPr>
        <w:t xml:space="preserve">投标文件格式及附件</w:t>
      </w:r>
      <w:bookmarkEnd w:id="31"/>
      <w:r/>
      <w:r/>
    </w:p>
    <w:p>
      <w:pPr>
        <w:spacing w:line="360" w:lineRule="auto"/>
        <w:rPr>
          <w:rFonts w:ascii="黑体"/>
          <w:color w:val="000000" w:themeColor="text1"/>
          <w:sz w:val="36"/>
          <w:szCs w:val="21"/>
          <w14:textFill>
            <w14:solidFill>
              <w14:schemeClr w14:val="tx1"/>
            </w14:solidFill>
          </w14:textFill>
        </w:rPr>
      </w:pPr>
      <w:r>
        <w:rPr>
          <w:rFonts w:ascii="黑体"/>
          <w:color w:val="000000" w:themeColor="text1"/>
          <w:sz w:val="36"/>
          <w:szCs w:val="21"/>
          <w14:textFill>
            <w14:solidFill>
              <w14:schemeClr w14:val="tx1"/>
            </w14:solidFill>
          </w14:textFill>
        </w:rPr>
      </w:r>
      <w:r/>
    </w:p>
    <w:p>
      <w:pPr>
        <w:spacing w:line="360" w:lineRule="auto"/>
        <w:rPr>
          <w:rFonts w:ascii="黑体"/>
          <w:color w:val="000000" w:themeColor="text1"/>
          <w:sz w:val="36"/>
          <w:szCs w:val="21"/>
          <w14:textFill>
            <w14:solidFill>
              <w14:schemeClr w14:val="tx1"/>
            </w14:solidFill>
          </w14:textFill>
        </w:rPr>
      </w:pPr>
      <w:r>
        <w:rPr>
          <w:rFonts w:ascii="黑体"/>
          <w:color w:val="000000" w:themeColor="text1"/>
          <w:sz w:val="36"/>
          <w:szCs w:val="21"/>
          <w14:textFill>
            <w14:solidFill>
              <w14:schemeClr w14:val="tx1"/>
            </w14:solidFill>
          </w14:textFill>
        </w:rPr>
      </w:r>
      <w:r/>
    </w:p>
    <w:p>
      <w:pPr>
        <w:spacing w:line="360" w:lineRule="auto"/>
        <w:rPr>
          <w:rFonts w:ascii="黑体"/>
          <w:color w:val="000000" w:themeColor="text1"/>
          <w:sz w:val="36"/>
          <w:szCs w:val="21"/>
          <w14:textFill>
            <w14:solidFill>
              <w14:schemeClr w14:val="tx1"/>
            </w14:solidFill>
          </w14:textFill>
        </w:rPr>
      </w:pPr>
      <w:r>
        <w:rPr>
          <w:rFonts w:ascii="黑体"/>
          <w:color w:val="000000" w:themeColor="text1"/>
          <w:sz w:val="36"/>
          <w:szCs w:val="21"/>
          <w14:textFill>
            <w14:solidFill>
              <w14:schemeClr w14:val="tx1"/>
            </w14:solidFill>
          </w14:textFill>
        </w:rPr>
      </w:r>
      <w:r/>
    </w:p>
    <w:p>
      <w:pPr>
        <w:ind w:right="87"/>
        <w:jc w:val="center"/>
        <w:spacing w:line="360" w:lineRule="auto"/>
        <w:rPr>
          <w:b/>
          <w:color w:val="000000" w:themeColor="text1"/>
          <w:sz w:val="72"/>
          <w14:textFill>
            <w14:solidFill>
              <w14:schemeClr w14:val="tx1"/>
            </w14:solidFill>
          </w14:textFill>
        </w:rPr>
      </w:pPr>
      <w:r>
        <w:rPr>
          <w:b/>
          <w:color w:val="000000" w:themeColor="text1"/>
          <w:sz w:val="72"/>
          <w14:textFill>
            <w14:solidFill>
              <w14:schemeClr w14:val="tx1"/>
            </w14:solidFill>
          </w14:textFill>
        </w:rPr>
        <w:t xml:space="preserve">投标文件</w:t>
      </w:r>
      <w:r/>
    </w:p>
    <w:p>
      <w:pPr>
        <w:spacing w:line="360" w:lineRule="auto"/>
        <w:rPr>
          <w:b/>
          <w:color w:val="000000" w:themeColor="text1"/>
          <w:sz w:val="72"/>
          <w:szCs w:val="21"/>
          <w14:textFill>
            <w14:solidFill>
              <w14:schemeClr w14:val="tx1"/>
            </w14:solidFill>
          </w14:textFill>
        </w:rPr>
      </w:pPr>
      <w:r>
        <w:rPr>
          <w:b/>
          <w:color w:val="000000" w:themeColor="text1"/>
          <w:sz w:val="72"/>
          <w:szCs w:val="21"/>
          <w14:textFill>
            <w14:solidFill>
              <w14:schemeClr w14:val="tx1"/>
            </w14:solidFill>
          </w14:textFill>
        </w:rPr>
      </w:r>
      <w:r/>
    </w:p>
    <w:p>
      <w:pPr>
        <w:spacing w:line="360" w:lineRule="auto"/>
        <w:rPr>
          <w:b/>
          <w:color w:val="000000" w:themeColor="text1"/>
          <w:sz w:val="72"/>
          <w:szCs w:val="21"/>
          <w14:textFill>
            <w14:solidFill>
              <w14:schemeClr w14:val="tx1"/>
            </w14:solidFill>
          </w14:textFill>
        </w:rPr>
      </w:pPr>
      <w:r>
        <w:rPr>
          <w:b/>
          <w:color w:val="000000" w:themeColor="text1"/>
          <w:sz w:val="72"/>
          <w:szCs w:val="21"/>
          <w14:textFill>
            <w14:solidFill>
              <w14:schemeClr w14:val="tx1"/>
            </w14:solidFill>
          </w14:textFill>
        </w:rPr>
      </w:r>
      <w:r/>
    </w:p>
    <w:p>
      <w:pPr>
        <w:ind w:left="1308" w:right="52"/>
        <w:spacing w:line="360" w:lineRule="auto"/>
        <w:rPr>
          <w:b/>
          <w:color w:val="000000" w:themeColor="text1"/>
          <w:sz w:val="36"/>
          <w14:textFill>
            <w14:solidFill>
              <w14:schemeClr w14:val="tx1"/>
            </w14:solidFill>
          </w14:textFill>
        </w:rPr>
      </w:pPr>
      <w:r>
        <w:rPr>
          <w:b/>
          <w:color w:val="000000" w:themeColor="text1"/>
          <w:sz w:val="36"/>
          <w14:textFill>
            <w14:solidFill>
              <w14:schemeClr w14:val="tx1"/>
            </w14:solidFill>
          </w14:textFill>
        </w:rPr>
        <w:t xml:space="preserve">项目编号： </w:t>
      </w:r>
      <w:r/>
    </w:p>
    <w:p>
      <w:pPr>
        <w:ind w:left="1308" w:right="52"/>
        <w:spacing w:line="360" w:lineRule="auto"/>
        <w:rPr>
          <w:b/>
          <w:color w:val="000000" w:themeColor="text1"/>
          <w:sz w:val="36"/>
          <w14:textFill>
            <w14:solidFill>
              <w14:schemeClr w14:val="tx1"/>
            </w14:solidFill>
          </w14:textFill>
        </w:rPr>
      </w:pPr>
      <w:r>
        <w:rPr>
          <w:b/>
          <w:color w:val="000000" w:themeColor="text1"/>
          <w:sz w:val="36"/>
          <w14:textFill>
            <w14:solidFill>
              <w14:schemeClr w14:val="tx1"/>
            </w14:solidFill>
          </w14:textFill>
        </w:rPr>
        <w:t xml:space="preserve">项目名称：</w:t>
      </w:r>
      <w:r/>
    </w:p>
    <w:p>
      <w:pPr>
        <w:ind w:left="223" w:right="52" w:firstLine="1084"/>
        <w:spacing w:line="360" w:lineRule="auto"/>
        <w:rPr>
          <w:b/>
          <w:color w:val="000000" w:themeColor="text1"/>
          <w:sz w:val="36"/>
          <w14:textFill>
            <w14:solidFill>
              <w14:schemeClr w14:val="tx1"/>
            </w14:solidFill>
          </w14:textFill>
        </w:rPr>
      </w:pPr>
      <w:r>
        <w:rPr>
          <w:rFonts w:hint="eastAsia"/>
          <w:b/>
          <w:color w:val="000000" w:themeColor="text1"/>
          <w:sz w:val="36"/>
          <w14:textFill>
            <w14:solidFill>
              <w14:schemeClr w14:val="tx1"/>
            </w14:solidFill>
          </w14:textFill>
        </w:rPr>
        <w:t xml:space="preserve">投标人</w:t>
      </w:r>
      <w:r>
        <w:rPr>
          <w:b/>
          <w:color w:val="000000" w:themeColor="text1"/>
          <w:sz w:val="36"/>
          <w14:textFill>
            <w14:solidFill>
              <w14:schemeClr w14:val="tx1"/>
            </w14:solidFill>
          </w14:textFill>
        </w:rPr>
        <w:t xml:space="preserve">名称： </w:t>
      </w:r>
      <w:r/>
    </w:p>
    <w:p>
      <w:pPr>
        <w:ind w:left="223" w:right="52" w:firstLine="1084"/>
        <w:spacing w:line="360" w:lineRule="auto"/>
        <w:rPr>
          <w:color w:val="000000" w:themeColor="text1"/>
          <w:sz w:val="36"/>
          <w14:textFill>
            <w14:solidFill>
              <w14:schemeClr w14:val="tx1"/>
            </w14:solidFill>
          </w14:textFill>
        </w:rPr>
        <w:sectPr>
          <w:headerReference w:type="default" r:id="rId10"/>
          <w:footerReference w:type="default" r:id="rId14"/>
          <w:footnotePr/>
          <w:endnotePr/>
          <w:type w:val="nextPage"/>
          <w:pgSz w:w="11910" w:h="16840" w:orient="portrait"/>
          <w:pgMar w:top="1134" w:right="1134" w:bottom="1134" w:left="1134" w:header="567" w:footer="567" w:gutter="0"/>
          <w:cols w:num="1" w:sep="0" w:space="720" w:equalWidth="1"/>
          <w:docGrid w:linePitch="360"/>
        </w:sectPr>
      </w:pPr>
      <w:r>
        <w:rPr>
          <w:b/>
          <w:color w:val="000000" w:themeColor="text1"/>
          <w:sz w:val="36"/>
          <w14:textFill>
            <w14:solidFill>
              <w14:schemeClr w14:val="tx1"/>
            </w14:solidFill>
          </w14:textFill>
        </w:rPr>
        <w:t xml:space="preserve">日期：</w:t>
      </w:r>
      <w:r/>
    </w:p>
    <w:p>
      <w:pPr>
        <w:spacing w:line="360" w:lineRule="auto"/>
        <w:rPr>
          <w:b/>
          <w:color w:val="000000" w:themeColor="text1"/>
          <w:sz w:val="17"/>
          <w:szCs w:val="21"/>
          <w14:textFill>
            <w14:solidFill>
              <w14:schemeClr w14:val="tx1"/>
            </w14:solidFill>
          </w14:textFill>
        </w:rPr>
      </w:pPr>
      <w:r>
        <w:rPr>
          <w:b/>
          <w:color w:val="000000" w:themeColor="text1"/>
          <w:sz w:val="17"/>
          <w:szCs w:val="21"/>
          <w14:textFill>
            <w14:solidFill>
              <w14:schemeClr w14:val="tx1"/>
            </w14:solidFill>
          </w14:textFill>
        </w:rPr>
      </w:r>
      <w:r/>
    </w:p>
    <w:p>
      <w:pPr>
        <w:jc w:val="center"/>
        <w:rPr>
          <w:b/>
          <w:bCs/>
          <w:color w:val="000000" w:themeColor="text1"/>
          <w:sz w:val="28"/>
          <w:szCs w:val="28"/>
          <w14:textFill>
            <w14:solidFill>
              <w14:schemeClr w14:val="tx1"/>
            </w14:solidFill>
          </w14:textFill>
        </w:rPr>
        <w:outlineLvl w:val="1"/>
      </w:pPr>
      <w:r/>
      <w:bookmarkStart w:id="51" w:name="_Toc489655320"/>
      <w:r>
        <w:rPr>
          <w:rFonts w:hint="eastAsia"/>
          <w:b/>
          <w:bCs/>
          <w:color w:val="000000" w:themeColor="text1"/>
          <w:sz w:val="28"/>
          <w:szCs w:val="28"/>
          <w14:textFill>
            <w14:solidFill>
              <w14:schemeClr w14:val="tx1"/>
            </w14:solidFill>
          </w14:textFill>
        </w:rPr>
        <w:t xml:space="preserve">投标文件主要目录</w:t>
      </w:r>
      <w:bookmarkEnd w:id="51"/>
      <w:r>
        <w:rPr>
          <w:rFonts w:hint="eastAsia"/>
          <w:b/>
          <w:bCs/>
          <w:color w:val="000000" w:themeColor="text1"/>
          <w:sz w:val="28"/>
          <w:szCs w:val="28"/>
          <w14:textFill>
            <w14:solidFill>
              <w14:schemeClr w14:val="tx1"/>
            </w14:solidFill>
          </w14:textFill>
        </w:rPr>
        <w:t xml:space="preserve">及相关证明材料格式、附件</w:t>
      </w:r>
      <w:r/>
    </w:p>
    <w:p>
      <w:pPr>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r>
      <w:r/>
    </w:p>
    <w:p>
      <w:pPr>
        <w:ind w:firstLine="425"/>
        <w:spacing w:line="360" w:lineRule="auto"/>
        <w:rPr>
          <w:color w:val="000000" w:themeColor="text1"/>
          <w:sz w:val="28"/>
          <w:szCs w:val="28"/>
          <w14:textFill>
            <w14:solidFill>
              <w14:schemeClr w14:val="tx1"/>
            </w14:solidFill>
          </w14:textFill>
        </w:rPr>
      </w:pPr>
      <w:r>
        <w:rPr>
          <w:rFonts w:hint="eastAsia"/>
          <w:color w:val="000000" w:themeColor="text1"/>
          <w:sz w:val="28"/>
          <w:szCs w:val="28"/>
          <w:lang w:val="en-US" w:bidi="ar-SA"/>
          <w14:textFill>
            <w14:solidFill>
              <w14:schemeClr w14:val="tx1"/>
            </w14:solidFill>
          </w14:textFill>
        </w:rPr>
        <w:t xml:space="preserve">一、</w:t>
      </w:r>
      <w:r>
        <w:rPr>
          <w:rFonts w:hint="eastAsia"/>
          <w:color w:val="000000" w:themeColor="text1"/>
          <w:sz w:val="28"/>
          <w:szCs w:val="28"/>
          <w14:textFill>
            <w14:solidFill>
              <w14:schemeClr w14:val="tx1"/>
            </w14:solidFill>
          </w14:textFill>
        </w:rPr>
        <w:t xml:space="preserve">投标申请及声明</w:t>
      </w:r>
      <w:r/>
    </w:p>
    <w:p>
      <w:pPr>
        <w:ind w:firstLine="425"/>
        <w:spacing w:line="360" w:lineRule="auto"/>
        <w:rPr>
          <w:color w:val="000000" w:themeColor="text1"/>
          <w:sz w:val="28"/>
          <w:szCs w:val="28"/>
          <w14:textFill>
            <w14:solidFill>
              <w14:schemeClr w14:val="tx1"/>
            </w14:solidFill>
          </w14:textFill>
        </w:rPr>
      </w:pPr>
      <w:r>
        <w:rPr>
          <w:rFonts w:hint="eastAsia"/>
          <w:color w:val="000000" w:themeColor="text1"/>
          <w:sz w:val="28"/>
          <w:szCs w:val="28"/>
          <w:lang w:val="en-US" w:bidi="ar-SA"/>
          <w14:textFill>
            <w14:solidFill>
              <w14:schemeClr w14:val="tx1"/>
            </w14:solidFill>
          </w14:textFill>
        </w:rPr>
        <w:t xml:space="preserve">二、</w:t>
      </w:r>
      <w:r>
        <w:rPr>
          <w:rFonts w:hint="eastAsia"/>
          <w:color w:val="000000" w:themeColor="text1"/>
          <w:sz w:val="28"/>
          <w:szCs w:val="28"/>
          <w14:textFill>
            <w14:solidFill>
              <w14:schemeClr w14:val="tx1"/>
            </w14:solidFill>
          </w14:textFill>
        </w:rPr>
        <w:t xml:space="preserve">法定代表人授权书</w:t>
      </w:r>
      <w:r/>
    </w:p>
    <w:p>
      <w:pPr>
        <w:ind w:firstLine="425"/>
        <w:spacing w:line="360" w:lineRule="auto"/>
        <w:rPr>
          <w:color w:val="000000" w:themeColor="text1"/>
          <w:sz w:val="28"/>
          <w:szCs w:val="28"/>
          <w14:textFill>
            <w14:solidFill>
              <w14:schemeClr w14:val="tx1"/>
            </w14:solidFill>
          </w14:textFill>
        </w:rPr>
      </w:pPr>
      <w:r>
        <w:rPr>
          <w:rFonts w:hint="eastAsia"/>
          <w:color w:val="000000" w:themeColor="text1"/>
          <w:sz w:val="28"/>
          <w:szCs w:val="28"/>
          <w:lang w:val="en-US" w:bidi="ar-SA"/>
          <w14:textFill>
            <w14:solidFill>
              <w14:schemeClr w14:val="tx1"/>
            </w14:solidFill>
          </w14:textFill>
        </w:rPr>
        <w:t xml:space="preserve">三、</w:t>
      </w:r>
      <w:r>
        <w:rPr>
          <w:rFonts w:hint="eastAsia"/>
          <w:color w:val="000000" w:themeColor="text1"/>
          <w:sz w:val="28"/>
          <w:szCs w:val="28"/>
          <w14:textFill>
            <w14:solidFill>
              <w14:schemeClr w14:val="tx1"/>
            </w14:solidFill>
          </w14:textFill>
        </w:rPr>
        <w:t xml:space="preserve">开标一览表</w:t>
      </w:r>
      <w:r/>
    </w:p>
    <w:p>
      <w:pPr>
        <w:ind w:firstLine="425"/>
        <w:spacing w:line="360" w:lineRule="auto"/>
        <w:rPr>
          <w:color w:val="000000" w:themeColor="text1"/>
          <w:sz w:val="28"/>
          <w:szCs w:val="28"/>
          <w14:textFill>
            <w14:solidFill>
              <w14:schemeClr w14:val="tx1"/>
            </w14:solidFill>
          </w14:textFill>
        </w:rPr>
      </w:pPr>
      <w:r>
        <w:rPr>
          <w:rFonts w:hint="eastAsia"/>
          <w:color w:val="000000" w:themeColor="text1"/>
          <w:sz w:val="28"/>
          <w:szCs w:val="28"/>
          <w:lang w:val="en-US" w:bidi="ar-SA"/>
          <w14:textFill>
            <w14:solidFill>
              <w14:schemeClr w14:val="tx1"/>
            </w14:solidFill>
          </w14:textFill>
        </w:rPr>
        <w:t xml:space="preserve">四、</w:t>
      </w:r>
      <w:r>
        <w:rPr>
          <w:rFonts w:hint="eastAsia"/>
          <w:color w:val="000000" w:themeColor="text1"/>
          <w:sz w:val="28"/>
          <w:szCs w:val="28"/>
          <w14:textFill>
            <w14:solidFill>
              <w14:schemeClr w14:val="tx1"/>
            </w14:solidFill>
          </w14:textFill>
        </w:rPr>
        <w:t xml:space="preserve">分项报价表</w:t>
      </w:r>
      <w:r/>
    </w:p>
    <w:p>
      <w:pPr>
        <w:ind w:firstLine="425"/>
        <w:spacing w:line="360" w:lineRule="auto"/>
        <w:rPr>
          <w:color w:val="000000" w:themeColor="text1"/>
          <w:sz w:val="28"/>
          <w:szCs w:val="28"/>
          <w14:textFill>
            <w14:solidFill>
              <w14:schemeClr w14:val="tx1"/>
            </w14:solidFill>
          </w14:textFill>
        </w:rPr>
      </w:pPr>
      <w:r>
        <w:rPr>
          <w:rFonts w:hint="eastAsia"/>
          <w:color w:val="000000" w:themeColor="text1"/>
          <w:sz w:val="28"/>
          <w:szCs w:val="28"/>
          <w:lang w:val="en-US" w:bidi="ar-SA"/>
          <w14:textFill>
            <w14:solidFill>
              <w14:schemeClr w14:val="tx1"/>
            </w14:solidFill>
          </w14:textFill>
        </w:rPr>
        <w:t xml:space="preserve">五、</w:t>
      </w:r>
      <w:r>
        <w:rPr>
          <w:rFonts w:hint="eastAsia"/>
          <w:color w:val="000000" w:themeColor="text1"/>
          <w:sz w:val="28"/>
          <w:szCs w:val="28"/>
          <w14:textFill>
            <w14:solidFill>
              <w14:schemeClr w14:val="tx1"/>
            </w14:solidFill>
          </w14:textFill>
        </w:rPr>
        <w:t xml:space="preserve">技术条款偏离表</w:t>
      </w:r>
      <w:r/>
    </w:p>
    <w:p>
      <w:pPr>
        <w:ind w:firstLine="425"/>
        <w:spacing w:line="360" w:lineRule="auto"/>
        <w:rPr>
          <w:color w:val="000000" w:themeColor="text1"/>
          <w:sz w:val="28"/>
          <w:szCs w:val="28"/>
          <w14:textFill>
            <w14:solidFill>
              <w14:schemeClr w14:val="tx1"/>
            </w14:solidFill>
          </w14:textFill>
        </w:rPr>
      </w:pPr>
      <w:r>
        <w:rPr>
          <w:rFonts w:hint="eastAsia"/>
          <w:color w:val="000000" w:themeColor="text1"/>
          <w:sz w:val="28"/>
          <w:szCs w:val="28"/>
          <w:lang w:val="en-US" w:bidi="ar-SA"/>
          <w14:textFill>
            <w14:solidFill>
              <w14:schemeClr w14:val="tx1"/>
            </w14:solidFill>
          </w14:textFill>
        </w:rPr>
        <w:t xml:space="preserve">六、</w:t>
      </w:r>
      <w:r>
        <w:rPr>
          <w:rFonts w:hint="eastAsia"/>
          <w:color w:val="000000" w:themeColor="text1"/>
          <w:sz w:val="28"/>
          <w:szCs w:val="28"/>
          <w14:textFill>
            <w14:solidFill>
              <w14:schemeClr w14:val="tx1"/>
            </w14:solidFill>
          </w14:textFill>
        </w:rPr>
        <w:t xml:space="preserve">商务条款偏离表</w:t>
      </w:r>
      <w:r/>
    </w:p>
    <w:p>
      <w:pPr>
        <w:ind w:firstLine="425"/>
        <w:spacing w:line="360" w:lineRule="auto"/>
        <w:rPr>
          <w:color w:val="000000" w:themeColor="text1"/>
          <w:sz w:val="28"/>
          <w:szCs w:val="28"/>
          <w14:textFill>
            <w14:solidFill>
              <w14:schemeClr w14:val="tx1"/>
            </w14:solidFill>
          </w14:textFill>
        </w:rPr>
      </w:pPr>
      <w:r>
        <w:rPr>
          <w:rFonts w:hint="eastAsia"/>
          <w:color w:val="000000" w:themeColor="text1"/>
          <w:sz w:val="28"/>
          <w:szCs w:val="28"/>
          <w:lang w:val="en-US" w:bidi="ar-SA"/>
          <w14:textFill>
            <w14:solidFill>
              <w14:schemeClr w14:val="tx1"/>
            </w14:solidFill>
          </w14:textFill>
        </w:rPr>
        <w:t xml:space="preserve">七、施工组织设计方案</w:t>
      </w:r>
      <w:r/>
    </w:p>
    <w:p>
      <w:pPr>
        <w:ind w:firstLine="425"/>
        <w:spacing w:line="360" w:lineRule="auto"/>
        <w:rPr>
          <w:color w:val="000000" w:themeColor="text1"/>
          <w:sz w:val="28"/>
          <w:szCs w:val="28"/>
          <w14:textFill>
            <w14:solidFill>
              <w14:schemeClr w14:val="tx1"/>
            </w14:solidFill>
          </w14:textFill>
        </w:rPr>
      </w:pPr>
      <w:r>
        <w:rPr>
          <w:rFonts w:hint="eastAsia"/>
          <w:color w:val="000000" w:themeColor="text1"/>
          <w:sz w:val="28"/>
          <w:szCs w:val="28"/>
          <w:lang w:val="en-US" w:bidi="ar-SA"/>
          <w14:textFill>
            <w14:solidFill>
              <w14:schemeClr w14:val="tx1"/>
            </w14:solidFill>
          </w14:textFill>
        </w:rPr>
        <w:t xml:space="preserve">八、项目管理机构</w:t>
      </w:r>
      <w:r/>
    </w:p>
    <w:p>
      <w:pPr>
        <w:ind w:firstLine="425"/>
        <w:spacing w:line="360" w:lineRule="auto"/>
        <w:rPr>
          <w:color w:val="000000" w:themeColor="text1"/>
          <w:sz w:val="28"/>
          <w:szCs w:val="28"/>
          <w14:textFill>
            <w14:solidFill>
              <w14:schemeClr w14:val="tx1"/>
            </w14:solidFill>
          </w14:textFill>
        </w:rPr>
      </w:pPr>
      <w:r>
        <w:rPr>
          <w:rFonts w:hint="eastAsia"/>
          <w:color w:val="000000" w:themeColor="text1"/>
          <w:sz w:val="28"/>
          <w:szCs w:val="28"/>
          <w:lang w:val="en-US" w:bidi="ar-SA"/>
          <w14:textFill>
            <w14:solidFill>
              <w14:schemeClr w14:val="tx1"/>
            </w14:solidFill>
          </w14:textFill>
        </w:rPr>
        <w:t xml:space="preserve">九、</w:t>
      </w:r>
      <w:r>
        <w:rPr>
          <w:rFonts w:hint="eastAsia"/>
          <w:color w:val="000000" w:themeColor="text1"/>
          <w:sz w:val="28"/>
          <w:szCs w:val="28"/>
          <w14:textFill>
            <w14:solidFill>
              <w14:schemeClr w14:val="tx1"/>
            </w14:solidFill>
          </w14:textFill>
        </w:rPr>
        <w:t xml:space="preserve">投标人类似业绩情况</w:t>
      </w:r>
      <w:r/>
    </w:p>
    <w:p>
      <w:pPr>
        <w:ind w:left="425"/>
        <w:spacing w:line="360" w:lineRule="auto"/>
        <w:tabs>
          <w:tab w:val="left" w:pos="1145" w:leader="none"/>
        </w:tabs>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十、投标需要的其他证明文件及材料（若有）</w:t>
      </w:r>
      <w:r/>
    </w:p>
    <w:p>
      <w:pPr>
        <w:ind w:left="425"/>
        <w:spacing w:line="360" w:lineRule="auto"/>
        <w:tabs>
          <w:tab w:val="left" w:pos="1145" w:leader="none"/>
        </w:tabs>
        <w:rPr>
          <w:color w:val="000000" w:themeColor="text1"/>
          <w:sz w:val="28"/>
          <w:szCs w:val="28"/>
          <w:lang w:val="en-US"/>
          <w14:textFill>
            <w14:solidFill>
              <w14:schemeClr w14:val="tx1"/>
            </w14:solidFill>
          </w14:textFill>
        </w:rPr>
      </w:pPr>
      <w:r>
        <w:rPr>
          <w:rFonts w:hint="eastAsia"/>
          <w:color w:val="000000" w:themeColor="text1"/>
          <w:sz w:val="28"/>
          <w:szCs w:val="28"/>
          <w:lang w:val="en-US"/>
          <w14:textFill>
            <w14:solidFill>
              <w14:schemeClr w14:val="tx1"/>
            </w14:solidFill>
          </w14:textFill>
        </w:rPr>
        <w:t xml:space="preserve">十一、主要材料品牌一览表</w:t>
      </w:r>
      <w:r/>
    </w:p>
    <w:p>
      <w:pPr>
        <w:spacing w:line="360" w:lineRule="auto"/>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r>
      <w:r/>
    </w:p>
    <w:p>
      <w:pPr>
        <w:spacing w:line="360" w:lineRule="auto"/>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r>
      <w:r/>
    </w:p>
    <w:p>
      <w:pPr>
        <w:spacing w:line="360" w:lineRule="auto"/>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r>
      <w:r/>
    </w:p>
    <w:p>
      <w:pPr>
        <w:spacing w:line="360" w:lineRule="auto"/>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附件一、中小企业声明函格式</w:t>
      </w:r>
      <w:r/>
    </w:p>
    <w:p>
      <w:pPr>
        <w:spacing w:line="360" w:lineRule="auto"/>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附件二、无重大违法记录声明格式</w:t>
      </w:r>
      <w:r/>
    </w:p>
    <w:p>
      <w:pPr>
        <w:spacing w:line="360" w:lineRule="auto"/>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附件三、具备履行合同所必需的设备和专业技术能力的声明格式及证明材料</w:t>
      </w:r>
      <w:r/>
    </w:p>
    <w:p>
      <w:pPr>
        <w:pStyle w:val="1157"/>
        <w:spacing w:after="0" w:line="360" w:lineRule="auto"/>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附件四、残疾人福利性单位声明函格式</w:t>
      </w:r>
      <w:r/>
    </w:p>
    <w:p>
      <w:pPr>
        <w:spacing w:line="360" w:lineRule="auto"/>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附件五、属于监狱企业的证明文件</w:t>
      </w:r>
      <w:r/>
    </w:p>
    <w:p>
      <w:pPr>
        <w:spacing w:line="360" w:lineRule="auto"/>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附件六、访客入校申请使用指南</w:t>
      </w:r>
      <w:r/>
    </w:p>
    <w:p>
      <w:pPr>
        <w:spacing w:line="360" w:lineRule="auto"/>
        <w:rPr>
          <w:rFonts w:ascii="Times New Roman"/>
          <w:color w:val="000000" w:themeColor="text1"/>
          <w:sz w:val="20"/>
          <w14:textFill>
            <w14:solidFill>
              <w14:schemeClr w14:val="tx1"/>
            </w14:solidFill>
          </w14:textFill>
        </w:rPr>
        <w:sectPr>
          <w:footnotePr/>
          <w:endnotePr/>
          <w:type w:val="nextPage"/>
          <w:pgSz w:w="11910" w:h="16840" w:orient="portrait"/>
          <w:pgMar w:top="1134" w:right="1134" w:bottom="1134" w:left="1134" w:header="567" w:footer="720" w:gutter="0"/>
          <w:cols w:num="1" w:sep="0" w:space="720" w:equalWidth="1"/>
          <w:docGrid w:linePitch="360"/>
        </w:sectPr>
      </w:pPr>
      <w:r>
        <w:rPr>
          <w:rFonts w:hint="eastAsia"/>
          <w:color w:val="000000" w:themeColor="text1"/>
          <w:sz w:val="28"/>
          <w:szCs w:val="28"/>
          <w14:textFill>
            <w14:solidFill>
              <w14:schemeClr w14:val="tx1"/>
            </w14:solidFill>
          </w14:textFill>
        </w:rPr>
        <w:t xml:space="preserve"> </w:t>
      </w:r>
      <w:r/>
    </w:p>
    <w:p>
      <w:pPr>
        <w:spacing w:line="360" w:lineRule="auto"/>
        <w:rPr>
          <w:b/>
          <w:color w:val="000000" w:themeColor="text1"/>
          <w:sz w:val="39"/>
          <w14:textFill>
            <w14:solidFill>
              <w14:schemeClr w14:val="tx1"/>
            </w14:solidFill>
          </w14:textFill>
        </w:rPr>
      </w:pPr>
      <w:r>
        <w:rPr>
          <w:b/>
          <w:color w:val="000000" w:themeColor="text1"/>
          <w:sz w:val="21"/>
          <w14:textFill>
            <w14:solidFill>
              <w14:schemeClr w14:val="tx1"/>
            </w14:solidFill>
          </w14:textFill>
        </w:rPr>
        <w:t xml:space="preserve">目录一、投标申请及声明格式</w:t>
      </w:r>
      <w:r/>
    </w:p>
    <w:p>
      <w:pPr>
        <w:jc w:val="center"/>
        <w:spacing w:line="360" w:lineRule="auto"/>
        <w:rPr>
          <w:rFonts w:asciiTheme="minorEastAsia" w:hAnsiTheme="minorEastAsia" w:eastAsiaTheme="minorEastAsia"/>
          <w:b/>
          <w:color w:val="000000" w:themeColor="text1"/>
          <w:sz w:val="36"/>
          <w14:textFill>
            <w14:solidFill>
              <w14:schemeClr w14:val="tx1"/>
            </w14:solidFill>
          </w14:textFill>
        </w:rPr>
      </w:pPr>
      <w:r>
        <w:rPr>
          <w:rFonts w:hint="eastAsia" w:asciiTheme="minorEastAsia" w:hAnsiTheme="minorEastAsia" w:eastAsiaTheme="minorEastAsia"/>
          <w:b/>
          <w:color w:val="000000" w:themeColor="text1"/>
          <w:sz w:val="36"/>
          <w14:textFill>
            <w14:solidFill>
              <w14:schemeClr w14:val="tx1"/>
            </w14:solidFill>
          </w14:textFill>
        </w:rPr>
        <w:t xml:space="preserve">投标申请及声明</w:t>
      </w:r>
      <w:r/>
    </w:p>
    <w:p>
      <w:pPr>
        <w:spacing w:line="360" w:lineRule="auto"/>
        <w:rPr>
          <w:rFonts w:ascii="黑体" w:eastAsia="黑体"/>
          <w:color w:val="000000" w:themeColor="text1"/>
          <w:sz w:val="36"/>
          <w14:textFill>
            <w14:solidFill>
              <w14:schemeClr w14:val="tx1"/>
            </w14:solidFill>
          </w14:textFill>
        </w:rPr>
        <w:sectPr>
          <w:footnotePr/>
          <w:endnotePr/>
          <w:type w:val="nextPage"/>
          <w:pgSz w:w="11910" w:h="16840" w:orient="portrait"/>
          <w:pgMar w:top="1134" w:right="1134" w:bottom="1134" w:left="1134" w:header="567" w:footer="720" w:gutter="0"/>
          <w:cols w:num="1" w:sep="0" w:space="425" w:equalWidth="1"/>
          <w:docGrid w:linePitch="360"/>
        </w:sectPr>
      </w:pPr>
      <w:r>
        <w:rPr>
          <w:rFonts w:ascii="黑体" w:eastAsia="黑体"/>
          <w:color w:val="000000" w:themeColor="text1"/>
          <w:sz w:val="36"/>
          <w14:textFill>
            <w14:solidFill>
              <w14:schemeClr w14:val="tx1"/>
            </w14:solidFill>
          </w14:textFill>
        </w:rPr>
      </w:r>
      <w:r/>
    </w:p>
    <w:p>
      <w:pPr>
        <w:spacing w:line="360" w:lineRule="auto"/>
        <w:rPr>
          <w:rFonts w:ascii="黑体"/>
          <w:color w:val="000000" w:themeColor="text1"/>
          <w:sz w:val="8"/>
          <w:szCs w:val="21"/>
          <w14:textFill>
            <w14:solidFill>
              <w14:schemeClr w14:val="tx1"/>
            </w14:solidFill>
          </w14:textFill>
        </w:rPr>
      </w:pPr>
      <w:r>
        <w:rPr>
          <w:rFonts w:ascii="黑体"/>
          <w:color w:val="000000" w:themeColor="text1"/>
          <w:sz w:val="8"/>
          <w:szCs w:val="21"/>
          <w14:textFill>
            <w14:solidFill>
              <w14:schemeClr w14:val="tx1"/>
            </w14:solidFill>
          </w14:textFill>
        </w:rPr>
      </w:r>
      <w:r/>
    </w:p>
    <w:p>
      <w:pPr>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致：</w:t>
      </w:r>
      <w:r>
        <w:rPr>
          <w:rFonts w:hint="eastAsia"/>
          <w:color w:val="000000" w:themeColor="text1"/>
          <w:sz w:val="21"/>
          <w:szCs w:val="21"/>
          <w14:textFill>
            <w14:solidFill>
              <w14:schemeClr w14:val="tx1"/>
            </w14:solidFill>
          </w14:textFill>
        </w:rPr>
        <w:t xml:space="preserve">南京中医药大学</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根据贵方（项目名称）（项目编号）投标邀请，正式授权下述签字人（姓名和职务）代表投标人（投标人名称），提交投标文件。</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据此函，签字人兹宣布声明和承诺如下：</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1.我方的资格条件符合政府采购法和本次招标要求，我方同意并向贵方提供了与投标有关的所有证据和资料。</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2.按招标要求，我方投标的报价总价为人民币（小写）</w:t>
      </w:r>
      <w:r>
        <w:rPr>
          <w:rFonts w:hint="eastAsia"/>
          <w:color w:val="000000" w:themeColor="text1"/>
          <w:sz w:val="21"/>
          <w:szCs w:val="21"/>
          <w:u w:val="single"/>
          <w14:textFill>
            <w14:solidFill>
              <w14:schemeClr w14:val="tx1"/>
            </w14:solidFill>
          </w14:textFill>
        </w:rPr>
        <w:t xml:space="preserve">      </w:t>
      </w:r>
      <w:r>
        <w:rPr>
          <w:rFonts w:hint="eastAsia"/>
          <w:color w:val="000000" w:themeColor="text1"/>
          <w:sz w:val="21"/>
          <w:szCs w:val="21"/>
          <w14:textFill>
            <w14:solidFill>
              <w14:schemeClr w14:val="tx1"/>
            </w14:solidFill>
          </w14:textFill>
        </w:rPr>
        <w:t xml:space="preserve">元，（大写） </w:t>
      </w:r>
      <w:r>
        <w:rPr>
          <w:rFonts w:hint="eastAsia"/>
          <w:color w:val="000000" w:themeColor="text1"/>
          <w:sz w:val="21"/>
          <w:szCs w:val="21"/>
          <w:u w:val="single"/>
          <w14:textFill>
            <w14:solidFill>
              <w14:schemeClr w14:val="tx1"/>
            </w14:solidFill>
          </w14:textFill>
        </w:rPr>
        <w:t xml:space="preserve">     </w:t>
      </w:r>
      <w:r>
        <w:rPr>
          <w:rFonts w:hint="eastAsia"/>
          <w:color w:val="000000" w:themeColor="text1"/>
          <w:sz w:val="21"/>
          <w:szCs w:val="21"/>
          <w14:textFill>
            <w14:solidFill>
              <w14:schemeClr w14:val="tx1"/>
            </w14:solidFill>
          </w14:textFill>
        </w:rPr>
        <w:t xml:space="preserve">元。</w:t>
      </w:r>
      <w:r/>
    </w:p>
    <w:p>
      <w:pPr>
        <w:ind w:firstLine="420"/>
        <w:spacing w:line="360" w:lineRule="auto"/>
        <w:rPr>
          <w:sz w:val="21"/>
          <w:szCs w:val="21"/>
        </w:rPr>
      </w:pPr>
      <w:r>
        <w:rPr>
          <w:rFonts w:hint="eastAsia"/>
          <w:sz w:val="21"/>
          <w:szCs w:val="21"/>
          <w:lang w:val="en-US"/>
        </w:rPr>
        <w:t xml:space="preserve">3.合同履行期限（工期）</w:t>
      </w:r>
      <w:r>
        <w:rPr>
          <w:rFonts w:hint="eastAsia"/>
          <w:sz w:val="21"/>
          <w:szCs w:val="21"/>
        </w:rPr>
        <w:t xml:space="preserve">：</w:t>
      </w:r>
      <w:r>
        <w:rPr>
          <w:rFonts w:hint="eastAsia"/>
          <w:sz w:val="21"/>
          <w:szCs w:val="21"/>
          <w:u w:val="single"/>
          <w:lang w:val="en-US"/>
        </w:rPr>
        <w:t xml:space="preserve">     </w:t>
      </w:r>
      <w:r>
        <w:rPr>
          <w:rFonts w:hint="eastAsia"/>
          <w:sz w:val="21"/>
          <w:szCs w:val="21"/>
        </w:rPr>
        <w:t xml:space="preserve">日历天，</w:t>
      </w:r>
      <w:r>
        <w:rPr>
          <w:sz w:val="21"/>
        </w:rPr>
        <w:t xml:space="preserve">即本工程自发包人下达的书面开工令载明的开工之日起</w:t>
      </w:r>
      <w:r>
        <w:rPr>
          <w:rFonts w:hint="eastAsia"/>
          <w:sz w:val="21"/>
          <w:szCs w:val="21"/>
          <w:u w:val="single"/>
          <w:lang w:val="en-US"/>
        </w:rPr>
        <w:t xml:space="preserve">     </w:t>
      </w:r>
      <w:r>
        <w:rPr>
          <w:rFonts w:hint="eastAsia"/>
          <w:sz w:val="21"/>
          <w:szCs w:val="21"/>
        </w:rPr>
        <w:t xml:space="preserve">日历天</w:t>
      </w:r>
      <w:r>
        <w:rPr>
          <w:sz w:val="21"/>
        </w:rPr>
        <w:t xml:space="preserve">竣工。</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4.我方参加本次采购活动前三年内，在经营活动中没有重大违法记录。</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5.我方参加本次采购活动前，没有被信用中国网站、中国政府采购网站列入失信被执行人名单、重大税收违法案件当事人名单、政府采购严重违法失信行为记录名单。</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6.我方在全国范围内未受过财政部门禁止参加政府采购活动的处罚，或禁止参加政府采购活动的处罚期限已满。</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7.我方没有为本采购项目提供整体设计、规范编制，以及项目管理、监理、检测等服务。</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8.我方与参与本次采购活动的其他供应商的委托代理人（或法定代表人、项目经理、项目总监、项目负责人等），在招标文件发布日上月至投标截止日当月未在同一单位缴纳社会保险。</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9.我方与参与本次采购活动的其他供应商的法定代表人或委托代理人无夫妻、直系血亲关系。</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10.我方与参与本次采购活动的其他供应商的负责人不是同一人，也不存在直接控股、管理关系。</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11.我方已详细审阅全部招标文件及其有效补充文件，放弃对招标文件任何误解的权利，提交投标文件后，不对招标文件本身提出质疑。否则，属于不诚信和故意扰乱政府采购活动行为，我们将无条件接受处罚。</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12.我方同意从规定的开标日期起遵循本投标文件，并在规定的投标有效期期满之前均具有约束力。</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13.一旦我方中标，将根据招标文件的规定严格履行合同，并保证按承诺的时间完成服务的启动/集成、调试等服务，交付采购人验收、使用。</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14.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15</w:t>
      </w:r>
      <w:r>
        <w:rPr>
          <w:color w:val="000000" w:themeColor="text1"/>
          <w:sz w:val="21"/>
          <w:szCs w:val="21"/>
          <w14:textFill>
            <w14:solidFill>
              <w14:schemeClr w14:val="tx1"/>
            </w14:solidFill>
          </w14:textFill>
        </w:rPr>
        <w:t xml:space="preserve">、与本投标有关的正式联系方式为： </w:t>
      </w:r>
      <w:r/>
    </w:p>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地址：</w:t>
      </w:r>
      <w:r/>
    </w:p>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电话： </w:t>
      </w:r>
      <w:r/>
    </w:p>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传真：</w:t>
      </w:r>
      <w:r/>
    </w:p>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开户银行： </w:t>
      </w:r>
      <w:r/>
    </w:p>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银行账号：</w:t>
      </w:r>
      <w:r/>
    </w:p>
    <w:p>
      <w:pPr>
        <w:ind w:firstLine="420"/>
        <w:spacing w:line="360" w:lineRule="auto"/>
        <w:tabs>
          <w:tab w:val="left" w:pos="9680"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供应商授权代表姓名（签</w:t>
      </w:r>
      <w:r>
        <w:rPr>
          <w:rFonts w:hint="eastAsia"/>
          <w:color w:val="000000" w:themeColor="text1"/>
          <w:sz w:val="21"/>
          <w:szCs w:val="21"/>
          <w14:textFill>
            <w14:solidFill>
              <w14:schemeClr w14:val="tx1"/>
            </w14:solidFill>
          </w14:textFill>
        </w:rPr>
        <w:t xml:space="preserve">字</w:t>
      </w:r>
      <w:r>
        <w:rPr>
          <w:color w:val="000000" w:themeColor="text1"/>
          <w:sz w:val="21"/>
          <w:szCs w:val="21"/>
          <w14:textFill>
            <w14:solidFill>
              <w14:schemeClr w14:val="tx1"/>
            </w14:solidFill>
          </w14:textFill>
        </w:rPr>
        <w:t xml:space="preserve">）：</w:t>
      </w:r>
      <w:r/>
    </w:p>
    <w:p>
      <w:pPr>
        <w:ind w:firstLine="420"/>
        <w:spacing w:line="360" w:lineRule="auto"/>
        <w:tabs>
          <w:tab w:val="left" w:pos="3520"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供应商名称（盖章）：</w:t>
      </w:r>
      <w:r/>
    </w:p>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日期：年月日</w:t>
      </w:r>
      <w:r/>
    </w:p>
    <w:p>
      <w:pPr>
        <w:ind w:firstLine="440"/>
        <w:spacing w:line="360" w:lineRule="auto"/>
        <w:rPr>
          <w:color w:val="000000" w:themeColor="text1"/>
          <w14:textFill>
            <w14:solidFill>
              <w14:schemeClr w14:val="tx1"/>
            </w14:solidFill>
          </w14:textFill>
        </w:rPr>
        <w:sectPr>
          <w:footnotePr/>
          <w:endnotePr/>
          <w:type w:val="continuous"/>
          <w:pgSz w:w="11910" w:h="16840" w:orient="portrait"/>
          <w:pgMar w:top="1134" w:right="1134" w:bottom="1134" w:left="1134" w:header="720" w:footer="720" w:gutter="0"/>
          <w:cols w:num="1" w:sep="0" w:space="720" w:equalWidth="1"/>
          <w:docGrid w:linePitch="360"/>
        </w:sectPr>
      </w:pPr>
      <w:r>
        <w:rPr>
          <w:color w:val="000000" w:themeColor="text1"/>
          <w14:textFill>
            <w14:solidFill>
              <w14:schemeClr w14:val="tx1"/>
            </w14:solidFill>
          </w14:textFill>
        </w:rPr>
      </w:r>
      <w:r/>
    </w:p>
    <w:p>
      <w:pPr>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t xml:space="preserve">目录二、法定代表人授权书</w:t>
      </w:r>
      <w:r>
        <w:rPr>
          <w:rFonts w:hint="eastAsia"/>
          <w:b/>
          <w:color w:val="000000" w:themeColor="text1"/>
          <w:sz w:val="21"/>
          <w:lang w:val="en-US"/>
          <w14:textFill>
            <w14:solidFill>
              <w14:schemeClr w14:val="tx1"/>
            </w14:solidFill>
          </w14:textFill>
        </w:rPr>
        <w:t xml:space="preserve">格式</w:t>
      </w:r>
      <w:r/>
    </w:p>
    <w:p>
      <w:pPr>
        <w:jc w:val="center"/>
        <w:spacing w:line="360" w:lineRule="auto"/>
        <w:rPr>
          <w:rFonts w:asciiTheme="minorEastAsia" w:hAnsiTheme="minorEastAsia" w:eastAsiaTheme="minorEastAsia"/>
          <w:b/>
          <w:color w:val="000000" w:themeColor="text1"/>
          <w:sz w:val="36"/>
          <w14:textFill>
            <w14:solidFill>
              <w14:schemeClr w14:val="tx1"/>
            </w14:solidFill>
          </w14:textFill>
        </w:rPr>
      </w:pPr>
      <w:r>
        <w:rPr>
          <w:rFonts w:hint="eastAsia" w:asciiTheme="minorEastAsia" w:hAnsiTheme="minorEastAsia" w:eastAsiaTheme="minorEastAsia"/>
          <w:b/>
          <w:color w:val="000000" w:themeColor="text1"/>
          <w:sz w:val="36"/>
          <w14:textFill>
            <w14:solidFill>
              <w14:schemeClr w14:val="tx1"/>
            </w14:solidFill>
          </w14:textFill>
        </w:rPr>
        <w:t xml:space="preserve">法定代表人授权委托书</w:t>
      </w:r>
      <w:r/>
    </w:p>
    <w:p>
      <w:pPr>
        <w:spacing w:line="360" w:lineRule="auto"/>
        <w:rPr>
          <w:rFonts w:ascii="黑体" w:eastAsia="黑体"/>
          <w:color w:val="000000" w:themeColor="text1"/>
          <w:sz w:val="36"/>
          <w14:textFill>
            <w14:solidFill>
              <w14:schemeClr w14:val="tx1"/>
            </w14:solidFill>
          </w14:textFill>
        </w:rPr>
        <w:sectPr>
          <w:footnotePr/>
          <w:endnotePr/>
          <w:type w:val="nextPage"/>
          <w:pgSz w:w="11910" w:h="16840" w:orient="portrait"/>
          <w:pgMar w:top="1134" w:right="1134" w:bottom="1134" w:left="1134" w:header="567" w:footer="720" w:gutter="0"/>
          <w:cols w:num="1" w:sep="0" w:space="425" w:equalWidth="1"/>
          <w:docGrid w:linePitch="360"/>
        </w:sectPr>
      </w:pPr>
      <w:r>
        <w:rPr>
          <w:rFonts w:ascii="黑体" w:eastAsia="黑体"/>
          <w:color w:val="000000" w:themeColor="text1"/>
          <w:sz w:val="36"/>
          <w14:textFill>
            <w14:solidFill>
              <w14:schemeClr w14:val="tx1"/>
            </w14:solidFill>
          </w14:textFill>
        </w:rPr>
      </w:r>
      <w:r/>
    </w:p>
    <w:p>
      <w:pP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南京中医药大学</w:t>
      </w:r>
      <w:r>
        <w:rPr>
          <w:color w:val="000000" w:themeColor="text1"/>
          <w:sz w:val="21"/>
          <w:szCs w:val="21"/>
          <w14:textFill>
            <w14:solidFill>
              <w14:schemeClr w14:val="tx1"/>
            </w14:solidFill>
          </w14:textFill>
        </w:rPr>
        <w:t xml:space="preserve">：</w:t>
      </w:r>
      <w:r/>
    </w:p>
    <w:p>
      <w:pPr>
        <w:ind w:firstLine="420"/>
        <w:jc w:val="both"/>
        <w:spacing w:line="360" w:lineRule="auto"/>
        <w:rPr>
          <w:rFonts w:hAnsi="Times New Roman" w:cs="Times New Roman"/>
          <w:color w:val="000000" w:themeColor="text1"/>
          <w:sz w:val="21"/>
          <w:szCs w:val="21"/>
          <w:lang w:bidi="ar-SA"/>
          <w14:textFill>
            <w14:solidFill>
              <w14:schemeClr w14:val="tx1"/>
            </w14:solidFill>
          </w14:textFill>
        </w:rPr>
      </w:pPr>
      <w:r>
        <w:rPr>
          <w:rFonts w:hint="eastAsia" w:hAnsi="Times New Roman" w:cs="Times New Roman"/>
          <w:color w:val="000000" w:themeColor="text1"/>
          <w:sz w:val="21"/>
          <w:szCs w:val="21"/>
          <w:lang w:bidi="ar-SA"/>
          <w14:textFill>
            <w14:solidFill>
              <w14:schemeClr w14:val="tx1"/>
            </w14:solidFill>
          </w14:textFill>
        </w:rPr>
        <w:t xml:space="preserve">本授权书声明：注册于（供应商住址）的（供应商名称）法定代表人（法定代表人姓名、职务）代表本公司授权在下面签字的（供应商代表姓名、职务）为本公司的合法代理人，就贵方组织的（项目名称）（项目编号）公开招标，以本公司名义处理一切与之有关的事务。</w:t>
      </w:r>
      <w:r/>
    </w:p>
    <w:p>
      <w:pPr>
        <w:ind w:firstLine="420"/>
        <w:jc w:val="both"/>
        <w:spacing w:line="360" w:lineRule="auto"/>
        <w:rPr>
          <w:rFonts w:hAnsi="Times New Roman" w:cs="Times New Roman"/>
          <w:color w:val="000000" w:themeColor="text1"/>
          <w:sz w:val="21"/>
          <w:szCs w:val="21"/>
          <w:lang w:bidi="ar-SA"/>
          <w14:textFill>
            <w14:solidFill>
              <w14:schemeClr w14:val="tx1"/>
            </w14:solidFill>
          </w14:textFill>
        </w:rPr>
      </w:pPr>
      <w:r>
        <w:rPr>
          <w:rFonts w:hint="eastAsia" w:hAnsi="Times New Roman" w:cs="Times New Roman"/>
          <w:color w:val="000000" w:themeColor="text1"/>
          <w:sz w:val="21"/>
          <w:szCs w:val="21"/>
          <w:lang w:bidi="ar-SA"/>
          <w14:textFill>
            <w14:solidFill>
              <w14:schemeClr w14:val="tx1"/>
            </w14:solidFill>
          </w14:textFill>
        </w:rPr>
        <w:t xml:space="preserve">本授权书于年月 日签字生效，特此声明。</w:t>
      </w:r>
      <w:r/>
    </w:p>
    <w:p>
      <w:pPr>
        <w:ind w:firstLine="420"/>
        <w:jc w:val="both"/>
        <w:spacing w:line="360" w:lineRule="auto"/>
        <w:rPr>
          <w:rFonts w:hAnsi="Times New Roman" w:cs="Times New Roman"/>
          <w:color w:val="000000" w:themeColor="text1"/>
          <w:sz w:val="21"/>
          <w:szCs w:val="21"/>
          <w:lang w:bidi="ar-SA"/>
          <w14:textFill>
            <w14:solidFill>
              <w14:schemeClr w14:val="tx1"/>
            </w14:solidFill>
          </w14:textFill>
        </w:rPr>
      </w:pPr>
      <w:r>
        <w:rPr>
          <w:rFonts w:hint="eastAsia" w:hAnsi="Times New Roman" w:cs="Times New Roman"/>
          <w:color w:val="000000" w:themeColor="text1"/>
          <w:sz w:val="21"/>
          <w:szCs w:val="21"/>
          <w:lang w:bidi="ar-SA"/>
          <w14:textFill>
            <w14:solidFill>
              <w14:schemeClr w14:val="tx1"/>
            </w14:solidFill>
          </w14:textFill>
        </w:rPr>
        <w:t xml:space="preserve">法定代表人签字：</w:t>
      </w:r>
      <w:r/>
    </w:p>
    <w:p>
      <w:pPr>
        <w:ind w:firstLine="420"/>
        <w:jc w:val="both"/>
        <w:spacing w:line="360" w:lineRule="auto"/>
        <w:rPr>
          <w:rFonts w:hAnsi="Times New Roman" w:cs="Times New Roman"/>
          <w:color w:val="000000" w:themeColor="text1"/>
          <w:sz w:val="21"/>
          <w:szCs w:val="21"/>
          <w:lang w:bidi="ar-SA"/>
          <w14:textFill>
            <w14:solidFill>
              <w14:schemeClr w14:val="tx1"/>
            </w14:solidFill>
          </w14:textFill>
        </w:rPr>
      </w:pPr>
      <w:r>
        <w:rPr>
          <w:rFonts w:hint="eastAsia" w:hAnsi="Times New Roman" w:cs="Times New Roman"/>
          <w:color w:val="000000" w:themeColor="text1"/>
          <w:sz w:val="21"/>
          <w:szCs w:val="21"/>
          <w:lang w:bidi="ar-SA"/>
          <w14:textFill>
            <w14:solidFill>
              <w14:schemeClr w14:val="tx1"/>
            </w14:solidFill>
          </w14:textFill>
        </w:rPr>
        <w:t xml:space="preserve">授权委托人签字：</w:t>
      </w:r>
      <w:r/>
    </w:p>
    <w:p>
      <w:pPr>
        <w:ind w:firstLine="420"/>
        <w:jc w:val="both"/>
        <w:spacing w:line="360" w:lineRule="auto"/>
        <w:rPr>
          <w:rFonts w:hAnsi="Times New Roman" w:cs="Times New Roman"/>
          <w:color w:val="000000" w:themeColor="text1"/>
          <w:sz w:val="21"/>
          <w:szCs w:val="21"/>
          <w:lang w:bidi="ar-SA"/>
          <w14:textFill>
            <w14:solidFill>
              <w14:schemeClr w14:val="tx1"/>
            </w14:solidFill>
          </w14:textFill>
        </w:rPr>
      </w:pPr>
      <w:r>
        <w:rPr>
          <w:rFonts w:hint="eastAsia" w:hAnsi="Times New Roman" w:cs="Times New Roman"/>
          <w:color w:val="000000" w:themeColor="text1"/>
          <w:sz w:val="21"/>
          <w:szCs w:val="21"/>
          <w:lang w:bidi="ar-SA"/>
          <w14:textFill>
            <w14:solidFill>
              <w14:schemeClr w14:val="tx1"/>
            </w14:solidFill>
          </w14:textFill>
        </w:rPr>
        <w:t xml:space="preserve">投标人：（盖章）</w:t>
      </w:r>
      <w:r/>
    </w:p>
    <w:p>
      <w:pPr>
        <w:ind w:firstLine="420"/>
        <w:jc w:val="both"/>
        <w:spacing w:line="360" w:lineRule="auto"/>
        <w:tabs>
          <w:tab w:val="left" w:pos="1440" w:leader="none"/>
        </w:tabs>
        <w:rPr>
          <w:rFonts w:hAnsi="Times New Roman" w:cs="Times New Roman"/>
          <w:color w:val="000000" w:themeColor="text1"/>
          <w:sz w:val="21"/>
          <w:szCs w:val="21"/>
          <w:lang w:bidi="ar-SA"/>
          <w14:textFill>
            <w14:solidFill>
              <w14:schemeClr w14:val="tx1"/>
            </w14:solidFill>
          </w14:textFill>
        </w:rPr>
      </w:pPr>
      <w:r>
        <w:rPr>
          <w:rFonts w:hint="eastAsia" w:hAnsi="Times New Roman" w:cs="Times New Roman"/>
          <w:color w:val="000000" w:themeColor="text1"/>
          <w:sz w:val="21"/>
          <w:szCs w:val="21"/>
          <w:lang w:bidi="ar-SA"/>
          <w14:textFill>
            <w14:solidFill>
              <w14:schemeClr w14:val="tx1"/>
            </w14:solidFill>
          </w14:textFill>
        </w:rPr>
        <w:t xml:space="preserve">日期：年月 日</w:t>
      </w:r>
      <w:r/>
    </w:p>
    <w:p>
      <w:pPr>
        <w:ind w:firstLine="420"/>
        <w:jc w:val="both"/>
        <w:spacing w:line="360" w:lineRule="auto"/>
        <w:tabs>
          <w:tab w:val="left" w:pos="1440" w:leader="none"/>
        </w:tabs>
        <w:rPr>
          <w:rFonts w:hAnsi="Times New Roman" w:cs="Times New Roman"/>
          <w:color w:val="000000" w:themeColor="text1"/>
          <w:sz w:val="21"/>
          <w:szCs w:val="21"/>
          <w:lang w:bidi="ar-SA"/>
          <w14:textFill>
            <w14:solidFill>
              <w14:schemeClr w14:val="tx1"/>
            </w14:solidFill>
          </w14:textFill>
        </w:rPr>
      </w:pPr>
      <w:r>
        <w:rPr>
          <w:rFonts w:hAnsi="Times New Roman" w:cs="Times New Roman"/>
          <w:color w:val="000000" w:themeColor="text1"/>
          <w:sz w:val="21"/>
          <w:szCs w:val="21"/>
          <w:lang w:bidi="ar-SA"/>
          <w14:textFill>
            <w14:solidFill>
              <w14:schemeClr w14:val="tx1"/>
            </w14:solidFill>
          </w14:textFill>
        </w:rPr>
      </w:r>
      <w:r/>
    </w:p>
    <w:p>
      <w:pPr>
        <w:ind w:firstLine="420"/>
        <w:spacing w:line="360" w:lineRule="auto"/>
        <w:rPr>
          <w:rFonts w:hAnsi="Times New Roman" w:cs="Times New Roman"/>
          <w:color w:val="000000" w:themeColor="text1"/>
          <w:sz w:val="21"/>
          <w:szCs w:val="21"/>
          <w:lang w:bidi="ar-SA"/>
          <w14:textFill>
            <w14:solidFill>
              <w14:schemeClr w14:val="tx1"/>
            </w14:solidFill>
          </w14:textFill>
        </w:rPr>
      </w:pPr>
      <w:r>
        <w:rPr>
          <w:rFonts w:hint="eastAsia" w:hAnsi="Times New Roman" w:cs="Times New Roman"/>
          <w:color w:val="000000" w:themeColor="text1"/>
          <w:sz w:val="21"/>
          <w:szCs w:val="21"/>
          <w:lang w:bidi="ar-SA"/>
          <w14:textFill>
            <w14:solidFill>
              <w14:schemeClr w14:val="tx1"/>
            </w14:solidFill>
          </w14:textFill>
        </w:rPr>
        <w:t xml:space="preserve">被授权人身份证正反面：</w:t>
      </w:r>
      <w:r/>
    </w:p>
    <w:p>
      <w:pPr>
        <w:rPr>
          <w:rFonts w:hAnsi="Times New Roman" w:cs="Times New Roman"/>
          <w:color w:val="000000" w:themeColor="text1"/>
          <w:sz w:val="21"/>
          <w:szCs w:val="21"/>
          <w:lang w:bidi="ar-SA"/>
          <w14:textFill>
            <w14:solidFill>
              <w14:schemeClr w14:val="tx1"/>
            </w14:solidFill>
          </w14:textFill>
        </w:rPr>
      </w:pPr>
      <w:r>
        <w:rPr>
          <w:rFonts w:hint="eastAsia" w:hAnsi="Times New Roman" w:cs="Times New Roman"/>
          <w:color w:val="000000" w:themeColor="text1"/>
          <w:sz w:val="21"/>
          <w:szCs w:val="21"/>
          <w:lang w:bidi="ar-SA"/>
          <w14:textFill>
            <w14:solidFill>
              <w14:schemeClr w14:val="tx1"/>
            </w14:solidFill>
          </w14:textFill>
        </w:rPr>
        <w:br w:type="page" w:clear="all"/>
      </w:r>
      <w:r/>
    </w:p>
    <w:p>
      <w:pPr>
        <w:ind w:firstLine="420"/>
        <w:spacing w:line="360" w:lineRule="auto"/>
        <w:rPr>
          <w:rFonts w:hAnsi="Times New Roman" w:cs="Times New Roman"/>
          <w:color w:val="000000" w:themeColor="text1"/>
          <w:sz w:val="21"/>
          <w:szCs w:val="21"/>
          <w:lang w:bidi="ar-SA"/>
          <w14:textFill>
            <w14:solidFill>
              <w14:schemeClr w14:val="tx1"/>
            </w14:solidFill>
          </w14:textFill>
        </w:rPr>
      </w:pPr>
      <w:r>
        <w:rPr>
          <w:rFonts w:hAnsi="Times New Roman" w:cs="Times New Roman"/>
          <w:color w:val="000000" w:themeColor="text1"/>
          <w:sz w:val="21"/>
          <w:szCs w:val="21"/>
          <w:lang w:bidi="ar-SA"/>
          <w14:textFill>
            <w14:solidFill>
              <w14:schemeClr w14:val="tx1"/>
            </w14:solidFill>
          </w14:textFill>
        </w:rPr>
      </w:r>
      <w:r/>
    </w:p>
    <w:p>
      <w:pPr>
        <w:ind w:firstLine="440"/>
        <w:spacing w:line="360" w:lineRule="auto"/>
        <w:rPr>
          <w:color w:val="000000" w:themeColor="text1"/>
          <w14:textFill>
            <w14:solidFill>
              <w14:schemeClr w14:val="tx1"/>
            </w14:solidFill>
          </w14:textFill>
        </w:rPr>
        <w:sectPr>
          <w:footnotePr/>
          <w:endnotePr/>
          <w:type w:val="continuous"/>
          <w:pgSz w:w="11910" w:h="16840" w:orient="portrait"/>
          <w:pgMar w:top="1134" w:right="1134" w:bottom="1134" w:left="1134" w:header="720" w:footer="720" w:gutter="0"/>
          <w:cols w:num="1" w:sep="0" w:space="720" w:equalWidth="1"/>
          <w:docGrid w:linePitch="360"/>
        </w:sectPr>
      </w:pPr>
      <w:r>
        <w:rPr>
          <w:color w:val="000000" w:themeColor="text1"/>
          <w14:textFill>
            <w14:solidFill>
              <w14:schemeClr w14:val="tx1"/>
            </w14:solidFill>
          </w14:textFill>
        </w:rPr>
      </w:r>
      <w:r/>
    </w:p>
    <w:p>
      <w:pPr>
        <w:spacing w:line="360" w:lineRule="auto"/>
        <w:widowControl/>
        <w:rPr>
          <w:b/>
          <w:color w:val="000000" w:themeColor="text1"/>
          <w:sz w:val="21"/>
          <w:szCs w:val="21"/>
          <w14:textFill>
            <w14:solidFill>
              <w14:schemeClr w14:val="tx1"/>
            </w14:solidFill>
          </w14:textFill>
        </w:rPr>
        <w:outlineLvl w:val="1"/>
      </w:pPr>
      <w:r>
        <w:rPr>
          <w:rFonts w:hint="eastAsia"/>
          <w:b/>
          <w:color w:val="000000" w:themeColor="text1"/>
          <w:sz w:val="21"/>
          <w:szCs w:val="21"/>
          <w:lang w:val="en-US"/>
          <w14:textFill>
            <w14:solidFill>
              <w14:schemeClr w14:val="tx1"/>
            </w14:solidFill>
          </w14:textFill>
        </w:rPr>
        <w:t xml:space="preserve">目录</w:t>
      </w:r>
      <w:r>
        <w:rPr>
          <w:rFonts w:hint="eastAsia"/>
          <w:b/>
          <w:color w:val="000000" w:themeColor="text1"/>
          <w:sz w:val="21"/>
          <w:szCs w:val="21"/>
          <w14:textFill>
            <w14:solidFill>
              <w14:schemeClr w14:val="tx1"/>
            </w14:solidFill>
          </w14:textFill>
        </w:rPr>
        <w:t xml:space="preserve">三、开标一览表</w:t>
      </w:r>
      <w:r/>
    </w:p>
    <w:p>
      <w:pPr>
        <w:pStyle w:val="1158"/>
        <w:jc w:val="center"/>
        <w:keepLines w:val="0"/>
        <w:keepNext w:val="0"/>
        <w:widowControl/>
        <w:rPr>
          <w:color w:val="000000" w:themeColor="text1"/>
          <w14:textFill>
            <w14:solidFill>
              <w14:schemeClr w14:val="tx1"/>
            </w14:solidFill>
          </w14:textFill>
        </w:rPr>
      </w:pPr>
      <w:r>
        <w:rPr>
          <w:rStyle w:val="1159"/>
          <w:rFonts w:hint="eastAsia"/>
          <w:b w:val="0"/>
          <w:bCs w:val="0"/>
          <w:color w:val="000000" w:themeColor="text1"/>
          <w:sz w:val="36"/>
          <w:szCs w:val="36"/>
          <w14:textFill>
            <w14:solidFill>
              <w14:schemeClr w14:val="tx1"/>
            </w14:solidFill>
          </w14:textFill>
        </w:rPr>
        <w:t xml:space="preserve">开标一览表（总价）</w:t>
      </w:r>
      <w:r/>
    </w:p>
    <w:p>
      <w:pPr>
        <w:pStyle w:val="1161"/>
        <w:rPr>
          <w:color w:val="000000" w:themeColor="text1"/>
          <w:sz w:val="21"/>
          <w:szCs w:val="20"/>
          <w14:textFill>
            <w14:solidFill>
              <w14:schemeClr w14:val="tx1"/>
            </w14:solidFill>
          </w14:textFill>
        </w:rPr>
      </w:pPr>
      <w:r>
        <w:rPr>
          <w:rFonts w:hint="eastAsia"/>
          <w:color w:val="000000" w:themeColor="text1"/>
          <w:sz w:val="21"/>
          <w:szCs w:val="20"/>
          <w14:textFill>
            <w14:solidFill>
              <w14:schemeClr w14:val="tx1"/>
            </w14:solidFill>
          </w14:textFill>
        </w:rPr>
        <w:t xml:space="preserve">投标人全称（CA公章）：供应商名称 </w:t>
      </w:r>
      <w:r/>
    </w:p>
    <w:p>
      <w:pPr>
        <w:pStyle w:val="1161"/>
        <w:rPr>
          <w:color w:val="000000" w:themeColor="text1"/>
          <w:sz w:val="21"/>
          <w:szCs w:val="20"/>
          <w14:textFill>
            <w14:solidFill>
              <w14:schemeClr w14:val="tx1"/>
            </w14:solidFill>
          </w14:textFill>
        </w:rPr>
      </w:pPr>
      <w:r>
        <w:rPr>
          <w:rFonts w:hint="eastAsia"/>
          <w:color w:val="000000" w:themeColor="text1"/>
          <w:sz w:val="21"/>
          <w:szCs w:val="20"/>
          <w14:textFill>
            <w14:solidFill>
              <w14:schemeClr w14:val="tx1"/>
            </w14:solidFill>
          </w14:textFill>
        </w:rPr>
        <w:t xml:space="preserve">项目名称：</w:t>
      </w:r>
      <w:r/>
    </w:p>
    <w:p>
      <w:pPr>
        <w:pStyle w:val="1161"/>
        <w:rPr>
          <w:color w:val="000000" w:themeColor="text1"/>
          <w:sz w:val="21"/>
          <w:szCs w:val="20"/>
          <w14:textFill>
            <w14:solidFill>
              <w14:schemeClr w14:val="tx1"/>
            </w14:solidFill>
          </w14:textFill>
        </w:rPr>
      </w:pPr>
      <w:r>
        <w:rPr>
          <w:rFonts w:hint="eastAsia"/>
          <w:color w:val="000000" w:themeColor="text1"/>
          <w:sz w:val="21"/>
          <w:szCs w:val="20"/>
          <w14:textFill>
            <w14:solidFill>
              <w14:schemeClr w14:val="tx1"/>
            </w14:solidFill>
          </w14:textFill>
        </w:rPr>
        <w:t xml:space="preserve">项目编号：</w:t>
      </w:r>
      <w:r/>
    </w:p>
    <w:p>
      <w:pPr>
        <w:pStyle w:val="1161"/>
        <w:rPr>
          <w:color w:val="000000" w:themeColor="text1"/>
          <w14:textFill>
            <w14:solidFill>
              <w14:schemeClr w14:val="tx1"/>
            </w14:solidFill>
          </w14:textFill>
        </w:rPr>
      </w:pPr>
      <w:r>
        <w:rPr>
          <w:rFonts w:hint="eastAsia"/>
          <w:color w:val="000000" w:themeColor="text1"/>
          <w:sz w:val="21"/>
          <w:szCs w:val="20"/>
          <w14:textFill>
            <w14:solidFill>
              <w14:schemeClr w14:val="tx1"/>
            </w14:solidFill>
          </w14:textFill>
        </w:rPr>
        <w:t xml:space="preserve">分包号：</w:t>
      </w:r>
      <w:r/>
    </w:p>
    <w:tbl>
      <w:tblPr>
        <w:tblStyle w:val="887"/>
        <w:tblW w:w="4515" w:type="pct"/>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409"/>
        <w:gridCol w:w="6406"/>
      </w:tblGrid>
      <w:tr>
        <w:trPr>
          <w:tblCellSpacing w:w="15" w:type="dxa"/>
          <w:trHeight w:val="810"/>
        </w:trPr>
        <w:tc>
          <w:tcPr>
            <w:tcW w:w="898" w:type="dxa"/>
            <w:vAlign w:val="center"/>
            <w:textDirection w:val="lrTb"/>
            <w:noWrap w:val="false"/>
          </w:tcPr>
          <w:p>
            <w:pPr>
              <w:pStyle w:val="1161"/>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投标项目名称</w:t>
            </w:r>
            <w:r/>
          </w:p>
        </w:tc>
        <w:tc>
          <w:tcPr>
            <w:tcW w:w="2416" w:type="dxa"/>
            <w:vAlign w:val="center"/>
            <w:textDirection w:val="lrTb"/>
            <w:noWrap w:val="false"/>
          </w:tcPr>
          <w:p>
            <w:pPr>
              <w:pStyle w:val="1161"/>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总价（小写）</w:t>
            </w:r>
            <w:r/>
          </w:p>
        </w:tc>
      </w:tr>
      <w:tr>
        <w:trPr>
          <w:tblCellSpacing w:w="15" w:type="dxa"/>
          <w:trHeight w:val="825"/>
        </w:trPr>
        <w:tc>
          <w:tcPr>
            <w:tcW w:w="898" w:type="dxa"/>
            <w:vAlign w:val="center"/>
            <w:textDirection w:val="lrTb"/>
            <w:noWrap w:val="false"/>
          </w:tcPr>
          <w:p>
            <w:pPr>
              <w:jc w:val="center"/>
              <w:widowControl/>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 xml:space="preserve"> 投标项目名称 </w:t>
            </w:r>
            <w:r/>
          </w:p>
        </w:tc>
        <w:tc>
          <w:tcPr>
            <w:tcW w:w="2416" w:type="dxa"/>
            <w:vAlign w:val="center"/>
            <w:textDirection w:val="lrTb"/>
            <w:noWrap w:val="false"/>
          </w:tcPr>
          <w:p>
            <w:pPr>
              <w:pStyle w:val="1161"/>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 </w:t>
            </w:r>
            <w:r>
              <w:rPr>
                <w:rFonts w:hint="eastAsia"/>
                <w:color w:val="000000" w:themeColor="text1"/>
                <w:sz w:val="21"/>
                <w:szCs w:val="21"/>
                <w14:textFill>
                  <w14:solidFill>
                    <w14:schemeClr w14:val="tx1"/>
                  </w14:solidFill>
                </w14:textFill>
              </w:rPr>
              <w:fldChar w:fldCharType="begin"/>
            </w:r>
            <w:r>
              <w:rPr>
                <w:rFonts w:hint="eastAsia"/>
                <w:color w:val="000000" w:themeColor="text1"/>
                <w:sz w:val="21"/>
                <w:szCs w:val="21"/>
                <w14:textFill>
                  <w14:solidFill>
                    <w14:schemeClr w14:val="tx1"/>
                  </w14:solidFill>
                </w14:textFill>
              </w:rPr>
              <w:instrText xml:space="preserve"> CONTROL Forms.HTML:Text.1 \s </w:instrText>
            </w:r>
            <w:r>
              <w:rPr>
                <w:rFonts w:hint="eastAsia"/>
                <w:color w:val="000000" w:themeColor="text1"/>
                <w:sz w:val="21"/>
                <w:szCs w:val="21"/>
                <w14:textFill>
                  <w14:solidFill>
                    <w14:schemeClr w14:val="tx1"/>
                  </w14:solidFill>
                </w14:textFill>
              </w:rPr>
              <w:fldChar w:fldCharType="separate"/>
            </w:r>
            <w:r>
              <w:rPr>
                <w:rFonts w:hint="eastAsia"/>
                <w:color w:val="000000" w:themeColor="text1"/>
                <w:sz w:val="21"/>
                <w:szCs w:val="21"/>
                <w:lang w:val="en-US" w:bidi="ar-SA"/>
                <w14:textFill>
                  <w14:solidFill>
                    <w14:schemeClr w14:val="tx1"/>
                  </w14:solidFill>
                </w14:textFill>
              </w:rPr>
              <mc:AlternateContent>
                <mc:Choice Requires="wpg">
                  <w:drawing>
                    <wp:inline xmlns:wp="http://schemas.openxmlformats.org/drawingml/2006/wordprocessingDrawing" distT="0" distB="0" distL="0" distR="0">
                      <wp:extent cx="723900" cy="228600"/>
                      <wp:effectExtent l="0" t="0" r="0" b="0"/>
                      <wp:docPr id="7" name="图片 2"/>
                      <wp:cNvGraphicFramePr/>
                      <a:graphic xmlns:a="http://schemas.openxmlformats.org/drawingml/2006/main">
                        <a:graphicData uri="http://schemas.openxmlformats.org/drawingml/2006/picture">
                          <pic:pic xmlns:pic="http://schemas.openxmlformats.org/drawingml/2006/picture">
                            <pic:nvPicPr>
                              <pic:cNvPr id="7" name="图片 2"/>
                              <pic:cNvPicPr/>
                              <pic:nvPr/>
                            </pic:nvPicPr>
                            <pic:blipFill>
                              <a:blip r:embed="rId18"/>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7.0pt;height:18.0pt;mso-wrap-distance-left:0.0pt;mso-wrap-distance-top:0.0pt;mso-wrap-distance-right:0.0pt;mso-wrap-distance-bottom:0.0pt;" stroked="f">
                      <v:path textboxrect="0,0,0,0"/>
                      <v:imagedata r:id="rId18" o:title=""/>
                    </v:shape>
                  </w:pict>
                </mc:Fallback>
              </mc:AlternateContent>
            </w:r>
            <w:r>
              <w:rPr>
                <w:rFonts w:hint="eastAsia"/>
                <w:color w:val="000000" w:themeColor="text1"/>
                <w:sz w:val="21"/>
                <w:szCs w:val="21"/>
                <w14:textFill>
                  <w14:solidFill>
                    <w14:schemeClr w14:val="tx1"/>
                  </w14:solidFill>
                </w14:textFill>
              </w:rPr>
              <w:fldChar w:fldCharType="end"/>
            </w:r>
            <w:r>
              <w:rPr>
                <w:rFonts w:hint="eastAsia"/>
                <w:color w:val="000000" w:themeColor="text1"/>
                <w:sz w:val="21"/>
                <w:szCs w:val="21"/>
                <w14:textFill>
                  <w14:solidFill>
                    <w14:schemeClr w14:val="tx1"/>
                  </w14:solidFill>
                </w14:textFill>
              </w:rPr>
              <w:t xml:space="preserve"> 元</w:t>
            </w:r>
            <w:r/>
          </w:p>
        </w:tc>
      </w:tr>
    </w:tbl>
    <w:p>
      <w:pPr>
        <w:ind w:firstLine="420"/>
        <w:spacing w:line="360" w:lineRule="auto"/>
        <w:rPr>
          <w:color w:val="000000" w:themeColor="text1"/>
          <w:sz w:val="21"/>
          <w:szCs w:val="21"/>
          <w14:textFill>
            <w14:solidFill>
              <w14:schemeClr w14:val="tx1"/>
            </w14:solidFill>
          </w14:textFill>
        </w:rPr>
      </w:pPr>
      <w:r>
        <w:rPr>
          <w:rFonts w:hint="eastAsia"/>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CONTROL Forms.HTML:Text.1 \s </w:instrText>
      </w:r>
      <w:r>
        <w:rPr>
          <w:rFonts w:hint="eastAsia"/>
          <w:color w:val="000000" w:themeColor="text1"/>
          <w14:textFill>
            <w14:solidFill>
              <w14:schemeClr w14:val="tx1"/>
            </w14:solidFill>
          </w14:textFill>
        </w:rPr>
        <w:fldChar w:fldCharType="separate"/>
      </w:r>
      <w:r>
        <w:rPr>
          <w:rFonts w:hint="eastAsia"/>
          <w:color w:val="000000" w:themeColor="text1"/>
          <w:lang w:val="en-US" w:bidi="ar-SA"/>
          <w14:textFill>
            <w14:solidFill>
              <w14:schemeClr w14:val="tx1"/>
            </w14:solidFill>
          </w14:textFill>
        </w:rPr>
        <mc:AlternateContent>
          <mc:Choice Requires="wpg">
            <w:drawing>
              <wp:inline xmlns:wp="http://schemas.openxmlformats.org/drawingml/2006/wordprocessingDrawing" distT="0" distB="0" distL="0" distR="0">
                <wp:extent cx="723900" cy="228600"/>
                <wp:effectExtent l="0" t="0" r="0" b="0"/>
                <wp:docPr id="8" name="图片 3"/>
                <wp:cNvGraphicFramePr/>
                <a:graphic xmlns:a="http://schemas.openxmlformats.org/drawingml/2006/main">
                  <a:graphicData uri="http://schemas.openxmlformats.org/drawingml/2006/picture">
                    <pic:pic xmlns:pic="http://schemas.openxmlformats.org/drawingml/2006/picture">
                      <pic:nvPicPr>
                        <pic:cNvPr id="8" name="图片 3"/>
                        <pic:cNvPicPr/>
                        <pic:nvPr/>
                      </pic:nvPicPr>
                      <pic:blipFill>
                        <a:blip r:embed="rId18"/>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57.0pt;height:18.0pt;mso-wrap-distance-left:0.0pt;mso-wrap-distance-top:0.0pt;mso-wrap-distance-right:0.0pt;mso-wrap-distance-bottom:0.0pt;" stroked="f">
                <v:path textboxrect="0,0,0,0"/>
                <v:imagedata r:id="rId18" o:title=""/>
              </v:shape>
            </w:pict>
          </mc:Fallback>
        </mc:AlternateContent>
      </w:r>
      <w:r>
        <w:rPr>
          <w:rFonts w:hint="eastAsia"/>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t xml:space="preserve"> 年</w:t>
      </w: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CONTROL Forms.HTML:Text.1 \s </w:instrText>
      </w:r>
      <w:r>
        <w:rPr>
          <w:rFonts w:hint="eastAsia"/>
          <w:color w:val="000000" w:themeColor="text1"/>
          <w14:textFill>
            <w14:solidFill>
              <w14:schemeClr w14:val="tx1"/>
            </w14:solidFill>
          </w14:textFill>
        </w:rPr>
        <w:fldChar w:fldCharType="separate"/>
      </w:r>
      <w:r>
        <w:rPr>
          <w:rFonts w:hint="eastAsia"/>
          <w:color w:val="000000" w:themeColor="text1"/>
          <w:lang w:val="en-US" w:bidi="ar-SA"/>
          <w14:textFill>
            <w14:solidFill>
              <w14:schemeClr w14:val="tx1"/>
            </w14:solidFill>
          </w14:textFill>
        </w:rPr>
        <mc:AlternateContent>
          <mc:Choice Requires="wpg">
            <w:drawing>
              <wp:inline xmlns:wp="http://schemas.openxmlformats.org/drawingml/2006/wordprocessingDrawing" distT="0" distB="0" distL="0" distR="0">
                <wp:extent cx="723900" cy="228600"/>
                <wp:effectExtent l="0" t="0" r="0" b="0"/>
                <wp:docPr id="9" name="图片 4"/>
                <wp:cNvGraphicFramePr/>
                <a:graphic xmlns:a="http://schemas.openxmlformats.org/drawingml/2006/main">
                  <a:graphicData uri="http://schemas.openxmlformats.org/drawingml/2006/picture">
                    <pic:pic xmlns:pic="http://schemas.openxmlformats.org/drawingml/2006/picture">
                      <pic:nvPicPr>
                        <pic:cNvPr id="9" name="图片 4"/>
                        <pic:cNvPicPr/>
                        <pic:nvPr/>
                      </pic:nvPicPr>
                      <pic:blipFill>
                        <a:blip r:embed="rId18"/>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57.0pt;height:18.0pt;mso-wrap-distance-left:0.0pt;mso-wrap-distance-top:0.0pt;mso-wrap-distance-right:0.0pt;mso-wrap-distance-bottom:0.0pt;" stroked="f">
                <v:path textboxrect="0,0,0,0"/>
                <v:imagedata r:id="rId18" o:title=""/>
              </v:shape>
            </w:pict>
          </mc:Fallback>
        </mc:AlternateContent>
      </w:r>
      <w:r>
        <w:rPr>
          <w:rFonts w:hint="eastAsia"/>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t xml:space="preserve"> 月</w:t>
      </w: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CONTROL Forms.HTML:Text.1 \s </w:instrText>
      </w:r>
      <w:r>
        <w:rPr>
          <w:rFonts w:hint="eastAsia"/>
          <w:color w:val="000000" w:themeColor="text1"/>
          <w14:textFill>
            <w14:solidFill>
              <w14:schemeClr w14:val="tx1"/>
            </w14:solidFill>
          </w14:textFill>
        </w:rPr>
        <w:fldChar w:fldCharType="separate"/>
      </w:r>
      <w:r>
        <w:rPr>
          <w:rFonts w:hint="eastAsia"/>
          <w:color w:val="000000" w:themeColor="text1"/>
          <w:lang w:val="en-US" w:bidi="ar-SA"/>
          <w14:textFill>
            <w14:solidFill>
              <w14:schemeClr w14:val="tx1"/>
            </w14:solidFill>
          </w14:textFill>
        </w:rPr>
        <mc:AlternateContent>
          <mc:Choice Requires="wpg">
            <w:drawing>
              <wp:inline xmlns:wp="http://schemas.openxmlformats.org/drawingml/2006/wordprocessingDrawing" distT="0" distB="0" distL="0" distR="0">
                <wp:extent cx="723900" cy="228600"/>
                <wp:effectExtent l="0" t="0" r="0" b="0"/>
                <wp:docPr id="10" name="图片 5"/>
                <wp:cNvGraphicFramePr/>
                <a:graphic xmlns:a="http://schemas.openxmlformats.org/drawingml/2006/main">
                  <a:graphicData uri="http://schemas.openxmlformats.org/drawingml/2006/picture">
                    <pic:pic xmlns:pic="http://schemas.openxmlformats.org/drawingml/2006/picture">
                      <pic:nvPicPr>
                        <pic:cNvPr id="10" name="图片 5"/>
                        <pic:cNvPicPr/>
                        <pic:nvPr/>
                      </pic:nvPicPr>
                      <pic:blipFill>
                        <a:blip r:embed="rId18"/>
                        <a:stretch/>
                      </pic:blipFill>
                      <pic:spPr bwMode="auto">
                        <a:xfrm>
                          <a:off x="0" y="0"/>
                          <a:ext cx="723900" cy="22860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57.0pt;height:18.0pt;mso-wrap-distance-left:0.0pt;mso-wrap-distance-top:0.0pt;mso-wrap-distance-right:0.0pt;mso-wrap-distance-bottom:0.0pt;" stroked="f">
                <v:path textboxrect="0,0,0,0"/>
                <v:imagedata r:id="rId18" o:title=""/>
              </v:shape>
            </w:pict>
          </mc:Fallback>
        </mc:AlternateContent>
      </w:r>
      <w:r>
        <w:rPr>
          <w:rFonts w:hint="eastAsia"/>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t xml:space="preserve"> 日</w:t>
      </w:r>
      <w:r/>
    </w:p>
    <w:p>
      <w:pPr>
        <w:ind w:firstLine="440"/>
        <w:spacing w:line="360" w:lineRule="auto"/>
        <w:rPr>
          <w:color w:val="000000" w:themeColor="text1"/>
          <w:lang w:val="en-US"/>
          <w14:textFill>
            <w14:solidFill>
              <w14:schemeClr w14:val="tx1"/>
            </w14:solidFill>
          </w14:textFill>
        </w:rPr>
        <w:sectPr>
          <w:footnotePr/>
          <w:endnotePr/>
          <w:type w:val="continuous"/>
          <w:pgSz w:w="11910" w:h="16840" w:orient="portrait"/>
          <w:pgMar w:top="1134" w:right="1134" w:bottom="1134" w:left="1134" w:header="720" w:footer="720" w:gutter="0"/>
          <w:cols w:num="1" w:sep="0" w:space="720" w:equalWidth="1"/>
          <w:docGrid w:linePitch="360"/>
        </w:sectPr>
      </w:pPr>
      <w:r>
        <w:rPr>
          <w:color w:val="000000" w:themeColor="text1"/>
          <w:lang w:val="en-US"/>
          <w14:textFill>
            <w14:solidFill>
              <w14:schemeClr w14:val="tx1"/>
            </w14:solidFill>
          </w14:textFill>
        </w:rPr>
      </w:r>
      <w:r/>
    </w:p>
    <w:p>
      <w:pPr>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br w:type="page" w:clear="all"/>
      </w:r>
      <w:r>
        <w:rPr>
          <w:b/>
          <w:color w:val="000000" w:themeColor="text1"/>
          <w:sz w:val="21"/>
          <w14:textFill>
            <w14:solidFill>
              <w14:schemeClr w14:val="tx1"/>
            </w14:solidFill>
          </w14:textFill>
        </w:rPr>
        <w:t xml:space="preserve">目录四、分项报价表格式</w:t>
      </w:r>
      <w:r/>
    </w:p>
    <w:p>
      <w:pPr>
        <w:ind w:firstLine="420"/>
        <w:jc w:val="center"/>
        <w:spacing w:line="360" w:lineRule="auto"/>
        <w:rPr>
          <w:color w:val="000000" w:themeColor="text1"/>
          <w:sz w:val="21"/>
          <w:szCs w:val="21"/>
          <w14:textFill>
            <w14:solidFill>
              <w14:schemeClr w14:val="tx1"/>
            </w14:solidFill>
          </w14:textFill>
        </w:rPr>
      </w:pPr>
      <w:r>
        <w:rPr>
          <w:rFonts w:hint="eastAsia"/>
          <w:color w:val="000000" w:themeColor="text1"/>
          <w:sz w:val="28"/>
          <w:szCs w:val="28"/>
          <w14:textFill>
            <w14:solidFill>
              <w14:schemeClr w14:val="tx1"/>
            </w14:solidFill>
          </w14:textFill>
        </w:rPr>
        <w:t xml:space="preserve">（供应商根据本项目工程的工作量清单编制）</w:t>
      </w:r>
      <w:r/>
    </w:p>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ind w:firstLine="420"/>
        <w:spacing w:line="360" w:lineRule="auto"/>
        <w:rPr>
          <w:color w:val="000000" w:themeColor="text1"/>
          <w:sz w:val="21"/>
          <w:szCs w:val="21"/>
          <w:lang w:val="en-US"/>
          <w14:textFill>
            <w14:solidFill>
              <w14:schemeClr w14:val="tx1"/>
            </w14:solidFill>
          </w14:textFill>
        </w:rPr>
        <w:sectPr>
          <w:footnotePr/>
          <w:endnotePr/>
          <w:type w:val="continuous"/>
          <w:pgSz w:w="11910" w:h="16840" w:orient="portrait"/>
          <w:pgMar w:top="1134" w:right="1134" w:bottom="1134" w:left="1134" w:header="567" w:footer="567" w:gutter="0"/>
          <w:cols w:num="1" w:sep="0" w:space="720" w:equalWidth="1"/>
          <w:docGrid w:linePitch="360"/>
        </w:sectPr>
      </w:pPr>
      <w:r>
        <w:rPr>
          <w:color w:val="000000" w:themeColor="text1"/>
          <w:sz w:val="21"/>
          <w:szCs w:val="21"/>
          <w:lang w:val="en-US"/>
          <w14:textFill>
            <w14:solidFill>
              <w14:schemeClr w14:val="tx1"/>
            </w14:solidFill>
          </w14:textFill>
        </w:rPr>
      </w:r>
      <w:r/>
    </w:p>
    <w:p>
      <w:pPr>
        <w:spacing w:line="360" w:lineRule="auto"/>
        <w:rPr>
          <w:color w:val="000000" w:themeColor="text1"/>
          <w:sz w:val="19"/>
          <w:szCs w:val="21"/>
          <w14:textFill>
            <w14:solidFill>
              <w14:schemeClr w14:val="tx1"/>
            </w14:solidFill>
          </w14:textFill>
        </w:rPr>
      </w:pPr>
      <w:r>
        <w:rPr>
          <w:color w:val="000000" w:themeColor="text1"/>
          <w:sz w:val="19"/>
          <w:szCs w:val="21"/>
          <w14:textFill>
            <w14:solidFill>
              <w14:schemeClr w14:val="tx1"/>
            </w14:solidFill>
          </w14:textFill>
        </w:rPr>
      </w:r>
      <w:r/>
    </w:p>
    <w:p>
      <w:pPr>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br w:type="page" w:clear="all"/>
      </w:r>
      <w:r>
        <w:rPr>
          <w:b/>
          <w:color w:val="000000" w:themeColor="text1"/>
          <w:sz w:val="21"/>
          <w14:textFill>
            <w14:solidFill>
              <w14:schemeClr w14:val="tx1"/>
            </w14:solidFill>
          </w14:textFill>
        </w:rPr>
        <w:t xml:space="preserve">目录</w:t>
      </w:r>
      <w:r>
        <w:rPr>
          <w:rFonts w:hint="eastAsia"/>
          <w:b/>
          <w:color w:val="000000" w:themeColor="text1"/>
          <w:sz w:val="21"/>
          <w14:textFill>
            <w14:solidFill>
              <w14:schemeClr w14:val="tx1"/>
            </w14:solidFill>
          </w14:textFill>
        </w:rPr>
        <w:t xml:space="preserve">五</w:t>
      </w:r>
      <w:r>
        <w:rPr>
          <w:b/>
          <w:color w:val="000000" w:themeColor="text1"/>
          <w:sz w:val="21"/>
          <w14:textFill>
            <w14:solidFill>
              <w14:schemeClr w14:val="tx1"/>
            </w14:solidFill>
          </w14:textFill>
        </w:rPr>
        <w:t xml:space="preserve">、技术条款偏离表格式</w:t>
      </w:r>
      <w:r/>
    </w:p>
    <w:p>
      <w:pPr>
        <w:jc w:val="center"/>
        <w:spacing w:line="360" w:lineRule="auto"/>
        <w:rPr>
          <w:rFonts w:asciiTheme="minorEastAsia" w:hAnsiTheme="minorEastAsia" w:eastAsiaTheme="minorEastAsia"/>
          <w:b/>
          <w:color w:val="000000" w:themeColor="text1"/>
          <w:sz w:val="36"/>
          <w14:textFill>
            <w14:solidFill>
              <w14:schemeClr w14:val="tx1"/>
            </w14:solidFill>
          </w14:textFill>
        </w:rPr>
      </w:pPr>
      <w:r>
        <w:rPr>
          <w:rFonts w:asciiTheme="minorEastAsia" w:hAnsiTheme="minorEastAsia" w:eastAsiaTheme="minorEastAsia"/>
          <w:b/>
          <w:color w:val="000000" w:themeColor="text1"/>
          <w:sz w:val="36"/>
          <w14:textFill>
            <w14:solidFill>
              <w14:schemeClr w14:val="tx1"/>
            </w14:solidFill>
          </w14:textFill>
        </w:rPr>
        <w:t xml:space="preserve">技术条款偏离表</w:t>
      </w:r>
      <w:r/>
    </w:p>
    <w:p>
      <w:pPr>
        <w:jc w:val="center"/>
        <w:spacing w:line="360" w:lineRule="auto"/>
        <w:rPr>
          <w:rFonts w:asciiTheme="minorEastAsia" w:hAnsiTheme="minorEastAsia" w:eastAsiaTheme="minorEastAsia"/>
          <w:b/>
          <w:color w:val="000000" w:themeColor="text1"/>
          <w:sz w:val="36"/>
          <w14:textFill>
            <w14:solidFill>
              <w14:schemeClr w14:val="tx1"/>
            </w14:solidFill>
          </w14:textFill>
        </w:rPr>
        <w:sectPr>
          <w:footnotePr/>
          <w:endnotePr/>
          <w:type w:val="continuous"/>
          <w:pgSz w:w="11910" w:h="16840" w:orient="portrait"/>
          <w:pgMar w:top="1134" w:right="1134" w:bottom="1134" w:left="1134" w:header="567" w:footer="567" w:gutter="0"/>
          <w:cols w:num="1" w:sep="0" w:space="425" w:equalWidth="1"/>
          <w:docGrid w:linePitch="360"/>
        </w:sectPr>
      </w:pPr>
      <w:r>
        <w:rPr>
          <w:rFonts w:asciiTheme="minorEastAsia" w:hAnsiTheme="minorEastAsia" w:eastAsiaTheme="minorEastAsia"/>
          <w:b/>
          <w:color w:val="000000" w:themeColor="text1"/>
          <w:sz w:val="36"/>
          <w14:textFill>
            <w14:solidFill>
              <w14:schemeClr w14:val="tx1"/>
            </w14:solidFill>
          </w14:textFill>
        </w:rPr>
      </w:r>
      <w:r/>
    </w:p>
    <w:p>
      <w:pPr>
        <w:ind w:left="240"/>
        <w:spacing w:line="360" w:lineRule="auto"/>
        <w:tabs>
          <w:tab w:val="left" w:pos="6736"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项目名称：</w:t>
      </w:r>
      <w:r>
        <w:rPr>
          <w:color w:val="000000" w:themeColor="text1"/>
          <w:sz w:val="21"/>
          <w:szCs w:val="21"/>
          <w14:textFill>
            <w14:solidFill>
              <w14:schemeClr w14:val="tx1"/>
            </w14:solidFill>
          </w14:textFill>
        </w:rPr>
        <w:tab/>
      </w:r>
      <w:r>
        <w:rPr>
          <w:color w:val="000000" w:themeColor="text1"/>
          <w:sz w:val="21"/>
          <w:szCs w:val="21"/>
          <w14:textFill>
            <w14:solidFill>
              <w14:schemeClr w14:val="tx1"/>
            </w14:solidFill>
          </w14:textFill>
        </w:rPr>
        <w:t xml:space="preserve">项目编号：</w:t>
      </w:r>
      <w:r/>
    </w:p>
    <w:tbl>
      <w:tblPr>
        <w:tblStyle w:val="88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3240"/>
        <w:gridCol w:w="1110"/>
        <w:gridCol w:w="1110"/>
      </w:tblGrid>
      <w:tr>
        <w:trPr>
          <w:jc w:val="center"/>
          <w:trHeight w:val="407"/>
        </w:trPr>
        <w:tc>
          <w:tcPr>
            <w:tcW w:w="765" w:type="dxa"/>
            <w:vAlign w:val="center"/>
            <w:textDirection w:val="lrTb"/>
            <w:noWrap w:val="false"/>
          </w:tcPr>
          <w:p>
            <w:pPr>
              <w:jc w:val="center"/>
              <w:rPr>
                <w:color w:val="000000" w:themeColor="text1"/>
                <w:sz w:val="21"/>
                <w14:textFill>
                  <w14:solidFill>
                    <w14:schemeClr w14:val="tx1"/>
                  </w14:solidFill>
                </w14:textFill>
              </w:rPr>
            </w:pPr>
            <w:r>
              <w:rPr>
                <w:color w:val="000000" w:themeColor="text1"/>
                <w:sz w:val="21"/>
                <w14:textFill>
                  <w14:solidFill>
                    <w14:schemeClr w14:val="tx1"/>
                  </w14:solidFill>
                </w14:textFill>
              </w:rPr>
              <w:t xml:space="preserve">序号</w:t>
            </w:r>
            <w:r/>
          </w:p>
        </w:tc>
        <w:tc>
          <w:tcPr>
            <w:tcW w:w="1620" w:type="dxa"/>
            <w:vAlign w:val="center"/>
            <w:textDirection w:val="lrTb"/>
            <w:noWrap w:val="false"/>
          </w:tcPr>
          <w:p>
            <w:pPr>
              <w:jc w:val="center"/>
              <w:rPr>
                <w:color w:val="000000" w:themeColor="text1"/>
                <w:sz w:val="21"/>
                <w14:textFill>
                  <w14:solidFill>
                    <w14:schemeClr w14:val="tx1"/>
                  </w14:solidFill>
                </w14:textFill>
              </w:rPr>
            </w:pPr>
            <w:r>
              <w:rPr>
                <w:color w:val="000000" w:themeColor="text1"/>
                <w:sz w:val="21"/>
                <w14:textFill>
                  <w14:solidFill>
                    <w14:schemeClr w14:val="tx1"/>
                  </w14:solidFill>
                </w14:textFill>
              </w:rPr>
              <w:t xml:space="preserve">招标文件条目号</w:t>
            </w:r>
            <w:r/>
          </w:p>
        </w:tc>
        <w:tc>
          <w:tcPr>
            <w:tcW w:w="2700" w:type="dxa"/>
            <w:vAlign w:val="center"/>
            <w:textDirection w:val="lrTb"/>
            <w:noWrap w:val="false"/>
          </w:tcPr>
          <w:p>
            <w:pPr>
              <w:jc w:val="center"/>
              <w:rPr>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招标要求条款</w:t>
            </w:r>
            <w:r/>
          </w:p>
        </w:tc>
        <w:tc>
          <w:tcPr>
            <w:tcW w:w="3240" w:type="dxa"/>
            <w:vAlign w:val="center"/>
            <w:textDirection w:val="lrTb"/>
            <w:noWrap w:val="false"/>
          </w:tcPr>
          <w:p>
            <w:pPr>
              <w:jc w:val="center"/>
              <w:rPr>
                <w:color w:val="000000" w:themeColor="text1"/>
                <w:sz w:val="21"/>
                <w14:textFill>
                  <w14:solidFill>
                    <w14:schemeClr w14:val="tx1"/>
                  </w14:solidFill>
                </w14:textFill>
              </w:rPr>
            </w:pPr>
            <w:r>
              <w:rPr>
                <w:color w:val="000000" w:themeColor="text1"/>
                <w:sz w:val="21"/>
                <w14:textFill>
                  <w14:solidFill>
                    <w14:schemeClr w14:val="tx1"/>
                  </w14:solidFill>
                </w14:textFill>
              </w:rPr>
              <w:t xml:space="preserve">投标响应</w:t>
            </w:r>
            <w:r/>
          </w:p>
        </w:tc>
        <w:tc>
          <w:tcPr>
            <w:tcW w:w="1110" w:type="dxa"/>
            <w:vAlign w:val="center"/>
            <w:textDirection w:val="lrTb"/>
            <w:noWrap w:val="false"/>
          </w:tcPr>
          <w:p>
            <w:pPr>
              <w:jc w:val="center"/>
              <w:rPr>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是否</w:t>
            </w:r>
            <w:r>
              <w:rPr>
                <w:color w:val="000000" w:themeColor="text1"/>
                <w:sz w:val="21"/>
                <w14:textFill>
                  <w14:solidFill>
                    <w14:schemeClr w14:val="tx1"/>
                  </w14:solidFill>
                </w14:textFill>
              </w:rPr>
              <w:t xml:space="preserve">偏离</w:t>
            </w:r>
            <w:r/>
          </w:p>
        </w:tc>
        <w:tc>
          <w:tcPr>
            <w:tcW w:w="1110" w:type="dxa"/>
            <w:textDirection w:val="lrTb"/>
            <w:noWrap w:val="false"/>
          </w:tcPr>
          <w:p>
            <w:pPr>
              <w:jc w:val="center"/>
              <w:rPr>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页码</w:t>
            </w:r>
            <w:r/>
          </w:p>
        </w:tc>
      </w:tr>
      <w:tr>
        <w:trPr>
          <w:jc w:val="center"/>
          <w:trHeight w:val="427"/>
        </w:trPr>
        <w:tc>
          <w:tcPr>
            <w:tcW w:w="765"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62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270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324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11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110" w:type="dxa"/>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r>
      <w:tr>
        <w:trPr>
          <w:jc w:val="center"/>
          <w:trHeight w:val="427"/>
        </w:trPr>
        <w:tc>
          <w:tcPr>
            <w:tcW w:w="765"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62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270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324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11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110" w:type="dxa"/>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r>
      <w:tr>
        <w:trPr>
          <w:jc w:val="center"/>
          <w:trHeight w:val="428"/>
        </w:trPr>
        <w:tc>
          <w:tcPr>
            <w:tcW w:w="765"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62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270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324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11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110" w:type="dxa"/>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r>
      <w:tr>
        <w:trPr>
          <w:jc w:val="center"/>
          <w:trHeight w:val="427"/>
        </w:trPr>
        <w:tc>
          <w:tcPr>
            <w:tcW w:w="765"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62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270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324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11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110" w:type="dxa"/>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r>
      <w:tr>
        <w:trPr>
          <w:jc w:val="center"/>
          <w:trHeight w:val="427"/>
        </w:trPr>
        <w:tc>
          <w:tcPr>
            <w:tcW w:w="765"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62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270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324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11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110" w:type="dxa"/>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r>
      <w:tr>
        <w:trPr>
          <w:jc w:val="center"/>
          <w:trHeight w:val="427"/>
        </w:trPr>
        <w:tc>
          <w:tcPr>
            <w:tcW w:w="765"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62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270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324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110" w:type="dxa"/>
            <w:vAlign w:val="center"/>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c>
          <w:tcPr>
            <w:tcW w:w="1110" w:type="dxa"/>
            <w:textDirection w:val="lrTb"/>
            <w:noWrap w:val="false"/>
          </w:tcPr>
          <w:p>
            <w:pPr>
              <w:jc w:val="center"/>
              <w:rPr>
                <w:rFonts w:ascii="Times New Roman"/>
                <w:color w:val="000000" w:themeColor="text1"/>
                <w:sz w:val="20"/>
                <w14:textFill>
                  <w14:solidFill>
                    <w14:schemeClr w14:val="tx1"/>
                  </w14:solidFill>
                </w14:textFill>
              </w:rPr>
            </w:pPr>
            <w:r>
              <w:rPr>
                <w:rFonts w:ascii="Times New Roman"/>
                <w:color w:val="000000" w:themeColor="text1"/>
                <w:sz w:val="20"/>
                <w14:textFill>
                  <w14:solidFill>
                    <w14:schemeClr w14:val="tx1"/>
                  </w14:solidFill>
                </w14:textFill>
              </w:rPr>
            </w:r>
            <w:r/>
          </w:p>
        </w:tc>
      </w:tr>
    </w:tbl>
    <w:p>
      <w:pPr>
        <w:spacing w:line="360" w:lineRule="auto"/>
        <w:rPr>
          <w:color w:val="000000" w:themeColor="text1"/>
          <w:sz w:val="10"/>
          <w:szCs w:val="21"/>
          <w14:textFill>
            <w14:solidFill>
              <w14:schemeClr w14:val="tx1"/>
            </w14:solidFill>
          </w14:textFill>
        </w:rPr>
      </w:pPr>
      <w:r>
        <w:rPr>
          <w:color w:val="000000" w:themeColor="text1"/>
          <w:sz w:val="10"/>
          <w:szCs w:val="21"/>
          <w14:textFill>
            <w14:solidFill>
              <w14:schemeClr w14:val="tx1"/>
            </w14:solidFill>
          </w14:textFill>
        </w:rPr>
      </w:r>
      <w:r/>
    </w:p>
    <w:p>
      <w:pPr>
        <w:ind w:left="223"/>
        <w:spacing w:line="360" w:lineRule="auto"/>
        <w:rPr>
          <w:color w:val="000000" w:themeColor="text1"/>
          <w:sz w:val="21"/>
          <w:szCs w:val="21"/>
          <w14:textFill>
            <w14:solidFill>
              <w14:schemeClr w14:val="tx1"/>
            </w14:solidFill>
          </w14:textFill>
        </w:rPr>
      </w:pPr>
      <w:r>
        <w:rPr>
          <w:rFonts w:hint="eastAsia"/>
          <w:color w:val="000000" w:themeColor="text1"/>
          <w:sz w:val="21"/>
          <w:szCs w:val="20"/>
          <w14:textFill>
            <w14:solidFill>
              <w14:schemeClr w14:val="tx1"/>
            </w14:solidFill>
          </w14:textFill>
        </w:rPr>
        <w:t xml:space="preserve">投标人</w:t>
      </w:r>
      <w:r>
        <w:rPr>
          <w:color w:val="000000" w:themeColor="text1"/>
          <w:sz w:val="21"/>
          <w:szCs w:val="21"/>
          <w14:textFill>
            <w14:solidFill>
              <w14:schemeClr w14:val="tx1"/>
            </w14:solidFill>
          </w14:textFill>
        </w:rPr>
        <w:t xml:space="preserve">名称：（盖章）</w:t>
      </w:r>
      <w:r/>
    </w:p>
    <w:p>
      <w:pPr>
        <w:spacing w:line="360" w:lineRule="auto"/>
        <w:rPr>
          <w:color w:val="000000" w:themeColor="text1"/>
          <w:sz w:val="15"/>
          <w:szCs w:val="21"/>
          <w14:textFill>
            <w14:solidFill>
              <w14:schemeClr w14:val="tx1"/>
            </w14:solidFill>
          </w14:textFill>
        </w:rPr>
      </w:pPr>
      <w:r>
        <w:rPr>
          <w:color w:val="000000" w:themeColor="text1"/>
          <w:sz w:val="15"/>
          <w:szCs w:val="21"/>
          <w14:textFill>
            <w14:solidFill>
              <w14:schemeClr w14:val="tx1"/>
            </w14:solidFill>
          </w14:textFill>
        </w:rPr>
      </w:r>
      <w:r/>
    </w:p>
    <w:p>
      <w:pPr>
        <w:ind w:left="223"/>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说明：1、如果行数不够，请自行增加</w:t>
      </w:r>
      <w:r>
        <w:rPr>
          <w:rFonts w:hint="eastAsia"/>
          <w:color w:val="000000" w:themeColor="text1"/>
          <w:sz w:val="21"/>
          <w:szCs w:val="21"/>
          <w14:textFill>
            <w14:solidFill>
              <w14:schemeClr w14:val="tx1"/>
            </w14:solidFill>
          </w14:textFill>
        </w:rPr>
        <w:t xml:space="preserve">。</w:t>
      </w:r>
      <w:r/>
    </w:p>
    <w:p>
      <w:pPr>
        <w:ind w:left="223"/>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ind w:left="223"/>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r>
      <w:r/>
    </w:p>
    <w:p>
      <w:pPr>
        <w:spacing w:line="360" w:lineRule="auto"/>
        <w:rPr>
          <w:color w:val="000000" w:themeColor="text1"/>
          <w:sz w:val="21"/>
          <w14:textFill>
            <w14:solidFill>
              <w14:schemeClr w14:val="tx1"/>
            </w14:solidFill>
          </w14:textFill>
        </w:rPr>
        <w:sectPr>
          <w:footnotePr/>
          <w:endnotePr/>
          <w:type w:val="continuous"/>
          <w:pgSz w:w="11910" w:h="16840" w:orient="portrait"/>
          <w:pgMar w:top="1134" w:right="1134" w:bottom="1134" w:left="1134" w:header="720" w:footer="720" w:gutter="0"/>
          <w:cols w:num="1" w:sep="0" w:space="720" w:equalWidth="1"/>
          <w:docGrid w:linePitch="360"/>
        </w:sectPr>
      </w:pPr>
      <w:r>
        <w:rPr>
          <w:color w:val="000000" w:themeColor="text1"/>
          <w:sz w:val="21"/>
          <w14:textFill>
            <w14:solidFill>
              <w14:schemeClr w14:val="tx1"/>
            </w14:solidFill>
          </w14:textFill>
        </w:rPr>
      </w:r>
      <w:r/>
    </w:p>
    <w:p>
      <w:pPr>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t xml:space="preserve">目录</w:t>
      </w:r>
      <w:r>
        <w:rPr>
          <w:rFonts w:hint="eastAsia"/>
          <w:b/>
          <w:color w:val="000000" w:themeColor="text1"/>
          <w:sz w:val="21"/>
          <w14:textFill>
            <w14:solidFill>
              <w14:schemeClr w14:val="tx1"/>
            </w14:solidFill>
          </w14:textFill>
        </w:rPr>
        <w:t xml:space="preserve">六</w:t>
      </w:r>
      <w:r>
        <w:rPr>
          <w:b/>
          <w:color w:val="000000" w:themeColor="text1"/>
          <w:sz w:val="21"/>
          <w14:textFill>
            <w14:solidFill>
              <w14:schemeClr w14:val="tx1"/>
            </w14:solidFill>
          </w14:textFill>
        </w:rPr>
        <w:t xml:space="preserve">、商务条款偏离表</w:t>
      </w:r>
      <w:r>
        <w:rPr>
          <w:rFonts w:hint="eastAsia"/>
          <w:b/>
          <w:color w:val="000000" w:themeColor="text1"/>
          <w:sz w:val="21"/>
          <w14:textFill>
            <w14:solidFill>
              <w14:schemeClr w14:val="tx1"/>
            </w14:solidFill>
          </w14:textFill>
        </w:rPr>
        <w:t xml:space="preserve">格式</w:t>
      </w:r>
      <w:r/>
    </w:p>
    <w:p>
      <w:pPr>
        <w:jc w:val="center"/>
        <w:spacing w:line="360" w:lineRule="auto"/>
        <w:rPr>
          <w:rFonts w:asciiTheme="minorEastAsia" w:hAnsiTheme="minorEastAsia" w:eastAsiaTheme="minorEastAsia"/>
          <w:b/>
          <w:color w:val="000000" w:themeColor="text1"/>
          <w:sz w:val="36"/>
          <w14:textFill>
            <w14:solidFill>
              <w14:schemeClr w14:val="tx1"/>
            </w14:solidFill>
          </w14:textFill>
        </w:rPr>
      </w:pPr>
      <w:r>
        <w:rPr>
          <w:rFonts w:asciiTheme="minorEastAsia" w:hAnsiTheme="minorEastAsia" w:eastAsiaTheme="minorEastAsia"/>
          <w:b/>
          <w:color w:val="000000" w:themeColor="text1"/>
          <w:sz w:val="36"/>
          <w14:textFill>
            <w14:solidFill>
              <w14:schemeClr w14:val="tx1"/>
            </w14:solidFill>
          </w14:textFill>
        </w:rPr>
        <w:t xml:space="preserve">商务条款偏离表</w:t>
      </w:r>
      <w:r/>
    </w:p>
    <w:p>
      <w:pPr>
        <w:spacing w:line="360" w:lineRule="auto"/>
        <w:rPr>
          <w:color w:val="000000" w:themeColor="text1"/>
          <w:sz w:val="36"/>
          <w14:textFill>
            <w14:solidFill>
              <w14:schemeClr w14:val="tx1"/>
            </w14:solidFill>
          </w14:textFill>
        </w:rPr>
        <w:sectPr>
          <w:footnotePr/>
          <w:endnotePr/>
          <w:type w:val="nextPage"/>
          <w:pgSz w:w="11910" w:h="16840" w:orient="portrait"/>
          <w:pgMar w:top="1134" w:right="1134" w:bottom="1134" w:left="1134" w:header="567" w:footer="720" w:gutter="0"/>
          <w:cols w:num="1" w:sep="0" w:space="720" w:equalWidth="1"/>
          <w:docGrid w:linePitch="360"/>
        </w:sectPr>
      </w:pPr>
      <w:r>
        <w:rPr>
          <w:color w:val="000000" w:themeColor="text1"/>
          <w:sz w:val="36"/>
          <w14:textFill>
            <w14:solidFill>
              <w14:schemeClr w14:val="tx1"/>
            </w14:solidFill>
          </w14:textFill>
        </w:rPr>
      </w:r>
      <w:r/>
    </w:p>
    <w:p>
      <w:pPr>
        <w:ind w:firstLine="420"/>
        <w:spacing w:line="360" w:lineRule="auto"/>
        <w:rPr>
          <w:color w:val="000000" w:themeColor="text1"/>
          <w:sz w:val="6"/>
          <w:szCs w:val="21"/>
          <w14:textFill>
            <w14:solidFill>
              <w14:schemeClr w14:val="tx1"/>
            </w14:solidFill>
          </w14:textFill>
        </w:rPr>
      </w:pPr>
      <w:r>
        <w:rPr>
          <w:color w:val="000000" w:themeColor="text1"/>
          <w:sz w:val="21"/>
          <w:szCs w:val="21"/>
          <w14:textFill>
            <w14:solidFill>
              <w14:schemeClr w14:val="tx1"/>
            </w14:solidFill>
          </w14:textFill>
        </w:rPr>
        <w:t xml:space="preserve">项目名称：项目编号：</w:t>
      </w:r>
      <w:r/>
    </w:p>
    <w:tbl>
      <w:tblPr>
        <w:tblStyle w:val="88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2873"/>
        <w:gridCol w:w="1519"/>
        <w:gridCol w:w="1519"/>
      </w:tblGrid>
      <w:tr>
        <w:trPr>
          <w:jc w:val="center"/>
          <w:trHeight w:val="407"/>
        </w:trPr>
        <w:tc>
          <w:tcPr>
            <w:tcW w:w="651" w:type="dxa"/>
            <w:vAlign w:val="center"/>
            <w:textDirection w:val="lrTb"/>
            <w:noWrap w:val="false"/>
          </w:tcPr>
          <w:p>
            <w:pPr>
              <w:jc w:val="center"/>
              <w:spacing w:line="360" w:lineRule="auto"/>
              <w:rPr>
                <w:color w:val="000000" w:themeColor="text1"/>
                <w:sz w:val="21"/>
                <w14:textFill>
                  <w14:solidFill>
                    <w14:schemeClr w14:val="tx1"/>
                  </w14:solidFill>
                </w14:textFill>
              </w:rPr>
            </w:pPr>
            <w:r>
              <w:rPr>
                <w:color w:val="000000" w:themeColor="text1"/>
                <w:sz w:val="21"/>
                <w14:textFill>
                  <w14:solidFill>
                    <w14:schemeClr w14:val="tx1"/>
                  </w14:solidFill>
                </w14:textFill>
              </w:rPr>
              <w:t xml:space="preserve">序号</w:t>
            </w:r>
            <w:r/>
          </w:p>
        </w:tc>
        <w:tc>
          <w:tcPr>
            <w:tcW w:w="1620" w:type="dxa"/>
            <w:vAlign w:val="center"/>
            <w:textDirection w:val="lrTb"/>
            <w:noWrap w:val="false"/>
          </w:tcPr>
          <w:p>
            <w:pPr>
              <w:jc w:val="center"/>
              <w:spacing w:line="360" w:lineRule="auto"/>
              <w:rPr>
                <w:color w:val="000000" w:themeColor="text1"/>
                <w:sz w:val="21"/>
                <w14:textFill>
                  <w14:solidFill>
                    <w14:schemeClr w14:val="tx1"/>
                  </w14:solidFill>
                </w14:textFill>
              </w:rPr>
            </w:pPr>
            <w:r>
              <w:rPr>
                <w:color w:val="000000" w:themeColor="text1"/>
                <w:sz w:val="21"/>
                <w14:textFill>
                  <w14:solidFill>
                    <w14:schemeClr w14:val="tx1"/>
                  </w14:solidFill>
                </w14:textFill>
              </w:rPr>
              <w:t xml:space="preserve">招标文件条目号</w:t>
            </w:r>
            <w:r/>
          </w:p>
        </w:tc>
        <w:tc>
          <w:tcPr>
            <w:tcW w:w="2700" w:type="dxa"/>
            <w:vAlign w:val="center"/>
            <w:textDirection w:val="lrTb"/>
            <w:noWrap w:val="false"/>
          </w:tcPr>
          <w:p>
            <w:pPr>
              <w:jc w:val="center"/>
              <w:spacing w:line="360" w:lineRule="auto"/>
              <w:rPr>
                <w:color w:val="000000" w:themeColor="text1"/>
                <w:sz w:val="21"/>
                <w14:textFill>
                  <w14:solidFill>
                    <w14:schemeClr w14:val="tx1"/>
                  </w14:solidFill>
                </w14:textFill>
              </w:rPr>
            </w:pPr>
            <w:r>
              <w:rPr>
                <w:color w:val="000000" w:themeColor="text1"/>
                <w:sz w:val="21"/>
                <w14:textFill>
                  <w14:solidFill>
                    <w14:schemeClr w14:val="tx1"/>
                  </w14:solidFill>
                </w14:textFill>
              </w:rPr>
              <w:t xml:space="preserve">招标文件要求的商务条款</w:t>
            </w:r>
            <w:r/>
          </w:p>
        </w:tc>
        <w:tc>
          <w:tcPr>
            <w:tcW w:w="2873" w:type="dxa"/>
            <w:vAlign w:val="center"/>
            <w:textDirection w:val="lrTb"/>
            <w:noWrap w:val="false"/>
          </w:tcPr>
          <w:p>
            <w:pPr>
              <w:jc w:val="center"/>
              <w:spacing w:line="360" w:lineRule="auto"/>
              <w:rPr>
                <w:color w:val="000000" w:themeColor="text1"/>
                <w:sz w:val="21"/>
                <w14:textFill>
                  <w14:solidFill>
                    <w14:schemeClr w14:val="tx1"/>
                  </w14:solidFill>
                </w14:textFill>
              </w:rPr>
            </w:pPr>
            <w:r>
              <w:rPr>
                <w:color w:val="000000" w:themeColor="text1"/>
                <w:sz w:val="21"/>
                <w14:textFill>
                  <w14:solidFill>
                    <w14:schemeClr w14:val="tx1"/>
                  </w14:solidFill>
                </w14:textFill>
              </w:rPr>
              <w:t xml:space="preserve">投标响应</w:t>
            </w:r>
            <w:r/>
          </w:p>
        </w:tc>
        <w:tc>
          <w:tcPr>
            <w:tcW w:w="1519" w:type="dxa"/>
            <w:vAlign w:val="center"/>
            <w:textDirection w:val="lrTb"/>
            <w:noWrap w:val="false"/>
          </w:tcPr>
          <w:p>
            <w:pPr>
              <w:jc w:val="center"/>
              <w:spacing w:line="360" w:lineRule="auto"/>
              <w:rPr>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是否</w:t>
            </w:r>
            <w:r>
              <w:rPr>
                <w:color w:val="000000" w:themeColor="text1"/>
                <w:sz w:val="21"/>
                <w14:textFill>
                  <w14:solidFill>
                    <w14:schemeClr w14:val="tx1"/>
                  </w14:solidFill>
                </w14:textFill>
              </w:rPr>
              <w:t xml:space="preserve">偏离</w:t>
            </w:r>
            <w:r/>
          </w:p>
        </w:tc>
        <w:tc>
          <w:tcPr>
            <w:tcW w:w="1519" w:type="dxa"/>
            <w:textDirection w:val="lrTb"/>
            <w:noWrap w:val="false"/>
          </w:tcPr>
          <w:p>
            <w:pPr>
              <w:jc w:val="center"/>
              <w:spacing w:line="360" w:lineRule="auto"/>
              <w:rPr>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页码</w:t>
            </w:r>
            <w:r/>
          </w:p>
        </w:tc>
      </w:tr>
      <w:tr>
        <w:trPr>
          <w:jc w:val="center"/>
          <w:trHeight w:val="427"/>
        </w:trPr>
        <w:tc>
          <w:tcPr>
            <w:tcW w:w="651"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620"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2700"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2873"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519"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519" w:type="dxa"/>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r>
      <w:tr>
        <w:trPr>
          <w:jc w:val="center"/>
          <w:trHeight w:val="427"/>
        </w:trPr>
        <w:tc>
          <w:tcPr>
            <w:tcW w:w="651"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620"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2700"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2873"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519"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519" w:type="dxa"/>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r>
      <w:tr>
        <w:trPr>
          <w:jc w:val="center"/>
          <w:trHeight w:val="428"/>
        </w:trPr>
        <w:tc>
          <w:tcPr>
            <w:tcW w:w="651"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620"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2700"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2873"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519"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519" w:type="dxa"/>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r>
      <w:tr>
        <w:trPr>
          <w:jc w:val="center"/>
          <w:trHeight w:val="427"/>
        </w:trPr>
        <w:tc>
          <w:tcPr>
            <w:tcW w:w="651"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620"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2700"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2873"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519"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519" w:type="dxa"/>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r>
      <w:tr>
        <w:trPr>
          <w:jc w:val="center"/>
          <w:trHeight w:val="427"/>
        </w:trPr>
        <w:tc>
          <w:tcPr>
            <w:tcW w:w="651"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620"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2700"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2873"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519"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519" w:type="dxa"/>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r>
      <w:tr>
        <w:trPr>
          <w:jc w:val="center"/>
          <w:trHeight w:val="428"/>
        </w:trPr>
        <w:tc>
          <w:tcPr>
            <w:tcW w:w="651"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620"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2700"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2873"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519"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519" w:type="dxa"/>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r>
      <w:tr>
        <w:trPr>
          <w:jc w:val="center"/>
          <w:trHeight w:val="427"/>
        </w:trPr>
        <w:tc>
          <w:tcPr>
            <w:tcW w:w="651"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620"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2700"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2873"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519" w:type="dxa"/>
            <w:vAlign w:val="center"/>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c>
          <w:tcPr>
            <w:tcW w:w="1519" w:type="dxa"/>
            <w:textDirection w:val="lrTb"/>
            <w:noWrap w:val="false"/>
          </w:tcPr>
          <w:p>
            <w:pPr>
              <w:jc w:val="center"/>
              <w:spacing w:line="360" w:lineRule="auto"/>
              <w:rPr>
                <w:rFonts w:ascii="Times New Roman"/>
                <w:color w:val="000000" w:themeColor="text1"/>
                <w14:textFill>
                  <w14:solidFill>
                    <w14:schemeClr w14:val="tx1"/>
                  </w14:solidFill>
                </w14:textFill>
              </w:rPr>
            </w:pPr>
            <w:r>
              <w:rPr>
                <w:rFonts w:ascii="Times New Roman"/>
                <w:color w:val="000000" w:themeColor="text1"/>
                <w14:textFill>
                  <w14:solidFill>
                    <w14:schemeClr w14:val="tx1"/>
                  </w14:solidFill>
                </w14:textFill>
              </w:rPr>
            </w:r>
            <w:r/>
          </w:p>
        </w:tc>
      </w:tr>
    </w:tbl>
    <w:p>
      <w:pPr>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0"/>
          <w14:textFill>
            <w14:solidFill>
              <w14:schemeClr w14:val="tx1"/>
            </w14:solidFill>
          </w14:textFill>
        </w:rPr>
        <w:t xml:space="preserve">投标人</w:t>
      </w:r>
      <w:r>
        <w:rPr>
          <w:color w:val="000000" w:themeColor="text1"/>
          <w:sz w:val="21"/>
          <w:szCs w:val="21"/>
          <w14:textFill>
            <w14:solidFill>
              <w14:schemeClr w14:val="tx1"/>
            </w14:solidFill>
          </w14:textFill>
        </w:rPr>
        <w:t xml:space="preserve">名称：（盖章）</w:t>
      </w:r>
      <w:r/>
    </w:p>
    <w:p>
      <w:pPr>
        <w:ind w:firstLine="300"/>
        <w:spacing w:line="360" w:lineRule="auto"/>
        <w:rPr>
          <w:color w:val="000000" w:themeColor="text1"/>
          <w:sz w:val="15"/>
          <w:szCs w:val="21"/>
          <w14:textFill>
            <w14:solidFill>
              <w14:schemeClr w14:val="tx1"/>
            </w14:solidFill>
          </w14:textFill>
        </w:rPr>
      </w:pPr>
      <w:r>
        <w:rPr>
          <w:color w:val="000000" w:themeColor="text1"/>
          <w:sz w:val="15"/>
          <w:szCs w:val="21"/>
          <w14:textFill>
            <w14:solidFill>
              <w14:schemeClr w14:val="tx1"/>
            </w14:solidFill>
          </w14:textFill>
        </w:rPr>
      </w:r>
      <w:r/>
    </w:p>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说明：如果行数不够，请自行增加。</w:t>
      </w:r>
      <w:r/>
    </w:p>
    <w:p>
      <w:pPr>
        <w:ind w:firstLine="440"/>
        <w:spacing w:line="360" w:lineRule="auto"/>
        <w:rPr>
          <w:color w:val="000000" w:themeColor="text1"/>
          <w14:textFill>
            <w14:solidFill>
              <w14:schemeClr w14:val="tx1"/>
            </w14:solidFill>
          </w14:textFill>
        </w:rPr>
        <w:sectPr>
          <w:footnotePr/>
          <w:endnotePr/>
          <w:type w:val="continuous"/>
          <w:pgSz w:w="11910" w:h="16840" w:orient="portrait"/>
          <w:pgMar w:top="1134" w:right="1134" w:bottom="1134" w:left="1134" w:header="720" w:footer="720" w:gutter="0"/>
          <w:cols w:num="1" w:sep="0" w:space="720" w:equalWidth="1"/>
          <w:docGrid w:linePitch="360"/>
        </w:sectPr>
      </w:pPr>
      <w:r>
        <w:rPr>
          <w:color w:val="000000" w:themeColor="text1"/>
          <w14:textFill>
            <w14:solidFill>
              <w14:schemeClr w14:val="tx1"/>
            </w14:solidFill>
          </w14:textFill>
        </w:rPr>
      </w:r>
      <w:r/>
    </w:p>
    <w:p>
      <w:pPr>
        <w:contextualSpacing/>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t xml:space="preserve">目录</w:t>
      </w:r>
      <w:r>
        <w:rPr>
          <w:rFonts w:hint="eastAsia"/>
          <w:b/>
          <w:color w:val="000000" w:themeColor="text1"/>
          <w:sz w:val="21"/>
          <w14:textFill>
            <w14:solidFill>
              <w14:schemeClr w14:val="tx1"/>
            </w14:solidFill>
          </w14:textFill>
        </w:rPr>
        <w:t xml:space="preserve">七</w:t>
      </w:r>
      <w:r>
        <w:rPr>
          <w:b/>
          <w:color w:val="000000" w:themeColor="text1"/>
          <w:sz w:val="21"/>
          <w14:textFill>
            <w14:solidFill>
              <w14:schemeClr w14:val="tx1"/>
            </w14:solidFill>
          </w14:textFill>
        </w:rPr>
        <w:t xml:space="preserve">、</w:t>
      </w:r>
      <w:r>
        <w:rPr>
          <w:rFonts w:hint="eastAsia"/>
          <w:b/>
          <w:color w:val="000000" w:themeColor="text1"/>
          <w:sz w:val="21"/>
          <w14:textFill>
            <w14:solidFill>
              <w14:schemeClr w14:val="tx1"/>
            </w14:solidFill>
          </w14:textFill>
        </w:rPr>
        <w:t xml:space="preserve">施工组织设计方案</w:t>
      </w:r>
      <w:r/>
    </w:p>
    <w:p>
      <w:pPr>
        <w:contextualSpacing/>
        <w:jc w:val="center"/>
        <w:spacing w:line="360" w:lineRule="auto"/>
        <w:rPr>
          <w:rFonts w:asciiTheme="minorEastAsia" w:hAnsiTheme="minorEastAsia" w:eastAsiaTheme="minorEastAsia"/>
          <w:b/>
          <w:color w:val="000000" w:themeColor="text1"/>
          <w:sz w:val="36"/>
          <w14:textFill>
            <w14:solidFill>
              <w14:schemeClr w14:val="tx1"/>
            </w14:solidFill>
          </w14:textFill>
        </w:rPr>
      </w:pPr>
      <w:r>
        <w:rPr>
          <w:rFonts w:hint="eastAsia" w:asciiTheme="minorEastAsia" w:hAnsiTheme="minorEastAsia" w:eastAsiaTheme="minorEastAsia"/>
          <w:b/>
          <w:color w:val="000000" w:themeColor="text1"/>
          <w:sz w:val="36"/>
          <w14:textFill>
            <w14:solidFill>
              <w14:schemeClr w14:val="tx1"/>
            </w14:solidFill>
          </w14:textFill>
        </w:rPr>
        <w:t xml:space="preserve">施工组织设计方案</w:t>
      </w:r>
      <w:r>
        <w:rPr>
          <w:rFonts w:asciiTheme="minorEastAsia" w:hAnsiTheme="minorEastAsia" w:eastAsiaTheme="minorEastAsia"/>
          <w:b/>
          <w:color w:val="000000" w:themeColor="text1"/>
          <w:sz w:val="36"/>
          <w14:textFill>
            <w14:solidFill>
              <w14:schemeClr w14:val="tx1"/>
            </w14:solidFill>
          </w14:textFill>
        </w:rPr>
        <w:t xml:space="preserve">（</w:t>
      </w:r>
      <w:r>
        <w:rPr>
          <w:rFonts w:hint="eastAsia" w:asciiTheme="minorEastAsia" w:hAnsiTheme="minorEastAsia" w:eastAsiaTheme="minorEastAsia"/>
          <w:b/>
          <w:color w:val="000000" w:themeColor="text1"/>
          <w:sz w:val="36"/>
          <w14:textFill>
            <w14:solidFill>
              <w14:schemeClr w14:val="tx1"/>
            </w14:solidFill>
          </w14:textFill>
        </w:rPr>
        <w:t xml:space="preserve">内容自拟</w:t>
      </w:r>
      <w:r>
        <w:rPr>
          <w:rFonts w:asciiTheme="minorEastAsia" w:hAnsiTheme="minorEastAsia" w:eastAsiaTheme="minorEastAsia"/>
          <w:b/>
          <w:color w:val="000000" w:themeColor="text1"/>
          <w:sz w:val="36"/>
          <w14:textFill>
            <w14:solidFill>
              <w14:schemeClr w14:val="tx1"/>
            </w14:solidFill>
          </w14:textFill>
        </w:rPr>
        <w:t xml:space="preserve">）</w:t>
      </w:r>
      <w:r/>
    </w:p>
    <w:p>
      <w:pPr>
        <w:contextualSpacing/>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r>
      <w:r/>
    </w:p>
    <w:p>
      <w:pPr>
        <w:contextualSpacing/>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t xml:space="preserve">目录</w:t>
      </w:r>
      <w:r>
        <w:rPr>
          <w:rFonts w:hint="eastAsia"/>
          <w:b/>
          <w:color w:val="000000" w:themeColor="text1"/>
          <w:sz w:val="21"/>
          <w14:textFill>
            <w14:solidFill>
              <w14:schemeClr w14:val="tx1"/>
            </w14:solidFill>
          </w14:textFill>
        </w:rPr>
        <w:t xml:space="preserve">八</w:t>
      </w:r>
      <w:r>
        <w:rPr>
          <w:b/>
          <w:color w:val="000000" w:themeColor="text1"/>
          <w:sz w:val="21"/>
          <w14:textFill>
            <w14:solidFill>
              <w14:schemeClr w14:val="tx1"/>
            </w14:solidFill>
          </w14:textFill>
        </w:rPr>
        <w:t xml:space="preserve">、</w:t>
      </w:r>
      <w:r>
        <w:rPr>
          <w:rFonts w:hint="eastAsia"/>
          <w:b/>
          <w:color w:val="000000" w:themeColor="text1"/>
          <w:sz w:val="21"/>
          <w14:textFill>
            <w14:solidFill>
              <w14:schemeClr w14:val="tx1"/>
            </w14:solidFill>
          </w14:textFill>
        </w:rPr>
        <w:t xml:space="preserve">项目管理机构</w:t>
      </w:r>
      <w:r/>
    </w:p>
    <w:p>
      <w:pPr>
        <w:contextualSpacing/>
        <w:ind w:firstLine="360"/>
        <w:jc w:val="center"/>
        <w:spacing w:line="360" w:lineRule="auto"/>
        <w:rPr>
          <w:color w:val="000000" w:themeColor="text1"/>
          <w:sz w:val="36"/>
          <w14:textFill>
            <w14:solidFill>
              <w14:schemeClr w14:val="tx1"/>
            </w14:solidFill>
          </w14:textFill>
        </w:rPr>
        <w:sectPr>
          <w:footnotePr/>
          <w:endnotePr/>
          <w:type w:val="nextPage"/>
          <w:pgSz w:w="11910" w:h="16840" w:orient="portrait"/>
          <w:pgMar w:top="1134" w:right="1134" w:bottom="1134" w:left="1134" w:header="567" w:footer="720" w:gutter="0"/>
          <w:cols w:num="1" w:sep="0" w:space="720" w:equalWidth="1"/>
          <w:docGrid w:linePitch="360"/>
        </w:sectPr>
      </w:pPr>
      <w:r>
        <w:rPr>
          <w:color w:val="000000" w:themeColor="text1"/>
          <w:sz w:val="36"/>
          <w14:textFill>
            <w14:solidFill>
              <w14:schemeClr w14:val="tx1"/>
            </w14:solidFill>
          </w14:textFill>
        </w:rPr>
      </w:r>
      <w:r/>
    </w:p>
    <w:p>
      <w:pPr>
        <w:contextualSpacing/>
        <w:jc w:val="center"/>
        <w:spacing w:line="360" w:lineRule="auto"/>
        <w:rPr>
          <w:rFonts w:asciiTheme="minorEastAsia" w:hAnsiTheme="minorEastAsia" w:eastAsiaTheme="minorEastAsia"/>
          <w:b/>
          <w:color w:val="000000" w:themeColor="text1"/>
          <w:sz w:val="36"/>
          <w14:textFill>
            <w14:solidFill>
              <w14:schemeClr w14:val="tx1"/>
            </w14:solidFill>
          </w14:textFill>
        </w:rPr>
      </w:pPr>
      <w:r>
        <w:rPr>
          <w:rFonts w:hint="eastAsia" w:asciiTheme="minorEastAsia" w:hAnsiTheme="minorEastAsia" w:eastAsiaTheme="minorEastAsia"/>
          <w:b/>
          <w:color w:val="000000" w:themeColor="text1"/>
          <w:sz w:val="36"/>
          <w14:textFill>
            <w14:solidFill>
              <w14:schemeClr w14:val="tx1"/>
            </w14:solidFill>
          </w14:textFill>
        </w:rPr>
        <w:t xml:space="preserve">项目管理机构组成表</w:t>
      </w:r>
      <w:r/>
    </w:p>
    <w:p>
      <w:pPr>
        <w:spacing w:line="360" w:lineRule="auto"/>
        <w:rPr>
          <w:color w:val="000000" w:themeColor="text1"/>
          <w:sz w:val="21"/>
          <w:szCs w:val="21"/>
          <w14:textFill>
            <w14:solidFill>
              <w14:schemeClr w14:val="tx1"/>
            </w14:solidFill>
          </w14:textFill>
        </w:rPr>
        <w:sectPr>
          <w:footnotePr/>
          <w:endnotePr/>
          <w:type w:val="continuous"/>
          <w:pgSz w:w="11910" w:h="16840" w:orient="portrait"/>
          <w:pgMar w:top="1134" w:right="1134" w:bottom="1134" w:left="1134" w:header="567" w:footer="720" w:gutter="0"/>
          <w:cols w:num="1" w:sep="0" w:space="720" w:equalWidth="1"/>
          <w:docGrid w:linePitch="360"/>
        </w:sectPr>
      </w:pPr>
      <w:r>
        <w:rPr>
          <w:color w:val="000000" w:themeColor="text1"/>
          <w:sz w:val="21"/>
          <w:szCs w:val="21"/>
          <w14:textFill>
            <w14:solidFill>
              <w14:schemeClr w14:val="tx1"/>
            </w14:solidFill>
          </w14:textFill>
        </w:rPr>
      </w:r>
      <w:r/>
    </w:p>
    <w:tbl>
      <w:tblPr>
        <w:tblStyle w:val="887"/>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709"/>
        <w:gridCol w:w="708"/>
        <w:gridCol w:w="1134"/>
        <w:gridCol w:w="993"/>
        <w:gridCol w:w="992"/>
        <w:gridCol w:w="992"/>
        <w:gridCol w:w="1276"/>
        <w:gridCol w:w="709"/>
      </w:tblGrid>
      <w:tr>
        <w:trPr/>
        <w:tc>
          <w:tcPr>
            <w:tcW w:w="1276" w:type="dxa"/>
            <w:vAlign w:val="center"/>
            <w:vMerge w:val="restart"/>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职务</w:t>
            </w:r>
            <w:r/>
          </w:p>
        </w:tc>
        <w:tc>
          <w:tcPr>
            <w:tcW w:w="709" w:type="dxa"/>
            <w:vAlign w:val="center"/>
            <w:vMerge w:val="restart"/>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姓名</w:t>
            </w:r>
            <w:r/>
          </w:p>
        </w:tc>
        <w:tc>
          <w:tcPr>
            <w:tcW w:w="708" w:type="dxa"/>
            <w:vAlign w:val="center"/>
            <w:vMerge w:val="restart"/>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职称</w:t>
            </w:r>
            <w:r/>
          </w:p>
        </w:tc>
        <w:tc>
          <w:tcPr>
            <w:gridSpan w:val="5"/>
            <w:tcW w:w="5387"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执业或职业资格证明</w:t>
            </w:r>
            <w:r/>
          </w:p>
        </w:tc>
        <w:tc>
          <w:tcPr>
            <w:tcW w:w="709"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备注</w:t>
            </w:r>
            <w:r/>
          </w:p>
        </w:tc>
      </w:tr>
      <w:tr>
        <w:trPr/>
        <w:tc>
          <w:tcPr>
            <w:tcW w:w="1276" w:type="dxa"/>
            <w:vAlign w:val="center"/>
            <w:vMerge w:val="continue"/>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709" w:type="dxa"/>
            <w:vAlign w:val="center"/>
            <w:vMerge w:val="continue"/>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708" w:type="dxa"/>
            <w:vAlign w:val="center"/>
            <w:vMerge w:val="continue"/>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134"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证书名称</w:t>
            </w:r>
            <w:r/>
          </w:p>
        </w:tc>
        <w:tc>
          <w:tcPr>
            <w:tcW w:w="993"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级别</w:t>
            </w:r>
            <w:r/>
          </w:p>
        </w:tc>
        <w:tc>
          <w:tcPr>
            <w:tcW w:w="992"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证号</w:t>
            </w:r>
            <w:r/>
          </w:p>
        </w:tc>
        <w:tc>
          <w:tcPr>
            <w:tcW w:w="992"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专业</w:t>
            </w:r>
            <w:r/>
          </w:p>
        </w:tc>
        <w:tc>
          <w:tcPr>
            <w:tcW w:w="1276"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养老保险</w:t>
            </w:r>
            <w:r/>
          </w:p>
        </w:tc>
        <w:tc>
          <w:tcPr>
            <w:tcW w:w="709" w:type="dxa"/>
            <w:vAlign w:val="center"/>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r>
      <w:tr>
        <w:trPr/>
        <w:tc>
          <w:tcPr>
            <w:tcW w:w="1276" w:type="dxa"/>
            <w:textDirection w:val="lrTb"/>
            <w:noWrap w:val="false"/>
          </w:tcPr>
          <w:p>
            <w:pPr>
              <w:jc w:val="center"/>
              <w:spacing w:line="44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项目负责人</w:t>
            </w:r>
            <w:r/>
          </w:p>
        </w:tc>
        <w:tc>
          <w:tcPr>
            <w:tcW w:w="709"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708"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134"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993"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992"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992"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276"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709"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r>
      <w:tr>
        <w:trPr/>
        <w:tc>
          <w:tcPr>
            <w:tcW w:w="1276" w:type="dxa"/>
            <w:textDirection w:val="lrTb"/>
            <w:noWrap w:val="false"/>
          </w:tcPr>
          <w:p>
            <w:pPr>
              <w:jc w:val="center"/>
              <w:spacing w:line="44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p>
        </w:tc>
        <w:tc>
          <w:tcPr>
            <w:tcW w:w="709"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708"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134"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993"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992"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992"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276"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709"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r>
      <w:tr>
        <w:trPr/>
        <w:tc>
          <w:tcPr>
            <w:tcW w:w="1276"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709"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708"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134"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993"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992"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992"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276"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709"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r>
      <w:tr>
        <w:trPr/>
        <w:tc>
          <w:tcPr>
            <w:tcW w:w="1276"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709"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708"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134"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993"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992"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992"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276"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709"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r>
      <w:tr>
        <w:trPr/>
        <w:tc>
          <w:tcPr>
            <w:tcW w:w="1276"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709"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708"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134"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993"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992"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992"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276"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709"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r>
      <w:tr>
        <w:trPr/>
        <w:tc>
          <w:tcPr>
            <w:tcW w:w="1276"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709"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708"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134"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993"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992"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992"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276"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709"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r>
      <w:tr>
        <w:trPr/>
        <w:tc>
          <w:tcPr>
            <w:tcW w:w="1276"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709"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708"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134"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993"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992"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992"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1276"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c>
          <w:tcPr>
            <w:tcW w:w="709" w:type="dxa"/>
            <w:textDirection w:val="lrTb"/>
            <w:noWrap w:val="false"/>
          </w:tcPr>
          <w:p>
            <w:pPr>
              <w:jc w:val="center"/>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tc>
      </w:tr>
    </w:tbl>
    <w:p>
      <w:pPr>
        <w:pStyle w:val="1475"/>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注：主要人员应附相关证明材料复印件加盖公章</w:t>
      </w:r>
      <w:r/>
    </w:p>
    <w:p>
      <w:pPr>
        <w:ind w:firstLine="210"/>
        <w:spacing w:line="360" w:lineRule="auto"/>
        <w:rPr>
          <w:bCs/>
          <w:color w:val="000000" w:themeColor="text1"/>
          <w:sz w:val="21"/>
          <w14:textFill>
            <w14:solidFill>
              <w14:schemeClr w14:val="tx1"/>
            </w14:solidFill>
          </w14:textFill>
        </w:rPr>
      </w:pPr>
      <w:r>
        <w:rPr>
          <w:rFonts w:hint="eastAsia"/>
          <w:bCs/>
          <w:color w:val="000000" w:themeColor="text1"/>
          <w:sz w:val="21"/>
          <w14:textFill>
            <w14:solidFill>
              <w14:schemeClr w14:val="tx1"/>
            </w14:solidFill>
          </w14:textFill>
        </w:rPr>
        <w:t xml:space="preserve">供应商名称：（盖章）</w:t>
      </w:r>
      <w:r/>
    </w:p>
    <w:p>
      <w:pPr>
        <w:ind w:firstLine="210"/>
        <w:spacing w:line="360" w:lineRule="auto"/>
        <w:rPr>
          <w:bCs/>
          <w:color w:val="000000" w:themeColor="text1"/>
          <w:sz w:val="21"/>
          <w14:textFill>
            <w14:solidFill>
              <w14:schemeClr w14:val="tx1"/>
            </w14:solidFill>
          </w14:textFill>
        </w:rPr>
      </w:pPr>
      <w:r>
        <w:rPr>
          <w:bCs/>
          <w:color w:val="000000" w:themeColor="text1"/>
          <w:sz w:val="21"/>
          <w14:textFill>
            <w14:solidFill>
              <w14:schemeClr w14:val="tx1"/>
            </w14:solidFill>
          </w14:textFill>
        </w:rPr>
      </w:r>
      <w:r/>
    </w:p>
    <w:p>
      <w:pPr>
        <w:ind w:firstLine="420"/>
        <w:spacing w:line="360" w:lineRule="auto"/>
        <w:rPr>
          <w:bCs/>
          <w:color w:val="000000" w:themeColor="text1"/>
          <w:sz w:val="21"/>
          <w14:textFill>
            <w14:solidFill>
              <w14:schemeClr w14:val="tx1"/>
            </w14:solidFill>
          </w14:textFill>
        </w:rPr>
      </w:pPr>
      <w:r>
        <w:rPr>
          <w:rFonts w:hint="eastAsia"/>
          <w:bCs/>
          <w:color w:val="000000" w:themeColor="text1"/>
          <w:sz w:val="21"/>
          <w14:textFill>
            <w14:solidFill>
              <w14:schemeClr w14:val="tx1"/>
            </w14:solidFill>
          </w14:textFill>
        </w:rPr>
        <w:t xml:space="preserve">说明：</w:t>
      </w:r>
      <w:r/>
    </w:p>
    <w:p>
      <w:pPr>
        <w:ind w:firstLine="420"/>
        <w:spacing w:line="360" w:lineRule="auto"/>
        <w:rPr>
          <w:bCs/>
          <w:color w:val="000000" w:themeColor="text1"/>
          <w:sz w:val="21"/>
          <w14:textFill>
            <w14:solidFill>
              <w14:schemeClr w14:val="tx1"/>
            </w14:solidFill>
          </w14:textFill>
        </w:rPr>
      </w:pPr>
      <w:r>
        <w:rPr>
          <w:rFonts w:hint="eastAsia"/>
          <w:bCs/>
          <w:color w:val="000000" w:themeColor="text1"/>
          <w:sz w:val="21"/>
          <w:lang w:val="en-US"/>
          <w14:textFill>
            <w14:solidFill>
              <w14:schemeClr w14:val="tx1"/>
            </w14:solidFill>
          </w14:textFill>
        </w:rPr>
        <w:t xml:space="preserve">1、</w:t>
      </w:r>
      <w:r>
        <w:rPr>
          <w:rFonts w:hint="eastAsia"/>
          <w:bCs/>
          <w:color w:val="000000" w:themeColor="text1"/>
          <w:sz w:val="21"/>
          <w14:textFill>
            <w14:solidFill>
              <w14:schemeClr w14:val="tx1"/>
            </w14:solidFill>
          </w14:textFill>
        </w:rPr>
        <w:t xml:space="preserve">如果行数不够，请自行增加。</w:t>
      </w:r>
      <w:r/>
    </w:p>
    <w:p>
      <w:pPr>
        <w:spacing w:line="360" w:lineRule="auto"/>
        <w:rPr>
          <w:bCs/>
          <w:color w:val="000000" w:themeColor="text1"/>
          <w:sz w:val="21"/>
          <w:lang w:val="en-US"/>
          <w14:textFill>
            <w14:solidFill>
              <w14:schemeClr w14:val="tx1"/>
            </w14:solidFill>
          </w14:textFill>
        </w:rPr>
      </w:pPr>
      <w:r>
        <w:rPr>
          <w:bCs/>
          <w:color w:val="000000" w:themeColor="text1"/>
          <w:sz w:val="21"/>
          <w:lang w:val="en-US"/>
          <w14:textFill>
            <w14:solidFill>
              <w14:schemeClr w14:val="tx1"/>
            </w14:solidFill>
          </w14:textFill>
        </w:rPr>
      </w:r>
      <w:r/>
    </w:p>
    <w:p>
      <w:pPr>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t xml:space="preserve">目录</w:t>
      </w:r>
      <w:r>
        <w:rPr>
          <w:rFonts w:hint="eastAsia"/>
          <w:b/>
          <w:color w:val="000000" w:themeColor="text1"/>
          <w:sz w:val="21"/>
          <w14:textFill>
            <w14:solidFill>
              <w14:schemeClr w14:val="tx1"/>
            </w14:solidFill>
          </w14:textFill>
        </w:rPr>
        <w:t xml:space="preserve">九</w:t>
      </w:r>
      <w:r>
        <w:rPr>
          <w:b/>
          <w:color w:val="000000" w:themeColor="text1"/>
          <w:sz w:val="21"/>
          <w14:textFill>
            <w14:solidFill>
              <w14:schemeClr w14:val="tx1"/>
            </w14:solidFill>
          </w14:textFill>
        </w:rPr>
        <w:t xml:space="preserve">、</w:t>
      </w:r>
      <w:r>
        <w:rPr>
          <w:rFonts w:hint="eastAsia"/>
          <w:b/>
          <w:color w:val="000000" w:themeColor="text1"/>
          <w:sz w:val="21"/>
          <w14:textFill>
            <w14:solidFill>
              <w14:schemeClr w14:val="tx1"/>
            </w14:solidFill>
          </w14:textFill>
        </w:rPr>
        <w:t xml:space="preserve">相关承诺</w:t>
      </w:r>
      <w:r/>
    </w:p>
    <w:p>
      <w:pPr>
        <w:jc w:val="center"/>
        <w:spacing w:line="360" w:lineRule="auto"/>
        <w:rPr>
          <w:color w:val="000000" w:themeColor="text1"/>
          <w:sz w:val="36"/>
          <w14:textFill>
            <w14:solidFill>
              <w14:schemeClr w14:val="tx1"/>
            </w14:solidFill>
          </w14:textFill>
        </w:rPr>
      </w:pPr>
      <w:r>
        <w:rPr>
          <w:rFonts w:hint="eastAsia" w:asciiTheme="minorEastAsia" w:hAnsiTheme="minorEastAsia" w:eastAsiaTheme="minorEastAsia"/>
          <w:b/>
          <w:color w:val="000000" w:themeColor="text1"/>
          <w:sz w:val="36"/>
          <w14:textFill>
            <w14:solidFill>
              <w14:schemeClr w14:val="tx1"/>
            </w14:solidFill>
          </w14:textFill>
        </w:rPr>
        <w:t xml:space="preserve">相关承诺</w:t>
      </w:r>
      <w:r>
        <w:rPr>
          <w:rFonts w:asciiTheme="minorEastAsia" w:hAnsiTheme="minorEastAsia" w:eastAsiaTheme="minorEastAsia"/>
          <w:b/>
          <w:color w:val="000000" w:themeColor="text1"/>
          <w:sz w:val="36"/>
          <w14:textFill>
            <w14:solidFill>
              <w14:schemeClr w14:val="tx1"/>
            </w14:solidFill>
          </w14:textFill>
        </w:rPr>
        <w:t xml:space="preserve">（若有</w:t>
      </w:r>
      <w:r>
        <w:rPr>
          <w:color w:val="000000" w:themeColor="text1"/>
          <w:sz w:val="36"/>
          <w14:textFill>
            <w14:solidFill>
              <w14:schemeClr w14:val="tx1"/>
            </w14:solidFill>
          </w14:textFill>
        </w:rPr>
        <w:t xml:space="preserve">）</w:t>
      </w:r>
      <w:r/>
    </w:p>
    <w:p>
      <w:pPr>
        <w:pStyle w:val="902"/>
        <w:rPr>
          <w:color w:val="000000" w:themeColor="text1"/>
          <w14:textFill>
            <w14:solidFill>
              <w14:schemeClr w14:val="tx1"/>
            </w14:solidFill>
          </w14:textFill>
        </w:rPr>
      </w:pPr>
      <w:r>
        <w:rPr>
          <w:color w:val="000000" w:themeColor="text1"/>
          <w14:textFill>
            <w14:solidFill>
              <w14:schemeClr w14:val="tx1"/>
            </w14:solidFill>
          </w14:textFill>
        </w:rPr>
      </w:r>
      <w:r/>
    </w:p>
    <w:p>
      <w:pPr>
        <w:contextualSpacing/>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t xml:space="preserve">目录十、投标需要的其他证明文件及材料</w:t>
      </w:r>
      <w:r/>
    </w:p>
    <w:p>
      <w:pPr>
        <w:contextualSpacing/>
        <w:jc w:val="center"/>
        <w:spacing w:line="360" w:lineRule="auto"/>
        <w:rPr>
          <w:rFonts w:asciiTheme="minorEastAsia" w:hAnsiTheme="minorEastAsia" w:eastAsiaTheme="minorEastAsia"/>
          <w:b/>
          <w:color w:val="000000" w:themeColor="text1"/>
          <w:sz w:val="36"/>
          <w14:textFill>
            <w14:solidFill>
              <w14:schemeClr w14:val="tx1"/>
            </w14:solidFill>
          </w14:textFill>
        </w:rPr>
      </w:pPr>
      <w:r>
        <w:rPr>
          <w:rFonts w:asciiTheme="minorEastAsia" w:hAnsiTheme="minorEastAsia" w:eastAsiaTheme="minorEastAsia"/>
          <w:b/>
          <w:color w:val="000000" w:themeColor="text1"/>
          <w:sz w:val="36"/>
          <w14:textFill>
            <w14:solidFill>
              <w14:schemeClr w14:val="tx1"/>
            </w14:solidFill>
          </w14:textFill>
        </w:rPr>
        <w:t xml:space="preserve">投标需要的其他证明文件及材料（若有）</w:t>
      </w:r>
      <w:r/>
    </w:p>
    <w:p>
      <w:pPr>
        <w:pStyle w:val="902"/>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rPr>
          <w:b/>
          <w:color w:val="000000" w:themeColor="text1"/>
          <w:sz w:val="21"/>
          <w14:textFill>
            <w14:solidFill>
              <w14:schemeClr w14:val="tx1"/>
            </w14:solidFill>
          </w14:textFill>
        </w:rPr>
      </w:pPr>
      <w:r>
        <w:rPr>
          <w:b/>
          <w:color w:val="000000" w:themeColor="text1"/>
          <w:sz w:val="21"/>
          <w14:textFill>
            <w14:solidFill>
              <w14:schemeClr w14:val="tx1"/>
            </w14:solidFill>
          </w14:textFill>
        </w:rPr>
      </w:r>
      <w:r/>
    </w:p>
    <w:p>
      <w:pPr>
        <w:rPr>
          <w:b/>
          <w:color w:val="000000" w:themeColor="text1"/>
          <w:sz w:val="21"/>
          <w14:textFill>
            <w14:solidFill>
              <w14:schemeClr w14:val="tx1"/>
            </w14:solidFill>
          </w14:textFill>
        </w:rPr>
      </w:pPr>
      <w:r>
        <w:rPr>
          <w:b/>
          <w:color w:val="000000" w:themeColor="text1"/>
          <w:sz w:val="21"/>
          <w14:textFill>
            <w14:solidFill>
              <w14:schemeClr w14:val="tx1"/>
            </w14:solidFill>
          </w14:textFill>
        </w:rPr>
      </w:r>
      <w:r/>
    </w:p>
    <w:p>
      <w:pPr>
        <w:rPr>
          <w:b/>
          <w:color w:val="000000" w:themeColor="text1"/>
          <w:sz w:val="21"/>
          <w14:textFill>
            <w14:solidFill>
              <w14:schemeClr w14:val="tx1"/>
            </w14:solidFill>
          </w14:textFill>
        </w:rPr>
      </w:pPr>
      <w:r>
        <w:rPr>
          <w:b/>
          <w:color w:val="000000" w:themeColor="text1"/>
          <w:sz w:val="21"/>
          <w14:textFill>
            <w14:solidFill>
              <w14:schemeClr w14:val="tx1"/>
            </w14:solidFill>
          </w14:textFill>
        </w:rPr>
      </w:r>
      <w:r/>
    </w:p>
    <w:p>
      <w:pPr>
        <w:rPr>
          <w:b/>
          <w:color w:val="000000" w:themeColor="text1"/>
          <w:sz w:val="21"/>
          <w14:textFill>
            <w14:solidFill>
              <w14:schemeClr w14:val="tx1"/>
            </w14:solidFill>
          </w14:textFill>
        </w:rPr>
      </w:pPr>
      <w:r>
        <w:rPr>
          <w:b/>
          <w:color w:val="000000" w:themeColor="text1"/>
          <w:sz w:val="21"/>
          <w14:textFill>
            <w14:solidFill>
              <w14:schemeClr w14:val="tx1"/>
            </w14:solidFill>
          </w14:textFill>
        </w:rPr>
      </w:r>
      <w:r/>
    </w:p>
    <w:p>
      <w:pPr>
        <w:rPr>
          <w:b/>
          <w:color w:val="000000" w:themeColor="text1"/>
          <w:sz w:val="21"/>
          <w14:textFill>
            <w14:solidFill>
              <w14:schemeClr w14:val="tx1"/>
            </w14:solidFill>
          </w14:textFill>
        </w:rPr>
      </w:pPr>
      <w:r>
        <w:rPr>
          <w:b/>
          <w:color w:val="000000" w:themeColor="text1"/>
          <w:sz w:val="21"/>
          <w14:textFill>
            <w14:solidFill>
              <w14:schemeClr w14:val="tx1"/>
            </w14:solidFill>
          </w14:textFill>
        </w:rPr>
      </w:r>
      <w:r/>
    </w:p>
    <w:p>
      <w:pPr>
        <w:rPr>
          <w:b/>
          <w:color w:val="000000" w:themeColor="text1"/>
          <w:sz w:val="21"/>
          <w14:textFill>
            <w14:solidFill>
              <w14:schemeClr w14:val="tx1"/>
            </w14:solidFill>
          </w14:textFill>
        </w:rPr>
      </w:pPr>
      <w:r>
        <w:rPr>
          <w:b/>
          <w:color w:val="000000" w:themeColor="text1"/>
          <w:sz w:val="21"/>
          <w14:textFill>
            <w14:solidFill>
              <w14:schemeClr w14:val="tx1"/>
            </w14:solidFill>
          </w14:textFill>
        </w:rPr>
      </w:r>
      <w:r/>
    </w:p>
    <w:p>
      <w:pPr>
        <w:rPr>
          <w:b/>
          <w:color w:val="000000" w:themeColor="text1"/>
          <w:sz w:val="21"/>
          <w14:textFill>
            <w14:solidFill>
              <w14:schemeClr w14:val="tx1"/>
            </w14:solidFill>
          </w14:textFill>
        </w:rPr>
      </w:pPr>
      <w:r>
        <w:rPr>
          <w:b/>
          <w:color w:val="000000" w:themeColor="text1"/>
          <w:sz w:val="21"/>
          <w14:textFill>
            <w14:solidFill>
              <w14:schemeClr w14:val="tx1"/>
            </w14:solidFill>
          </w14:textFill>
        </w:rPr>
      </w:r>
      <w:r/>
    </w:p>
    <w:p>
      <w:pPr>
        <w:rPr>
          <w:b/>
          <w:color w:val="000000" w:themeColor="text1"/>
          <w:sz w:val="21"/>
          <w14:textFill>
            <w14:solidFill>
              <w14:schemeClr w14:val="tx1"/>
            </w14:solidFill>
          </w14:textFill>
        </w:rPr>
      </w:pPr>
      <w:r>
        <w:rPr>
          <w:b/>
          <w:color w:val="000000" w:themeColor="text1"/>
          <w:sz w:val="21"/>
          <w14:textFill>
            <w14:solidFill>
              <w14:schemeClr w14:val="tx1"/>
            </w14:solidFill>
          </w14:textFill>
        </w:rPr>
      </w:r>
      <w:r/>
    </w:p>
    <w:p>
      <w:pPr>
        <w:rPr>
          <w:rFonts w:asciiTheme="minorEastAsia" w:hAnsiTheme="minorEastAsia" w:eastAsiaTheme="minorEastAsia"/>
          <w:b/>
          <w:color w:val="000000" w:themeColor="text1"/>
          <w14:textFill>
            <w14:solidFill>
              <w14:schemeClr w14:val="tx1"/>
            </w14:solidFill>
          </w14:textFill>
        </w:rPr>
      </w:pPr>
      <w:r>
        <w:rPr>
          <w:b/>
          <w:color w:val="000000" w:themeColor="text1"/>
          <w:sz w:val="21"/>
          <w14:textFill>
            <w14:solidFill>
              <w14:schemeClr w14:val="tx1"/>
            </w14:solidFill>
          </w14:textFill>
        </w:rPr>
        <w:t xml:space="preserve">目录十</w:t>
      </w:r>
      <w:r>
        <w:rPr>
          <w:rFonts w:hint="eastAsia"/>
          <w:b/>
          <w:color w:val="000000" w:themeColor="text1"/>
          <w:sz w:val="21"/>
          <w:lang w:val="en-US"/>
          <w14:textFill>
            <w14:solidFill>
              <w14:schemeClr w14:val="tx1"/>
            </w14:solidFill>
          </w14:textFill>
        </w:rPr>
        <w:t xml:space="preserve">一</w:t>
      </w:r>
      <w:r>
        <w:rPr>
          <w:b/>
          <w:color w:val="000000" w:themeColor="text1"/>
          <w:sz w:val="21"/>
          <w14:textFill>
            <w14:solidFill>
              <w14:schemeClr w14:val="tx1"/>
            </w14:solidFill>
          </w14:textFill>
        </w:rPr>
        <w:t xml:space="preserve">、</w:t>
      </w:r>
      <w:r>
        <w:rPr>
          <w:rFonts w:hint="eastAsia" w:asciiTheme="minorEastAsia" w:hAnsiTheme="minorEastAsia" w:eastAsiaTheme="minorEastAsia"/>
          <w:b/>
          <w:color w:val="000000" w:themeColor="text1"/>
          <w14:textFill>
            <w14:solidFill>
              <w14:schemeClr w14:val="tx1"/>
            </w14:solidFill>
          </w14:textFill>
        </w:rPr>
        <w:t xml:space="preserve">主要材料品牌一览表</w:t>
      </w:r>
      <w:r/>
    </w:p>
    <w:p>
      <w:pPr>
        <w:pStyle w:val="902"/>
        <w:rPr>
          <w:color w:val="000000" w:themeColor="text1"/>
          <w14:textFill>
            <w14:solidFill>
              <w14:schemeClr w14:val="tx1"/>
            </w14:solidFill>
          </w14:textFill>
        </w:rPr>
      </w:pPr>
      <w:r>
        <w:rPr>
          <w:color w:val="000000" w:themeColor="text1"/>
          <w14:textFill>
            <w14:solidFill>
              <w14:schemeClr w14:val="tx1"/>
            </w14:solidFill>
          </w14:textFill>
        </w:rPr>
      </w:r>
      <w:r/>
    </w:p>
    <w:p>
      <w:pPr>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项目名称：    </w:t>
      </w:r>
      <w:r>
        <w:rPr>
          <w:color w:val="000000" w:themeColor="text1"/>
          <w:szCs w:val="21"/>
          <w14:textFill>
            <w14:solidFill>
              <w14:schemeClr w14:val="tx1"/>
            </w14:solidFill>
          </w14:textFill>
        </w:rPr>
        <w:t xml:space="preserve">   </w:t>
      </w:r>
      <w:r>
        <w:rPr>
          <w:rFonts w:hint="eastAsia"/>
          <w:color w:val="000000" w:themeColor="text1"/>
          <w:szCs w:val="21"/>
          <w14:textFill>
            <w14:solidFill>
              <w14:schemeClr w14:val="tx1"/>
            </w14:solidFill>
          </w14:textFill>
        </w:rPr>
        <w:t xml:space="preserve">项目编号：     </w:t>
      </w:r>
      <w:r/>
    </w:p>
    <w:tbl>
      <w:tblPr>
        <w:tblStyle w:val="887"/>
        <w:tblW w:w="419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7"/>
        <w:gridCol w:w="1888"/>
        <w:gridCol w:w="3442"/>
        <w:gridCol w:w="1848"/>
      </w:tblGrid>
      <w:tr>
        <w:trPr>
          <w:jc w:val="center"/>
          <w:tblHeader/>
        </w:trPr>
        <w:tc>
          <w:tcPr>
            <w:tcW w:w="658" w:type="pct"/>
            <w:vAlign w:val="center"/>
            <w:textDirection w:val="lrTb"/>
            <w:noWrap w:val="false"/>
          </w:tcPr>
          <w:p>
            <w:pPr>
              <w:jc w:val="center"/>
              <w:spacing w:line="280" w:lineRule="exact"/>
              <w:widowControl/>
              <w:rPr>
                <w:b/>
                <w:color w:val="000000" w:themeColor="text1"/>
                <w:sz w:val="24"/>
                <w:szCs w:val="24"/>
                <w14:textFill>
                  <w14:solidFill>
                    <w14:schemeClr w14:val="tx1"/>
                  </w14:solidFill>
                </w14:textFill>
              </w:rPr>
            </w:pPr>
            <w:r>
              <w:rPr>
                <w:rFonts w:hint="eastAsia"/>
                <w:b/>
                <w:color w:val="000000" w:themeColor="text1"/>
                <w:sz w:val="24"/>
                <w:szCs w:val="24"/>
                <w:lang w:bidi="ar"/>
                <w14:textFill>
                  <w14:solidFill>
                    <w14:schemeClr w14:val="tx1"/>
                  </w14:solidFill>
                </w14:textFill>
              </w:rPr>
              <w:t xml:space="preserve">序号</w:t>
            </w:r>
            <w:r/>
          </w:p>
        </w:tc>
        <w:tc>
          <w:tcPr>
            <w:tcW w:w="1142" w:type="pct"/>
            <w:vAlign w:val="center"/>
            <w:textDirection w:val="lrTb"/>
            <w:noWrap w:val="false"/>
          </w:tcPr>
          <w:p>
            <w:pPr>
              <w:jc w:val="center"/>
              <w:spacing w:line="280" w:lineRule="exact"/>
              <w:widowControl/>
              <w:rPr>
                <w:b/>
                <w:color w:val="000000" w:themeColor="text1"/>
                <w:sz w:val="24"/>
                <w:szCs w:val="24"/>
                <w14:textFill>
                  <w14:solidFill>
                    <w14:schemeClr w14:val="tx1"/>
                  </w14:solidFill>
                </w14:textFill>
              </w:rPr>
            </w:pPr>
            <w:r>
              <w:rPr>
                <w:rFonts w:hint="eastAsia"/>
                <w:b/>
                <w:color w:val="000000" w:themeColor="text1"/>
                <w:sz w:val="24"/>
                <w:szCs w:val="24"/>
                <w:lang w:bidi="ar"/>
                <w14:textFill>
                  <w14:solidFill>
                    <w14:schemeClr w14:val="tx1"/>
                  </w14:solidFill>
                </w14:textFill>
              </w:rPr>
              <w:t xml:space="preserve">材料名称</w:t>
            </w:r>
            <w:r/>
          </w:p>
        </w:tc>
        <w:tc>
          <w:tcPr>
            <w:tcW w:w="2082" w:type="pct"/>
            <w:vAlign w:val="center"/>
            <w:textDirection w:val="lrTb"/>
            <w:noWrap w:val="false"/>
          </w:tcPr>
          <w:p>
            <w:pPr>
              <w:jc w:val="center"/>
              <w:spacing w:line="280" w:lineRule="exact"/>
              <w:widowControl/>
              <w:rPr>
                <w:b/>
                <w:color w:val="000000" w:themeColor="text1"/>
                <w:sz w:val="24"/>
                <w:szCs w:val="24"/>
                <w14:textFill>
                  <w14:solidFill>
                    <w14:schemeClr w14:val="tx1"/>
                  </w14:solidFill>
                </w14:textFill>
              </w:rPr>
            </w:pPr>
            <w:r>
              <w:rPr>
                <w:rFonts w:hint="eastAsia"/>
                <w:b/>
                <w:color w:val="000000" w:themeColor="text1"/>
                <w:sz w:val="24"/>
                <w:szCs w:val="24"/>
                <w:lang w:bidi="ar"/>
                <w14:textFill>
                  <w14:solidFill>
                    <w14:schemeClr w14:val="tx1"/>
                  </w14:solidFill>
                </w14:textFill>
              </w:rPr>
              <w:t xml:space="preserve">品牌范围</w:t>
            </w:r>
            <w:r/>
          </w:p>
        </w:tc>
        <w:tc>
          <w:tcPr>
            <w:tcW w:w="1118" w:type="pct"/>
            <w:textDirection w:val="lrTb"/>
            <w:noWrap w:val="false"/>
          </w:tcPr>
          <w:p>
            <w:pPr>
              <w:jc w:val="center"/>
              <w:spacing w:line="280" w:lineRule="exact"/>
              <w:widowControl/>
              <w:rPr>
                <w:b/>
                <w:color w:val="000000" w:themeColor="text1"/>
                <w:sz w:val="24"/>
                <w:szCs w:val="24"/>
                <w:lang w:bidi="ar"/>
                <w14:textFill>
                  <w14:solidFill>
                    <w14:schemeClr w14:val="tx1"/>
                  </w14:solidFill>
                </w14:textFill>
              </w:rPr>
            </w:pPr>
            <w:r>
              <w:rPr>
                <w:rFonts w:hint="eastAsia"/>
                <w:b/>
                <w:color w:val="000000" w:themeColor="text1"/>
                <w:sz w:val="24"/>
                <w:szCs w:val="24"/>
                <w:lang w:bidi="ar"/>
                <w14:textFill>
                  <w14:solidFill>
                    <w14:schemeClr w14:val="tx1"/>
                  </w14:solidFill>
                </w14:textFill>
              </w:rPr>
              <w:t xml:space="preserve">所选品牌</w:t>
            </w:r>
            <w:r/>
          </w:p>
        </w:tc>
      </w:tr>
      <w:tr>
        <w:trPr>
          <w:jc w:val="center"/>
          <w:trHeight w:val="510"/>
        </w:trPr>
        <w:tc>
          <w:tcPr>
            <w:shd w:val="clear" w:color="auto" w:fill="auto"/>
            <w:tcW w:w="658" w:type="pct"/>
            <w:vAlign w:val="center"/>
            <w:textDirection w:val="lrTb"/>
            <w:noWrap w:val="false"/>
          </w:tcPr>
          <w:p>
            <w:pPr>
              <w:jc w:val="center"/>
              <w:spacing w:before="120" w:after="120" w:line="280" w:lineRule="exact"/>
              <w:rPr>
                <w:color w:val="000000"/>
                <w:sz w:val="18"/>
                <w:szCs w:val="18"/>
              </w:rPr>
            </w:pPr>
            <w:r>
              <w:rPr>
                <w:rFonts w:hint="eastAsia"/>
                <w:color w:val="000000"/>
                <w:sz w:val="18"/>
                <w:szCs w:val="18"/>
              </w:rPr>
              <w:t xml:space="preserve">1</w:t>
            </w:r>
            <w:r/>
          </w:p>
        </w:tc>
        <w:tc>
          <w:tcPr>
            <w:shd w:val="clear" w:color="auto" w:fill="auto"/>
            <w:tcW w:w="1142" w:type="pct"/>
            <w:vAlign w:val="center"/>
            <w:textDirection w:val="lrTb"/>
            <w:noWrap w:val="false"/>
          </w:tcPr>
          <w:p>
            <w:pPr>
              <w:jc w:val="center"/>
              <w:spacing w:before="120" w:after="120" w:line="280" w:lineRule="exact"/>
              <w:rPr>
                <w:color w:val="000000"/>
                <w:sz w:val="18"/>
                <w:szCs w:val="18"/>
              </w:rPr>
            </w:pPr>
            <w:r>
              <w:rPr>
                <w:rFonts w:hint="eastAsia"/>
                <w:color w:val="000000"/>
                <w:sz w:val="18"/>
                <w:szCs w:val="18"/>
              </w:rPr>
              <w:t xml:space="preserve">石膏板</w:t>
            </w:r>
            <w:r/>
          </w:p>
        </w:tc>
        <w:tc>
          <w:tcPr>
            <w:shd w:val="clear" w:color="auto" w:fill="auto"/>
            <w:tcW w:w="2082"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rPr>
              <w:t xml:space="preserve">龙牌、泰山、可耐福</w:t>
            </w:r>
            <w:r/>
          </w:p>
        </w:tc>
        <w:tc>
          <w:tcPr>
            <w:tcW w:w="1118" w:type="pct"/>
            <w:textDirection w:val="lrTb"/>
            <w:noWrap w:val="false"/>
          </w:tcPr>
          <w:p>
            <w:pPr>
              <w:jc w:val="center"/>
              <w:spacing w:before="120" w:after="120" w:line="280" w:lineRule="exact"/>
              <w:rPr>
                <w:color w:val="000000"/>
                <w:sz w:val="18"/>
                <w:szCs w:val="18"/>
              </w:rPr>
            </w:pPr>
            <w:r>
              <w:rPr>
                <w:color w:val="000000"/>
                <w:sz w:val="18"/>
                <w:szCs w:val="18"/>
              </w:rPr>
            </w:r>
            <w:r/>
          </w:p>
        </w:tc>
      </w:tr>
      <w:tr>
        <w:trPr>
          <w:jc w:val="center"/>
          <w:trHeight w:val="510"/>
        </w:trPr>
        <w:tc>
          <w:tcPr>
            <w:shd w:val="clear" w:color="auto" w:fill="auto"/>
            <w:tcW w:w="658" w:type="pct"/>
            <w:vAlign w:val="center"/>
            <w:textDirection w:val="lrTb"/>
            <w:noWrap w:val="false"/>
          </w:tcPr>
          <w:p>
            <w:pPr>
              <w:jc w:val="center"/>
              <w:spacing w:before="120" w:after="120" w:line="280" w:lineRule="exact"/>
              <w:rPr>
                <w:color w:val="000000"/>
                <w:sz w:val="18"/>
                <w:szCs w:val="18"/>
              </w:rPr>
            </w:pPr>
            <w:r>
              <w:rPr>
                <w:rFonts w:hint="eastAsia"/>
                <w:color w:val="000000"/>
                <w:sz w:val="18"/>
                <w:szCs w:val="18"/>
              </w:rPr>
              <w:t xml:space="preserve">2</w:t>
            </w:r>
            <w:r/>
          </w:p>
        </w:tc>
        <w:tc>
          <w:tcPr>
            <w:shd w:val="clear" w:color="auto" w:fill="auto"/>
            <w:tcW w:w="1142" w:type="pct"/>
            <w:vAlign w:val="center"/>
            <w:textDirection w:val="lrTb"/>
            <w:noWrap w:val="false"/>
          </w:tcPr>
          <w:p>
            <w:pPr>
              <w:jc w:val="center"/>
              <w:spacing w:before="120" w:after="120" w:line="280" w:lineRule="exact"/>
              <w:rPr>
                <w:color w:val="000000"/>
                <w:sz w:val="18"/>
                <w:szCs w:val="18"/>
              </w:rPr>
            </w:pPr>
            <w:r>
              <w:rPr>
                <w:rFonts w:hint="eastAsia"/>
                <w:color w:val="000000"/>
                <w:sz w:val="18"/>
                <w:szCs w:val="18"/>
              </w:rPr>
              <w:t xml:space="preserve">板材</w:t>
            </w:r>
            <w:r/>
          </w:p>
        </w:tc>
        <w:tc>
          <w:tcPr>
            <w:shd w:val="clear" w:color="auto" w:fill="auto"/>
            <w:tcW w:w="2082"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rPr>
              <w:t xml:space="preserve">莫干山、兔宝宝、绿野</w:t>
            </w:r>
            <w:r/>
          </w:p>
        </w:tc>
        <w:tc>
          <w:tcPr>
            <w:tcW w:w="1118" w:type="pct"/>
            <w:textDirection w:val="lrTb"/>
            <w:noWrap w:val="false"/>
          </w:tcPr>
          <w:p>
            <w:pPr>
              <w:jc w:val="center"/>
              <w:spacing w:before="120" w:after="120" w:line="280" w:lineRule="exact"/>
              <w:rPr>
                <w:color w:val="000000"/>
                <w:sz w:val="18"/>
                <w:szCs w:val="18"/>
              </w:rPr>
            </w:pPr>
            <w:r>
              <w:rPr>
                <w:color w:val="000000"/>
                <w:sz w:val="18"/>
                <w:szCs w:val="18"/>
              </w:rPr>
            </w:r>
            <w:r/>
          </w:p>
        </w:tc>
      </w:tr>
      <w:tr>
        <w:trPr>
          <w:jc w:val="center"/>
          <w:trHeight w:val="510"/>
        </w:trPr>
        <w:tc>
          <w:tcPr>
            <w:shd w:val="clear" w:color="auto" w:fill="auto"/>
            <w:tcW w:w="658" w:type="pct"/>
            <w:vAlign w:val="center"/>
            <w:textDirection w:val="lrTb"/>
            <w:noWrap w:val="false"/>
          </w:tcPr>
          <w:p>
            <w:pPr>
              <w:jc w:val="center"/>
              <w:spacing w:before="120" w:after="120" w:line="280" w:lineRule="exact"/>
              <w:rPr>
                <w:color w:val="000000"/>
                <w:sz w:val="18"/>
                <w:szCs w:val="18"/>
              </w:rPr>
            </w:pPr>
            <w:r>
              <w:rPr>
                <w:rFonts w:hint="eastAsia"/>
                <w:color w:val="000000"/>
                <w:sz w:val="18"/>
                <w:szCs w:val="18"/>
              </w:rPr>
              <w:t xml:space="preserve">3</w:t>
            </w:r>
            <w:r/>
          </w:p>
        </w:tc>
        <w:tc>
          <w:tcPr>
            <w:shd w:val="clear" w:color="auto" w:fill="auto"/>
            <w:tcW w:w="1142" w:type="pct"/>
            <w:vAlign w:val="center"/>
            <w:textDirection w:val="lrTb"/>
            <w:noWrap w:val="false"/>
          </w:tcPr>
          <w:p>
            <w:pPr>
              <w:jc w:val="center"/>
              <w:spacing w:before="120" w:after="120" w:line="280" w:lineRule="exact"/>
              <w:rPr>
                <w:color w:val="000000"/>
                <w:sz w:val="18"/>
                <w:szCs w:val="18"/>
              </w:rPr>
            </w:pPr>
            <w:r>
              <w:rPr>
                <w:rFonts w:hint="eastAsia"/>
                <w:color w:val="000000"/>
                <w:sz w:val="18"/>
                <w:szCs w:val="18"/>
              </w:rPr>
              <w:t xml:space="preserve">无机涂料</w:t>
            </w:r>
            <w:r/>
          </w:p>
        </w:tc>
        <w:tc>
          <w:tcPr>
            <w:shd w:val="clear" w:color="auto" w:fill="auto"/>
            <w:tcW w:w="2082"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rPr>
              <w:t xml:space="preserve">立邦、多乐士、三棵树</w:t>
            </w:r>
            <w:r/>
          </w:p>
        </w:tc>
        <w:tc>
          <w:tcPr>
            <w:tcW w:w="1118" w:type="pct"/>
            <w:textDirection w:val="lrTb"/>
            <w:noWrap w:val="false"/>
          </w:tcPr>
          <w:p>
            <w:pPr>
              <w:jc w:val="center"/>
              <w:spacing w:before="120" w:after="120" w:line="280" w:lineRule="exact"/>
              <w:rPr>
                <w:color w:val="000000"/>
                <w:sz w:val="18"/>
                <w:szCs w:val="18"/>
              </w:rPr>
            </w:pPr>
            <w:r>
              <w:rPr>
                <w:color w:val="000000"/>
                <w:sz w:val="18"/>
                <w:szCs w:val="18"/>
              </w:rPr>
            </w:r>
            <w:r/>
          </w:p>
        </w:tc>
      </w:tr>
      <w:tr>
        <w:trPr>
          <w:jc w:val="center"/>
          <w:trHeight w:val="510"/>
        </w:trPr>
        <w:tc>
          <w:tcPr>
            <w:shd w:val="clear" w:color="auto" w:fill="auto"/>
            <w:tcW w:w="658" w:type="pct"/>
            <w:vAlign w:val="center"/>
            <w:textDirection w:val="lrTb"/>
            <w:noWrap w:val="false"/>
          </w:tcPr>
          <w:p>
            <w:pPr>
              <w:jc w:val="center"/>
              <w:spacing w:before="120" w:after="120" w:line="280" w:lineRule="exact"/>
              <w:rPr>
                <w:color w:val="000000"/>
                <w:sz w:val="18"/>
                <w:szCs w:val="18"/>
              </w:rPr>
            </w:pPr>
            <w:r>
              <w:rPr>
                <w:rFonts w:hint="eastAsia"/>
                <w:color w:val="000000"/>
                <w:sz w:val="18"/>
                <w:szCs w:val="18"/>
              </w:rPr>
              <w:t xml:space="preserve">4</w:t>
            </w:r>
            <w:r/>
          </w:p>
        </w:tc>
        <w:tc>
          <w:tcPr>
            <w:shd w:val="clear" w:color="auto" w:fill="auto"/>
            <w:tcW w:w="1142" w:type="pct"/>
            <w:vAlign w:val="center"/>
            <w:textDirection w:val="lrTb"/>
            <w:noWrap w:val="false"/>
          </w:tcPr>
          <w:p>
            <w:pPr>
              <w:jc w:val="center"/>
              <w:spacing w:before="120" w:after="120" w:line="280" w:lineRule="exact"/>
              <w:rPr>
                <w:color w:val="000000"/>
                <w:sz w:val="18"/>
                <w:szCs w:val="18"/>
              </w:rPr>
            </w:pPr>
            <w:r>
              <w:rPr>
                <w:rFonts w:hint="eastAsia"/>
                <w:color w:val="000000"/>
                <w:sz w:val="18"/>
                <w:szCs w:val="18"/>
              </w:rPr>
              <w:t xml:space="preserve">水泥</w:t>
            </w:r>
            <w:r/>
          </w:p>
        </w:tc>
        <w:tc>
          <w:tcPr>
            <w:shd w:val="clear" w:color="auto" w:fill="auto"/>
            <w:tcW w:w="2082"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rPr>
              <w:t xml:space="preserve">海螺、华新、中联</w:t>
            </w:r>
            <w:r/>
          </w:p>
        </w:tc>
        <w:tc>
          <w:tcPr>
            <w:tcW w:w="1118" w:type="pct"/>
            <w:textDirection w:val="lrTb"/>
            <w:noWrap w:val="false"/>
          </w:tcPr>
          <w:p>
            <w:pPr>
              <w:jc w:val="center"/>
              <w:spacing w:before="120" w:after="120" w:line="280" w:lineRule="exact"/>
              <w:rPr>
                <w:color w:val="000000"/>
                <w:sz w:val="18"/>
                <w:szCs w:val="18"/>
              </w:rPr>
            </w:pPr>
            <w:r>
              <w:rPr>
                <w:color w:val="000000"/>
                <w:sz w:val="18"/>
                <w:szCs w:val="18"/>
              </w:rPr>
            </w:r>
            <w:r/>
          </w:p>
        </w:tc>
      </w:tr>
      <w:tr>
        <w:trPr>
          <w:jc w:val="center"/>
          <w:trHeight w:val="510"/>
        </w:trPr>
        <w:tc>
          <w:tcPr>
            <w:shd w:val="clear" w:color="auto" w:fill="auto"/>
            <w:tcW w:w="658" w:type="pct"/>
            <w:vAlign w:val="center"/>
            <w:textDirection w:val="lrTb"/>
            <w:noWrap w:val="false"/>
          </w:tcPr>
          <w:p>
            <w:pPr>
              <w:jc w:val="center"/>
              <w:spacing w:before="120" w:after="120" w:line="280" w:lineRule="exact"/>
              <w:rPr>
                <w:color w:val="000000"/>
                <w:sz w:val="18"/>
                <w:szCs w:val="18"/>
              </w:rPr>
            </w:pPr>
            <w:r>
              <w:rPr>
                <w:rFonts w:hint="eastAsia"/>
                <w:color w:val="000000"/>
                <w:sz w:val="18"/>
                <w:szCs w:val="18"/>
              </w:rPr>
              <w:t xml:space="preserve">5</w:t>
            </w:r>
            <w:r/>
          </w:p>
        </w:tc>
        <w:tc>
          <w:tcPr>
            <w:shd w:val="clear" w:color="auto" w:fill="auto"/>
            <w:tcW w:w="1142" w:type="pct"/>
            <w:vAlign w:val="center"/>
            <w:textDirection w:val="lrTb"/>
            <w:noWrap w:val="false"/>
          </w:tcPr>
          <w:p>
            <w:pPr>
              <w:jc w:val="center"/>
              <w:spacing w:before="120" w:after="120" w:line="280" w:lineRule="exact"/>
              <w:rPr>
                <w:color w:val="000000"/>
                <w:sz w:val="18"/>
                <w:szCs w:val="18"/>
              </w:rPr>
            </w:pPr>
            <w:r>
              <w:rPr>
                <w:rFonts w:hint="eastAsia"/>
                <w:color w:val="000000"/>
                <w:sz w:val="18"/>
                <w:szCs w:val="18"/>
              </w:rPr>
              <w:t xml:space="preserve">瓷砖</w:t>
            </w:r>
            <w:r/>
          </w:p>
        </w:tc>
        <w:tc>
          <w:tcPr>
            <w:shd w:val="clear" w:color="auto" w:fill="auto"/>
            <w:tcW w:w="2082" w:type="pct"/>
            <w:vAlign w:val="center"/>
            <w:textDirection w:val="lrTb"/>
            <w:noWrap w:val="false"/>
          </w:tcPr>
          <w:p>
            <w:pPr>
              <w:jc w:val="center"/>
              <w:spacing w:before="120" w:after="120" w:line="280" w:lineRule="exact"/>
              <w:rPr>
                <w:color w:val="000000" w:themeColor="text1"/>
                <w:sz w:val="18"/>
                <w:szCs w:val="18"/>
                <w:lang w:val="en-US"/>
                <w14:textFill>
                  <w14:solidFill>
                    <w14:schemeClr w14:val="tx1"/>
                  </w14:solidFill>
                </w14:textFill>
              </w:rPr>
            </w:pPr>
            <w:r>
              <w:rPr>
                <w:rFonts w:hint="eastAsia"/>
                <w:color w:val="000000" w:themeColor="text1"/>
                <w:sz w:val="18"/>
                <w:szCs w:val="18"/>
                <w14:textFill>
                  <w14:solidFill>
                    <w14:schemeClr w14:val="tx1"/>
                  </w14:solidFill>
                </w14:textFill>
              </w:rPr>
              <w:t xml:space="preserve">诺贝尔、惠达、罗马</w:t>
            </w:r>
            <w:r/>
          </w:p>
        </w:tc>
        <w:tc>
          <w:tcPr>
            <w:tcW w:w="1118" w:type="pct"/>
            <w:textDirection w:val="lrTb"/>
            <w:noWrap w:val="false"/>
          </w:tcPr>
          <w:p>
            <w:pPr>
              <w:jc w:val="center"/>
              <w:spacing w:before="120" w:after="120" w:line="280" w:lineRule="exac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r>
            <w:r/>
          </w:p>
        </w:tc>
      </w:tr>
      <w:tr>
        <w:trPr>
          <w:jc w:val="center"/>
          <w:trHeight w:val="510"/>
        </w:trPr>
        <w:tc>
          <w:tcPr>
            <w:shd w:val="clear" w:color="auto" w:fill="auto"/>
            <w:tcW w:w="658" w:type="pct"/>
            <w:vAlign w:val="center"/>
            <w:textDirection w:val="lrTb"/>
            <w:noWrap w:val="false"/>
          </w:tcPr>
          <w:p>
            <w:pPr>
              <w:jc w:val="center"/>
              <w:spacing w:before="120" w:after="120" w:line="280" w:lineRule="exact"/>
              <w:rPr>
                <w:color w:val="000000"/>
                <w:sz w:val="18"/>
                <w:szCs w:val="18"/>
              </w:rPr>
            </w:pPr>
            <w:r>
              <w:rPr>
                <w:rFonts w:hint="eastAsia"/>
                <w:color w:val="000000"/>
                <w:sz w:val="18"/>
                <w:szCs w:val="18"/>
              </w:rPr>
              <w:t xml:space="preserve">6</w:t>
            </w:r>
            <w:r/>
          </w:p>
        </w:tc>
        <w:tc>
          <w:tcPr>
            <w:shd w:val="clear" w:color="auto" w:fill="auto"/>
            <w:tcW w:w="1142" w:type="pct"/>
            <w:vAlign w:val="center"/>
            <w:textDirection w:val="lrTb"/>
            <w:noWrap w:val="false"/>
          </w:tcPr>
          <w:p>
            <w:pPr>
              <w:jc w:val="center"/>
              <w:spacing w:before="120" w:after="120" w:line="280" w:lineRule="exact"/>
              <w:rPr>
                <w:color w:val="000000"/>
                <w:sz w:val="18"/>
                <w:szCs w:val="18"/>
              </w:rPr>
            </w:pPr>
            <w:r>
              <w:rPr>
                <w:rFonts w:hint="eastAsia"/>
                <w:color w:val="000000"/>
                <w:sz w:val="18"/>
                <w:szCs w:val="18"/>
              </w:rPr>
              <w:t xml:space="preserve">铝合金窗</w:t>
            </w:r>
            <w:r/>
          </w:p>
        </w:tc>
        <w:tc>
          <w:tcPr>
            <w:shd w:val="clear" w:color="auto" w:fill="auto"/>
            <w:tcW w:w="2082" w:type="pct"/>
            <w:vAlign w:val="center"/>
            <w:textDirection w:val="lrTb"/>
            <w:noWrap w:val="false"/>
          </w:tcPr>
          <w:p>
            <w:pPr>
              <w:jc w:val="center"/>
              <w:spacing w:before="120" w:after="120" w:line="280" w:lineRule="exact"/>
              <w:rPr>
                <w:color w:val="000000" w:themeColor="text1"/>
                <w:sz w:val="18"/>
                <w:szCs w:val="18"/>
                <w:lang w:val="en-US"/>
                <w14:textFill>
                  <w14:solidFill>
                    <w14:schemeClr w14:val="tx1"/>
                  </w14:solidFill>
                </w14:textFill>
              </w:rPr>
            </w:pPr>
            <w:r>
              <w:rPr>
                <w:rFonts w:hint="eastAsia"/>
                <w:color w:val="000000" w:themeColor="text1"/>
                <w:sz w:val="18"/>
                <w:szCs w:val="18"/>
                <w14:textFill>
                  <w14:solidFill>
                    <w14:schemeClr w14:val="tx1"/>
                  </w14:solidFill>
                </w14:textFill>
              </w:rPr>
              <w:t xml:space="preserve">伟昌、凤铝、兴发</w:t>
            </w:r>
            <w:r/>
          </w:p>
        </w:tc>
        <w:tc>
          <w:tcPr>
            <w:tcW w:w="1118" w:type="pct"/>
            <w:textDirection w:val="lrTb"/>
            <w:noWrap w:val="false"/>
          </w:tcPr>
          <w:p>
            <w:pPr>
              <w:jc w:val="center"/>
              <w:spacing w:before="120" w:after="120" w:line="280" w:lineRule="exac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r>
            <w:r/>
          </w:p>
        </w:tc>
      </w:tr>
      <w:tr>
        <w:trPr>
          <w:jc w:val="center"/>
          <w:trHeight w:val="510"/>
        </w:trPr>
        <w:tc>
          <w:tcPr>
            <w:shd w:val="clear" w:color="auto" w:fill="auto"/>
            <w:tcW w:w="658" w:type="pct"/>
            <w:vAlign w:val="center"/>
            <w:textDirection w:val="lrTb"/>
            <w:noWrap w:val="false"/>
          </w:tcPr>
          <w:p>
            <w:pPr>
              <w:jc w:val="center"/>
              <w:spacing w:before="120" w:after="120" w:line="280" w:lineRule="exact"/>
              <w:rPr>
                <w:color w:val="000000"/>
                <w:sz w:val="18"/>
                <w:szCs w:val="18"/>
              </w:rPr>
            </w:pPr>
            <w:r>
              <w:rPr>
                <w:rFonts w:hint="eastAsia"/>
                <w:color w:val="000000"/>
                <w:sz w:val="18"/>
                <w:szCs w:val="18"/>
              </w:rPr>
              <w:t xml:space="preserve">7</w:t>
            </w:r>
            <w:r/>
          </w:p>
        </w:tc>
        <w:tc>
          <w:tcPr>
            <w:shd w:val="clear" w:color="auto" w:fill="auto"/>
            <w:tcW w:w="1142" w:type="pct"/>
            <w:vAlign w:val="center"/>
            <w:textDirection w:val="lrTb"/>
            <w:noWrap w:val="false"/>
          </w:tcPr>
          <w:p>
            <w:pPr>
              <w:jc w:val="center"/>
              <w:spacing w:before="120" w:after="120" w:line="280" w:lineRule="exact"/>
              <w:rPr>
                <w:color w:val="000000"/>
                <w:sz w:val="18"/>
                <w:szCs w:val="18"/>
              </w:rPr>
            </w:pPr>
            <w:r>
              <w:rPr>
                <w:rFonts w:hint="eastAsia"/>
                <w:color w:val="000000"/>
                <w:sz w:val="18"/>
                <w:szCs w:val="18"/>
              </w:rPr>
              <w:t xml:space="preserve">木门</w:t>
            </w:r>
            <w:r/>
          </w:p>
        </w:tc>
        <w:tc>
          <w:tcPr>
            <w:shd w:val="clear" w:color="auto" w:fill="auto"/>
            <w:tcW w:w="2082" w:type="pct"/>
            <w:vAlign w:val="center"/>
            <w:textDirection w:val="lrTb"/>
            <w:noWrap w:val="false"/>
          </w:tcPr>
          <w:p>
            <w:pPr>
              <w:jc w:val="center"/>
              <w:spacing w:before="120" w:after="120" w:line="280" w:lineRule="exact"/>
              <w:rPr>
                <w:color w:val="000000" w:themeColor="text1"/>
                <w:sz w:val="18"/>
                <w:szCs w:val="18"/>
                <w:lang w:val="en-US"/>
                <w14:textFill>
                  <w14:solidFill>
                    <w14:schemeClr w14:val="tx1"/>
                  </w14:solidFill>
                </w14:textFill>
              </w:rPr>
            </w:pPr>
            <w:r>
              <w:rPr>
                <w:rFonts w:hint="eastAsia"/>
                <w:color w:val="000000" w:themeColor="text1"/>
                <w:sz w:val="18"/>
                <w:szCs w:val="18"/>
                <w14:textFill>
                  <w14:solidFill>
                    <w14:schemeClr w14:val="tx1"/>
                  </w14:solidFill>
                </w14:textFill>
              </w:rPr>
              <w:t xml:space="preserve">美心、欧派、丰盛</w:t>
            </w:r>
            <w:r/>
          </w:p>
        </w:tc>
        <w:tc>
          <w:tcPr>
            <w:tcW w:w="1118" w:type="pct"/>
            <w:textDirection w:val="lrTb"/>
            <w:noWrap w:val="false"/>
          </w:tcPr>
          <w:p>
            <w:pPr>
              <w:jc w:val="center"/>
              <w:spacing w:before="120" w:after="120" w:line="280" w:lineRule="exac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r>
            <w:r/>
          </w:p>
        </w:tc>
      </w:tr>
      <w:tr>
        <w:trPr>
          <w:jc w:val="center"/>
          <w:trHeight w:val="510"/>
        </w:trPr>
        <w:tc>
          <w:tcPr>
            <w:shd w:val="clear" w:color="auto" w:fill="auto"/>
            <w:tcW w:w="658" w:type="pct"/>
            <w:vAlign w:val="center"/>
            <w:textDirection w:val="lrTb"/>
            <w:noWrap w:val="false"/>
          </w:tcPr>
          <w:p>
            <w:pPr>
              <w:jc w:val="center"/>
              <w:spacing w:before="120" w:after="120" w:line="280" w:lineRule="exact"/>
              <w:rPr>
                <w:color w:val="000000"/>
                <w:sz w:val="18"/>
                <w:szCs w:val="18"/>
              </w:rPr>
            </w:pPr>
            <w:r>
              <w:rPr>
                <w:rFonts w:hint="eastAsia"/>
                <w:color w:val="000000"/>
                <w:sz w:val="18"/>
                <w:szCs w:val="18"/>
              </w:rPr>
              <w:t xml:space="preserve">8</w:t>
            </w:r>
            <w:r/>
          </w:p>
        </w:tc>
        <w:tc>
          <w:tcPr>
            <w:shd w:val="clear" w:color="auto" w:fill="auto"/>
            <w:tcW w:w="1142" w:type="pct"/>
            <w:vAlign w:val="center"/>
            <w:textDirection w:val="lrTb"/>
            <w:noWrap w:val="false"/>
          </w:tcPr>
          <w:p>
            <w:pPr>
              <w:jc w:val="center"/>
              <w:spacing w:before="120" w:after="120" w:line="280" w:lineRule="exact"/>
              <w:rPr>
                <w:color w:val="000000"/>
                <w:sz w:val="18"/>
                <w:szCs w:val="18"/>
              </w:rPr>
            </w:pPr>
            <w:r>
              <w:rPr>
                <w:rFonts w:hint="eastAsia"/>
                <w:color w:val="000000"/>
                <w:sz w:val="18"/>
                <w:szCs w:val="18"/>
              </w:rPr>
              <w:t xml:space="preserve">地板</w:t>
            </w:r>
            <w:r/>
          </w:p>
        </w:tc>
        <w:tc>
          <w:tcPr>
            <w:shd w:val="clear" w:color="auto" w:fill="auto"/>
            <w:tcW w:w="2082" w:type="pct"/>
            <w:vAlign w:val="center"/>
            <w:textDirection w:val="lrTb"/>
            <w:noWrap w:val="false"/>
          </w:tcPr>
          <w:p>
            <w:pPr>
              <w:jc w:val="center"/>
              <w:spacing w:before="120" w:after="120" w:line="280" w:lineRule="exact"/>
              <w:rPr>
                <w:color w:val="000000" w:themeColor="text1"/>
                <w:sz w:val="18"/>
                <w:szCs w:val="18"/>
                <w:lang w:val="en-US"/>
                <w14:textFill>
                  <w14:solidFill>
                    <w14:schemeClr w14:val="tx1"/>
                  </w14:solidFill>
                </w14:textFill>
              </w:rPr>
            </w:pPr>
            <w:r>
              <w:rPr>
                <w:rFonts w:hint="eastAsia"/>
                <w:color w:val="000000" w:themeColor="text1"/>
                <w:sz w:val="18"/>
                <w:szCs w:val="18"/>
                <w14:textFill>
                  <w14:solidFill>
                    <w14:schemeClr w14:val="tx1"/>
                  </w14:solidFill>
                </w14:textFill>
              </w:rPr>
              <w:t xml:space="preserve">大自然、圣象、欧派</w:t>
            </w:r>
            <w:r/>
          </w:p>
        </w:tc>
        <w:tc>
          <w:tcPr>
            <w:tcW w:w="1118" w:type="pct"/>
            <w:textDirection w:val="lrTb"/>
            <w:noWrap w:val="false"/>
          </w:tcPr>
          <w:p>
            <w:pPr>
              <w:jc w:val="center"/>
              <w:spacing w:before="120" w:after="120" w:line="280" w:lineRule="exac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r>
            <w:r/>
          </w:p>
        </w:tc>
      </w:tr>
      <w:tr>
        <w:trPr>
          <w:jc w:val="center"/>
          <w:trHeight w:val="510"/>
        </w:trPr>
        <w:tc>
          <w:tcPr>
            <w:shd w:val="clear" w:color="auto" w:fill="auto"/>
            <w:tcW w:w="658" w:type="pct"/>
            <w:vAlign w:val="center"/>
            <w:textDirection w:val="lrTb"/>
            <w:noWrap w:val="false"/>
          </w:tcPr>
          <w:p>
            <w:pPr>
              <w:jc w:val="center"/>
              <w:spacing w:before="120" w:after="120" w:line="280" w:lineRule="exact"/>
              <w:rPr>
                <w:color w:val="000000"/>
                <w:sz w:val="18"/>
                <w:szCs w:val="18"/>
              </w:rPr>
            </w:pPr>
            <w:r>
              <w:rPr>
                <w:rFonts w:hint="eastAsia"/>
                <w:color w:val="000000"/>
                <w:sz w:val="18"/>
                <w:szCs w:val="18"/>
              </w:rPr>
              <w:t xml:space="preserve">9</w:t>
            </w:r>
            <w:r/>
          </w:p>
        </w:tc>
        <w:tc>
          <w:tcPr>
            <w:shd w:val="clear" w:color="auto" w:fill="auto"/>
            <w:tcW w:w="1142" w:type="pct"/>
            <w:vAlign w:val="center"/>
            <w:textDirection w:val="lrTb"/>
            <w:noWrap w:val="false"/>
          </w:tcPr>
          <w:p>
            <w:pPr>
              <w:jc w:val="center"/>
              <w:spacing w:before="120" w:after="120" w:line="280" w:lineRule="exact"/>
              <w:rPr>
                <w:color w:val="000000"/>
                <w:sz w:val="18"/>
                <w:szCs w:val="18"/>
              </w:rPr>
            </w:pPr>
            <w:r>
              <w:rPr>
                <w:rFonts w:hint="eastAsia"/>
                <w:color w:val="000000"/>
                <w:sz w:val="18"/>
                <w:szCs w:val="18"/>
              </w:rPr>
              <w:t xml:space="preserve">PVC地胶</w:t>
            </w:r>
            <w:r/>
          </w:p>
        </w:tc>
        <w:tc>
          <w:tcPr>
            <w:shd w:val="clear" w:color="auto" w:fill="auto"/>
            <w:tcW w:w="2082" w:type="pct"/>
            <w:vAlign w:val="center"/>
            <w:textDirection w:val="lrTb"/>
            <w:noWrap w:val="false"/>
          </w:tcPr>
          <w:p>
            <w:pPr>
              <w:jc w:val="center"/>
              <w:spacing w:before="120" w:after="120" w:line="280" w:lineRule="exact"/>
              <w:rPr>
                <w:color w:val="000000" w:themeColor="text1"/>
                <w:sz w:val="18"/>
                <w:szCs w:val="18"/>
                <w:lang w:val="en-US"/>
                <w14:textFill>
                  <w14:solidFill>
                    <w14:schemeClr w14:val="tx1"/>
                  </w14:solidFill>
                </w14:textFill>
              </w:rPr>
            </w:pPr>
            <w:r>
              <w:rPr>
                <w:rFonts w:hint="eastAsia"/>
                <w:color w:val="000000" w:themeColor="text1"/>
                <w:sz w:val="18"/>
                <w:szCs w:val="18"/>
                <w14:textFill>
                  <w14:solidFill>
                    <w14:schemeClr w14:val="tx1"/>
                  </w14:solidFill>
                </w14:textFill>
              </w:rPr>
              <w:t xml:space="preserve">阿姆斯壮、LX、洁弗乐</w:t>
            </w:r>
            <w:r/>
          </w:p>
        </w:tc>
        <w:tc>
          <w:tcPr>
            <w:tcW w:w="1118" w:type="pct"/>
            <w:textDirection w:val="lrTb"/>
            <w:noWrap w:val="false"/>
          </w:tcPr>
          <w:p>
            <w:pPr>
              <w:jc w:val="center"/>
              <w:spacing w:before="120" w:after="120" w:line="280" w:lineRule="exac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r>
            <w:r/>
          </w:p>
        </w:tc>
      </w:tr>
      <w:tr>
        <w:trPr>
          <w:jc w:val="center"/>
          <w:trHeight w:val="510"/>
        </w:trPr>
        <w:tc>
          <w:tcPr>
            <w:shd w:val="clear" w:color="auto" w:fill="auto"/>
            <w:tcW w:w="658" w:type="pct"/>
            <w:vAlign w:val="center"/>
            <w:textDirection w:val="lrTb"/>
            <w:noWrap w:val="false"/>
          </w:tcPr>
          <w:p>
            <w:pPr>
              <w:jc w:val="center"/>
              <w:spacing w:before="120" w:after="120" w:line="280" w:lineRule="exact"/>
              <w:rPr>
                <w:color w:val="000000"/>
                <w:sz w:val="18"/>
                <w:szCs w:val="18"/>
              </w:rPr>
            </w:pPr>
            <w:r>
              <w:rPr>
                <w:rFonts w:hint="eastAsia"/>
                <w:color w:val="000000"/>
                <w:sz w:val="18"/>
                <w:szCs w:val="18"/>
              </w:rPr>
              <w:t xml:space="preserve">10</w:t>
            </w:r>
            <w:r/>
          </w:p>
        </w:tc>
        <w:tc>
          <w:tcPr>
            <w:shd w:val="clear" w:color="auto" w:fill="auto"/>
            <w:tcW w:w="1142" w:type="pct"/>
            <w:vAlign w:val="center"/>
            <w:textDirection w:val="lrTb"/>
            <w:noWrap w:val="false"/>
          </w:tcPr>
          <w:p>
            <w:pPr>
              <w:jc w:val="center"/>
              <w:spacing w:before="120" w:after="120" w:line="280" w:lineRule="exact"/>
              <w:rPr>
                <w:color w:val="000000"/>
                <w:sz w:val="18"/>
                <w:szCs w:val="18"/>
              </w:rPr>
            </w:pPr>
            <w:r>
              <w:rPr>
                <w:rFonts w:hint="eastAsia"/>
                <w:color w:val="000000"/>
                <w:sz w:val="18"/>
                <w:szCs w:val="18"/>
              </w:rPr>
              <w:t xml:space="preserve">铝板</w:t>
            </w:r>
            <w:r/>
          </w:p>
        </w:tc>
        <w:tc>
          <w:tcPr>
            <w:shd w:val="clear" w:color="auto" w:fill="auto"/>
            <w:tcW w:w="2082" w:type="pct"/>
            <w:vAlign w:val="center"/>
            <w:textDirection w:val="lrTb"/>
            <w:noWrap w:val="false"/>
          </w:tcPr>
          <w:p>
            <w:pPr>
              <w:jc w:val="center"/>
              <w:spacing w:before="120" w:after="120" w:line="280" w:lineRule="exact"/>
              <w:rPr>
                <w:color w:val="000000" w:themeColor="text1"/>
                <w:sz w:val="18"/>
                <w:szCs w:val="18"/>
                <w:lang w:val="en-US"/>
                <w14:textFill>
                  <w14:solidFill>
                    <w14:schemeClr w14:val="tx1"/>
                  </w14:solidFill>
                </w14:textFill>
              </w:rPr>
            </w:pPr>
            <w:r>
              <w:rPr>
                <w:rFonts w:hint="eastAsia"/>
                <w:color w:val="000000" w:themeColor="text1"/>
                <w:sz w:val="18"/>
                <w:szCs w:val="18"/>
                <w14:textFill>
                  <w14:solidFill>
                    <w14:schemeClr w14:val="tx1"/>
                  </w14:solidFill>
                </w14:textFill>
              </w:rPr>
              <w:t xml:space="preserve">后肖、清美、焕彩</w:t>
            </w:r>
            <w:r/>
          </w:p>
        </w:tc>
        <w:tc>
          <w:tcPr>
            <w:tcW w:w="1118" w:type="pct"/>
            <w:textDirection w:val="lrTb"/>
            <w:noWrap w:val="false"/>
          </w:tcPr>
          <w:p>
            <w:pPr>
              <w:jc w:val="center"/>
              <w:spacing w:before="120" w:after="120" w:line="280" w:lineRule="exac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r>
            <w:r/>
          </w:p>
        </w:tc>
      </w:tr>
      <w:tr>
        <w:trPr>
          <w:jc w:val="center"/>
          <w:trHeight w:val="510"/>
        </w:trPr>
        <w:tc>
          <w:tcPr>
            <w:shd w:val="clear" w:color="auto" w:fill="auto"/>
            <w:tcW w:w="658" w:type="pct"/>
            <w:vAlign w:val="center"/>
            <w:textDirection w:val="lrTb"/>
            <w:noWrap w:val="false"/>
          </w:tcPr>
          <w:p>
            <w:pPr>
              <w:jc w:val="center"/>
              <w:spacing w:before="120" w:after="120" w:line="280" w:lineRule="exact"/>
              <w:rPr>
                <w:color w:val="000000"/>
                <w:sz w:val="18"/>
                <w:szCs w:val="18"/>
              </w:rPr>
            </w:pPr>
            <w:r>
              <w:rPr>
                <w:rFonts w:hint="eastAsia"/>
                <w:color w:val="000000"/>
                <w:sz w:val="18"/>
                <w:szCs w:val="18"/>
              </w:rPr>
              <w:t xml:space="preserve">11</w:t>
            </w:r>
            <w:r/>
          </w:p>
        </w:tc>
        <w:tc>
          <w:tcPr>
            <w:shd w:val="clear" w:color="auto" w:fill="auto"/>
            <w:tcW w:w="1142" w:type="pct"/>
            <w:vAlign w:val="center"/>
            <w:textDirection w:val="lrTb"/>
            <w:noWrap w:val="false"/>
          </w:tcPr>
          <w:p>
            <w:pPr>
              <w:jc w:val="center"/>
              <w:spacing w:before="120" w:after="120" w:line="280" w:lineRule="exact"/>
              <w:rPr>
                <w:color w:val="000000"/>
                <w:sz w:val="18"/>
                <w:szCs w:val="18"/>
              </w:rPr>
            </w:pPr>
            <w:r>
              <w:rPr>
                <w:rFonts w:hint="eastAsia"/>
                <w:color w:val="000000"/>
                <w:sz w:val="18"/>
                <w:szCs w:val="18"/>
              </w:rPr>
              <w:t xml:space="preserve">吸音板</w:t>
            </w:r>
            <w:r/>
          </w:p>
        </w:tc>
        <w:tc>
          <w:tcPr>
            <w:shd w:val="clear" w:color="auto" w:fill="auto"/>
            <w:tcW w:w="2082" w:type="pct"/>
            <w:vAlign w:val="center"/>
            <w:textDirection w:val="lrTb"/>
            <w:noWrap w:val="false"/>
          </w:tcPr>
          <w:p>
            <w:pPr>
              <w:jc w:val="center"/>
              <w:spacing w:before="120" w:after="120" w:line="280" w:lineRule="exact"/>
              <w:rPr>
                <w:color w:val="000000" w:themeColor="text1"/>
                <w:sz w:val="18"/>
                <w:szCs w:val="18"/>
                <w:lang w:val="en-US"/>
                <w14:textFill>
                  <w14:solidFill>
                    <w14:schemeClr w14:val="tx1"/>
                  </w14:solidFill>
                </w14:textFill>
              </w:rPr>
            </w:pPr>
            <w:r>
              <w:rPr>
                <w:rFonts w:hint="eastAsia"/>
                <w:color w:val="000000" w:themeColor="text1"/>
                <w:sz w:val="18"/>
                <w:szCs w:val="18"/>
                <w14:textFill>
                  <w14:solidFill>
                    <w14:schemeClr w14:val="tx1"/>
                  </w14:solidFill>
                </w14:textFill>
              </w:rPr>
              <w:t xml:space="preserve">轩冶、卓派、浩声</w:t>
            </w:r>
            <w:r/>
          </w:p>
        </w:tc>
        <w:tc>
          <w:tcPr>
            <w:tcW w:w="1118" w:type="pct"/>
            <w:textDirection w:val="lrTb"/>
            <w:noWrap w:val="false"/>
          </w:tcPr>
          <w:p>
            <w:pPr>
              <w:jc w:val="center"/>
              <w:spacing w:before="120" w:after="120" w:line="280" w:lineRule="exac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r>
            <w:r/>
          </w:p>
        </w:tc>
      </w:tr>
      <w:tr>
        <w:trPr>
          <w:jc w:val="center"/>
          <w:trHeight w:val="510"/>
        </w:trPr>
        <w:tc>
          <w:tcPr>
            <w:shd w:val="clear" w:color="auto" w:fill="auto"/>
            <w:tcW w:w="658" w:type="pct"/>
            <w:vAlign w:val="center"/>
            <w:textDirection w:val="lrTb"/>
            <w:noWrap w:val="false"/>
          </w:tcPr>
          <w:p>
            <w:pPr>
              <w:jc w:val="center"/>
              <w:spacing w:before="120" w:after="120" w:line="280" w:lineRule="exact"/>
              <w:rPr>
                <w:color w:val="000000"/>
                <w:sz w:val="18"/>
                <w:szCs w:val="18"/>
              </w:rPr>
            </w:pPr>
            <w:r>
              <w:rPr>
                <w:rFonts w:hint="eastAsia"/>
                <w:color w:val="000000"/>
                <w:sz w:val="18"/>
                <w:szCs w:val="18"/>
              </w:rPr>
              <w:t xml:space="preserve">12</w:t>
            </w:r>
            <w:r/>
          </w:p>
        </w:tc>
        <w:tc>
          <w:tcPr>
            <w:shd w:val="clear" w:color="auto" w:fill="auto"/>
            <w:tcW w:w="1142" w:type="pct"/>
            <w:vAlign w:val="center"/>
            <w:textDirection w:val="lrTb"/>
            <w:noWrap w:val="false"/>
          </w:tcPr>
          <w:p>
            <w:pPr>
              <w:jc w:val="center"/>
              <w:spacing w:before="120" w:after="120" w:line="280" w:lineRule="exact"/>
              <w:rPr>
                <w:color w:val="000000"/>
                <w:sz w:val="18"/>
                <w:szCs w:val="18"/>
              </w:rPr>
            </w:pPr>
            <w:r>
              <w:rPr>
                <w:rFonts w:hint="eastAsia"/>
                <w:color w:val="000000"/>
                <w:sz w:val="18"/>
                <w:szCs w:val="18"/>
              </w:rPr>
              <w:t xml:space="preserve">镀锌钢管</w:t>
            </w:r>
            <w:r/>
          </w:p>
        </w:tc>
        <w:tc>
          <w:tcPr>
            <w:shd w:val="clear" w:color="auto" w:fill="auto"/>
            <w:tcW w:w="2082"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rPr>
              <w:t xml:space="preserve">友发、金洲、国强</w:t>
            </w:r>
            <w:r/>
          </w:p>
        </w:tc>
        <w:tc>
          <w:tcPr>
            <w:tcW w:w="1118" w:type="pct"/>
            <w:textDirection w:val="lrTb"/>
            <w:noWrap w:val="false"/>
          </w:tcPr>
          <w:p>
            <w:pPr>
              <w:jc w:val="center"/>
              <w:spacing w:before="120" w:after="120" w:line="280" w:lineRule="exact"/>
              <w:rPr>
                <w:color w:val="000000"/>
                <w:sz w:val="18"/>
                <w:szCs w:val="18"/>
              </w:rPr>
            </w:pPr>
            <w:r>
              <w:rPr>
                <w:color w:val="000000"/>
                <w:sz w:val="18"/>
                <w:szCs w:val="18"/>
              </w:rPr>
            </w:r>
            <w:r/>
          </w:p>
        </w:tc>
      </w:tr>
      <w:tr>
        <w:trPr>
          <w:jc w:val="center"/>
          <w:trHeight w:val="510"/>
        </w:trPr>
        <w:tc>
          <w:tcPr>
            <w:shd w:val="clear" w:color="auto" w:fill="auto"/>
            <w:tcW w:w="658" w:type="pct"/>
            <w:vAlign w:val="center"/>
            <w:textDirection w:val="lrTb"/>
            <w:noWrap w:val="false"/>
          </w:tcPr>
          <w:p>
            <w:pPr>
              <w:jc w:val="center"/>
              <w:spacing w:before="120" w:after="120" w:line="280" w:lineRule="exact"/>
              <w:rPr>
                <w:color w:val="000000"/>
                <w:sz w:val="18"/>
                <w:szCs w:val="18"/>
              </w:rPr>
            </w:pPr>
            <w:r>
              <w:rPr>
                <w:rFonts w:hint="eastAsia"/>
                <w:color w:val="000000"/>
                <w:sz w:val="18"/>
                <w:szCs w:val="18"/>
              </w:rPr>
              <w:t xml:space="preserve">13</w:t>
            </w:r>
            <w:r/>
          </w:p>
        </w:tc>
        <w:tc>
          <w:tcPr>
            <w:shd w:val="clear" w:color="auto" w:fill="auto"/>
            <w:tcW w:w="1142" w:type="pct"/>
            <w:vAlign w:val="center"/>
            <w:textDirection w:val="lrTb"/>
            <w:noWrap w:val="false"/>
          </w:tcPr>
          <w:p>
            <w:pPr>
              <w:jc w:val="center"/>
              <w:spacing w:before="120" w:after="120" w:line="280" w:lineRule="exact"/>
              <w:rPr>
                <w:color w:val="000000"/>
                <w:sz w:val="18"/>
                <w:szCs w:val="18"/>
              </w:rPr>
            </w:pPr>
            <w:r>
              <w:rPr>
                <w:rFonts w:hint="eastAsia"/>
                <w:color w:val="000000"/>
                <w:sz w:val="18"/>
                <w:szCs w:val="18"/>
              </w:rPr>
              <w:t xml:space="preserve">JDG管</w:t>
            </w:r>
            <w:r/>
          </w:p>
        </w:tc>
        <w:tc>
          <w:tcPr>
            <w:shd w:val="clear" w:color="auto" w:fill="auto"/>
            <w:tcW w:w="2082"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rPr>
              <w:t xml:space="preserve">友发、天一、正大</w:t>
            </w:r>
            <w:r/>
          </w:p>
        </w:tc>
        <w:tc>
          <w:tcPr>
            <w:tcW w:w="1118" w:type="pct"/>
            <w:textDirection w:val="lrTb"/>
            <w:noWrap w:val="false"/>
          </w:tcPr>
          <w:p>
            <w:pPr>
              <w:jc w:val="center"/>
              <w:spacing w:before="120" w:after="120" w:line="280" w:lineRule="exact"/>
              <w:rPr>
                <w:color w:val="000000"/>
                <w:sz w:val="18"/>
                <w:szCs w:val="18"/>
              </w:rPr>
            </w:pPr>
            <w:r>
              <w:rPr>
                <w:color w:val="000000"/>
                <w:sz w:val="18"/>
                <w:szCs w:val="18"/>
              </w:rPr>
            </w:r>
            <w:r/>
          </w:p>
        </w:tc>
      </w:tr>
      <w:tr>
        <w:trPr>
          <w:jc w:val="center"/>
          <w:trHeight w:val="510"/>
        </w:trPr>
        <w:tc>
          <w:tcPr>
            <w:shd w:val="clear" w:color="auto" w:fill="auto"/>
            <w:tcW w:w="658" w:type="pct"/>
            <w:vAlign w:val="center"/>
            <w:textDirection w:val="lrTb"/>
            <w:noWrap w:val="false"/>
          </w:tcPr>
          <w:p>
            <w:pPr>
              <w:jc w:val="center"/>
              <w:spacing w:before="120" w:after="120" w:line="280" w:lineRule="exact"/>
              <w:rPr>
                <w:color w:val="000000"/>
                <w:sz w:val="18"/>
                <w:szCs w:val="18"/>
              </w:rPr>
            </w:pPr>
            <w:r>
              <w:rPr>
                <w:rFonts w:hint="eastAsia"/>
                <w:color w:val="000000"/>
                <w:sz w:val="18"/>
                <w:szCs w:val="18"/>
              </w:rPr>
              <w:t xml:space="preserve">14</w:t>
            </w:r>
            <w:r/>
          </w:p>
        </w:tc>
        <w:tc>
          <w:tcPr>
            <w:shd w:val="clear" w:color="auto" w:fill="auto"/>
            <w:tcW w:w="1142" w:type="pct"/>
            <w:vAlign w:val="center"/>
            <w:textDirection w:val="lrTb"/>
            <w:noWrap w:val="false"/>
          </w:tcPr>
          <w:p>
            <w:pPr>
              <w:jc w:val="center"/>
              <w:spacing w:before="120" w:after="120" w:line="280" w:lineRule="exact"/>
              <w:rPr>
                <w:color w:val="000000"/>
                <w:sz w:val="18"/>
                <w:szCs w:val="18"/>
              </w:rPr>
            </w:pPr>
            <w:r>
              <w:rPr>
                <w:rFonts w:hint="eastAsia"/>
                <w:color w:val="000000"/>
                <w:sz w:val="18"/>
                <w:szCs w:val="18"/>
              </w:rPr>
              <w:t xml:space="preserve">消防设备</w:t>
            </w:r>
            <w:r/>
          </w:p>
        </w:tc>
        <w:tc>
          <w:tcPr>
            <w:shd w:val="clear" w:color="auto" w:fill="auto"/>
            <w:tcW w:w="2082"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rPr>
              <w:t xml:space="preserve">青鸟、海湾、国泰</w:t>
            </w:r>
            <w:r/>
          </w:p>
        </w:tc>
        <w:tc>
          <w:tcPr>
            <w:tcW w:w="1118" w:type="pct"/>
            <w:textDirection w:val="lrTb"/>
            <w:noWrap w:val="false"/>
          </w:tcPr>
          <w:p>
            <w:pPr>
              <w:jc w:val="center"/>
              <w:spacing w:before="120" w:after="120" w:line="280" w:lineRule="exact"/>
              <w:rPr>
                <w:color w:val="000000"/>
                <w:sz w:val="18"/>
                <w:szCs w:val="18"/>
              </w:rPr>
            </w:pPr>
            <w:r>
              <w:rPr>
                <w:color w:val="000000"/>
                <w:sz w:val="18"/>
                <w:szCs w:val="18"/>
              </w:rPr>
            </w:r>
            <w:r/>
          </w:p>
        </w:tc>
      </w:tr>
      <w:tr>
        <w:trPr>
          <w:jc w:val="center"/>
          <w:trHeight w:val="510"/>
        </w:trPr>
        <w:tc>
          <w:tcPr>
            <w:shd w:val="clear" w:color="auto" w:fill="auto"/>
            <w:tcW w:w="658" w:type="pct"/>
            <w:vAlign w:val="center"/>
            <w:textDirection w:val="lrTb"/>
            <w:noWrap w:val="false"/>
          </w:tcPr>
          <w:p>
            <w:pPr>
              <w:jc w:val="center"/>
              <w:spacing w:before="120" w:after="120" w:line="280" w:lineRule="exact"/>
              <w:rPr>
                <w:color w:val="000000"/>
                <w:sz w:val="18"/>
                <w:szCs w:val="18"/>
              </w:rPr>
            </w:pPr>
            <w:r>
              <w:rPr>
                <w:rFonts w:hint="eastAsia"/>
                <w:color w:val="000000"/>
                <w:sz w:val="18"/>
                <w:szCs w:val="18"/>
              </w:rPr>
              <w:t xml:space="preserve">15</w:t>
            </w:r>
            <w:r/>
          </w:p>
        </w:tc>
        <w:tc>
          <w:tcPr>
            <w:shd w:val="clear" w:color="auto" w:fill="auto"/>
            <w:tcW w:w="1142" w:type="pct"/>
            <w:vAlign w:val="center"/>
            <w:textDirection w:val="lrTb"/>
            <w:noWrap w:val="false"/>
          </w:tcPr>
          <w:p>
            <w:pPr>
              <w:jc w:val="center"/>
              <w:spacing w:before="120" w:after="120" w:line="280" w:lineRule="exact"/>
              <w:rPr>
                <w:color w:val="000000"/>
                <w:sz w:val="18"/>
                <w:szCs w:val="18"/>
              </w:rPr>
            </w:pPr>
            <w:r>
              <w:rPr>
                <w:rFonts w:hint="eastAsia"/>
                <w:color w:val="000000"/>
                <w:sz w:val="18"/>
                <w:szCs w:val="18"/>
              </w:rPr>
              <w:t xml:space="preserve">开关、插座</w:t>
            </w:r>
            <w:r/>
          </w:p>
        </w:tc>
        <w:tc>
          <w:tcPr>
            <w:shd w:val="clear" w:color="auto" w:fill="auto"/>
            <w:tcW w:w="2082"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rPr>
              <w:t xml:space="preserve">鸿雁、西门子、正泰</w:t>
            </w:r>
            <w:r/>
          </w:p>
        </w:tc>
        <w:tc>
          <w:tcPr>
            <w:tcW w:w="1118" w:type="pct"/>
            <w:textDirection w:val="lrTb"/>
            <w:noWrap w:val="false"/>
          </w:tcPr>
          <w:p>
            <w:pPr>
              <w:jc w:val="center"/>
              <w:spacing w:before="120" w:after="120" w:line="280" w:lineRule="exact"/>
              <w:rPr>
                <w:color w:val="000000"/>
                <w:sz w:val="18"/>
                <w:szCs w:val="18"/>
              </w:rPr>
            </w:pPr>
            <w:r>
              <w:rPr>
                <w:color w:val="000000"/>
                <w:sz w:val="18"/>
                <w:szCs w:val="18"/>
              </w:rPr>
            </w:r>
            <w:r/>
          </w:p>
        </w:tc>
      </w:tr>
      <w:tr>
        <w:trPr>
          <w:jc w:val="center"/>
          <w:trHeight w:val="510"/>
        </w:trPr>
        <w:tc>
          <w:tcPr>
            <w:shd w:val="clear" w:color="auto" w:fill="auto"/>
            <w:tcW w:w="658" w:type="pct"/>
            <w:vAlign w:val="center"/>
            <w:textDirection w:val="lrTb"/>
            <w:noWrap w:val="false"/>
          </w:tcPr>
          <w:p>
            <w:pPr>
              <w:jc w:val="center"/>
              <w:spacing w:before="120" w:after="120" w:line="280" w:lineRule="exact"/>
              <w:rPr>
                <w:color w:val="000000"/>
                <w:sz w:val="18"/>
                <w:szCs w:val="18"/>
              </w:rPr>
            </w:pPr>
            <w:r>
              <w:rPr>
                <w:rFonts w:hint="eastAsia"/>
                <w:color w:val="000000"/>
                <w:sz w:val="18"/>
                <w:szCs w:val="18"/>
              </w:rPr>
              <w:t xml:space="preserve">16</w:t>
            </w:r>
            <w:r/>
          </w:p>
        </w:tc>
        <w:tc>
          <w:tcPr>
            <w:shd w:val="clear" w:color="auto" w:fill="auto"/>
            <w:tcW w:w="1142" w:type="pct"/>
            <w:vAlign w:val="center"/>
            <w:textDirection w:val="lrTb"/>
            <w:noWrap w:val="false"/>
          </w:tcPr>
          <w:p>
            <w:pPr>
              <w:jc w:val="center"/>
              <w:spacing w:before="120" w:after="120" w:line="280" w:lineRule="exact"/>
              <w:rPr>
                <w:color w:val="000000"/>
                <w:sz w:val="18"/>
                <w:szCs w:val="18"/>
              </w:rPr>
            </w:pPr>
            <w:r>
              <w:rPr>
                <w:rFonts w:hint="eastAsia"/>
                <w:color w:val="000000"/>
                <w:sz w:val="18"/>
                <w:szCs w:val="18"/>
              </w:rPr>
              <w:t xml:space="preserve">配电箱</w:t>
            </w:r>
            <w:r/>
          </w:p>
        </w:tc>
        <w:tc>
          <w:tcPr>
            <w:shd w:val="clear" w:color="auto" w:fill="auto"/>
            <w:tcW w:w="2082"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rPr>
              <w:t xml:space="preserve">施耐德、西门子、正泰</w:t>
            </w:r>
            <w:r/>
          </w:p>
        </w:tc>
        <w:tc>
          <w:tcPr>
            <w:tcW w:w="1118" w:type="pct"/>
            <w:textDirection w:val="lrTb"/>
            <w:noWrap w:val="false"/>
          </w:tcPr>
          <w:p>
            <w:pPr>
              <w:jc w:val="center"/>
              <w:spacing w:before="120" w:after="120" w:line="280" w:lineRule="exact"/>
              <w:rPr>
                <w:color w:val="000000"/>
                <w:sz w:val="18"/>
                <w:szCs w:val="18"/>
              </w:rPr>
            </w:pPr>
            <w:r>
              <w:rPr>
                <w:color w:val="000000"/>
                <w:sz w:val="18"/>
                <w:szCs w:val="18"/>
              </w:rPr>
            </w:r>
            <w:r/>
          </w:p>
        </w:tc>
      </w:tr>
      <w:tr>
        <w:trPr>
          <w:jc w:val="center"/>
          <w:trHeight w:val="510"/>
        </w:trPr>
        <w:tc>
          <w:tcPr>
            <w:shd w:val="clear" w:color="auto" w:fill="auto"/>
            <w:tcW w:w="658" w:type="pct"/>
            <w:vAlign w:val="center"/>
            <w:textDirection w:val="lrTb"/>
            <w:noWrap w:val="false"/>
          </w:tcPr>
          <w:p>
            <w:pPr>
              <w:jc w:val="center"/>
              <w:spacing w:before="120" w:after="120" w:line="280" w:lineRule="exact"/>
              <w:rPr>
                <w:color w:val="000000"/>
                <w:sz w:val="18"/>
                <w:szCs w:val="18"/>
              </w:rPr>
            </w:pPr>
            <w:r>
              <w:rPr>
                <w:rFonts w:hint="eastAsia"/>
                <w:color w:val="000000"/>
                <w:sz w:val="18"/>
                <w:szCs w:val="18"/>
              </w:rPr>
              <w:t xml:space="preserve">17</w:t>
            </w:r>
            <w:r/>
          </w:p>
        </w:tc>
        <w:tc>
          <w:tcPr>
            <w:shd w:val="clear" w:color="auto" w:fill="auto"/>
            <w:tcW w:w="1142" w:type="pct"/>
            <w:vAlign w:val="center"/>
            <w:textDirection w:val="lrTb"/>
            <w:noWrap w:val="false"/>
          </w:tcPr>
          <w:p>
            <w:pPr>
              <w:jc w:val="center"/>
              <w:spacing w:before="120" w:after="120" w:line="280" w:lineRule="exact"/>
              <w:rPr>
                <w:color w:val="000000"/>
                <w:sz w:val="18"/>
                <w:szCs w:val="18"/>
              </w:rPr>
            </w:pPr>
            <w:r>
              <w:rPr>
                <w:rFonts w:hint="eastAsia"/>
                <w:color w:val="000000"/>
                <w:sz w:val="18"/>
                <w:szCs w:val="18"/>
              </w:rPr>
              <w:t xml:space="preserve">灯具</w:t>
            </w:r>
            <w:r/>
          </w:p>
        </w:tc>
        <w:tc>
          <w:tcPr>
            <w:shd w:val="clear" w:color="auto" w:fill="auto"/>
            <w:tcW w:w="2082"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rPr>
              <w:t xml:space="preserve">欧普、欧司朗、雷士</w:t>
            </w:r>
            <w:r/>
          </w:p>
        </w:tc>
        <w:tc>
          <w:tcPr>
            <w:tcW w:w="1118" w:type="pct"/>
            <w:textDirection w:val="lrTb"/>
            <w:noWrap w:val="false"/>
          </w:tcPr>
          <w:p>
            <w:pPr>
              <w:jc w:val="center"/>
              <w:spacing w:before="120" w:after="120" w:line="280" w:lineRule="exact"/>
              <w:rPr>
                <w:color w:val="000000"/>
                <w:sz w:val="18"/>
                <w:szCs w:val="18"/>
              </w:rPr>
            </w:pPr>
            <w:r>
              <w:rPr>
                <w:color w:val="000000"/>
                <w:sz w:val="18"/>
                <w:szCs w:val="18"/>
              </w:rPr>
            </w:r>
            <w:r/>
          </w:p>
        </w:tc>
      </w:tr>
      <w:tr>
        <w:trPr>
          <w:jc w:val="center"/>
          <w:trHeight w:val="510"/>
        </w:trPr>
        <w:tc>
          <w:tcPr>
            <w:shd w:val="clear" w:color="auto" w:fill="auto"/>
            <w:tcW w:w="658" w:type="pct"/>
            <w:vAlign w:val="center"/>
            <w:textDirection w:val="lrTb"/>
            <w:noWrap w:val="false"/>
          </w:tcPr>
          <w:p>
            <w:pPr>
              <w:jc w:val="center"/>
              <w:spacing w:before="120" w:after="120" w:line="280" w:lineRule="exact"/>
              <w:rPr>
                <w:color w:val="000000"/>
                <w:sz w:val="18"/>
                <w:szCs w:val="18"/>
              </w:rPr>
            </w:pPr>
            <w:r>
              <w:rPr>
                <w:rFonts w:hint="eastAsia"/>
                <w:color w:val="000000"/>
                <w:sz w:val="18"/>
                <w:szCs w:val="18"/>
              </w:rPr>
              <w:t xml:space="preserve">18</w:t>
            </w:r>
            <w:r/>
          </w:p>
        </w:tc>
        <w:tc>
          <w:tcPr>
            <w:shd w:val="clear" w:color="auto" w:fill="auto"/>
            <w:tcW w:w="1142" w:type="pct"/>
            <w:vAlign w:val="center"/>
            <w:textDirection w:val="lrTb"/>
            <w:noWrap w:val="false"/>
          </w:tcPr>
          <w:p>
            <w:pPr>
              <w:jc w:val="center"/>
              <w:spacing w:before="120" w:after="120" w:line="280" w:lineRule="exact"/>
              <w:rPr>
                <w:color w:val="000000"/>
                <w:sz w:val="18"/>
                <w:szCs w:val="18"/>
              </w:rPr>
            </w:pPr>
            <w:r>
              <w:rPr>
                <w:rFonts w:hint="eastAsia"/>
                <w:color w:val="000000"/>
                <w:sz w:val="18"/>
                <w:szCs w:val="18"/>
              </w:rPr>
              <w:t xml:space="preserve">电线</w:t>
            </w:r>
            <w:r/>
          </w:p>
        </w:tc>
        <w:tc>
          <w:tcPr>
            <w:shd w:val="clear" w:color="auto" w:fill="auto"/>
            <w:tcW w:w="2082"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rPr>
              <w:t xml:space="preserve">江南、远东、上上</w:t>
            </w:r>
            <w:r/>
          </w:p>
        </w:tc>
        <w:tc>
          <w:tcPr>
            <w:tcW w:w="1118" w:type="pct"/>
            <w:textDirection w:val="lrTb"/>
            <w:noWrap w:val="false"/>
          </w:tcPr>
          <w:p>
            <w:pPr>
              <w:jc w:val="center"/>
              <w:spacing w:before="120" w:after="120" w:line="280" w:lineRule="exact"/>
              <w:rPr>
                <w:color w:val="000000"/>
                <w:sz w:val="18"/>
                <w:szCs w:val="18"/>
              </w:rPr>
            </w:pPr>
            <w:r>
              <w:rPr>
                <w:color w:val="000000"/>
                <w:sz w:val="18"/>
                <w:szCs w:val="18"/>
              </w:rPr>
            </w:r>
            <w:r/>
          </w:p>
        </w:tc>
      </w:tr>
      <w:tr>
        <w:trPr>
          <w:jc w:val="center"/>
          <w:trHeight w:val="510"/>
        </w:trPr>
        <w:tc>
          <w:tcPr>
            <w:shd w:val="clear" w:color="auto" w:fill="auto"/>
            <w:tcW w:w="658" w:type="pct"/>
            <w:vAlign w:val="center"/>
            <w:textDirection w:val="lrTb"/>
            <w:noWrap w:val="false"/>
          </w:tcPr>
          <w:p>
            <w:pPr>
              <w:jc w:val="center"/>
              <w:spacing w:before="120" w:after="120" w:line="280" w:lineRule="exact"/>
              <w:rPr>
                <w:color w:val="000000"/>
                <w:sz w:val="18"/>
                <w:szCs w:val="18"/>
              </w:rPr>
            </w:pPr>
            <w:r>
              <w:rPr>
                <w:rFonts w:hint="eastAsia"/>
                <w:color w:val="000000"/>
                <w:sz w:val="18"/>
                <w:szCs w:val="18"/>
              </w:rPr>
              <w:t xml:space="preserve">19</w:t>
            </w:r>
            <w:r/>
          </w:p>
        </w:tc>
        <w:tc>
          <w:tcPr>
            <w:shd w:val="clear" w:color="auto" w:fill="auto"/>
            <w:tcW w:w="1142" w:type="pct"/>
            <w:vAlign w:val="center"/>
            <w:textDirection w:val="lrTb"/>
            <w:noWrap w:val="false"/>
          </w:tcPr>
          <w:p>
            <w:pPr>
              <w:jc w:val="center"/>
              <w:spacing w:before="120" w:after="120" w:line="280" w:lineRule="exact"/>
              <w:rPr>
                <w:color w:val="000000"/>
                <w:sz w:val="18"/>
                <w:szCs w:val="18"/>
              </w:rPr>
            </w:pPr>
            <w:r>
              <w:rPr>
                <w:rFonts w:hint="eastAsia"/>
                <w:color w:val="000000"/>
                <w:sz w:val="18"/>
                <w:szCs w:val="18"/>
              </w:rPr>
              <w:t xml:space="preserve">线缆</w:t>
            </w:r>
            <w:r/>
          </w:p>
        </w:tc>
        <w:tc>
          <w:tcPr>
            <w:shd w:val="clear" w:color="auto" w:fill="auto"/>
            <w:tcW w:w="2082"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rPr>
              <w:t xml:space="preserve">上上、江南、远东</w:t>
            </w:r>
            <w:r/>
          </w:p>
        </w:tc>
        <w:tc>
          <w:tcPr>
            <w:tcW w:w="1118" w:type="pct"/>
            <w:textDirection w:val="lrTb"/>
            <w:noWrap w:val="false"/>
          </w:tcPr>
          <w:p>
            <w:pPr>
              <w:jc w:val="center"/>
              <w:spacing w:before="120" w:after="120" w:line="280" w:lineRule="exact"/>
              <w:rPr>
                <w:color w:val="000000"/>
                <w:sz w:val="18"/>
                <w:szCs w:val="18"/>
              </w:rPr>
            </w:pPr>
            <w:r>
              <w:rPr>
                <w:color w:val="000000"/>
                <w:sz w:val="18"/>
                <w:szCs w:val="18"/>
              </w:rPr>
            </w:r>
            <w:r/>
          </w:p>
        </w:tc>
      </w:tr>
      <w:tr>
        <w:trPr>
          <w:jc w:val="center"/>
          <w:trHeight w:val="510"/>
        </w:trPr>
        <w:tc>
          <w:tcPr>
            <w:shd w:val="clear" w:color="auto" w:fill="auto"/>
            <w:tcW w:w="658" w:type="pct"/>
            <w:vAlign w:val="center"/>
            <w:textDirection w:val="lrTb"/>
            <w:noWrap w:val="false"/>
          </w:tcPr>
          <w:p>
            <w:pPr>
              <w:jc w:val="center"/>
              <w:spacing w:before="120" w:after="120" w:line="280" w:lineRule="exact"/>
              <w:rPr>
                <w:color w:val="000000"/>
                <w:sz w:val="18"/>
                <w:szCs w:val="18"/>
              </w:rPr>
            </w:pPr>
            <w:r>
              <w:rPr>
                <w:rFonts w:hint="eastAsia"/>
                <w:color w:val="000000"/>
                <w:sz w:val="18"/>
                <w:szCs w:val="18"/>
              </w:rPr>
              <w:t xml:space="preserve">20</w:t>
            </w:r>
            <w:r/>
          </w:p>
        </w:tc>
        <w:tc>
          <w:tcPr>
            <w:shd w:val="clear" w:color="auto" w:fill="auto"/>
            <w:tcW w:w="1142" w:type="pct"/>
            <w:vAlign w:val="center"/>
            <w:textDirection w:val="lrTb"/>
            <w:noWrap w:val="false"/>
          </w:tcPr>
          <w:p>
            <w:pPr>
              <w:jc w:val="center"/>
              <w:spacing w:before="120" w:after="120" w:line="280" w:lineRule="exact"/>
              <w:rPr>
                <w:color w:val="000000"/>
                <w:sz w:val="18"/>
                <w:szCs w:val="18"/>
              </w:rPr>
            </w:pPr>
            <w:r>
              <w:rPr>
                <w:rFonts w:hint="eastAsia"/>
                <w:color w:val="000000"/>
                <w:sz w:val="18"/>
                <w:szCs w:val="18"/>
              </w:rPr>
              <w:t xml:space="preserve">线管</w:t>
            </w:r>
            <w:r/>
          </w:p>
        </w:tc>
        <w:tc>
          <w:tcPr>
            <w:shd w:val="clear" w:color="auto" w:fill="auto"/>
            <w:tcW w:w="2082"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rPr>
              <w:t xml:space="preserve">中财、公元、联塑</w:t>
            </w:r>
            <w:r/>
          </w:p>
        </w:tc>
        <w:tc>
          <w:tcPr>
            <w:tcW w:w="1118" w:type="pct"/>
            <w:textDirection w:val="lrTb"/>
            <w:noWrap w:val="false"/>
          </w:tcPr>
          <w:p>
            <w:pPr>
              <w:jc w:val="center"/>
              <w:spacing w:before="120" w:after="120" w:line="280" w:lineRule="exact"/>
              <w:rPr>
                <w:color w:val="000000"/>
                <w:sz w:val="18"/>
                <w:szCs w:val="18"/>
              </w:rPr>
            </w:pPr>
            <w:r>
              <w:rPr>
                <w:color w:val="000000"/>
                <w:sz w:val="18"/>
                <w:szCs w:val="18"/>
              </w:rPr>
            </w:r>
            <w:r/>
          </w:p>
        </w:tc>
      </w:tr>
      <w:tr>
        <w:trPr>
          <w:jc w:val="center"/>
          <w:trHeight w:val="510"/>
        </w:trPr>
        <w:tc>
          <w:tcPr>
            <w:shd w:val="clear" w:color="auto" w:fill="auto"/>
            <w:tcW w:w="658" w:type="pct"/>
            <w:vAlign w:val="center"/>
            <w:textDirection w:val="lrTb"/>
            <w:noWrap w:val="false"/>
          </w:tcPr>
          <w:p>
            <w:pPr>
              <w:jc w:val="center"/>
              <w:spacing w:before="120" w:after="120" w:line="280" w:lineRule="exact"/>
              <w:rPr>
                <w:color w:val="000000"/>
                <w:sz w:val="18"/>
                <w:szCs w:val="18"/>
              </w:rPr>
            </w:pPr>
            <w:r>
              <w:rPr>
                <w:rFonts w:hint="eastAsia"/>
                <w:color w:val="000000"/>
                <w:sz w:val="18"/>
                <w:szCs w:val="18"/>
              </w:rPr>
              <w:t xml:space="preserve">21</w:t>
            </w:r>
            <w:r/>
          </w:p>
        </w:tc>
        <w:tc>
          <w:tcPr>
            <w:shd w:val="clear" w:color="auto" w:fill="auto"/>
            <w:tcW w:w="1142" w:type="pct"/>
            <w:vAlign w:val="center"/>
            <w:textDirection w:val="lrTb"/>
            <w:noWrap w:val="false"/>
          </w:tcPr>
          <w:p>
            <w:pPr>
              <w:jc w:val="center"/>
              <w:spacing w:before="120" w:after="120" w:line="280" w:lineRule="exact"/>
              <w:rPr>
                <w:color w:val="000000"/>
                <w:sz w:val="18"/>
                <w:szCs w:val="18"/>
              </w:rPr>
            </w:pPr>
            <w:r>
              <w:rPr>
                <w:rFonts w:hint="eastAsia"/>
                <w:color w:val="000000"/>
                <w:sz w:val="18"/>
                <w:szCs w:val="18"/>
              </w:rPr>
              <w:t xml:space="preserve">桥架</w:t>
            </w:r>
            <w:r/>
          </w:p>
        </w:tc>
        <w:tc>
          <w:tcPr>
            <w:shd w:val="clear" w:color="auto" w:fill="auto"/>
            <w:tcW w:w="2082"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rPr>
              <w:t xml:space="preserve">力拓、凤图布线、十鼎</w:t>
            </w:r>
            <w:r/>
          </w:p>
        </w:tc>
        <w:tc>
          <w:tcPr>
            <w:tcW w:w="1118" w:type="pct"/>
            <w:textDirection w:val="lrTb"/>
            <w:noWrap w:val="false"/>
          </w:tcPr>
          <w:p>
            <w:pPr>
              <w:jc w:val="center"/>
              <w:spacing w:before="120" w:after="120" w:line="280" w:lineRule="exact"/>
              <w:rPr>
                <w:color w:val="000000"/>
                <w:sz w:val="18"/>
                <w:szCs w:val="18"/>
              </w:rPr>
            </w:pPr>
            <w:r>
              <w:rPr>
                <w:color w:val="000000"/>
                <w:sz w:val="18"/>
                <w:szCs w:val="18"/>
              </w:rPr>
            </w:r>
            <w:r/>
          </w:p>
        </w:tc>
      </w:tr>
      <w:tr>
        <w:trPr>
          <w:jc w:val="center"/>
          <w:trHeight w:val="510"/>
        </w:trPr>
        <w:tc>
          <w:tcPr>
            <w:shd w:val="clear" w:color="auto" w:fill="auto"/>
            <w:tcW w:w="658" w:type="pct"/>
            <w:vAlign w:val="center"/>
            <w:textDirection w:val="lrTb"/>
            <w:noWrap w:val="false"/>
          </w:tcPr>
          <w:p>
            <w:pPr>
              <w:jc w:val="center"/>
              <w:spacing w:before="120" w:after="120" w:line="280" w:lineRule="exact"/>
              <w:rPr>
                <w:color w:val="000000"/>
                <w:sz w:val="18"/>
                <w:szCs w:val="18"/>
              </w:rPr>
            </w:pPr>
            <w:r>
              <w:rPr>
                <w:rFonts w:hint="eastAsia"/>
                <w:color w:val="000000"/>
                <w:sz w:val="18"/>
                <w:szCs w:val="18"/>
              </w:rPr>
              <w:t xml:space="preserve">22</w:t>
            </w:r>
            <w:r/>
          </w:p>
        </w:tc>
        <w:tc>
          <w:tcPr>
            <w:shd w:val="clear" w:color="auto" w:fill="auto"/>
            <w:tcW w:w="1142" w:type="pct"/>
            <w:vAlign w:val="center"/>
            <w:textDirection w:val="lrTb"/>
            <w:noWrap w:val="false"/>
          </w:tcPr>
          <w:p>
            <w:pPr>
              <w:jc w:val="center"/>
              <w:spacing w:before="120" w:after="120" w:line="280" w:lineRule="exact"/>
              <w:rPr>
                <w:color w:val="000000"/>
                <w:sz w:val="18"/>
                <w:szCs w:val="18"/>
              </w:rPr>
            </w:pPr>
            <w:r>
              <w:rPr>
                <w:rFonts w:hint="eastAsia"/>
                <w:color w:val="000000"/>
                <w:sz w:val="18"/>
                <w:szCs w:val="18"/>
              </w:rPr>
              <w:t xml:space="preserve">LED会标屏/大屏、备品备件</w:t>
            </w:r>
            <w:r/>
          </w:p>
        </w:tc>
        <w:tc>
          <w:tcPr>
            <w:shd w:val="clear" w:color="auto" w:fill="auto"/>
            <w:tcW w:w="2082"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rPr>
              <w:t xml:space="preserve">TCL、强力巨彩、玖润</w:t>
            </w:r>
            <w:r/>
          </w:p>
        </w:tc>
        <w:tc>
          <w:tcPr>
            <w:tcW w:w="1118" w:type="pct"/>
            <w:textDirection w:val="lrTb"/>
            <w:noWrap w:val="false"/>
          </w:tcPr>
          <w:p>
            <w:pPr>
              <w:jc w:val="center"/>
              <w:spacing w:before="120" w:after="120" w:line="280" w:lineRule="exact"/>
              <w:rPr>
                <w:color w:val="000000"/>
                <w:sz w:val="18"/>
                <w:szCs w:val="18"/>
              </w:rPr>
            </w:pPr>
            <w:r>
              <w:rPr>
                <w:color w:val="000000"/>
                <w:sz w:val="18"/>
                <w:szCs w:val="18"/>
              </w:rPr>
            </w:r>
            <w:r/>
          </w:p>
        </w:tc>
      </w:tr>
      <w:tr>
        <w:trPr>
          <w:jc w:val="center"/>
          <w:trHeight w:val="510"/>
        </w:trPr>
        <w:tc>
          <w:tcPr>
            <w:shd w:val="clear" w:color="auto" w:fill="auto"/>
            <w:tcW w:w="658" w:type="pct"/>
            <w:vAlign w:val="center"/>
            <w:textDirection w:val="lrTb"/>
            <w:noWrap w:val="false"/>
          </w:tcPr>
          <w:p>
            <w:pPr>
              <w:jc w:val="center"/>
              <w:spacing w:before="120" w:after="120" w:line="280" w:lineRule="exact"/>
              <w:rPr>
                <w:color w:val="000000"/>
                <w:sz w:val="18"/>
                <w:szCs w:val="18"/>
              </w:rPr>
            </w:pPr>
            <w:r>
              <w:rPr>
                <w:rFonts w:hint="eastAsia"/>
                <w:color w:val="000000"/>
                <w:sz w:val="18"/>
                <w:szCs w:val="18"/>
              </w:rPr>
              <w:t xml:space="preserve">23</w:t>
            </w:r>
            <w:r/>
          </w:p>
        </w:tc>
        <w:tc>
          <w:tcPr>
            <w:shd w:val="clear" w:color="auto" w:fill="auto"/>
            <w:tcW w:w="1142" w:type="pct"/>
            <w:vAlign w:val="center"/>
            <w:textDirection w:val="lrTb"/>
            <w:noWrap w:val="false"/>
          </w:tcPr>
          <w:p>
            <w:pPr>
              <w:jc w:val="center"/>
              <w:spacing w:before="120" w:after="120" w:line="280" w:lineRule="exact"/>
              <w:rPr>
                <w:color w:val="000000"/>
                <w:sz w:val="18"/>
                <w:szCs w:val="18"/>
              </w:rPr>
            </w:pPr>
            <w:r>
              <w:rPr>
                <w:rFonts w:hint="eastAsia"/>
                <w:color w:val="000000"/>
                <w:sz w:val="18"/>
                <w:szCs w:val="18"/>
              </w:rPr>
              <w:t xml:space="preserve">LED控制系统</w:t>
            </w:r>
            <w:r/>
          </w:p>
        </w:tc>
        <w:tc>
          <w:tcPr>
            <w:shd w:val="clear" w:color="auto" w:fill="auto"/>
            <w:tcW w:w="2082"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rPr>
              <w:t xml:space="preserve">诺瓦、卡莱特、强力巨彩</w:t>
            </w:r>
            <w:r/>
          </w:p>
        </w:tc>
        <w:tc>
          <w:tcPr>
            <w:tcW w:w="1118" w:type="pct"/>
            <w:textDirection w:val="lrTb"/>
            <w:noWrap w:val="false"/>
          </w:tcPr>
          <w:p>
            <w:pPr>
              <w:jc w:val="center"/>
              <w:spacing w:before="120" w:after="120" w:line="280" w:lineRule="exact"/>
              <w:rPr>
                <w:color w:val="000000"/>
                <w:sz w:val="18"/>
                <w:szCs w:val="18"/>
              </w:rPr>
            </w:pPr>
            <w:r>
              <w:rPr>
                <w:color w:val="000000"/>
                <w:sz w:val="18"/>
                <w:szCs w:val="18"/>
              </w:rPr>
            </w:r>
            <w:r/>
          </w:p>
        </w:tc>
      </w:tr>
      <w:tr>
        <w:trPr>
          <w:jc w:val="center"/>
          <w:trHeight w:val="510"/>
        </w:trPr>
        <w:tc>
          <w:tcPr>
            <w:shd w:val="clear" w:color="auto" w:fill="auto"/>
            <w:tcW w:w="658" w:type="pct"/>
            <w:vAlign w:val="center"/>
            <w:textDirection w:val="lrTb"/>
            <w:noWrap w:val="false"/>
          </w:tcPr>
          <w:p>
            <w:pPr>
              <w:jc w:val="center"/>
              <w:spacing w:before="120" w:after="120" w:line="280" w:lineRule="exact"/>
              <w:rPr>
                <w:color w:val="000000"/>
                <w:sz w:val="18"/>
                <w:szCs w:val="18"/>
              </w:rPr>
            </w:pPr>
            <w:r>
              <w:rPr>
                <w:rFonts w:hint="eastAsia"/>
                <w:color w:val="000000"/>
                <w:sz w:val="18"/>
                <w:szCs w:val="18"/>
              </w:rPr>
              <w:t xml:space="preserve">24</w:t>
            </w:r>
            <w:r/>
          </w:p>
        </w:tc>
        <w:tc>
          <w:tcPr>
            <w:shd w:val="clear" w:color="auto" w:fill="auto"/>
            <w:tcW w:w="1142" w:type="pct"/>
            <w:vAlign w:val="center"/>
            <w:textDirection w:val="lrTb"/>
            <w:noWrap w:val="false"/>
          </w:tcPr>
          <w:p>
            <w:pPr>
              <w:jc w:val="center"/>
              <w:spacing w:before="120" w:after="120" w:line="280" w:lineRule="exact"/>
              <w:rPr>
                <w:color w:val="000000"/>
                <w:sz w:val="18"/>
                <w:szCs w:val="18"/>
              </w:rPr>
            </w:pPr>
            <w:r>
              <w:rPr>
                <w:rFonts w:hint="eastAsia"/>
                <w:color w:val="000000"/>
                <w:sz w:val="18"/>
                <w:szCs w:val="18"/>
              </w:rPr>
              <w:t xml:space="preserve">控制软件</w:t>
            </w:r>
            <w:r/>
          </w:p>
        </w:tc>
        <w:tc>
          <w:tcPr>
            <w:shd w:val="clear" w:color="auto" w:fill="auto"/>
            <w:tcW w:w="2082"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rPr>
              <w:t xml:space="preserve">九洲、诺瓦、卡莱特</w:t>
            </w:r>
            <w:r/>
          </w:p>
        </w:tc>
        <w:tc>
          <w:tcPr>
            <w:tcW w:w="1118" w:type="pct"/>
            <w:textDirection w:val="lrTb"/>
            <w:noWrap w:val="false"/>
          </w:tcPr>
          <w:p>
            <w:pPr>
              <w:jc w:val="center"/>
              <w:spacing w:before="120" w:after="120" w:line="280" w:lineRule="exact"/>
              <w:rPr>
                <w:color w:val="000000"/>
                <w:sz w:val="18"/>
                <w:szCs w:val="18"/>
              </w:rPr>
            </w:pPr>
            <w:r>
              <w:rPr>
                <w:color w:val="000000"/>
                <w:sz w:val="18"/>
                <w:szCs w:val="18"/>
              </w:rPr>
            </w:r>
            <w:r/>
          </w:p>
        </w:tc>
      </w:tr>
      <w:tr>
        <w:trPr>
          <w:jc w:val="center"/>
          <w:trHeight w:val="510"/>
        </w:trPr>
        <w:tc>
          <w:tcPr>
            <w:shd w:val="clear" w:color="auto" w:fill="auto"/>
            <w:tcW w:w="658" w:type="pct"/>
            <w:vAlign w:val="center"/>
            <w:textDirection w:val="lrTb"/>
            <w:noWrap w:val="false"/>
          </w:tcPr>
          <w:p>
            <w:pPr>
              <w:jc w:val="center"/>
              <w:spacing w:before="120" w:after="120" w:line="280" w:lineRule="exact"/>
              <w:rPr>
                <w:color w:val="000000"/>
                <w:sz w:val="18"/>
                <w:szCs w:val="18"/>
              </w:rPr>
            </w:pPr>
            <w:r>
              <w:rPr>
                <w:rFonts w:hint="eastAsia"/>
                <w:color w:val="000000"/>
                <w:sz w:val="18"/>
                <w:szCs w:val="18"/>
              </w:rPr>
              <w:t xml:space="preserve">25</w:t>
            </w:r>
            <w:r/>
          </w:p>
        </w:tc>
        <w:tc>
          <w:tcPr>
            <w:shd w:val="clear" w:color="auto" w:fill="auto"/>
            <w:tcW w:w="1142" w:type="pct"/>
            <w:vAlign w:val="center"/>
            <w:textDirection w:val="lrTb"/>
            <w:noWrap w:val="false"/>
          </w:tcPr>
          <w:p>
            <w:pPr>
              <w:jc w:val="center"/>
              <w:spacing w:before="120" w:after="120" w:line="280" w:lineRule="exact"/>
              <w:rPr>
                <w:color w:val="000000"/>
                <w:sz w:val="18"/>
                <w:szCs w:val="18"/>
              </w:rPr>
            </w:pPr>
            <w:r>
              <w:rPr>
                <w:rFonts w:hint="eastAsia"/>
                <w:color w:val="000000"/>
                <w:sz w:val="18"/>
                <w:szCs w:val="18"/>
              </w:rPr>
              <w:t xml:space="preserve">播放主机</w:t>
            </w:r>
            <w:r/>
          </w:p>
        </w:tc>
        <w:tc>
          <w:tcPr>
            <w:shd w:val="clear" w:color="auto" w:fill="auto"/>
            <w:tcW w:w="2082"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rPr>
              <w:t xml:space="preserve">联想、惠普、华硕</w:t>
            </w:r>
            <w:r/>
          </w:p>
        </w:tc>
        <w:tc>
          <w:tcPr>
            <w:tcW w:w="1118" w:type="pct"/>
            <w:textDirection w:val="lrTb"/>
            <w:noWrap w:val="false"/>
          </w:tcPr>
          <w:p>
            <w:pPr>
              <w:jc w:val="center"/>
              <w:spacing w:before="120" w:after="120" w:line="280" w:lineRule="exact"/>
              <w:rPr>
                <w:color w:val="000000"/>
                <w:sz w:val="18"/>
                <w:szCs w:val="18"/>
              </w:rPr>
            </w:pPr>
            <w:r>
              <w:rPr>
                <w:color w:val="000000"/>
                <w:sz w:val="18"/>
                <w:szCs w:val="18"/>
              </w:rPr>
            </w:r>
            <w:r/>
          </w:p>
        </w:tc>
      </w:tr>
      <w:tr>
        <w:trPr>
          <w:jc w:val="center"/>
          <w:trHeight w:val="510"/>
        </w:trPr>
        <w:tc>
          <w:tcPr>
            <w:shd w:val="clear" w:color="auto" w:fill="auto"/>
            <w:tcW w:w="658" w:type="pct"/>
            <w:vAlign w:val="center"/>
            <w:textDirection w:val="lrTb"/>
            <w:noWrap w:val="false"/>
          </w:tcPr>
          <w:p>
            <w:pPr>
              <w:jc w:val="center"/>
              <w:spacing w:before="120" w:after="120" w:line="280" w:lineRule="exact"/>
              <w:rPr>
                <w:color w:val="000000"/>
                <w:sz w:val="18"/>
                <w:szCs w:val="18"/>
              </w:rPr>
            </w:pPr>
            <w:r>
              <w:rPr>
                <w:rFonts w:hint="eastAsia"/>
                <w:color w:val="000000"/>
                <w:sz w:val="18"/>
                <w:szCs w:val="18"/>
              </w:rPr>
              <w:t xml:space="preserve">26</w:t>
            </w:r>
            <w:r/>
          </w:p>
        </w:tc>
        <w:tc>
          <w:tcPr>
            <w:shd w:val="clear" w:color="auto" w:fill="auto"/>
            <w:tcW w:w="1142" w:type="pct"/>
            <w:vAlign w:val="center"/>
            <w:textDirection w:val="lrTb"/>
            <w:noWrap w:val="false"/>
          </w:tcPr>
          <w:p>
            <w:pPr>
              <w:jc w:val="center"/>
              <w:spacing w:before="120" w:after="120" w:line="280" w:lineRule="exact"/>
              <w:rPr>
                <w:color w:val="000000"/>
                <w:sz w:val="18"/>
                <w:szCs w:val="18"/>
              </w:rPr>
            </w:pPr>
            <w:r>
              <w:rPr>
                <w:rFonts w:hint="eastAsia"/>
                <w:color w:val="000000"/>
                <w:sz w:val="18"/>
                <w:szCs w:val="18"/>
              </w:rPr>
              <w:t xml:space="preserve">电源控制箱</w:t>
            </w:r>
            <w:r/>
          </w:p>
        </w:tc>
        <w:tc>
          <w:tcPr>
            <w:shd w:val="clear" w:color="auto" w:fill="auto"/>
            <w:tcW w:w="2082"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rPr>
              <w:t xml:space="preserve">天畅、强力巨彩、玖润</w:t>
            </w:r>
            <w:r/>
          </w:p>
        </w:tc>
        <w:tc>
          <w:tcPr>
            <w:tcW w:w="1118" w:type="pct"/>
            <w:textDirection w:val="lrTb"/>
            <w:noWrap w:val="false"/>
          </w:tcPr>
          <w:p>
            <w:pPr>
              <w:jc w:val="center"/>
              <w:spacing w:before="120" w:after="120" w:line="280" w:lineRule="exact"/>
              <w:rPr>
                <w:color w:val="000000"/>
                <w:sz w:val="18"/>
                <w:szCs w:val="18"/>
              </w:rPr>
            </w:pPr>
            <w:r>
              <w:rPr>
                <w:color w:val="000000"/>
                <w:sz w:val="18"/>
                <w:szCs w:val="18"/>
              </w:rPr>
            </w:r>
            <w:r/>
          </w:p>
        </w:tc>
      </w:tr>
      <w:tr>
        <w:trPr>
          <w:jc w:val="center"/>
          <w:trHeight w:val="510"/>
        </w:trPr>
        <w:tc>
          <w:tcPr>
            <w:shd w:val="clear" w:color="auto" w:fill="auto"/>
            <w:tcW w:w="658" w:type="pct"/>
            <w:vAlign w:val="center"/>
            <w:textDirection w:val="lrTb"/>
            <w:noWrap w:val="false"/>
          </w:tcPr>
          <w:p>
            <w:pPr>
              <w:jc w:val="center"/>
              <w:spacing w:before="120" w:after="120" w:line="280" w:lineRule="exact"/>
              <w:rPr>
                <w:color w:val="000000"/>
                <w:sz w:val="18"/>
                <w:szCs w:val="18"/>
              </w:rPr>
            </w:pPr>
            <w:r>
              <w:rPr>
                <w:rFonts w:hint="eastAsia"/>
                <w:color w:val="000000"/>
                <w:sz w:val="18"/>
                <w:szCs w:val="18"/>
              </w:rPr>
              <w:t xml:space="preserve">27</w:t>
            </w:r>
            <w:r/>
          </w:p>
        </w:tc>
        <w:tc>
          <w:tcPr>
            <w:shd w:val="clear" w:color="auto" w:fill="auto"/>
            <w:tcW w:w="1142" w:type="pct"/>
            <w:vAlign w:val="center"/>
            <w:textDirection w:val="lrTb"/>
            <w:noWrap w:val="false"/>
          </w:tcPr>
          <w:p>
            <w:pPr>
              <w:jc w:val="center"/>
              <w:spacing w:line="280" w:lineRule="exact"/>
              <w:widowControl/>
              <w:rPr>
                <w:color w:val="000000"/>
                <w:sz w:val="18"/>
                <w:szCs w:val="18"/>
              </w:rPr>
            </w:pPr>
            <w:r>
              <w:rPr>
                <w:rFonts w:hint="eastAsia"/>
                <w:color w:val="000000"/>
                <w:sz w:val="18"/>
                <w:szCs w:val="18"/>
                <w:lang w:bidi="ar"/>
              </w:rPr>
              <w:t xml:space="preserve">线阵列音箱</w:t>
            </w:r>
            <w:r/>
          </w:p>
        </w:tc>
        <w:tc>
          <w:tcPr>
            <w:shd w:val="clear" w:color="auto" w:fill="auto"/>
            <w:tcW w:w="2082"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rPr>
              <w:t xml:space="preserve">湖山、锐丰、京邦</w:t>
            </w:r>
            <w:r/>
          </w:p>
        </w:tc>
        <w:tc>
          <w:tcPr>
            <w:tcW w:w="1118" w:type="pct"/>
            <w:textDirection w:val="lrTb"/>
            <w:noWrap w:val="false"/>
          </w:tcPr>
          <w:p>
            <w:pPr>
              <w:jc w:val="center"/>
              <w:spacing w:before="120" w:after="120" w:line="280" w:lineRule="exact"/>
              <w:rPr>
                <w:color w:val="000000"/>
                <w:sz w:val="18"/>
                <w:szCs w:val="18"/>
              </w:rPr>
            </w:pPr>
            <w:r>
              <w:rPr>
                <w:color w:val="000000"/>
                <w:sz w:val="18"/>
                <w:szCs w:val="18"/>
              </w:rPr>
            </w:r>
            <w:r/>
          </w:p>
        </w:tc>
      </w:tr>
      <w:tr>
        <w:trPr>
          <w:jc w:val="center"/>
          <w:trHeight w:val="510"/>
        </w:trPr>
        <w:tc>
          <w:tcPr>
            <w:shd w:val="clear" w:color="auto" w:fill="auto"/>
            <w:tcW w:w="658" w:type="pct"/>
            <w:vAlign w:val="center"/>
            <w:textDirection w:val="lrTb"/>
            <w:noWrap w:val="false"/>
          </w:tcPr>
          <w:p>
            <w:pPr>
              <w:jc w:val="center"/>
              <w:spacing w:before="120" w:after="120" w:line="280" w:lineRule="exact"/>
              <w:rPr>
                <w:color w:val="000000"/>
                <w:sz w:val="18"/>
                <w:szCs w:val="18"/>
              </w:rPr>
            </w:pPr>
            <w:r>
              <w:rPr>
                <w:rFonts w:hint="eastAsia"/>
                <w:color w:val="000000"/>
                <w:sz w:val="18"/>
                <w:szCs w:val="18"/>
              </w:rPr>
              <w:t xml:space="preserve">28</w:t>
            </w:r>
            <w:r/>
          </w:p>
        </w:tc>
        <w:tc>
          <w:tcPr>
            <w:shd w:val="clear" w:color="auto" w:fill="auto"/>
            <w:tcW w:w="1142" w:type="pct"/>
            <w:vAlign w:val="center"/>
            <w:textDirection w:val="lrTb"/>
            <w:noWrap w:val="false"/>
          </w:tcPr>
          <w:p>
            <w:pPr>
              <w:jc w:val="center"/>
              <w:spacing w:line="280" w:lineRule="exact"/>
              <w:widowControl/>
              <w:rPr>
                <w:color w:val="000000"/>
                <w:sz w:val="18"/>
                <w:szCs w:val="18"/>
              </w:rPr>
            </w:pPr>
            <w:r>
              <w:rPr>
                <w:rFonts w:hint="eastAsia"/>
                <w:color w:val="000000"/>
                <w:sz w:val="18"/>
                <w:szCs w:val="18"/>
                <w:lang w:bidi="ar"/>
              </w:rPr>
              <w:t xml:space="preserve">线阵列低音音箱</w:t>
            </w:r>
            <w:r/>
          </w:p>
        </w:tc>
        <w:tc>
          <w:tcPr>
            <w:shd w:val="clear" w:color="auto" w:fill="auto"/>
            <w:tcW w:w="2082"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rPr>
              <w:t xml:space="preserve">湖山、锐丰、京邦</w:t>
            </w:r>
            <w:r/>
          </w:p>
        </w:tc>
        <w:tc>
          <w:tcPr>
            <w:tcW w:w="1118" w:type="pct"/>
            <w:textDirection w:val="lrTb"/>
            <w:noWrap w:val="false"/>
          </w:tcPr>
          <w:p>
            <w:pPr>
              <w:jc w:val="center"/>
              <w:spacing w:before="120" w:after="120" w:line="280" w:lineRule="exact"/>
              <w:rPr>
                <w:color w:val="000000"/>
                <w:sz w:val="18"/>
                <w:szCs w:val="18"/>
              </w:rPr>
            </w:pPr>
            <w:r>
              <w:rPr>
                <w:color w:val="000000"/>
                <w:sz w:val="18"/>
                <w:szCs w:val="18"/>
              </w:rPr>
            </w:r>
            <w:r/>
          </w:p>
        </w:tc>
      </w:tr>
      <w:tr>
        <w:trPr>
          <w:jc w:val="center"/>
          <w:trHeight w:val="510"/>
        </w:trPr>
        <w:tc>
          <w:tcPr>
            <w:shd w:val="clear" w:color="auto" w:fill="auto"/>
            <w:tcW w:w="658" w:type="pct"/>
            <w:vAlign w:val="center"/>
            <w:textDirection w:val="lrTb"/>
            <w:noWrap w:val="false"/>
          </w:tcPr>
          <w:p>
            <w:pPr>
              <w:jc w:val="center"/>
              <w:spacing w:before="120" w:after="120" w:line="280" w:lineRule="exact"/>
              <w:rPr>
                <w:color w:val="000000"/>
                <w:sz w:val="18"/>
                <w:szCs w:val="18"/>
              </w:rPr>
            </w:pPr>
            <w:r>
              <w:rPr>
                <w:rFonts w:hint="eastAsia"/>
                <w:color w:val="000000"/>
                <w:sz w:val="18"/>
                <w:szCs w:val="18"/>
              </w:rPr>
              <w:t xml:space="preserve">29</w:t>
            </w:r>
            <w:r/>
          </w:p>
        </w:tc>
        <w:tc>
          <w:tcPr>
            <w:shd w:val="clear" w:color="auto" w:fill="auto"/>
            <w:tcW w:w="1142" w:type="pct"/>
            <w:vAlign w:val="center"/>
            <w:textDirection w:val="lrTb"/>
            <w:noWrap w:val="false"/>
          </w:tcPr>
          <w:p>
            <w:pPr>
              <w:jc w:val="center"/>
              <w:spacing w:line="280" w:lineRule="exact"/>
              <w:widowControl/>
              <w:rPr>
                <w:color w:val="000000"/>
                <w:sz w:val="18"/>
                <w:szCs w:val="18"/>
              </w:rPr>
            </w:pPr>
            <w:r>
              <w:rPr>
                <w:rFonts w:hint="eastAsia"/>
                <w:color w:val="000000"/>
                <w:sz w:val="18"/>
                <w:szCs w:val="18"/>
                <w:lang w:bidi="ar"/>
              </w:rPr>
              <w:t xml:space="preserve">功率放大器A</w:t>
            </w:r>
            <w:r/>
          </w:p>
        </w:tc>
        <w:tc>
          <w:tcPr>
            <w:shd w:val="clear" w:color="auto" w:fill="auto"/>
            <w:tcW w:w="2082"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rPr>
              <w:t xml:space="preserve">湖山、锐丰、京邦</w:t>
            </w:r>
            <w:r/>
          </w:p>
        </w:tc>
        <w:tc>
          <w:tcPr>
            <w:tcW w:w="1118" w:type="pct"/>
            <w:textDirection w:val="lrTb"/>
            <w:noWrap w:val="false"/>
          </w:tcPr>
          <w:p>
            <w:pPr>
              <w:jc w:val="center"/>
              <w:spacing w:before="120" w:after="120" w:line="280" w:lineRule="exact"/>
              <w:rPr>
                <w:color w:val="000000"/>
                <w:sz w:val="18"/>
                <w:szCs w:val="18"/>
              </w:rPr>
            </w:pPr>
            <w:r>
              <w:rPr>
                <w:color w:val="000000"/>
                <w:sz w:val="18"/>
                <w:szCs w:val="18"/>
              </w:rPr>
            </w:r>
            <w:r/>
          </w:p>
        </w:tc>
      </w:tr>
      <w:tr>
        <w:trPr>
          <w:jc w:val="center"/>
          <w:trHeight w:val="510"/>
        </w:trPr>
        <w:tc>
          <w:tcPr>
            <w:shd w:val="clear" w:color="auto" w:fill="auto"/>
            <w:tcW w:w="658" w:type="pct"/>
            <w:vAlign w:val="center"/>
            <w:textDirection w:val="lrTb"/>
            <w:noWrap w:val="false"/>
          </w:tcPr>
          <w:p>
            <w:pPr>
              <w:jc w:val="center"/>
              <w:spacing w:before="120" w:after="120" w:line="280" w:lineRule="exact"/>
              <w:rPr>
                <w:color w:val="000000"/>
                <w:sz w:val="18"/>
                <w:szCs w:val="18"/>
              </w:rPr>
            </w:pPr>
            <w:r>
              <w:rPr>
                <w:rFonts w:hint="eastAsia"/>
                <w:color w:val="000000"/>
                <w:sz w:val="18"/>
                <w:szCs w:val="18"/>
              </w:rPr>
              <w:t xml:space="preserve">30</w:t>
            </w:r>
            <w:r/>
          </w:p>
        </w:tc>
        <w:tc>
          <w:tcPr>
            <w:shd w:val="clear" w:color="auto" w:fill="auto"/>
            <w:tcW w:w="1142" w:type="pct"/>
            <w:vAlign w:val="center"/>
            <w:textDirection w:val="lrTb"/>
            <w:noWrap w:val="false"/>
          </w:tcPr>
          <w:p>
            <w:pPr>
              <w:jc w:val="center"/>
              <w:spacing w:line="280" w:lineRule="exact"/>
              <w:widowControl/>
              <w:rPr>
                <w:color w:val="000000"/>
                <w:sz w:val="18"/>
                <w:szCs w:val="18"/>
              </w:rPr>
            </w:pPr>
            <w:r>
              <w:rPr>
                <w:rFonts w:hint="eastAsia"/>
                <w:color w:val="000000"/>
                <w:sz w:val="18"/>
                <w:szCs w:val="18"/>
                <w:lang w:bidi="ar"/>
              </w:rPr>
              <w:t xml:space="preserve">功率放大器B</w:t>
            </w:r>
            <w:r/>
          </w:p>
        </w:tc>
        <w:tc>
          <w:tcPr>
            <w:shd w:val="clear" w:color="auto" w:fill="auto"/>
            <w:tcW w:w="2082"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rPr>
              <w:t xml:space="preserve">湖山、锐丰、京邦</w:t>
            </w:r>
            <w:r/>
          </w:p>
        </w:tc>
        <w:tc>
          <w:tcPr>
            <w:tcW w:w="1118" w:type="pct"/>
            <w:textDirection w:val="lrTb"/>
            <w:noWrap w:val="false"/>
          </w:tcPr>
          <w:p>
            <w:pPr>
              <w:jc w:val="center"/>
              <w:spacing w:before="120" w:after="120" w:line="280" w:lineRule="exact"/>
              <w:rPr>
                <w:color w:val="000000"/>
                <w:sz w:val="18"/>
                <w:szCs w:val="18"/>
              </w:rPr>
            </w:pPr>
            <w:r>
              <w:rPr>
                <w:color w:val="000000"/>
                <w:sz w:val="18"/>
                <w:szCs w:val="18"/>
              </w:rPr>
            </w:r>
            <w:r/>
          </w:p>
        </w:tc>
      </w:tr>
      <w:tr>
        <w:trPr>
          <w:jc w:val="center"/>
          <w:trHeight w:val="510"/>
        </w:trPr>
        <w:tc>
          <w:tcPr>
            <w:shd w:val="clear" w:color="auto" w:fill="auto"/>
            <w:tcW w:w="658" w:type="pct"/>
            <w:vAlign w:val="center"/>
            <w:textDirection w:val="lrTb"/>
            <w:noWrap w:val="false"/>
          </w:tcPr>
          <w:p>
            <w:pPr>
              <w:jc w:val="center"/>
              <w:spacing w:before="120" w:after="120" w:line="280" w:lineRule="exact"/>
              <w:rPr>
                <w:color w:val="000000"/>
                <w:sz w:val="18"/>
                <w:szCs w:val="18"/>
              </w:rPr>
            </w:pPr>
            <w:r>
              <w:rPr>
                <w:rFonts w:hint="eastAsia"/>
                <w:color w:val="000000"/>
                <w:sz w:val="18"/>
                <w:szCs w:val="18"/>
              </w:rPr>
              <w:t xml:space="preserve">31</w:t>
            </w:r>
            <w:r/>
          </w:p>
        </w:tc>
        <w:tc>
          <w:tcPr>
            <w:shd w:val="clear" w:color="auto" w:fill="auto"/>
            <w:tcW w:w="1142" w:type="pct"/>
            <w:vAlign w:val="center"/>
            <w:textDirection w:val="lrTb"/>
            <w:noWrap w:val="false"/>
          </w:tcPr>
          <w:p>
            <w:pPr>
              <w:jc w:val="center"/>
              <w:spacing w:line="280" w:lineRule="exact"/>
              <w:widowControl/>
              <w:rPr>
                <w:color w:val="000000"/>
                <w:sz w:val="18"/>
                <w:szCs w:val="18"/>
              </w:rPr>
            </w:pPr>
            <w:r>
              <w:rPr>
                <w:rFonts w:hint="eastAsia"/>
                <w:color w:val="000000"/>
                <w:sz w:val="18"/>
                <w:szCs w:val="18"/>
                <w:lang w:bidi="ar"/>
              </w:rPr>
              <w:t xml:space="preserve">专业音箱A</w:t>
            </w:r>
            <w:r/>
          </w:p>
        </w:tc>
        <w:tc>
          <w:tcPr>
            <w:shd w:val="clear" w:color="auto" w:fill="auto"/>
            <w:tcW w:w="2082"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rPr>
              <w:t xml:space="preserve">湖山、锐丰、京邦</w:t>
            </w:r>
            <w:r/>
          </w:p>
        </w:tc>
        <w:tc>
          <w:tcPr>
            <w:tcW w:w="1118" w:type="pct"/>
            <w:textDirection w:val="lrTb"/>
            <w:noWrap w:val="false"/>
          </w:tcPr>
          <w:p>
            <w:pPr>
              <w:jc w:val="center"/>
              <w:spacing w:before="120" w:after="120" w:line="280" w:lineRule="exact"/>
              <w:rPr>
                <w:color w:val="000000"/>
                <w:sz w:val="18"/>
                <w:szCs w:val="18"/>
              </w:rPr>
            </w:pPr>
            <w:r>
              <w:rPr>
                <w:color w:val="000000"/>
                <w:sz w:val="18"/>
                <w:szCs w:val="18"/>
              </w:rPr>
            </w:r>
            <w:r/>
          </w:p>
        </w:tc>
      </w:tr>
      <w:tr>
        <w:trPr>
          <w:jc w:val="center"/>
          <w:trHeight w:val="510"/>
        </w:trPr>
        <w:tc>
          <w:tcPr>
            <w:shd w:val="clear" w:color="auto" w:fill="auto"/>
            <w:tcW w:w="658" w:type="pct"/>
            <w:vAlign w:val="center"/>
            <w:textDirection w:val="lrTb"/>
            <w:noWrap w:val="false"/>
          </w:tcPr>
          <w:p>
            <w:pPr>
              <w:jc w:val="center"/>
              <w:spacing w:before="120" w:after="120" w:line="280" w:lineRule="exact"/>
              <w:rPr>
                <w:color w:val="000000"/>
                <w:sz w:val="18"/>
                <w:szCs w:val="18"/>
              </w:rPr>
            </w:pPr>
            <w:r>
              <w:rPr>
                <w:rFonts w:hint="eastAsia"/>
                <w:color w:val="000000"/>
                <w:sz w:val="18"/>
                <w:szCs w:val="18"/>
              </w:rPr>
              <w:t xml:space="preserve">32</w:t>
            </w:r>
            <w:r/>
          </w:p>
        </w:tc>
        <w:tc>
          <w:tcPr>
            <w:shd w:val="clear" w:color="auto" w:fill="auto"/>
            <w:tcW w:w="1142" w:type="pct"/>
            <w:vAlign w:val="center"/>
            <w:textDirection w:val="lrTb"/>
            <w:noWrap w:val="false"/>
          </w:tcPr>
          <w:p>
            <w:pPr>
              <w:jc w:val="center"/>
              <w:spacing w:line="280" w:lineRule="exact"/>
              <w:widowControl/>
              <w:rPr>
                <w:color w:val="000000"/>
                <w:sz w:val="18"/>
                <w:szCs w:val="18"/>
              </w:rPr>
            </w:pPr>
            <w:r>
              <w:rPr>
                <w:rFonts w:hint="eastAsia"/>
                <w:color w:val="000000"/>
                <w:sz w:val="18"/>
                <w:szCs w:val="18"/>
                <w:lang w:bidi="ar"/>
              </w:rPr>
              <w:t xml:space="preserve">专业音箱B</w:t>
            </w:r>
            <w:r/>
          </w:p>
        </w:tc>
        <w:tc>
          <w:tcPr>
            <w:shd w:val="clear" w:color="auto" w:fill="auto"/>
            <w:tcW w:w="2082"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rPr>
              <w:t xml:space="preserve">湖山、锐丰、京邦</w:t>
            </w:r>
            <w:r/>
          </w:p>
        </w:tc>
        <w:tc>
          <w:tcPr>
            <w:tcW w:w="1118" w:type="pct"/>
            <w:textDirection w:val="lrTb"/>
            <w:noWrap w:val="false"/>
          </w:tcPr>
          <w:p>
            <w:pPr>
              <w:jc w:val="center"/>
              <w:spacing w:before="120" w:after="120" w:line="280" w:lineRule="exact"/>
              <w:rPr>
                <w:color w:val="000000"/>
                <w:sz w:val="18"/>
                <w:szCs w:val="18"/>
              </w:rPr>
            </w:pPr>
            <w:r>
              <w:rPr>
                <w:color w:val="000000"/>
                <w:sz w:val="18"/>
                <w:szCs w:val="18"/>
              </w:rPr>
            </w:r>
            <w:r/>
          </w:p>
        </w:tc>
      </w:tr>
      <w:tr>
        <w:trPr>
          <w:jc w:val="center"/>
          <w:trHeight w:val="510"/>
        </w:trPr>
        <w:tc>
          <w:tcPr>
            <w:shd w:val="clear" w:color="auto" w:fill="auto"/>
            <w:tcW w:w="658" w:type="pct"/>
            <w:vAlign w:val="center"/>
            <w:textDirection w:val="lrTb"/>
            <w:noWrap w:val="false"/>
          </w:tcPr>
          <w:p>
            <w:pPr>
              <w:jc w:val="center"/>
              <w:spacing w:before="120" w:after="120" w:line="280" w:lineRule="exact"/>
              <w:rPr>
                <w:color w:val="000000"/>
                <w:sz w:val="18"/>
                <w:szCs w:val="18"/>
              </w:rPr>
            </w:pPr>
            <w:r>
              <w:rPr>
                <w:rFonts w:hint="eastAsia"/>
                <w:color w:val="000000"/>
                <w:sz w:val="18"/>
                <w:szCs w:val="18"/>
              </w:rPr>
              <w:t xml:space="preserve">33</w:t>
            </w:r>
            <w:r/>
          </w:p>
        </w:tc>
        <w:tc>
          <w:tcPr>
            <w:shd w:val="clear" w:color="auto" w:fill="auto"/>
            <w:tcW w:w="1142" w:type="pct"/>
            <w:vAlign w:val="center"/>
            <w:textDirection w:val="lrTb"/>
            <w:noWrap w:val="false"/>
          </w:tcPr>
          <w:p>
            <w:pPr>
              <w:jc w:val="center"/>
              <w:spacing w:line="280" w:lineRule="exact"/>
              <w:widowControl/>
              <w:rPr>
                <w:color w:val="000000"/>
                <w:sz w:val="18"/>
                <w:szCs w:val="18"/>
              </w:rPr>
            </w:pPr>
            <w:r>
              <w:rPr>
                <w:rFonts w:hint="eastAsia"/>
                <w:color w:val="000000"/>
                <w:sz w:val="18"/>
                <w:szCs w:val="18"/>
                <w:lang w:bidi="ar"/>
              </w:rPr>
              <w:t xml:space="preserve">数字音频处理器</w:t>
            </w:r>
            <w:r/>
          </w:p>
        </w:tc>
        <w:tc>
          <w:tcPr>
            <w:shd w:val="clear" w:color="auto" w:fill="auto"/>
            <w:tcW w:w="2082"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rPr>
              <w:t xml:space="preserve">湖山、锐丰、京邦</w:t>
            </w:r>
            <w:r/>
          </w:p>
        </w:tc>
        <w:tc>
          <w:tcPr>
            <w:tcW w:w="1118" w:type="pct"/>
            <w:textDirection w:val="lrTb"/>
            <w:noWrap w:val="false"/>
          </w:tcPr>
          <w:p>
            <w:pPr>
              <w:jc w:val="center"/>
              <w:spacing w:before="120" w:after="120" w:line="280" w:lineRule="exact"/>
              <w:rPr>
                <w:color w:val="000000"/>
                <w:sz w:val="18"/>
                <w:szCs w:val="18"/>
              </w:rPr>
            </w:pPr>
            <w:r>
              <w:rPr>
                <w:color w:val="000000"/>
                <w:sz w:val="18"/>
                <w:szCs w:val="18"/>
              </w:rPr>
            </w:r>
            <w:r/>
          </w:p>
        </w:tc>
      </w:tr>
      <w:tr>
        <w:trPr>
          <w:jc w:val="center"/>
          <w:trHeight w:val="510"/>
        </w:trPr>
        <w:tc>
          <w:tcPr>
            <w:shd w:val="clear" w:color="auto" w:fill="auto"/>
            <w:tcW w:w="658" w:type="pct"/>
            <w:vAlign w:val="center"/>
            <w:textDirection w:val="lrTb"/>
            <w:noWrap w:val="false"/>
          </w:tcPr>
          <w:p>
            <w:pPr>
              <w:jc w:val="center"/>
              <w:spacing w:before="120" w:after="120" w:line="280" w:lineRule="exact"/>
              <w:rPr>
                <w:color w:val="000000"/>
                <w:sz w:val="18"/>
                <w:szCs w:val="18"/>
              </w:rPr>
            </w:pPr>
            <w:r>
              <w:rPr>
                <w:rFonts w:hint="eastAsia"/>
                <w:color w:val="000000"/>
                <w:sz w:val="18"/>
                <w:szCs w:val="18"/>
              </w:rPr>
              <w:t xml:space="preserve">34</w:t>
            </w:r>
            <w:r/>
          </w:p>
        </w:tc>
        <w:tc>
          <w:tcPr>
            <w:shd w:val="clear" w:color="auto" w:fill="auto"/>
            <w:tcW w:w="1142" w:type="pct"/>
            <w:vAlign w:val="center"/>
            <w:textDirection w:val="lrTb"/>
            <w:noWrap w:val="false"/>
          </w:tcPr>
          <w:p>
            <w:pPr>
              <w:jc w:val="center"/>
              <w:spacing w:line="280" w:lineRule="exact"/>
              <w:widowControl/>
              <w:rPr>
                <w:color w:val="000000"/>
                <w:sz w:val="18"/>
                <w:szCs w:val="18"/>
              </w:rPr>
            </w:pPr>
            <w:r>
              <w:rPr>
                <w:rFonts w:hint="eastAsia"/>
                <w:color w:val="000000"/>
                <w:sz w:val="18"/>
                <w:szCs w:val="18"/>
                <w:lang w:bidi="ar"/>
              </w:rPr>
              <w:t xml:space="preserve">数字调音台</w:t>
            </w:r>
            <w:r/>
          </w:p>
        </w:tc>
        <w:tc>
          <w:tcPr>
            <w:shd w:val="clear" w:color="auto" w:fill="auto"/>
            <w:tcW w:w="2082"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rPr>
              <w:t xml:space="preserve">湖山、锐丰、京邦</w:t>
            </w:r>
            <w:r/>
          </w:p>
        </w:tc>
        <w:tc>
          <w:tcPr>
            <w:tcW w:w="1118" w:type="pct"/>
            <w:textDirection w:val="lrTb"/>
            <w:noWrap w:val="false"/>
          </w:tcPr>
          <w:p>
            <w:pPr>
              <w:jc w:val="center"/>
              <w:spacing w:before="120" w:after="120" w:line="280" w:lineRule="exact"/>
              <w:rPr>
                <w:color w:val="000000"/>
                <w:sz w:val="18"/>
                <w:szCs w:val="18"/>
              </w:rPr>
            </w:pPr>
            <w:r>
              <w:rPr>
                <w:color w:val="000000"/>
                <w:sz w:val="18"/>
                <w:szCs w:val="18"/>
              </w:rPr>
            </w:r>
            <w:r/>
          </w:p>
        </w:tc>
      </w:tr>
      <w:tr>
        <w:trPr>
          <w:jc w:val="center"/>
          <w:trHeight w:val="510"/>
        </w:trPr>
        <w:tc>
          <w:tcPr>
            <w:shd w:val="clear" w:color="auto" w:fill="auto"/>
            <w:tcW w:w="658" w:type="pct"/>
            <w:vAlign w:val="center"/>
            <w:textDirection w:val="lrTb"/>
            <w:noWrap w:val="false"/>
          </w:tcPr>
          <w:p>
            <w:pPr>
              <w:jc w:val="center"/>
              <w:spacing w:before="120" w:after="120" w:line="280" w:lineRule="exact"/>
              <w:rPr>
                <w:color w:val="000000"/>
                <w:sz w:val="18"/>
                <w:szCs w:val="18"/>
              </w:rPr>
            </w:pPr>
            <w:r>
              <w:rPr>
                <w:rFonts w:hint="eastAsia"/>
                <w:color w:val="000000"/>
                <w:sz w:val="18"/>
                <w:szCs w:val="18"/>
              </w:rPr>
              <w:t xml:space="preserve">35</w:t>
            </w:r>
            <w:r/>
          </w:p>
        </w:tc>
        <w:tc>
          <w:tcPr>
            <w:shd w:val="clear" w:color="auto" w:fill="auto"/>
            <w:tcW w:w="1142" w:type="pct"/>
            <w:vAlign w:val="center"/>
            <w:textDirection w:val="lrTb"/>
            <w:noWrap w:val="false"/>
          </w:tcPr>
          <w:p>
            <w:pPr>
              <w:jc w:val="center"/>
              <w:spacing w:line="280" w:lineRule="exact"/>
              <w:widowControl/>
              <w:rPr>
                <w:color w:val="000000"/>
                <w:sz w:val="18"/>
                <w:szCs w:val="18"/>
              </w:rPr>
            </w:pPr>
            <w:r>
              <w:rPr>
                <w:rFonts w:hint="eastAsia"/>
                <w:color w:val="000000"/>
                <w:sz w:val="18"/>
                <w:szCs w:val="18"/>
                <w:lang w:bidi="ar"/>
              </w:rPr>
              <w:t xml:space="preserve">数字音频矩阵处理器</w:t>
            </w:r>
            <w:r/>
          </w:p>
        </w:tc>
        <w:tc>
          <w:tcPr>
            <w:shd w:val="clear" w:color="auto" w:fill="auto"/>
            <w:tcW w:w="2082"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rPr>
              <w:t xml:space="preserve">湖山、锐丰、京邦</w:t>
            </w:r>
            <w:r/>
          </w:p>
        </w:tc>
        <w:tc>
          <w:tcPr>
            <w:tcW w:w="1118" w:type="pct"/>
            <w:textDirection w:val="lrTb"/>
            <w:noWrap w:val="false"/>
          </w:tcPr>
          <w:p>
            <w:pPr>
              <w:jc w:val="center"/>
              <w:spacing w:before="120" w:after="120" w:line="280" w:lineRule="exact"/>
              <w:rPr>
                <w:color w:val="000000"/>
                <w:sz w:val="18"/>
                <w:szCs w:val="18"/>
              </w:rPr>
            </w:pPr>
            <w:r>
              <w:rPr>
                <w:color w:val="000000"/>
                <w:sz w:val="18"/>
                <w:szCs w:val="18"/>
              </w:rPr>
            </w:r>
            <w:r/>
          </w:p>
        </w:tc>
      </w:tr>
      <w:tr>
        <w:trPr>
          <w:jc w:val="center"/>
          <w:trHeight w:val="510"/>
        </w:trPr>
        <w:tc>
          <w:tcPr>
            <w:shd w:val="clear" w:color="auto" w:fill="auto"/>
            <w:tcW w:w="658" w:type="pct"/>
            <w:vAlign w:val="center"/>
            <w:textDirection w:val="lrTb"/>
            <w:noWrap w:val="false"/>
          </w:tcPr>
          <w:p>
            <w:pPr>
              <w:jc w:val="center"/>
              <w:spacing w:before="120" w:after="120" w:line="280" w:lineRule="exact"/>
              <w:rPr>
                <w:color w:val="000000"/>
                <w:sz w:val="18"/>
                <w:szCs w:val="18"/>
              </w:rPr>
            </w:pPr>
            <w:r>
              <w:rPr>
                <w:rFonts w:hint="eastAsia"/>
                <w:color w:val="000000"/>
                <w:sz w:val="18"/>
                <w:szCs w:val="18"/>
              </w:rPr>
              <w:t xml:space="preserve">36</w:t>
            </w:r>
            <w:r/>
          </w:p>
        </w:tc>
        <w:tc>
          <w:tcPr>
            <w:shd w:val="clear" w:color="auto" w:fill="auto"/>
            <w:tcW w:w="1142" w:type="pct"/>
            <w:vAlign w:val="center"/>
            <w:textDirection w:val="lrTb"/>
            <w:noWrap w:val="false"/>
          </w:tcPr>
          <w:p>
            <w:pPr>
              <w:jc w:val="center"/>
              <w:spacing w:line="280" w:lineRule="exact"/>
              <w:widowControl/>
              <w:rPr>
                <w:color w:val="000000"/>
                <w:sz w:val="18"/>
                <w:szCs w:val="18"/>
              </w:rPr>
            </w:pPr>
            <w:r>
              <w:rPr>
                <w:rFonts w:hint="eastAsia"/>
                <w:color w:val="000000"/>
                <w:sz w:val="18"/>
                <w:szCs w:val="18"/>
                <w:lang w:bidi="ar"/>
              </w:rPr>
              <w:t xml:space="preserve">1拖2无线手持话筒</w:t>
            </w:r>
            <w:r/>
          </w:p>
        </w:tc>
        <w:tc>
          <w:tcPr>
            <w:shd w:val="clear" w:color="auto" w:fill="auto"/>
            <w:tcW w:w="2082"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rPr>
              <w:t xml:space="preserve">湖山、锐丰、京邦</w:t>
            </w:r>
            <w:r/>
          </w:p>
        </w:tc>
        <w:tc>
          <w:tcPr>
            <w:tcW w:w="1118" w:type="pct"/>
            <w:textDirection w:val="lrTb"/>
            <w:noWrap w:val="false"/>
          </w:tcPr>
          <w:p>
            <w:pPr>
              <w:jc w:val="center"/>
              <w:spacing w:before="120" w:after="120" w:line="280" w:lineRule="exact"/>
              <w:rPr>
                <w:color w:val="000000"/>
                <w:sz w:val="18"/>
                <w:szCs w:val="18"/>
              </w:rPr>
            </w:pPr>
            <w:r>
              <w:rPr>
                <w:color w:val="000000"/>
                <w:sz w:val="18"/>
                <w:szCs w:val="18"/>
              </w:rPr>
            </w:r>
            <w:r/>
          </w:p>
        </w:tc>
      </w:tr>
      <w:tr>
        <w:trPr>
          <w:jc w:val="center"/>
          <w:trHeight w:val="510"/>
        </w:trPr>
        <w:tc>
          <w:tcPr>
            <w:shd w:val="clear" w:color="auto" w:fill="auto"/>
            <w:tcW w:w="658" w:type="pct"/>
            <w:vAlign w:val="center"/>
            <w:textDirection w:val="lrTb"/>
            <w:noWrap w:val="false"/>
          </w:tcPr>
          <w:p>
            <w:pPr>
              <w:jc w:val="center"/>
              <w:spacing w:before="120" w:after="120" w:line="280" w:lineRule="exact"/>
              <w:rPr>
                <w:color w:val="000000"/>
                <w:sz w:val="18"/>
                <w:szCs w:val="18"/>
              </w:rPr>
            </w:pPr>
            <w:r>
              <w:rPr>
                <w:rFonts w:hint="eastAsia"/>
                <w:color w:val="000000"/>
                <w:sz w:val="18"/>
                <w:szCs w:val="18"/>
              </w:rPr>
              <w:t xml:space="preserve">37</w:t>
            </w:r>
            <w:r/>
          </w:p>
        </w:tc>
        <w:tc>
          <w:tcPr>
            <w:shd w:val="clear" w:color="auto" w:fill="auto"/>
            <w:tcW w:w="1142" w:type="pct"/>
            <w:vAlign w:val="center"/>
            <w:textDirection w:val="lrTb"/>
            <w:noWrap w:val="false"/>
          </w:tcPr>
          <w:p>
            <w:pPr>
              <w:jc w:val="center"/>
              <w:spacing w:line="280" w:lineRule="exact"/>
              <w:widowControl/>
              <w:rPr>
                <w:color w:val="000000"/>
                <w:sz w:val="18"/>
                <w:szCs w:val="18"/>
              </w:rPr>
            </w:pPr>
            <w:r>
              <w:rPr>
                <w:rFonts w:hint="eastAsia"/>
                <w:color w:val="000000"/>
                <w:sz w:val="18"/>
                <w:szCs w:val="18"/>
                <w:lang w:bidi="ar"/>
              </w:rPr>
              <w:t xml:space="preserve">1拖2无线领夹话筒</w:t>
            </w:r>
            <w:r/>
          </w:p>
        </w:tc>
        <w:tc>
          <w:tcPr>
            <w:shd w:val="clear" w:color="auto" w:fill="auto"/>
            <w:tcW w:w="2082"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rPr>
              <w:t xml:space="preserve">湖山、锐丰、京邦</w:t>
            </w:r>
            <w:r/>
          </w:p>
        </w:tc>
        <w:tc>
          <w:tcPr>
            <w:tcW w:w="1118" w:type="pct"/>
            <w:textDirection w:val="lrTb"/>
            <w:noWrap w:val="false"/>
          </w:tcPr>
          <w:p>
            <w:pPr>
              <w:jc w:val="center"/>
              <w:spacing w:before="120" w:after="120" w:line="280" w:lineRule="exact"/>
              <w:rPr>
                <w:color w:val="000000"/>
                <w:sz w:val="18"/>
                <w:szCs w:val="18"/>
              </w:rPr>
            </w:pPr>
            <w:r>
              <w:rPr>
                <w:color w:val="000000"/>
                <w:sz w:val="18"/>
                <w:szCs w:val="18"/>
              </w:rPr>
            </w:r>
            <w:r/>
          </w:p>
        </w:tc>
      </w:tr>
      <w:tr>
        <w:trPr>
          <w:jc w:val="center"/>
          <w:trHeight w:val="510"/>
        </w:trPr>
        <w:tc>
          <w:tcPr>
            <w:shd w:val="clear" w:color="auto" w:fill="auto"/>
            <w:tcW w:w="658" w:type="pct"/>
            <w:vAlign w:val="center"/>
            <w:textDirection w:val="lrTb"/>
            <w:noWrap w:val="false"/>
          </w:tcPr>
          <w:p>
            <w:pPr>
              <w:jc w:val="center"/>
              <w:spacing w:before="120" w:after="120" w:line="280" w:lineRule="exact"/>
              <w:rPr>
                <w:color w:val="000000"/>
                <w:sz w:val="18"/>
                <w:szCs w:val="18"/>
              </w:rPr>
            </w:pPr>
            <w:r>
              <w:rPr>
                <w:rFonts w:hint="eastAsia"/>
                <w:color w:val="000000"/>
                <w:sz w:val="18"/>
                <w:szCs w:val="18"/>
              </w:rPr>
              <w:t xml:space="preserve">38</w:t>
            </w:r>
            <w:r/>
          </w:p>
        </w:tc>
        <w:tc>
          <w:tcPr>
            <w:shd w:val="clear" w:color="auto" w:fill="auto"/>
            <w:tcW w:w="1142" w:type="pct"/>
            <w:vAlign w:val="center"/>
            <w:textDirection w:val="lrTb"/>
            <w:noWrap w:val="false"/>
          </w:tcPr>
          <w:p>
            <w:pPr>
              <w:jc w:val="center"/>
              <w:spacing w:line="280" w:lineRule="exact"/>
              <w:widowControl/>
              <w:rPr>
                <w:color w:val="000000"/>
                <w:sz w:val="18"/>
                <w:szCs w:val="18"/>
              </w:rPr>
            </w:pPr>
            <w:r>
              <w:rPr>
                <w:rFonts w:hint="eastAsia"/>
                <w:color w:val="000000"/>
                <w:sz w:val="18"/>
                <w:szCs w:val="18"/>
                <w:lang w:bidi="ar"/>
              </w:rPr>
              <w:t xml:space="preserve">领夹话筒配套咪线</w:t>
            </w:r>
            <w:r/>
          </w:p>
        </w:tc>
        <w:tc>
          <w:tcPr>
            <w:shd w:val="clear" w:color="auto" w:fill="auto"/>
            <w:tcW w:w="2082"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rPr>
              <w:t xml:space="preserve">湖山、锐丰、京邦</w:t>
            </w:r>
            <w:r/>
          </w:p>
        </w:tc>
        <w:tc>
          <w:tcPr>
            <w:tcW w:w="1118" w:type="pct"/>
            <w:textDirection w:val="lrTb"/>
            <w:noWrap w:val="false"/>
          </w:tcPr>
          <w:p>
            <w:pPr>
              <w:jc w:val="center"/>
              <w:spacing w:before="120" w:after="120" w:line="280" w:lineRule="exact"/>
              <w:rPr>
                <w:color w:val="000000"/>
                <w:sz w:val="18"/>
                <w:szCs w:val="18"/>
              </w:rPr>
            </w:pPr>
            <w:r>
              <w:rPr>
                <w:color w:val="000000"/>
                <w:sz w:val="18"/>
                <w:szCs w:val="18"/>
              </w:rPr>
            </w:r>
            <w:r/>
          </w:p>
        </w:tc>
      </w:tr>
      <w:tr>
        <w:trPr>
          <w:jc w:val="center"/>
          <w:trHeight w:val="510"/>
        </w:trPr>
        <w:tc>
          <w:tcPr>
            <w:shd w:val="clear" w:color="auto" w:fill="auto"/>
            <w:tcW w:w="658" w:type="pct"/>
            <w:vAlign w:val="center"/>
            <w:textDirection w:val="lrTb"/>
            <w:noWrap w:val="false"/>
          </w:tcPr>
          <w:p>
            <w:pPr>
              <w:jc w:val="center"/>
              <w:spacing w:before="120" w:after="120" w:line="280" w:lineRule="exact"/>
              <w:rPr>
                <w:color w:val="000000"/>
                <w:sz w:val="18"/>
                <w:szCs w:val="18"/>
              </w:rPr>
            </w:pPr>
            <w:r>
              <w:rPr>
                <w:rFonts w:hint="eastAsia"/>
                <w:color w:val="000000"/>
                <w:sz w:val="18"/>
                <w:szCs w:val="18"/>
              </w:rPr>
              <w:t xml:space="preserve">39</w:t>
            </w:r>
            <w:r/>
          </w:p>
        </w:tc>
        <w:tc>
          <w:tcPr>
            <w:shd w:val="clear" w:color="auto" w:fill="auto"/>
            <w:tcW w:w="1142" w:type="pct"/>
            <w:vAlign w:val="center"/>
            <w:textDirection w:val="lrTb"/>
            <w:noWrap w:val="false"/>
          </w:tcPr>
          <w:p>
            <w:pPr>
              <w:jc w:val="center"/>
              <w:spacing w:line="280" w:lineRule="exact"/>
              <w:widowControl/>
              <w:rPr>
                <w:color w:val="000000"/>
                <w:sz w:val="18"/>
                <w:szCs w:val="18"/>
              </w:rPr>
            </w:pPr>
            <w:r>
              <w:rPr>
                <w:rFonts w:hint="eastAsia"/>
                <w:color w:val="000000"/>
                <w:sz w:val="18"/>
                <w:szCs w:val="18"/>
                <w:lang w:bidi="ar"/>
              </w:rPr>
              <w:t xml:space="preserve">天线分配器</w:t>
            </w:r>
            <w:r/>
          </w:p>
        </w:tc>
        <w:tc>
          <w:tcPr>
            <w:shd w:val="clear" w:color="auto" w:fill="auto"/>
            <w:tcW w:w="2082"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rPr>
              <w:t xml:space="preserve">湖山、锐丰、京邦</w:t>
            </w:r>
            <w:r/>
          </w:p>
        </w:tc>
        <w:tc>
          <w:tcPr>
            <w:tcW w:w="1118" w:type="pct"/>
            <w:textDirection w:val="lrTb"/>
            <w:noWrap w:val="false"/>
          </w:tcPr>
          <w:p>
            <w:pPr>
              <w:jc w:val="center"/>
              <w:spacing w:before="120" w:after="120" w:line="280" w:lineRule="exact"/>
              <w:rPr>
                <w:color w:val="000000"/>
                <w:sz w:val="18"/>
                <w:szCs w:val="18"/>
              </w:rPr>
            </w:pPr>
            <w:r>
              <w:rPr>
                <w:color w:val="000000"/>
                <w:sz w:val="18"/>
                <w:szCs w:val="18"/>
              </w:rPr>
            </w:r>
            <w:r/>
          </w:p>
        </w:tc>
      </w:tr>
      <w:tr>
        <w:trPr>
          <w:jc w:val="center"/>
          <w:trHeight w:val="510"/>
        </w:trPr>
        <w:tc>
          <w:tcPr>
            <w:shd w:val="clear" w:color="auto" w:fill="auto"/>
            <w:tcW w:w="658" w:type="pct"/>
            <w:vAlign w:val="center"/>
            <w:textDirection w:val="lrTb"/>
            <w:noWrap w:val="false"/>
          </w:tcPr>
          <w:p>
            <w:pPr>
              <w:jc w:val="center"/>
              <w:spacing w:before="120" w:after="120" w:line="280" w:lineRule="exact"/>
              <w:rPr>
                <w:color w:val="000000"/>
                <w:sz w:val="18"/>
                <w:szCs w:val="18"/>
              </w:rPr>
            </w:pPr>
            <w:r>
              <w:rPr>
                <w:rFonts w:hint="eastAsia"/>
                <w:color w:val="000000"/>
                <w:sz w:val="18"/>
                <w:szCs w:val="18"/>
              </w:rPr>
              <w:t xml:space="preserve">40</w:t>
            </w:r>
            <w:r/>
          </w:p>
        </w:tc>
        <w:tc>
          <w:tcPr>
            <w:shd w:val="clear" w:color="auto" w:fill="auto"/>
            <w:tcW w:w="1142" w:type="pct"/>
            <w:vAlign w:val="center"/>
            <w:textDirection w:val="lrTb"/>
            <w:noWrap w:val="false"/>
          </w:tcPr>
          <w:p>
            <w:pPr>
              <w:jc w:val="center"/>
              <w:spacing w:line="280" w:lineRule="exact"/>
              <w:widowControl/>
              <w:rPr>
                <w:color w:val="000000"/>
                <w:sz w:val="18"/>
                <w:szCs w:val="18"/>
              </w:rPr>
            </w:pPr>
            <w:r>
              <w:rPr>
                <w:rFonts w:hint="eastAsia"/>
                <w:color w:val="000000"/>
                <w:sz w:val="18"/>
                <w:szCs w:val="18"/>
                <w:lang w:bidi="ar"/>
              </w:rPr>
              <w:t xml:space="preserve">有源对数周期天线</w:t>
            </w:r>
            <w:r/>
          </w:p>
        </w:tc>
        <w:tc>
          <w:tcPr>
            <w:shd w:val="clear" w:color="auto" w:fill="auto"/>
            <w:tcW w:w="2082"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rPr>
              <w:t xml:space="preserve">湖山、锐丰、京邦</w:t>
            </w:r>
            <w:r/>
          </w:p>
        </w:tc>
        <w:tc>
          <w:tcPr>
            <w:tcW w:w="1118" w:type="pct"/>
            <w:textDirection w:val="lrTb"/>
            <w:noWrap w:val="false"/>
          </w:tcPr>
          <w:p>
            <w:pPr>
              <w:jc w:val="center"/>
              <w:spacing w:before="120" w:after="120" w:line="280" w:lineRule="exact"/>
              <w:rPr>
                <w:color w:val="000000"/>
                <w:sz w:val="18"/>
                <w:szCs w:val="18"/>
              </w:rPr>
            </w:pPr>
            <w:r>
              <w:rPr>
                <w:color w:val="000000"/>
                <w:sz w:val="18"/>
                <w:szCs w:val="18"/>
              </w:rPr>
            </w:r>
            <w:r/>
          </w:p>
        </w:tc>
      </w:tr>
      <w:tr>
        <w:trPr>
          <w:jc w:val="center"/>
          <w:trHeight w:val="510"/>
        </w:trPr>
        <w:tc>
          <w:tcPr>
            <w:shd w:val="clear" w:color="auto" w:fill="auto"/>
            <w:tcW w:w="658" w:type="pct"/>
            <w:vAlign w:val="center"/>
            <w:textDirection w:val="lrTb"/>
            <w:noWrap w:val="false"/>
          </w:tcPr>
          <w:p>
            <w:pPr>
              <w:jc w:val="center"/>
              <w:spacing w:before="120" w:after="120" w:line="280" w:lineRule="exact"/>
              <w:rPr>
                <w:color w:val="000000"/>
                <w:sz w:val="18"/>
                <w:szCs w:val="18"/>
              </w:rPr>
            </w:pPr>
            <w:r>
              <w:rPr>
                <w:rFonts w:hint="eastAsia"/>
                <w:color w:val="000000"/>
                <w:sz w:val="18"/>
                <w:szCs w:val="18"/>
              </w:rPr>
              <w:t xml:space="preserve">41</w:t>
            </w:r>
            <w:r/>
          </w:p>
        </w:tc>
        <w:tc>
          <w:tcPr>
            <w:shd w:val="clear" w:color="auto" w:fill="auto"/>
            <w:tcW w:w="1142"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无线发言系统主机</w:t>
            </w:r>
            <w:r/>
          </w:p>
        </w:tc>
        <w:tc>
          <w:tcPr>
            <w:shd w:val="clear" w:color="auto" w:fill="auto"/>
            <w:tcW w:w="2082"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rPr>
              <w:t xml:space="preserve">湖山、锐丰、京邦</w:t>
            </w:r>
            <w:r/>
          </w:p>
        </w:tc>
        <w:tc>
          <w:tcPr>
            <w:tcW w:w="1118" w:type="pct"/>
            <w:textDirection w:val="lrTb"/>
            <w:noWrap w:val="false"/>
          </w:tcPr>
          <w:p>
            <w:pPr>
              <w:jc w:val="center"/>
              <w:spacing w:before="120" w:after="120" w:line="280" w:lineRule="exact"/>
              <w:rPr>
                <w:color w:val="000000"/>
                <w:sz w:val="18"/>
                <w:szCs w:val="18"/>
              </w:rPr>
            </w:pPr>
            <w:r>
              <w:rPr>
                <w:color w:val="000000"/>
                <w:sz w:val="18"/>
                <w:szCs w:val="18"/>
              </w:rPr>
            </w:r>
            <w:r/>
          </w:p>
        </w:tc>
      </w:tr>
      <w:tr>
        <w:trPr>
          <w:jc w:val="center"/>
          <w:trHeight w:val="510"/>
        </w:trPr>
        <w:tc>
          <w:tcPr>
            <w:shd w:val="clear" w:color="auto" w:fill="auto"/>
            <w:tcW w:w="658" w:type="pct"/>
            <w:vAlign w:val="center"/>
            <w:textDirection w:val="lrTb"/>
            <w:noWrap w:val="false"/>
          </w:tcPr>
          <w:p>
            <w:pPr>
              <w:jc w:val="center"/>
              <w:spacing w:before="120" w:after="120" w:line="280" w:lineRule="exact"/>
              <w:rPr>
                <w:color w:val="000000"/>
                <w:sz w:val="18"/>
                <w:szCs w:val="18"/>
              </w:rPr>
            </w:pPr>
            <w:r>
              <w:rPr>
                <w:rFonts w:hint="eastAsia"/>
                <w:color w:val="000000"/>
                <w:sz w:val="18"/>
                <w:szCs w:val="18"/>
              </w:rPr>
              <w:t xml:space="preserve">42</w:t>
            </w:r>
            <w:r/>
          </w:p>
        </w:tc>
        <w:tc>
          <w:tcPr>
            <w:shd w:val="clear" w:color="auto" w:fill="auto"/>
            <w:tcW w:w="1142"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无线发言话筒主单元</w:t>
            </w:r>
            <w:r/>
          </w:p>
        </w:tc>
        <w:tc>
          <w:tcPr>
            <w:shd w:val="clear" w:color="auto" w:fill="auto"/>
            <w:tcW w:w="2082"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rPr>
              <w:t xml:space="preserve">湖山、锐丰、京邦</w:t>
            </w:r>
            <w:r/>
          </w:p>
        </w:tc>
        <w:tc>
          <w:tcPr>
            <w:tcW w:w="1118" w:type="pct"/>
            <w:textDirection w:val="lrTb"/>
            <w:noWrap w:val="false"/>
          </w:tcPr>
          <w:p>
            <w:pPr>
              <w:jc w:val="center"/>
              <w:spacing w:before="120" w:after="120" w:line="280" w:lineRule="exact"/>
              <w:rPr>
                <w:color w:val="000000"/>
                <w:sz w:val="18"/>
                <w:szCs w:val="18"/>
              </w:rPr>
            </w:pPr>
            <w:r>
              <w:rPr>
                <w:color w:val="000000"/>
                <w:sz w:val="18"/>
                <w:szCs w:val="18"/>
              </w:rPr>
            </w:r>
            <w:r/>
          </w:p>
        </w:tc>
      </w:tr>
      <w:tr>
        <w:trPr>
          <w:jc w:val="center"/>
          <w:trHeight w:val="510"/>
        </w:trPr>
        <w:tc>
          <w:tcPr>
            <w:shd w:val="clear" w:color="auto" w:fill="auto"/>
            <w:tcW w:w="658" w:type="pct"/>
            <w:vAlign w:val="center"/>
            <w:textDirection w:val="lrTb"/>
            <w:noWrap w:val="false"/>
          </w:tcPr>
          <w:p>
            <w:pPr>
              <w:jc w:val="center"/>
              <w:spacing w:before="120" w:after="120" w:line="280" w:lineRule="exact"/>
              <w:rPr>
                <w:color w:val="000000"/>
                <w:sz w:val="18"/>
                <w:szCs w:val="18"/>
              </w:rPr>
            </w:pPr>
            <w:r>
              <w:rPr>
                <w:rFonts w:hint="eastAsia"/>
                <w:color w:val="000000"/>
                <w:sz w:val="18"/>
                <w:szCs w:val="18"/>
              </w:rPr>
              <w:t xml:space="preserve">43</w:t>
            </w:r>
            <w:r/>
          </w:p>
        </w:tc>
        <w:tc>
          <w:tcPr>
            <w:shd w:val="clear" w:color="auto" w:fill="auto"/>
            <w:tcW w:w="1142"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无线发言话筒代表单元</w:t>
            </w:r>
            <w:r/>
          </w:p>
        </w:tc>
        <w:tc>
          <w:tcPr>
            <w:shd w:val="clear" w:color="auto" w:fill="auto"/>
            <w:tcW w:w="2082"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rPr>
              <w:t xml:space="preserve">湖山、锐丰、京邦</w:t>
            </w:r>
            <w:r/>
          </w:p>
        </w:tc>
        <w:tc>
          <w:tcPr>
            <w:tcW w:w="1118" w:type="pct"/>
            <w:textDirection w:val="lrTb"/>
            <w:noWrap w:val="false"/>
          </w:tcPr>
          <w:p>
            <w:pPr>
              <w:jc w:val="center"/>
              <w:spacing w:before="120" w:after="120" w:line="280" w:lineRule="exact"/>
              <w:rPr>
                <w:color w:val="000000"/>
                <w:sz w:val="18"/>
                <w:szCs w:val="18"/>
              </w:rPr>
            </w:pPr>
            <w:r>
              <w:rPr>
                <w:color w:val="000000"/>
                <w:sz w:val="18"/>
                <w:szCs w:val="18"/>
              </w:rPr>
            </w:r>
            <w:r/>
          </w:p>
        </w:tc>
      </w:tr>
      <w:tr>
        <w:trPr>
          <w:jc w:val="center"/>
          <w:trHeight w:val="510"/>
        </w:trPr>
        <w:tc>
          <w:tcPr>
            <w:shd w:val="clear" w:color="auto" w:fill="auto"/>
            <w:tcW w:w="658" w:type="pct"/>
            <w:vAlign w:val="center"/>
            <w:textDirection w:val="lrTb"/>
            <w:noWrap w:val="false"/>
          </w:tcPr>
          <w:p>
            <w:pPr>
              <w:jc w:val="center"/>
              <w:spacing w:before="120" w:after="120" w:line="280" w:lineRule="exact"/>
              <w:rPr>
                <w:color w:val="000000"/>
                <w:sz w:val="18"/>
                <w:szCs w:val="18"/>
              </w:rPr>
            </w:pPr>
            <w:r>
              <w:rPr>
                <w:rFonts w:hint="eastAsia"/>
                <w:color w:val="000000"/>
                <w:sz w:val="18"/>
                <w:szCs w:val="18"/>
              </w:rPr>
              <w:t xml:space="preserve">44</w:t>
            </w:r>
            <w:r/>
          </w:p>
        </w:tc>
        <w:tc>
          <w:tcPr>
            <w:shd w:val="clear" w:color="auto" w:fill="auto"/>
            <w:tcW w:w="1142"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小振膜麦克风</w:t>
            </w:r>
            <w:r/>
          </w:p>
        </w:tc>
        <w:tc>
          <w:tcPr>
            <w:shd w:val="clear" w:color="auto" w:fill="auto"/>
            <w:tcW w:w="2082"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rPr>
              <w:t xml:space="preserve">湖山、锐丰、京邦</w:t>
            </w:r>
            <w:r/>
          </w:p>
        </w:tc>
        <w:tc>
          <w:tcPr>
            <w:tcW w:w="1118" w:type="pct"/>
            <w:textDirection w:val="lrTb"/>
            <w:noWrap w:val="false"/>
          </w:tcPr>
          <w:p>
            <w:pPr>
              <w:jc w:val="center"/>
              <w:spacing w:before="120" w:after="120" w:line="280" w:lineRule="exact"/>
              <w:rPr>
                <w:color w:val="000000"/>
                <w:sz w:val="18"/>
                <w:szCs w:val="18"/>
              </w:rPr>
            </w:pPr>
            <w:r>
              <w:rPr>
                <w:color w:val="000000"/>
                <w:sz w:val="18"/>
                <w:szCs w:val="18"/>
              </w:rPr>
            </w:r>
            <w:r/>
          </w:p>
        </w:tc>
      </w:tr>
      <w:tr>
        <w:trPr>
          <w:jc w:val="center"/>
          <w:trHeight w:val="510"/>
        </w:trPr>
        <w:tc>
          <w:tcPr>
            <w:shd w:val="clear" w:color="auto" w:fill="auto"/>
            <w:tcW w:w="658" w:type="pct"/>
            <w:vAlign w:val="center"/>
            <w:textDirection w:val="lrTb"/>
            <w:noWrap w:val="false"/>
          </w:tcPr>
          <w:p>
            <w:pPr>
              <w:jc w:val="center"/>
              <w:spacing w:before="120" w:after="120" w:line="280" w:lineRule="exact"/>
              <w:rPr>
                <w:color w:val="000000"/>
                <w:sz w:val="18"/>
                <w:szCs w:val="18"/>
              </w:rPr>
            </w:pPr>
            <w:r>
              <w:rPr>
                <w:rFonts w:hint="eastAsia"/>
                <w:color w:val="000000"/>
                <w:sz w:val="18"/>
                <w:szCs w:val="18"/>
              </w:rPr>
              <w:t xml:space="preserve">45</w:t>
            </w:r>
            <w:r/>
          </w:p>
        </w:tc>
        <w:tc>
          <w:tcPr>
            <w:shd w:val="clear" w:color="auto" w:fill="auto"/>
            <w:tcW w:w="1142"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有线双管麦克风</w:t>
            </w:r>
            <w:r/>
          </w:p>
        </w:tc>
        <w:tc>
          <w:tcPr>
            <w:shd w:val="clear" w:color="auto" w:fill="auto"/>
            <w:tcW w:w="2082"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rPr>
              <w:t xml:space="preserve">湖山、锐丰、京邦</w:t>
            </w:r>
            <w:r/>
          </w:p>
        </w:tc>
        <w:tc>
          <w:tcPr>
            <w:tcW w:w="1118" w:type="pct"/>
            <w:textDirection w:val="lrTb"/>
            <w:noWrap w:val="false"/>
          </w:tcPr>
          <w:p>
            <w:pPr>
              <w:jc w:val="center"/>
              <w:spacing w:before="120" w:after="120" w:line="280" w:lineRule="exact"/>
              <w:rPr>
                <w:color w:val="000000"/>
                <w:sz w:val="18"/>
                <w:szCs w:val="18"/>
              </w:rPr>
            </w:pPr>
            <w:r>
              <w:rPr>
                <w:color w:val="000000"/>
                <w:sz w:val="18"/>
                <w:szCs w:val="18"/>
              </w:rPr>
            </w:r>
            <w:r/>
          </w:p>
        </w:tc>
      </w:tr>
      <w:tr>
        <w:trPr>
          <w:jc w:val="center"/>
          <w:trHeight w:val="510"/>
        </w:trPr>
        <w:tc>
          <w:tcPr>
            <w:shd w:val="clear" w:color="auto" w:fill="auto"/>
            <w:tcW w:w="658" w:type="pct"/>
            <w:vAlign w:val="center"/>
            <w:textDirection w:val="lrTb"/>
            <w:noWrap w:val="false"/>
          </w:tcPr>
          <w:p>
            <w:pPr>
              <w:jc w:val="center"/>
              <w:spacing w:before="120" w:after="120" w:line="280" w:lineRule="exact"/>
              <w:rPr>
                <w:color w:val="000000"/>
                <w:sz w:val="18"/>
                <w:szCs w:val="18"/>
              </w:rPr>
            </w:pPr>
            <w:r>
              <w:rPr>
                <w:rFonts w:hint="eastAsia"/>
                <w:color w:val="000000"/>
                <w:sz w:val="18"/>
                <w:szCs w:val="18"/>
              </w:rPr>
              <w:t xml:space="preserve">46</w:t>
            </w:r>
            <w:r/>
          </w:p>
        </w:tc>
        <w:tc>
          <w:tcPr>
            <w:shd w:val="clear" w:color="auto" w:fill="auto"/>
            <w:tcW w:w="1142"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专业音箱C</w:t>
            </w:r>
            <w:r/>
          </w:p>
        </w:tc>
        <w:tc>
          <w:tcPr>
            <w:shd w:val="clear" w:color="auto" w:fill="auto"/>
            <w:tcW w:w="2082"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rPr>
              <w:t xml:space="preserve">湖山、锐丰、京邦</w:t>
            </w:r>
            <w:r/>
          </w:p>
        </w:tc>
        <w:tc>
          <w:tcPr>
            <w:tcW w:w="1118" w:type="pct"/>
            <w:textDirection w:val="lrTb"/>
            <w:noWrap w:val="false"/>
          </w:tcPr>
          <w:p>
            <w:pPr>
              <w:jc w:val="center"/>
              <w:spacing w:before="120" w:after="120" w:line="280" w:lineRule="exact"/>
              <w:rPr>
                <w:color w:val="000000"/>
                <w:sz w:val="18"/>
                <w:szCs w:val="18"/>
              </w:rPr>
            </w:pPr>
            <w:r>
              <w:rPr>
                <w:color w:val="000000"/>
                <w:sz w:val="18"/>
                <w:szCs w:val="18"/>
              </w:rPr>
            </w:r>
            <w:r/>
          </w:p>
        </w:tc>
      </w:tr>
      <w:tr>
        <w:trPr>
          <w:jc w:val="center"/>
          <w:trHeight w:val="510"/>
        </w:trPr>
        <w:tc>
          <w:tcPr>
            <w:shd w:val="clear" w:color="auto" w:fill="auto"/>
            <w:tcW w:w="658" w:type="pct"/>
            <w:vAlign w:val="center"/>
            <w:textDirection w:val="lrTb"/>
            <w:noWrap w:val="false"/>
          </w:tcPr>
          <w:p>
            <w:pPr>
              <w:jc w:val="center"/>
              <w:spacing w:before="120" w:after="120" w:line="280" w:lineRule="exact"/>
              <w:rPr>
                <w:color w:val="000000"/>
                <w:sz w:val="18"/>
                <w:szCs w:val="18"/>
              </w:rPr>
            </w:pPr>
            <w:r>
              <w:rPr>
                <w:rFonts w:hint="eastAsia"/>
                <w:color w:val="000000"/>
                <w:sz w:val="18"/>
                <w:szCs w:val="18"/>
              </w:rPr>
              <w:t xml:space="preserve">47</w:t>
            </w:r>
            <w:r/>
          </w:p>
        </w:tc>
        <w:tc>
          <w:tcPr>
            <w:shd w:val="clear" w:color="auto" w:fill="auto"/>
            <w:tcW w:w="1142"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功率放大器C</w:t>
            </w:r>
            <w:r/>
          </w:p>
        </w:tc>
        <w:tc>
          <w:tcPr>
            <w:shd w:val="clear" w:color="auto" w:fill="auto"/>
            <w:tcW w:w="2082"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rPr>
              <w:t xml:space="preserve">湖山、锐丰、京邦</w:t>
            </w:r>
            <w:r/>
          </w:p>
        </w:tc>
        <w:tc>
          <w:tcPr>
            <w:tcW w:w="1118" w:type="pct"/>
            <w:textDirection w:val="lrTb"/>
            <w:noWrap w:val="false"/>
          </w:tcPr>
          <w:p>
            <w:pPr>
              <w:jc w:val="center"/>
              <w:spacing w:before="120" w:after="120" w:line="280" w:lineRule="exact"/>
              <w:rPr>
                <w:color w:val="000000"/>
                <w:sz w:val="18"/>
                <w:szCs w:val="18"/>
              </w:rPr>
            </w:pPr>
            <w:r>
              <w:rPr>
                <w:color w:val="000000"/>
                <w:sz w:val="18"/>
                <w:szCs w:val="18"/>
              </w:rPr>
            </w:r>
            <w:r/>
          </w:p>
        </w:tc>
      </w:tr>
      <w:tr>
        <w:trPr>
          <w:jc w:val="center"/>
          <w:trHeight w:val="510"/>
        </w:trPr>
        <w:tc>
          <w:tcPr>
            <w:shd w:val="clear" w:color="auto" w:fill="auto"/>
            <w:tcW w:w="658" w:type="pct"/>
            <w:vAlign w:val="center"/>
            <w:textDirection w:val="lrTb"/>
            <w:noWrap w:val="false"/>
          </w:tcPr>
          <w:p>
            <w:pPr>
              <w:jc w:val="center"/>
              <w:spacing w:before="120" w:after="120" w:line="280" w:lineRule="exact"/>
              <w:rPr>
                <w:color w:val="000000"/>
                <w:sz w:val="18"/>
                <w:szCs w:val="18"/>
              </w:rPr>
            </w:pPr>
            <w:r>
              <w:rPr>
                <w:rFonts w:hint="eastAsia"/>
                <w:color w:val="000000"/>
                <w:sz w:val="18"/>
                <w:szCs w:val="18"/>
              </w:rPr>
              <w:t xml:space="preserve">48</w:t>
            </w:r>
            <w:r/>
          </w:p>
        </w:tc>
        <w:tc>
          <w:tcPr>
            <w:shd w:val="clear" w:color="auto" w:fill="auto"/>
            <w:tcW w:w="1142"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数字效果器</w:t>
            </w:r>
            <w:r/>
          </w:p>
        </w:tc>
        <w:tc>
          <w:tcPr>
            <w:shd w:val="clear" w:color="auto" w:fill="auto"/>
            <w:tcW w:w="2082"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rPr>
              <w:t xml:space="preserve">湖山、锐丰、京邦</w:t>
            </w:r>
            <w:r/>
          </w:p>
        </w:tc>
        <w:tc>
          <w:tcPr>
            <w:tcW w:w="1118" w:type="pct"/>
            <w:textDirection w:val="lrTb"/>
            <w:noWrap w:val="false"/>
          </w:tcPr>
          <w:p>
            <w:pPr>
              <w:jc w:val="center"/>
              <w:spacing w:before="120" w:after="120" w:line="280" w:lineRule="exact"/>
              <w:rPr>
                <w:color w:val="000000"/>
                <w:sz w:val="18"/>
                <w:szCs w:val="18"/>
              </w:rPr>
            </w:pPr>
            <w:r>
              <w:rPr>
                <w:color w:val="000000"/>
                <w:sz w:val="18"/>
                <w:szCs w:val="18"/>
              </w:rPr>
            </w:r>
            <w:r/>
          </w:p>
        </w:tc>
      </w:tr>
      <w:tr>
        <w:trPr>
          <w:jc w:val="center"/>
          <w:trHeight w:val="510"/>
        </w:trPr>
        <w:tc>
          <w:tcPr>
            <w:shd w:val="clear" w:color="auto" w:fill="auto"/>
            <w:tcW w:w="658" w:type="pct"/>
            <w:vAlign w:val="center"/>
            <w:textDirection w:val="lrTb"/>
            <w:noWrap w:val="false"/>
          </w:tcPr>
          <w:p>
            <w:pPr>
              <w:jc w:val="center"/>
              <w:spacing w:before="120" w:after="120" w:line="280" w:lineRule="exact"/>
              <w:rPr>
                <w:color w:val="000000"/>
                <w:sz w:val="18"/>
                <w:szCs w:val="18"/>
              </w:rPr>
            </w:pPr>
            <w:r>
              <w:rPr>
                <w:rFonts w:hint="eastAsia"/>
                <w:color w:val="000000"/>
                <w:sz w:val="18"/>
                <w:szCs w:val="18"/>
              </w:rPr>
              <w:t xml:space="preserve">49</w:t>
            </w:r>
            <w:r/>
          </w:p>
        </w:tc>
        <w:tc>
          <w:tcPr>
            <w:shd w:val="clear" w:color="auto" w:fill="auto"/>
            <w:tcW w:w="1142"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智慧音频处理终端</w:t>
            </w:r>
            <w:r/>
          </w:p>
        </w:tc>
        <w:tc>
          <w:tcPr>
            <w:shd w:val="clear" w:color="auto" w:fill="auto"/>
            <w:tcW w:w="2082"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rPr>
              <w:t xml:space="preserve">湖山、锐丰、京邦</w:t>
            </w:r>
            <w:r/>
          </w:p>
        </w:tc>
        <w:tc>
          <w:tcPr>
            <w:tcW w:w="1118" w:type="pct"/>
            <w:textDirection w:val="lrTb"/>
            <w:noWrap w:val="false"/>
          </w:tcPr>
          <w:p>
            <w:pPr>
              <w:jc w:val="center"/>
              <w:spacing w:before="120" w:after="120" w:line="280" w:lineRule="exact"/>
              <w:rPr>
                <w:color w:val="000000"/>
                <w:sz w:val="18"/>
                <w:szCs w:val="18"/>
              </w:rPr>
            </w:pPr>
            <w:r>
              <w:rPr>
                <w:color w:val="000000"/>
                <w:sz w:val="18"/>
                <w:szCs w:val="18"/>
              </w:rPr>
            </w:r>
            <w:r/>
          </w:p>
        </w:tc>
      </w:tr>
      <w:tr>
        <w:trPr>
          <w:jc w:val="center"/>
          <w:trHeight w:val="510"/>
        </w:trPr>
        <w:tc>
          <w:tcPr>
            <w:shd w:val="clear" w:color="auto" w:fill="auto"/>
            <w:tcW w:w="658" w:type="pct"/>
            <w:vAlign w:val="center"/>
            <w:textDirection w:val="lrTb"/>
            <w:noWrap w:val="false"/>
          </w:tcPr>
          <w:p>
            <w:pPr>
              <w:jc w:val="center"/>
              <w:spacing w:before="120" w:after="120" w:line="280" w:lineRule="exact"/>
              <w:rPr>
                <w:color w:val="000000"/>
                <w:sz w:val="18"/>
                <w:szCs w:val="18"/>
              </w:rPr>
            </w:pPr>
            <w:r>
              <w:rPr>
                <w:rFonts w:hint="eastAsia"/>
                <w:color w:val="000000"/>
                <w:sz w:val="18"/>
                <w:szCs w:val="18"/>
              </w:rPr>
              <w:t xml:space="preserve">50</w:t>
            </w:r>
            <w:r/>
          </w:p>
        </w:tc>
        <w:tc>
          <w:tcPr>
            <w:shd w:val="clear" w:color="auto" w:fill="auto"/>
            <w:tcW w:w="1142"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无线双手持话筒</w:t>
            </w:r>
            <w:r/>
          </w:p>
        </w:tc>
        <w:tc>
          <w:tcPr>
            <w:shd w:val="clear" w:color="auto" w:fill="auto"/>
            <w:tcW w:w="2082"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rPr>
              <w:t xml:space="preserve">湖山、锐丰、京邦</w:t>
            </w:r>
            <w:r/>
          </w:p>
        </w:tc>
        <w:tc>
          <w:tcPr>
            <w:tcW w:w="1118" w:type="pct"/>
            <w:textDirection w:val="lrTb"/>
            <w:noWrap w:val="false"/>
          </w:tcPr>
          <w:p>
            <w:pPr>
              <w:jc w:val="center"/>
              <w:spacing w:before="120" w:after="120" w:line="280" w:lineRule="exact"/>
              <w:rPr>
                <w:color w:val="000000"/>
                <w:sz w:val="18"/>
                <w:szCs w:val="18"/>
              </w:rPr>
            </w:pPr>
            <w:r>
              <w:rPr>
                <w:color w:val="000000"/>
                <w:sz w:val="18"/>
                <w:szCs w:val="18"/>
              </w:rPr>
            </w:r>
            <w:r/>
          </w:p>
        </w:tc>
      </w:tr>
      <w:tr>
        <w:trPr>
          <w:jc w:val="center"/>
          <w:trHeight w:val="510"/>
        </w:trPr>
        <w:tc>
          <w:tcPr>
            <w:shd w:val="clear" w:color="auto" w:fill="auto"/>
            <w:tcW w:w="658" w:type="pct"/>
            <w:vAlign w:val="center"/>
            <w:textDirection w:val="lrTb"/>
            <w:noWrap w:val="false"/>
          </w:tcPr>
          <w:p>
            <w:pPr>
              <w:jc w:val="center"/>
              <w:spacing w:before="120" w:after="120" w:line="280" w:lineRule="exact"/>
              <w:rPr>
                <w:color w:val="000000"/>
                <w:sz w:val="18"/>
                <w:szCs w:val="18"/>
              </w:rPr>
            </w:pPr>
            <w:r>
              <w:rPr>
                <w:rFonts w:hint="eastAsia"/>
                <w:color w:val="000000"/>
                <w:sz w:val="18"/>
                <w:szCs w:val="18"/>
              </w:rPr>
              <w:t xml:space="preserve">51</w:t>
            </w:r>
            <w:r/>
          </w:p>
        </w:tc>
        <w:tc>
          <w:tcPr>
            <w:shd w:val="clear" w:color="auto" w:fill="auto"/>
            <w:tcW w:w="1142"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调音台</w:t>
            </w:r>
            <w:r/>
          </w:p>
        </w:tc>
        <w:tc>
          <w:tcPr>
            <w:shd w:val="clear" w:color="auto" w:fill="auto"/>
            <w:tcW w:w="2082"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rPr>
              <w:t xml:space="preserve">湖山、锐丰、京邦</w:t>
            </w:r>
            <w:r/>
          </w:p>
        </w:tc>
        <w:tc>
          <w:tcPr>
            <w:tcW w:w="1118" w:type="pct"/>
            <w:textDirection w:val="lrTb"/>
            <w:noWrap w:val="false"/>
          </w:tcPr>
          <w:p>
            <w:pPr>
              <w:jc w:val="center"/>
              <w:spacing w:before="120" w:after="120" w:line="280" w:lineRule="exact"/>
              <w:rPr>
                <w:color w:val="000000"/>
                <w:sz w:val="18"/>
                <w:szCs w:val="18"/>
              </w:rPr>
            </w:pPr>
            <w:r>
              <w:rPr>
                <w:color w:val="000000"/>
                <w:sz w:val="18"/>
                <w:szCs w:val="18"/>
              </w:rPr>
            </w:r>
            <w:r/>
          </w:p>
        </w:tc>
      </w:tr>
      <w:tr>
        <w:trPr>
          <w:jc w:val="center"/>
          <w:trHeight w:val="510"/>
        </w:trPr>
        <w:tc>
          <w:tcPr>
            <w:shd w:val="clear" w:color="auto" w:fill="auto"/>
            <w:tcW w:w="658" w:type="pct"/>
            <w:vAlign w:val="center"/>
            <w:textDirection w:val="lrTb"/>
            <w:noWrap w:val="false"/>
          </w:tcPr>
          <w:p>
            <w:pPr>
              <w:jc w:val="center"/>
              <w:spacing w:before="120" w:after="120" w:line="280" w:lineRule="exact"/>
              <w:rPr>
                <w:color w:val="000000"/>
                <w:sz w:val="18"/>
                <w:szCs w:val="18"/>
              </w:rPr>
            </w:pPr>
            <w:r>
              <w:rPr>
                <w:rFonts w:hint="eastAsia"/>
                <w:color w:val="000000"/>
                <w:sz w:val="18"/>
                <w:szCs w:val="18"/>
              </w:rPr>
              <w:t xml:space="preserve">52</w:t>
            </w:r>
            <w:r/>
          </w:p>
        </w:tc>
        <w:tc>
          <w:tcPr>
            <w:shd w:val="clear" w:color="auto" w:fill="auto"/>
            <w:tcW w:w="1142"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有源监听音箱</w:t>
            </w:r>
            <w:r/>
          </w:p>
        </w:tc>
        <w:tc>
          <w:tcPr>
            <w:shd w:val="clear" w:color="auto" w:fill="auto"/>
            <w:tcW w:w="2082"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rPr>
              <w:t xml:space="preserve">湖山、锐丰、京邦</w:t>
            </w:r>
            <w:r/>
          </w:p>
        </w:tc>
        <w:tc>
          <w:tcPr>
            <w:tcW w:w="1118" w:type="pct"/>
            <w:textDirection w:val="lrTb"/>
            <w:noWrap w:val="false"/>
          </w:tcPr>
          <w:p>
            <w:pPr>
              <w:jc w:val="center"/>
              <w:spacing w:before="120" w:after="120" w:line="280" w:lineRule="exact"/>
              <w:rPr>
                <w:color w:val="000000"/>
                <w:sz w:val="18"/>
                <w:szCs w:val="18"/>
              </w:rPr>
            </w:pPr>
            <w:r>
              <w:rPr>
                <w:color w:val="000000"/>
                <w:sz w:val="18"/>
                <w:szCs w:val="18"/>
              </w:rPr>
            </w:r>
            <w:r/>
          </w:p>
        </w:tc>
      </w:tr>
      <w:tr>
        <w:trPr>
          <w:jc w:val="center"/>
          <w:trHeight w:val="510"/>
        </w:trPr>
        <w:tc>
          <w:tcPr>
            <w:shd w:val="clear" w:color="auto" w:fill="auto"/>
            <w:tcW w:w="658"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lang w:val="en-US"/>
              </w:rPr>
              <w:t xml:space="preserve">53</w:t>
            </w:r>
            <w:r/>
          </w:p>
        </w:tc>
        <w:tc>
          <w:tcPr>
            <w:shd w:val="clear" w:color="auto" w:fill="auto"/>
            <w:tcW w:w="1142"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中控主机</w:t>
            </w:r>
            <w:r/>
          </w:p>
        </w:tc>
        <w:tc>
          <w:tcPr>
            <w:shd w:val="clear" w:color="auto" w:fill="auto"/>
            <w:tcW w:w="2082"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rPr>
              <w:t xml:space="preserve">湖山、锐丰、京邦</w:t>
            </w:r>
            <w:r/>
          </w:p>
        </w:tc>
        <w:tc>
          <w:tcPr>
            <w:tcW w:w="1118" w:type="pct"/>
            <w:textDirection w:val="lrTb"/>
            <w:noWrap w:val="false"/>
          </w:tcPr>
          <w:p>
            <w:pPr>
              <w:jc w:val="center"/>
              <w:spacing w:before="120" w:after="120" w:line="280" w:lineRule="exact"/>
              <w:rPr>
                <w:color w:val="000000"/>
                <w:sz w:val="18"/>
                <w:szCs w:val="18"/>
              </w:rPr>
            </w:pPr>
            <w:r>
              <w:rPr>
                <w:color w:val="000000"/>
                <w:sz w:val="18"/>
                <w:szCs w:val="18"/>
              </w:rPr>
            </w:r>
            <w:r/>
          </w:p>
        </w:tc>
      </w:tr>
      <w:tr>
        <w:trPr>
          <w:jc w:val="center"/>
          <w:trHeight w:val="510"/>
        </w:trPr>
        <w:tc>
          <w:tcPr>
            <w:shd w:val="clear" w:color="auto" w:fill="auto"/>
            <w:tcW w:w="658"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lang w:val="en-US"/>
              </w:rPr>
              <w:t xml:space="preserve">54</w:t>
            </w:r>
            <w:r/>
          </w:p>
        </w:tc>
        <w:tc>
          <w:tcPr>
            <w:shd w:val="clear" w:color="auto" w:fill="auto"/>
            <w:tcW w:w="1142"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控制软件</w:t>
            </w:r>
            <w:r/>
          </w:p>
        </w:tc>
        <w:tc>
          <w:tcPr>
            <w:shd w:val="clear" w:color="auto" w:fill="auto"/>
            <w:tcW w:w="2082"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rPr>
              <w:t xml:space="preserve">湖山、锐丰、京邦</w:t>
            </w:r>
            <w:r/>
          </w:p>
        </w:tc>
        <w:tc>
          <w:tcPr>
            <w:tcW w:w="1118" w:type="pct"/>
            <w:textDirection w:val="lrTb"/>
            <w:noWrap w:val="false"/>
          </w:tcPr>
          <w:p>
            <w:pPr>
              <w:jc w:val="center"/>
              <w:spacing w:before="120" w:after="120" w:line="280" w:lineRule="exact"/>
              <w:rPr>
                <w:color w:val="000000"/>
                <w:sz w:val="18"/>
                <w:szCs w:val="18"/>
              </w:rPr>
            </w:pPr>
            <w:r>
              <w:rPr>
                <w:color w:val="000000"/>
                <w:sz w:val="18"/>
                <w:szCs w:val="18"/>
              </w:rPr>
            </w:r>
            <w:r/>
          </w:p>
        </w:tc>
      </w:tr>
      <w:tr>
        <w:trPr>
          <w:jc w:val="center"/>
          <w:trHeight w:val="510"/>
        </w:trPr>
        <w:tc>
          <w:tcPr>
            <w:shd w:val="clear" w:color="auto" w:fill="auto"/>
            <w:tcW w:w="658"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lang w:val="en-US"/>
              </w:rPr>
              <w:t xml:space="preserve">55</w:t>
            </w:r>
            <w:r/>
          </w:p>
        </w:tc>
        <w:tc>
          <w:tcPr>
            <w:shd w:val="clear" w:color="auto" w:fill="auto"/>
            <w:tcW w:w="1142"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信号实时处理主机</w:t>
            </w:r>
            <w:r/>
          </w:p>
        </w:tc>
        <w:tc>
          <w:tcPr>
            <w:shd w:val="clear" w:color="auto" w:fill="auto"/>
            <w:tcW w:w="2082"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rPr>
              <w:t xml:space="preserve">湖山、锐丰、京邦</w:t>
            </w:r>
            <w:r/>
          </w:p>
        </w:tc>
        <w:tc>
          <w:tcPr>
            <w:tcW w:w="1118" w:type="pct"/>
            <w:textDirection w:val="lrTb"/>
            <w:noWrap w:val="false"/>
          </w:tcPr>
          <w:p>
            <w:pPr>
              <w:jc w:val="center"/>
              <w:spacing w:before="120" w:after="120" w:line="280" w:lineRule="exact"/>
              <w:rPr>
                <w:color w:val="000000"/>
                <w:sz w:val="18"/>
                <w:szCs w:val="18"/>
              </w:rPr>
            </w:pPr>
            <w:r>
              <w:rPr>
                <w:color w:val="000000"/>
                <w:sz w:val="18"/>
                <w:szCs w:val="18"/>
              </w:rPr>
            </w:r>
            <w:r/>
          </w:p>
        </w:tc>
      </w:tr>
      <w:tr>
        <w:trPr>
          <w:jc w:val="center"/>
          <w:trHeight w:val="510"/>
        </w:trPr>
        <w:tc>
          <w:tcPr>
            <w:shd w:val="clear" w:color="auto" w:fill="auto"/>
            <w:tcW w:w="658"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lang w:val="en-US"/>
              </w:rPr>
              <w:t xml:space="preserve">56</w:t>
            </w:r>
            <w:r/>
          </w:p>
        </w:tc>
        <w:tc>
          <w:tcPr>
            <w:shd w:val="clear" w:color="auto" w:fill="auto"/>
            <w:tcW w:w="1142"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有线控制屏</w:t>
            </w:r>
            <w:r/>
          </w:p>
        </w:tc>
        <w:tc>
          <w:tcPr>
            <w:shd w:val="clear" w:color="auto" w:fill="auto"/>
            <w:tcW w:w="2082"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rPr>
              <w:t xml:space="preserve">湖山、锐丰、京邦</w:t>
            </w:r>
            <w:r/>
          </w:p>
        </w:tc>
        <w:tc>
          <w:tcPr>
            <w:tcW w:w="1118" w:type="pct"/>
            <w:textDirection w:val="lrTb"/>
            <w:noWrap w:val="false"/>
          </w:tcPr>
          <w:p>
            <w:pPr>
              <w:jc w:val="center"/>
              <w:spacing w:before="120" w:after="120" w:line="280" w:lineRule="exact"/>
              <w:rPr>
                <w:color w:val="000000"/>
                <w:sz w:val="18"/>
                <w:szCs w:val="18"/>
              </w:rPr>
            </w:pPr>
            <w:r>
              <w:rPr>
                <w:color w:val="000000"/>
                <w:sz w:val="18"/>
                <w:szCs w:val="18"/>
              </w:rPr>
            </w:r>
            <w:r/>
          </w:p>
        </w:tc>
      </w:tr>
      <w:tr>
        <w:trPr>
          <w:jc w:val="center"/>
          <w:trHeight w:val="510"/>
        </w:trPr>
        <w:tc>
          <w:tcPr>
            <w:shd w:val="clear" w:color="auto" w:fill="auto"/>
            <w:tcW w:w="658"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lang w:val="en-US"/>
              </w:rPr>
              <w:t xml:space="preserve">57</w:t>
            </w:r>
            <w:r/>
          </w:p>
        </w:tc>
        <w:tc>
          <w:tcPr>
            <w:shd w:val="clear" w:color="auto" w:fill="auto"/>
            <w:tcW w:w="1142"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无线控制屏</w:t>
            </w:r>
            <w:r/>
          </w:p>
        </w:tc>
        <w:tc>
          <w:tcPr>
            <w:shd w:val="clear" w:color="auto" w:fill="auto"/>
            <w:tcW w:w="2082" w:type="pct"/>
            <w:vAlign w:val="center"/>
            <w:textDirection w:val="lrTb"/>
            <w:noWrap w:val="false"/>
          </w:tcPr>
          <w:p>
            <w:pPr>
              <w:jc w:val="center"/>
              <w:spacing w:before="120" w:after="120" w:line="280" w:lineRule="exact"/>
              <w:rPr>
                <w:color w:val="000000"/>
                <w:sz w:val="18"/>
                <w:szCs w:val="18"/>
                <w:lang w:val="en-US"/>
              </w:rPr>
            </w:pPr>
            <w:r>
              <w:rPr>
                <w:rFonts w:hint="eastAsia"/>
                <w:sz w:val="18"/>
                <w:szCs w:val="18"/>
              </w:rPr>
              <w:t xml:space="preserve">华为</w:t>
            </w:r>
            <w:r>
              <w:rPr>
                <w:rFonts w:hint="eastAsia"/>
                <w:color w:val="000000"/>
                <w:sz w:val="18"/>
                <w:szCs w:val="18"/>
              </w:rPr>
              <w:t xml:space="preserve">、</w:t>
            </w:r>
            <w:r>
              <w:rPr>
                <w:rFonts w:hint="eastAsia"/>
                <w:sz w:val="18"/>
                <w:szCs w:val="18"/>
              </w:rPr>
              <w:t xml:space="preserve">联想</w:t>
            </w:r>
            <w:r>
              <w:rPr>
                <w:rFonts w:hint="eastAsia"/>
                <w:color w:val="000000"/>
                <w:sz w:val="18"/>
                <w:szCs w:val="18"/>
              </w:rPr>
              <w:t xml:space="preserve">、</w:t>
            </w:r>
            <w:r>
              <w:rPr>
                <w:rFonts w:hint="eastAsia"/>
                <w:sz w:val="18"/>
                <w:szCs w:val="18"/>
              </w:rPr>
              <w:t xml:space="preserve">荣耀</w:t>
            </w:r>
            <w:r/>
          </w:p>
        </w:tc>
        <w:tc>
          <w:tcPr>
            <w:tcW w:w="1118" w:type="pct"/>
            <w:textDirection w:val="lrTb"/>
            <w:noWrap w:val="false"/>
          </w:tcPr>
          <w:p>
            <w:pPr>
              <w:jc w:val="center"/>
              <w:spacing w:before="120" w:after="120" w:line="280" w:lineRule="exact"/>
              <w:rPr>
                <w:sz w:val="18"/>
                <w:szCs w:val="18"/>
              </w:rPr>
            </w:pPr>
            <w:r>
              <w:rPr>
                <w:sz w:val="18"/>
                <w:szCs w:val="18"/>
              </w:rPr>
            </w:r>
            <w:r/>
          </w:p>
        </w:tc>
      </w:tr>
      <w:tr>
        <w:trPr>
          <w:jc w:val="center"/>
          <w:trHeight w:val="510"/>
        </w:trPr>
        <w:tc>
          <w:tcPr>
            <w:shd w:val="clear" w:color="auto" w:fill="auto"/>
            <w:tcW w:w="658"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lang w:val="en-US"/>
              </w:rPr>
              <w:t xml:space="preserve">58</w:t>
            </w:r>
            <w:r/>
          </w:p>
        </w:tc>
        <w:tc>
          <w:tcPr>
            <w:shd w:val="clear" w:color="auto" w:fill="auto"/>
            <w:tcW w:w="1142"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交换机</w:t>
            </w:r>
            <w:r/>
          </w:p>
        </w:tc>
        <w:tc>
          <w:tcPr>
            <w:shd w:val="clear" w:color="auto" w:fill="auto"/>
            <w:tcW w:w="2082" w:type="pct"/>
            <w:vAlign w:val="center"/>
            <w:textDirection w:val="lrTb"/>
            <w:noWrap w:val="false"/>
          </w:tcPr>
          <w:p>
            <w:pPr>
              <w:jc w:val="center"/>
              <w:spacing w:before="120" w:after="120" w:line="280" w:lineRule="exact"/>
              <w:rPr>
                <w:color w:val="000000"/>
                <w:sz w:val="18"/>
                <w:szCs w:val="18"/>
                <w:lang w:val="en-US"/>
              </w:rPr>
            </w:pPr>
            <w:r>
              <w:rPr>
                <w:rFonts w:hint="eastAsia"/>
                <w:sz w:val="18"/>
                <w:szCs w:val="18"/>
              </w:rPr>
              <w:t xml:space="preserve">华为</w:t>
            </w:r>
            <w:r>
              <w:rPr>
                <w:rFonts w:hint="eastAsia"/>
                <w:color w:val="000000"/>
                <w:sz w:val="18"/>
                <w:szCs w:val="18"/>
              </w:rPr>
              <w:t xml:space="preserve">、</w:t>
            </w:r>
            <w:r>
              <w:rPr>
                <w:rFonts w:hint="eastAsia"/>
                <w:sz w:val="18"/>
                <w:szCs w:val="18"/>
              </w:rPr>
              <w:t xml:space="preserve">华三</w:t>
            </w:r>
            <w:r>
              <w:rPr>
                <w:rFonts w:hint="eastAsia"/>
                <w:color w:val="000000"/>
                <w:sz w:val="18"/>
                <w:szCs w:val="18"/>
              </w:rPr>
              <w:t xml:space="preserve">、</w:t>
            </w:r>
            <w:r>
              <w:rPr>
                <w:rFonts w:hint="eastAsia"/>
                <w:sz w:val="18"/>
                <w:szCs w:val="18"/>
              </w:rPr>
              <w:t xml:space="preserve">锐捷</w:t>
            </w:r>
            <w:r/>
          </w:p>
        </w:tc>
        <w:tc>
          <w:tcPr>
            <w:tcW w:w="1118" w:type="pct"/>
            <w:textDirection w:val="lrTb"/>
            <w:noWrap w:val="false"/>
          </w:tcPr>
          <w:p>
            <w:pPr>
              <w:jc w:val="center"/>
              <w:spacing w:before="120" w:after="120" w:line="280" w:lineRule="exact"/>
              <w:rPr>
                <w:sz w:val="18"/>
                <w:szCs w:val="18"/>
              </w:rPr>
            </w:pPr>
            <w:r>
              <w:rPr>
                <w:sz w:val="18"/>
                <w:szCs w:val="18"/>
              </w:rPr>
            </w:r>
            <w:r/>
          </w:p>
        </w:tc>
      </w:tr>
      <w:tr>
        <w:trPr>
          <w:jc w:val="center"/>
          <w:trHeight w:val="510"/>
        </w:trPr>
        <w:tc>
          <w:tcPr>
            <w:shd w:val="clear" w:color="auto" w:fill="auto"/>
            <w:tcW w:w="658"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lang w:val="en-US"/>
              </w:rPr>
              <w:t xml:space="preserve">59</w:t>
            </w:r>
            <w:r/>
          </w:p>
        </w:tc>
        <w:tc>
          <w:tcPr>
            <w:shd w:val="clear" w:color="auto" w:fill="auto"/>
            <w:tcW w:w="1142"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无线路由器</w:t>
            </w:r>
            <w:r/>
          </w:p>
        </w:tc>
        <w:tc>
          <w:tcPr>
            <w:shd w:val="clear" w:color="auto" w:fill="auto"/>
            <w:tcW w:w="2082" w:type="pct"/>
            <w:vAlign w:val="center"/>
            <w:textDirection w:val="lrTb"/>
            <w:noWrap w:val="false"/>
          </w:tcPr>
          <w:p>
            <w:pPr>
              <w:jc w:val="center"/>
              <w:spacing w:before="120" w:after="120" w:line="280" w:lineRule="exact"/>
              <w:rPr>
                <w:color w:val="000000"/>
                <w:sz w:val="18"/>
                <w:szCs w:val="18"/>
                <w:lang w:val="en-US"/>
              </w:rPr>
            </w:pPr>
            <w:r>
              <w:rPr>
                <w:rFonts w:hint="eastAsia"/>
                <w:sz w:val="18"/>
                <w:szCs w:val="18"/>
              </w:rPr>
              <w:t xml:space="preserve">华为</w:t>
            </w:r>
            <w:r>
              <w:rPr>
                <w:rFonts w:hint="eastAsia"/>
                <w:color w:val="000000"/>
                <w:sz w:val="18"/>
                <w:szCs w:val="18"/>
              </w:rPr>
              <w:t xml:space="preserve">、</w:t>
            </w:r>
            <w:r>
              <w:rPr>
                <w:rFonts w:hint="eastAsia"/>
                <w:sz w:val="18"/>
                <w:szCs w:val="18"/>
              </w:rPr>
              <w:t xml:space="preserve">华三</w:t>
            </w:r>
            <w:r>
              <w:rPr>
                <w:rFonts w:hint="eastAsia"/>
                <w:color w:val="000000"/>
                <w:sz w:val="18"/>
                <w:szCs w:val="18"/>
              </w:rPr>
              <w:t xml:space="preserve">、</w:t>
            </w:r>
            <w:r>
              <w:rPr>
                <w:rFonts w:hint="eastAsia"/>
                <w:sz w:val="18"/>
                <w:szCs w:val="18"/>
              </w:rPr>
              <w:t xml:space="preserve">锐捷</w:t>
            </w:r>
            <w:r/>
          </w:p>
        </w:tc>
        <w:tc>
          <w:tcPr>
            <w:tcW w:w="1118" w:type="pct"/>
            <w:textDirection w:val="lrTb"/>
            <w:noWrap w:val="false"/>
          </w:tcPr>
          <w:p>
            <w:pPr>
              <w:jc w:val="center"/>
              <w:spacing w:before="120" w:after="120" w:line="280" w:lineRule="exact"/>
              <w:rPr>
                <w:sz w:val="18"/>
                <w:szCs w:val="18"/>
              </w:rPr>
            </w:pPr>
            <w:r>
              <w:rPr>
                <w:sz w:val="18"/>
                <w:szCs w:val="18"/>
              </w:rPr>
            </w:r>
            <w:r/>
          </w:p>
        </w:tc>
      </w:tr>
      <w:tr>
        <w:trPr>
          <w:jc w:val="center"/>
          <w:trHeight w:val="510"/>
        </w:trPr>
        <w:tc>
          <w:tcPr>
            <w:shd w:val="clear" w:color="auto" w:fill="auto"/>
            <w:tcW w:w="658"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lang w:val="en-US"/>
              </w:rPr>
              <w:t xml:space="preserve">60</w:t>
            </w:r>
            <w:r/>
          </w:p>
        </w:tc>
        <w:tc>
          <w:tcPr>
            <w:shd w:val="clear" w:color="auto" w:fill="auto"/>
            <w:tcW w:w="1142"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电源时序器A</w:t>
            </w:r>
            <w:r/>
          </w:p>
        </w:tc>
        <w:tc>
          <w:tcPr>
            <w:shd w:val="clear" w:color="auto" w:fill="auto"/>
            <w:tcW w:w="2082"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rPr>
              <w:t xml:space="preserve">湖山、锐丰、京邦</w:t>
            </w:r>
            <w:r/>
          </w:p>
        </w:tc>
        <w:tc>
          <w:tcPr>
            <w:tcW w:w="1118" w:type="pct"/>
            <w:textDirection w:val="lrTb"/>
            <w:noWrap w:val="false"/>
          </w:tcPr>
          <w:p>
            <w:pPr>
              <w:jc w:val="center"/>
              <w:spacing w:before="120" w:after="120" w:line="280" w:lineRule="exact"/>
              <w:rPr>
                <w:color w:val="000000"/>
                <w:sz w:val="18"/>
                <w:szCs w:val="18"/>
              </w:rPr>
            </w:pPr>
            <w:r>
              <w:rPr>
                <w:color w:val="000000"/>
                <w:sz w:val="18"/>
                <w:szCs w:val="18"/>
              </w:rPr>
            </w:r>
            <w:r/>
          </w:p>
        </w:tc>
      </w:tr>
      <w:tr>
        <w:trPr>
          <w:jc w:val="center"/>
          <w:trHeight w:val="510"/>
        </w:trPr>
        <w:tc>
          <w:tcPr>
            <w:shd w:val="clear" w:color="auto" w:fill="auto"/>
            <w:tcW w:w="658"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lang w:val="en-US"/>
              </w:rPr>
              <w:t xml:space="preserve">61</w:t>
            </w:r>
            <w:r/>
          </w:p>
        </w:tc>
        <w:tc>
          <w:tcPr>
            <w:shd w:val="clear" w:color="auto" w:fill="auto"/>
            <w:tcW w:w="1142"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电源时序器B</w:t>
            </w:r>
            <w:r/>
          </w:p>
        </w:tc>
        <w:tc>
          <w:tcPr>
            <w:shd w:val="clear" w:color="auto" w:fill="auto"/>
            <w:tcW w:w="2082"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rPr>
              <w:t xml:space="preserve">湖山、锐丰、京邦</w:t>
            </w:r>
            <w:r/>
          </w:p>
        </w:tc>
        <w:tc>
          <w:tcPr>
            <w:tcW w:w="1118" w:type="pct"/>
            <w:textDirection w:val="lrTb"/>
            <w:noWrap w:val="false"/>
          </w:tcPr>
          <w:p>
            <w:pPr>
              <w:jc w:val="center"/>
              <w:spacing w:before="120" w:after="120" w:line="280" w:lineRule="exact"/>
              <w:rPr>
                <w:color w:val="000000"/>
                <w:sz w:val="18"/>
                <w:szCs w:val="18"/>
              </w:rPr>
            </w:pPr>
            <w:r>
              <w:rPr>
                <w:color w:val="000000"/>
                <w:sz w:val="18"/>
                <w:szCs w:val="18"/>
              </w:rPr>
            </w:r>
            <w:r/>
          </w:p>
        </w:tc>
      </w:tr>
      <w:tr>
        <w:trPr>
          <w:jc w:val="center"/>
          <w:trHeight w:val="510"/>
        </w:trPr>
        <w:tc>
          <w:tcPr>
            <w:shd w:val="clear" w:color="auto" w:fill="auto"/>
            <w:tcW w:w="658"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lang w:val="en-US"/>
              </w:rPr>
              <w:t xml:space="preserve">62</w:t>
            </w:r>
            <w:r/>
          </w:p>
        </w:tc>
        <w:tc>
          <w:tcPr>
            <w:shd w:val="clear" w:color="auto" w:fill="auto"/>
            <w:tcW w:w="1142"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LED聚光灯</w:t>
            </w:r>
            <w:r/>
          </w:p>
        </w:tc>
        <w:tc>
          <w:tcPr>
            <w:shd w:val="clear" w:color="auto" w:fill="auto"/>
            <w:tcW w:w="2082"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rPr>
              <w:t xml:space="preserve">湖山、益尨、京邦</w:t>
            </w:r>
            <w:r/>
          </w:p>
        </w:tc>
        <w:tc>
          <w:tcPr>
            <w:tcW w:w="1118" w:type="pct"/>
            <w:textDirection w:val="lrTb"/>
            <w:noWrap w:val="false"/>
          </w:tcPr>
          <w:p>
            <w:pPr>
              <w:jc w:val="center"/>
              <w:spacing w:before="120" w:after="120" w:line="280" w:lineRule="exact"/>
              <w:rPr>
                <w:color w:val="000000"/>
                <w:sz w:val="18"/>
                <w:szCs w:val="18"/>
              </w:rPr>
            </w:pPr>
            <w:r>
              <w:rPr>
                <w:color w:val="000000"/>
                <w:sz w:val="18"/>
                <w:szCs w:val="18"/>
              </w:rPr>
            </w:r>
            <w:r/>
          </w:p>
        </w:tc>
      </w:tr>
      <w:tr>
        <w:trPr>
          <w:jc w:val="center"/>
          <w:trHeight w:val="510"/>
        </w:trPr>
        <w:tc>
          <w:tcPr>
            <w:shd w:val="clear" w:color="auto" w:fill="auto"/>
            <w:tcW w:w="658"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lang w:val="en-US"/>
              </w:rPr>
              <w:t xml:space="preserve">63</w:t>
            </w:r>
            <w:r/>
          </w:p>
        </w:tc>
        <w:tc>
          <w:tcPr>
            <w:shd w:val="clear" w:color="auto" w:fill="auto"/>
            <w:tcW w:w="1142"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LED平板柔光灯</w:t>
            </w:r>
            <w:r/>
          </w:p>
        </w:tc>
        <w:tc>
          <w:tcPr>
            <w:shd w:val="clear" w:color="auto" w:fill="auto"/>
            <w:tcW w:w="2082"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rPr>
              <w:t xml:space="preserve">湖山、益尨、京邦</w:t>
            </w:r>
            <w:r/>
          </w:p>
        </w:tc>
        <w:tc>
          <w:tcPr>
            <w:tcW w:w="1118" w:type="pct"/>
            <w:textDirection w:val="lrTb"/>
            <w:noWrap w:val="false"/>
          </w:tcPr>
          <w:p>
            <w:pPr>
              <w:jc w:val="center"/>
              <w:spacing w:before="120" w:after="120" w:line="280" w:lineRule="exact"/>
              <w:rPr>
                <w:color w:val="000000"/>
                <w:sz w:val="18"/>
                <w:szCs w:val="18"/>
              </w:rPr>
            </w:pPr>
            <w:r>
              <w:rPr>
                <w:color w:val="000000"/>
                <w:sz w:val="18"/>
                <w:szCs w:val="18"/>
              </w:rPr>
            </w:r>
            <w:r/>
          </w:p>
        </w:tc>
      </w:tr>
      <w:tr>
        <w:trPr>
          <w:jc w:val="center"/>
          <w:trHeight w:val="510"/>
        </w:trPr>
        <w:tc>
          <w:tcPr>
            <w:shd w:val="clear" w:color="auto" w:fill="auto"/>
            <w:tcW w:w="658"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lang w:val="en-US"/>
              </w:rPr>
              <w:t xml:space="preserve">64</w:t>
            </w:r>
            <w:r/>
          </w:p>
        </w:tc>
        <w:tc>
          <w:tcPr>
            <w:shd w:val="clear" w:color="auto" w:fill="auto"/>
            <w:tcW w:w="1142"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数字调光台</w:t>
            </w:r>
            <w:r/>
          </w:p>
        </w:tc>
        <w:tc>
          <w:tcPr>
            <w:shd w:val="clear" w:color="auto" w:fill="auto"/>
            <w:tcW w:w="2082"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rPr>
              <w:t xml:space="preserve">湖山、益尨、京邦</w:t>
            </w:r>
            <w:r/>
          </w:p>
        </w:tc>
        <w:tc>
          <w:tcPr>
            <w:tcW w:w="1118" w:type="pct"/>
            <w:textDirection w:val="lrTb"/>
            <w:noWrap w:val="false"/>
          </w:tcPr>
          <w:p>
            <w:pPr>
              <w:jc w:val="center"/>
              <w:spacing w:before="120" w:after="120" w:line="280" w:lineRule="exact"/>
              <w:rPr>
                <w:color w:val="000000"/>
                <w:sz w:val="18"/>
                <w:szCs w:val="18"/>
              </w:rPr>
            </w:pPr>
            <w:r>
              <w:rPr>
                <w:color w:val="000000"/>
                <w:sz w:val="18"/>
                <w:szCs w:val="18"/>
              </w:rPr>
            </w:r>
            <w:r/>
          </w:p>
        </w:tc>
      </w:tr>
      <w:tr>
        <w:trPr>
          <w:jc w:val="center"/>
          <w:trHeight w:val="510"/>
        </w:trPr>
        <w:tc>
          <w:tcPr>
            <w:shd w:val="clear" w:color="auto" w:fill="auto"/>
            <w:tcW w:w="658"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lang w:val="en-US"/>
              </w:rPr>
              <w:t xml:space="preserve">65</w:t>
            </w:r>
            <w:r/>
          </w:p>
        </w:tc>
        <w:tc>
          <w:tcPr>
            <w:shd w:val="clear" w:color="auto" w:fill="auto"/>
            <w:tcW w:w="1142"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8路放大器</w:t>
            </w:r>
            <w:r/>
          </w:p>
        </w:tc>
        <w:tc>
          <w:tcPr>
            <w:shd w:val="clear" w:color="auto" w:fill="auto"/>
            <w:tcW w:w="2082"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rPr>
              <w:t xml:space="preserve">湖山、益尨、京邦</w:t>
            </w:r>
            <w:r/>
          </w:p>
        </w:tc>
        <w:tc>
          <w:tcPr>
            <w:tcW w:w="1118" w:type="pct"/>
            <w:textDirection w:val="lrTb"/>
            <w:noWrap w:val="false"/>
          </w:tcPr>
          <w:p>
            <w:pPr>
              <w:jc w:val="center"/>
              <w:spacing w:before="120" w:after="120" w:line="280" w:lineRule="exact"/>
              <w:rPr>
                <w:color w:val="000000"/>
                <w:sz w:val="18"/>
                <w:szCs w:val="18"/>
              </w:rPr>
            </w:pPr>
            <w:r>
              <w:rPr>
                <w:color w:val="000000"/>
                <w:sz w:val="18"/>
                <w:szCs w:val="18"/>
              </w:rPr>
            </w:r>
            <w:r/>
          </w:p>
        </w:tc>
      </w:tr>
      <w:tr>
        <w:trPr>
          <w:jc w:val="center"/>
          <w:trHeight w:val="510"/>
        </w:trPr>
        <w:tc>
          <w:tcPr>
            <w:shd w:val="clear" w:color="auto" w:fill="auto"/>
            <w:tcW w:w="658"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lang w:val="en-US"/>
              </w:rPr>
              <w:t xml:space="preserve">66</w:t>
            </w:r>
            <w:r/>
          </w:p>
        </w:tc>
        <w:tc>
          <w:tcPr>
            <w:shd w:val="clear" w:color="auto" w:fill="auto"/>
            <w:tcW w:w="1142"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12路直通柜</w:t>
            </w:r>
            <w:r/>
          </w:p>
        </w:tc>
        <w:tc>
          <w:tcPr>
            <w:shd w:val="clear" w:color="auto" w:fill="auto"/>
            <w:tcW w:w="2082"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rPr>
              <w:t xml:space="preserve">湖山、益尨、京邦</w:t>
            </w:r>
            <w:r/>
          </w:p>
        </w:tc>
        <w:tc>
          <w:tcPr>
            <w:tcW w:w="1118" w:type="pct"/>
            <w:textDirection w:val="lrTb"/>
            <w:noWrap w:val="false"/>
          </w:tcPr>
          <w:p>
            <w:pPr>
              <w:jc w:val="center"/>
              <w:spacing w:before="120" w:after="120" w:line="280" w:lineRule="exact"/>
              <w:rPr>
                <w:color w:val="000000"/>
                <w:sz w:val="18"/>
                <w:szCs w:val="18"/>
              </w:rPr>
            </w:pPr>
            <w:r>
              <w:rPr>
                <w:color w:val="000000"/>
                <w:sz w:val="18"/>
                <w:szCs w:val="18"/>
              </w:rPr>
            </w:r>
            <w:r/>
          </w:p>
        </w:tc>
      </w:tr>
      <w:tr>
        <w:trPr>
          <w:jc w:val="center"/>
          <w:trHeight w:val="510"/>
        </w:trPr>
        <w:tc>
          <w:tcPr>
            <w:shd w:val="clear" w:color="auto" w:fill="auto"/>
            <w:tcW w:w="658"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lang w:val="en-US"/>
              </w:rPr>
              <w:t xml:space="preserve">67</w:t>
            </w:r>
            <w:r/>
          </w:p>
        </w:tc>
        <w:tc>
          <w:tcPr>
            <w:shd w:val="clear" w:color="auto" w:fill="auto"/>
            <w:tcW w:w="1142"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球机摄像机</w:t>
            </w:r>
            <w:r/>
          </w:p>
        </w:tc>
        <w:tc>
          <w:tcPr>
            <w:shd w:val="clear" w:color="auto" w:fill="auto"/>
            <w:tcW w:w="2082"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rPr>
              <w:t xml:space="preserve">海康威视、大华、宇视</w:t>
            </w:r>
            <w:r/>
          </w:p>
        </w:tc>
        <w:tc>
          <w:tcPr>
            <w:tcW w:w="1118" w:type="pct"/>
            <w:textDirection w:val="lrTb"/>
            <w:noWrap w:val="false"/>
          </w:tcPr>
          <w:p>
            <w:pPr>
              <w:jc w:val="center"/>
              <w:spacing w:before="120" w:after="120" w:line="280" w:lineRule="exact"/>
              <w:rPr>
                <w:color w:val="000000"/>
                <w:sz w:val="18"/>
                <w:szCs w:val="18"/>
              </w:rPr>
            </w:pPr>
            <w:r>
              <w:rPr>
                <w:color w:val="000000"/>
                <w:sz w:val="18"/>
                <w:szCs w:val="18"/>
              </w:rPr>
            </w:r>
            <w:r/>
          </w:p>
        </w:tc>
      </w:tr>
      <w:tr>
        <w:trPr>
          <w:jc w:val="center"/>
          <w:trHeight w:val="510"/>
        </w:trPr>
        <w:tc>
          <w:tcPr>
            <w:shd w:val="clear" w:color="auto" w:fill="auto"/>
            <w:tcW w:w="658"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lang w:val="en-US"/>
              </w:rPr>
              <w:t xml:space="preserve">68</w:t>
            </w:r>
            <w:r/>
          </w:p>
        </w:tc>
        <w:tc>
          <w:tcPr>
            <w:shd w:val="clear" w:color="auto" w:fill="auto"/>
            <w:tcW w:w="1142"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枪机摄像机</w:t>
            </w:r>
            <w:r/>
          </w:p>
        </w:tc>
        <w:tc>
          <w:tcPr>
            <w:shd w:val="clear" w:color="auto" w:fill="auto"/>
            <w:tcW w:w="2082"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rPr>
              <w:t xml:space="preserve">海康威视、大华、宇视</w:t>
            </w:r>
            <w:r/>
          </w:p>
        </w:tc>
        <w:tc>
          <w:tcPr>
            <w:tcW w:w="1118" w:type="pct"/>
            <w:textDirection w:val="lrTb"/>
            <w:noWrap w:val="false"/>
          </w:tcPr>
          <w:p>
            <w:pPr>
              <w:jc w:val="center"/>
              <w:spacing w:before="120" w:after="120" w:line="280" w:lineRule="exact"/>
              <w:rPr>
                <w:color w:val="000000"/>
                <w:sz w:val="18"/>
                <w:szCs w:val="18"/>
              </w:rPr>
            </w:pPr>
            <w:r>
              <w:rPr>
                <w:color w:val="000000"/>
                <w:sz w:val="18"/>
                <w:szCs w:val="18"/>
              </w:rPr>
            </w:r>
            <w:r/>
          </w:p>
        </w:tc>
      </w:tr>
      <w:tr>
        <w:trPr>
          <w:jc w:val="center"/>
          <w:trHeight w:val="510"/>
        </w:trPr>
        <w:tc>
          <w:tcPr>
            <w:shd w:val="clear" w:color="auto" w:fill="auto"/>
            <w:tcW w:w="658"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lang w:val="en-US"/>
              </w:rPr>
              <w:t xml:space="preserve">69</w:t>
            </w:r>
            <w:r/>
          </w:p>
        </w:tc>
        <w:tc>
          <w:tcPr>
            <w:shd w:val="clear" w:color="auto" w:fill="auto"/>
            <w:tcW w:w="1142"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硬盘录像机</w:t>
            </w:r>
            <w:r/>
          </w:p>
        </w:tc>
        <w:tc>
          <w:tcPr>
            <w:shd w:val="clear" w:color="auto" w:fill="auto"/>
            <w:tcW w:w="2082"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rPr>
              <w:t xml:space="preserve">海康威视、大华、宇视</w:t>
            </w:r>
            <w:r/>
          </w:p>
        </w:tc>
        <w:tc>
          <w:tcPr>
            <w:tcW w:w="1118" w:type="pct"/>
            <w:textDirection w:val="lrTb"/>
            <w:noWrap w:val="false"/>
          </w:tcPr>
          <w:p>
            <w:pPr>
              <w:jc w:val="center"/>
              <w:spacing w:before="120" w:after="120" w:line="280" w:lineRule="exact"/>
              <w:rPr>
                <w:color w:val="000000"/>
                <w:sz w:val="18"/>
                <w:szCs w:val="18"/>
              </w:rPr>
            </w:pPr>
            <w:r>
              <w:rPr>
                <w:color w:val="000000"/>
                <w:sz w:val="18"/>
                <w:szCs w:val="18"/>
              </w:rPr>
            </w:r>
            <w:r/>
          </w:p>
        </w:tc>
      </w:tr>
      <w:tr>
        <w:trPr>
          <w:jc w:val="center"/>
          <w:trHeight w:val="510"/>
        </w:trPr>
        <w:tc>
          <w:tcPr>
            <w:shd w:val="clear" w:color="auto" w:fill="auto"/>
            <w:tcW w:w="658"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lang w:val="en-US"/>
              </w:rPr>
              <w:t xml:space="preserve">70</w:t>
            </w:r>
            <w:r/>
          </w:p>
        </w:tc>
        <w:tc>
          <w:tcPr>
            <w:shd w:val="clear" w:color="auto" w:fill="auto"/>
            <w:tcW w:w="1142"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变频调速拉幕机</w:t>
            </w:r>
            <w:r/>
          </w:p>
        </w:tc>
        <w:tc>
          <w:tcPr>
            <w:shd w:val="clear" w:color="auto" w:fill="auto"/>
            <w:tcW w:w="2082"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rPr>
              <w:t xml:space="preserve">天安舞台、影星®、春宇</w:t>
            </w:r>
            <w:r/>
          </w:p>
        </w:tc>
        <w:tc>
          <w:tcPr>
            <w:tcW w:w="1118" w:type="pct"/>
            <w:textDirection w:val="lrTb"/>
            <w:noWrap w:val="false"/>
          </w:tcPr>
          <w:p>
            <w:pPr>
              <w:jc w:val="center"/>
              <w:spacing w:before="120" w:after="120" w:line="280" w:lineRule="exact"/>
              <w:rPr>
                <w:color w:val="000000"/>
                <w:sz w:val="18"/>
                <w:szCs w:val="18"/>
              </w:rPr>
            </w:pPr>
            <w:r>
              <w:rPr>
                <w:color w:val="000000"/>
                <w:sz w:val="18"/>
                <w:szCs w:val="18"/>
              </w:rPr>
            </w:r>
            <w:r/>
          </w:p>
        </w:tc>
      </w:tr>
      <w:tr>
        <w:trPr>
          <w:jc w:val="center"/>
          <w:trHeight w:val="510"/>
        </w:trPr>
        <w:tc>
          <w:tcPr>
            <w:shd w:val="clear" w:color="auto" w:fill="auto"/>
            <w:tcW w:w="658"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lang w:val="en-US"/>
              </w:rPr>
              <w:t xml:space="preserve">71</w:t>
            </w:r>
            <w:r/>
          </w:p>
        </w:tc>
        <w:tc>
          <w:tcPr>
            <w:shd w:val="clear" w:color="auto" w:fill="auto"/>
            <w:tcW w:w="1142"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匀速拉幕机</w:t>
            </w:r>
            <w:r/>
          </w:p>
        </w:tc>
        <w:tc>
          <w:tcPr>
            <w:shd w:val="clear" w:color="auto" w:fill="auto"/>
            <w:tcW w:w="2082"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rPr>
              <w:t xml:space="preserve">天安舞台、影星®、春宇</w:t>
            </w:r>
            <w:r/>
          </w:p>
        </w:tc>
        <w:tc>
          <w:tcPr>
            <w:tcW w:w="1118" w:type="pct"/>
            <w:textDirection w:val="lrTb"/>
            <w:noWrap w:val="false"/>
          </w:tcPr>
          <w:p>
            <w:pPr>
              <w:jc w:val="center"/>
              <w:spacing w:before="120" w:after="120" w:line="280" w:lineRule="exact"/>
              <w:rPr>
                <w:color w:val="000000"/>
                <w:sz w:val="18"/>
                <w:szCs w:val="18"/>
              </w:rPr>
            </w:pPr>
            <w:r>
              <w:rPr>
                <w:color w:val="000000"/>
                <w:sz w:val="18"/>
                <w:szCs w:val="18"/>
              </w:rPr>
            </w:r>
            <w:r/>
          </w:p>
        </w:tc>
      </w:tr>
      <w:tr>
        <w:trPr>
          <w:jc w:val="center"/>
          <w:trHeight w:val="510"/>
        </w:trPr>
        <w:tc>
          <w:tcPr>
            <w:shd w:val="clear" w:color="auto" w:fill="auto"/>
            <w:tcW w:w="658"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lang w:val="en-US"/>
              </w:rPr>
              <w:t xml:space="preserve">72</w:t>
            </w:r>
            <w:r/>
          </w:p>
        </w:tc>
        <w:tc>
          <w:tcPr>
            <w:shd w:val="clear" w:color="auto" w:fill="auto"/>
            <w:tcW w:w="1142"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幕布轨道</w:t>
            </w:r>
            <w:r/>
          </w:p>
        </w:tc>
        <w:tc>
          <w:tcPr>
            <w:shd w:val="clear" w:color="auto" w:fill="auto"/>
            <w:tcW w:w="2082"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rPr>
              <w:t xml:space="preserve">天安舞台、影星®、春宇</w:t>
            </w:r>
            <w:r/>
          </w:p>
        </w:tc>
        <w:tc>
          <w:tcPr>
            <w:tcW w:w="1118" w:type="pct"/>
            <w:textDirection w:val="lrTb"/>
            <w:noWrap w:val="false"/>
          </w:tcPr>
          <w:p>
            <w:pPr>
              <w:jc w:val="center"/>
              <w:spacing w:before="120" w:after="120" w:line="280" w:lineRule="exact"/>
              <w:rPr>
                <w:color w:val="000000"/>
                <w:sz w:val="18"/>
                <w:szCs w:val="18"/>
              </w:rPr>
            </w:pPr>
            <w:r>
              <w:rPr>
                <w:color w:val="000000"/>
                <w:sz w:val="18"/>
                <w:szCs w:val="18"/>
              </w:rPr>
            </w:r>
            <w:r/>
          </w:p>
        </w:tc>
      </w:tr>
      <w:tr>
        <w:trPr>
          <w:jc w:val="center"/>
          <w:trHeight w:val="510"/>
        </w:trPr>
        <w:tc>
          <w:tcPr>
            <w:shd w:val="clear" w:color="auto" w:fill="auto"/>
            <w:tcW w:w="658"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lang w:val="en-US"/>
              </w:rPr>
              <w:t xml:space="preserve">73</w:t>
            </w:r>
            <w:r/>
          </w:p>
        </w:tc>
        <w:tc>
          <w:tcPr>
            <w:shd w:val="clear" w:color="auto" w:fill="auto"/>
            <w:tcW w:w="1142"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电动升降幕布吊杆机</w:t>
            </w:r>
            <w:r/>
          </w:p>
        </w:tc>
        <w:tc>
          <w:tcPr>
            <w:shd w:val="clear" w:color="auto" w:fill="auto"/>
            <w:tcW w:w="2082"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rPr>
              <w:t xml:space="preserve">天安舞台、影星®、春宇</w:t>
            </w:r>
            <w:r/>
          </w:p>
        </w:tc>
        <w:tc>
          <w:tcPr>
            <w:tcW w:w="1118" w:type="pct"/>
            <w:textDirection w:val="lrTb"/>
            <w:noWrap w:val="false"/>
          </w:tcPr>
          <w:p>
            <w:pPr>
              <w:jc w:val="center"/>
              <w:spacing w:before="120" w:after="120" w:line="280" w:lineRule="exact"/>
              <w:rPr>
                <w:color w:val="000000"/>
                <w:sz w:val="18"/>
                <w:szCs w:val="18"/>
              </w:rPr>
            </w:pPr>
            <w:r>
              <w:rPr>
                <w:color w:val="000000"/>
                <w:sz w:val="18"/>
                <w:szCs w:val="18"/>
              </w:rPr>
            </w:r>
            <w:r/>
          </w:p>
        </w:tc>
      </w:tr>
      <w:tr>
        <w:trPr>
          <w:jc w:val="center"/>
          <w:trHeight w:val="510"/>
        </w:trPr>
        <w:tc>
          <w:tcPr>
            <w:shd w:val="clear" w:color="auto" w:fill="auto"/>
            <w:tcW w:w="658"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lang w:val="en-US"/>
              </w:rPr>
              <w:t xml:space="preserve">74</w:t>
            </w:r>
            <w:r/>
          </w:p>
        </w:tc>
        <w:tc>
          <w:tcPr>
            <w:shd w:val="clear" w:color="auto" w:fill="auto"/>
            <w:tcW w:w="1142"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电动升降灯光吊杆机</w:t>
            </w:r>
            <w:r/>
          </w:p>
        </w:tc>
        <w:tc>
          <w:tcPr>
            <w:shd w:val="clear" w:color="auto" w:fill="auto"/>
            <w:tcW w:w="2082"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rPr>
              <w:t xml:space="preserve">天安舞台、影星®、春宇</w:t>
            </w:r>
            <w:r/>
          </w:p>
        </w:tc>
        <w:tc>
          <w:tcPr>
            <w:tcW w:w="1118" w:type="pct"/>
            <w:textDirection w:val="lrTb"/>
            <w:noWrap w:val="false"/>
          </w:tcPr>
          <w:p>
            <w:pPr>
              <w:jc w:val="center"/>
              <w:spacing w:before="120" w:after="120" w:line="280" w:lineRule="exact"/>
              <w:rPr>
                <w:color w:val="000000"/>
                <w:sz w:val="18"/>
                <w:szCs w:val="18"/>
              </w:rPr>
            </w:pPr>
            <w:r>
              <w:rPr>
                <w:color w:val="000000"/>
                <w:sz w:val="18"/>
                <w:szCs w:val="18"/>
              </w:rPr>
            </w:r>
            <w:r/>
          </w:p>
        </w:tc>
      </w:tr>
      <w:tr>
        <w:trPr>
          <w:jc w:val="center"/>
          <w:trHeight w:val="510"/>
        </w:trPr>
        <w:tc>
          <w:tcPr>
            <w:shd w:val="clear" w:color="auto" w:fill="auto"/>
            <w:tcW w:w="658"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lang w:val="en-US"/>
              </w:rPr>
              <w:t xml:space="preserve">75</w:t>
            </w:r>
            <w:r/>
          </w:p>
        </w:tc>
        <w:tc>
          <w:tcPr>
            <w:shd w:val="clear" w:color="auto" w:fill="auto"/>
            <w:tcW w:w="1142"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导向滑轮组</w:t>
            </w:r>
            <w:r/>
          </w:p>
        </w:tc>
        <w:tc>
          <w:tcPr>
            <w:shd w:val="clear" w:color="auto" w:fill="auto"/>
            <w:tcW w:w="2082"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rPr>
              <w:t xml:space="preserve">天安舞台、影星®、春宇</w:t>
            </w:r>
            <w:r/>
          </w:p>
        </w:tc>
        <w:tc>
          <w:tcPr>
            <w:tcW w:w="1118" w:type="pct"/>
            <w:textDirection w:val="lrTb"/>
            <w:noWrap w:val="false"/>
          </w:tcPr>
          <w:p>
            <w:pPr>
              <w:jc w:val="center"/>
              <w:spacing w:before="120" w:after="120" w:line="280" w:lineRule="exact"/>
              <w:rPr>
                <w:color w:val="000000"/>
                <w:sz w:val="18"/>
                <w:szCs w:val="18"/>
              </w:rPr>
            </w:pPr>
            <w:r>
              <w:rPr>
                <w:color w:val="000000"/>
                <w:sz w:val="18"/>
                <w:szCs w:val="18"/>
              </w:rPr>
            </w:r>
            <w:r/>
          </w:p>
        </w:tc>
      </w:tr>
      <w:tr>
        <w:trPr>
          <w:jc w:val="center"/>
          <w:trHeight w:val="510"/>
        </w:trPr>
        <w:tc>
          <w:tcPr>
            <w:shd w:val="clear" w:color="auto" w:fill="auto"/>
            <w:tcW w:w="658"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lang w:val="en-US"/>
              </w:rPr>
              <w:t xml:space="preserve">76</w:t>
            </w:r>
            <w:r/>
          </w:p>
        </w:tc>
        <w:tc>
          <w:tcPr>
            <w:shd w:val="clear" w:color="auto" w:fill="auto"/>
            <w:tcW w:w="1142"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灯光吊杆杆体</w:t>
            </w:r>
            <w:r/>
          </w:p>
        </w:tc>
        <w:tc>
          <w:tcPr>
            <w:shd w:val="clear" w:color="auto" w:fill="auto"/>
            <w:tcW w:w="2082"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rPr>
              <w:t xml:space="preserve">天安舞台、影星®、春宇</w:t>
            </w:r>
            <w:r/>
          </w:p>
        </w:tc>
        <w:tc>
          <w:tcPr>
            <w:tcW w:w="1118" w:type="pct"/>
            <w:textDirection w:val="lrTb"/>
            <w:noWrap w:val="false"/>
          </w:tcPr>
          <w:p>
            <w:pPr>
              <w:jc w:val="center"/>
              <w:spacing w:before="120" w:after="120" w:line="280" w:lineRule="exact"/>
              <w:rPr>
                <w:color w:val="000000"/>
                <w:sz w:val="18"/>
                <w:szCs w:val="18"/>
              </w:rPr>
            </w:pPr>
            <w:r>
              <w:rPr>
                <w:color w:val="000000"/>
                <w:sz w:val="18"/>
                <w:szCs w:val="18"/>
              </w:rPr>
            </w:r>
            <w:r/>
          </w:p>
        </w:tc>
      </w:tr>
      <w:tr>
        <w:trPr>
          <w:jc w:val="center"/>
          <w:trHeight w:val="510"/>
        </w:trPr>
        <w:tc>
          <w:tcPr>
            <w:shd w:val="clear" w:color="auto" w:fill="auto"/>
            <w:tcW w:w="658"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lang w:val="en-US"/>
              </w:rPr>
              <w:t xml:space="preserve">77</w:t>
            </w:r>
            <w:r/>
          </w:p>
        </w:tc>
        <w:tc>
          <w:tcPr>
            <w:shd w:val="clear" w:color="auto" w:fill="auto"/>
            <w:tcW w:w="1142"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幕布吊杆杆体</w:t>
            </w:r>
            <w:r/>
          </w:p>
        </w:tc>
        <w:tc>
          <w:tcPr>
            <w:shd w:val="clear" w:color="auto" w:fill="auto"/>
            <w:tcW w:w="2082"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rPr>
              <w:t xml:space="preserve">天安舞台、影星®、春宇</w:t>
            </w:r>
            <w:r/>
          </w:p>
        </w:tc>
        <w:tc>
          <w:tcPr>
            <w:tcW w:w="1118" w:type="pct"/>
            <w:textDirection w:val="lrTb"/>
            <w:noWrap w:val="false"/>
          </w:tcPr>
          <w:p>
            <w:pPr>
              <w:jc w:val="center"/>
              <w:spacing w:before="120" w:after="120" w:line="280" w:lineRule="exact"/>
              <w:rPr>
                <w:color w:val="000000"/>
                <w:sz w:val="18"/>
                <w:szCs w:val="18"/>
              </w:rPr>
            </w:pPr>
            <w:r>
              <w:rPr>
                <w:color w:val="000000"/>
                <w:sz w:val="18"/>
                <w:szCs w:val="18"/>
              </w:rPr>
            </w:r>
            <w:r/>
          </w:p>
        </w:tc>
      </w:tr>
      <w:tr>
        <w:trPr>
          <w:jc w:val="center"/>
          <w:trHeight w:val="510"/>
        </w:trPr>
        <w:tc>
          <w:tcPr>
            <w:shd w:val="clear" w:color="auto" w:fill="auto"/>
            <w:tcW w:w="658"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lang w:val="en-US"/>
              </w:rPr>
              <w:t xml:space="preserve">78</w:t>
            </w:r>
            <w:r/>
          </w:p>
        </w:tc>
        <w:tc>
          <w:tcPr>
            <w:shd w:val="clear" w:color="auto" w:fill="auto"/>
            <w:tcW w:w="1142"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航空用钢丝绳</w:t>
            </w:r>
            <w:r/>
          </w:p>
        </w:tc>
        <w:tc>
          <w:tcPr>
            <w:shd w:val="clear" w:color="auto" w:fill="auto"/>
            <w:tcW w:w="2082"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rPr>
              <w:t xml:space="preserve">天安舞台、法尔胜、狼山</w:t>
            </w:r>
            <w:r/>
          </w:p>
        </w:tc>
        <w:tc>
          <w:tcPr>
            <w:tcW w:w="1118" w:type="pct"/>
            <w:textDirection w:val="lrTb"/>
            <w:noWrap w:val="false"/>
          </w:tcPr>
          <w:p>
            <w:pPr>
              <w:jc w:val="center"/>
              <w:spacing w:before="120" w:after="120" w:line="280" w:lineRule="exact"/>
              <w:rPr>
                <w:color w:val="000000"/>
                <w:sz w:val="18"/>
                <w:szCs w:val="18"/>
              </w:rPr>
            </w:pPr>
            <w:r>
              <w:rPr>
                <w:color w:val="000000"/>
                <w:sz w:val="18"/>
                <w:szCs w:val="18"/>
              </w:rPr>
            </w:r>
            <w:r/>
          </w:p>
        </w:tc>
      </w:tr>
      <w:tr>
        <w:trPr>
          <w:jc w:val="center"/>
          <w:trHeight w:val="510"/>
        </w:trPr>
        <w:tc>
          <w:tcPr>
            <w:shd w:val="clear" w:color="auto" w:fill="auto"/>
            <w:tcW w:w="658"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lang w:val="en-US"/>
              </w:rPr>
              <w:t xml:space="preserve">79</w:t>
            </w:r>
            <w:r/>
          </w:p>
        </w:tc>
        <w:tc>
          <w:tcPr>
            <w:shd w:val="clear" w:color="auto" w:fill="auto"/>
            <w:tcW w:w="1142"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灯光吊杆收线器</w:t>
            </w:r>
            <w:r/>
          </w:p>
        </w:tc>
        <w:tc>
          <w:tcPr>
            <w:shd w:val="clear" w:color="auto" w:fill="auto"/>
            <w:tcW w:w="2082"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rPr>
              <w:t xml:space="preserve">天安舞台、影星®、春宇</w:t>
            </w:r>
            <w:r/>
          </w:p>
        </w:tc>
        <w:tc>
          <w:tcPr>
            <w:tcW w:w="1118" w:type="pct"/>
            <w:textDirection w:val="lrTb"/>
            <w:noWrap w:val="false"/>
          </w:tcPr>
          <w:p>
            <w:pPr>
              <w:jc w:val="center"/>
              <w:spacing w:before="120" w:after="120" w:line="280" w:lineRule="exact"/>
              <w:rPr>
                <w:color w:val="000000"/>
                <w:sz w:val="18"/>
                <w:szCs w:val="18"/>
              </w:rPr>
            </w:pPr>
            <w:r>
              <w:rPr>
                <w:color w:val="000000"/>
                <w:sz w:val="18"/>
                <w:szCs w:val="18"/>
              </w:rPr>
            </w:r>
            <w:r/>
          </w:p>
        </w:tc>
      </w:tr>
      <w:tr>
        <w:trPr>
          <w:jc w:val="center"/>
          <w:trHeight w:val="510"/>
        </w:trPr>
        <w:tc>
          <w:tcPr>
            <w:shd w:val="clear" w:color="auto" w:fill="auto"/>
            <w:tcW w:w="658"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lang w:val="en-US"/>
              </w:rPr>
              <w:t xml:space="preserve">80</w:t>
            </w:r>
            <w:r/>
          </w:p>
        </w:tc>
        <w:tc>
          <w:tcPr>
            <w:shd w:val="clear" w:color="auto" w:fill="auto"/>
            <w:tcW w:w="1142"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舞台机械PLC控制系统</w:t>
            </w:r>
            <w:r/>
          </w:p>
        </w:tc>
        <w:tc>
          <w:tcPr>
            <w:shd w:val="clear" w:color="auto" w:fill="auto"/>
            <w:tcW w:w="2082"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rPr>
              <w:t xml:space="preserve">天安舞台、影星®、春宇</w:t>
            </w:r>
            <w:r/>
          </w:p>
        </w:tc>
        <w:tc>
          <w:tcPr>
            <w:tcW w:w="1118" w:type="pct"/>
            <w:textDirection w:val="lrTb"/>
            <w:noWrap w:val="false"/>
          </w:tcPr>
          <w:p>
            <w:pPr>
              <w:jc w:val="center"/>
              <w:spacing w:before="120" w:after="120" w:line="280" w:lineRule="exact"/>
              <w:rPr>
                <w:color w:val="000000"/>
                <w:sz w:val="18"/>
                <w:szCs w:val="18"/>
              </w:rPr>
            </w:pPr>
            <w:r>
              <w:rPr>
                <w:color w:val="000000"/>
                <w:sz w:val="18"/>
                <w:szCs w:val="18"/>
              </w:rPr>
            </w:r>
            <w:r/>
          </w:p>
        </w:tc>
      </w:tr>
      <w:tr>
        <w:trPr>
          <w:jc w:val="center"/>
          <w:trHeight w:val="510"/>
        </w:trPr>
        <w:tc>
          <w:tcPr>
            <w:shd w:val="clear" w:color="auto" w:fill="auto"/>
            <w:tcW w:w="658"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lang w:val="en-US"/>
              </w:rPr>
              <w:t xml:space="preserve">81</w:t>
            </w:r>
            <w:r/>
          </w:p>
        </w:tc>
        <w:tc>
          <w:tcPr>
            <w:shd w:val="clear" w:color="auto" w:fill="auto"/>
            <w:tcW w:w="1142"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舞台机械动力系统</w:t>
            </w:r>
            <w:r/>
          </w:p>
        </w:tc>
        <w:tc>
          <w:tcPr>
            <w:shd w:val="clear" w:color="auto" w:fill="auto"/>
            <w:tcW w:w="2082"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rPr>
              <w:t xml:space="preserve">天安舞台、影星®、春宇</w:t>
            </w:r>
            <w:r/>
          </w:p>
        </w:tc>
        <w:tc>
          <w:tcPr>
            <w:tcW w:w="1118" w:type="pct"/>
            <w:textDirection w:val="lrTb"/>
            <w:noWrap w:val="false"/>
          </w:tcPr>
          <w:p>
            <w:pPr>
              <w:jc w:val="center"/>
              <w:spacing w:before="120" w:after="120" w:line="280" w:lineRule="exact"/>
              <w:rPr>
                <w:color w:val="000000"/>
                <w:sz w:val="18"/>
                <w:szCs w:val="18"/>
              </w:rPr>
            </w:pPr>
            <w:r>
              <w:rPr>
                <w:color w:val="000000"/>
                <w:sz w:val="18"/>
                <w:szCs w:val="18"/>
              </w:rPr>
            </w:r>
            <w:r/>
          </w:p>
        </w:tc>
      </w:tr>
      <w:tr>
        <w:trPr>
          <w:jc w:val="center"/>
          <w:trHeight w:val="510"/>
        </w:trPr>
        <w:tc>
          <w:tcPr>
            <w:shd w:val="clear" w:color="auto" w:fill="auto"/>
            <w:tcW w:w="658"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lang w:val="en-US"/>
              </w:rPr>
              <w:t xml:space="preserve">82</w:t>
            </w:r>
            <w:r/>
          </w:p>
        </w:tc>
        <w:tc>
          <w:tcPr>
            <w:shd w:val="clear" w:color="auto" w:fill="auto"/>
            <w:tcW w:w="1142"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断火装置</w:t>
            </w:r>
            <w:r/>
          </w:p>
        </w:tc>
        <w:tc>
          <w:tcPr>
            <w:shd w:val="clear" w:color="auto" w:fill="auto"/>
            <w:tcW w:w="2082"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rPr>
              <w:t xml:space="preserve">天安舞台、影星®、春宇</w:t>
            </w:r>
            <w:r/>
          </w:p>
        </w:tc>
        <w:tc>
          <w:tcPr>
            <w:tcW w:w="1118" w:type="pct"/>
            <w:textDirection w:val="lrTb"/>
            <w:noWrap w:val="false"/>
          </w:tcPr>
          <w:p>
            <w:pPr>
              <w:jc w:val="center"/>
              <w:spacing w:before="120" w:after="120" w:line="280" w:lineRule="exact"/>
              <w:rPr>
                <w:color w:val="000000"/>
                <w:sz w:val="18"/>
                <w:szCs w:val="18"/>
              </w:rPr>
            </w:pPr>
            <w:r>
              <w:rPr>
                <w:color w:val="000000"/>
                <w:sz w:val="18"/>
                <w:szCs w:val="18"/>
              </w:rPr>
            </w:r>
            <w:r/>
          </w:p>
        </w:tc>
      </w:tr>
      <w:tr>
        <w:trPr>
          <w:jc w:val="center"/>
          <w:trHeight w:val="510"/>
        </w:trPr>
        <w:tc>
          <w:tcPr>
            <w:shd w:val="clear" w:color="auto" w:fill="auto"/>
            <w:tcW w:w="658"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lang w:val="en-US"/>
              </w:rPr>
              <w:t xml:space="preserve">83</w:t>
            </w:r>
            <w:r/>
          </w:p>
        </w:tc>
        <w:tc>
          <w:tcPr>
            <w:shd w:val="clear" w:color="auto" w:fill="auto"/>
            <w:tcW w:w="1142"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舞台葡萄架</w:t>
            </w:r>
            <w:r/>
          </w:p>
        </w:tc>
        <w:tc>
          <w:tcPr>
            <w:shd w:val="clear" w:color="auto" w:fill="auto"/>
            <w:tcW w:w="2082"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rPr>
              <w:t xml:space="preserve">天安舞台、影星®、春宇</w:t>
            </w:r>
            <w:r/>
          </w:p>
        </w:tc>
        <w:tc>
          <w:tcPr>
            <w:tcW w:w="1118" w:type="pct"/>
            <w:textDirection w:val="lrTb"/>
            <w:noWrap w:val="false"/>
          </w:tcPr>
          <w:p>
            <w:pPr>
              <w:jc w:val="center"/>
              <w:spacing w:before="120" w:after="120" w:line="280" w:lineRule="exact"/>
              <w:rPr>
                <w:color w:val="000000"/>
                <w:sz w:val="18"/>
                <w:szCs w:val="18"/>
              </w:rPr>
            </w:pPr>
            <w:r>
              <w:rPr>
                <w:color w:val="000000"/>
                <w:sz w:val="18"/>
                <w:szCs w:val="18"/>
              </w:rPr>
            </w:r>
            <w:r/>
          </w:p>
        </w:tc>
      </w:tr>
      <w:tr>
        <w:trPr>
          <w:jc w:val="center"/>
          <w:trHeight w:val="510"/>
        </w:trPr>
        <w:tc>
          <w:tcPr>
            <w:shd w:val="clear" w:color="auto" w:fill="auto"/>
            <w:tcW w:w="658"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lang w:val="en-US"/>
              </w:rPr>
              <w:t xml:space="preserve">84</w:t>
            </w:r>
            <w:r/>
          </w:p>
        </w:tc>
        <w:tc>
          <w:tcPr>
            <w:shd w:val="clear" w:color="auto" w:fill="auto"/>
            <w:tcW w:w="1142"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机械附件</w:t>
            </w:r>
            <w:r/>
          </w:p>
        </w:tc>
        <w:tc>
          <w:tcPr>
            <w:shd w:val="clear" w:color="auto" w:fill="auto"/>
            <w:tcW w:w="2082"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rPr>
              <w:t xml:space="preserve">天安舞台、影星®、春宇</w:t>
            </w:r>
            <w:r/>
          </w:p>
        </w:tc>
        <w:tc>
          <w:tcPr>
            <w:tcW w:w="1118" w:type="pct"/>
            <w:textDirection w:val="lrTb"/>
            <w:noWrap w:val="false"/>
          </w:tcPr>
          <w:p>
            <w:pPr>
              <w:jc w:val="center"/>
              <w:spacing w:before="120" w:after="120" w:line="280" w:lineRule="exact"/>
              <w:rPr>
                <w:color w:val="000000"/>
                <w:sz w:val="18"/>
                <w:szCs w:val="18"/>
              </w:rPr>
            </w:pPr>
            <w:r>
              <w:rPr>
                <w:color w:val="000000"/>
                <w:sz w:val="18"/>
                <w:szCs w:val="18"/>
              </w:rPr>
            </w:r>
            <w:r/>
          </w:p>
        </w:tc>
      </w:tr>
      <w:tr>
        <w:trPr>
          <w:jc w:val="center"/>
          <w:trHeight w:val="510"/>
        </w:trPr>
        <w:tc>
          <w:tcPr>
            <w:shd w:val="clear" w:color="auto" w:fill="auto"/>
            <w:tcW w:w="658"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lang w:val="en-US"/>
              </w:rPr>
              <w:t xml:space="preserve">85</w:t>
            </w:r>
            <w:r/>
          </w:p>
        </w:tc>
        <w:tc>
          <w:tcPr>
            <w:shd w:val="clear" w:color="auto" w:fill="auto"/>
            <w:tcW w:w="1142"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前檐幕 </w:t>
            </w:r>
            <w:r/>
          </w:p>
        </w:tc>
        <w:tc>
          <w:tcPr>
            <w:shd w:val="clear" w:color="auto" w:fill="auto"/>
            <w:tcW w:w="2082"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rPr>
              <w:t xml:space="preserve">天安舞台、影星®、春宇</w:t>
            </w:r>
            <w:r/>
          </w:p>
        </w:tc>
        <w:tc>
          <w:tcPr>
            <w:tcW w:w="1118" w:type="pct"/>
            <w:textDirection w:val="lrTb"/>
            <w:noWrap w:val="false"/>
          </w:tcPr>
          <w:p>
            <w:pPr>
              <w:jc w:val="center"/>
              <w:spacing w:before="120" w:after="120" w:line="280" w:lineRule="exact"/>
              <w:rPr>
                <w:color w:val="000000"/>
                <w:sz w:val="18"/>
                <w:szCs w:val="18"/>
              </w:rPr>
            </w:pPr>
            <w:r>
              <w:rPr>
                <w:color w:val="000000"/>
                <w:sz w:val="18"/>
                <w:szCs w:val="18"/>
              </w:rPr>
            </w:r>
            <w:r/>
          </w:p>
        </w:tc>
      </w:tr>
      <w:tr>
        <w:trPr>
          <w:jc w:val="center"/>
          <w:trHeight w:val="510"/>
        </w:trPr>
        <w:tc>
          <w:tcPr>
            <w:shd w:val="clear" w:color="auto" w:fill="auto"/>
            <w:tcW w:w="658"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lang w:val="en-US"/>
              </w:rPr>
              <w:t xml:space="preserve">86</w:t>
            </w:r>
            <w:r/>
          </w:p>
        </w:tc>
        <w:tc>
          <w:tcPr>
            <w:shd w:val="clear" w:color="auto" w:fill="auto"/>
            <w:tcW w:w="1142"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大幕</w:t>
            </w:r>
            <w:r/>
          </w:p>
        </w:tc>
        <w:tc>
          <w:tcPr>
            <w:shd w:val="clear" w:color="auto" w:fill="auto"/>
            <w:tcW w:w="2082"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rPr>
              <w:t xml:space="preserve">天安舞台、影星®、春宇</w:t>
            </w:r>
            <w:r/>
          </w:p>
        </w:tc>
        <w:tc>
          <w:tcPr>
            <w:tcW w:w="1118" w:type="pct"/>
            <w:textDirection w:val="lrTb"/>
            <w:noWrap w:val="false"/>
          </w:tcPr>
          <w:p>
            <w:pPr>
              <w:jc w:val="center"/>
              <w:spacing w:before="120" w:after="120" w:line="280" w:lineRule="exact"/>
              <w:rPr>
                <w:color w:val="000000"/>
                <w:sz w:val="18"/>
                <w:szCs w:val="18"/>
              </w:rPr>
            </w:pPr>
            <w:r>
              <w:rPr>
                <w:color w:val="000000"/>
                <w:sz w:val="18"/>
                <w:szCs w:val="18"/>
              </w:rPr>
            </w:r>
            <w:r/>
          </w:p>
        </w:tc>
      </w:tr>
      <w:tr>
        <w:trPr>
          <w:jc w:val="center"/>
          <w:trHeight w:val="510"/>
        </w:trPr>
        <w:tc>
          <w:tcPr>
            <w:shd w:val="clear" w:color="auto" w:fill="auto"/>
            <w:tcW w:w="658"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lang w:val="en-US"/>
              </w:rPr>
              <w:t xml:space="preserve">87</w:t>
            </w:r>
            <w:r/>
          </w:p>
        </w:tc>
        <w:tc>
          <w:tcPr>
            <w:shd w:val="clear" w:color="auto" w:fill="auto"/>
            <w:tcW w:w="1142"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横条幕</w:t>
            </w:r>
            <w:r/>
          </w:p>
        </w:tc>
        <w:tc>
          <w:tcPr>
            <w:shd w:val="clear" w:color="auto" w:fill="auto"/>
            <w:tcW w:w="2082"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rPr>
              <w:t xml:space="preserve">天安舞台、影星®、春宇</w:t>
            </w:r>
            <w:r/>
          </w:p>
        </w:tc>
        <w:tc>
          <w:tcPr>
            <w:tcW w:w="1118" w:type="pct"/>
            <w:textDirection w:val="lrTb"/>
            <w:noWrap w:val="false"/>
          </w:tcPr>
          <w:p>
            <w:pPr>
              <w:jc w:val="center"/>
              <w:spacing w:before="120" w:after="120" w:line="280" w:lineRule="exact"/>
              <w:rPr>
                <w:color w:val="000000"/>
                <w:sz w:val="18"/>
                <w:szCs w:val="18"/>
              </w:rPr>
            </w:pPr>
            <w:r>
              <w:rPr>
                <w:color w:val="000000"/>
                <w:sz w:val="18"/>
                <w:szCs w:val="18"/>
              </w:rPr>
            </w:r>
            <w:r/>
          </w:p>
        </w:tc>
      </w:tr>
      <w:tr>
        <w:trPr>
          <w:jc w:val="center"/>
          <w:trHeight w:val="510"/>
        </w:trPr>
        <w:tc>
          <w:tcPr>
            <w:shd w:val="clear" w:color="auto" w:fill="auto"/>
            <w:tcW w:w="658"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lang w:val="en-US"/>
              </w:rPr>
              <w:t xml:space="preserve">88</w:t>
            </w:r>
            <w:r/>
          </w:p>
        </w:tc>
        <w:tc>
          <w:tcPr>
            <w:shd w:val="clear" w:color="auto" w:fill="auto"/>
            <w:tcW w:w="1142"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侧条幕</w:t>
            </w:r>
            <w:r/>
          </w:p>
        </w:tc>
        <w:tc>
          <w:tcPr>
            <w:shd w:val="clear" w:color="auto" w:fill="auto"/>
            <w:tcW w:w="2082"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rPr>
              <w:t xml:space="preserve">天安舞台、影星®、春宇</w:t>
            </w:r>
            <w:r/>
          </w:p>
        </w:tc>
        <w:tc>
          <w:tcPr>
            <w:tcW w:w="1118" w:type="pct"/>
            <w:textDirection w:val="lrTb"/>
            <w:noWrap w:val="false"/>
          </w:tcPr>
          <w:p>
            <w:pPr>
              <w:jc w:val="center"/>
              <w:spacing w:before="120" w:after="120" w:line="280" w:lineRule="exact"/>
              <w:rPr>
                <w:color w:val="000000"/>
                <w:sz w:val="18"/>
                <w:szCs w:val="18"/>
              </w:rPr>
            </w:pPr>
            <w:r>
              <w:rPr>
                <w:color w:val="000000"/>
                <w:sz w:val="18"/>
                <w:szCs w:val="18"/>
              </w:rPr>
            </w:r>
            <w:r/>
          </w:p>
        </w:tc>
      </w:tr>
      <w:tr>
        <w:trPr>
          <w:jc w:val="center"/>
          <w:trHeight w:val="510"/>
        </w:trPr>
        <w:tc>
          <w:tcPr>
            <w:shd w:val="clear" w:color="auto" w:fill="auto"/>
            <w:tcW w:w="658"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lang w:val="en-US"/>
              </w:rPr>
              <w:t xml:space="preserve">89</w:t>
            </w:r>
            <w:r/>
          </w:p>
        </w:tc>
        <w:tc>
          <w:tcPr>
            <w:shd w:val="clear" w:color="auto" w:fill="auto"/>
            <w:tcW w:w="1142"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会议幕</w:t>
            </w:r>
            <w:r/>
          </w:p>
        </w:tc>
        <w:tc>
          <w:tcPr>
            <w:shd w:val="clear" w:color="auto" w:fill="auto"/>
            <w:tcW w:w="2082"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rPr>
              <w:t xml:space="preserve">天安舞台、影星®、春宇</w:t>
            </w:r>
            <w:r/>
          </w:p>
        </w:tc>
        <w:tc>
          <w:tcPr>
            <w:tcW w:w="1118" w:type="pct"/>
            <w:textDirection w:val="lrTb"/>
            <w:noWrap w:val="false"/>
          </w:tcPr>
          <w:p>
            <w:pPr>
              <w:jc w:val="center"/>
              <w:spacing w:before="120" w:after="120" w:line="280" w:lineRule="exact"/>
              <w:rPr>
                <w:color w:val="000000"/>
                <w:sz w:val="18"/>
                <w:szCs w:val="18"/>
              </w:rPr>
            </w:pPr>
            <w:r>
              <w:rPr>
                <w:color w:val="000000"/>
                <w:sz w:val="18"/>
                <w:szCs w:val="18"/>
              </w:rPr>
            </w:r>
            <w:r/>
          </w:p>
        </w:tc>
      </w:tr>
      <w:tr>
        <w:trPr>
          <w:jc w:val="center"/>
          <w:trHeight w:val="510"/>
        </w:trPr>
        <w:tc>
          <w:tcPr>
            <w:shd w:val="clear" w:color="auto" w:fill="auto"/>
            <w:tcW w:w="658"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lang w:val="en-US"/>
              </w:rPr>
              <w:t xml:space="preserve">90</w:t>
            </w:r>
            <w:r/>
          </w:p>
        </w:tc>
        <w:tc>
          <w:tcPr>
            <w:shd w:val="clear" w:color="auto" w:fill="auto"/>
            <w:tcW w:w="1142"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幕布衬里</w:t>
            </w:r>
            <w:r/>
          </w:p>
        </w:tc>
        <w:tc>
          <w:tcPr>
            <w:shd w:val="clear" w:color="auto" w:fill="auto"/>
            <w:tcW w:w="2082"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rPr>
              <w:t xml:space="preserve">天安舞台、影星®、春宇</w:t>
            </w:r>
            <w:r/>
          </w:p>
        </w:tc>
        <w:tc>
          <w:tcPr>
            <w:tcW w:w="1118" w:type="pct"/>
            <w:textDirection w:val="lrTb"/>
            <w:noWrap w:val="false"/>
          </w:tcPr>
          <w:p>
            <w:pPr>
              <w:jc w:val="center"/>
              <w:spacing w:before="120" w:after="120" w:line="280" w:lineRule="exact"/>
              <w:rPr>
                <w:color w:val="000000"/>
                <w:sz w:val="18"/>
                <w:szCs w:val="18"/>
              </w:rPr>
            </w:pPr>
            <w:r>
              <w:rPr>
                <w:color w:val="000000"/>
                <w:sz w:val="18"/>
                <w:szCs w:val="18"/>
              </w:rPr>
            </w:r>
            <w:r/>
          </w:p>
        </w:tc>
      </w:tr>
      <w:tr>
        <w:trPr>
          <w:jc w:val="center"/>
          <w:trHeight w:val="510"/>
        </w:trPr>
        <w:tc>
          <w:tcPr>
            <w:shd w:val="clear" w:color="auto" w:fill="auto"/>
            <w:tcW w:w="658"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lang w:val="en-US"/>
              </w:rPr>
              <w:t xml:space="preserve">91</w:t>
            </w:r>
            <w:r/>
          </w:p>
        </w:tc>
        <w:tc>
          <w:tcPr>
            <w:shd w:val="clear" w:color="auto" w:fill="auto"/>
            <w:tcW w:w="1142"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线阵列音箱配套吊架</w:t>
            </w:r>
            <w:r/>
          </w:p>
        </w:tc>
        <w:tc>
          <w:tcPr>
            <w:shd w:val="clear" w:color="auto" w:fill="auto"/>
            <w:tcW w:w="2082"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rPr>
              <w:t xml:space="preserve">湖山、锐丰、京邦</w:t>
            </w:r>
            <w:r/>
          </w:p>
        </w:tc>
        <w:tc>
          <w:tcPr>
            <w:tcW w:w="1118" w:type="pct"/>
            <w:textDirection w:val="lrTb"/>
            <w:noWrap w:val="false"/>
          </w:tcPr>
          <w:p>
            <w:pPr>
              <w:jc w:val="center"/>
              <w:spacing w:before="120" w:after="120" w:line="280" w:lineRule="exact"/>
              <w:rPr>
                <w:color w:val="000000"/>
                <w:sz w:val="18"/>
                <w:szCs w:val="18"/>
              </w:rPr>
            </w:pPr>
            <w:r>
              <w:rPr>
                <w:color w:val="000000"/>
                <w:sz w:val="18"/>
                <w:szCs w:val="18"/>
              </w:rPr>
            </w:r>
            <w:r/>
          </w:p>
        </w:tc>
      </w:tr>
      <w:tr>
        <w:trPr>
          <w:jc w:val="center"/>
          <w:trHeight w:val="510"/>
        </w:trPr>
        <w:tc>
          <w:tcPr>
            <w:shd w:val="clear" w:color="auto" w:fill="auto"/>
            <w:tcW w:w="658"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lang w:val="en-US"/>
              </w:rPr>
              <w:t xml:space="preserve">92</w:t>
            </w:r>
            <w:r/>
          </w:p>
        </w:tc>
        <w:tc>
          <w:tcPr>
            <w:shd w:val="clear" w:color="auto" w:fill="auto"/>
            <w:tcW w:w="1142"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线阵列音箱配套转接架</w:t>
            </w:r>
            <w:r/>
          </w:p>
        </w:tc>
        <w:tc>
          <w:tcPr>
            <w:shd w:val="clear" w:color="auto" w:fill="auto"/>
            <w:tcW w:w="2082"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rPr>
              <w:t xml:space="preserve">湖山、锐丰、京邦</w:t>
            </w:r>
            <w:r/>
          </w:p>
        </w:tc>
        <w:tc>
          <w:tcPr>
            <w:tcW w:w="1118" w:type="pct"/>
            <w:textDirection w:val="lrTb"/>
            <w:noWrap w:val="false"/>
          </w:tcPr>
          <w:p>
            <w:pPr>
              <w:jc w:val="center"/>
              <w:spacing w:before="120" w:after="120" w:line="280" w:lineRule="exact"/>
              <w:rPr>
                <w:color w:val="000000"/>
                <w:sz w:val="18"/>
                <w:szCs w:val="18"/>
              </w:rPr>
            </w:pPr>
            <w:r>
              <w:rPr>
                <w:color w:val="000000"/>
                <w:sz w:val="18"/>
                <w:szCs w:val="18"/>
              </w:rPr>
            </w:r>
            <w:r/>
          </w:p>
        </w:tc>
      </w:tr>
      <w:tr>
        <w:trPr>
          <w:jc w:val="center"/>
          <w:trHeight w:val="510"/>
        </w:trPr>
        <w:tc>
          <w:tcPr>
            <w:shd w:val="clear" w:color="auto" w:fill="auto"/>
            <w:tcW w:w="658"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lang w:val="en-US"/>
              </w:rPr>
              <w:t xml:space="preserve">93</w:t>
            </w:r>
            <w:r/>
          </w:p>
        </w:tc>
        <w:tc>
          <w:tcPr>
            <w:shd w:val="clear" w:color="auto" w:fill="auto"/>
            <w:tcW w:w="1142"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专业音箱壁挂架</w:t>
            </w:r>
            <w:r/>
          </w:p>
        </w:tc>
        <w:tc>
          <w:tcPr>
            <w:shd w:val="clear" w:color="auto" w:fill="auto"/>
            <w:tcW w:w="2082"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rPr>
              <w:t xml:space="preserve">湖山、锐丰、京邦</w:t>
            </w:r>
            <w:r/>
          </w:p>
        </w:tc>
        <w:tc>
          <w:tcPr>
            <w:tcW w:w="1118" w:type="pct"/>
            <w:textDirection w:val="lrTb"/>
            <w:noWrap w:val="false"/>
          </w:tcPr>
          <w:p>
            <w:pPr>
              <w:jc w:val="center"/>
              <w:spacing w:before="120" w:after="120" w:line="280" w:lineRule="exact"/>
              <w:rPr>
                <w:color w:val="000000"/>
                <w:sz w:val="18"/>
                <w:szCs w:val="18"/>
              </w:rPr>
            </w:pPr>
            <w:r>
              <w:rPr>
                <w:color w:val="000000"/>
                <w:sz w:val="18"/>
                <w:szCs w:val="18"/>
              </w:rPr>
            </w:r>
            <w:r/>
          </w:p>
        </w:tc>
      </w:tr>
      <w:tr>
        <w:trPr>
          <w:jc w:val="center"/>
          <w:trHeight w:val="510"/>
        </w:trPr>
        <w:tc>
          <w:tcPr>
            <w:shd w:val="clear" w:color="auto" w:fill="auto"/>
            <w:tcW w:w="658"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lang w:val="en-US"/>
              </w:rPr>
              <w:t xml:space="preserve">94</w:t>
            </w:r>
            <w:r/>
          </w:p>
        </w:tc>
        <w:tc>
          <w:tcPr>
            <w:shd w:val="clear" w:color="auto" w:fill="auto"/>
            <w:tcW w:w="1142"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手持话筒落地支架</w:t>
            </w:r>
            <w:r/>
          </w:p>
        </w:tc>
        <w:tc>
          <w:tcPr>
            <w:shd w:val="clear" w:color="auto" w:fill="auto"/>
            <w:tcW w:w="2082"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rPr>
              <w:t xml:space="preserve">海康威视、大华、宇视</w:t>
            </w:r>
            <w:r/>
          </w:p>
        </w:tc>
        <w:tc>
          <w:tcPr>
            <w:tcW w:w="1118" w:type="pct"/>
            <w:textDirection w:val="lrTb"/>
            <w:noWrap w:val="false"/>
          </w:tcPr>
          <w:p>
            <w:pPr>
              <w:jc w:val="center"/>
              <w:spacing w:before="120" w:after="120" w:line="280" w:lineRule="exact"/>
              <w:rPr>
                <w:color w:val="000000"/>
                <w:sz w:val="18"/>
                <w:szCs w:val="18"/>
              </w:rPr>
            </w:pPr>
            <w:r>
              <w:rPr>
                <w:color w:val="000000"/>
                <w:sz w:val="18"/>
                <w:szCs w:val="18"/>
              </w:rPr>
            </w:r>
            <w:r/>
          </w:p>
        </w:tc>
      </w:tr>
      <w:tr>
        <w:trPr>
          <w:jc w:val="center"/>
          <w:trHeight w:val="510"/>
        </w:trPr>
        <w:tc>
          <w:tcPr>
            <w:shd w:val="clear" w:color="auto" w:fill="auto"/>
            <w:tcW w:w="658"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lang w:val="en-US"/>
              </w:rPr>
              <w:t xml:space="preserve">95</w:t>
            </w:r>
            <w:r/>
          </w:p>
        </w:tc>
        <w:tc>
          <w:tcPr>
            <w:shd w:val="clear" w:color="auto" w:fill="auto"/>
            <w:tcW w:w="1142"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球机摄像机支架</w:t>
            </w:r>
            <w:r/>
          </w:p>
        </w:tc>
        <w:tc>
          <w:tcPr>
            <w:shd w:val="clear" w:color="auto" w:fill="auto"/>
            <w:tcW w:w="2082"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rPr>
              <w:t xml:space="preserve">海康威视、大华、宇视</w:t>
            </w:r>
            <w:r/>
          </w:p>
        </w:tc>
        <w:tc>
          <w:tcPr>
            <w:tcW w:w="1118" w:type="pct"/>
            <w:textDirection w:val="lrTb"/>
            <w:noWrap w:val="false"/>
          </w:tcPr>
          <w:p>
            <w:pPr>
              <w:jc w:val="center"/>
              <w:spacing w:before="120" w:after="120" w:line="280" w:lineRule="exact"/>
              <w:rPr>
                <w:color w:val="000000"/>
                <w:sz w:val="18"/>
                <w:szCs w:val="18"/>
              </w:rPr>
            </w:pPr>
            <w:r>
              <w:rPr>
                <w:color w:val="000000"/>
                <w:sz w:val="18"/>
                <w:szCs w:val="18"/>
              </w:rPr>
            </w:r>
            <w:r/>
          </w:p>
        </w:tc>
      </w:tr>
      <w:tr>
        <w:trPr>
          <w:jc w:val="center"/>
          <w:trHeight w:val="510"/>
        </w:trPr>
        <w:tc>
          <w:tcPr>
            <w:shd w:val="clear" w:color="auto" w:fill="auto"/>
            <w:tcW w:w="658"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lang w:val="en-US"/>
              </w:rPr>
              <w:t xml:space="preserve">96</w:t>
            </w:r>
            <w:r/>
          </w:p>
        </w:tc>
        <w:tc>
          <w:tcPr>
            <w:shd w:val="clear" w:color="auto" w:fill="auto"/>
            <w:tcW w:w="1142"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枪机摄像机支架</w:t>
            </w:r>
            <w:r/>
          </w:p>
        </w:tc>
        <w:tc>
          <w:tcPr>
            <w:shd w:val="clear" w:color="auto" w:fill="auto"/>
            <w:tcW w:w="2082"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rPr>
              <w:t xml:space="preserve">海康威视、大华、宇视</w:t>
            </w:r>
            <w:r/>
          </w:p>
        </w:tc>
        <w:tc>
          <w:tcPr>
            <w:tcW w:w="1118" w:type="pct"/>
            <w:textDirection w:val="lrTb"/>
            <w:noWrap w:val="false"/>
          </w:tcPr>
          <w:p>
            <w:pPr>
              <w:jc w:val="center"/>
              <w:spacing w:before="120" w:after="120" w:line="280" w:lineRule="exact"/>
              <w:rPr>
                <w:color w:val="000000"/>
                <w:sz w:val="18"/>
                <w:szCs w:val="18"/>
              </w:rPr>
            </w:pPr>
            <w:r>
              <w:rPr>
                <w:color w:val="000000"/>
                <w:sz w:val="18"/>
                <w:szCs w:val="18"/>
              </w:rPr>
            </w:r>
            <w:r/>
          </w:p>
        </w:tc>
      </w:tr>
      <w:tr>
        <w:trPr>
          <w:jc w:val="center"/>
          <w:trHeight w:val="510"/>
        </w:trPr>
        <w:tc>
          <w:tcPr>
            <w:shd w:val="clear" w:color="auto" w:fill="auto"/>
            <w:tcW w:w="658"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lang w:val="en-US"/>
              </w:rPr>
              <w:t xml:space="preserve">97</w:t>
            </w:r>
            <w:r/>
          </w:p>
        </w:tc>
        <w:tc>
          <w:tcPr>
            <w:shd w:val="clear" w:color="auto" w:fill="auto"/>
            <w:tcW w:w="1142"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设备机柜A</w:t>
            </w:r>
            <w:r/>
          </w:p>
        </w:tc>
        <w:tc>
          <w:tcPr>
            <w:shd w:val="clear" w:color="auto" w:fill="auto"/>
            <w:tcW w:w="2082"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rPr>
              <w:t xml:space="preserve">图腾、辉腾、南诺信</w:t>
            </w:r>
            <w:r/>
          </w:p>
        </w:tc>
        <w:tc>
          <w:tcPr>
            <w:tcW w:w="1118" w:type="pct"/>
            <w:textDirection w:val="lrTb"/>
            <w:noWrap w:val="false"/>
          </w:tcPr>
          <w:p>
            <w:pPr>
              <w:jc w:val="center"/>
              <w:spacing w:before="120" w:after="120" w:line="280" w:lineRule="exact"/>
              <w:rPr>
                <w:color w:val="000000"/>
                <w:sz w:val="18"/>
                <w:szCs w:val="18"/>
              </w:rPr>
            </w:pPr>
            <w:r>
              <w:rPr>
                <w:color w:val="000000"/>
                <w:sz w:val="18"/>
                <w:szCs w:val="18"/>
              </w:rPr>
            </w:r>
            <w:r/>
          </w:p>
        </w:tc>
      </w:tr>
      <w:tr>
        <w:trPr>
          <w:jc w:val="center"/>
          <w:trHeight w:val="510"/>
        </w:trPr>
        <w:tc>
          <w:tcPr>
            <w:shd w:val="clear" w:color="auto" w:fill="auto"/>
            <w:tcW w:w="658"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lang w:val="en-US"/>
              </w:rPr>
              <w:t xml:space="preserve">98</w:t>
            </w:r>
            <w:r/>
          </w:p>
        </w:tc>
        <w:tc>
          <w:tcPr>
            <w:shd w:val="clear" w:color="auto" w:fill="auto"/>
            <w:tcW w:w="1142"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设备机柜B</w:t>
            </w:r>
            <w:r/>
          </w:p>
        </w:tc>
        <w:tc>
          <w:tcPr>
            <w:shd w:val="clear" w:color="auto" w:fill="auto"/>
            <w:tcW w:w="2082"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rPr>
              <w:t xml:space="preserve">图腾、辉腾、南诺信</w:t>
            </w:r>
            <w:r/>
          </w:p>
        </w:tc>
        <w:tc>
          <w:tcPr>
            <w:tcW w:w="1118" w:type="pct"/>
            <w:textDirection w:val="lrTb"/>
            <w:noWrap w:val="false"/>
          </w:tcPr>
          <w:p>
            <w:pPr>
              <w:jc w:val="center"/>
              <w:spacing w:before="120" w:after="120" w:line="280" w:lineRule="exact"/>
              <w:rPr>
                <w:color w:val="000000"/>
                <w:sz w:val="18"/>
                <w:szCs w:val="18"/>
              </w:rPr>
            </w:pPr>
            <w:r>
              <w:rPr>
                <w:color w:val="000000"/>
                <w:sz w:val="18"/>
                <w:szCs w:val="18"/>
              </w:rPr>
            </w:r>
            <w:r/>
          </w:p>
        </w:tc>
      </w:tr>
      <w:tr>
        <w:trPr>
          <w:jc w:val="center"/>
          <w:trHeight w:val="510"/>
        </w:trPr>
        <w:tc>
          <w:tcPr>
            <w:shd w:val="clear" w:color="auto" w:fill="auto"/>
            <w:tcW w:w="658"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lang w:val="en-US"/>
              </w:rPr>
              <w:t xml:space="preserve">99</w:t>
            </w:r>
            <w:r/>
          </w:p>
        </w:tc>
        <w:tc>
          <w:tcPr>
            <w:shd w:val="clear" w:color="auto" w:fill="auto"/>
            <w:tcW w:w="1142"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金银线</w:t>
            </w:r>
            <w:r/>
          </w:p>
        </w:tc>
        <w:tc>
          <w:tcPr>
            <w:shd w:val="clear" w:color="auto" w:fill="auto"/>
            <w:tcW w:w="2082"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rPr>
              <w:t xml:space="preserve">天诚、金佳佰业、绿联</w:t>
            </w:r>
            <w:r/>
          </w:p>
        </w:tc>
        <w:tc>
          <w:tcPr>
            <w:tcW w:w="1118" w:type="pct"/>
            <w:textDirection w:val="lrTb"/>
            <w:noWrap w:val="false"/>
          </w:tcPr>
          <w:p>
            <w:pPr>
              <w:jc w:val="center"/>
              <w:spacing w:before="120" w:after="120" w:line="280" w:lineRule="exact"/>
              <w:rPr>
                <w:color w:val="000000"/>
                <w:sz w:val="18"/>
                <w:szCs w:val="18"/>
              </w:rPr>
            </w:pPr>
            <w:r>
              <w:rPr>
                <w:color w:val="000000"/>
                <w:sz w:val="18"/>
                <w:szCs w:val="18"/>
              </w:rPr>
            </w:r>
            <w:r/>
          </w:p>
        </w:tc>
      </w:tr>
      <w:tr>
        <w:trPr>
          <w:jc w:val="center"/>
          <w:trHeight w:val="510"/>
        </w:trPr>
        <w:tc>
          <w:tcPr>
            <w:shd w:val="clear" w:color="auto" w:fill="auto"/>
            <w:tcW w:w="658"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lang w:val="en-US"/>
              </w:rPr>
              <w:t xml:space="preserve">100</w:t>
            </w:r>
            <w:r/>
          </w:p>
        </w:tc>
        <w:tc>
          <w:tcPr>
            <w:shd w:val="clear" w:color="auto" w:fill="auto"/>
            <w:tcW w:w="1142"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天线同轴线</w:t>
            </w:r>
            <w:r/>
          </w:p>
        </w:tc>
        <w:tc>
          <w:tcPr>
            <w:shd w:val="clear" w:color="auto" w:fill="auto"/>
            <w:tcW w:w="2082"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rPr>
              <w:t xml:space="preserve">天诚、金佳佰业、绿联</w:t>
            </w:r>
            <w:r/>
          </w:p>
        </w:tc>
        <w:tc>
          <w:tcPr>
            <w:tcW w:w="1118" w:type="pct"/>
            <w:textDirection w:val="lrTb"/>
            <w:noWrap w:val="false"/>
          </w:tcPr>
          <w:p>
            <w:pPr>
              <w:jc w:val="center"/>
              <w:spacing w:before="120" w:after="120" w:line="280" w:lineRule="exact"/>
              <w:rPr>
                <w:color w:val="000000"/>
                <w:sz w:val="18"/>
                <w:szCs w:val="18"/>
              </w:rPr>
            </w:pPr>
            <w:r>
              <w:rPr>
                <w:color w:val="000000"/>
                <w:sz w:val="18"/>
                <w:szCs w:val="18"/>
              </w:rPr>
            </w:r>
            <w:r/>
          </w:p>
        </w:tc>
      </w:tr>
      <w:tr>
        <w:trPr>
          <w:jc w:val="center"/>
          <w:trHeight w:val="510"/>
        </w:trPr>
        <w:tc>
          <w:tcPr>
            <w:shd w:val="clear" w:color="auto" w:fill="auto"/>
            <w:tcW w:w="658"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lang w:val="en-US"/>
              </w:rPr>
              <w:t xml:space="preserve">101</w:t>
            </w:r>
            <w:r/>
          </w:p>
        </w:tc>
        <w:tc>
          <w:tcPr>
            <w:shd w:val="clear" w:color="auto" w:fill="auto"/>
            <w:tcW w:w="1142"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话筒线</w:t>
            </w:r>
            <w:r/>
          </w:p>
        </w:tc>
        <w:tc>
          <w:tcPr>
            <w:shd w:val="clear" w:color="auto" w:fill="auto"/>
            <w:tcW w:w="2082"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rPr>
              <w:t xml:space="preserve">天诚、金佳佰业、绿联</w:t>
            </w:r>
            <w:r/>
          </w:p>
        </w:tc>
        <w:tc>
          <w:tcPr>
            <w:tcW w:w="1118" w:type="pct"/>
            <w:textDirection w:val="lrTb"/>
            <w:noWrap w:val="false"/>
          </w:tcPr>
          <w:p>
            <w:pPr>
              <w:jc w:val="center"/>
              <w:spacing w:before="120" w:after="120" w:line="280" w:lineRule="exact"/>
              <w:rPr>
                <w:color w:val="000000"/>
                <w:sz w:val="18"/>
                <w:szCs w:val="18"/>
              </w:rPr>
            </w:pPr>
            <w:r>
              <w:rPr>
                <w:color w:val="000000"/>
                <w:sz w:val="18"/>
                <w:szCs w:val="18"/>
              </w:rPr>
            </w:r>
            <w:r/>
          </w:p>
        </w:tc>
      </w:tr>
      <w:tr>
        <w:trPr>
          <w:jc w:val="center"/>
          <w:trHeight w:val="510"/>
        </w:trPr>
        <w:tc>
          <w:tcPr>
            <w:shd w:val="clear" w:color="auto" w:fill="auto"/>
            <w:tcW w:w="658"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lang w:val="en-US"/>
              </w:rPr>
              <w:t xml:space="preserve">102</w:t>
            </w:r>
            <w:r/>
          </w:p>
        </w:tc>
        <w:tc>
          <w:tcPr>
            <w:shd w:val="clear" w:color="auto" w:fill="auto"/>
            <w:tcW w:w="1142"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高清线</w:t>
            </w:r>
            <w:r/>
          </w:p>
        </w:tc>
        <w:tc>
          <w:tcPr>
            <w:shd w:val="clear" w:color="auto" w:fill="auto"/>
            <w:tcW w:w="2082"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rPr>
              <w:t xml:space="preserve">天诚、金佳佰业、绿联</w:t>
            </w:r>
            <w:r/>
          </w:p>
        </w:tc>
        <w:tc>
          <w:tcPr>
            <w:tcW w:w="1118" w:type="pct"/>
            <w:textDirection w:val="lrTb"/>
            <w:noWrap w:val="false"/>
          </w:tcPr>
          <w:p>
            <w:pPr>
              <w:jc w:val="center"/>
              <w:spacing w:before="120" w:after="120" w:line="280" w:lineRule="exact"/>
              <w:rPr>
                <w:color w:val="000000"/>
                <w:sz w:val="18"/>
                <w:szCs w:val="18"/>
              </w:rPr>
            </w:pPr>
            <w:r>
              <w:rPr>
                <w:color w:val="000000"/>
                <w:sz w:val="18"/>
                <w:szCs w:val="18"/>
              </w:rPr>
            </w:r>
            <w:r/>
          </w:p>
        </w:tc>
      </w:tr>
      <w:tr>
        <w:trPr>
          <w:jc w:val="center"/>
          <w:trHeight w:val="510"/>
        </w:trPr>
        <w:tc>
          <w:tcPr>
            <w:shd w:val="clear" w:color="auto" w:fill="auto"/>
            <w:tcW w:w="658"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lang w:val="en-US"/>
              </w:rPr>
              <w:t xml:space="preserve">103</w:t>
            </w:r>
            <w:r/>
          </w:p>
        </w:tc>
        <w:tc>
          <w:tcPr>
            <w:shd w:val="clear" w:color="auto" w:fill="auto"/>
            <w:tcW w:w="1142"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扁平线</w:t>
            </w:r>
            <w:r/>
          </w:p>
        </w:tc>
        <w:tc>
          <w:tcPr>
            <w:shd w:val="clear" w:color="auto" w:fill="auto"/>
            <w:tcW w:w="2082"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rPr>
              <w:t xml:space="preserve">天诚、金佳佰业、绿联</w:t>
            </w:r>
            <w:r/>
          </w:p>
        </w:tc>
        <w:tc>
          <w:tcPr>
            <w:tcW w:w="1118" w:type="pct"/>
            <w:textDirection w:val="lrTb"/>
            <w:noWrap w:val="false"/>
          </w:tcPr>
          <w:p>
            <w:pPr>
              <w:jc w:val="center"/>
              <w:spacing w:before="120" w:after="120" w:line="280" w:lineRule="exact"/>
              <w:rPr>
                <w:color w:val="000000"/>
                <w:sz w:val="18"/>
                <w:szCs w:val="18"/>
              </w:rPr>
            </w:pPr>
            <w:r>
              <w:rPr>
                <w:color w:val="000000"/>
                <w:sz w:val="18"/>
                <w:szCs w:val="18"/>
              </w:rPr>
            </w:r>
            <w:r/>
          </w:p>
        </w:tc>
      </w:tr>
      <w:tr>
        <w:trPr>
          <w:jc w:val="center"/>
          <w:trHeight w:val="510"/>
        </w:trPr>
        <w:tc>
          <w:tcPr>
            <w:shd w:val="clear" w:color="auto" w:fill="auto"/>
            <w:tcW w:w="658"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lang w:val="en-US"/>
              </w:rPr>
              <w:t xml:space="preserve">104</w:t>
            </w:r>
            <w:r/>
          </w:p>
        </w:tc>
        <w:tc>
          <w:tcPr>
            <w:shd w:val="clear" w:color="auto" w:fill="auto"/>
            <w:tcW w:w="1142"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电源线A</w:t>
            </w:r>
            <w:r/>
          </w:p>
        </w:tc>
        <w:tc>
          <w:tcPr>
            <w:shd w:val="clear" w:color="auto" w:fill="auto"/>
            <w:tcW w:w="2082"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rPr>
              <w:t xml:space="preserve">远东、沪安、江南</w:t>
            </w:r>
            <w:r/>
          </w:p>
        </w:tc>
        <w:tc>
          <w:tcPr>
            <w:tcW w:w="1118" w:type="pct"/>
            <w:textDirection w:val="lrTb"/>
            <w:noWrap w:val="false"/>
          </w:tcPr>
          <w:p>
            <w:pPr>
              <w:jc w:val="center"/>
              <w:spacing w:before="120" w:after="120" w:line="280" w:lineRule="exact"/>
              <w:rPr>
                <w:color w:val="000000"/>
                <w:sz w:val="18"/>
                <w:szCs w:val="18"/>
              </w:rPr>
            </w:pPr>
            <w:r>
              <w:rPr>
                <w:color w:val="000000"/>
                <w:sz w:val="18"/>
                <w:szCs w:val="18"/>
              </w:rPr>
            </w:r>
            <w:r/>
          </w:p>
        </w:tc>
      </w:tr>
      <w:tr>
        <w:trPr>
          <w:jc w:val="center"/>
          <w:trHeight w:val="510"/>
        </w:trPr>
        <w:tc>
          <w:tcPr>
            <w:shd w:val="clear" w:color="auto" w:fill="auto"/>
            <w:tcW w:w="658"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lang w:val="en-US"/>
              </w:rPr>
              <w:t xml:space="preserve">105</w:t>
            </w:r>
            <w:r/>
          </w:p>
        </w:tc>
        <w:tc>
          <w:tcPr>
            <w:shd w:val="clear" w:color="auto" w:fill="auto"/>
            <w:tcW w:w="1142"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电源线B</w:t>
            </w:r>
            <w:r/>
          </w:p>
        </w:tc>
        <w:tc>
          <w:tcPr>
            <w:shd w:val="clear" w:color="auto" w:fill="auto"/>
            <w:tcW w:w="2082"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rPr>
              <w:t xml:space="preserve">远东、沪安、江南</w:t>
            </w:r>
            <w:r/>
          </w:p>
        </w:tc>
        <w:tc>
          <w:tcPr>
            <w:tcW w:w="1118" w:type="pct"/>
            <w:textDirection w:val="lrTb"/>
            <w:noWrap w:val="false"/>
          </w:tcPr>
          <w:p>
            <w:pPr>
              <w:jc w:val="center"/>
              <w:spacing w:before="120" w:after="120" w:line="280" w:lineRule="exact"/>
              <w:rPr>
                <w:color w:val="000000"/>
                <w:sz w:val="18"/>
                <w:szCs w:val="18"/>
              </w:rPr>
            </w:pPr>
            <w:r>
              <w:rPr>
                <w:color w:val="000000"/>
                <w:sz w:val="18"/>
                <w:szCs w:val="18"/>
              </w:rPr>
            </w:r>
            <w:r/>
          </w:p>
        </w:tc>
      </w:tr>
      <w:tr>
        <w:trPr>
          <w:jc w:val="center"/>
          <w:trHeight w:val="510"/>
        </w:trPr>
        <w:tc>
          <w:tcPr>
            <w:shd w:val="clear" w:color="auto" w:fill="auto"/>
            <w:tcW w:w="658"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lang w:val="en-US"/>
              </w:rPr>
              <w:t xml:space="preserve">106</w:t>
            </w:r>
            <w:r/>
          </w:p>
        </w:tc>
        <w:tc>
          <w:tcPr>
            <w:shd w:val="clear" w:color="auto" w:fill="auto"/>
            <w:tcW w:w="1142"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网络线</w:t>
            </w:r>
            <w:r/>
          </w:p>
        </w:tc>
        <w:tc>
          <w:tcPr>
            <w:shd w:val="clear" w:color="auto" w:fill="auto"/>
            <w:tcW w:w="2082"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rPr>
              <w:t xml:space="preserve">绿联、海康、一舟</w:t>
            </w:r>
            <w:r/>
          </w:p>
        </w:tc>
        <w:tc>
          <w:tcPr>
            <w:tcW w:w="1118" w:type="pct"/>
            <w:textDirection w:val="lrTb"/>
            <w:noWrap w:val="false"/>
          </w:tcPr>
          <w:p>
            <w:pPr>
              <w:jc w:val="center"/>
              <w:spacing w:before="120" w:after="120" w:line="280" w:lineRule="exact"/>
              <w:rPr>
                <w:color w:val="000000"/>
                <w:sz w:val="18"/>
                <w:szCs w:val="18"/>
              </w:rPr>
            </w:pPr>
            <w:r>
              <w:rPr>
                <w:color w:val="000000"/>
                <w:sz w:val="18"/>
                <w:szCs w:val="18"/>
              </w:rPr>
            </w:r>
            <w:r/>
          </w:p>
        </w:tc>
      </w:tr>
      <w:tr>
        <w:trPr>
          <w:jc w:val="center"/>
          <w:trHeight w:val="510"/>
        </w:trPr>
        <w:tc>
          <w:tcPr>
            <w:shd w:val="clear" w:color="auto" w:fill="auto"/>
            <w:tcW w:w="658"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lang w:val="en-US"/>
              </w:rPr>
              <w:t xml:space="preserve">107</w:t>
            </w:r>
            <w:r/>
          </w:p>
        </w:tc>
        <w:tc>
          <w:tcPr>
            <w:shd w:val="clear" w:color="auto" w:fill="auto"/>
            <w:tcW w:w="1142"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控制线</w:t>
            </w:r>
            <w:r/>
          </w:p>
        </w:tc>
        <w:tc>
          <w:tcPr>
            <w:shd w:val="clear" w:color="auto" w:fill="auto"/>
            <w:tcW w:w="2082"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rPr>
              <w:t xml:space="preserve">远东、沪安、江南</w:t>
            </w:r>
            <w:r/>
          </w:p>
        </w:tc>
        <w:tc>
          <w:tcPr>
            <w:tcW w:w="1118" w:type="pct"/>
            <w:textDirection w:val="lrTb"/>
            <w:noWrap w:val="false"/>
          </w:tcPr>
          <w:p>
            <w:pPr>
              <w:jc w:val="center"/>
              <w:spacing w:before="120" w:after="120" w:line="280" w:lineRule="exact"/>
              <w:rPr>
                <w:color w:val="000000"/>
                <w:sz w:val="18"/>
                <w:szCs w:val="18"/>
              </w:rPr>
            </w:pPr>
            <w:r>
              <w:rPr>
                <w:color w:val="000000"/>
                <w:sz w:val="18"/>
                <w:szCs w:val="18"/>
              </w:rPr>
            </w:r>
            <w:r/>
          </w:p>
        </w:tc>
      </w:tr>
      <w:tr>
        <w:trPr>
          <w:jc w:val="center"/>
          <w:trHeight w:val="510"/>
        </w:trPr>
        <w:tc>
          <w:tcPr>
            <w:shd w:val="clear" w:color="auto" w:fill="auto"/>
            <w:tcW w:w="658"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lang w:val="en-US"/>
              </w:rPr>
              <w:t xml:space="preserve">108</w:t>
            </w:r>
            <w:r/>
          </w:p>
        </w:tc>
        <w:tc>
          <w:tcPr>
            <w:shd w:val="clear" w:color="auto" w:fill="auto"/>
            <w:tcW w:w="1142"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编码器线</w:t>
            </w:r>
            <w:r/>
          </w:p>
        </w:tc>
        <w:tc>
          <w:tcPr>
            <w:shd w:val="clear" w:color="auto" w:fill="auto"/>
            <w:tcW w:w="2082"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rPr>
              <w:t xml:space="preserve">远东、沪安、江南</w:t>
            </w:r>
            <w:r/>
          </w:p>
        </w:tc>
        <w:tc>
          <w:tcPr>
            <w:tcW w:w="1118" w:type="pct"/>
            <w:textDirection w:val="lrTb"/>
            <w:noWrap w:val="false"/>
          </w:tcPr>
          <w:p>
            <w:pPr>
              <w:jc w:val="center"/>
              <w:spacing w:before="120" w:after="120" w:line="280" w:lineRule="exact"/>
              <w:rPr>
                <w:color w:val="000000"/>
                <w:sz w:val="18"/>
                <w:szCs w:val="18"/>
              </w:rPr>
            </w:pPr>
            <w:r>
              <w:rPr>
                <w:color w:val="000000"/>
                <w:sz w:val="18"/>
                <w:szCs w:val="18"/>
              </w:rPr>
            </w:r>
            <w:r/>
          </w:p>
        </w:tc>
      </w:tr>
      <w:tr>
        <w:trPr>
          <w:jc w:val="center"/>
          <w:trHeight w:val="510"/>
        </w:trPr>
        <w:tc>
          <w:tcPr>
            <w:shd w:val="clear" w:color="auto" w:fill="auto"/>
            <w:tcW w:w="658"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lang w:val="en-US"/>
              </w:rPr>
              <w:t xml:space="preserve">109</w:t>
            </w:r>
            <w:r/>
          </w:p>
        </w:tc>
        <w:tc>
          <w:tcPr>
            <w:shd w:val="clear" w:color="auto" w:fill="auto"/>
            <w:tcW w:w="1142" w:type="pct"/>
            <w:vAlign w:val="center"/>
            <w:textDirection w:val="lrTb"/>
            <w:noWrap w:val="false"/>
          </w:tcPr>
          <w:p>
            <w:pPr>
              <w:jc w:val="center"/>
              <w:spacing w:line="280" w:lineRule="exact"/>
              <w:widowControl/>
              <w:rPr>
                <w:color w:val="000000"/>
                <w:sz w:val="18"/>
                <w:szCs w:val="18"/>
                <w:lang w:bidi="ar"/>
              </w:rPr>
            </w:pPr>
            <w:r>
              <w:rPr>
                <w:rFonts w:hint="eastAsia"/>
                <w:color w:val="000000"/>
                <w:sz w:val="18"/>
                <w:szCs w:val="18"/>
                <w:lang w:bidi="ar"/>
              </w:rPr>
              <w:t xml:space="preserve">刹车线</w:t>
            </w:r>
            <w:r/>
          </w:p>
        </w:tc>
        <w:tc>
          <w:tcPr>
            <w:shd w:val="clear" w:color="auto" w:fill="auto"/>
            <w:tcW w:w="2082" w:type="pct"/>
            <w:vAlign w:val="center"/>
            <w:textDirection w:val="lrTb"/>
            <w:noWrap w:val="false"/>
          </w:tcPr>
          <w:p>
            <w:pPr>
              <w:jc w:val="center"/>
              <w:spacing w:before="120" w:after="120" w:line="280" w:lineRule="exact"/>
              <w:rPr>
                <w:color w:val="000000"/>
                <w:sz w:val="18"/>
                <w:szCs w:val="18"/>
                <w:lang w:val="en-US"/>
              </w:rPr>
            </w:pPr>
            <w:r>
              <w:rPr>
                <w:rFonts w:hint="eastAsia"/>
                <w:color w:val="000000"/>
                <w:sz w:val="18"/>
                <w:szCs w:val="18"/>
              </w:rPr>
              <w:t xml:space="preserve">远东、沪安、江南</w:t>
            </w:r>
            <w:r/>
          </w:p>
        </w:tc>
        <w:tc>
          <w:tcPr>
            <w:tcW w:w="1118" w:type="pct"/>
            <w:textDirection w:val="lrTb"/>
            <w:noWrap w:val="false"/>
          </w:tcPr>
          <w:p>
            <w:pPr>
              <w:jc w:val="center"/>
              <w:spacing w:before="120" w:after="120" w:line="280" w:lineRule="exact"/>
              <w:rPr>
                <w:color w:val="000000"/>
                <w:sz w:val="18"/>
                <w:szCs w:val="18"/>
              </w:rPr>
            </w:pPr>
            <w:r>
              <w:rPr>
                <w:color w:val="000000"/>
                <w:sz w:val="18"/>
                <w:szCs w:val="18"/>
              </w:rPr>
            </w:r>
            <w:r/>
          </w:p>
        </w:tc>
      </w:tr>
    </w:tbl>
    <w:p>
      <w:pPr>
        <w:spacing w:line="360" w:lineRule="auto"/>
        <w:rPr>
          <w:b/>
          <w:color w:val="000000" w:themeColor="text1"/>
          <w:szCs w:val="21"/>
          <w:lang w:bidi="ar"/>
          <w14:textFill>
            <w14:solidFill>
              <w14:schemeClr w14:val="tx1"/>
            </w14:solidFill>
          </w14:textFill>
        </w:rPr>
      </w:pPr>
      <w:r>
        <w:rPr>
          <w:b/>
          <w:color w:val="000000" w:themeColor="text1"/>
          <w:szCs w:val="21"/>
          <w:lang w:bidi="ar"/>
          <w14:textFill>
            <w14:solidFill>
              <w14:schemeClr w14:val="tx1"/>
            </w14:solidFill>
          </w14:textFill>
        </w:rPr>
      </w:r>
      <w:r/>
    </w:p>
    <w:p>
      <w:pPr>
        <w:spacing w:line="360" w:lineRule="auto"/>
        <w:rPr>
          <w:b/>
          <w:color w:val="000000" w:themeColor="text1"/>
          <w:szCs w:val="21"/>
          <w14:textFill>
            <w14:solidFill>
              <w14:schemeClr w14:val="tx1"/>
            </w14:solidFill>
          </w14:textFill>
        </w:rPr>
      </w:pPr>
      <w:r>
        <w:rPr>
          <w:rFonts w:hint="eastAsia"/>
          <w:b/>
          <w:color w:val="000000" w:themeColor="text1"/>
          <w:szCs w:val="21"/>
          <w:lang w:bidi="ar"/>
          <w14:textFill>
            <w14:solidFill>
              <w14:schemeClr w14:val="tx1"/>
            </w14:solidFill>
          </w14:textFill>
        </w:rPr>
        <w:t xml:space="preserve">注：投标人本工程采用品牌必须参考</w:t>
      </w:r>
      <w:r>
        <w:rPr>
          <w:rFonts w:hint="eastAsia"/>
          <w:b/>
          <w:color w:val="000000" w:themeColor="text1"/>
          <w:szCs w:val="21"/>
          <w14:textFill>
            <w14:solidFill>
              <w14:schemeClr w14:val="tx1"/>
            </w14:solidFill>
          </w14:textFill>
        </w:rPr>
        <w:t xml:space="preserve">《主要材料品牌一览表》中的推荐品牌及相应质量要求报价，并清晰列出本工程项目中“投标人采用品牌”；如采用其他品牌时，应提供充分依据，证明采用的材料质量高于或相当于推荐品牌产品，</w:t>
      </w:r>
      <w:r>
        <w:rPr>
          <w:rFonts w:hint="eastAsia"/>
          <w:b/>
          <w:color w:val="000000" w:themeColor="text1"/>
          <w:szCs w:val="21"/>
          <w:u w:val="single"/>
          <w14:textFill>
            <w14:solidFill>
              <w14:schemeClr w14:val="tx1"/>
            </w14:solidFill>
          </w14:textFill>
        </w:rPr>
        <w:t xml:space="preserve">否则投标文件将视为无效标处理</w:t>
      </w:r>
      <w:r>
        <w:rPr>
          <w:rFonts w:hint="eastAsia"/>
          <w:b/>
          <w:color w:val="000000" w:themeColor="text1"/>
          <w:szCs w:val="21"/>
          <w14:textFill>
            <w14:solidFill>
              <w14:schemeClr w14:val="tx1"/>
            </w14:solidFill>
          </w14:textFill>
        </w:rPr>
        <w:t xml:space="preserve">。</w:t>
      </w:r>
      <w:r/>
    </w:p>
    <w:p>
      <w:pP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供应商名称：（盖章）</w:t>
      </w:r>
      <w:r/>
    </w:p>
    <w:p>
      <w:pPr>
        <w:spacing w:line="240" w:lineRule="atLeast"/>
        <w:rPr>
          <w:rFonts w:asciiTheme="minorEastAsia" w:hAnsiTheme="minorEastAsia" w:eastAsiaTheme="minorEastAsia"/>
          <w:b/>
          <w:color w:val="000000" w:themeColor="text1"/>
          <w14:textFill>
            <w14:solidFill>
              <w14:schemeClr w14:val="tx1"/>
            </w14:solidFill>
          </w14:textFill>
        </w:rPr>
      </w:pPr>
      <w:r>
        <w:rPr>
          <w:rFonts w:asciiTheme="minorEastAsia" w:hAnsiTheme="minorEastAsia" w:eastAsiaTheme="minorEastAsia"/>
          <w:b/>
          <w:color w:val="000000" w:themeColor="text1"/>
          <w14:textFill>
            <w14:solidFill>
              <w14:schemeClr w14:val="tx1"/>
            </w14:solidFill>
          </w14:textFill>
        </w:rPr>
      </w:r>
      <w:r/>
    </w:p>
    <w:p>
      <w:pPr>
        <w:rPr>
          <w:rFonts w:asciiTheme="minorEastAsia" w:hAnsiTheme="minorEastAsia" w:eastAsiaTheme="minorEastAsia"/>
          <w:b/>
          <w:color w:val="000000" w:themeColor="text1"/>
          <w:lang w:val="en-US"/>
          <w14:textFill>
            <w14:solidFill>
              <w14:schemeClr w14:val="tx1"/>
            </w14:solidFill>
          </w14:textFill>
        </w:rPr>
        <w:sectPr>
          <w:footnotePr/>
          <w:endnotePr/>
          <w:type w:val="continuous"/>
          <w:pgSz w:w="11910" w:h="16840" w:orient="portrait"/>
          <w:pgMar w:top="1134" w:right="1134" w:bottom="1134" w:left="1134" w:header="720" w:footer="720" w:gutter="0"/>
          <w:cols w:num="1" w:sep="0" w:space="720" w:equalWidth="1"/>
          <w:docGrid w:linePitch="360"/>
        </w:sectPr>
      </w:pPr>
      <w:r>
        <w:rPr>
          <w:rFonts w:asciiTheme="minorEastAsia" w:hAnsiTheme="minorEastAsia" w:eastAsiaTheme="minorEastAsia"/>
          <w:b/>
          <w:color w:val="000000" w:themeColor="text1"/>
          <w:lang w:val="en-US"/>
          <w14:textFill>
            <w14:solidFill>
              <w14:schemeClr w14:val="tx1"/>
            </w14:solidFill>
          </w14:textFill>
        </w:rPr>
      </w:r>
      <w:r/>
    </w:p>
    <w:p>
      <w:pPr>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t xml:space="preserve">附件一、中小企业声明函格式</w:t>
      </w:r>
      <w:r/>
    </w:p>
    <w:p>
      <w:pPr>
        <w:jc w:val="center"/>
        <w:spacing w:line="360" w:lineRule="auto"/>
        <w:widowControl/>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 xml:space="preserve">中小企业声明函（工程、服务类）</w:t>
      </w:r>
      <w:r/>
    </w:p>
    <w:p>
      <w:pPr>
        <w:ind w:firstLine="44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本公司郑重声明，根据《政府采购促进中小企业发展管理办法》（财库﹝2020﹞ 46 号）的规定，本公司（联合体）参加（单位名称）的 （ 项目名称）采购活动，</w:t>
      </w:r>
      <w:r>
        <w:rPr>
          <w:rFonts w:hint="eastAsia"/>
          <w:b/>
          <w:bCs/>
          <w:color w:val="000000" w:themeColor="text1"/>
          <w14:textFill>
            <w14:solidFill>
              <w14:schemeClr w14:val="tx1"/>
            </w14:solidFill>
          </w14:textFill>
        </w:rPr>
        <w:t xml:space="preserve">工程的施工单位全部为符合政策要求的中小企业（或者：服务全部由符合政策要求的中小企业承接）</w:t>
      </w:r>
      <w:r>
        <w:rPr>
          <w:rFonts w:hint="eastAsia"/>
          <w:color w:val="000000" w:themeColor="text1"/>
          <w14:textFill>
            <w14:solidFill>
              <w14:schemeClr w14:val="tx1"/>
            </w14:solidFill>
          </w14:textFill>
        </w:rPr>
        <w:t xml:space="preserve">。相关企业（含联合体中的中小企业、签订分包 意向协议的中小企业）的具体情况如下：</w:t>
      </w:r>
      <w:r/>
    </w:p>
    <w:p>
      <w:pPr>
        <w:numPr>
          <w:ilvl w:val="0"/>
          <w:numId w:val="26"/>
        </w:numPr>
        <w:ind w:firstLine="440"/>
        <w:spacing w:line="360" w:lineRule="auto"/>
        <w:rPr>
          <w:color w:val="000000" w:themeColor="text1"/>
          <w14:textFill>
            <w14:solidFill>
              <w14:schemeClr w14:val="tx1"/>
            </w14:solidFill>
          </w14:textFill>
        </w:rPr>
      </w:pPr>
      <w:r>
        <w:rPr>
          <w:rFonts w:hint="eastAsia"/>
          <w:color w:val="000000" w:themeColor="text1"/>
          <w:u w:val="single"/>
          <w14:textFill>
            <w14:solidFill>
              <w14:schemeClr w14:val="tx1"/>
            </w14:solidFill>
          </w14:textFill>
        </w:rPr>
        <w:t xml:space="preserve">        （项目名称）</w:t>
      </w:r>
      <w:r>
        <w:rPr>
          <w:rFonts w:hint="eastAsia"/>
          <w:color w:val="000000" w:themeColor="text1"/>
          <w14:textFill>
            <w14:solidFill>
              <w14:schemeClr w14:val="tx1"/>
            </w14:solidFill>
          </w14:textFill>
        </w:rPr>
        <w:t xml:space="preserve">，属于</w:t>
      </w:r>
      <w:r>
        <w:rPr>
          <w:rFonts w:hint="eastAsia"/>
          <w:color w:val="000000" w:themeColor="text1"/>
          <w:u w:val="single"/>
          <w14:textFill>
            <w14:solidFill>
              <w14:schemeClr w14:val="tx1"/>
            </w14:solidFill>
          </w14:textFill>
        </w:rPr>
        <w:t xml:space="preserve">          （采购公告中明确的所属行业） </w:t>
      </w:r>
      <w:r>
        <w:rPr>
          <w:rFonts w:hint="eastAsia"/>
          <w:color w:val="000000" w:themeColor="text1"/>
          <w14:textFill>
            <w14:solidFill>
              <w14:schemeClr w14:val="tx1"/>
            </w14:solidFill>
          </w14:textFill>
        </w:rPr>
        <w:t xml:space="preserve">行业。承建（承接）企业为 </w:t>
      </w:r>
      <w:r>
        <w:rPr>
          <w:rFonts w:hint="eastAsia"/>
          <w:color w:val="000000" w:themeColor="text1"/>
          <w:u w:val="single"/>
          <w14:textFill>
            <w14:solidFill>
              <w14:schemeClr w14:val="tx1"/>
            </w14:solidFill>
          </w14:textFill>
        </w:rPr>
        <w:t xml:space="preserve">      （填写企业名称）</w:t>
      </w:r>
      <w:r>
        <w:rPr>
          <w:rFonts w:hint="eastAsia"/>
          <w:color w:val="000000" w:themeColor="text1"/>
          <w14:textFill>
            <w14:solidFill>
              <w14:schemeClr w14:val="tx1"/>
            </w14:solidFill>
          </w14:textFill>
        </w:rPr>
        <w:t xml:space="preserve">，从业人员</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人，营业收入为</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万元，资产总额为</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万元，属于</w:t>
      </w:r>
      <w:r>
        <w:rPr>
          <w:rFonts w:hint="eastAsia"/>
          <w:color w:val="000000" w:themeColor="text1"/>
          <w:u w:val="single"/>
          <w14:textFill>
            <w14:solidFill>
              <w14:schemeClr w14:val="tx1"/>
            </w14:solidFill>
          </w14:textFill>
        </w:rPr>
        <w:t xml:space="preserve">          （填写：中型企业、小型企业或微型企业）</w:t>
      </w:r>
      <w:r>
        <w:rPr>
          <w:rFonts w:hint="eastAsia"/>
          <w:color w:val="000000" w:themeColor="text1"/>
          <w14:textFill>
            <w14:solidFill>
              <w14:schemeClr w14:val="tx1"/>
            </w14:solidFill>
          </w14:textFill>
        </w:rPr>
        <w:t xml:space="preserve">；</w:t>
      </w:r>
      <w:r/>
    </w:p>
    <w:p>
      <w:pPr>
        <w:numPr>
          <w:ilvl w:val="0"/>
          <w:numId w:val="26"/>
        </w:numPr>
        <w:ind w:firstLine="440"/>
        <w:spacing w:line="360" w:lineRule="auto"/>
        <w:rPr>
          <w:color w:val="000000" w:themeColor="text1"/>
          <w14:textFill>
            <w14:solidFill>
              <w14:schemeClr w14:val="tx1"/>
            </w14:solidFill>
          </w14:textFill>
        </w:rPr>
      </w:pPr>
      <w:r>
        <w:rPr>
          <w:rFonts w:hint="eastAsia"/>
          <w:color w:val="000000" w:themeColor="text1"/>
          <w:u w:val="single"/>
          <w14:textFill>
            <w14:solidFill>
              <w14:schemeClr w14:val="tx1"/>
            </w14:solidFill>
          </w14:textFill>
        </w:rPr>
        <w:t xml:space="preserve">        （项目名称）</w:t>
      </w:r>
      <w:r>
        <w:rPr>
          <w:rFonts w:hint="eastAsia"/>
          <w:color w:val="000000" w:themeColor="text1"/>
          <w14:textFill>
            <w14:solidFill>
              <w14:schemeClr w14:val="tx1"/>
            </w14:solidFill>
          </w14:textFill>
        </w:rPr>
        <w:t xml:space="preserve">，属于</w:t>
      </w:r>
      <w:r>
        <w:rPr>
          <w:rFonts w:hint="eastAsia"/>
          <w:color w:val="000000" w:themeColor="text1"/>
          <w:u w:val="single"/>
          <w14:textFill>
            <w14:solidFill>
              <w14:schemeClr w14:val="tx1"/>
            </w14:solidFill>
          </w14:textFill>
        </w:rPr>
        <w:t xml:space="preserve">          （采购公告中明确的所属行业） </w:t>
      </w:r>
      <w:r>
        <w:rPr>
          <w:rFonts w:hint="eastAsia"/>
          <w:color w:val="000000" w:themeColor="text1"/>
          <w14:textFill>
            <w14:solidFill>
              <w14:schemeClr w14:val="tx1"/>
            </w14:solidFill>
          </w14:textFill>
        </w:rPr>
        <w:t xml:space="preserve">行业。承建（承接）企业为 </w:t>
      </w:r>
      <w:r>
        <w:rPr>
          <w:rFonts w:hint="eastAsia"/>
          <w:color w:val="000000" w:themeColor="text1"/>
          <w:u w:val="single"/>
          <w14:textFill>
            <w14:solidFill>
              <w14:schemeClr w14:val="tx1"/>
            </w14:solidFill>
          </w14:textFill>
        </w:rPr>
        <w:t xml:space="preserve">      （填写企业名称）</w:t>
      </w:r>
      <w:r>
        <w:rPr>
          <w:rFonts w:hint="eastAsia"/>
          <w:color w:val="000000" w:themeColor="text1"/>
          <w14:textFill>
            <w14:solidFill>
              <w14:schemeClr w14:val="tx1"/>
            </w14:solidFill>
          </w14:textFill>
        </w:rPr>
        <w:t xml:space="preserve">，从业人员</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人，营业收入为</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万元，资产总额为</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万元，属于</w:t>
      </w:r>
      <w:r>
        <w:rPr>
          <w:rFonts w:hint="eastAsia"/>
          <w:color w:val="000000" w:themeColor="text1"/>
          <w:u w:val="single"/>
          <w14:textFill>
            <w14:solidFill>
              <w14:schemeClr w14:val="tx1"/>
            </w14:solidFill>
          </w14:textFill>
        </w:rPr>
        <w:t xml:space="preserve">          （填写：中型企业、小型企业或微型企业）</w:t>
      </w:r>
      <w:r>
        <w:rPr>
          <w:rFonts w:hint="eastAsia"/>
          <w:color w:val="000000" w:themeColor="text1"/>
          <w14:textFill>
            <w14:solidFill>
              <w14:schemeClr w14:val="tx1"/>
            </w14:solidFill>
          </w14:textFill>
        </w:rPr>
        <w:t xml:space="preserve">；</w:t>
      </w:r>
      <w:r/>
    </w:p>
    <w:p>
      <w:pPr>
        <w:ind w:firstLine="44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p>
    <w:p>
      <w:pPr>
        <w:ind w:firstLine="44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以上企业，不属于大企业的分支机构，不存在控股股东为大企业的情形，也不存在与大企业的负责人为同一人的情形。 </w:t>
      </w:r>
      <w:r/>
    </w:p>
    <w:p>
      <w:pPr>
        <w:ind w:firstLine="442"/>
        <w:spacing w:line="360" w:lineRule="auto"/>
        <w:rPr>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本企业对上述声明内容的真实性负责。如有虚假，将依法承担相应责任。 </w:t>
      </w:r>
      <w:r/>
    </w:p>
    <w:p>
      <w:pPr>
        <w:contextualSpacing/>
        <w:ind w:firstLine="4840"/>
        <w:spacing w:line="360" w:lineRule="auto"/>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contextualSpacing/>
        <w:ind w:firstLine="5280"/>
        <w:spacing w:line="360" w:lineRule="auto"/>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 xml:space="preserve">企业名称（盖章）：</w:t>
      </w:r>
      <w:r/>
    </w:p>
    <w:p>
      <w:pPr>
        <w:contextualSpacing/>
        <w:ind w:firstLine="220"/>
        <w:jc w:val="center"/>
        <w:spacing w:line="360" w:lineRule="auto"/>
        <w:widowControl/>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 xml:space="preserve">                              日　　期：  年  月  日</w:t>
      </w:r>
      <w:r/>
    </w:p>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ind w:firstLine="420"/>
        <w:spacing w:line="480" w:lineRule="auto"/>
        <w:tabs>
          <w:tab w:val="left" w:pos="6103"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ind w:firstLine="400"/>
        <w:spacing w:line="480" w:lineRule="auto"/>
        <w:rPr>
          <w:color w:val="000000" w:themeColor="text1"/>
          <w:sz w:val="20"/>
          <w:szCs w:val="21"/>
          <w14:textFill>
            <w14:solidFill>
              <w14:schemeClr w14:val="tx1"/>
            </w14:solidFill>
          </w14:textFill>
        </w:rPr>
      </w:pPr>
      <w:r>
        <w:rPr>
          <w:color w:val="000000" w:themeColor="text1"/>
          <w:sz w:val="20"/>
          <w:szCs w:val="21"/>
          <w14:textFill>
            <w14:solidFill>
              <w14:schemeClr w14:val="tx1"/>
            </w14:solidFill>
          </w14:textFill>
        </w:rPr>
      </w:r>
      <w:r/>
    </w:p>
    <w:p>
      <w:pPr>
        <w:ind w:firstLine="400"/>
        <w:spacing w:line="360" w:lineRule="auto"/>
        <w:rPr>
          <w:color w:val="000000" w:themeColor="text1"/>
          <w:sz w:val="20"/>
          <w:szCs w:val="21"/>
          <w14:textFill>
            <w14:solidFill>
              <w14:schemeClr w14:val="tx1"/>
            </w14:solidFill>
          </w14:textFill>
        </w:rPr>
      </w:pPr>
      <w:r>
        <w:rPr>
          <w:color w:val="000000" w:themeColor="text1"/>
          <w:sz w:val="20"/>
          <w:szCs w:val="21"/>
          <w14:textFill>
            <w14:solidFill>
              <w14:schemeClr w14:val="tx1"/>
            </w14:solidFill>
          </w14:textFill>
        </w:rPr>
      </w:r>
      <w:r/>
    </w:p>
    <w:p>
      <w:pPr>
        <w:rPr>
          <w:b/>
          <w:color w:val="000000" w:themeColor="text1"/>
          <w:sz w:val="21"/>
          <w14:textFill>
            <w14:solidFill>
              <w14:schemeClr w14:val="tx1"/>
            </w14:solidFill>
          </w14:textFill>
        </w:rPr>
      </w:pPr>
      <w:r>
        <w:rPr>
          <w:b/>
          <w:color w:val="000000" w:themeColor="text1"/>
          <w:sz w:val="21"/>
          <w14:textFill>
            <w14:solidFill>
              <w14:schemeClr w14:val="tx1"/>
            </w14:solidFill>
          </w14:textFill>
        </w:rPr>
        <w:br w:type="page" w:clear="all"/>
      </w:r>
      <w:r/>
    </w:p>
    <w:p>
      <w:pPr>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t xml:space="preserve">附件二、无重大违法记录声明格式</w:t>
      </w:r>
      <w:r/>
    </w:p>
    <w:p>
      <w:pPr>
        <w:ind w:right="87"/>
        <w:jc w:val="center"/>
        <w:spacing w:line="360" w:lineRule="auto"/>
        <w:rPr>
          <w:b/>
          <w:bCs/>
          <w:color w:val="000000" w:themeColor="text1"/>
          <w:sz w:val="36"/>
          <w14:textFill>
            <w14:solidFill>
              <w14:schemeClr w14:val="tx1"/>
            </w14:solidFill>
          </w14:textFill>
        </w:rPr>
      </w:pPr>
      <w:r>
        <w:rPr>
          <w:b/>
          <w:bCs/>
          <w:color w:val="000000" w:themeColor="text1"/>
          <w:sz w:val="36"/>
          <w14:textFill>
            <w14:solidFill>
              <w14:schemeClr w14:val="tx1"/>
            </w14:solidFill>
          </w14:textFill>
        </w:rPr>
        <w:t xml:space="preserve">无重大违法记录声明</w:t>
      </w:r>
      <w:r/>
    </w:p>
    <w:p>
      <w:pPr>
        <w:ind w:left="223"/>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南京中医药大学</w:t>
      </w:r>
      <w:r>
        <w:rPr>
          <w:color w:val="000000" w:themeColor="text1"/>
          <w:sz w:val="21"/>
          <w:szCs w:val="21"/>
          <w14:textFill>
            <w14:solidFill>
              <w14:schemeClr w14:val="tx1"/>
            </w14:solidFill>
          </w14:textFill>
        </w:rPr>
        <w:t xml:space="preserve">：</w:t>
      </w:r>
      <w:r/>
    </w:p>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我单位（供应商名称）郑重声明：</w:t>
      </w:r>
      <w:r/>
    </w:p>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参加政府采购活动前 3 年内在经营活动中（在下划线上如实填写：有或没有）重大违法记录。</w:t>
      </w:r>
      <w:r/>
    </w:p>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color w:val="000000" w:themeColor="text1"/>
          <w:sz w:val="20"/>
          <w:szCs w:val="21"/>
          <w14:textFill>
            <w14:solidFill>
              <w14:schemeClr w14:val="tx1"/>
            </w14:solidFill>
          </w14:textFill>
        </w:rPr>
      </w:pPr>
      <w:r>
        <w:rPr>
          <w:color w:val="000000" w:themeColor="text1"/>
          <w:sz w:val="20"/>
          <w:szCs w:val="21"/>
          <w14:textFill>
            <w14:solidFill>
              <w14:schemeClr w14:val="tx1"/>
            </w14:solidFill>
          </w14:textFill>
        </w:rPr>
      </w:r>
      <w:r/>
    </w:p>
    <w:p>
      <w:pPr>
        <w:ind w:left="550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声明人（公章）：</w:t>
      </w:r>
      <w:r/>
    </w:p>
    <w:p>
      <w:pPr>
        <w:ind w:left="5500"/>
        <w:spacing w:line="360" w:lineRule="auto"/>
        <w:tabs>
          <w:tab w:val="left" w:pos="5894" w:leader="none"/>
        </w:tabs>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日期：年月日</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t xml:space="preserve">附件</w:t>
      </w:r>
      <w:r>
        <w:rPr>
          <w:rFonts w:hint="eastAsia"/>
          <w:b/>
          <w:color w:val="000000" w:themeColor="text1"/>
          <w:sz w:val="21"/>
          <w14:textFill>
            <w14:solidFill>
              <w14:schemeClr w14:val="tx1"/>
            </w14:solidFill>
          </w14:textFill>
        </w:rPr>
        <w:t xml:space="preserve">三</w:t>
      </w:r>
      <w:r>
        <w:rPr>
          <w:b/>
          <w:color w:val="000000" w:themeColor="text1"/>
          <w:sz w:val="21"/>
          <w14:textFill>
            <w14:solidFill>
              <w14:schemeClr w14:val="tx1"/>
            </w14:solidFill>
          </w14:textFill>
        </w:rPr>
        <w:t xml:space="preserve">、具备履行合同所必需的设备和专业技术能力的声明格式及证明材料</w:t>
      </w:r>
      <w:r/>
    </w:p>
    <w:p>
      <w:pPr>
        <w:jc w:val="center"/>
        <w:spacing w:line="360" w:lineRule="auto"/>
        <w:rPr>
          <w:b/>
          <w:bCs/>
          <w:color w:val="000000" w:themeColor="text1"/>
          <w:sz w:val="36"/>
          <w14:textFill>
            <w14:solidFill>
              <w14:schemeClr w14:val="tx1"/>
            </w14:solidFill>
          </w14:textFill>
        </w:rPr>
      </w:pPr>
      <w:r>
        <w:rPr>
          <w:b/>
          <w:bCs/>
          <w:color w:val="000000" w:themeColor="text1"/>
          <w:sz w:val="36"/>
          <w14:textFill>
            <w14:solidFill>
              <w14:schemeClr w14:val="tx1"/>
            </w14:solidFill>
          </w14:textFill>
        </w:rPr>
        <w:t xml:space="preserve">具备履行合同所必需的设备和专业技术能力的声明</w:t>
      </w:r>
      <w:r/>
    </w:p>
    <w:p>
      <w:pPr>
        <w:ind w:left="223"/>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南京中医药大学</w:t>
      </w:r>
      <w:r>
        <w:rPr>
          <w:color w:val="000000" w:themeColor="text1"/>
          <w:sz w:val="21"/>
          <w:szCs w:val="21"/>
          <w14:textFill>
            <w14:solidFill>
              <w14:schemeClr w14:val="tx1"/>
            </w14:solidFill>
          </w14:textFill>
        </w:rPr>
        <w:t xml:space="preserve">：</w:t>
      </w:r>
      <w:r/>
    </w:p>
    <w:p>
      <w:pPr>
        <w:ind w:left="223" w:right="315" w:firstLine="492"/>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我单位（供应商名称）郑重声明：</w:t>
      </w:r>
      <w:r/>
    </w:p>
    <w:p>
      <w:pPr>
        <w:ind w:left="223" w:right="315" w:firstLine="492"/>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我公司具备履行本项采购合同所必需的设备和专业技术能力，为履行本项采购合同我单位具备如下主要设备和主要专业技术能力：</w:t>
      </w:r>
      <w:r/>
    </w:p>
    <w:p>
      <w:pPr>
        <w:ind w:left="715"/>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主要设备有：。(若有)</w:t>
      </w:r>
      <w:r/>
    </w:p>
    <w:p>
      <w:pPr>
        <w:ind w:left="715"/>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主要专业技术能力有：。(若有)</w:t>
      </w:r>
      <w:r/>
    </w:p>
    <w:p>
      <w:pPr>
        <w:spacing w:line="360" w:lineRule="auto"/>
        <w:rPr>
          <w:color w:val="000000" w:themeColor="text1"/>
          <w:sz w:val="20"/>
          <w:szCs w:val="21"/>
          <w14:textFill>
            <w14:solidFill>
              <w14:schemeClr w14:val="tx1"/>
            </w14:solidFill>
          </w14:textFill>
        </w:rPr>
      </w:pPr>
      <w:r>
        <w:rPr>
          <w:color w:val="000000" w:themeColor="text1"/>
          <w:sz w:val="20"/>
          <w:szCs w:val="21"/>
          <w14:textFill>
            <w14:solidFill>
              <w14:schemeClr w14:val="tx1"/>
            </w14:solidFill>
          </w14:textFill>
        </w:rPr>
      </w:r>
      <w:r/>
    </w:p>
    <w:p>
      <w:pPr>
        <w:spacing w:line="360" w:lineRule="auto"/>
        <w:rPr>
          <w:color w:val="000000" w:themeColor="text1"/>
          <w:sz w:val="20"/>
          <w:szCs w:val="21"/>
          <w14:textFill>
            <w14:solidFill>
              <w14:schemeClr w14:val="tx1"/>
            </w14:solidFill>
          </w14:textFill>
        </w:rPr>
      </w:pPr>
      <w:r>
        <w:rPr>
          <w:color w:val="000000" w:themeColor="text1"/>
          <w:sz w:val="20"/>
          <w:szCs w:val="21"/>
          <w14:textFill>
            <w14:solidFill>
              <w14:schemeClr w14:val="tx1"/>
            </w14:solidFill>
          </w14:textFill>
        </w:rPr>
      </w:r>
      <w:r/>
    </w:p>
    <w:p>
      <w:pPr>
        <w:spacing w:line="360" w:lineRule="auto"/>
        <w:rPr>
          <w:color w:val="000000" w:themeColor="text1"/>
          <w:sz w:val="20"/>
          <w:szCs w:val="21"/>
          <w14:textFill>
            <w14:solidFill>
              <w14:schemeClr w14:val="tx1"/>
            </w14:solidFill>
          </w14:textFill>
        </w:rPr>
      </w:pPr>
      <w:r>
        <w:rPr>
          <w:color w:val="000000" w:themeColor="text1"/>
          <w:sz w:val="20"/>
          <w:szCs w:val="21"/>
          <w14:textFill>
            <w14:solidFill>
              <w14:schemeClr w14:val="tx1"/>
            </w14:solidFill>
          </w14:textFill>
        </w:rPr>
      </w:r>
      <w:r/>
    </w:p>
    <w:p>
      <w:pPr>
        <w:spacing w:line="360" w:lineRule="auto"/>
        <w:rPr>
          <w:color w:val="000000" w:themeColor="text1"/>
          <w:sz w:val="20"/>
          <w:szCs w:val="21"/>
          <w14:textFill>
            <w14:solidFill>
              <w14:schemeClr w14:val="tx1"/>
            </w14:solidFill>
          </w14:textFill>
        </w:rPr>
      </w:pPr>
      <w:r>
        <w:rPr>
          <w:color w:val="000000" w:themeColor="text1"/>
          <w:sz w:val="20"/>
          <w:szCs w:val="21"/>
          <w14:textFill>
            <w14:solidFill>
              <w14:schemeClr w14:val="tx1"/>
            </w14:solidFill>
          </w14:textFill>
        </w:rPr>
      </w:r>
      <w:r/>
    </w:p>
    <w:p>
      <w:pPr>
        <w:ind w:left="550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声明人（公章）：</w:t>
      </w:r>
      <w:r/>
    </w:p>
    <w:p>
      <w:pPr>
        <w:ind w:left="550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日期：年月日</w:t>
      </w:r>
      <w:r/>
    </w:p>
    <w:p>
      <w:pPr>
        <w:spacing w:line="360" w:lineRule="auto"/>
        <w:rPr>
          <w:color w:val="000000" w:themeColor="text1"/>
          <w:sz w:val="20"/>
          <w:szCs w:val="21"/>
          <w14:textFill>
            <w14:solidFill>
              <w14:schemeClr w14:val="tx1"/>
            </w14:solidFill>
          </w14:textFill>
        </w:rPr>
      </w:pPr>
      <w:r>
        <w:rPr>
          <w:color w:val="000000" w:themeColor="text1"/>
          <w:sz w:val="20"/>
          <w:szCs w:val="21"/>
          <w14:textFill>
            <w14:solidFill>
              <w14:schemeClr w14:val="tx1"/>
            </w14:solidFill>
          </w14:textFill>
        </w:rPr>
      </w:r>
      <w:r/>
    </w:p>
    <w:p>
      <w:pPr>
        <w:rPr>
          <w:b/>
          <w:color w:val="000000" w:themeColor="text1"/>
          <w:sz w:val="21"/>
          <w14:textFill>
            <w14:solidFill>
              <w14:schemeClr w14:val="tx1"/>
            </w14:solidFill>
          </w14:textFill>
        </w:rPr>
      </w:pPr>
      <w:r>
        <w:rPr>
          <w:b/>
          <w:color w:val="000000" w:themeColor="text1"/>
          <w:sz w:val="21"/>
          <w14:textFill>
            <w14:solidFill>
              <w14:schemeClr w14:val="tx1"/>
            </w14:solidFill>
          </w14:textFill>
        </w:rPr>
        <w:br w:type="page" w:clear="all"/>
      </w:r>
      <w:r/>
    </w:p>
    <w:p>
      <w:pPr>
        <w:ind w:right="330"/>
        <w:spacing w:line="360" w:lineRule="auto"/>
        <w:tabs>
          <w:tab w:val="left" w:pos="5940" w:leader="none"/>
        </w:tabs>
        <w:rPr>
          <w:b/>
          <w:color w:val="000000" w:themeColor="text1"/>
          <w:sz w:val="21"/>
          <w14:textFill>
            <w14:solidFill>
              <w14:schemeClr w14:val="tx1"/>
            </w14:solidFill>
          </w14:textFill>
        </w:rPr>
      </w:pPr>
      <w:r>
        <w:rPr>
          <w:b/>
          <w:color w:val="000000" w:themeColor="text1"/>
          <w:sz w:val="21"/>
          <w14:textFill>
            <w14:solidFill>
              <w14:schemeClr w14:val="tx1"/>
            </w14:solidFill>
          </w14:textFill>
        </w:rPr>
        <w:t xml:space="preserve">附件</w:t>
      </w:r>
      <w:r>
        <w:rPr>
          <w:rFonts w:hint="eastAsia"/>
          <w:b/>
          <w:color w:val="000000" w:themeColor="text1"/>
          <w:sz w:val="21"/>
          <w14:textFill>
            <w14:solidFill>
              <w14:schemeClr w14:val="tx1"/>
            </w14:solidFill>
          </w14:textFill>
        </w:rPr>
        <w:t xml:space="preserve">四</w:t>
      </w:r>
      <w:r>
        <w:rPr>
          <w:b/>
          <w:color w:val="000000" w:themeColor="text1"/>
          <w:sz w:val="21"/>
          <w14:textFill>
            <w14:solidFill>
              <w14:schemeClr w14:val="tx1"/>
            </w14:solidFill>
          </w14:textFill>
        </w:rPr>
        <w:t xml:space="preserve">、残疾人福利性单位声明函格式</w:t>
      </w:r>
      <w:r/>
    </w:p>
    <w:p>
      <w:pPr>
        <w:spacing w:line="360" w:lineRule="auto"/>
        <w:rPr>
          <w:b/>
          <w:color w:val="000000" w:themeColor="text1"/>
          <w:sz w:val="20"/>
          <w:szCs w:val="21"/>
          <w14:textFill>
            <w14:solidFill>
              <w14:schemeClr w14:val="tx1"/>
            </w14:solidFill>
          </w14:textFill>
        </w:rPr>
      </w:pPr>
      <w:r>
        <w:rPr>
          <w:b/>
          <w:color w:val="000000" w:themeColor="text1"/>
          <w:sz w:val="20"/>
          <w:szCs w:val="21"/>
          <w14:textFill>
            <w14:solidFill>
              <w14:schemeClr w14:val="tx1"/>
            </w14:solidFill>
          </w14:textFill>
        </w:rPr>
      </w:r>
      <w:r/>
    </w:p>
    <w:p>
      <w:pPr>
        <w:jc w:val="center"/>
        <w:spacing w:line="360" w:lineRule="auto"/>
        <w:rPr>
          <w:b/>
          <w:color w:val="000000" w:themeColor="text1"/>
          <w:sz w:val="24"/>
          <w14:textFill>
            <w14:solidFill>
              <w14:schemeClr w14:val="tx1"/>
            </w14:solidFill>
          </w14:textFill>
        </w:rPr>
      </w:pPr>
      <w:r/>
      <w:bookmarkStart w:id="52" w:name="残疾人福利性单位声明函"/>
      <w:r/>
      <w:bookmarkEnd w:id="52"/>
      <w:r>
        <w:rPr>
          <w:b/>
          <w:color w:val="000000" w:themeColor="text1"/>
          <w:sz w:val="24"/>
          <w14:textFill>
            <w14:solidFill>
              <w14:schemeClr w14:val="tx1"/>
            </w14:solidFill>
          </w14:textFill>
        </w:rPr>
        <w:t xml:space="preserve">残疾人福利性单位声明函</w:t>
      </w:r>
      <w:r/>
    </w:p>
    <w:p>
      <w:pPr>
        <w:spacing w:line="360" w:lineRule="auto"/>
        <w:rPr>
          <w:b/>
          <w:color w:val="000000" w:themeColor="text1"/>
          <w:sz w:val="24"/>
          <w:szCs w:val="21"/>
          <w14:textFill>
            <w14:solidFill>
              <w14:schemeClr w14:val="tx1"/>
            </w14:solidFill>
          </w14:textFill>
        </w:rPr>
      </w:pPr>
      <w:r>
        <w:rPr>
          <w:b/>
          <w:color w:val="000000" w:themeColor="text1"/>
          <w:sz w:val="24"/>
          <w:szCs w:val="21"/>
          <w14:textFill>
            <w14:solidFill>
              <w14:schemeClr w14:val="tx1"/>
            </w14:solidFill>
          </w14:textFill>
        </w:rPr>
      </w:r>
      <w:r/>
    </w:p>
    <w:p>
      <w:pPr>
        <w:spacing w:line="360" w:lineRule="auto"/>
        <w:rPr>
          <w:b/>
          <w:color w:val="000000" w:themeColor="text1"/>
          <w:szCs w:val="21"/>
          <w14:textFill>
            <w14:solidFill>
              <w14:schemeClr w14:val="tx1"/>
            </w14:solidFill>
          </w14:textFill>
        </w:rPr>
      </w:pPr>
      <w:r>
        <w:rPr>
          <w:b/>
          <w:color w:val="000000" w:themeColor="text1"/>
          <w:szCs w:val="21"/>
          <w14:textFill>
            <w14:solidFill>
              <w14:schemeClr w14:val="tx1"/>
            </w14:solidFill>
          </w14:textFill>
        </w:rPr>
      </w:r>
      <w:r/>
    </w:p>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本单位郑重声明，根据《财政部民政部中国残疾人联合会关于促进残疾人就业政府采购政策的通  知》（财库〔2017〕141 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本单位对上述声明的真实性负责。如有虚假，将依法承担相应责任。</w:t>
      </w:r>
      <w:r/>
    </w:p>
    <w:p>
      <w:pPr>
        <w:ind w:left="223" w:right="315" w:firstLine="492"/>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ind w:left="223" w:right="315" w:firstLine="492"/>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ind w:left="550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单位名称（盖章）：</w:t>
      </w:r>
      <w:r/>
    </w:p>
    <w:p>
      <w:pPr>
        <w:ind w:left="5500"/>
        <w:spacing w:line="36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日期：年月</w:t>
      </w:r>
      <w:bookmarkStart w:id="53" w:name="附件五、属于监狱企业的证明文件"/>
      <w:r/>
      <w:bookmarkEnd w:id="53"/>
      <w:r/>
      <w:r/>
    </w:p>
    <w:p>
      <w:pPr>
        <w:ind w:right="550"/>
        <w:jc w:val="both"/>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r>
      <w:r/>
    </w:p>
    <w:p>
      <w:pPr>
        <w:ind w:right="550"/>
        <w:jc w:val="both"/>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t xml:space="preserve">附件</w:t>
      </w:r>
      <w:r>
        <w:rPr>
          <w:rFonts w:hint="eastAsia"/>
          <w:b/>
          <w:color w:val="000000" w:themeColor="text1"/>
          <w:sz w:val="21"/>
          <w14:textFill>
            <w14:solidFill>
              <w14:schemeClr w14:val="tx1"/>
            </w14:solidFill>
          </w14:textFill>
        </w:rPr>
        <w:t xml:space="preserve">五</w:t>
      </w:r>
      <w:r>
        <w:rPr>
          <w:b/>
          <w:color w:val="000000" w:themeColor="text1"/>
          <w:sz w:val="21"/>
          <w14:textFill>
            <w14:solidFill>
              <w14:schemeClr w14:val="tx1"/>
            </w14:solidFill>
          </w14:textFill>
        </w:rPr>
        <w:t xml:space="preserve">、属于监狱企业的证明文件</w:t>
      </w:r>
      <w:r/>
    </w:p>
    <w:p>
      <w:pPr>
        <w:spacing w:line="360" w:lineRule="auto"/>
        <w:rPr>
          <w:b/>
          <w:color w:val="000000" w:themeColor="text1"/>
          <w:sz w:val="20"/>
          <w:szCs w:val="21"/>
          <w14:textFill>
            <w14:solidFill>
              <w14:schemeClr w14:val="tx1"/>
            </w14:solidFill>
          </w14:textFill>
        </w:rPr>
      </w:pPr>
      <w:r>
        <w:rPr>
          <w:b/>
          <w:color w:val="000000" w:themeColor="text1"/>
          <w:sz w:val="20"/>
          <w:szCs w:val="21"/>
          <w14:textFill>
            <w14:solidFill>
              <w14:schemeClr w14:val="tx1"/>
            </w14:solidFill>
          </w14:textFill>
        </w:rPr>
      </w:r>
      <w:r/>
    </w:p>
    <w:p>
      <w:pPr>
        <w:spacing w:line="360" w:lineRule="auto"/>
        <w:rPr>
          <w:rFonts w:ascii="黑体" w:eastAsia="黑体"/>
          <w:color w:val="000000" w:themeColor="text1"/>
          <w:sz w:val="36"/>
          <w14:textFill>
            <w14:solidFill>
              <w14:schemeClr w14:val="tx1"/>
            </w14:solidFill>
          </w14:textFill>
        </w:rPr>
      </w:pPr>
      <w:r>
        <w:rPr>
          <w:color w:val="000000" w:themeColor="text1"/>
          <w:sz w:val="21"/>
          <w:szCs w:val="21"/>
          <w14:textFill>
            <w14:solidFill>
              <w14:schemeClr w14:val="tx1"/>
            </w14:solidFill>
          </w14:textFill>
        </w:rPr>
        <w:t xml:space="preserve">提供由省级以上监狱管理局、戒毒管理局(含新疆生产建设兵团)出具的属于监狱企业的证明文件。</w:t>
      </w:r>
      <w:bookmarkEnd w:id="0"/>
      <w:r/>
      <w:bookmarkEnd w:id="1"/>
      <w:r/>
      <w:r/>
    </w:p>
    <w:p>
      <w:pPr>
        <w:spacing w:line="360" w:lineRule="auto"/>
        <w:rPr>
          <w:b/>
          <w:bCs/>
          <w:color w:val="000000" w:themeColor="text1"/>
          <w:sz w:val="28"/>
          <w:szCs w:val="28"/>
          <w14:textFill>
            <w14:solidFill>
              <w14:schemeClr w14:val="tx1"/>
            </w14:solidFill>
          </w14:textFill>
        </w:rPr>
      </w:pPr>
      <w:r/>
      <w:bookmarkStart w:id="54" w:name="OLE_LINK31"/>
      <w:r/>
      <w:r/>
    </w:p>
    <w:p>
      <w:pPr>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r>
      <w:r/>
    </w:p>
    <w:p>
      <w:pPr>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r>
      <w:r/>
    </w:p>
    <w:p>
      <w:pPr>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r>
      <w:r/>
    </w:p>
    <w:p>
      <w:pPr>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r>
      <w:r/>
    </w:p>
    <w:p>
      <w:pPr>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r>
      <w:r/>
    </w:p>
    <w:p>
      <w:pPr>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r>
      <w:r/>
    </w:p>
    <w:p>
      <w:pPr>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r>
      <w:r/>
    </w:p>
    <w:p>
      <w:pPr>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r>
      <w:r/>
    </w:p>
    <w:p>
      <w:pPr>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r>
      <w:r/>
    </w:p>
    <w:p>
      <w:pPr>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r>
      <w:r/>
    </w:p>
    <w:p>
      <w:pPr>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r>
      <w:r/>
    </w:p>
    <w:p>
      <w:pPr>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r>
      <w:r/>
    </w:p>
    <w:p>
      <w:pPr>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r>
      <w:r/>
    </w:p>
    <w:p>
      <w:pPr>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r>
      <w:r/>
    </w:p>
    <w:p>
      <w:pPr>
        <w:spacing w:line="360" w:lineRule="auto"/>
        <w:rPr>
          <w:b/>
          <w:color w:val="000000" w:themeColor="text1"/>
          <w:sz w:val="21"/>
          <w14:textFill>
            <w14:solidFill>
              <w14:schemeClr w14:val="tx1"/>
            </w14:solidFill>
          </w14:textFill>
        </w:rPr>
      </w:pPr>
      <w:r>
        <w:rPr>
          <w:b/>
          <w:color w:val="000000" w:themeColor="text1"/>
          <w:sz w:val="21"/>
          <w14:textFill>
            <w14:solidFill>
              <w14:schemeClr w14:val="tx1"/>
            </w14:solidFill>
          </w14:textFill>
        </w:rPr>
      </w:r>
      <w:r/>
    </w:p>
    <w:p>
      <w:pPr>
        <w:pStyle w:val="905"/>
        <w:ind w:left="1320"/>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lang w:val="en-US"/>
          <w14:textFill>
            <w14:solidFill>
              <w14:schemeClr w14:val="tx1"/>
            </w14:solidFill>
          </w14:textFill>
        </w:rPr>
      </w:pPr>
      <w:r>
        <w:rPr>
          <w:b/>
          <w:color w:val="000000" w:themeColor="text1"/>
          <w:sz w:val="21"/>
          <w14:textFill>
            <w14:solidFill>
              <w14:schemeClr w14:val="tx1"/>
            </w14:solidFill>
          </w14:textFill>
        </w:rPr>
        <w:t xml:space="preserve">附件</w:t>
      </w:r>
      <w:r>
        <w:rPr>
          <w:rFonts w:hint="eastAsia"/>
          <w:b/>
          <w:color w:val="000000" w:themeColor="text1"/>
          <w:sz w:val="21"/>
          <w:lang w:val="en-US"/>
          <w14:textFill>
            <w14:solidFill>
              <w14:schemeClr w14:val="tx1"/>
            </w14:solidFill>
          </w14:textFill>
        </w:rPr>
        <w:t xml:space="preserve">六、访客入校申请使用指南</w:t>
      </w:r>
      <w:r/>
    </w:p>
    <w:p>
      <w:pPr>
        <w:pStyle w:val="905"/>
        <w:ind w:left="1320"/>
        <w:rPr>
          <w:color w:val="000000" w:themeColor="text1"/>
          <w14:textFill>
            <w14:solidFill>
              <w14:schemeClr w14:val="tx1"/>
            </w14:solidFill>
          </w14:textFill>
        </w:rPr>
      </w:pPr>
      <w:r>
        <w:rPr>
          <w:color w:val="000000" w:themeColor="text1"/>
          <w14:textFill>
            <w14:solidFill>
              <w14:schemeClr w14:val="tx1"/>
            </w14:solidFill>
          </w14:textFill>
        </w:rPr>
      </w:r>
      <w:bookmarkEnd w:id="54"/>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ind w:left="420"/>
        <w:jc w:val="center"/>
        <w:spacing w:after="737"/>
        <w:rPr>
          <w:rFonts w:ascii="Times New Roman" w:hAnsi="Times New Roman" w:cs="Times New Roman"/>
        </w:rPr>
      </w:pPr>
      <w:r>
        <w:rPr>
          <w:rFonts w:ascii="Times New Roman" w:hAnsi="Times New Roman" w:eastAsia="微软雅黑" w:cs="Times New Roman"/>
          <w:sz w:val="44"/>
        </w:rPr>
        <w:t xml:space="preserve">访客入校申请使用指南</w:t>
      </w:r>
      <w:r/>
    </w:p>
    <w:p>
      <w:pPr>
        <w:ind w:firstLine="440"/>
        <w:jc w:val="both"/>
        <w:spacing w:after="276"/>
        <w:rPr>
          <w:rFonts w:ascii="Times New Roman" w:hAnsi="Times New Roman" w:cs="Times New Roman"/>
        </w:rPr>
      </w:pPr>
      <w:r>
        <w:rPr>
          <w:rFonts w:hint="eastAsia"/>
        </w:rPr>
        <w:t xml:space="preserve">本指南适用校外人员需进入南京中医药大学仙林校区、汉中门校区使用。由校外人员在</w:t>
      </w:r>
      <w:r>
        <w:rPr>
          <w:rFonts w:ascii="Times New Roman" w:hAnsi="Times New Roman" w:cs="Times New Roman"/>
        </w:rPr>
        <w:t xml:space="preserve">“</w:t>
      </w:r>
      <w:r>
        <w:rPr>
          <w:rFonts w:hint="eastAsia"/>
        </w:rPr>
        <w:t xml:space="preserve">南京中医药大学信息门户</w:t>
      </w:r>
      <w:r>
        <w:rPr>
          <w:rFonts w:ascii="Times New Roman" w:hAnsi="Times New Roman" w:cs="Times New Roman"/>
        </w:rPr>
        <w:t xml:space="preserve">”</w:t>
      </w:r>
      <w:r>
        <w:rPr>
          <w:rFonts w:hint="eastAsia"/>
        </w:rPr>
        <w:t xml:space="preserve">公众号自行申请，可添加同行人员一次办理。审批通过的访客可在闸机验证身份证入校。</w:t>
      </w:r>
      <w:r>
        <w:rPr>
          <w:rFonts w:ascii="Times New Roman" w:hAnsi="Times New Roman" w:cs="Times New Roman"/>
        </w:rPr>
        <w:t xml:space="preserve"> </w:t>
      </w:r>
      <w:r/>
    </w:p>
    <w:p>
      <w:pPr>
        <w:ind w:left="-15" w:right="677" w:firstLine="5"/>
        <w:jc w:val="both"/>
        <w:spacing w:after="189" w:line="265" w:lineRule="auto"/>
        <w:rPr>
          <w:rFonts w:ascii="Times New Roman" w:hAnsi="Times New Roman" w:cs="Times New Roman"/>
        </w:rPr>
      </w:pPr>
      <w:r>
        <w:rPr>
          <w:rFonts w:ascii="Times New Roman" w:hAnsi="Times New Roman" w:eastAsia="黑体" w:cs="Times New Roman"/>
          <w:sz w:val="32"/>
        </w:rPr>
        <w:t xml:space="preserve">一、</w:t>
      </w:r>
      <w:r>
        <w:rPr>
          <w:rFonts w:ascii="Times New Roman" w:hAnsi="Times New Roman" w:cs="Times New Roman"/>
          <w:sz w:val="32"/>
        </w:rPr>
        <w:t xml:space="preserve"> </w:t>
      </w:r>
      <w:r>
        <w:rPr>
          <w:rFonts w:ascii="Times New Roman" w:hAnsi="Times New Roman" w:eastAsia="黑体" w:cs="Times New Roman"/>
          <w:sz w:val="32"/>
        </w:rPr>
        <w:t xml:space="preserve">申请入口</w:t>
      </w:r>
      <w:r>
        <w:rPr>
          <w:rFonts w:ascii="Times New Roman" w:hAnsi="Times New Roman" w:eastAsia="Times New Roman" w:cs="Times New Roman"/>
          <w:sz w:val="32"/>
        </w:rPr>
        <w:t xml:space="preserve"> </w:t>
      </w:r>
      <w:r/>
    </w:p>
    <w:p>
      <w:pPr>
        <w:ind w:firstLine="440"/>
        <w:jc w:val="both"/>
        <w:spacing w:after="276"/>
        <w:rPr>
          <w:rFonts w:ascii="Times New Roman" w:hAnsi="Times New Roman" w:cs="Times New Roman"/>
        </w:rPr>
      </w:pPr>
      <w:r>
        <w:rPr>
          <w:rFonts w:ascii="Times New Roman" w:hAnsi="Times New Roman" w:cs="Times New Roman"/>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2926715</wp:posOffset>
                </wp:positionH>
                <wp:positionV relativeFrom="page">
                  <wp:posOffset>3469005</wp:posOffset>
                </wp:positionV>
                <wp:extent cx="2133600" cy="3567430"/>
                <wp:effectExtent l="0" t="0" r="0" b="13970"/>
                <wp:wrapTopAndBottom/>
                <wp:docPr id="11" name="Picture 84"/>
                <wp:cNvGraphicFramePr/>
                <a:graphic xmlns:a="http://schemas.openxmlformats.org/drawingml/2006/main">
                  <a:graphicData uri="http://schemas.openxmlformats.org/drawingml/2006/picture">
                    <pic:pic xmlns:pic="http://schemas.openxmlformats.org/drawingml/2006/picture">
                      <pic:nvPicPr>
                        <pic:cNvPr id="84" name="Picture 84"/>
                        <pic:cNvPicPr/>
                        <pic:nvPr/>
                      </pic:nvPicPr>
                      <pic:blipFill>
                        <a:blip r:embed="rId19"/>
                        <a:stretch/>
                      </pic:blipFill>
                      <pic:spPr bwMode="auto">
                        <a:xfrm>
                          <a:off x="0" y="0"/>
                          <a:ext cx="2133600" cy="356743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2336;o:allowoverlap:true;o:allowincell:true;mso-position-horizontal-relative:text;margin-left:230.4pt;mso-position-horizontal:absolute;mso-position-vertical-relative:page;margin-top:273.1pt;mso-position-vertical:absolute;width:168.0pt;height:280.9pt;mso-wrap-distance-left:9.0pt;mso-wrap-distance-top:0.0pt;mso-wrap-distance-right:9.0pt;mso-wrap-distance-bottom:0.0pt;" stroked="false">
                <v:path textboxrect="0,0,0,0"/>
                <w10:wrap type="topAndBottom"/>
                <v:imagedata r:id="rId19" o:title=""/>
              </v:shape>
            </w:pict>
          </mc:Fallback>
        </mc:AlternateContent>
      </w:r>
      <w:r>
        <w:rPr>
          <w:rFonts w:ascii="Times New Roman" w:hAnsi="Times New Roman" w:cs="Times New Roman"/>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-4445</wp:posOffset>
                </wp:positionH>
                <wp:positionV relativeFrom="page">
                  <wp:posOffset>3747135</wp:posOffset>
                </wp:positionV>
                <wp:extent cx="2527935" cy="2447290"/>
                <wp:effectExtent l="0" t="0" r="5715" b="10160"/>
                <wp:wrapTopAndBottom/>
                <wp:docPr id="12" name="Picture 82"/>
                <wp:cNvGraphicFramePr/>
                <a:graphic xmlns:a="http://schemas.openxmlformats.org/drawingml/2006/main">
                  <a:graphicData uri="http://schemas.openxmlformats.org/drawingml/2006/picture">
                    <pic:pic xmlns:pic="http://schemas.openxmlformats.org/drawingml/2006/picture">
                      <pic:nvPicPr>
                        <pic:cNvPr id="82" name="Picture 82"/>
                        <pic:cNvPicPr/>
                        <pic:nvPr/>
                      </pic:nvPicPr>
                      <pic:blipFill>
                        <a:blip r:embed="rId20"/>
                        <a:stretch/>
                      </pic:blipFill>
                      <pic:spPr bwMode="auto">
                        <a:xfrm>
                          <a:off x="0" y="0"/>
                          <a:ext cx="2527935" cy="244729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1312;o:allowoverlap:true;o:allowincell:true;mso-position-horizontal-relative:text;margin-left:-0.3pt;mso-position-horizontal:absolute;mso-position-vertical-relative:page;margin-top:295.1pt;mso-position-vertical:absolute;width:199.0pt;height:192.7pt;mso-wrap-distance-left:9.0pt;mso-wrap-distance-top:0.0pt;mso-wrap-distance-right:9.0pt;mso-wrap-distance-bottom:0.0pt;" stroked="false">
                <v:path textboxrect="0,0,0,0"/>
                <w10:wrap type="topAndBottom"/>
                <v:imagedata r:id="rId20" o:title=""/>
              </v:shape>
            </w:pict>
          </mc:Fallback>
        </mc:AlternateContent>
      </w:r>
      <w:r>
        <w:rPr>
          <w:rFonts w:hint="eastAsia"/>
        </w:rPr>
        <w:t xml:space="preserve">微信搜索</w:t>
      </w:r>
      <w:r>
        <w:rPr>
          <w:rFonts w:ascii="Times New Roman" w:hAnsi="Times New Roman" w:cs="Times New Roman"/>
        </w:rPr>
        <w:t xml:space="preserve">“</w:t>
      </w:r>
      <w:r>
        <w:rPr>
          <w:rFonts w:hint="eastAsia"/>
        </w:rPr>
        <w:t xml:space="preserve">南京中医药大学信息门户</w:t>
      </w:r>
      <w:r>
        <w:rPr>
          <w:rFonts w:ascii="Times New Roman" w:hAnsi="Times New Roman" w:cs="Times New Roman"/>
        </w:rPr>
        <w:t xml:space="preserve">”</w:t>
      </w:r>
      <w:r>
        <w:rPr>
          <w:rFonts w:hint="eastAsia"/>
        </w:rPr>
        <w:t xml:space="preserve">或扫描二维码，</w:t>
      </w:r>
      <w:r>
        <w:rPr>
          <w:rFonts w:ascii="Times New Roman" w:hAnsi="Times New Roman" w:cs="Times New Roman"/>
        </w:rPr>
        <w:t xml:space="preserve">“</w:t>
      </w:r>
      <w:r>
        <w:rPr>
          <w:rFonts w:hint="eastAsia"/>
        </w:rPr>
        <w:t xml:space="preserve">关注</w:t>
      </w:r>
      <w:r>
        <w:rPr>
          <w:rFonts w:ascii="Times New Roman" w:hAnsi="Times New Roman" w:cs="Times New Roman"/>
        </w:rPr>
        <w:t xml:space="preserve">”</w:t>
      </w:r>
      <w:r>
        <w:rPr>
          <w:rFonts w:hint="eastAsia"/>
        </w:rPr>
        <w:t xml:space="preserve">后再点击</w:t>
      </w:r>
      <w:r>
        <w:rPr>
          <w:rFonts w:ascii="Times New Roman" w:hAnsi="Times New Roman" w:cs="Times New Roman"/>
        </w:rPr>
        <w:t xml:space="preserve">“</w:t>
      </w:r>
      <w:r>
        <w:rPr>
          <w:rFonts w:hint="eastAsia"/>
        </w:rPr>
        <w:t xml:space="preserve">访客入校</w:t>
      </w:r>
      <w:r>
        <w:rPr>
          <w:rFonts w:ascii="Times New Roman" w:hAnsi="Times New Roman" w:cs="Times New Roman"/>
        </w:rPr>
        <w:t xml:space="preserve">”</w:t>
      </w:r>
      <w:r>
        <w:rPr>
          <w:rFonts w:hint="eastAsia"/>
        </w:rPr>
        <w:t xml:space="preserve">进行申请。</w:t>
      </w:r>
      <w:r>
        <w:rPr>
          <w:rFonts w:ascii="Times New Roman" w:hAnsi="Times New Roman" w:cs="Times New Roman"/>
        </w:rPr>
        <w:t xml:space="preserve"> </w:t>
      </w:r>
      <w:r/>
    </w:p>
    <w:p>
      <w:pPr>
        <w:ind w:right="1403"/>
        <w:jc w:val="both"/>
        <w:rPr>
          <w:rFonts w:ascii="Times New Roman" w:hAnsi="Times New Roman" w:cs="Times New Roman" w:eastAsiaTheme="minorEastAsia"/>
        </w:rPr>
      </w:pPr>
      <w:r>
        <w:rPr>
          <w:rFonts w:ascii="Times New Roman" w:hAnsi="Times New Roman" w:cs="Times New Roman" w:eastAsiaTheme="minorEastAsia"/>
        </w:rPr>
      </w:r>
      <w:r/>
    </w:p>
    <w:p>
      <w:pPr>
        <w:ind w:left="-15" w:right="677" w:firstLine="5"/>
        <w:jc w:val="both"/>
        <w:spacing w:after="78" w:line="327" w:lineRule="auto"/>
        <w:rPr>
          <w:rFonts w:ascii="Times New Roman" w:hAnsi="Times New Roman" w:cs="Times New Roman"/>
        </w:rPr>
      </w:pPr>
      <w:r>
        <w:rPr>
          <w:rFonts w:ascii="Times New Roman" w:hAnsi="Times New Roman" w:eastAsia="Times New Roman" w:cs="Times New Roman"/>
        </w:rPr>
        <w:t xml:space="preserve"> </w:t>
      </w:r>
      <w:r>
        <w:rPr>
          <w:rFonts w:ascii="Times New Roman" w:hAnsi="Times New Roman" w:eastAsia="黑体" w:cs="Times New Roman"/>
          <w:sz w:val="32"/>
        </w:rPr>
        <w:t xml:space="preserve">二、</w:t>
      </w:r>
      <w:r>
        <w:rPr>
          <w:rFonts w:ascii="Times New Roman" w:hAnsi="Times New Roman" w:cs="Times New Roman"/>
          <w:sz w:val="32"/>
        </w:rPr>
        <w:t xml:space="preserve"> </w:t>
      </w:r>
      <w:r>
        <w:rPr>
          <w:rFonts w:ascii="Times New Roman" w:hAnsi="Times New Roman" w:eastAsia="黑体" w:cs="Times New Roman"/>
          <w:sz w:val="32"/>
        </w:rPr>
        <w:t xml:space="preserve">访客申请</w:t>
      </w:r>
      <w:r>
        <w:rPr>
          <w:rFonts w:ascii="Times New Roman" w:hAnsi="Times New Roman" w:eastAsia="Times New Roman" w:cs="Times New Roman"/>
          <w:sz w:val="32"/>
        </w:rPr>
        <w:t xml:space="preserve"> </w:t>
      </w:r>
      <w:r/>
    </w:p>
    <w:p>
      <w:pPr>
        <w:ind w:firstLine="440"/>
        <w:jc w:val="both"/>
        <w:spacing w:after="276"/>
        <w:rPr>
          <w:rFonts w:ascii="Times New Roman" w:hAnsi="Times New Roman" w:cs="Times New Roman"/>
        </w:rPr>
      </w:pPr>
      <w:r>
        <w:rPr>
          <w:rFonts w:hint="eastAsia"/>
        </w:rPr>
        <w:t xml:space="preserve">访客自行填写基本信息，其中受访者为南京中医药大学教职工，</w:t>
      </w:r>
      <w:r>
        <w:rPr>
          <w:rFonts w:ascii="Times New Roman" w:hAnsi="Times New Roman" w:cs="Times New Roman"/>
        </w:rPr>
        <w:t xml:space="preserve">请</w:t>
      </w:r>
      <w:r>
        <w:rPr>
          <w:rFonts w:hint="eastAsia"/>
        </w:rPr>
        <w:t xml:space="preserve">访客与受访者联系后填写受访者姓名及受访部门。如访问校领导则请先与党办、校办事先沟通后再进行申请。如有同行人员则可以点击添加按钮进行添加，建议同行人员不超过</w:t>
      </w:r>
      <w:r>
        <w:rPr>
          <w:rFonts w:ascii="Times New Roman" w:hAnsi="Times New Roman" w:cs="Times New Roman"/>
        </w:rPr>
        <w:t xml:space="preserve"> </w:t>
      </w:r>
      <w:r>
        <w:rPr>
          <w:rFonts w:ascii="Times New Roman" w:hAnsi="Times New Roman" w:eastAsia="Times New Roman" w:cs="Times New Roman"/>
        </w:rPr>
        <w:t xml:space="preserve">5 </w:t>
      </w:r>
      <w:r>
        <w:rPr>
          <w:rFonts w:hint="eastAsia"/>
        </w:rPr>
        <w:t xml:space="preserve">人。</w:t>
      </w:r>
      <w:r>
        <w:rPr>
          <w:rFonts w:ascii="Times New Roman" w:hAnsi="Times New Roman" w:eastAsia="Times New Roman" w:cs="Times New Roman"/>
        </w:rPr>
        <w:t xml:space="preserve"> </w:t>
      </w:r>
      <w:r/>
    </w:p>
    <w:p>
      <w:pPr>
        <w:ind w:left="-15" w:right="677" w:firstLine="5"/>
        <w:jc w:val="both"/>
        <w:spacing w:after="78" w:line="327" w:lineRule="auto"/>
        <w:rPr>
          <w:rFonts w:ascii="Times New Roman" w:hAnsi="Times New Roman" w:eastAsia="黑体" w:cs="Times New Roman"/>
          <w:sz w:val="32"/>
          <w:szCs w:val="32"/>
        </w:rPr>
      </w:pPr>
      <w:r>
        <w:rPr>
          <w:rFonts w:ascii="Times New Roman" w:hAnsi="Times New Roman" w:eastAsia="黑体" w:cs="Times New Roman"/>
          <w:sz w:val="32"/>
          <w:szCs w:val="32"/>
        </w:rPr>
        <w:t xml:space="preserve">三、访客入校 </w:t>
      </w:r>
      <w:r/>
    </w:p>
    <w:p>
      <w:pPr>
        <w:ind w:firstLine="440"/>
        <w:jc w:val="both"/>
        <w:spacing w:after="276"/>
        <w:rPr>
          <w:rFonts w:ascii="Times New Roman" w:hAnsi="Times New Roman" w:cs="Times New Roman"/>
        </w:rPr>
      </w:pPr>
      <w:r>
        <w:rPr>
          <w:rFonts w:hint="eastAsia"/>
        </w:rPr>
        <w:t xml:space="preserve">请学校审批通过的访客，会收到审批通过的消息。请在预约时间内到校，并使用本人有效身份证（</w:t>
      </w:r>
      <w:r>
        <w:rPr>
          <w:rFonts w:ascii="Times New Roman" w:hAnsi="Times New Roman" w:cs="Times New Roman"/>
        </w:rPr>
        <w:t xml:space="preserve">18 </w:t>
      </w:r>
      <w:r>
        <w:rPr>
          <w:rFonts w:hint="eastAsia"/>
        </w:rPr>
        <w:t xml:space="preserve">位标准身份证）在校门口闸机处验证入校。审批未通过的访客，请与被访者联系协调。</w:t>
      </w:r>
      <w:r>
        <w:rPr>
          <w:rFonts w:ascii="Times New Roman" w:hAnsi="Times New Roman" w:cs="Times New Roman"/>
        </w:rPr>
        <w:t xml:space="preserve"> </w:t>
      </w:r>
      <w:r/>
    </w:p>
    <w:p>
      <w:pPr>
        <w:ind w:left="-15" w:right="677" w:firstLine="5"/>
        <w:jc w:val="both"/>
        <w:spacing w:after="78" w:line="327" w:lineRule="auto"/>
        <w:rPr>
          <w:rFonts w:ascii="Times New Roman" w:hAnsi="Times New Roman" w:eastAsia="黑体" w:cs="Times New Roman"/>
          <w:sz w:val="32"/>
          <w:szCs w:val="32"/>
        </w:rPr>
      </w:pPr>
      <w:r>
        <w:rPr>
          <w:rFonts w:hint="eastAsia" w:ascii="Times New Roman" w:hAnsi="Times New Roman" w:eastAsia="黑体" w:cs="Times New Roman"/>
          <w:sz w:val="32"/>
          <w:szCs w:val="32"/>
        </w:rPr>
        <w:t xml:space="preserve">四、</w:t>
      </w:r>
      <w:r>
        <w:rPr>
          <w:rFonts w:ascii="Times New Roman" w:hAnsi="Times New Roman" w:eastAsia="黑体" w:cs="Times New Roman"/>
          <w:sz w:val="32"/>
          <w:szCs w:val="32"/>
        </w:rPr>
        <w:t xml:space="preserve">其他事项 </w:t>
      </w:r>
      <w:r/>
    </w:p>
    <w:p>
      <w:pPr>
        <w:ind w:firstLine="440"/>
        <w:jc w:val="both"/>
        <w:spacing w:after="276"/>
        <w:rPr>
          <w:rFonts w:ascii="Times New Roman" w:hAnsi="Times New Roman" w:cs="Times New Roman"/>
        </w:rPr>
      </w:pPr>
      <w:r>
        <w:rPr>
          <w:rFonts w:hint="eastAsia"/>
        </w:rPr>
        <w:t xml:space="preserve">请务必关注</w:t>
      </w:r>
      <w:r>
        <w:rPr>
          <w:rFonts w:ascii="Times New Roman" w:hAnsi="Times New Roman" w:cs="Times New Roman"/>
        </w:rPr>
        <w:t xml:space="preserve">“</w:t>
      </w:r>
      <w:r>
        <w:rPr>
          <w:rFonts w:hint="eastAsia"/>
        </w:rPr>
        <w:t xml:space="preserve">南京中医药大学信息门户</w:t>
      </w:r>
      <w:r>
        <w:rPr>
          <w:rFonts w:ascii="Times New Roman" w:hAnsi="Times New Roman" w:cs="Times New Roman"/>
        </w:rPr>
        <w:t xml:space="preserve">”</w:t>
      </w:r>
      <w:r>
        <w:rPr>
          <w:rFonts w:hint="eastAsia"/>
        </w:rPr>
        <w:t xml:space="preserve">公众号，否则无法收到办理结果的相关推送信息。</w:t>
      </w:r>
      <w:r>
        <w:rPr>
          <w:rFonts w:ascii="Times New Roman" w:hAnsi="Times New Roman" w:cs="Times New Roman"/>
        </w:rPr>
        <w:t xml:space="preserve"> </w:t>
      </w:r>
      <w:r/>
    </w:p>
    <w:p>
      <w:pPr>
        <w:ind w:firstLine="440"/>
        <w:jc w:val="both"/>
        <w:spacing w:after="276"/>
        <w:rPr>
          <w:rFonts w:ascii="Times New Roman" w:hAnsi="Times New Roman" w:cs="Times New Roman"/>
        </w:rPr>
      </w:pPr>
      <w:r>
        <w:rPr>
          <w:rFonts w:hint="eastAsia"/>
        </w:rPr>
        <w:t xml:space="preserve">技术支撑单位：南京中医药大学网络管理与信息化办公室。如遇技术问题可联系</w:t>
      </w:r>
      <w:r>
        <w:rPr>
          <w:rFonts w:ascii="Times New Roman" w:hAnsi="Times New Roman" w:cs="Times New Roman"/>
        </w:rPr>
        <w:t xml:space="preserve"> 025-85811936 </w:t>
      </w:r>
      <w:r>
        <w:rPr>
          <w:rFonts w:hint="eastAsia"/>
        </w:rPr>
        <w:t xml:space="preserve">协调解决。</w:t>
      </w:r>
      <w:r>
        <w:rPr>
          <w:rFonts w:ascii="Times New Roman" w:hAnsi="Times New Roman" w:cs="Times New Roman"/>
        </w:rPr>
        <w:t xml:space="preserve"> </w:t>
      </w:r>
      <w:r/>
    </w:p>
    <w:p>
      <w:pPr>
        <w:spacing w:line="360" w:lineRule="auto"/>
        <w:rPr>
          <w:rFonts w:ascii="黑体" w:eastAsia="黑体"/>
          <w:color w:val="000000" w:themeColor="text1"/>
          <w:sz w:val="36"/>
          <w:lang w:val="en-US"/>
          <w14:textFill>
            <w14:solidFill>
              <w14:schemeClr w14:val="tx1"/>
            </w14:solidFill>
          </w14:textFill>
        </w:rPr>
      </w:pPr>
      <w:r>
        <w:rPr>
          <w:rFonts w:ascii="黑体" w:eastAsia="黑体"/>
          <w:color w:val="000000" w:themeColor="text1"/>
          <w:sz w:val="36"/>
          <w:lang w:val="en-US"/>
          <w14:textFill>
            <w14:solidFill>
              <w14:schemeClr w14:val="tx1"/>
            </w14:solidFill>
          </w14:textFill>
        </w:rPr>
      </w:r>
      <w:r/>
    </w:p>
    <w:sectPr>
      <w:footnotePr/>
      <w:endnotePr/>
      <w:type w:val="nextPage"/>
      <w:pgSz w:w="11910" w:h="16840" w:orient="portrait"/>
      <w:pgMar w:top="1134" w:right="1134" w:bottom="1134" w:left="1134" w:header="567" w:footer="56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FZHTK--GBK1-0">
    <w:panose1 w:val="020B0503020202020204"/>
  </w:font>
  <w:font w:name="Symbol">
    <w:panose1 w:val="05050102010706020507"/>
  </w:font>
  <w:font w:name="Wingdings">
    <w:panose1 w:val="05000000000000000000"/>
  </w:font>
  <w:font w:name="华文楷体">
    <w:panose1 w:val="02010600040101010101"/>
  </w:font>
  <w:font w:name="楷体">
    <w:panose1 w:val="02010609060101010101"/>
  </w:font>
  <w:font w:name="华文细黑">
    <w:panose1 w:val="02010600040101010101"/>
  </w:font>
  <w:font w:name="仿宋">
    <w:panose1 w:val="02010609060101010101"/>
  </w:font>
  <w:font w:name="汉仪大黑简">
    <w:panose1 w:val="020B0503020202020204"/>
  </w:font>
  <w:font w:name="Calibri">
    <w:panose1 w:val="020F0502020204030204"/>
  </w:font>
  <w:font w:name="微软雅黑">
    <w:panose1 w:val="020B0503020204020204"/>
  </w:font>
  <w:font w:name="方正仿宋简体">
    <w:panose1 w:val="020B0503020202020204"/>
  </w:font>
  <w:font w:name="Tahoma">
    <w:panose1 w:val="020B0604030504040204"/>
  </w:font>
  <w:font w:name="ˎ̥">
    <w:panose1 w:val="020B0503020202020204"/>
  </w:font>
  <w:font w:name="楷体_GB2312">
    <w:panose1 w:val="02010609060101010101"/>
  </w:font>
  <w:font w:name="Courier New">
    <w:panose1 w:val="02070309020205020404"/>
  </w:font>
  <w:font w:name="MingLiU_HKSCS">
    <w:panose1 w:val="02020500000000000000"/>
  </w:font>
  <w:font w:name="仿宋_GB2312">
    <w:panose1 w:val="02010609060101010101"/>
  </w:font>
  <w:font w:name="Verdana">
    <w:panose1 w:val="020B0604030504040204"/>
  </w:font>
  <w:font w:name="黑体">
    <w:panose1 w:val="02010609060101010101"/>
  </w:font>
  <w:font w:name="Cambria">
    <w:panose1 w:val="02040503050406030204"/>
  </w:font>
  <w:font w:name="Arial">
    <w:panose1 w:val="020B0604020202020204"/>
  </w:font>
  <w:font w:name="Georgia">
    <w:panose1 w:val="02040502050405020303"/>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spacing w:line="14" w:lineRule="auto"/>
      <w:rPr>
        <w:sz w:val="20"/>
      </w:rPr>
    </w:pPr>
    <w:r>
      <w:rPr>
        <w:sz w:val="20"/>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857885" cy="147955"/>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857885" cy="147955"/>
                      </a:xfrm>
                      <a:prstGeom prst="rect">
                        <a:avLst/>
                      </a:prstGeom>
                      <a:noFill/>
                      <a:ln w="6350">
                        <a:noFill/>
                      </a:ln>
                      <a:effectLst/>
                    </wps:spPr>
                    <wps:txbx>
                      <w:txbxContent>
                        <w:p>
                          <w:pPr>
                            <w:rPr>
                              <w:sz w:val="18"/>
                              <w:szCs w:val="18"/>
                            </w:rPr>
                          </w:pPr>
                          <w:r>
                            <w:rPr>
                              <w:rFonts w:hint="eastAsia"/>
                              <w:sz w:val="18"/>
                              <w:szCs w:val="18"/>
                            </w:rPr>
                            <w:t xml:space="preserve">第 </w:t>
                          </w:r>
                          <w:r>
                            <w:rPr>
                              <w:rFonts w:hint="eastAsia"/>
                              <w:sz w:val="18"/>
                              <w:szCs w:val="18"/>
                            </w:rPr>
                            <w:fldChar w:fldCharType="begin"/>
                          </w:r>
                          <w:r>
                            <w:rPr>
                              <w:rFonts w:hint="eastAsia"/>
                              <w:sz w:val="18"/>
                              <w:szCs w:val="18"/>
                            </w:rPr>
                            <w:instrText xml:space="preserve"> PAGE  \* MERGEFORMAT </w:instrText>
                          </w:r>
                          <w:r>
                            <w:rPr>
                              <w:rFonts w:hint="eastAsia"/>
                              <w:sz w:val="18"/>
                              <w:szCs w:val="18"/>
                            </w:rPr>
                            <w:fldChar w:fldCharType="separate"/>
                          </w:r>
                          <w:r>
                            <w:rPr>
                              <w:sz w:val="18"/>
                              <w:szCs w:val="18"/>
                            </w:rPr>
                            <w:t xml:space="preserve">12</w:t>
                          </w:r>
                          <w:r>
                            <w:rPr>
                              <w:rFonts w:hint="eastAsia"/>
                              <w:sz w:val="18"/>
                              <w:szCs w:val="18"/>
                            </w:rPr>
                            <w:fldChar w:fldCharType="end"/>
                          </w:r>
                          <w:r>
                            <w:rPr>
                              <w:rFonts w:hint="eastAsia"/>
                              <w:sz w:val="18"/>
                              <w:szCs w:val="18"/>
                            </w:rPr>
                            <w:t xml:space="preserve"> 页 共 </w:t>
                          </w:r>
                          <w:r>
                            <w:rPr>
                              <w:sz w:val="18"/>
                              <w:szCs w:val="18"/>
                            </w:rPr>
                            <w:fldChar w:fldCharType="begin"/>
                          </w:r>
                          <w:r>
                            <w:rPr>
                              <w:sz w:val="18"/>
                              <w:szCs w:val="18"/>
                            </w:rPr>
                            <w:instrText xml:space="preserve"> NUMPAGES  \* MERGEFORMAT </w:instrText>
                          </w:r>
                          <w:r>
                            <w:rPr>
                              <w:sz w:val="18"/>
                              <w:szCs w:val="18"/>
                            </w:rPr>
                            <w:fldChar w:fldCharType="separate"/>
                          </w:r>
                          <w:r>
                            <w:rPr>
                              <w:sz w:val="18"/>
                              <w:szCs w:val="18"/>
                            </w:rPr>
                            <w:t xml:space="preserve">96</w:t>
                          </w:r>
                          <w:r>
                            <w:rPr>
                              <w:sz w:val="18"/>
                              <w:szCs w:val="18"/>
                            </w:rPr>
                            <w:fldChar w:fldCharType="end"/>
                          </w:r>
                          <w:r>
                            <w:rPr>
                              <w:rFonts w:hint="eastAsia"/>
                              <w:sz w:val="18"/>
                              <w:szCs w:val="18"/>
                            </w:rP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67.5pt;height:11.6pt;mso-wrap-distance-left:9.0pt;mso-wrap-distance-top:0.0pt;mso-wrap-distance-right:9.0pt;mso-wrap-distance-bottom:0.0pt;v-text-anchor:top;visibility:visible;" filled="f" stroked="f" strokeweight="0.50pt">
              <v:textbox inset="0,0,0,0">
                <w:txbxContent>
                  <w:p>
                    <w:pPr>
                      <w:rPr>
                        <w:sz w:val="18"/>
                        <w:szCs w:val="18"/>
                      </w:rPr>
                    </w:pPr>
                    <w:r>
                      <w:rPr>
                        <w:rFonts w:hint="eastAsia"/>
                        <w:sz w:val="18"/>
                        <w:szCs w:val="18"/>
                      </w:rPr>
                      <w:t xml:space="preserve">第 </w:t>
                    </w:r>
                    <w:r>
                      <w:rPr>
                        <w:rFonts w:hint="eastAsia"/>
                        <w:sz w:val="18"/>
                        <w:szCs w:val="18"/>
                      </w:rPr>
                      <w:fldChar w:fldCharType="begin"/>
                    </w:r>
                    <w:r>
                      <w:rPr>
                        <w:rFonts w:hint="eastAsia"/>
                        <w:sz w:val="18"/>
                        <w:szCs w:val="18"/>
                      </w:rPr>
                      <w:instrText xml:space="preserve"> PAGE  \* MERGEFORMAT </w:instrText>
                    </w:r>
                    <w:r>
                      <w:rPr>
                        <w:rFonts w:hint="eastAsia"/>
                        <w:sz w:val="18"/>
                        <w:szCs w:val="18"/>
                      </w:rPr>
                      <w:fldChar w:fldCharType="separate"/>
                    </w:r>
                    <w:r>
                      <w:rPr>
                        <w:sz w:val="18"/>
                        <w:szCs w:val="18"/>
                      </w:rPr>
                      <w:t xml:space="preserve">12</w:t>
                    </w:r>
                    <w:r>
                      <w:rPr>
                        <w:rFonts w:hint="eastAsia"/>
                        <w:sz w:val="18"/>
                        <w:szCs w:val="18"/>
                      </w:rPr>
                      <w:fldChar w:fldCharType="end"/>
                    </w:r>
                    <w:r>
                      <w:rPr>
                        <w:rFonts w:hint="eastAsia"/>
                        <w:sz w:val="18"/>
                        <w:szCs w:val="18"/>
                      </w:rPr>
                      <w:t xml:space="preserve"> 页 共 </w:t>
                    </w:r>
                    <w:r>
                      <w:rPr>
                        <w:sz w:val="18"/>
                        <w:szCs w:val="18"/>
                      </w:rPr>
                      <w:fldChar w:fldCharType="begin"/>
                    </w:r>
                    <w:r>
                      <w:rPr>
                        <w:sz w:val="18"/>
                        <w:szCs w:val="18"/>
                      </w:rPr>
                      <w:instrText xml:space="preserve"> NUMPAGES  \* MERGEFORMAT </w:instrText>
                    </w:r>
                    <w:r>
                      <w:rPr>
                        <w:sz w:val="18"/>
                        <w:szCs w:val="18"/>
                      </w:rPr>
                      <w:fldChar w:fldCharType="separate"/>
                    </w:r>
                    <w:r>
                      <w:rPr>
                        <w:sz w:val="18"/>
                        <w:szCs w:val="18"/>
                      </w:rPr>
                      <w:t xml:space="preserve">96</w:t>
                    </w:r>
                    <w:r>
                      <w:rPr>
                        <w:sz w:val="18"/>
                        <w:szCs w:val="18"/>
                      </w:rPr>
                      <w:fldChar w:fldCharType="end"/>
                    </w:r>
                    <w:r>
                      <w:rPr>
                        <w:rFonts w:hint="eastAsia"/>
                        <w:sz w:val="18"/>
                        <w:szCs w:val="18"/>
                      </w:rP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ind w:firstLine="360"/>
      <w:rPr>
        <w:rStyle w:val="943"/>
      </w:rPr>
      <w:framePr w:wrap="around" w:vAnchor="text" w:hAnchor="margin" w:xAlign="center" w:y="1"/>
    </w:pPr>
    <w:r>
      <w:fldChar w:fldCharType="begin"/>
    </w:r>
    <w:r>
      <w:rPr>
        <w:rStyle w:val="943"/>
      </w:rPr>
      <w:instrText xml:space="preserve">PAGE  </w:instrText>
    </w:r>
    <w:r>
      <w:fldChar w:fldCharType="separate"/>
    </w:r>
    <w:r>
      <w:rPr>
        <w:rStyle w:val="943"/>
      </w:rPr>
      <w:t xml:space="preserve">76</w:t>
    </w:r>
    <w:r>
      <w:fldChar w:fldCharType="end"/>
    </w:r>
    <w:r/>
  </w:p>
  <w:p>
    <w:pPr>
      <w:pStyle w:val="915"/>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ind w:firstLine="360"/>
      <w:rPr>
        <w:rStyle w:val="943"/>
      </w:rPr>
      <w:framePr w:wrap="around" w:vAnchor="text" w:hAnchor="margin" w:xAlign="center" w:y="1"/>
    </w:pPr>
    <w:r>
      <w:fldChar w:fldCharType="begin"/>
    </w:r>
    <w:r>
      <w:rPr>
        <w:rStyle w:val="943"/>
      </w:rPr>
      <w:instrText xml:space="preserve">PAGE  </w:instrText>
    </w:r>
    <w:r>
      <w:fldChar w:fldCharType="end"/>
    </w:r>
    <w:r/>
  </w:p>
  <w:p>
    <w:pPr>
      <w:pStyle w:val="915"/>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cs="Times New Roman"/>
        <w:sz w:val="18"/>
        <w:lang w:val="en-US" w:bidi="ar-SA"/>
      </w:rPr>
    </w:pPr>
    <w:r>
      <w:rPr>
        <w:sz w:val="18"/>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972185" cy="147955"/>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972185" cy="147955"/>
                      </a:xfrm>
                      <a:prstGeom prst="rect">
                        <a:avLst/>
                      </a:prstGeom>
                      <a:noFill/>
                      <a:ln w="6350">
                        <a:noFill/>
                      </a:ln>
                      <a:effectLst/>
                    </wps:spPr>
                    <wps:txbx>
                      <w:txbxContent>
                        <w:p>
                          <w:pPr>
                            <w:rPr>
                              <w:sz w:val="18"/>
                              <w:szCs w:val="18"/>
                            </w:rPr>
                          </w:pPr>
                          <w:r>
                            <w:rPr>
                              <w:rFonts w:hint="eastAsia"/>
                              <w:sz w:val="18"/>
                              <w:szCs w:val="18"/>
                            </w:rPr>
                            <w:t xml:space="preserve">第 </w:t>
                          </w:r>
                          <w:r>
                            <w:rPr>
                              <w:rFonts w:hint="eastAsia"/>
                              <w:sz w:val="18"/>
                              <w:szCs w:val="18"/>
                            </w:rPr>
                            <w:fldChar w:fldCharType="begin"/>
                          </w:r>
                          <w:r>
                            <w:rPr>
                              <w:sz w:val="18"/>
                              <w:szCs w:val="18"/>
                            </w:rPr>
                            <w:instrText xml:space="preserve"> PAGE  \* MERGEFORMAT </w:instrText>
                          </w:r>
                          <w:r>
                            <w:rPr>
                              <w:rFonts w:hint="eastAsia"/>
                              <w:sz w:val="18"/>
                              <w:szCs w:val="18"/>
                            </w:rPr>
                            <w:fldChar w:fldCharType="separate"/>
                          </w:r>
                          <w:r>
                            <w:rPr>
                              <w:sz w:val="18"/>
                              <w:szCs w:val="18"/>
                            </w:rPr>
                            <w:t xml:space="preserve">96</w:t>
                          </w:r>
                          <w:r>
                            <w:rPr>
                              <w:rFonts w:hint="eastAsia"/>
                              <w:sz w:val="18"/>
                              <w:szCs w:val="18"/>
                            </w:rPr>
                            <w:fldChar w:fldCharType="end"/>
                          </w:r>
                          <w:r>
                            <w:rPr>
                              <w:rFonts w:hint="eastAsia"/>
                              <w:sz w:val="18"/>
                              <w:szCs w:val="18"/>
                            </w:rPr>
                            <w:t xml:space="preserve"> 页 共 </w:t>
                          </w:r>
                          <w:r>
                            <w:rPr>
                              <w:sz w:val="18"/>
                              <w:szCs w:val="18"/>
                            </w:rPr>
                            <w:fldChar w:fldCharType="begin"/>
                          </w:r>
                          <w:r>
                            <w:rPr>
                              <w:sz w:val="18"/>
                              <w:szCs w:val="18"/>
                            </w:rPr>
                            <w:instrText xml:space="preserve"> NUMPAGES  \* MERGEFORMAT </w:instrText>
                          </w:r>
                          <w:r>
                            <w:rPr>
                              <w:sz w:val="18"/>
                              <w:szCs w:val="18"/>
                            </w:rPr>
                            <w:fldChar w:fldCharType="separate"/>
                          </w:r>
                          <w:r>
                            <w:rPr>
                              <w:sz w:val="18"/>
                              <w:szCs w:val="18"/>
                            </w:rPr>
                            <w:t xml:space="preserve">96</w:t>
                          </w:r>
                          <w:r>
                            <w:rPr>
                              <w:sz w:val="18"/>
                              <w:szCs w:val="18"/>
                            </w:rPr>
                            <w:fldChar w:fldCharType="end"/>
                          </w:r>
                          <w:r>
                            <w:rPr>
                              <w:rFonts w:hint="eastAsia"/>
                              <w:sz w:val="18"/>
                              <w:szCs w:val="18"/>
                            </w:rP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text-anchor:top;visibility:visible;" filled="f" stroked="f" strokeweight="0.50pt">
              <v:textbox inset="0,0,0,0">
                <w:txbxContent>
                  <w:p>
                    <w:pPr>
                      <w:rPr>
                        <w:sz w:val="18"/>
                        <w:szCs w:val="18"/>
                      </w:rPr>
                    </w:pPr>
                    <w:r>
                      <w:rPr>
                        <w:rFonts w:hint="eastAsia"/>
                        <w:sz w:val="18"/>
                        <w:szCs w:val="18"/>
                      </w:rPr>
                      <w:t xml:space="preserve">第 </w:t>
                    </w:r>
                    <w:r>
                      <w:rPr>
                        <w:rFonts w:hint="eastAsia"/>
                        <w:sz w:val="18"/>
                        <w:szCs w:val="18"/>
                      </w:rPr>
                      <w:fldChar w:fldCharType="begin"/>
                    </w:r>
                    <w:r>
                      <w:rPr>
                        <w:sz w:val="18"/>
                        <w:szCs w:val="18"/>
                      </w:rPr>
                      <w:instrText xml:space="preserve"> PAGE  \* MERGEFORMAT </w:instrText>
                    </w:r>
                    <w:r>
                      <w:rPr>
                        <w:rFonts w:hint="eastAsia"/>
                        <w:sz w:val="18"/>
                        <w:szCs w:val="18"/>
                      </w:rPr>
                      <w:fldChar w:fldCharType="separate"/>
                    </w:r>
                    <w:r>
                      <w:rPr>
                        <w:sz w:val="18"/>
                        <w:szCs w:val="18"/>
                      </w:rPr>
                      <w:t xml:space="preserve">96</w:t>
                    </w:r>
                    <w:r>
                      <w:rPr>
                        <w:rFonts w:hint="eastAsia"/>
                        <w:sz w:val="18"/>
                        <w:szCs w:val="18"/>
                      </w:rPr>
                      <w:fldChar w:fldCharType="end"/>
                    </w:r>
                    <w:r>
                      <w:rPr>
                        <w:rFonts w:hint="eastAsia"/>
                        <w:sz w:val="18"/>
                        <w:szCs w:val="18"/>
                      </w:rPr>
                      <w:t xml:space="preserve"> 页 共 </w:t>
                    </w:r>
                    <w:r>
                      <w:rPr>
                        <w:sz w:val="18"/>
                        <w:szCs w:val="18"/>
                      </w:rPr>
                      <w:fldChar w:fldCharType="begin"/>
                    </w:r>
                    <w:r>
                      <w:rPr>
                        <w:sz w:val="18"/>
                        <w:szCs w:val="18"/>
                      </w:rPr>
                      <w:instrText xml:space="preserve"> NUMPAGES  \* MERGEFORMAT </w:instrText>
                    </w:r>
                    <w:r>
                      <w:rPr>
                        <w:sz w:val="18"/>
                        <w:szCs w:val="18"/>
                      </w:rPr>
                      <w:fldChar w:fldCharType="separate"/>
                    </w:r>
                    <w:r>
                      <w:rPr>
                        <w:sz w:val="18"/>
                        <w:szCs w:val="18"/>
                      </w:rPr>
                      <w:t xml:space="preserve">96</w:t>
                    </w:r>
                    <w:r>
                      <w:rPr>
                        <w:sz w:val="18"/>
                        <w:szCs w:val="18"/>
                      </w:rPr>
                      <w:fldChar w:fldCharType="end"/>
                    </w:r>
                    <w:r>
                      <w:rPr>
                        <w:rFonts w:hint="eastAsia"/>
                        <w:sz w:val="18"/>
                        <w:szCs w:val="18"/>
                      </w:rP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0"/>
        <w:szCs w:val="20"/>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page">
                <wp:posOffset>1608455</wp:posOffset>
              </wp:positionH>
              <wp:positionV relativeFrom="page">
                <wp:posOffset>546735</wp:posOffset>
              </wp:positionV>
              <wp:extent cx="4342765" cy="151765"/>
              <wp:effectExtent l="0" t="0" r="0" b="0"/>
              <wp:wrapNone/>
              <wp:docPr id="1" name="文本框 9"/>
              <wp:cNvGraphicFramePr/>
              <a:graphic xmlns:a="http://schemas.openxmlformats.org/drawingml/2006/main">
                <a:graphicData uri="http://schemas.microsoft.com/office/word/2010/wordprocessingShape">
                  <wps:wsp>
                    <wps:cNvPr id="0" name=""/>
                    <wps:cNvSpPr txBox="1"/>
                    <wps:spPr bwMode="auto">
                      <a:xfrm>
                        <a:off x="0" y="0"/>
                        <a:ext cx="4342765" cy="151765"/>
                      </a:xfrm>
                      <a:prstGeom prst="rect">
                        <a:avLst/>
                      </a:prstGeom>
                      <a:noFill/>
                      <a:ln>
                        <a:noFill/>
                      </a:ln>
                      <a:effectLst/>
                    </wps:spPr>
                    <wps:txbx>
                      <w:txbxContent>
                        <w:p>
                          <w:r/>
                          <w:r/>
                        </w:p>
                      </w:txbxContent>
                    </wps:txbx>
                    <wps:bodyPr wrap="square" lIns="0" tIns="0" rIns="0" bIns="0" upright="1"/>
                  </wps:wsp>
                </a:graphicData>
              </a:graphic>
            </wp:anchor>
          </w:drawing>
        </mc:Choice>
        <mc:Fallback>
          <w:pict>
            <v:shape id="shape 0" o:spid="_x0000_s0" o:spt="202" type="#_x0000_t202" style="position:absolute;z-index:-251660288;o:allowoverlap:true;o:allowincell:true;mso-position-horizontal-relative:page;margin-left:126.6pt;mso-position-horizontal:absolute;mso-position-vertical-relative:page;margin-top:43.0pt;mso-position-vertical:absolute;width:341.9pt;height:11.9pt;mso-wrap-distance-left:9.0pt;mso-wrap-distance-top:0.0pt;mso-wrap-distance-right:9.0pt;mso-wrap-distance-bottom:0.0pt;visibility:visible;" filled="f" stroked="f">
              <v:textbox inset="0,0,0,0">
                <w:txbxContent>
                  <w:p>
                    <w:r/>
                    <w:r/>
                  </w:p>
                </w:txbxContent>
              </v:textbox>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rPr>
        <w:rFonts w:ascii="Times New Roman" w:hAnsi="Times New Roman" w:cs="Times New Roman"/>
        <w:sz w:val="21"/>
        <w:szCs w:val="20"/>
        <w:lang w:val="en-US" w:bidi="ar-SA"/>
      </w:rPr>
      <w:pBdr>
        <w:bottom w:val="single" w:color="auto" w:sz="4" w:space="0"/>
      </w:pBdr>
    </w:pPr>
    <w:r>
      <w:rPr>
        <w:rFonts w:ascii="Times New Roman" w:hAnsi="Times New Roman" w:cs="Times New Roman"/>
        <w:sz w:val="21"/>
        <w:szCs w:val="20"/>
        <w:lang w:val="en-US" w:bidi="ar-SA"/>
      </w:rPr>
      <mc:AlternateContent>
        <mc:Choice Requires="wpg">
          <w:drawing>
            <wp:inline xmlns:wp="http://schemas.openxmlformats.org/drawingml/2006/wordprocessingDrawing" distT="0" distB="0" distL="0" distR="0">
              <wp:extent cx="1377315" cy="238760"/>
              <wp:effectExtent l="0" t="0" r="13335" b="8890"/>
              <wp:docPr id="2" name="图片 2" descr="c826bae80687e3a7b3b8bc2437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c826bae80687e3a7b3b8bc243736336"/>
                      <pic:cNvPicPr>
                        <a:picLocks noChangeAspect="1"/>
                      </pic:cNvPicPr>
                      <pic:nvPr/>
                    </pic:nvPicPr>
                    <pic:blipFill>
                      <a:blip r:embed="rId1"/>
                      <a:stretch/>
                    </pic:blipFill>
                    <pic:spPr bwMode="auto">
                      <a:xfrm>
                        <a:off x="0" y="0"/>
                        <a:ext cx="1377315" cy="238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08.4pt;height:18.8pt;mso-wrap-distance-left:0.0pt;mso-wrap-distance-top:0.0pt;mso-wrap-distance-right:0.0pt;mso-wrap-distance-bottom:0.0pt;" stroked="f">
              <v:path textboxrect="0,0,0,0"/>
              <v:imagedata r:id="rId1" o:title=""/>
            </v:shape>
          </w:pict>
        </mc:Fallback>
      </mc:AlternateContent>
    </w:r>
    <w:r>
      <w:rPr>
        <w:rFonts w:hint="eastAsia" w:ascii="微软雅黑" w:hAnsi="微软雅黑" w:eastAsia="微软雅黑" w:cs="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4"/>
      <w:numFmt w:val="decimal"/>
      <w:isLgl w:val="false"/>
      <w:suff w:val="tab"/>
      <w:lvlText w:val="%1"/>
      <w:lvlJc w:val="left"/>
      <w:pPr>
        <w:ind w:left="218" w:hanging="526"/>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2152" w:hanging="526"/>
      </w:pPr>
      <w:rPr>
        <w:rFonts w:hint="default"/>
        <w:lang w:val="zh-CN" w:eastAsia="zh-CN" w:bidi="zh-CN"/>
      </w:rPr>
    </w:lvl>
    <w:lvl w:ilvl="3">
      <w:start w:val="0"/>
      <w:numFmt w:val="bullet"/>
      <w:isLgl w:val="false"/>
      <w:suff w:val="tab"/>
      <w:lvlText w:val="•"/>
      <w:lvlJc w:val="left"/>
      <w:pPr>
        <w:ind w:left="3118" w:hanging="526"/>
      </w:pPr>
      <w:rPr>
        <w:rFonts w:hint="default"/>
        <w:lang w:val="zh-CN" w:eastAsia="zh-CN" w:bidi="zh-CN"/>
      </w:rPr>
    </w:lvl>
    <w:lvl w:ilvl="4">
      <w:start w:val="0"/>
      <w:numFmt w:val="bullet"/>
      <w:isLgl w:val="false"/>
      <w:suff w:val="tab"/>
      <w:lvlText w:val="•"/>
      <w:lvlJc w:val="left"/>
      <w:pPr>
        <w:ind w:left="4084" w:hanging="526"/>
      </w:pPr>
      <w:rPr>
        <w:rFonts w:hint="default"/>
        <w:lang w:val="zh-CN" w:eastAsia="zh-CN" w:bidi="zh-CN"/>
      </w:rPr>
    </w:lvl>
    <w:lvl w:ilvl="5">
      <w:start w:val="0"/>
      <w:numFmt w:val="bullet"/>
      <w:isLgl w:val="false"/>
      <w:suff w:val="tab"/>
      <w:lvlText w:val="•"/>
      <w:lvlJc w:val="left"/>
      <w:pPr>
        <w:ind w:left="5050" w:hanging="526"/>
      </w:pPr>
      <w:rPr>
        <w:rFonts w:hint="default"/>
        <w:lang w:val="zh-CN" w:eastAsia="zh-CN" w:bidi="zh-CN"/>
      </w:rPr>
    </w:lvl>
    <w:lvl w:ilvl="6">
      <w:start w:val="0"/>
      <w:numFmt w:val="bullet"/>
      <w:isLgl w:val="false"/>
      <w:suff w:val="tab"/>
      <w:lvlText w:val="•"/>
      <w:lvlJc w:val="left"/>
      <w:pPr>
        <w:ind w:left="6016" w:hanging="526"/>
      </w:pPr>
      <w:rPr>
        <w:rFonts w:hint="default"/>
        <w:lang w:val="zh-CN" w:eastAsia="zh-CN" w:bidi="zh-CN"/>
      </w:rPr>
    </w:lvl>
    <w:lvl w:ilvl="7">
      <w:start w:val="0"/>
      <w:numFmt w:val="bullet"/>
      <w:isLgl w:val="false"/>
      <w:suff w:val="tab"/>
      <w:lvlText w:val="•"/>
      <w:lvlJc w:val="left"/>
      <w:pPr>
        <w:ind w:left="6982" w:hanging="526"/>
      </w:pPr>
      <w:rPr>
        <w:rFonts w:hint="default"/>
        <w:lang w:val="zh-CN" w:eastAsia="zh-CN" w:bidi="zh-CN"/>
      </w:rPr>
    </w:lvl>
    <w:lvl w:ilvl="8">
      <w:start w:val="0"/>
      <w:numFmt w:val="bullet"/>
      <w:isLgl w:val="false"/>
      <w:suff w:val="tab"/>
      <w:lvlText w:val="•"/>
      <w:lvlJc w:val="left"/>
      <w:pPr>
        <w:ind w:left="7948" w:hanging="526"/>
      </w:pPr>
      <w:rPr>
        <w:rFonts w:hint="default"/>
        <w:lang w:val="zh-CN" w:eastAsia="zh-CN" w:bidi="zh-CN"/>
      </w:rPr>
    </w:lvl>
  </w:abstractNum>
  <w:abstractNum w:abstractNumId="1">
    <w:multiLevelType w:val="hybridMultilevel"/>
    <w:lvl w:ilvl="0">
      <w:start w:val="9"/>
      <w:numFmt w:val="decimal"/>
      <w:isLgl w:val="false"/>
      <w:suff w:val="tab"/>
      <w:lvlText w:val="%1"/>
      <w:lvlJc w:val="left"/>
      <w:pPr>
        <w:ind w:left="218" w:hanging="368"/>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b w:val="0"/>
        <w:bCs w:val="0"/>
        <w:spacing w:val="0"/>
        <w:sz w:val="21"/>
        <w:szCs w:val="21"/>
        <w:lang w:val="zh-CN" w:eastAsia="zh-CN" w:bidi="zh-CN"/>
      </w:rPr>
    </w:lvl>
    <w:lvl w:ilvl="2">
      <w:start w:val="0"/>
      <w:numFmt w:val="bullet"/>
      <w:isLgl w:val="false"/>
      <w:suff w:val="tab"/>
      <w:lvlText w:val="•"/>
      <w:lvlJc w:val="left"/>
      <w:pPr>
        <w:ind w:left="2152" w:hanging="368"/>
      </w:pPr>
      <w:rPr>
        <w:rFonts w:hint="default"/>
        <w:lang w:val="zh-CN" w:eastAsia="zh-CN" w:bidi="zh-CN"/>
      </w:rPr>
    </w:lvl>
    <w:lvl w:ilvl="3">
      <w:start w:val="0"/>
      <w:numFmt w:val="bullet"/>
      <w:isLgl w:val="false"/>
      <w:suff w:val="tab"/>
      <w:lvlText w:val="•"/>
      <w:lvlJc w:val="left"/>
      <w:pPr>
        <w:ind w:left="3118" w:hanging="368"/>
      </w:pPr>
      <w:rPr>
        <w:rFonts w:hint="default"/>
        <w:lang w:val="zh-CN" w:eastAsia="zh-CN" w:bidi="zh-CN"/>
      </w:rPr>
    </w:lvl>
    <w:lvl w:ilvl="4">
      <w:start w:val="0"/>
      <w:numFmt w:val="bullet"/>
      <w:isLgl w:val="false"/>
      <w:suff w:val="tab"/>
      <w:lvlText w:val="•"/>
      <w:lvlJc w:val="left"/>
      <w:pPr>
        <w:ind w:left="4084" w:hanging="368"/>
      </w:pPr>
      <w:rPr>
        <w:rFonts w:hint="default"/>
        <w:lang w:val="zh-CN" w:eastAsia="zh-CN" w:bidi="zh-CN"/>
      </w:rPr>
    </w:lvl>
    <w:lvl w:ilvl="5">
      <w:start w:val="0"/>
      <w:numFmt w:val="bullet"/>
      <w:isLgl w:val="false"/>
      <w:suff w:val="tab"/>
      <w:lvlText w:val="•"/>
      <w:lvlJc w:val="left"/>
      <w:pPr>
        <w:ind w:left="5050" w:hanging="368"/>
      </w:pPr>
      <w:rPr>
        <w:rFonts w:hint="default"/>
        <w:lang w:val="zh-CN" w:eastAsia="zh-CN" w:bidi="zh-CN"/>
      </w:rPr>
    </w:lvl>
    <w:lvl w:ilvl="6">
      <w:start w:val="0"/>
      <w:numFmt w:val="bullet"/>
      <w:isLgl w:val="false"/>
      <w:suff w:val="tab"/>
      <w:lvlText w:val="•"/>
      <w:lvlJc w:val="left"/>
      <w:pPr>
        <w:ind w:left="6016" w:hanging="368"/>
      </w:pPr>
      <w:rPr>
        <w:rFonts w:hint="default"/>
        <w:lang w:val="zh-CN" w:eastAsia="zh-CN" w:bidi="zh-CN"/>
      </w:rPr>
    </w:lvl>
    <w:lvl w:ilvl="7">
      <w:start w:val="0"/>
      <w:numFmt w:val="bullet"/>
      <w:isLgl w:val="false"/>
      <w:suff w:val="tab"/>
      <w:lvlText w:val="•"/>
      <w:lvlJc w:val="left"/>
      <w:pPr>
        <w:ind w:left="6982" w:hanging="368"/>
      </w:pPr>
      <w:rPr>
        <w:rFonts w:hint="default"/>
        <w:lang w:val="zh-CN" w:eastAsia="zh-CN" w:bidi="zh-CN"/>
      </w:rPr>
    </w:lvl>
    <w:lvl w:ilvl="8">
      <w:start w:val="0"/>
      <w:numFmt w:val="bullet"/>
      <w:isLgl w:val="false"/>
      <w:suff w:val="tab"/>
      <w:lvlText w:val="•"/>
      <w:lvlJc w:val="left"/>
      <w:pPr>
        <w:ind w:left="7948" w:hanging="368"/>
      </w:pPr>
      <w:rPr>
        <w:rFonts w:hint="default"/>
        <w:lang w:val="zh-CN" w:eastAsia="zh-CN" w:bidi="zh-CN"/>
      </w:rPr>
    </w:lvl>
  </w:abstractNum>
  <w:abstractNum w:abstractNumId="2">
    <w:multiLevelType w:val="hybridMultilevel"/>
    <w:lvl w:ilvl="0">
      <w:start w:val="1"/>
      <w:numFmt w:val="decimal"/>
      <w:isLgl w:val="false"/>
      <w:suff w:val="space"/>
      <w:lvlText w:val="（%1）"/>
      <w:lvlJc w:val="left"/>
      <w:pPr>
        <w:ind w:left="0" w:firstLine="0"/>
      </w:pPr>
      <w:rPr>
        <w:rFonts w:hint="default"/>
        <w:spacing w:val="-1"/>
        <w:lang w:val="zh-CN" w:eastAsia="zh-CN" w:bidi="zh-CN"/>
      </w:rPr>
    </w:lvl>
    <w:lvl w:ilvl="1">
      <w:start w:val="0"/>
      <w:numFmt w:val="bullet"/>
      <w:isLgl w:val="false"/>
      <w:suff w:val="tab"/>
      <w:lvlText w:val="•"/>
      <w:lvlJc w:val="left"/>
      <w:pPr>
        <w:ind w:left="2032" w:hanging="526"/>
      </w:pPr>
      <w:rPr>
        <w:rFonts w:hint="default"/>
        <w:lang w:val="zh-CN" w:eastAsia="zh-CN" w:bidi="zh-CN"/>
      </w:rPr>
    </w:lvl>
    <w:lvl w:ilvl="2">
      <w:start w:val="0"/>
      <w:numFmt w:val="bullet"/>
      <w:isLgl w:val="false"/>
      <w:suff w:val="tab"/>
      <w:lvlText w:val="•"/>
      <w:lvlJc w:val="left"/>
      <w:pPr>
        <w:ind w:left="2904" w:hanging="526"/>
      </w:pPr>
      <w:rPr>
        <w:rFonts w:hint="default"/>
        <w:lang w:val="zh-CN" w:eastAsia="zh-CN" w:bidi="zh-CN"/>
      </w:rPr>
    </w:lvl>
    <w:lvl w:ilvl="3">
      <w:start w:val="0"/>
      <w:numFmt w:val="bullet"/>
      <w:isLgl w:val="false"/>
      <w:suff w:val="tab"/>
      <w:lvlText w:val="•"/>
      <w:lvlJc w:val="left"/>
      <w:pPr>
        <w:ind w:left="3776" w:hanging="526"/>
      </w:pPr>
      <w:rPr>
        <w:rFonts w:hint="default"/>
        <w:lang w:val="zh-CN" w:eastAsia="zh-CN" w:bidi="zh-CN"/>
      </w:rPr>
    </w:lvl>
    <w:lvl w:ilvl="4">
      <w:start w:val="0"/>
      <w:numFmt w:val="bullet"/>
      <w:isLgl w:val="false"/>
      <w:suff w:val="tab"/>
      <w:lvlText w:val="•"/>
      <w:lvlJc w:val="left"/>
      <w:pPr>
        <w:ind w:left="4648" w:hanging="526"/>
      </w:pPr>
      <w:rPr>
        <w:rFonts w:hint="default"/>
        <w:lang w:val="zh-CN" w:eastAsia="zh-CN" w:bidi="zh-CN"/>
      </w:rPr>
    </w:lvl>
    <w:lvl w:ilvl="5">
      <w:start w:val="0"/>
      <w:numFmt w:val="bullet"/>
      <w:isLgl w:val="false"/>
      <w:suff w:val="tab"/>
      <w:lvlText w:val="•"/>
      <w:lvlJc w:val="left"/>
      <w:pPr>
        <w:ind w:left="5520" w:hanging="526"/>
      </w:pPr>
      <w:rPr>
        <w:rFonts w:hint="default"/>
        <w:lang w:val="zh-CN" w:eastAsia="zh-CN" w:bidi="zh-CN"/>
      </w:rPr>
    </w:lvl>
    <w:lvl w:ilvl="6">
      <w:start w:val="0"/>
      <w:numFmt w:val="bullet"/>
      <w:isLgl w:val="false"/>
      <w:suff w:val="tab"/>
      <w:lvlText w:val="•"/>
      <w:lvlJc w:val="left"/>
      <w:pPr>
        <w:ind w:left="6392" w:hanging="526"/>
      </w:pPr>
      <w:rPr>
        <w:rFonts w:hint="default"/>
        <w:lang w:val="zh-CN" w:eastAsia="zh-CN" w:bidi="zh-CN"/>
      </w:rPr>
    </w:lvl>
    <w:lvl w:ilvl="7">
      <w:start w:val="0"/>
      <w:numFmt w:val="bullet"/>
      <w:isLgl w:val="false"/>
      <w:suff w:val="tab"/>
      <w:lvlText w:val="•"/>
      <w:lvlJc w:val="left"/>
      <w:pPr>
        <w:ind w:left="7264" w:hanging="526"/>
      </w:pPr>
      <w:rPr>
        <w:rFonts w:hint="default"/>
        <w:lang w:val="zh-CN" w:eastAsia="zh-CN" w:bidi="zh-CN"/>
      </w:rPr>
    </w:lvl>
    <w:lvl w:ilvl="8">
      <w:start w:val="0"/>
      <w:numFmt w:val="bullet"/>
      <w:isLgl w:val="false"/>
      <w:suff w:val="tab"/>
      <w:lvlText w:val="•"/>
      <w:lvlJc w:val="left"/>
      <w:pPr>
        <w:ind w:left="8136" w:hanging="526"/>
      </w:pPr>
      <w:rPr>
        <w:rFonts w:hint="default"/>
        <w:lang w:val="zh-CN" w:eastAsia="zh-CN" w:bidi="zh-CN"/>
      </w:rPr>
    </w:lvl>
  </w:abstractNum>
  <w:abstractNum w:abstractNumId="3">
    <w:multiLevelType w:val="hybridMultilevel"/>
    <w:lvl w:ilvl="0">
      <w:start w:val="5"/>
      <w:numFmt w:val="decimal"/>
      <w:isLgl w:val="false"/>
      <w:suff w:val="tab"/>
      <w:lvlText w:val="%1"/>
      <w:lvlJc w:val="left"/>
      <w:pPr>
        <w:ind w:left="218" w:hanging="317"/>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b w:val="0"/>
        <w:bCs w:val="0"/>
        <w:spacing w:val="-2"/>
        <w:sz w:val="19"/>
        <w:szCs w:val="19"/>
        <w:lang w:val="zh-CN" w:eastAsia="zh-CN" w:bidi="zh-CN"/>
      </w:rPr>
    </w:lvl>
    <w:lvl w:ilvl="2">
      <w:start w:val="0"/>
      <w:numFmt w:val="bullet"/>
      <w:isLgl w:val="false"/>
      <w:suff w:val="tab"/>
      <w:lvlText w:val="•"/>
      <w:lvlJc w:val="left"/>
      <w:pPr>
        <w:ind w:left="2152" w:hanging="317"/>
      </w:pPr>
      <w:rPr>
        <w:rFonts w:hint="default"/>
        <w:lang w:val="zh-CN" w:eastAsia="zh-CN" w:bidi="zh-CN"/>
      </w:rPr>
    </w:lvl>
    <w:lvl w:ilvl="3">
      <w:start w:val="0"/>
      <w:numFmt w:val="bullet"/>
      <w:isLgl w:val="false"/>
      <w:suff w:val="tab"/>
      <w:lvlText w:val="•"/>
      <w:lvlJc w:val="left"/>
      <w:pPr>
        <w:ind w:left="3118" w:hanging="317"/>
      </w:pPr>
      <w:rPr>
        <w:rFonts w:hint="default"/>
        <w:lang w:val="zh-CN" w:eastAsia="zh-CN" w:bidi="zh-CN"/>
      </w:rPr>
    </w:lvl>
    <w:lvl w:ilvl="4">
      <w:start w:val="0"/>
      <w:numFmt w:val="bullet"/>
      <w:isLgl w:val="false"/>
      <w:suff w:val="tab"/>
      <w:lvlText w:val="•"/>
      <w:lvlJc w:val="left"/>
      <w:pPr>
        <w:ind w:left="4084" w:hanging="317"/>
      </w:pPr>
      <w:rPr>
        <w:rFonts w:hint="default"/>
        <w:lang w:val="zh-CN" w:eastAsia="zh-CN" w:bidi="zh-CN"/>
      </w:rPr>
    </w:lvl>
    <w:lvl w:ilvl="5">
      <w:start w:val="0"/>
      <w:numFmt w:val="bullet"/>
      <w:isLgl w:val="false"/>
      <w:suff w:val="tab"/>
      <w:lvlText w:val="•"/>
      <w:lvlJc w:val="left"/>
      <w:pPr>
        <w:ind w:left="5050" w:hanging="317"/>
      </w:pPr>
      <w:rPr>
        <w:rFonts w:hint="default"/>
        <w:lang w:val="zh-CN" w:eastAsia="zh-CN" w:bidi="zh-CN"/>
      </w:rPr>
    </w:lvl>
    <w:lvl w:ilvl="6">
      <w:start w:val="0"/>
      <w:numFmt w:val="bullet"/>
      <w:isLgl w:val="false"/>
      <w:suff w:val="tab"/>
      <w:lvlText w:val="•"/>
      <w:lvlJc w:val="left"/>
      <w:pPr>
        <w:ind w:left="6016" w:hanging="317"/>
      </w:pPr>
      <w:rPr>
        <w:rFonts w:hint="default"/>
        <w:lang w:val="zh-CN" w:eastAsia="zh-CN" w:bidi="zh-CN"/>
      </w:rPr>
    </w:lvl>
    <w:lvl w:ilvl="7">
      <w:start w:val="0"/>
      <w:numFmt w:val="bullet"/>
      <w:isLgl w:val="false"/>
      <w:suff w:val="tab"/>
      <w:lvlText w:val="•"/>
      <w:lvlJc w:val="left"/>
      <w:pPr>
        <w:ind w:left="6982" w:hanging="317"/>
      </w:pPr>
      <w:rPr>
        <w:rFonts w:hint="default"/>
        <w:lang w:val="zh-CN" w:eastAsia="zh-CN" w:bidi="zh-CN"/>
      </w:rPr>
    </w:lvl>
    <w:lvl w:ilvl="8">
      <w:start w:val="0"/>
      <w:numFmt w:val="bullet"/>
      <w:isLgl w:val="false"/>
      <w:suff w:val="tab"/>
      <w:lvlText w:val="•"/>
      <w:lvlJc w:val="left"/>
      <w:pPr>
        <w:ind w:left="7948" w:hanging="317"/>
      </w:pPr>
      <w:rPr>
        <w:rFonts w:hint="default"/>
        <w:lang w:val="zh-CN" w:eastAsia="zh-CN" w:bidi="zh-CN"/>
      </w:rPr>
    </w:lvl>
  </w:abstractNum>
  <w:abstractNum w:abstractNumId="4">
    <w:multiLevelType w:val="hybridMultilevel"/>
    <w:lvl w:ilvl="0">
      <w:start w:val="4"/>
      <w:numFmt w:val="decimal"/>
      <w:isLgl w:val="false"/>
      <w:suff w:val="tab"/>
      <w:lvlText w:val="%1"/>
      <w:lvlJc w:val="left"/>
      <w:pPr>
        <w:ind w:left="218" w:hanging="420"/>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2152" w:hanging="420"/>
      </w:pPr>
      <w:rPr>
        <w:rFonts w:hint="default"/>
        <w:lang w:val="zh-CN" w:eastAsia="zh-CN" w:bidi="zh-CN"/>
      </w:rPr>
    </w:lvl>
    <w:lvl w:ilvl="3">
      <w:start w:val="0"/>
      <w:numFmt w:val="bullet"/>
      <w:isLgl w:val="false"/>
      <w:suff w:val="tab"/>
      <w:lvlText w:val="•"/>
      <w:lvlJc w:val="left"/>
      <w:pPr>
        <w:ind w:left="3118" w:hanging="420"/>
      </w:pPr>
      <w:rPr>
        <w:rFonts w:hint="default"/>
        <w:lang w:val="zh-CN" w:eastAsia="zh-CN" w:bidi="zh-CN"/>
      </w:rPr>
    </w:lvl>
    <w:lvl w:ilvl="4">
      <w:start w:val="0"/>
      <w:numFmt w:val="bullet"/>
      <w:isLgl w:val="false"/>
      <w:suff w:val="tab"/>
      <w:lvlText w:val="•"/>
      <w:lvlJc w:val="left"/>
      <w:pPr>
        <w:ind w:left="4084" w:hanging="420"/>
      </w:pPr>
      <w:rPr>
        <w:rFonts w:hint="default"/>
        <w:lang w:val="zh-CN" w:eastAsia="zh-CN" w:bidi="zh-CN"/>
      </w:rPr>
    </w:lvl>
    <w:lvl w:ilvl="5">
      <w:start w:val="0"/>
      <w:numFmt w:val="bullet"/>
      <w:isLgl w:val="false"/>
      <w:suff w:val="tab"/>
      <w:lvlText w:val="•"/>
      <w:lvlJc w:val="left"/>
      <w:pPr>
        <w:ind w:left="5050" w:hanging="420"/>
      </w:pPr>
      <w:rPr>
        <w:rFonts w:hint="default"/>
        <w:lang w:val="zh-CN" w:eastAsia="zh-CN" w:bidi="zh-CN"/>
      </w:rPr>
    </w:lvl>
    <w:lvl w:ilvl="6">
      <w:start w:val="0"/>
      <w:numFmt w:val="bullet"/>
      <w:isLgl w:val="false"/>
      <w:suff w:val="tab"/>
      <w:lvlText w:val="•"/>
      <w:lvlJc w:val="left"/>
      <w:pPr>
        <w:ind w:left="6016" w:hanging="420"/>
      </w:pPr>
      <w:rPr>
        <w:rFonts w:hint="default"/>
        <w:lang w:val="zh-CN" w:eastAsia="zh-CN" w:bidi="zh-CN"/>
      </w:rPr>
    </w:lvl>
    <w:lvl w:ilvl="7">
      <w:start w:val="0"/>
      <w:numFmt w:val="bullet"/>
      <w:isLgl w:val="false"/>
      <w:suff w:val="tab"/>
      <w:lvlText w:val="•"/>
      <w:lvlJc w:val="left"/>
      <w:pPr>
        <w:ind w:left="6982" w:hanging="420"/>
      </w:pPr>
      <w:rPr>
        <w:rFonts w:hint="default"/>
        <w:lang w:val="zh-CN" w:eastAsia="zh-CN" w:bidi="zh-CN"/>
      </w:rPr>
    </w:lvl>
    <w:lvl w:ilvl="8">
      <w:start w:val="0"/>
      <w:numFmt w:val="bullet"/>
      <w:isLgl w:val="false"/>
      <w:suff w:val="tab"/>
      <w:lvlText w:val="•"/>
      <w:lvlJc w:val="left"/>
      <w:pPr>
        <w:ind w:left="7948" w:hanging="420"/>
      </w:pPr>
      <w:rPr>
        <w:rFonts w:hint="default"/>
        <w:lang w:val="zh-CN" w:eastAsia="zh-CN" w:bidi="zh-CN"/>
      </w:rPr>
    </w:lvl>
  </w:abstractNum>
  <w:abstractNum w:abstractNumId="5">
    <w:multiLevelType w:val="hybridMultilevel"/>
    <w:lvl w:ilvl="0">
      <w:start w:val="2"/>
      <w:numFmt w:val="decimal"/>
      <w:isLgl w:val="false"/>
      <w:suff w:val="tab"/>
      <w:lvlText w:val="%1"/>
      <w:lvlJc w:val="left"/>
      <w:pPr>
        <w:ind w:left="1058" w:hanging="420"/>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b w:val="0"/>
        <w:bCs w:val="0"/>
        <w:spacing w:val="0"/>
        <w:sz w:val="21"/>
        <w:szCs w:val="21"/>
        <w:lang w:val="zh-CN" w:eastAsia="zh-CN" w:bidi="zh-CN"/>
      </w:rPr>
    </w:lvl>
    <w:lvl w:ilvl="2">
      <w:start w:val="0"/>
      <w:numFmt w:val="bullet"/>
      <w:isLgl w:val="false"/>
      <w:suff w:val="tab"/>
      <w:lvlText w:val="•"/>
      <w:lvlJc w:val="left"/>
      <w:pPr>
        <w:ind w:left="2824" w:hanging="420"/>
      </w:pPr>
      <w:rPr>
        <w:rFonts w:hint="default"/>
        <w:lang w:val="zh-CN" w:eastAsia="zh-CN" w:bidi="zh-CN"/>
      </w:rPr>
    </w:lvl>
    <w:lvl w:ilvl="3">
      <w:start w:val="0"/>
      <w:numFmt w:val="bullet"/>
      <w:isLgl w:val="false"/>
      <w:suff w:val="tab"/>
      <w:lvlText w:val="•"/>
      <w:lvlJc w:val="left"/>
      <w:pPr>
        <w:ind w:left="3706" w:hanging="420"/>
      </w:pPr>
      <w:rPr>
        <w:rFonts w:hint="default"/>
        <w:lang w:val="zh-CN" w:eastAsia="zh-CN" w:bidi="zh-CN"/>
      </w:rPr>
    </w:lvl>
    <w:lvl w:ilvl="4">
      <w:start w:val="0"/>
      <w:numFmt w:val="bullet"/>
      <w:isLgl w:val="false"/>
      <w:suff w:val="tab"/>
      <w:lvlText w:val="•"/>
      <w:lvlJc w:val="left"/>
      <w:pPr>
        <w:ind w:left="4588" w:hanging="420"/>
      </w:pPr>
      <w:rPr>
        <w:rFonts w:hint="default"/>
        <w:lang w:val="zh-CN" w:eastAsia="zh-CN" w:bidi="zh-CN"/>
      </w:rPr>
    </w:lvl>
    <w:lvl w:ilvl="5">
      <w:start w:val="0"/>
      <w:numFmt w:val="bullet"/>
      <w:isLgl w:val="false"/>
      <w:suff w:val="tab"/>
      <w:lvlText w:val="•"/>
      <w:lvlJc w:val="left"/>
      <w:pPr>
        <w:ind w:left="5470" w:hanging="420"/>
      </w:pPr>
      <w:rPr>
        <w:rFonts w:hint="default"/>
        <w:lang w:val="zh-CN" w:eastAsia="zh-CN" w:bidi="zh-CN"/>
      </w:rPr>
    </w:lvl>
    <w:lvl w:ilvl="6">
      <w:start w:val="0"/>
      <w:numFmt w:val="bullet"/>
      <w:isLgl w:val="false"/>
      <w:suff w:val="tab"/>
      <w:lvlText w:val="•"/>
      <w:lvlJc w:val="left"/>
      <w:pPr>
        <w:ind w:left="6352" w:hanging="420"/>
      </w:pPr>
      <w:rPr>
        <w:rFonts w:hint="default"/>
        <w:lang w:val="zh-CN" w:eastAsia="zh-CN" w:bidi="zh-CN"/>
      </w:rPr>
    </w:lvl>
    <w:lvl w:ilvl="7">
      <w:start w:val="0"/>
      <w:numFmt w:val="bullet"/>
      <w:isLgl w:val="false"/>
      <w:suff w:val="tab"/>
      <w:lvlText w:val="•"/>
      <w:lvlJc w:val="left"/>
      <w:pPr>
        <w:ind w:left="7234" w:hanging="420"/>
      </w:pPr>
      <w:rPr>
        <w:rFonts w:hint="default"/>
        <w:lang w:val="zh-CN" w:eastAsia="zh-CN" w:bidi="zh-CN"/>
      </w:rPr>
    </w:lvl>
    <w:lvl w:ilvl="8">
      <w:start w:val="0"/>
      <w:numFmt w:val="bullet"/>
      <w:isLgl w:val="false"/>
      <w:suff w:val="tab"/>
      <w:lvlText w:val="•"/>
      <w:lvlJc w:val="left"/>
      <w:pPr>
        <w:ind w:left="8116" w:hanging="420"/>
      </w:pPr>
      <w:rPr>
        <w:rFonts w:hint="default"/>
        <w:lang w:val="zh-CN" w:eastAsia="zh-CN" w:bidi="zh-CN"/>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8"/>
      <w:numFmt w:val="decimal"/>
      <w:isLgl w:val="false"/>
      <w:suff w:val="tab"/>
      <w:lvlText w:val="%1"/>
      <w:lvlJc w:val="left"/>
      <w:pPr>
        <w:ind w:left="7164" w:hanging="526"/>
      </w:pPr>
      <w:rPr>
        <w:rFonts w:hint="default"/>
        <w:lang w:val="zh-CN" w:eastAsia="zh-CN" w:bidi="zh-CN"/>
      </w:rPr>
    </w:lvl>
    <w:lvl w:ilvl="1">
      <w:start w:val="1"/>
      <w:numFmt w:val="decimal"/>
      <w:isLgl w:val="false"/>
      <w:suff w:val="space"/>
      <w:lvlText w:val="%1.%2"/>
      <w:lvlJc w:val="left"/>
      <w:pPr>
        <w:ind w:left="6946"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9098" w:hanging="526"/>
      </w:pPr>
      <w:rPr>
        <w:rFonts w:hint="default"/>
        <w:lang w:val="zh-CN" w:eastAsia="zh-CN" w:bidi="zh-CN"/>
      </w:rPr>
    </w:lvl>
    <w:lvl w:ilvl="3">
      <w:start w:val="0"/>
      <w:numFmt w:val="bullet"/>
      <w:isLgl w:val="false"/>
      <w:suff w:val="tab"/>
      <w:lvlText w:val="•"/>
      <w:lvlJc w:val="left"/>
      <w:pPr>
        <w:ind w:left="10064" w:hanging="526"/>
      </w:pPr>
      <w:rPr>
        <w:rFonts w:hint="default"/>
        <w:lang w:val="zh-CN" w:eastAsia="zh-CN" w:bidi="zh-CN"/>
      </w:rPr>
    </w:lvl>
    <w:lvl w:ilvl="4">
      <w:start w:val="0"/>
      <w:numFmt w:val="bullet"/>
      <w:isLgl w:val="false"/>
      <w:suff w:val="tab"/>
      <w:lvlText w:val="•"/>
      <w:lvlJc w:val="left"/>
      <w:pPr>
        <w:ind w:left="11030" w:hanging="526"/>
      </w:pPr>
      <w:rPr>
        <w:rFonts w:hint="default"/>
        <w:lang w:val="zh-CN" w:eastAsia="zh-CN" w:bidi="zh-CN"/>
      </w:rPr>
    </w:lvl>
    <w:lvl w:ilvl="5">
      <w:start w:val="0"/>
      <w:numFmt w:val="bullet"/>
      <w:isLgl w:val="false"/>
      <w:suff w:val="tab"/>
      <w:lvlText w:val="•"/>
      <w:lvlJc w:val="left"/>
      <w:pPr>
        <w:ind w:left="11996" w:hanging="526"/>
      </w:pPr>
      <w:rPr>
        <w:rFonts w:hint="default"/>
        <w:lang w:val="zh-CN" w:eastAsia="zh-CN" w:bidi="zh-CN"/>
      </w:rPr>
    </w:lvl>
    <w:lvl w:ilvl="6">
      <w:start w:val="0"/>
      <w:numFmt w:val="bullet"/>
      <w:isLgl w:val="false"/>
      <w:suff w:val="tab"/>
      <w:lvlText w:val="•"/>
      <w:lvlJc w:val="left"/>
      <w:pPr>
        <w:ind w:left="12962" w:hanging="526"/>
      </w:pPr>
      <w:rPr>
        <w:rFonts w:hint="default"/>
        <w:lang w:val="zh-CN" w:eastAsia="zh-CN" w:bidi="zh-CN"/>
      </w:rPr>
    </w:lvl>
    <w:lvl w:ilvl="7">
      <w:start w:val="0"/>
      <w:numFmt w:val="bullet"/>
      <w:isLgl w:val="false"/>
      <w:suff w:val="tab"/>
      <w:lvlText w:val="•"/>
      <w:lvlJc w:val="left"/>
      <w:pPr>
        <w:ind w:left="13928" w:hanging="526"/>
      </w:pPr>
      <w:rPr>
        <w:rFonts w:hint="default"/>
        <w:lang w:val="zh-CN" w:eastAsia="zh-CN" w:bidi="zh-CN"/>
      </w:rPr>
    </w:lvl>
    <w:lvl w:ilvl="8">
      <w:start w:val="0"/>
      <w:numFmt w:val="bullet"/>
      <w:isLgl w:val="false"/>
      <w:suff w:val="tab"/>
      <w:lvlText w:val="•"/>
      <w:lvlJc w:val="left"/>
      <w:pPr>
        <w:ind w:left="14894" w:hanging="526"/>
      </w:pPr>
      <w:rPr>
        <w:rFonts w:hint="default"/>
        <w:lang w:val="zh-CN" w:eastAsia="zh-CN" w:bidi="zh-CN"/>
      </w:rPr>
    </w:lvl>
  </w:abstractNum>
  <w:abstractNum w:abstractNumId="8">
    <w:multiLevelType w:val="hybridMultilevel"/>
    <w:lvl w:ilvl="0">
      <w:start w:val="1"/>
      <w:numFmt w:val="bullet"/>
      <w:pStyle w:val="1311"/>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9">
    <w:multiLevelType w:val="hybridMultilevel"/>
    <w:lvl w:ilvl="0">
      <w:start w:val="1"/>
      <w:numFmt w:val="decimal"/>
      <w:pStyle w:val="1272"/>
      <w:isLgl w:val="false"/>
      <w:suff w:val="tab"/>
      <w:lvlText w:val="(%1)"/>
      <w:lvlJc w:val="left"/>
      <w:pPr>
        <w:ind w:left="397" w:hanging="397"/>
        <w:tabs>
          <w:tab w:val="left" w:pos="397" w:leader="none"/>
        </w:tabs>
      </w:pPr>
      <w:rPr>
        <w:rFonts w:hint="default" w:ascii="Arial" w:hAnsi="Arial" w:eastAsia="宋体"/>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428"/>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0">
    <w:multiLevelType w:val="hybridMultilevel"/>
    <w:lvl w:ilvl="0">
      <w:start w:val="23"/>
      <w:numFmt w:val="decimal"/>
      <w:isLgl w:val="false"/>
      <w:suff w:val="tab"/>
      <w:lvlText w:val="%1"/>
      <w:lvlJc w:val="left"/>
      <w:pPr>
        <w:ind w:left="1164" w:hanging="526"/>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2904" w:hanging="526"/>
      </w:pPr>
      <w:rPr>
        <w:rFonts w:hint="default"/>
        <w:lang w:val="zh-CN" w:eastAsia="zh-CN" w:bidi="zh-CN"/>
      </w:rPr>
    </w:lvl>
    <w:lvl w:ilvl="3">
      <w:start w:val="0"/>
      <w:numFmt w:val="bullet"/>
      <w:isLgl w:val="false"/>
      <w:suff w:val="tab"/>
      <w:lvlText w:val="•"/>
      <w:lvlJc w:val="left"/>
      <w:pPr>
        <w:ind w:left="3776" w:hanging="526"/>
      </w:pPr>
      <w:rPr>
        <w:rFonts w:hint="default"/>
        <w:lang w:val="zh-CN" w:eastAsia="zh-CN" w:bidi="zh-CN"/>
      </w:rPr>
    </w:lvl>
    <w:lvl w:ilvl="4">
      <w:start w:val="0"/>
      <w:numFmt w:val="bullet"/>
      <w:isLgl w:val="false"/>
      <w:suff w:val="tab"/>
      <w:lvlText w:val="•"/>
      <w:lvlJc w:val="left"/>
      <w:pPr>
        <w:ind w:left="4648" w:hanging="526"/>
      </w:pPr>
      <w:rPr>
        <w:rFonts w:hint="default"/>
        <w:lang w:val="zh-CN" w:eastAsia="zh-CN" w:bidi="zh-CN"/>
      </w:rPr>
    </w:lvl>
    <w:lvl w:ilvl="5">
      <w:start w:val="0"/>
      <w:numFmt w:val="bullet"/>
      <w:isLgl w:val="false"/>
      <w:suff w:val="tab"/>
      <w:lvlText w:val="•"/>
      <w:lvlJc w:val="left"/>
      <w:pPr>
        <w:ind w:left="5520" w:hanging="526"/>
      </w:pPr>
      <w:rPr>
        <w:rFonts w:hint="default"/>
        <w:lang w:val="zh-CN" w:eastAsia="zh-CN" w:bidi="zh-CN"/>
      </w:rPr>
    </w:lvl>
    <w:lvl w:ilvl="6">
      <w:start w:val="0"/>
      <w:numFmt w:val="bullet"/>
      <w:isLgl w:val="false"/>
      <w:suff w:val="tab"/>
      <w:lvlText w:val="•"/>
      <w:lvlJc w:val="left"/>
      <w:pPr>
        <w:ind w:left="6392" w:hanging="526"/>
      </w:pPr>
      <w:rPr>
        <w:rFonts w:hint="default"/>
        <w:lang w:val="zh-CN" w:eastAsia="zh-CN" w:bidi="zh-CN"/>
      </w:rPr>
    </w:lvl>
    <w:lvl w:ilvl="7">
      <w:start w:val="0"/>
      <w:numFmt w:val="bullet"/>
      <w:isLgl w:val="false"/>
      <w:suff w:val="tab"/>
      <w:lvlText w:val="•"/>
      <w:lvlJc w:val="left"/>
      <w:pPr>
        <w:ind w:left="7264" w:hanging="526"/>
      </w:pPr>
      <w:rPr>
        <w:rFonts w:hint="default"/>
        <w:lang w:val="zh-CN" w:eastAsia="zh-CN" w:bidi="zh-CN"/>
      </w:rPr>
    </w:lvl>
    <w:lvl w:ilvl="8">
      <w:start w:val="0"/>
      <w:numFmt w:val="bullet"/>
      <w:isLgl w:val="false"/>
      <w:suff w:val="tab"/>
      <w:lvlText w:val="•"/>
      <w:lvlJc w:val="left"/>
      <w:pPr>
        <w:ind w:left="8136" w:hanging="526"/>
      </w:pPr>
      <w:rPr>
        <w:rFonts w:hint="default"/>
        <w:lang w:val="zh-CN" w:eastAsia="zh-CN" w:bidi="zh-CN"/>
      </w:rPr>
    </w:lvl>
  </w:abstractNum>
  <w:abstractNum w:abstractNumId="11">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464"/>
      <w:isLgl w:val="false"/>
      <w:suff w:val="tab"/>
      <w:lvlText w:val="%1"/>
      <w:lvlJc w:val="left"/>
      <w:pPr>
        <w:ind w:left="567" w:hanging="567"/>
        <w:tabs>
          <w:tab w:val="left" w:pos="567" w:leader="none"/>
        </w:tabs>
      </w:pPr>
      <w:rPr>
        <w:rFonts w:hint="eastAsia"/>
      </w:rPr>
    </w:lvl>
    <w:lvl w:ilvl="1">
      <w:start w:val="1"/>
      <w:numFmt w:val="decimal"/>
      <w:pStyle w:val="1176"/>
      <w:isLgl w:val="false"/>
      <w:suff w:val="tab"/>
      <w:lvlText w:val="%1.%2"/>
      <w:lvlJc w:val="left"/>
      <w:pPr>
        <w:ind w:left="567" w:hanging="283"/>
        <w:tabs>
          <w:tab w:val="left" w:pos="1004" w:leader="none"/>
        </w:tabs>
      </w:pPr>
      <w:rPr>
        <w:rFonts w:hint="eastAsia"/>
      </w:rPr>
    </w:lvl>
    <w:lvl w:ilvl="2">
      <w:start w:val="1"/>
      <w:numFmt w:val="decimal"/>
      <w:pStyle w:val="1430"/>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abstractNum w:abstractNumId="1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1"/>
      <w:numFmt w:val="decimal"/>
      <w:isLgl w:val="false"/>
      <w:suff w:val="tab"/>
      <w:lvlText w:val="%1"/>
      <w:lvlJc w:val="left"/>
      <w:pPr>
        <w:ind w:left="218" w:hanging="526"/>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2"/>
        <w:sz w:val="21"/>
        <w:szCs w:val="21"/>
        <w:lang w:val="zh-CN" w:eastAsia="zh-CN" w:bidi="zh-CN"/>
      </w:rPr>
    </w:lvl>
    <w:lvl w:ilvl="2">
      <w:start w:val="0"/>
      <w:numFmt w:val="bullet"/>
      <w:isLgl w:val="false"/>
      <w:suff w:val="tab"/>
      <w:lvlText w:val="•"/>
      <w:lvlJc w:val="left"/>
      <w:pPr>
        <w:ind w:left="2152" w:hanging="526"/>
      </w:pPr>
      <w:rPr>
        <w:rFonts w:hint="default"/>
        <w:lang w:val="zh-CN" w:eastAsia="zh-CN" w:bidi="zh-CN"/>
      </w:rPr>
    </w:lvl>
    <w:lvl w:ilvl="3">
      <w:start w:val="0"/>
      <w:numFmt w:val="bullet"/>
      <w:isLgl w:val="false"/>
      <w:suff w:val="tab"/>
      <w:lvlText w:val="•"/>
      <w:lvlJc w:val="left"/>
      <w:pPr>
        <w:ind w:left="3118" w:hanging="526"/>
      </w:pPr>
      <w:rPr>
        <w:rFonts w:hint="default"/>
        <w:lang w:val="zh-CN" w:eastAsia="zh-CN" w:bidi="zh-CN"/>
      </w:rPr>
    </w:lvl>
    <w:lvl w:ilvl="4">
      <w:start w:val="0"/>
      <w:numFmt w:val="bullet"/>
      <w:isLgl w:val="false"/>
      <w:suff w:val="tab"/>
      <w:lvlText w:val="•"/>
      <w:lvlJc w:val="left"/>
      <w:pPr>
        <w:ind w:left="4084" w:hanging="526"/>
      </w:pPr>
      <w:rPr>
        <w:rFonts w:hint="default"/>
        <w:lang w:val="zh-CN" w:eastAsia="zh-CN" w:bidi="zh-CN"/>
      </w:rPr>
    </w:lvl>
    <w:lvl w:ilvl="5">
      <w:start w:val="0"/>
      <w:numFmt w:val="bullet"/>
      <w:isLgl w:val="false"/>
      <w:suff w:val="tab"/>
      <w:lvlText w:val="•"/>
      <w:lvlJc w:val="left"/>
      <w:pPr>
        <w:ind w:left="5050" w:hanging="526"/>
      </w:pPr>
      <w:rPr>
        <w:rFonts w:hint="default"/>
        <w:lang w:val="zh-CN" w:eastAsia="zh-CN" w:bidi="zh-CN"/>
      </w:rPr>
    </w:lvl>
    <w:lvl w:ilvl="6">
      <w:start w:val="0"/>
      <w:numFmt w:val="bullet"/>
      <w:isLgl w:val="false"/>
      <w:suff w:val="tab"/>
      <w:lvlText w:val="•"/>
      <w:lvlJc w:val="left"/>
      <w:pPr>
        <w:ind w:left="6016" w:hanging="526"/>
      </w:pPr>
      <w:rPr>
        <w:rFonts w:hint="default"/>
        <w:lang w:val="zh-CN" w:eastAsia="zh-CN" w:bidi="zh-CN"/>
      </w:rPr>
    </w:lvl>
    <w:lvl w:ilvl="7">
      <w:start w:val="0"/>
      <w:numFmt w:val="bullet"/>
      <w:isLgl w:val="false"/>
      <w:suff w:val="tab"/>
      <w:lvlText w:val="•"/>
      <w:lvlJc w:val="left"/>
      <w:pPr>
        <w:ind w:left="6982" w:hanging="526"/>
      </w:pPr>
      <w:rPr>
        <w:rFonts w:hint="default"/>
        <w:lang w:val="zh-CN" w:eastAsia="zh-CN" w:bidi="zh-CN"/>
      </w:rPr>
    </w:lvl>
    <w:lvl w:ilvl="8">
      <w:start w:val="0"/>
      <w:numFmt w:val="bullet"/>
      <w:isLgl w:val="false"/>
      <w:suff w:val="tab"/>
      <w:lvlText w:val="•"/>
      <w:lvlJc w:val="left"/>
      <w:pPr>
        <w:ind w:left="7948" w:hanging="526"/>
      </w:pPr>
      <w:rPr>
        <w:rFonts w:hint="default"/>
        <w:lang w:val="zh-CN" w:eastAsia="zh-CN" w:bidi="zh-CN"/>
      </w:rPr>
    </w:lvl>
  </w:abstractNum>
  <w:abstractNum w:abstractNumId="15">
    <w:multiLevelType w:val="hybridMultilevel"/>
    <w:lvl w:ilvl="0">
      <w:start w:val="1"/>
      <w:numFmt w:val="decimal"/>
      <w:isLgl w:val="false"/>
      <w:suff w:val="space"/>
      <w:lvlText w:val="（%1）"/>
      <w:lvlJc w:val="left"/>
      <w:pPr>
        <w:ind w:left="0" w:firstLine="0"/>
      </w:pPr>
      <w:rPr>
        <w:rFonts w:hint="default" w:ascii="宋体" w:hAnsi="宋体" w:eastAsia="宋体" w:cs="宋体"/>
        <w:spacing w:val="0"/>
        <w:sz w:val="19"/>
        <w:szCs w:val="19"/>
        <w:lang w:val="zh-CN" w:eastAsia="zh-CN" w:bidi="zh-CN"/>
      </w:rPr>
    </w:lvl>
    <w:lvl w:ilvl="1">
      <w:start w:val="0"/>
      <w:numFmt w:val="bullet"/>
      <w:isLgl w:val="false"/>
      <w:suff w:val="tab"/>
      <w:lvlText w:val="•"/>
      <w:lvlJc w:val="left"/>
      <w:pPr>
        <w:ind w:left="2032" w:hanging="525"/>
      </w:pPr>
      <w:rPr>
        <w:rFonts w:hint="default"/>
        <w:lang w:val="zh-CN" w:eastAsia="zh-CN" w:bidi="zh-CN"/>
      </w:rPr>
    </w:lvl>
    <w:lvl w:ilvl="2">
      <w:start w:val="0"/>
      <w:numFmt w:val="bullet"/>
      <w:isLgl w:val="false"/>
      <w:suff w:val="tab"/>
      <w:lvlText w:val="•"/>
      <w:lvlJc w:val="left"/>
      <w:pPr>
        <w:ind w:left="2904" w:hanging="525"/>
      </w:pPr>
      <w:rPr>
        <w:rFonts w:hint="default"/>
        <w:lang w:val="zh-CN" w:eastAsia="zh-CN" w:bidi="zh-CN"/>
      </w:rPr>
    </w:lvl>
    <w:lvl w:ilvl="3">
      <w:start w:val="0"/>
      <w:numFmt w:val="bullet"/>
      <w:isLgl w:val="false"/>
      <w:suff w:val="tab"/>
      <w:lvlText w:val="•"/>
      <w:lvlJc w:val="left"/>
      <w:pPr>
        <w:ind w:left="3776" w:hanging="525"/>
      </w:pPr>
      <w:rPr>
        <w:rFonts w:hint="default"/>
        <w:lang w:val="zh-CN" w:eastAsia="zh-CN" w:bidi="zh-CN"/>
      </w:rPr>
    </w:lvl>
    <w:lvl w:ilvl="4">
      <w:start w:val="0"/>
      <w:numFmt w:val="bullet"/>
      <w:isLgl w:val="false"/>
      <w:suff w:val="tab"/>
      <w:lvlText w:val="•"/>
      <w:lvlJc w:val="left"/>
      <w:pPr>
        <w:ind w:left="4648" w:hanging="525"/>
      </w:pPr>
      <w:rPr>
        <w:rFonts w:hint="default"/>
        <w:lang w:val="zh-CN" w:eastAsia="zh-CN" w:bidi="zh-CN"/>
      </w:rPr>
    </w:lvl>
    <w:lvl w:ilvl="5">
      <w:start w:val="0"/>
      <w:numFmt w:val="bullet"/>
      <w:isLgl w:val="false"/>
      <w:suff w:val="tab"/>
      <w:lvlText w:val="•"/>
      <w:lvlJc w:val="left"/>
      <w:pPr>
        <w:ind w:left="5520" w:hanging="525"/>
      </w:pPr>
      <w:rPr>
        <w:rFonts w:hint="default"/>
        <w:lang w:val="zh-CN" w:eastAsia="zh-CN" w:bidi="zh-CN"/>
      </w:rPr>
    </w:lvl>
    <w:lvl w:ilvl="6">
      <w:start w:val="0"/>
      <w:numFmt w:val="bullet"/>
      <w:isLgl w:val="false"/>
      <w:suff w:val="tab"/>
      <w:lvlText w:val="•"/>
      <w:lvlJc w:val="left"/>
      <w:pPr>
        <w:ind w:left="6392" w:hanging="525"/>
      </w:pPr>
      <w:rPr>
        <w:rFonts w:hint="default"/>
        <w:lang w:val="zh-CN" w:eastAsia="zh-CN" w:bidi="zh-CN"/>
      </w:rPr>
    </w:lvl>
    <w:lvl w:ilvl="7">
      <w:start w:val="0"/>
      <w:numFmt w:val="bullet"/>
      <w:isLgl w:val="false"/>
      <w:suff w:val="tab"/>
      <w:lvlText w:val="•"/>
      <w:lvlJc w:val="left"/>
      <w:pPr>
        <w:ind w:left="7264" w:hanging="525"/>
      </w:pPr>
      <w:rPr>
        <w:rFonts w:hint="default"/>
        <w:lang w:val="zh-CN" w:eastAsia="zh-CN" w:bidi="zh-CN"/>
      </w:rPr>
    </w:lvl>
    <w:lvl w:ilvl="8">
      <w:start w:val="0"/>
      <w:numFmt w:val="bullet"/>
      <w:isLgl w:val="false"/>
      <w:suff w:val="tab"/>
      <w:lvlText w:val="•"/>
      <w:lvlJc w:val="left"/>
      <w:pPr>
        <w:ind w:left="8136" w:hanging="525"/>
      </w:pPr>
      <w:rPr>
        <w:rFonts w:hint="default"/>
        <w:lang w:val="zh-CN" w:eastAsia="zh-CN" w:bidi="zh-CN"/>
      </w:rPr>
    </w:lvl>
  </w:abstractNum>
  <w:abstractNum w:abstractNumId="16">
    <w:multiLevelType w:val="hybridMultilevel"/>
    <w:lvl w:ilvl="0">
      <w:start w:val="1"/>
      <w:numFmt w:val="decimal"/>
      <w:isLgl w:val="false"/>
      <w:suff w:val="space"/>
      <w:lvlText w:val="（%1）"/>
      <w:lvlJc w:val="left"/>
      <w:pPr>
        <w:ind w:left="0" w:firstLine="0"/>
      </w:pPr>
      <w:rPr>
        <w:rFonts w:hint="default" w:ascii="宋体" w:hAnsi="宋体" w:eastAsia="宋体" w:cs="宋体"/>
        <w:spacing w:val="0"/>
        <w:sz w:val="19"/>
        <w:szCs w:val="19"/>
        <w:lang w:val="zh-CN" w:eastAsia="zh-CN" w:bidi="zh-CN"/>
      </w:rPr>
    </w:lvl>
    <w:lvl w:ilvl="1">
      <w:start w:val="0"/>
      <w:numFmt w:val="bullet"/>
      <w:isLgl w:val="false"/>
      <w:suff w:val="tab"/>
      <w:lvlText w:val="•"/>
      <w:lvlJc w:val="left"/>
      <w:pPr>
        <w:ind w:left="2032" w:hanging="525"/>
      </w:pPr>
      <w:rPr>
        <w:rFonts w:hint="default"/>
        <w:lang w:val="zh-CN" w:eastAsia="zh-CN" w:bidi="zh-CN"/>
      </w:rPr>
    </w:lvl>
    <w:lvl w:ilvl="2">
      <w:start w:val="0"/>
      <w:numFmt w:val="bullet"/>
      <w:isLgl w:val="false"/>
      <w:suff w:val="tab"/>
      <w:lvlText w:val="•"/>
      <w:lvlJc w:val="left"/>
      <w:pPr>
        <w:ind w:left="2904" w:hanging="525"/>
      </w:pPr>
      <w:rPr>
        <w:rFonts w:hint="default"/>
        <w:lang w:val="zh-CN" w:eastAsia="zh-CN" w:bidi="zh-CN"/>
      </w:rPr>
    </w:lvl>
    <w:lvl w:ilvl="3">
      <w:start w:val="0"/>
      <w:numFmt w:val="bullet"/>
      <w:isLgl w:val="false"/>
      <w:suff w:val="tab"/>
      <w:lvlText w:val="•"/>
      <w:lvlJc w:val="left"/>
      <w:pPr>
        <w:ind w:left="3776" w:hanging="525"/>
      </w:pPr>
      <w:rPr>
        <w:rFonts w:hint="default"/>
        <w:lang w:val="zh-CN" w:eastAsia="zh-CN" w:bidi="zh-CN"/>
      </w:rPr>
    </w:lvl>
    <w:lvl w:ilvl="4">
      <w:start w:val="0"/>
      <w:numFmt w:val="bullet"/>
      <w:isLgl w:val="false"/>
      <w:suff w:val="tab"/>
      <w:lvlText w:val="•"/>
      <w:lvlJc w:val="left"/>
      <w:pPr>
        <w:ind w:left="4648" w:hanging="525"/>
      </w:pPr>
      <w:rPr>
        <w:rFonts w:hint="default"/>
        <w:lang w:val="zh-CN" w:eastAsia="zh-CN" w:bidi="zh-CN"/>
      </w:rPr>
    </w:lvl>
    <w:lvl w:ilvl="5">
      <w:start w:val="0"/>
      <w:numFmt w:val="bullet"/>
      <w:isLgl w:val="false"/>
      <w:suff w:val="tab"/>
      <w:lvlText w:val="•"/>
      <w:lvlJc w:val="left"/>
      <w:pPr>
        <w:ind w:left="5520" w:hanging="525"/>
      </w:pPr>
      <w:rPr>
        <w:rFonts w:hint="default"/>
        <w:lang w:val="zh-CN" w:eastAsia="zh-CN" w:bidi="zh-CN"/>
      </w:rPr>
    </w:lvl>
    <w:lvl w:ilvl="6">
      <w:start w:val="0"/>
      <w:numFmt w:val="bullet"/>
      <w:isLgl w:val="false"/>
      <w:suff w:val="tab"/>
      <w:lvlText w:val="•"/>
      <w:lvlJc w:val="left"/>
      <w:pPr>
        <w:ind w:left="6392" w:hanging="525"/>
      </w:pPr>
      <w:rPr>
        <w:rFonts w:hint="default"/>
        <w:lang w:val="zh-CN" w:eastAsia="zh-CN" w:bidi="zh-CN"/>
      </w:rPr>
    </w:lvl>
    <w:lvl w:ilvl="7">
      <w:start w:val="0"/>
      <w:numFmt w:val="bullet"/>
      <w:isLgl w:val="false"/>
      <w:suff w:val="tab"/>
      <w:lvlText w:val="•"/>
      <w:lvlJc w:val="left"/>
      <w:pPr>
        <w:ind w:left="7264" w:hanging="525"/>
      </w:pPr>
      <w:rPr>
        <w:rFonts w:hint="default"/>
        <w:lang w:val="zh-CN" w:eastAsia="zh-CN" w:bidi="zh-CN"/>
      </w:rPr>
    </w:lvl>
    <w:lvl w:ilvl="8">
      <w:start w:val="0"/>
      <w:numFmt w:val="bullet"/>
      <w:isLgl w:val="false"/>
      <w:suff w:val="tab"/>
      <w:lvlText w:val="•"/>
      <w:lvlJc w:val="left"/>
      <w:pPr>
        <w:ind w:left="8136" w:hanging="525"/>
      </w:pPr>
      <w:rPr>
        <w:rFonts w:hint="default"/>
        <w:lang w:val="zh-CN" w:eastAsia="zh-CN" w:bidi="zh-CN"/>
      </w:rPr>
    </w:lvl>
  </w:abstractNum>
  <w:abstractNum w:abstractNumId="17">
    <w:multiLevelType w:val="hybridMultilevel"/>
    <w:lvl w:ilvl="0">
      <w:start w:val="1"/>
      <w:numFmt w:val="bullet"/>
      <w:pStyle w:val="1155"/>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FZHTK--GBK1-0" w:hAnsi="FZHTK--GBK1-0"/>
      </w:rPr>
    </w:lvl>
    <w:lvl w:ilvl="2">
      <w:start w:val="1"/>
      <w:numFmt w:val="bullet"/>
      <w:isLgl w:val="false"/>
      <w:suff w:val="tab"/>
      <w:lvlText w:val=""/>
      <w:lvlJc w:val="left"/>
      <w:pPr>
        <w:ind w:left="1260" w:hanging="420"/>
        <w:tabs>
          <w:tab w:val="left" w:pos="1260" w:leader="none"/>
        </w:tabs>
      </w:pPr>
      <w:rPr>
        <w:rFonts w:hint="default" w:ascii="FZHTK--GBK1-0" w:hAnsi="FZHTK--GBK1-0"/>
      </w:rPr>
    </w:lvl>
    <w:lvl w:ilvl="3">
      <w:start w:val="1"/>
      <w:numFmt w:val="bullet"/>
      <w:isLgl w:val="false"/>
      <w:suff w:val="tab"/>
      <w:lvlText w:val=""/>
      <w:lvlJc w:val="left"/>
      <w:pPr>
        <w:ind w:left="1680" w:hanging="420"/>
        <w:tabs>
          <w:tab w:val="left" w:pos="1680" w:leader="none"/>
        </w:tabs>
      </w:pPr>
      <w:rPr>
        <w:rFonts w:hint="default" w:ascii="FZHTK--GBK1-0" w:hAnsi="FZHTK--GBK1-0"/>
      </w:rPr>
    </w:lvl>
    <w:lvl w:ilvl="4">
      <w:start w:val="1"/>
      <w:numFmt w:val="bullet"/>
      <w:isLgl w:val="false"/>
      <w:suff w:val="tab"/>
      <w:lvlText w:val=""/>
      <w:lvlJc w:val="left"/>
      <w:pPr>
        <w:ind w:left="2100" w:hanging="420"/>
        <w:tabs>
          <w:tab w:val="left" w:pos="2100" w:leader="none"/>
        </w:tabs>
      </w:pPr>
      <w:rPr>
        <w:rFonts w:hint="default" w:ascii="FZHTK--GBK1-0" w:hAnsi="FZHTK--GBK1-0"/>
      </w:rPr>
    </w:lvl>
    <w:lvl w:ilvl="5">
      <w:start w:val="1"/>
      <w:numFmt w:val="bullet"/>
      <w:isLgl w:val="false"/>
      <w:suff w:val="tab"/>
      <w:lvlText w:val=""/>
      <w:lvlJc w:val="left"/>
      <w:pPr>
        <w:ind w:left="2520" w:hanging="420"/>
        <w:tabs>
          <w:tab w:val="left" w:pos="2520" w:leader="none"/>
        </w:tabs>
      </w:pPr>
      <w:rPr>
        <w:rFonts w:hint="default" w:ascii="FZHTK--GBK1-0" w:hAnsi="FZHTK--GBK1-0"/>
      </w:rPr>
    </w:lvl>
    <w:lvl w:ilvl="6">
      <w:start w:val="1"/>
      <w:numFmt w:val="bullet"/>
      <w:isLgl w:val="false"/>
      <w:suff w:val="tab"/>
      <w:lvlText w:val=""/>
      <w:lvlJc w:val="left"/>
      <w:pPr>
        <w:ind w:left="2940" w:hanging="420"/>
        <w:tabs>
          <w:tab w:val="left" w:pos="2940" w:leader="none"/>
        </w:tabs>
      </w:pPr>
      <w:rPr>
        <w:rFonts w:hint="default" w:ascii="FZHTK--GBK1-0" w:hAnsi="FZHTK--GBK1-0"/>
      </w:rPr>
    </w:lvl>
    <w:lvl w:ilvl="7">
      <w:start w:val="1"/>
      <w:numFmt w:val="bullet"/>
      <w:isLgl w:val="false"/>
      <w:suff w:val="tab"/>
      <w:lvlText w:val=""/>
      <w:lvlJc w:val="left"/>
      <w:pPr>
        <w:ind w:left="3360" w:hanging="420"/>
        <w:tabs>
          <w:tab w:val="left" w:pos="3360" w:leader="none"/>
        </w:tabs>
      </w:pPr>
      <w:rPr>
        <w:rFonts w:hint="default" w:ascii="FZHTK--GBK1-0" w:hAnsi="FZHTK--GBK1-0"/>
      </w:rPr>
    </w:lvl>
    <w:lvl w:ilvl="8">
      <w:start w:val="1"/>
      <w:numFmt w:val="bullet"/>
      <w:isLgl w:val="false"/>
      <w:suff w:val="tab"/>
      <w:lvlText w:val=""/>
      <w:lvlJc w:val="left"/>
      <w:pPr>
        <w:ind w:left="3780" w:hanging="420"/>
        <w:tabs>
          <w:tab w:val="left" w:pos="3780" w:leader="none"/>
        </w:tabs>
      </w:pPr>
      <w:rPr>
        <w:rFonts w:hint="default" w:ascii="FZHTK--GBK1-0" w:hAnsi="FZHTK--GBK1-0"/>
      </w:rPr>
    </w:lvl>
  </w:abstractNum>
  <w:abstractNum w:abstractNumId="18">
    <w:multiLevelType w:val="hybridMultilevel"/>
    <w:lvl w:ilvl="0">
      <w:start w:val="26"/>
      <w:numFmt w:val="decimal"/>
      <w:isLgl w:val="false"/>
      <w:suff w:val="tab"/>
      <w:lvlText w:val="%1"/>
      <w:lvlJc w:val="left"/>
      <w:pPr>
        <w:ind w:left="218" w:hanging="526"/>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2152" w:hanging="526"/>
      </w:pPr>
      <w:rPr>
        <w:rFonts w:hint="default"/>
        <w:lang w:val="zh-CN" w:eastAsia="zh-CN" w:bidi="zh-CN"/>
      </w:rPr>
    </w:lvl>
    <w:lvl w:ilvl="3">
      <w:start w:val="0"/>
      <w:numFmt w:val="bullet"/>
      <w:isLgl w:val="false"/>
      <w:suff w:val="tab"/>
      <w:lvlText w:val="•"/>
      <w:lvlJc w:val="left"/>
      <w:pPr>
        <w:ind w:left="3118" w:hanging="526"/>
      </w:pPr>
      <w:rPr>
        <w:rFonts w:hint="default"/>
        <w:lang w:val="zh-CN" w:eastAsia="zh-CN" w:bidi="zh-CN"/>
      </w:rPr>
    </w:lvl>
    <w:lvl w:ilvl="4">
      <w:start w:val="0"/>
      <w:numFmt w:val="bullet"/>
      <w:isLgl w:val="false"/>
      <w:suff w:val="tab"/>
      <w:lvlText w:val="•"/>
      <w:lvlJc w:val="left"/>
      <w:pPr>
        <w:ind w:left="4084" w:hanging="526"/>
      </w:pPr>
      <w:rPr>
        <w:rFonts w:hint="default"/>
        <w:lang w:val="zh-CN" w:eastAsia="zh-CN" w:bidi="zh-CN"/>
      </w:rPr>
    </w:lvl>
    <w:lvl w:ilvl="5">
      <w:start w:val="0"/>
      <w:numFmt w:val="bullet"/>
      <w:isLgl w:val="false"/>
      <w:suff w:val="tab"/>
      <w:lvlText w:val="•"/>
      <w:lvlJc w:val="left"/>
      <w:pPr>
        <w:ind w:left="5050" w:hanging="526"/>
      </w:pPr>
      <w:rPr>
        <w:rFonts w:hint="default"/>
        <w:lang w:val="zh-CN" w:eastAsia="zh-CN" w:bidi="zh-CN"/>
      </w:rPr>
    </w:lvl>
    <w:lvl w:ilvl="6">
      <w:start w:val="0"/>
      <w:numFmt w:val="bullet"/>
      <w:isLgl w:val="false"/>
      <w:suff w:val="tab"/>
      <w:lvlText w:val="•"/>
      <w:lvlJc w:val="left"/>
      <w:pPr>
        <w:ind w:left="6016" w:hanging="526"/>
      </w:pPr>
      <w:rPr>
        <w:rFonts w:hint="default"/>
        <w:lang w:val="zh-CN" w:eastAsia="zh-CN" w:bidi="zh-CN"/>
      </w:rPr>
    </w:lvl>
    <w:lvl w:ilvl="7">
      <w:start w:val="0"/>
      <w:numFmt w:val="bullet"/>
      <w:isLgl w:val="false"/>
      <w:suff w:val="tab"/>
      <w:lvlText w:val="•"/>
      <w:lvlJc w:val="left"/>
      <w:pPr>
        <w:ind w:left="6982" w:hanging="526"/>
      </w:pPr>
      <w:rPr>
        <w:rFonts w:hint="default"/>
        <w:lang w:val="zh-CN" w:eastAsia="zh-CN" w:bidi="zh-CN"/>
      </w:rPr>
    </w:lvl>
    <w:lvl w:ilvl="8">
      <w:start w:val="0"/>
      <w:numFmt w:val="bullet"/>
      <w:isLgl w:val="false"/>
      <w:suff w:val="tab"/>
      <w:lvlText w:val="•"/>
      <w:lvlJc w:val="left"/>
      <w:pPr>
        <w:ind w:left="7948" w:hanging="526"/>
      </w:pPr>
      <w:rPr>
        <w:rFonts w:hint="default"/>
        <w:lang w:val="zh-CN" w:eastAsia="zh-CN" w:bidi="zh-CN"/>
      </w:rPr>
    </w:lvl>
  </w:abstractNum>
  <w:abstractNum w:abstractNumId="19">
    <w:multiLevelType w:val="hybridMultilevel"/>
    <w:lvl w:ilvl="0">
      <w:start w:val="15"/>
      <w:numFmt w:val="decimal"/>
      <w:isLgl w:val="false"/>
      <w:suff w:val="tab"/>
      <w:lvlText w:val="%1"/>
      <w:lvlJc w:val="left"/>
      <w:pPr>
        <w:ind w:left="218" w:hanging="526"/>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2152" w:hanging="526"/>
      </w:pPr>
      <w:rPr>
        <w:rFonts w:hint="default"/>
        <w:lang w:val="zh-CN" w:eastAsia="zh-CN" w:bidi="zh-CN"/>
      </w:rPr>
    </w:lvl>
    <w:lvl w:ilvl="3">
      <w:start w:val="0"/>
      <w:numFmt w:val="bullet"/>
      <w:isLgl w:val="false"/>
      <w:suff w:val="tab"/>
      <w:lvlText w:val="•"/>
      <w:lvlJc w:val="left"/>
      <w:pPr>
        <w:ind w:left="3118" w:hanging="526"/>
      </w:pPr>
      <w:rPr>
        <w:rFonts w:hint="default"/>
        <w:lang w:val="zh-CN" w:eastAsia="zh-CN" w:bidi="zh-CN"/>
      </w:rPr>
    </w:lvl>
    <w:lvl w:ilvl="4">
      <w:start w:val="0"/>
      <w:numFmt w:val="bullet"/>
      <w:isLgl w:val="false"/>
      <w:suff w:val="tab"/>
      <w:lvlText w:val="•"/>
      <w:lvlJc w:val="left"/>
      <w:pPr>
        <w:ind w:left="4084" w:hanging="526"/>
      </w:pPr>
      <w:rPr>
        <w:rFonts w:hint="default"/>
        <w:lang w:val="zh-CN" w:eastAsia="zh-CN" w:bidi="zh-CN"/>
      </w:rPr>
    </w:lvl>
    <w:lvl w:ilvl="5">
      <w:start w:val="0"/>
      <w:numFmt w:val="bullet"/>
      <w:isLgl w:val="false"/>
      <w:suff w:val="tab"/>
      <w:lvlText w:val="•"/>
      <w:lvlJc w:val="left"/>
      <w:pPr>
        <w:ind w:left="5050" w:hanging="526"/>
      </w:pPr>
      <w:rPr>
        <w:rFonts w:hint="default"/>
        <w:lang w:val="zh-CN" w:eastAsia="zh-CN" w:bidi="zh-CN"/>
      </w:rPr>
    </w:lvl>
    <w:lvl w:ilvl="6">
      <w:start w:val="0"/>
      <w:numFmt w:val="bullet"/>
      <w:isLgl w:val="false"/>
      <w:suff w:val="tab"/>
      <w:lvlText w:val="•"/>
      <w:lvlJc w:val="left"/>
      <w:pPr>
        <w:ind w:left="6016" w:hanging="526"/>
      </w:pPr>
      <w:rPr>
        <w:rFonts w:hint="default"/>
        <w:lang w:val="zh-CN" w:eastAsia="zh-CN" w:bidi="zh-CN"/>
      </w:rPr>
    </w:lvl>
    <w:lvl w:ilvl="7">
      <w:start w:val="0"/>
      <w:numFmt w:val="bullet"/>
      <w:isLgl w:val="false"/>
      <w:suff w:val="tab"/>
      <w:lvlText w:val="•"/>
      <w:lvlJc w:val="left"/>
      <w:pPr>
        <w:ind w:left="6982" w:hanging="526"/>
      </w:pPr>
      <w:rPr>
        <w:rFonts w:hint="default"/>
        <w:lang w:val="zh-CN" w:eastAsia="zh-CN" w:bidi="zh-CN"/>
      </w:rPr>
    </w:lvl>
    <w:lvl w:ilvl="8">
      <w:start w:val="0"/>
      <w:numFmt w:val="bullet"/>
      <w:isLgl w:val="false"/>
      <w:suff w:val="tab"/>
      <w:lvlText w:val="•"/>
      <w:lvlJc w:val="left"/>
      <w:pPr>
        <w:ind w:left="7948" w:hanging="526"/>
      </w:pPr>
      <w:rPr>
        <w:rFonts w:hint="default"/>
        <w:lang w:val="zh-CN" w:eastAsia="zh-CN" w:bidi="zh-CN"/>
      </w:rPr>
    </w:lvl>
  </w:abstractNum>
  <w:abstractNum w:abstractNumId="20">
    <w:multiLevelType w:val="hybridMultilevel"/>
    <w:lvl w:ilvl="0">
      <w:start w:val="3"/>
      <w:numFmt w:val="decimal"/>
      <w:isLgl w:val="false"/>
      <w:suff w:val="tab"/>
      <w:lvlText w:val="%1"/>
      <w:lvlJc w:val="left"/>
      <w:pPr>
        <w:ind w:left="218" w:hanging="365"/>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2152" w:hanging="365"/>
      </w:pPr>
      <w:rPr>
        <w:rFonts w:hint="default"/>
        <w:lang w:val="zh-CN" w:eastAsia="zh-CN" w:bidi="zh-CN"/>
      </w:rPr>
    </w:lvl>
    <w:lvl w:ilvl="3">
      <w:start w:val="0"/>
      <w:numFmt w:val="bullet"/>
      <w:isLgl w:val="false"/>
      <w:suff w:val="tab"/>
      <w:lvlText w:val="•"/>
      <w:lvlJc w:val="left"/>
      <w:pPr>
        <w:ind w:left="3118" w:hanging="365"/>
      </w:pPr>
      <w:rPr>
        <w:rFonts w:hint="default"/>
        <w:lang w:val="zh-CN" w:eastAsia="zh-CN" w:bidi="zh-CN"/>
      </w:rPr>
    </w:lvl>
    <w:lvl w:ilvl="4">
      <w:start w:val="0"/>
      <w:numFmt w:val="bullet"/>
      <w:isLgl w:val="false"/>
      <w:suff w:val="tab"/>
      <w:lvlText w:val="•"/>
      <w:lvlJc w:val="left"/>
      <w:pPr>
        <w:ind w:left="4084" w:hanging="365"/>
      </w:pPr>
      <w:rPr>
        <w:rFonts w:hint="default"/>
        <w:lang w:val="zh-CN" w:eastAsia="zh-CN" w:bidi="zh-CN"/>
      </w:rPr>
    </w:lvl>
    <w:lvl w:ilvl="5">
      <w:start w:val="0"/>
      <w:numFmt w:val="bullet"/>
      <w:isLgl w:val="false"/>
      <w:suff w:val="tab"/>
      <w:lvlText w:val="•"/>
      <w:lvlJc w:val="left"/>
      <w:pPr>
        <w:ind w:left="5050" w:hanging="365"/>
      </w:pPr>
      <w:rPr>
        <w:rFonts w:hint="default"/>
        <w:lang w:val="zh-CN" w:eastAsia="zh-CN" w:bidi="zh-CN"/>
      </w:rPr>
    </w:lvl>
    <w:lvl w:ilvl="6">
      <w:start w:val="0"/>
      <w:numFmt w:val="bullet"/>
      <w:isLgl w:val="false"/>
      <w:suff w:val="tab"/>
      <w:lvlText w:val="•"/>
      <w:lvlJc w:val="left"/>
      <w:pPr>
        <w:ind w:left="6016" w:hanging="365"/>
      </w:pPr>
      <w:rPr>
        <w:rFonts w:hint="default"/>
        <w:lang w:val="zh-CN" w:eastAsia="zh-CN" w:bidi="zh-CN"/>
      </w:rPr>
    </w:lvl>
    <w:lvl w:ilvl="7">
      <w:start w:val="0"/>
      <w:numFmt w:val="bullet"/>
      <w:isLgl w:val="false"/>
      <w:suff w:val="tab"/>
      <w:lvlText w:val="•"/>
      <w:lvlJc w:val="left"/>
      <w:pPr>
        <w:ind w:left="6982" w:hanging="365"/>
      </w:pPr>
      <w:rPr>
        <w:rFonts w:hint="default"/>
        <w:lang w:val="zh-CN" w:eastAsia="zh-CN" w:bidi="zh-CN"/>
      </w:rPr>
    </w:lvl>
    <w:lvl w:ilvl="8">
      <w:start w:val="0"/>
      <w:numFmt w:val="bullet"/>
      <w:isLgl w:val="false"/>
      <w:suff w:val="tab"/>
      <w:lvlText w:val="•"/>
      <w:lvlJc w:val="left"/>
      <w:pPr>
        <w:ind w:left="7948" w:hanging="365"/>
      </w:pPr>
      <w:rPr>
        <w:rFonts w:hint="default"/>
        <w:lang w:val="zh-CN" w:eastAsia="zh-CN" w:bidi="zh-CN"/>
      </w:rPr>
    </w:lvl>
  </w:abstractNum>
  <w:abstractNum w:abstractNumId="2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4"/>
      <w:numFmt w:val="decimal"/>
      <w:isLgl w:val="false"/>
      <w:suff w:val="tab"/>
      <w:lvlText w:val="%1"/>
      <w:lvlJc w:val="left"/>
      <w:pPr>
        <w:ind w:left="1164" w:hanging="526"/>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2904" w:hanging="526"/>
      </w:pPr>
      <w:rPr>
        <w:rFonts w:hint="default"/>
        <w:lang w:val="zh-CN" w:eastAsia="zh-CN" w:bidi="zh-CN"/>
      </w:rPr>
    </w:lvl>
    <w:lvl w:ilvl="3">
      <w:start w:val="0"/>
      <w:numFmt w:val="bullet"/>
      <w:isLgl w:val="false"/>
      <w:suff w:val="tab"/>
      <w:lvlText w:val="•"/>
      <w:lvlJc w:val="left"/>
      <w:pPr>
        <w:ind w:left="3776" w:hanging="526"/>
      </w:pPr>
      <w:rPr>
        <w:rFonts w:hint="default"/>
        <w:lang w:val="zh-CN" w:eastAsia="zh-CN" w:bidi="zh-CN"/>
      </w:rPr>
    </w:lvl>
    <w:lvl w:ilvl="4">
      <w:start w:val="0"/>
      <w:numFmt w:val="bullet"/>
      <w:isLgl w:val="false"/>
      <w:suff w:val="tab"/>
      <w:lvlText w:val="•"/>
      <w:lvlJc w:val="left"/>
      <w:pPr>
        <w:ind w:left="4648" w:hanging="526"/>
      </w:pPr>
      <w:rPr>
        <w:rFonts w:hint="default"/>
        <w:lang w:val="zh-CN" w:eastAsia="zh-CN" w:bidi="zh-CN"/>
      </w:rPr>
    </w:lvl>
    <w:lvl w:ilvl="5">
      <w:start w:val="0"/>
      <w:numFmt w:val="bullet"/>
      <w:isLgl w:val="false"/>
      <w:suff w:val="tab"/>
      <w:lvlText w:val="•"/>
      <w:lvlJc w:val="left"/>
      <w:pPr>
        <w:ind w:left="5520" w:hanging="526"/>
      </w:pPr>
      <w:rPr>
        <w:rFonts w:hint="default"/>
        <w:lang w:val="zh-CN" w:eastAsia="zh-CN" w:bidi="zh-CN"/>
      </w:rPr>
    </w:lvl>
    <w:lvl w:ilvl="6">
      <w:start w:val="0"/>
      <w:numFmt w:val="bullet"/>
      <w:isLgl w:val="false"/>
      <w:suff w:val="tab"/>
      <w:lvlText w:val="•"/>
      <w:lvlJc w:val="left"/>
      <w:pPr>
        <w:ind w:left="6392" w:hanging="526"/>
      </w:pPr>
      <w:rPr>
        <w:rFonts w:hint="default"/>
        <w:lang w:val="zh-CN" w:eastAsia="zh-CN" w:bidi="zh-CN"/>
      </w:rPr>
    </w:lvl>
    <w:lvl w:ilvl="7">
      <w:start w:val="0"/>
      <w:numFmt w:val="bullet"/>
      <w:isLgl w:val="false"/>
      <w:suff w:val="tab"/>
      <w:lvlText w:val="•"/>
      <w:lvlJc w:val="left"/>
      <w:pPr>
        <w:ind w:left="7264" w:hanging="526"/>
      </w:pPr>
      <w:rPr>
        <w:rFonts w:hint="default"/>
        <w:lang w:val="zh-CN" w:eastAsia="zh-CN" w:bidi="zh-CN"/>
      </w:rPr>
    </w:lvl>
    <w:lvl w:ilvl="8">
      <w:start w:val="0"/>
      <w:numFmt w:val="bullet"/>
      <w:isLgl w:val="false"/>
      <w:suff w:val="tab"/>
      <w:lvlText w:val="•"/>
      <w:lvlJc w:val="left"/>
      <w:pPr>
        <w:ind w:left="8136" w:hanging="526"/>
      </w:pPr>
      <w:rPr>
        <w:rFonts w:hint="default"/>
        <w:lang w:val="zh-CN" w:eastAsia="zh-CN" w:bidi="zh-CN"/>
      </w:rPr>
    </w:lvl>
  </w:abstractNum>
  <w:abstractNum w:abstractNumId="23">
    <w:multiLevelType w:val="hybridMultilevel"/>
    <w:lvl w:ilvl="0">
      <w:start w:val="1"/>
      <w:numFmt w:val="decimal"/>
      <w:isLgl w:val="false"/>
      <w:suff w:val="space"/>
      <w:lvlText w:val="（%1）"/>
      <w:lvlJc w:val="left"/>
      <w:pPr>
        <w:ind w:left="0" w:firstLine="0"/>
      </w:pPr>
      <w:rPr>
        <w:rFonts w:hint="default" w:ascii="宋体" w:hAnsi="宋体" w:eastAsia="宋体" w:cs="宋体"/>
        <w:b w:val="0"/>
        <w:bCs w:val="0"/>
        <w:spacing w:val="-1"/>
        <w:sz w:val="19"/>
        <w:szCs w:val="19"/>
        <w:lang w:val="zh-CN" w:eastAsia="zh-CN" w:bidi="zh-CN"/>
      </w:rPr>
    </w:lvl>
    <w:lvl w:ilvl="1">
      <w:start w:val="0"/>
      <w:numFmt w:val="bullet"/>
      <w:isLgl w:val="false"/>
      <w:suff w:val="tab"/>
      <w:lvlText w:val="•"/>
      <w:lvlJc w:val="left"/>
      <w:pPr>
        <w:ind w:left="2032" w:hanging="526"/>
      </w:pPr>
      <w:rPr>
        <w:rFonts w:hint="default"/>
        <w:lang w:val="zh-CN" w:eastAsia="zh-CN" w:bidi="zh-CN"/>
      </w:rPr>
    </w:lvl>
    <w:lvl w:ilvl="2">
      <w:start w:val="0"/>
      <w:numFmt w:val="bullet"/>
      <w:isLgl w:val="false"/>
      <w:suff w:val="tab"/>
      <w:lvlText w:val="•"/>
      <w:lvlJc w:val="left"/>
      <w:pPr>
        <w:ind w:left="2904" w:hanging="526"/>
      </w:pPr>
      <w:rPr>
        <w:rFonts w:hint="default"/>
        <w:lang w:val="zh-CN" w:eastAsia="zh-CN" w:bidi="zh-CN"/>
      </w:rPr>
    </w:lvl>
    <w:lvl w:ilvl="3">
      <w:start w:val="0"/>
      <w:numFmt w:val="bullet"/>
      <w:isLgl w:val="false"/>
      <w:suff w:val="tab"/>
      <w:lvlText w:val="•"/>
      <w:lvlJc w:val="left"/>
      <w:pPr>
        <w:ind w:left="3776" w:hanging="526"/>
      </w:pPr>
      <w:rPr>
        <w:rFonts w:hint="default"/>
        <w:lang w:val="zh-CN" w:eastAsia="zh-CN" w:bidi="zh-CN"/>
      </w:rPr>
    </w:lvl>
    <w:lvl w:ilvl="4">
      <w:start w:val="0"/>
      <w:numFmt w:val="bullet"/>
      <w:isLgl w:val="false"/>
      <w:suff w:val="tab"/>
      <w:lvlText w:val="•"/>
      <w:lvlJc w:val="left"/>
      <w:pPr>
        <w:ind w:left="4648" w:hanging="526"/>
      </w:pPr>
      <w:rPr>
        <w:rFonts w:hint="default"/>
        <w:lang w:val="zh-CN" w:eastAsia="zh-CN" w:bidi="zh-CN"/>
      </w:rPr>
    </w:lvl>
    <w:lvl w:ilvl="5">
      <w:start w:val="0"/>
      <w:numFmt w:val="bullet"/>
      <w:isLgl w:val="false"/>
      <w:suff w:val="tab"/>
      <w:lvlText w:val="•"/>
      <w:lvlJc w:val="left"/>
      <w:pPr>
        <w:ind w:left="5520" w:hanging="526"/>
      </w:pPr>
      <w:rPr>
        <w:rFonts w:hint="default"/>
        <w:lang w:val="zh-CN" w:eastAsia="zh-CN" w:bidi="zh-CN"/>
      </w:rPr>
    </w:lvl>
    <w:lvl w:ilvl="6">
      <w:start w:val="0"/>
      <w:numFmt w:val="bullet"/>
      <w:isLgl w:val="false"/>
      <w:suff w:val="tab"/>
      <w:lvlText w:val="•"/>
      <w:lvlJc w:val="left"/>
      <w:pPr>
        <w:ind w:left="6392" w:hanging="526"/>
      </w:pPr>
      <w:rPr>
        <w:rFonts w:hint="default"/>
        <w:lang w:val="zh-CN" w:eastAsia="zh-CN" w:bidi="zh-CN"/>
      </w:rPr>
    </w:lvl>
    <w:lvl w:ilvl="7">
      <w:start w:val="0"/>
      <w:numFmt w:val="bullet"/>
      <w:isLgl w:val="false"/>
      <w:suff w:val="tab"/>
      <w:lvlText w:val="•"/>
      <w:lvlJc w:val="left"/>
      <w:pPr>
        <w:ind w:left="7264" w:hanging="526"/>
      </w:pPr>
      <w:rPr>
        <w:rFonts w:hint="default"/>
        <w:lang w:val="zh-CN" w:eastAsia="zh-CN" w:bidi="zh-CN"/>
      </w:rPr>
    </w:lvl>
    <w:lvl w:ilvl="8">
      <w:start w:val="0"/>
      <w:numFmt w:val="bullet"/>
      <w:isLgl w:val="false"/>
      <w:suff w:val="tab"/>
      <w:lvlText w:val="•"/>
      <w:lvlJc w:val="left"/>
      <w:pPr>
        <w:ind w:left="8136" w:hanging="526"/>
      </w:pPr>
      <w:rPr>
        <w:rFonts w:hint="default"/>
        <w:lang w:val="zh-CN" w:eastAsia="zh-CN" w:bidi="zh-CN"/>
      </w:rPr>
    </w:lvl>
  </w:abstractNum>
  <w:abstractNum w:abstractNumId="24">
    <w:multiLevelType w:val="hybridMultilevel"/>
    <w:lvl w:ilvl="0">
      <w:start w:val="1"/>
      <w:numFmt w:val="bullet"/>
      <w:pStyle w:val="1249"/>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7"/>
  </w:num>
  <w:num w:numId="2">
    <w:abstractNumId w:val="12"/>
  </w:num>
  <w:num w:numId="3">
    <w:abstractNumId w:val="24"/>
  </w:num>
  <w:num w:numId="4">
    <w:abstractNumId w:val="9"/>
  </w:num>
  <w:num w:numId="5">
    <w:abstractNumId w:val="8"/>
  </w:num>
  <w:num w:numId="6">
    <w:abstractNumId w:val="13"/>
  </w:num>
  <w:num w:numId="7">
    <w:abstractNumId w:val="5"/>
  </w:num>
  <w:num w:numId="8">
    <w:abstractNumId w:val="20"/>
  </w:num>
  <w:num w:numId="9">
    <w:abstractNumId w:val="4"/>
  </w:num>
  <w:num w:numId="10">
    <w:abstractNumId w:val="3"/>
  </w:num>
  <w:num w:numId="11">
    <w:abstractNumId w:val="1"/>
  </w:num>
  <w:num w:numId="12">
    <w:abstractNumId w:val="2"/>
  </w:num>
  <w:num w:numId="13">
    <w:abstractNumId w:val="14"/>
  </w:num>
  <w:num w:numId="14">
    <w:abstractNumId w:val="23"/>
  </w:num>
  <w:num w:numId="15">
    <w:abstractNumId w:val="22"/>
  </w:num>
  <w:num w:numId="16">
    <w:abstractNumId w:val="19"/>
  </w:num>
  <w:num w:numId="17">
    <w:abstractNumId w:val="10"/>
  </w:num>
  <w:num w:numId="18">
    <w:abstractNumId w:val="0"/>
  </w:num>
  <w:num w:numId="19">
    <w:abstractNumId w:val="18"/>
  </w:num>
  <w:num w:numId="20">
    <w:abstractNumId w:val="16"/>
  </w:num>
  <w:num w:numId="21">
    <w:abstractNumId w:val="15"/>
  </w:num>
  <w:num w:numId="22">
    <w:abstractNumId w:val="7"/>
  </w:num>
  <w:num w:numId="23">
    <w:abstractNumId w:val="11"/>
  </w:num>
  <w:num w:numId="24">
    <w:abstractNumId w:val="21"/>
  </w:num>
  <w:num w:numId="25">
    <w:abstractNumId w:val="25"/>
  </w:num>
  <w:num w:numId="2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56">
    <w:name w:val="Plain Table 1"/>
    <w:basedOn w:val="8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7">
    <w:name w:val="Plain Table 2"/>
    <w:basedOn w:val="88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8">
    <w:name w:val="Plain Table 3"/>
    <w:basedOn w:val="8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9">
    <w:name w:val="Plain Table 4"/>
    <w:basedOn w:val="8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0">
    <w:name w:val="Plain Table 5"/>
    <w:basedOn w:val="8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1">
    <w:name w:val="Grid Table 1 Light"/>
    <w:basedOn w:val="88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2">
    <w:name w:val="Grid Table 2"/>
    <w:basedOn w:val="8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3">
    <w:name w:val="Grid Table 3"/>
    <w:basedOn w:val="8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4">
    <w:name w:val="Grid Table 4"/>
    <w:basedOn w:val="88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5">
    <w:name w:val="Grid Table 5 Dark"/>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6">
    <w:name w:val="Grid Table 6 Colorful"/>
    <w:basedOn w:val="88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7">
    <w:name w:val="Grid Table 7 Colorful"/>
    <w:basedOn w:val="88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8">
    <w:name w:val="List Table 1 Light"/>
    <w:basedOn w:val="88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9">
    <w:name w:val="List Table 2"/>
    <w:basedOn w:val="88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0">
    <w:name w:val="List Table 3"/>
    <w:basedOn w:val="8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1">
    <w:name w:val="List Table 4"/>
    <w:basedOn w:val="8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2">
    <w:name w:val="List Table 5 Dark"/>
    <w:basedOn w:val="88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6 Colorful"/>
    <w:basedOn w:val="88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4">
    <w:name w:val="List Table 7 Colorful"/>
    <w:basedOn w:val="88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75">
    <w:name w:val="TOC Heading"/>
    <w:uiPriority w:val="39"/>
    <w:unhideWhenUsed/>
  </w:style>
  <w:style w:type="paragraph" w:styleId="876" w:default="1">
    <w:name w:val="Normal"/>
    <w:uiPriority w:val="1"/>
    <w:qFormat/>
    <w:pPr>
      <w:widowControl w:val="off"/>
    </w:pPr>
    <w:rPr>
      <w:rFonts w:ascii="宋体" w:hAnsi="宋体" w:eastAsia="宋体" w:cs="宋体"/>
      <w:sz w:val="22"/>
      <w:szCs w:val="22"/>
      <w:lang w:val="zh-CN" w:eastAsia="zh-CN" w:bidi="zh-CN"/>
    </w:rPr>
  </w:style>
  <w:style w:type="paragraph" w:styleId="877">
    <w:name w:val="Heading 1"/>
    <w:basedOn w:val="876"/>
    <w:next w:val="876"/>
    <w:link w:val="996"/>
    <w:uiPriority w:val="0"/>
    <w:qFormat/>
    <w:pPr>
      <w:ind w:right="35"/>
      <w:jc w:val="center"/>
      <w:outlineLvl w:val="0"/>
    </w:pPr>
    <w:rPr>
      <w:b/>
      <w:bCs/>
      <w:sz w:val="72"/>
      <w:szCs w:val="72"/>
    </w:rPr>
  </w:style>
  <w:style w:type="paragraph" w:styleId="878">
    <w:name w:val="Heading 2"/>
    <w:basedOn w:val="876"/>
    <w:next w:val="876"/>
    <w:link w:val="997"/>
    <w:uiPriority w:val="0"/>
    <w:qFormat/>
    <w:pPr>
      <w:ind w:left="218"/>
      <w:outlineLvl w:val="1"/>
    </w:pPr>
    <w:rPr>
      <w:b/>
      <w:bCs/>
      <w:sz w:val="32"/>
      <w:szCs w:val="32"/>
    </w:rPr>
  </w:style>
  <w:style w:type="paragraph" w:styleId="879">
    <w:name w:val="Heading 3"/>
    <w:basedOn w:val="876"/>
    <w:next w:val="876"/>
    <w:link w:val="998"/>
    <w:uiPriority w:val="0"/>
    <w:qFormat/>
    <w:pPr>
      <w:ind w:left="218"/>
      <w:outlineLvl w:val="2"/>
    </w:pPr>
    <w:rPr>
      <w:sz w:val="28"/>
      <w:szCs w:val="28"/>
    </w:rPr>
  </w:style>
  <w:style w:type="paragraph" w:styleId="880">
    <w:name w:val="Heading 4"/>
    <w:basedOn w:val="876"/>
    <w:next w:val="876"/>
    <w:link w:val="999"/>
    <w:uiPriority w:val="0"/>
    <w:qFormat/>
    <w:pPr>
      <w:ind w:left="218"/>
      <w:outlineLvl w:val="3"/>
    </w:pPr>
    <w:rPr>
      <w:sz w:val="24"/>
      <w:szCs w:val="24"/>
    </w:rPr>
  </w:style>
  <w:style w:type="paragraph" w:styleId="881">
    <w:name w:val="Heading 5"/>
    <w:basedOn w:val="876"/>
    <w:next w:val="876"/>
    <w:link w:val="1000"/>
    <w:uiPriority w:val="0"/>
    <w:unhideWhenUsed/>
    <w:qFormat/>
    <w:pPr>
      <w:keepLines/>
      <w:keepNext/>
      <w:spacing w:before="320" w:after="200"/>
      <w:outlineLvl w:val="4"/>
    </w:pPr>
    <w:rPr>
      <w:rFonts w:ascii="Arial" w:hAnsi="Arial" w:eastAsia="Arial" w:cs="Arial"/>
      <w:b/>
      <w:bCs/>
      <w:sz w:val="24"/>
      <w:szCs w:val="24"/>
    </w:rPr>
  </w:style>
  <w:style w:type="paragraph" w:styleId="882">
    <w:name w:val="Heading 6"/>
    <w:basedOn w:val="876"/>
    <w:next w:val="876"/>
    <w:link w:val="1001"/>
    <w:uiPriority w:val="0"/>
    <w:unhideWhenUsed/>
    <w:qFormat/>
    <w:pPr>
      <w:keepLines/>
      <w:keepNext/>
      <w:spacing w:before="320" w:after="200"/>
      <w:outlineLvl w:val="5"/>
    </w:pPr>
    <w:rPr>
      <w:rFonts w:ascii="Arial" w:hAnsi="Arial" w:eastAsia="Arial" w:cs="Arial"/>
      <w:b/>
      <w:bCs/>
    </w:rPr>
  </w:style>
  <w:style w:type="paragraph" w:styleId="883">
    <w:name w:val="Heading 7"/>
    <w:basedOn w:val="876"/>
    <w:next w:val="876"/>
    <w:link w:val="1002"/>
    <w:uiPriority w:val="0"/>
    <w:unhideWhenUsed/>
    <w:qFormat/>
    <w:pPr>
      <w:keepLines/>
      <w:keepNext/>
      <w:spacing w:before="320" w:after="200"/>
      <w:outlineLvl w:val="6"/>
    </w:pPr>
    <w:rPr>
      <w:rFonts w:ascii="Arial" w:hAnsi="Arial" w:eastAsia="Arial" w:cs="Arial"/>
      <w:b/>
      <w:bCs/>
      <w:i/>
      <w:iCs/>
    </w:rPr>
  </w:style>
  <w:style w:type="paragraph" w:styleId="884">
    <w:name w:val="Heading 8"/>
    <w:basedOn w:val="876"/>
    <w:next w:val="876"/>
    <w:link w:val="1003"/>
    <w:uiPriority w:val="0"/>
    <w:unhideWhenUsed/>
    <w:qFormat/>
    <w:pPr>
      <w:keepLines/>
      <w:keepNext/>
      <w:spacing w:before="320" w:after="200"/>
      <w:outlineLvl w:val="7"/>
    </w:pPr>
    <w:rPr>
      <w:rFonts w:ascii="Arial" w:hAnsi="Arial" w:eastAsia="Arial" w:cs="Arial"/>
      <w:i/>
      <w:iCs/>
    </w:rPr>
  </w:style>
  <w:style w:type="paragraph" w:styleId="885">
    <w:name w:val="Heading 9"/>
    <w:basedOn w:val="876"/>
    <w:next w:val="876"/>
    <w:link w:val="1004"/>
    <w:uiPriority w:val="0"/>
    <w:unhideWhenUsed/>
    <w:qFormat/>
    <w:pPr>
      <w:keepLines/>
      <w:keepNext/>
      <w:spacing w:before="320" w:after="200"/>
      <w:outlineLvl w:val="8"/>
    </w:pPr>
    <w:rPr>
      <w:rFonts w:ascii="Arial" w:hAnsi="Arial" w:eastAsia="Arial" w:cs="Arial"/>
      <w:i/>
      <w:iCs/>
      <w:sz w:val="21"/>
      <w:szCs w:val="21"/>
    </w:rPr>
  </w:style>
  <w:style w:type="character" w:styleId="886" w:default="1">
    <w:name w:val="Default Paragraph Font"/>
    <w:uiPriority w:val="1"/>
    <w:semiHidden/>
    <w:unhideWhenUsed/>
  </w:style>
  <w:style w:type="table" w:styleId="887" w:default="1">
    <w:name w:val="Normal Table"/>
    <w:uiPriority w:val="99"/>
    <w:semiHidden/>
    <w:unhideWhenUsed/>
    <w:tblPr>
      <w:tblCellMar>
        <w:left w:w="108" w:type="dxa"/>
        <w:top w:w="0" w:type="dxa"/>
        <w:right w:w="108" w:type="dxa"/>
        <w:bottom w:w="0" w:type="dxa"/>
      </w:tblCellMar>
    </w:tblPr>
  </w:style>
  <w:style w:type="paragraph" w:styleId="888">
    <w:name w:val="List 3"/>
    <w:basedOn w:val="876"/>
    <w:uiPriority w:val="0"/>
    <w:qFormat/>
    <w:pPr>
      <w:ind w:left="1260" w:hanging="420"/>
      <w:jc w:val="both"/>
      <w:spacing w:line="360" w:lineRule="auto"/>
    </w:pPr>
    <w:rPr>
      <w:rFonts w:ascii="Times New Roman" w:hAnsi="Times New Roman" w:cs="Times New Roman"/>
      <w:sz w:val="24"/>
      <w:szCs w:val="24"/>
      <w:lang w:val="en-US" w:bidi="ar-SA"/>
    </w:rPr>
  </w:style>
  <w:style w:type="paragraph" w:styleId="889">
    <w:name w:val="toc 7"/>
    <w:basedOn w:val="876"/>
    <w:next w:val="876"/>
    <w:uiPriority w:val="0"/>
    <w:unhideWhenUsed/>
    <w:qFormat/>
    <w:pPr>
      <w:ind w:left="1701"/>
      <w:spacing w:after="57"/>
    </w:pPr>
  </w:style>
  <w:style w:type="paragraph" w:styleId="890">
    <w:name w:val="List Number 2"/>
    <w:basedOn w:val="876"/>
    <w:uiPriority w:val="0"/>
    <w:qFormat/>
    <w:pPr>
      <w:ind w:left="1440" w:hanging="1440"/>
      <w:jc w:val="both"/>
      <w:spacing w:line="360" w:lineRule="auto"/>
      <w:tabs>
        <w:tab w:val="left" w:pos="1440" w:leader="none"/>
      </w:tabs>
    </w:pPr>
    <w:rPr>
      <w:rFonts w:ascii="Times New Roman" w:hAnsi="Times New Roman" w:cs="Times New Roman"/>
      <w:sz w:val="24"/>
      <w:szCs w:val="24"/>
      <w:lang w:val="en-US" w:bidi="ar-SA"/>
    </w:rPr>
  </w:style>
  <w:style w:type="paragraph" w:styleId="891">
    <w:name w:val="index 8"/>
    <w:basedOn w:val="876"/>
    <w:next w:val="876"/>
    <w:uiPriority w:val="0"/>
    <w:qFormat/>
    <w:pPr>
      <w:ind w:left="2940" w:firstLine="562"/>
      <w:jc w:val="both"/>
      <w:spacing w:line="360" w:lineRule="auto"/>
    </w:pPr>
    <w:rPr>
      <w:rFonts w:ascii="Times New Roman" w:hAnsi="Times New Roman" w:cs="Times New Roman"/>
      <w:sz w:val="24"/>
      <w:szCs w:val="24"/>
      <w:lang w:val="en-US" w:bidi="ar-SA"/>
    </w:rPr>
  </w:style>
  <w:style w:type="paragraph" w:styleId="892">
    <w:name w:val="List Number"/>
    <w:basedOn w:val="876"/>
    <w:uiPriority w:val="0"/>
    <w:qFormat/>
    <w:pPr>
      <w:ind w:left="2952" w:hanging="432"/>
      <w:jc w:val="both"/>
      <w:spacing w:line="360" w:lineRule="auto"/>
      <w:tabs>
        <w:tab w:val="left" w:pos="2952" w:leader="none"/>
      </w:tabs>
    </w:pPr>
    <w:rPr>
      <w:rFonts w:ascii="Times New Roman" w:hAnsi="Times New Roman" w:cs="Times New Roman"/>
      <w:sz w:val="24"/>
      <w:szCs w:val="24"/>
      <w:lang w:val="en-US" w:bidi="ar-SA"/>
    </w:rPr>
  </w:style>
  <w:style w:type="paragraph" w:styleId="893">
    <w:name w:val="Normal Indent"/>
    <w:basedOn w:val="876"/>
    <w:uiPriority w:val="0"/>
    <w:qFormat/>
    <w:pPr>
      <w:ind w:firstLine="420"/>
      <w:spacing w:line="360" w:lineRule="auto"/>
    </w:pPr>
    <w:rPr>
      <w:rFonts w:ascii="Times New Roman" w:hAnsi="Times New Roman"/>
      <w:sz w:val="24"/>
      <w:szCs w:val="21"/>
    </w:rPr>
  </w:style>
  <w:style w:type="paragraph" w:styleId="894">
    <w:name w:val="Caption"/>
    <w:basedOn w:val="876"/>
    <w:next w:val="87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95">
    <w:name w:val="index 5"/>
    <w:basedOn w:val="876"/>
    <w:next w:val="876"/>
    <w:uiPriority w:val="0"/>
    <w:qFormat/>
    <w:pPr>
      <w:ind w:left="1680" w:firstLine="562"/>
      <w:jc w:val="both"/>
      <w:spacing w:line="360" w:lineRule="auto"/>
    </w:pPr>
    <w:rPr>
      <w:rFonts w:ascii="Times New Roman" w:hAnsi="Times New Roman" w:cs="Times New Roman"/>
      <w:sz w:val="24"/>
      <w:szCs w:val="24"/>
      <w:lang w:val="en-US" w:bidi="ar-SA"/>
    </w:rPr>
  </w:style>
  <w:style w:type="paragraph" w:styleId="896">
    <w:name w:val="Document Map"/>
    <w:basedOn w:val="876"/>
    <w:link w:val="1164"/>
    <w:uiPriority w:val="0"/>
    <w:qFormat/>
    <w:pPr>
      <w:ind w:firstLine="562"/>
      <w:jc w:val="both"/>
      <w:spacing w:line="360" w:lineRule="auto"/>
      <w:shd w:val="clear" w:color="auto" w:fill="000080"/>
    </w:pPr>
    <w:rPr>
      <w:sz w:val="24"/>
      <w:szCs w:val="24"/>
      <w:lang w:val="en-US" w:bidi="ar-SA"/>
    </w:rPr>
  </w:style>
  <w:style w:type="paragraph" w:styleId="897">
    <w:name w:val="toa heading"/>
    <w:basedOn w:val="876"/>
    <w:next w:val="876"/>
    <w:uiPriority w:val="99"/>
    <w:qFormat/>
    <w:pPr>
      <w:ind w:firstLine="562"/>
      <w:jc w:val="both"/>
      <w:spacing w:before="120" w:line="360" w:lineRule="auto"/>
    </w:pPr>
    <w:rPr>
      <w:rFonts w:ascii="Cambria" w:hAnsi="Cambria"/>
      <w:sz w:val="24"/>
      <w:szCs w:val="24"/>
      <w:lang w:val="en-US" w:bidi="ar-SA"/>
    </w:rPr>
  </w:style>
  <w:style w:type="paragraph" w:styleId="898">
    <w:name w:val="annotation text"/>
    <w:basedOn w:val="876"/>
    <w:link w:val="1139"/>
    <w:uiPriority w:val="0"/>
    <w:qFormat/>
  </w:style>
  <w:style w:type="paragraph" w:styleId="899">
    <w:name w:val="index 6"/>
    <w:basedOn w:val="876"/>
    <w:next w:val="876"/>
    <w:uiPriority w:val="0"/>
    <w:qFormat/>
    <w:pPr>
      <w:ind w:left="2100" w:firstLine="562"/>
      <w:jc w:val="both"/>
      <w:spacing w:line="360" w:lineRule="auto"/>
    </w:pPr>
    <w:rPr>
      <w:rFonts w:ascii="Times New Roman" w:hAnsi="Times New Roman" w:cs="Times New Roman"/>
      <w:sz w:val="24"/>
      <w:szCs w:val="24"/>
      <w:lang w:val="en-US" w:bidi="ar-SA"/>
    </w:rPr>
  </w:style>
  <w:style w:type="paragraph" w:styleId="900">
    <w:name w:val="Salutation"/>
    <w:basedOn w:val="876"/>
    <w:next w:val="876"/>
    <w:link w:val="1165"/>
    <w:uiPriority w:val="0"/>
    <w:qFormat/>
    <w:pPr>
      <w:ind w:firstLine="562"/>
      <w:jc w:val="both"/>
      <w:spacing w:line="360" w:lineRule="auto"/>
    </w:pPr>
    <w:rPr>
      <w:rFonts w:ascii="仿宋_GB2312" w:hAnsi="Times New Roman" w:eastAsia="仿宋_GB2312" w:cs="Times New Roman"/>
      <w:sz w:val="28"/>
      <w:szCs w:val="24"/>
      <w:lang w:val="en-US" w:bidi="ar-SA"/>
    </w:rPr>
  </w:style>
  <w:style w:type="paragraph" w:styleId="901">
    <w:name w:val="Body Text 3"/>
    <w:basedOn w:val="876"/>
    <w:link w:val="1166"/>
    <w:uiPriority w:val="0"/>
    <w:qFormat/>
    <w:pPr>
      <w:ind w:firstLine="562"/>
      <w:jc w:val="both"/>
      <w:spacing w:line="360" w:lineRule="auto"/>
    </w:pPr>
    <w:rPr>
      <w:rFonts w:ascii="仿宋_GB2312" w:hAnsi="Arial" w:eastAsia="仿宋_GB2312" w:cs="Times New Roman"/>
      <w:sz w:val="32"/>
      <w:szCs w:val="24"/>
      <w:lang w:val="en-US" w:bidi="ar-SA"/>
    </w:rPr>
  </w:style>
  <w:style w:type="paragraph" w:styleId="902">
    <w:name w:val="Body Text"/>
    <w:basedOn w:val="876"/>
    <w:link w:val="1162"/>
    <w:uiPriority w:val="0"/>
    <w:qFormat/>
    <w:rPr>
      <w:sz w:val="21"/>
      <w:szCs w:val="21"/>
    </w:rPr>
  </w:style>
  <w:style w:type="paragraph" w:styleId="903">
    <w:name w:val="Body Text Indent"/>
    <w:basedOn w:val="876"/>
    <w:link w:val="1189"/>
    <w:uiPriority w:val="0"/>
    <w:qFormat/>
    <w:pPr>
      <w:ind w:firstLine="301"/>
      <w:spacing w:line="200" w:lineRule="exact"/>
    </w:pPr>
    <w:rPr>
      <w:rFonts w:hAnsi="Courier New"/>
      <w:spacing w:val="-4"/>
      <w:sz w:val="18"/>
      <w:szCs w:val="20"/>
    </w:rPr>
  </w:style>
  <w:style w:type="paragraph" w:styleId="904">
    <w:name w:val="Block Text"/>
    <w:basedOn w:val="876"/>
    <w:uiPriority w:val="0"/>
    <w:unhideWhenUsed/>
    <w:qFormat/>
    <w:pPr>
      <w:ind w:left="1440" w:right="1440"/>
      <w:spacing w:after="120"/>
    </w:pPr>
  </w:style>
  <w:style w:type="paragraph" w:styleId="905">
    <w:name w:val="index 4"/>
    <w:basedOn w:val="876"/>
    <w:next w:val="876"/>
    <w:uiPriority w:val="0"/>
    <w:unhideWhenUsed/>
    <w:qFormat/>
    <w:pPr>
      <w:ind w:left="600"/>
    </w:pPr>
    <w:rPr>
      <w:b/>
      <w:position w:val="-10"/>
      <w:sz w:val="24"/>
      <w:szCs w:val="20"/>
    </w:rPr>
  </w:style>
  <w:style w:type="paragraph" w:styleId="906">
    <w:name w:val="toc 5"/>
    <w:basedOn w:val="876"/>
    <w:next w:val="876"/>
    <w:uiPriority w:val="0"/>
    <w:unhideWhenUsed/>
    <w:qFormat/>
    <w:pPr>
      <w:ind w:left="1134"/>
      <w:spacing w:after="57"/>
    </w:pPr>
  </w:style>
  <w:style w:type="paragraph" w:styleId="907">
    <w:name w:val="toc 3"/>
    <w:basedOn w:val="876"/>
    <w:next w:val="876"/>
    <w:uiPriority w:val="0"/>
    <w:unhideWhenUsed/>
    <w:qFormat/>
    <w:pPr>
      <w:ind w:left="567"/>
      <w:spacing w:after="57"/>
    </w:pPr>
  </w:style>
  <w:style w:type="paragraph" w:styleId="908">
    <w:name w:val="Plain Text"/>
    <w:basedOn w:val="876"/>
    <w:link w:val="1143"/>
    <w:uiPriority w:val="0"/>
    <w:unhideWhenUsed/>
    <w:qFormat/>
    <w:rPr>
      <w:rFonts w:hAnsi="Courier New"/>
    </w:rPr>
  </w:style>
  <w:style w:type="paragraph" w:styleId="909">
    <w:name w:val="toc 8"/>
    <w:basedOn w:val="876"/>
    <w:next w:val="876"/>
    <w:uiPriority w:val="0"/>
    <w:unhideWhenUsed/>
    <w:qFormat/>
    <w:pPr>
      <w:ind w:left="1984"/>
      <w:spacing w:after="57"/>
    </w:pPr>
  </w:style>
  <w:style w:type="paragraph" w:styleId="910">
    <w:name w:val="index 3"/>
    <w:basedOn w:val="876"/>
    <w:next w:val="876"/>
    <w:uiPriority w:val="0"/>
    <w:qFormat/>
    <w:pPr>
      <w:ind w:left="840" w:firstLine="562"/>
      <w:jc w:val="both"/>
      <w:spacing w:line="360" w:lineRule="auto"/>
    </w:pPr>
    <w:rPr>
      <w:rFonts w:ascii="Times New Roman" w:hAnsi="Times New Roman" w:cs="Times New Roman"/>
      <w:sz w:val="24"/>
      <w:szCs w:val="24"/>
      <w:lang w:val="en-US" w:bidi="ar-SA"/>
    </w:rPr>
  </w:style>
  <w:style w:type="paragraph" w:styleId="911">
    <w:name w:val="Date"/>
    <w:basedOn w:val="876"/>
    <w:next w:val="876"/>
    <w:uiPriority w:val="0"/>
    <w:qFormat/>
    <w:pPr>
      <w:ind w:left="100"/>
    </w:pPr>
    <w:rPr>
      <w:rFonts w:ascii="Times New Roman" w:hAnsi="Times New Roman" w:cs="Times New Roman"/>
      <w:sz w:val="28"/>
    </w:rPr>
  </w:style>
  <w:style w:type="paragraph" w:styleId="912">
    <w:name w:val="Body Text Indent 2"/>
    <w:basedOn w:val="876"/>
    <w:link w:val="1167"/>
    <w:uiPriority w:val="0"/>
    <w:qFormat/>
    <w:pPr>
      <w:ind w:left="630" w:firstLine="645"/>
      <w:jc w:val="both"/>
      <w:spacing w:line="360" w:lineRule="auto"/>
    </w:pPr>
    <w:rPr>
      <w:rFonts w:ascii="Arial" w:hAnsi="Arial" w:eastAsia="仿宋_GB2312"/>
      <w:sz w:val="32"/>
      <w:szCs w:val="24"/>
      <w:lang w:val="en-US" w:bidi="ar-SA"/>
    </w:rPr>
  </w:style>
  <w:style w:type="paragraph" w:styleId="913">
    <w:name w:val="endnote text"/>
    <w:basedOn w:val="876"/>
    <w:link w:val="1122"/>
    <w:uiPriority w:val="0"/>
    <w:unhideWhenUsed/>
    <w:qFormat/>
    <w:rPr>
      <w:sz w:val="20"/>
    </w:rPr>
  </w:style>
  <w:style w:type="paragraph" w:styleId="914">
    <w:name w:val="Balloon Text"/>
    <w:basedOn w:val="876"/>
    <w:link w:val="1129"/>
    <w:uiPriority w:val="0"/>
    <w:qFormat/>
    <w:rPr>
      <w:sz w:val="18"/>
      <w:szCs w:val="18"/>
    </w:rPr>
  </w:style>
  <w:style w:type="paragraph" w:styleId="915">
    <w:name w:val="Footer"/>
    <w:basedOn w:val="876"/>
    <w:link w:val="1014"/>
    <w:uiPriority w:val="0"/>
    <w:qFormat/>
    <w:pPr>
      <w:tabs>
        <w:tab w:val="center" w:pos="4153" w:leader="none"/>
        <w:tab w:val="right" w:pos="8306" w:leader="none"/>
      </w:tabs>
    </w:pPr>
    <w:rPr>
      <w:sz w:val="18"/>
    </w:rPr>
  </w:style>
  <w:style w:type="paragraph" w:styleId="916">
    <w:name w:val="envelope return"/>
    <w:basedOn w:val="876"/>
    <w:uiPriority w:val="0"/>
    <w:qFormat/>
    <w:pPr>
      <w:ind w:firstLine="562"/>
      <w:jc w:val="both"/>
      <w:spacing w:line="360" w:lineRule="auto"/>
    </w:pPr>
    <w:rPr>
      <w:rFonts w:ascii="Arial" w:hAnsi="Arial" w:cs="Times New Roman"/>
      <w:sz w:val="24"/>
      <w:szCs w:val="24"/>
      <w:lang w:val="en-US" w:bidi="ar-SA"/>
    </w:rPr>
  </w:style>
  <w:style w:type="paragraph" w:styleId="917">
    <w:name w:val="Header"/>
    <w:basedOn w:val="876"/>
    <w:link w:val="1012"/>
    <w:uiPriority w:val="0"/>
    <w:qFormat/>
    <w:pPr>
      <w:jc w:val="both"/>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918">
    <w:name w:val="Signature"/>
    <w:basedOn w:val="876"/>
    <w:link w:val="1168"/>
    <w:uiPriority w:val="0"/>
    <w:qFormat/>
    <w:pPr>
      <w:ind w:firstLine="562"/>
      <w:jc w:val="center"/>
      <w:spacing w:after="600" w:line="312" w:lineRule="atLeast"/>
    </w:pPr>
    <w:rPr>
      <w:rFonts w:ascii="Times New Roman" w:hAnsi="Times New Roman" w:eastAsia="仿宋_GB2312" w:cs="Times New Roman"/>
      <w:sz w:val="24"/>
      <w:szCs w:val="24"/>
      <w:lang w:val="en-US" w:bidi="ar-SA"/>
    </w:rPr>
  </w:style>
  <w:style w:type="paragraph" w:styleId="919">
    <w:name w:val="toc 1"/>
    <w:basedOn w:val="876"/>
    <w:next w:val="876"/>
    <w:uiPriority w:val="0"/>
    <w:qFormat/>
  </w:style>
  <w:style w:type="paragraph" w:styleId="920">
    <w:name w:val="toc 4"/>
    <w:basedOn w:val="876"/>
    <w:next w:val="876"/>
    <w:uiPriority w:val="0"/>
    <w:unhideWhenUsed/>
    <w:qFormat/>
    <w:pPr>
      <w:ind w:left="850"/>
      <w:spacing w:after="57"/>
    </w:pPr>
  </w:style>
  <w:style w:type="paragraph" w:styleId="921">
    <w:name w:val="index heading"/>
    <w:basedOn w:val="876"/>
    <w:next w:val="922"/>
    <w:uiPriority w:val="0"/>
    <w:qFormat/>
    <w:pPr>
      <w:ind w:firstLine="562"/>
      <w:jc w:val="both"/>
      <w:spacing w:line="360" w:lineRule="auto"/>
    </w:pPr>
    <w:rPr>
      <w:rFonts w:ascii="Times New Roman" w:hAnsi="Times New Roman" w:cs="Times New Roman"/>
      <w:sz w:val="24"/>
      <w:szCs w:val="24"/>
      <w:lang w:val="en-US" w:bidi="ar-SA"/>
    </w:rPr>
  </w:style>
  <w:style w:type="paragraph" w:styleId="922">
    <w:name w:val="index 1"/>
    <w:basedOn w:val="876"/>
    <w:next w:val="876"/>
    <w:uiPriority w:val="0"/>
    <w:unhideWhenUsed/>
    <w:qFormat/>
  </w:style>
  <w:style w:type="paragraph" w:styleId="923">
    <w:name w:val="Subtitle"/>
    <w:basedOn w:val="876"/>
    <w:next w:val="876"/>
    <w:link w:val="1007"/>
    <w:uiPriority w:val="0"/>
    <w:qFormat/>
    <w:pPr>
      <w:spacing w:before="200" w:after="200"/>
    </w:pPr>
    <w:rPr>
      <w:sz w:val="24"/>
      <w:szCs w:val="24"/>
    </w:rPr>
  </w:style>
  <w:style w:type="paragraph" w:styleId="924">
    <w:name w:val="footnote text"/>
    <w:basedOn w:val="876"/>
    <w:link w:val="1121"/>
    <w:uiPriority w:val="0"/>
    <w:unhideWhenUsed/>
    <w:qFormat/>
    <w:pPr>
      <w:spacing w:after="40"/>
    </w:pPr>
    <w:rPr>
      <w:sz w:val="18"/>
    </w:rPr>
  </w:style>
  <w:style w:type="paragraph" w:styleId="925">
    <w:name w:val="toc 6"/>
    <w:basedOn w:val="876"/>
    <w:next w:val="876"/>
    <w:uiPriority w:val="0"/>
    <w:unhideWhenUsed/>
    <w:qFormat/>
    <w:pPr>
      <w:ind w:left="1417"/>
      <w:spacing w:after="57"/>
    </w:pPr>
  </w:style>
  <w:style w:type="paragraph" w:styleId="926">
    <w:name w:val="Body Text Indent 3"/>
    <w:basedOn w:val="876"/>
    <w:link w:val="1169"/>
    <w:uiPriority w:val="0"/>
    <w:qFormat/>
    <w:pPr>
      <w:ind w:left="645" w:firstLine="645"/>
      <w:jc w:val="both"/>
      <w:spacing w:line="360" w:lineRule="auto"/>
    </w:pPr>
    <w:rPr>
      <w:rFonts w:ascii="Arial" w:hAnsi="Arial" w:eastAsia="仿宋_GB2312"/>
      <w:color w:val="ffff00"/>
      <w:sz w:val="32"/>
      <w:szCs w:val="24"/>
      <w:lang w:val="en-US" w:bidi="ar-SA"/>
    </w:rPr>
  </w:style>
  <w:style w:type="paragraph" w:styleId="927">
    <w:name w:val="index 7"/>
    <w:basedOn w:val="876"/>
    <w:next w:val="876"/>
    <w:uiPriority w:val="0"/>
    <w:qFormat/>
    <w:pPr>
      <w:ind w:left="2520" w:firstLine="562"/>
      <w:jc w:val="both"/>
      <w:spacing w:line="360" w:lineRule="auto"/>
    </w:pPr>
    <w:rPr>
      <w:rFonts w:ascii="Times New Roman" w:hAnsi="Times New Roman" w:cs="Times New Roman"/>
      <w:sz w:val="24"/>
      <w:szCs w:val="24"/>
      <w:lang w:val="en-US" w:bidi="ar-SA"/>
    </w:rPr>
  </w:style>
  <w:style w:type="paragraph" w:styleId="928">
    <w:name w:val="index 9"/>
    <w:basedOn w:val="876"/>
    <w:next w:val="876"/>
    <w:uiPriority w:val="0"/>
    <w:qFormat/>
    <w:pPr>
      <w:ind w:left="3360" w:firstLine="562"/>
      <w:jc w:val="both"/>
      <w:spacing w:line="360" w:lineRule="auto"/>
    </w:pPr>
    <w:rPr>
      <w:rFonts w:ascii="Times New Roman" w:hAnsi="Times New Roman" w:cs="Times New Roman"/>
      <w:sz w:val="24"/>
      <w:szCs w:val="24"/>
      <w:lang w:val="en-US" w:bidi="ar-SA"/>
    </w:rPr>
  </w:style>
  <w:style w:type="paragraph" w:styleId="929">
    <w:name w:val="table of figures"/>
    <w:basedOn w:val="876"/>
    <w:next w:val="876"/>
    <w:uiPriority w:val="0"/>
    <w:unhideWhenUsed/>
    <w:qFormat/>
  </w:style>
  <w:style w:type="paragraph" w:styleId="930">
    <w:name w:val="toc 2"/>
    <w:basedOn w:val="876"/>
    <w:next w:val="876"/>
    <w:uiPriority w:val="0"/>
    <w:unhideWhenUsed/>
    <w:qFormat/>
    <w:pPr>
      <w:ind w:left="283"/>
      <w:spacing w:after="57"/>
    </w:pPr>
  </w:style>
  <w:style w:type="paragraph" w:styleId="931">
    <w:name w:val="toc 9"/>
    <w:basedOn w:val="876"/>
    <w:next w:val="876"/>
    <w:uiPriority w:val="0"/>
    <w:unhideWhenUsed/>
    <w:qFormat/>
    <w:pPr>
      <w:ind w:left="2268"/>
      <w:spacing w:after="57"/>
    </w:pPr>
  </w:style>
  <w:style w:type="paragraph" w:styleId="932">
    <w:name w:val="Body Text 2"/>
    <w:basedOn w:val="876"/>
    <w:link w:val="1170"/>
    <w:uiPriority w:val="0"/>
    <w:qFormat/>
    <w:pPr>
      <w:ind w:firstLine="562"/>
      <w:jc w:val="center"/>
      <w:spacing w:line="360" w:lineRule="auto"/>
      <w:widowControl/>
    </w:pPr>
    <w:rPr>
      <w:rFonts w:ascii="楷体_GB2312" w:hAnsi="Times New Roman" w:eastAsia="楷体_GB2312" w:cs="Times New Roman"/>
      <w:sz w:val="28"/>
      <w:szCs w:val="24"/>
      <w:lang w:val="en-US" w:bidi="ar-SA"/>
    </w:rPr>
  </w:style>
  <w:style w:type="paragraph" w:styleId="933">
    <w:name w:val="HTML Preformatted"/>
    <w:basedOn w:val="876"/>
    <w:link w:val="1171"/>
    <w:uiPriority w:val="0"/>
    <w:qFormat/>
    <w:pPr>
      <w:ind w:firstLine="562"/>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4"/>
      <w:lang w:val="en-US" w:bidi="ar-SA"/>
    </w:rPr>
  </w:style>
  <w:style w:type="paragraph" w:styleId="934">
    <w:name w:val="Normal (Web)"/>
    <w:basedOn w:val="876"/>
    <w:uiPriority w:val="0"/>
    <w:qFormat/>
    <w:pPr>
      <w:spacing w:before="100" w:beforeAutospacing="1" w:after="100" w:afterAutospacing="1"/>
      <w:widowControl/>
    </w:pPr>
    <w:rPr>
      <w:sz w:val="24"/>
      <w:szCs w:val="24"/>
    </w:rPr>
  </w:style>
  <w:style w:type="paragraph" w:styleId="935">
    <w:name w:val="index 2"/>
    <w:basedOn w:val="876"/>
    <w:next w:val="876"/>
    <w:uiPriority w:val="0"/>
    <w:qFormat/>
    <w:pPr>
      <w:ind w:left="420" w:firstLine="562"/>
      <w:jc w:val="both"/>
      <w:spacing w:line="360" w:lineRule="auto"/>
    </w:pPr>
    <w:rPr>
      <w:rFonts w:ascii="Times New Roman" w:hAnsi="Times New Roman" w:cs="Times New Roman"/>
      <w:sz w:val="24"/>
      <w:szCs w:val="24"/>
      <w:lang w:val="en-US" w:bidi="ar-SA"/>
    </w:rPr>
  </w:style>
  <w:style w:type="paragraph" w:styleId="936">
    <w:name w:val="Title"/>
    <w:basedOn w:val="876"/>
    <w:next w:val="876"/>
    <w:link w:val="1006"/>
    <w:uiPriority w:val="0"/>
    <w:qFormat/>
    <w:pPr>
      <w:contextualSpacing/>
      <w:spacing w:before="300" w:after="200"/>
    </w:pPr>
    <w:rPr>
      <w:sz w:val="48"/>
      <w:szCs w:val="48"/>
    </w:rPr>
  </w:style>
  <w:style w:type="paragraph" w:styleId="937">
    <w:name w:val="annotation subject"/>
    <w:basedOn w:val="898"/>
    <w:next w:val="898"/>
    <w:link w:val="1140"/>
    <w:uiPriority w:val="0"/>
    <w:qFormat/>
    <w:rPr>
      <w:b/>
      <w:bCs/>
    </w:rPr>
  </w:style>
  <w:style w:type="paragraph" w:styleId="938">
    <w:name w:val="Body Text First Indent"/>
    <w:basedOn w:val="902"/>
    <w:link w:val="1163"/>
    <w:uiPriority w:val="0"/>
    <w:unhideWhenUsed/>
    <w:qFormat/>
    <w:pPr>
      <w:ind w:firstLine="420"/>
      <w:spacing w:after="120"/>
    </w:pPr>
    <w:rPr>
      <w:sz w:val="22"/>
      <w:szCs w:val="22"/>
    </w:rPr>
  </w:style>
  <w:style w:type="paragraph" w:styleId="939">
    <w:name w:val="Body Text First Indent 2"/>
    <w:basedOn w:val="903"/>
    <w:uiPriority w:val="0"/>
    <w:unhideWhenUsed/>
    <w:qFormat/>
    <w:pPr>
      <w:ind w:left="420" w:firstLine="420"/>
      <w:spacing w:after="120" w:line="360" w:lineRule="auto"/>
    </w:pPr>
    <w:rPr>
      <w:sz w:val="24"/>
    </w:rPr>
  </w:style>
  <w:style w:type="table" w:styleId="940">
    <w:name w:val="Table Grid"/>
    <w:basedOn w:val="88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41">
    <w:name w:val="Strong"/>
    <w:basedOn w:val="886"/>
    <w:uiPriority w:val="0"/>
    <w:qFormat/>
    <w:rPr>
      <w:b/>
    </w:rPr>
  </w:style>
  <w:style w:type="character" w:styleId="942">
    <w:name w:val="endnote reference"/>
    <w:basedOn w:val="886"/>
    <w:uiPriority w:val="0"/>
    <w:unhideWhenUsed/>
    <w:qFormat/>
    <w:rPr>
      <w:vertAlign w:val="superscript"/>
    </w:rPr>
  </w:style>
  <w:style w:type="character" w:styleId="943">
    <w:name w:val="page number"/>
    <w:uiPriority w:val="0"/>
    <w:qFormat/>
    <w:rPr>
      <w:rFonts w:ascii="Times New Roman" w:hAnsi="Times New Roman" w:eastAsia="宋体" w:cs="Times New Roman"/>
    </w:rPr>
  </w:style>
  <w:style w:type="character" w:styleId="944">
    <w:name w:val="FollowedHyperlink"/>
    <w:uiPriority w:val="0"/>
    <w:qFormat/>
    <w:rPr>
      <w:rFonts w:ascii="Times New Roman" w:hAnsi="Times New Roman" w:eastAsia="宋体" w:cs="Times New Roman"/>
      <w:color w:val="0076be"/>
      <w:u w:val="none"/>
    </w:rPr>
  </w:style>
  <w:style w:type="character" w:styleId="945">
    <w:name w:val="Emphasis"/>
    <w:basedOn w:val="886"/>
    <w:uiPriority w:val="0"/>
    <w:qFormat/>
    <w:rPr>
      <w:i/>
    </w:rPr>
  </w:style>
  <w:style w:type="character" w:styleId="946">
    <w:name w:val="line number"/>
    <w:uiPriority w:val="0"/>
    <w:qFormat/>
    <w:rPr>
      <w:rFonts w:ascii="Times New Roman" w:hAnsi="Times New Roman" w:eastAsia="宋体" w:cs="Times New Roman"/>
    </w:rPr>
  </w:style>
  <w:style w:type="character" w:styleId="947">
    <w:name w:val="HTML Definition"/>
    <w:uiPriority w:val="0"/>
    <w:qFormat/>
    <w:rPr>
      <w:rFonts w:ascii="Times New Roman" w:hAnsi="Times New Roman" w:eastAsia="宋体" w:cs="Times New Roman"/>
    </w:rPr>
  </w:style>
  <w:style w:type="character" w:styleId="948">
    <w:name w:val="HTML Typewriter"/>
    <w:uiPriority w:val="0"/>
    <w:qFormat/>
    <w:rPr>
      <w:rFonts w:ascii="宋体" w:hAnsi="宋体" w:eastAsia="宋体" w:cs="宋体"/>
      <w:sz w:val="24"/>
      <w:szCs w:val="24"/>
    </w:rPr>
  </w:style>
  <w:style w:type="character" w:styleId="949">
    <w:name w:val="HTML Acronym"/>
    <w:uiPriority w:val="0"/>
    <w:qFormat/>
    <w:rPr>
      <w:rFonts w:ascii="Times New Roman" w:hAnsi="Times New Roman" w:eastAsia="宋体" w:cs="Times New Roman"/>
    </w:rPr>
  </w:style>
  <w:style w:type="character" w:styleId="950">
    <w:name w:val="HTML Variable"/>
    <w:uiPriority w:val="0"/>
    <w:qFormat/>
    <w:rPr>
      <w:rFonts w:ascii="Times New Roman" w:hAnsi="Times New Roman" w:eastAsia="宋体" w:cs="Times New Roman"/>
    </w:rPr>
  </w:style>
  <w:style w:type="character" w:styleId="951">
    <w:name w:val="Hyperlink"/>
    <w:basedOn w:val="886"/>
    <w:uiPriority w:val="0"/>
    <w:unhideWhenUsed/>
    <w:qFormat/>
    <w:rPr>
      <w:color w:val="0000ff" w:themeColor="hyperlink"/>
      <w:u w:val="single"/>
      <w14:textFill>
        <w14:solidFill>
          <w14:schemeClr w14:val="hlink"/>
        </w14:solidFill>
      </w14:textFill>
    </w:rPr>
  </w:style>
  <w:style w:type="character" w:styleId="952">
    <w:name w:val="HTML Code"/>
    <w:uiPriority w:val="0"/>
    <w:qFormat/>
    <w:rPr>
      <w:rFonts w:ascii="Courier New" w:hAnsi="Courier New" w:eastAsia="宋体" w:cs="Times New Roman"/>
      <w:sz w:val="20"/>
    </w:rPr>
  </w:style>
  <w:style w:type="character" w:styleId="953">
    <w:name w:val="annotation reference"/>
    <w:basedOn w:val="886"/>
    <w:uiPriority w:val="0"/>
    <w:qFormat/>
    <w:rPr>
      <w:sz w:val="21"/>
      <w:szCs w:val="21"/>
    </w:rPr>
  </w:style>
  <w:style w:type="character" w:styleId="954">
    <w:name w:val="HTML Cite"/>
    <w:uiPriority w:val="0"/>
    <w:qFormat/>
    <w:rPr>
      <w:rFonts w:ascii="Times New Roman" w:hAnsi="Times New Roman" w:eastAsia="宋体" w:cs="Times New Roman"/>
    </w:rPr>
  </w:style>
  <w:style w:type="character" w:styleId="955">
    <w:name w:val="footnote reference"/>
    <w:basedOn w:val="886"/>
    <w:uiPriority w:val="0"/>
    <w:unhideWhenUsed/>
    <w:qFormat/>
    <w:rPr>
      <w:vertAlign w:val="superscript"/>
    </w:rPr>
  </w:style>
  <w:style w:type="character" w:styleId="956">
    <w:name w:val="HTML Sample"/>
    <w:uiPriority w:val="0"/>
    <w:qFormat/>
    <w:rPr>
      <w:rFonts w:ascii="Courier New" w:hAnsi="宋体" w:eastAsia="宋体" w:cs="Courier New"/>
    </w:rPr>
  </w:style>
  <w:style w:type="table" w:styleId="957" w:customStyle="1">
    <w:name w:val="无格式表格 11"/>
    <w:basedOn w:val="88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8" w:customStyle="1">
    <w:name w:val="无格式表格 21"/>
    <w:basedOn w:val="88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9" w:customStyle="1">
    <w:name w:val="无格式表格 31"/>
    <w:basedOn w:val="88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0" w:customStyle="1">
    <w:name w:val="无格式表格 41"/>
    <w:basedOn w:val="88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1" w:customStyle="1">
    <w:name w:val="无格式表格 51"/>
    <w:basedOn w:val="88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2" w:customStyle="1">
    <w:name w:val="网格表 1 浅色1"/>
    <w:basedOn w:val="88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3" w:customStyle="1">
    <w:name w:val="网格表 21"/>
    <w:basedOn w:val="88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4" w:customStyle="1">
    <w:name w:val="网格表 31"/>
    <w:basedOn w:val="88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5" w:customStyle="1">
    <w:name w:val="网格表 41"/>
    <w:basedOn w:val="88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6" w:customStyle="1">
    <w:name w:val="网格表 5 深色1"/>
    <w:basedOn w:val="8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7" w:customStyle="1">
    <w:name w:val="网格表 6 彩色1"/>
    <w:basedOn w:val="88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8" w:customStyle="1">
    <w:name w:val="网格表 7 彩色1"/>
    <w:basedOn w:val="88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9" w:customStyle="1">
    <w:name w:val="清单表 1 浅色1"/>
    <w:basedOn w:val="88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0" w:customStyle="1">
    <w:name w:val="清单表 21"/>
    <w:basedOn w:val="88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1" w:customStyle="1">
    <w:name w:val="清单表 31"/>
    <w:basedOn w:val="88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2" w:customStyle="1">
    <w:name w:val="清单表 41"/>
    <w:basedOn w:val="88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3" w:customStyle="1">
    <w:name w:val="清单表 5 深色1"/>
    <w:basedOn w:val="88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清单表 6 彩色1"/>
    <w:basedOn w:val="88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5" w:customStyle="1">
    <w:name w:val="清单表 7 彩色1"/>
    <w:basedOn w:val="88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76" w:customStyle="1">
    <w:name w:val="TOC 标题1"/>
    <w:uiPriority w:val="39"/>
    <w:unhideWhenUsed/>
    <w:qFormat/>
    <w:rPr>
      <w:rFonts w:ascii="Times New Roman" w:hAnsi="Times New Roman" w:eastAsia="宋体" w:cs="Times New Roman"/>
      <w:lang w:val="en-US" w:eastAsia="zh-CN" w:bidi="ar-SA"/>
    </w:rPr>
  </w:style>
  <w:style w:type="character" w:styleId="977" w:customStyle="1">
    <w:name w:val="Heading 1 Char"/>
    <w:basedOn w:val="886"/>
    <w:uiPriority w:val="9"/>
    <w:qFormat/>
    <w:rPr>
      <w:rFonts w:ascii="Arial" w:hAnsi="Arial" w:eastAsia="Arial" w:cs="Arial"/>
      <w:sz w:val="40"/>
      <w:szCs w:val="40"/>
    </w:rPr>
  </w:style>
  <w:style w:type="character" w:styleId="978" w:customStyle="1">
    <w:name w:val="Heading 2 Char"/>
    <w:basedOn w:val="886"/>
    <w:uiPriority w:val="9"/>
    <w:qFormat/>
    <w:rPr>
      <w:rFonts w:ascii="Arial" w:hAnsi="Arial" w:eastAsia="Arial" w:cs="Arial"/>
      <w:sz w:val="34"/>
    </w:rPr>
  </w:style>
  <w:style w:type="character" w:styleId="979" w:customStyle="1">
    <w:name w:val="Heading 3 Char"/>
    <w:basedOn w:val="886"/>
    <w:uiPriority w:val="9"/>
    <w:qFormat/>
    <w:rPr>
      <w:rFonts w:ascii="Arial" w:hAnsi="Arial" w:eastAsia="Arial" w:cs="Arial"/>
      <w:sz w:val="30"/>
      <w:szCs w:val="30"/>
    </w:rPr>
  </w:style>
  <w:style w:type="character" w:styleId="980" w:customStyle="1">
    <w:name w:val="Heading 4 Char"/>
    <w:basedOn w:val="886"/>
    <w:uiPriority w:val="9"/>
    <w:qFormat/>
    <w:rPr>
      <w:rFonts w:ascii="Arial" w:hAnsi="Arial" w:eastAsia="Arial" w:cs="Arial"/>
      <w:b/>
      <w:bCs/>
      <w:sz w:val="26"/>
      <w:szCs w:val="26"/>
    </w:rPr>
  </w:style>
  <w:style w:type="character" w:styleId="981" w:customStyle="1">
    <w:name w:val="Heading 5 Char"/>
    <w:basedOn w:val="886"/>
    <w:uiPriority w:val="9"/>
    <w:qFormat/>
    <w:rPr>
      <w:rFonts w:ascii="Arial" w:hAnsi="Arial" w:eastAsia="Arial" w:cs="Arial"/>
      <w:b/>
      <w:bCs/>
      <w:sz w:val="24"/>
      <w:szCs w:val="24"/>
    </w:rPr>
  </w:style>
  <w:style w:type="character" w:styleId="982" w:customStyle="1">
    <w:name w:val="Heading 6 Char"/>
    <w:basedOn w:val="886"/>
    <w:uiPriority w:val="9"/>
    <w:qFormat/>
    <w:rPr>
      <w:rFonts w:ascii="Arial" w:hAnsi="Arial" w:eastAsia="Arial" w:cs="Arial"/>
      <w:b/>
      <w:bCs/>
      <w:sz w:val="22"/>
      <w:szCs w:val="22"/>
    </w:rPr>
  </w:style>
  <w:style w:type="character" w:styleId="983" w:customStyle="1">
    <w:name w:val="Heading 7 Char"/>
    <w:basedOn w:val="886"/>
    <w:uiPriority w:val="9"/>
    <w:qFormat/>
    <w:rPr>
      <w:rFonts w:ascii="Arial" w:hAnsi="Arial" w:eastAsia="Arial" w:cs="Arial"/>
      <w:b/>
      <w:bCs/>
      <w:i/>
      <w:iCs/>
      <w:sz w:val="22"/>
      <w:szCs w:val="22"/>
    </w:rPr>
  </w:style>
  <w:style w:type="character" w:styleId="984" w:customStyle="1">
    <w:name w:val="Heading 8 Char"/>
    <w:basedOn w:val="886"/>
    <w:uiPriority w:val="9"/>
    <w:qFormat/>
    <w:rPr>
      <w:rFonts w:ascii="Arial" w:hAnsi="Arial" w:eastAsia="Arial" w:cs="Arial"/>
      <w:i/>
      <w:iCs/>
      <w:sz w:val="22"/>
      <w:szCs w:val="22"/>
    </w:rPr>
  </w:style>
  <w:style w:type="character" w:styleId="985" w:customStyle="1">
    <w:name w:val="Heading 9 Char"/>
    <w:basedOn w:val="886"/>
    <w:uiPriority w:val="9"/>
    <w:qFormat/>
    <w:rPr>
      <w:rFonts w:ascii="Arial" w:hAnsi="Arial" w:eastAsia="Arial" w:cs="Arial"/>
      <w:i/>
      <w:iCs/>
      <w:sz w:val="21"/>
      <w:szCs w:val="21"/>
    </w:rPr>
  </w:style>
  <w:style w:type="character" w:styleId="986" w:customStyle="1">
    <w:name w:val="Title Char"/>
    <w:basedOn w:val="886"/>
    <w:uiPriority w:val="10"/>
    <w:qFormat/>
    <w:rPr>
      <w:sz w:val="48"/>
      <w:szCs w:val="48"/>
    </w:rPr>
  </w:style>
  <w:style w:type="character" w:styleId="987" w:customStyle="1">
    <w:name w:val="Subtitle Char"/>
    <w:basedOn w:val="886"/>
    <w:uiPriority w:val="11"/>
    <w:qFormat/>
    <w:rPr>
      <w:sz w:val="24"/>
      <w:szCs w:val="24"/>
    </w:rPr>
  </w:style>
  <w:style w:type="character" w:styleId="988" w:customStyle="1">
    <w:name w:val="Quote Char"/>
    <w:uiPriority w:val="29"/>
    <w:qFormat/>
    <w:rPr>
      <w:i/>
    </w:rPr>
  </w:style>
  <w:style w:type="character" w:styleId="989" w:customStyle="1">
    <w:name w:val="Intense Quote Char"/>
    <w:uiPriority w:val="30"/>
    <w:qFormat/>
    <w:rPr>
      <w:i/>
    </w:rPr>
  </w:style>
  <w:style w:type="character" w:styleId="990" w:customStyle="1">
    <w:name w:val="Header Char"/>
    <w:basedOn w:val="886"/>
    <w:uiPriority w:val="99"/>
    <w:qFormat/>
  </w:style>
  <w:style w:type="character" w:styleId="991" w:customStyle="1">
    <w:name w:val="Caption Char"/>
    <w:uiPriority w:val="99"/>
    <w:qFormat/>
  </w:style>
  <w:style w:type="character" w:styleId="992" w:customStyle="1">
    <w:name w:val="Footnote Text Char"/>
    <w:uiPriority w:val="99"/>
    <w:qFormat/>
    <w:rPr>
      <w:sz w:val="18"/>
    </w:rPr>
  </w:style>
  <w:style w:type="character" w:styleId="993" w:customStyle="1">
    <w:name w:val="Endnote Text Char"/>
    <w:uiPriority w:val="99"/>
    <w:qFormat/>
    <w:rPr>
      <w:sz w:val="20"/>
    </w:rPr>
  </w:style>
  <w:style w:type="paragraph" w:styleId="994" w:customStyle="1">
    <w:name w:val="TOC 标题111"/>
    <w:uiPriority w:val="39"/>
    <w:unhideWhenUsed/>
    <w:qFormat/>
    <w:rPr>
      <w:rFonts w:ascii="Times New Roman" w:hAnsi="Times New Roman" w:eastAsia="宋体" w:cs="Times New Roman"/>
      <w:lang w:val="en-US" w:eastAsia="zh-CN" w:bidi="ar-SA"/>
    </w:rPr>
  </w:style>
  <w:style w:type="paragraph" w:styleId="995">
    <w:name w:val="List Paragraph"/>
    <w:basedOn w:val="876"/>
    <w:uiPriority w:val="0"/>
    <w:qFormat/>
    <w:pPr>
      <w:ind w:left="218" w:firstLine="420"/>
    </w:pPr>
  </w:style>
  <w:style w:type="character" w:styleId="996" w:customStyle="1">
    <w:name w:val="标题 1 字符"/>
    <w:basedOn w:val="886"/>
    <w:link w:val="877"/>
    <w:uiPriority w:val="0"/>
    <w:qFormat/>
    <w:rPr>
      <w:rFonts w:ascii="Arial" w:hAnsi="Arial" w:eastAsia="Arial" w:cs="Arial"/>
      <w:sz w:val="40"/>
      <w:szCs w:val="40"/>
    </w:rPr>
  </w:style>
  <w:style w:type="character" w:styleId="997" w:customStyle="1">
    <w:name w:val="标题 2 字符"/>
    <w:basedOn w:val="886"/>
    <w:link w:val="878"/>
    <w:uiPriority w:val="0"/>
    <w:qFormat/>
    <w:rPr>
      <w:rFonts w:ascii="Arial" w:hAnsi="Arial" w:eastAsia="Arial" w:cs="Arial"/>
      <w:sz w:val="34"/>
    </w:rPr>
  </w:style>
  <w:style w:type="character" w:styleId="998" w:customStyle="1">
    <w:name w:val="标题 3 字符"/>
    <w:basedOn w:val="886"/>
    <w:link w:val="879"/>
    <w:uiPriority w:val="0"/>
    <w:qFormat/>
    <w:rPr>
      <w:rFonts w:ascii="Arial" w:hAnsi="Arial" w:eastAsia="Arial" w:cs="Arial"/>
      <w:sz w:val="30"/>
      <w:szCs w:val="30"/>
    </w:rPr>
  </w:style>
  <w:style w:type="character" w:styleId="999" w:customStyle="1">
    <w:name w:val="标题 4 字符"/>
    <w:basedOn w:val="886"/>
    <w:link w:val="880"/>
    <w:uiPriority w:val="0"/>
    <w:qFormat/>
    <w:rPr>
      <w:rFonts w:ascii="Arial" w:hAnsi="Arial" w:eastAsia="Arial" w:cs="Arial"/>
      <w:b/>
      <w:bCs/>
      <w:sz w:val="26"/>
      <w:szCs w:val="26"/>
    </w:rPr>
  </w:style>
  <w:style w:type="character" w:styleId="1000" w:customStyle="1">
    <w:name w:val="标题 5 字符"/>
    <w:basedOn w:val="886"/>
    <w:link w:val="881"/>
    <w:uiPriority w:val="0"/>
    <w:qFormat/>
    <w:rPr>
      <w:rFonts w:ascii="Arial" w:hAnsi="Arial" w:eastAsia="Arial" w:cs="Arial"/>
      <w:b/>
      <w:bCs/>
      <w:sz w:val="24"/>
      <w:szCs w:val="24"/>
    </w:rPr>
  </w:style>
  <w:style w:type="character" w:styleId="1001" w:customStyle="1">
    <w:name w:val="标题 6 字符"/>
    <w:basedOn w:val="886"/>
    <w:link w:val="882"/>
    <w:uiPriority w:val="0"/>
    <w:qFormat/>
    <w:rPr>
      <w:rFonts w:ascii="Arial" w:hAnsi="Arial" w:eastAsia="Arial" w:cs="Arial"/>
      <w:b/>
      <w:bCs/>
      <w:sz w:val="22"/>
      <w:szCs w:val="22"/>
    </w:rPr>
  </w:style>
  <w:style w:type="character" w:styleId="1002" w:customStyle="1">
    <w:name w:val="标题 7 字符"/>
    <w:basedOn w:val="886"/>
    <w:link w:val="883"/>
    <w:uiPriority w:val="0"/>
    <w:qFormat/>
    <w:rPr>
      <w:rFonts w:ascii="Arial" w:hAnsi="Arial" w:eastAsia="Arial" w:cs="Arial"/>
      <w:b/>
      <w:bCs/>
      <w:i/>
      <w:iCs/>
      <w:sz w:val="22"/>
      <w:szCs w:val="22"/>
    </w:rPr>
  </w:style>
  <w:style w:type="character" w:styleId="1003" w:customStyle="1">
    <w:name w:val="标题 8 字符"/>
    <w:basedOn w:val="886"/>
    <w:link w:val="884"/>
    <w:uiPriority w:val="0"/>
    <w:qFormat/>
    <w:rPr>
      <w:rFonts w:ascii="Arial" w:hAnsi="Arial" w:eastAsia="Arial" w:cs="Arial"/>
      <w:i/>
      <w:iCs/>
      <w:sz w:val="22"/>
      <w:szCs w:val="22"/>
    </w:rPr>
  </w:style>
  <w:style w:type="character" w:styleId="1004" w:customStyle="1">
    <w:name w:val="标题 9 字符"/>
    <w:basedOn w:val="886"/>
    <w:link w:val="885"/>
    <w:uiPriority w:val="0"/>
    <w:qFormat/>
    <w:rPr>
      <w:rFonts w:ascii="Arial" w:hAnsi="Arial" w:eastAsia="Arial" w:cs="Arial"/>
      <w:i/>
      <w:iCs/>
      <w:sz w:val="21"/>
      <w:szCs w:val="21"/>
    </w:rPr>
  </w:style>
  <w:style w:type="paragraph" w:styleId="1005">
    <w:name w:val="No Spacing"/>
    <w:link w:val="1214"/>
    <w:uiPriority w:val="0"/>
    <w:qFormat/>
    <w:rPr>
      <w:rFonts w:ascii="Times New Roman" w:hAnsi="Times New Roman" w:eastAsia="宋体" w:cs="Times New Roman"/>
      <w:lang w:val="en-US" w:eastAsia="zh-CN" w:bidi="ar-SA"/>
    </w:rPr>
  </w:style>
  <w:style w:type="character" w:styleId="1006" w:customStyle="1">
    <w:name w:val="标题 字符"/>
    <w:basedOn w:val="886"/>
    <w:link w:val="936"/>
    <w:uiPriority w:val="0"/>
    <w:qFormat/>
    <w:rPr>
      <w:sz w:val="48"/>
      <w:szCs w:val="48"/>
    </w:rPr>
  </w:style>
  <w:style w:type="character" w:styleId="1007" w:customStyle="1">
    <w:name w:val="副标题 字符"/>
    <w:basedOn w:val="886"/>
    <w:link w:val="923"/>
    <w:uiPriority w:val="11"/>
    <w:qFormat/>
    <w:rPr>
      <w:sz w:val="24"/>
      <w:szCs w:val="24"/>
    </w:rPr>
  </w:style>
  <w:style w:type="paragraph" w:styleId="1008">
    <w:name w:val="Quote"/>
    <w:basedOn w:val="876"/>
    <w:next w:val="876"/>
    <w:link w:val="1009"/>
    <w:uiPriority w:val="0"/>
    <w:qFormat/>
    <w:pPr>
      <w:ind w:left="720" w:right="720"/>
    </w:pPr>
    <w:rPr>
      <w:i/>
    </w:rPr>
  </w:style>
  <w:style w:type="character" w:styleId="1009" w:customStyle="1">
    <w:name w:val="引用 字符"/>
    <w:link w:val="1008"/>
    <w:uiPriority w:val="0"/>
    <w:qFormat/>
    <w:rPr>
      <w:i/>
    </w:rPr>
  </w:style>
  <w:style w:type="paragraph" w:styleId="1010">
    <w:name w:val="Intense Quote"/>
    <w:basedOn w:val="876"/>
    <w:next w:val="876"/>
    <w:link w:val="1011"/>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1" w:customStyle="1">
    <w:name w:val="明显引用 字符"/>
    <w:link w:val="1010"/>
    <w:uiPriority w:val="0"/>
    <w:qFormat/>
    <w:rPr>
      <w:i/>
    </w:rPr>
  </w:style>
  <w:style w:type="character" w:styleId="1012" w:customStyle="1">
    <w:name w:val="页眉 字符"/>
    <w:basedOn w:val="886"/>
    <w:link w:val="917"/>
    <w:uiPriority w:val="99"/>
    <w:qFormat/>
  </w:style>
  <w:style w:type="character" w:styleId="1013" w:customStyle="1">
    <w:name w:val="Footer Char"/>
    <w:basedOn w:val="886"/>
    <w:uiPriority w:val="99"/>
    <w:qFormat/>
  </w:style>
  <w:style w:type="character" w:styleId="1014" w:customStyle="1">
    <w:name w:val="页脚 字符"/>
    <w:link w:val="915"/>
    <w:uiPriority w:val="0"/>
    <w:qFormat/>
  </w:style>
  <w:style w:type="table" w:styleId="1015" w:customStyle="1">
    <w:name w:val="Table Grid Light"/>
    <w:basedOn w:val="88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016" w:customStyle="1">
    <w:name w:val="Grid Table 1 Light - Accent 1"/>
    <w:basedOn w:val="88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17" w:customStyle="1">
    <w:name w:val="Grid Table 1 Light - Accent 2"/>
    <w:basedOn w:val="88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18" w:customStyle="1">
    <w:name w:val="Grid Table 1 Light - Accent 3"/>
    <w:basedOn w:val="88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19" w:customStyle="1">
    <w:name w:val="Grid Table 1 Light - Accent 4"/>
    <w:basedOn w:val="88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20" w:customStyle="1">
    <w:name w:val="Grid Table 1 Light - Accent 5"/>
    <w:basedOn w:val="88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21" w:customStyle="1">
    <w:name w:val="Grid Table 1 Light - Accent 6"/>
    <w:basedOn w:val="88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22" w:customStyle="1">
    <w:name w:val="Grid Table 2 - Accent 1"/>
    <w:basedOn w:val="88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23" w:customStyle="1">
    <w:name w:val="Grid Table 2 - Accent 2"/>
    <w:basedOn w:val="88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24" w:customStyle="1">
    <w:name w:val="Grid Table 2 - Accent 3"/>
    <w:basedOn w:val="88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25" w:customStyle="1">
    <w:name w:val="Grid Table 2 - Accent 4"/>
    <w:basedOn w:val="88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26" w:customStyle="1">
    <w:name w:val="Grid Table 2 - Accent 5"/>
    <w:basedOn w:val="88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27" w:customStyle="1">
    <w:name w:val="Grid Table 2 - Accent 6"/>
    <w:basedOn w:val="88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28" w:customStyle="1">
    <w:name w:val="Grid Table 3 - Accent 1"/>
    <w:basedOn w:val="88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9" w:customStyle="1">
    <w:name w:val="Grid Table 3 - Accent 2"/>
    <w:basedOn w:val="88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0" w:customStyle="1">
    <w:name w:val="Grid Table 3 - Accent 3"/>
    <w:basedOn w:val="88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1" w:customStyle="1">
    <w:name w:val="Grid Table 3 - Accent 4"/>
    <w:basedOn w:val="88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2" w:customStyle="1">
    <w:name w:val="Grid Table 3 - Accent 5"/>
    <w:basedOn w:val="88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3" w:customStyle="1">
    <w:name w:val="Grid Table 3 - Accent 6"/>
    <w:basedOn w:val="88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4" w:customStyle="1">
    <w:name w:val="Grid Table 4 - Accent 1"/>
    <w:basedOn w:val="887"/>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35" w:customStyle="1">
    <w:name w:val="Grid Table 4 - Accent 2"/>
    <w:basedOn w:val="887"/>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36" w:customStyle="1">
    <w:name w:val="Grid Table 4 - Accent 3"/>
    <w:basedOn w:val="887"/>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37" w:customStyle="1">
    <w:name w:val="Grid Table 4 - Accent 4"/>
    <w:basedOn w:val="887"/>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38" w:customStyle="1">
    <w:name w:val="Grid Table 4 - Accent 5"/>
    <w:basedOn w:val="887"/>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39" w:customStyle="1">
    <w:name w:val="Grid Table 4 - Accent 6"/>
    <w:basedOn w:val="887"/>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40" w:customStyle="1">
    <w:name w:val="Grid Table 5 Dark- Accent 1"/>
    <w:basedOn w:val="8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41" w:customStyle="1">
    <w:name w:val="Grid Table 5 Dark - Accent 2"/>
    <w:basedOn w:val="8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42" w:customStyle="1">
    <w:name w:val="Grid Table 5 Dark - Accent 3"/>
    <w:basedOn w:val="8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43" w:customStyle="1">
    <w:name w:val="Grid Table 5 Dark- Accent 4"/>
    <w:basedOn w:val="8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44" w:customStyle="1">
    <w:name w:val="Grid Table 5 Dark - Accent 5"/>
    <w:basedOn w:val="8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45" w:customStyle="1">
    <w:name w:val="Grid Table 5 Dark - Accent 6"/>
    <w:basedOn w:val="8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46" w:customStyle="1">
    <w:name w:val="Grid Table 6 Colorful - Accent 1"/>
    <w:basedOn w:val="887"/>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47" w:customStyle="1">
    <w:name w:val="Grid Table 6 Colorful - Accent 2"/>
    <w:basedOn w:val="88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48" w:customStyle="1">
    <w:name w:val="Grid Table 6 Colorful - Accent 3"/>
    <w:basedOn w:val="887"/>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49" w:customStyle="1">
    <w:name w:val="Grid Table 6 Colorful - Accent 4"/>
    <w:basedOn w:val="88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50" w:customStyle="1">
    <w:name w:val="Grid Table 6 Colorful - Accent 5"/>
    <w:basedOn w:val="887"/>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51" w:customStyle="1">
    <w:name w:val="Grid Table 6 Colorful - Accent 6"/>
    <w:basedOn w:val="887"/>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52" w:customStyle="1">
    <w:name w:val="Grid Table 7 Colorful - Accent 1"/>
    <w:basedOn w:val="887"/>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53" w:customStyle="1">
    <w:name w:val="Grid Table 7 Colorful - Accent 2"/>
    <w:basedOn w:val="887"/>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4" w:customStyle="1">
    <w:name w:val="Grid Table 7 Colorful - Accent 3"/>
    <w:basedOn w:val="887"/>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55" w:customStyle="1">
    <w:name w:val="Grid Table 7 Colorful - Accent 4"/>
    <w:basedOn w:val="887"/>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6" w:customStyle="1">
    <w:name w:val="Grid Table 7 Colorful - Accent 5"/>
    <w:basedOn w:val="887"/>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57" w:customStyle="1">
    <w:name w:val="Grid Table 7 Colorful - Accent 6"/>
    <w:basedOn w:val="887"/>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58" w:customStyle="1">
    <w:name w:val="List Table 1 Light - Accent 1"/>
    <w:basedOn w:val="887"/>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59" w:customStyle="1">
    <w:name w:val="List Table 1 Light - Accent 2"/>
    <w:basedOn w:val="887"/>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60" w:customStyle="1">
    <w:name w:val="List Table 1 Light - Accent 3"/>
    <w:basedOn w:val="887"/>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61" w:customStyle="1">
    <w:name w:val="List Table 1 Light - Accent 4"/>
    <w:basedOn w:val="887"/>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62" w:customStyle="1">
    <w:name w:val="List Table 1 Light - Accent 5"/>
    <w:basedOn w:val="887"/>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63" w:customStyle="1">
    <w:name w:val="List Table 1 Light - Accent 6"/>
    <w:basedOn w:val="887"/>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64" w:customStyle="1">
    <w:name w:val="List Table 2 - Accent 1"/>
    <w:basedOn w:val="887"/>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65" w:customStyle="1">
    <w:name w:val="List Table 2 - Accent 2"/>
    <w:basedOn w:val="887"/>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66" w:customStyle="1">
    <w:name w:val="List Table 2 - Accent 3"/>
    <w:basedOn w:val="887"/>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67" w:customStyle="1">
    <w:name w:val="List Table 2 - Accent 4"/>
    <w:basedOn w:val="887"/>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68" w:customStyle="1">
    <w:name w:val="List Table 2 - Accent 5"/>
    <w:basedOn w:val="887"/>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69" w:customStyle="1">
    <w:name w:val="List Table 2 - Accent 6"/>
    <w:basedOn w:val="887"/>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70" w:customStyle="1">
    <w:name w:val="List Table 3 - Accent 1"/>
    <w:basedOn w:val="887"/>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71" w:customStyle="1">
    <w:name w:val="List Table 3 - Accent 2"/>
    <w:basedOn w:val="88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72" w:customStyle="1">
    <w:name w:val="List Table 3 - Accent 3"/>
    <w:basedOn w:val="887"/>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73" w:customStyle="1">
    <w:name w:val="List Table 3 - Accent 4"/>
    <w:basedOn w:val="88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74" w:customStyle="1">
    <w:name w:val="List Table 3 - Accent 5"/>
    <w:basedOn w:val="887"/>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75" w:customStyle="1">
    <w:name w:val="List Table 3 - Accent 6"/>
    <w:basedOn w:val="887"/>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76" w:customStyle="1">
    <w:name w:val="List Table 4 - Accent 1"/>
    <w:basedOn w:val="887"/>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77" w:customStyle="1">
    <w:name w:val="List Table 4 - Accent 2"/>
    <w:basedOn w:val="887"/>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78" w:customStyle="1">
    <w:name w:val="List Table 4 - Accent 3"/>
    <w:basedOn w:val="887"/>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79" w:customStyle="1">
    <w:name w:val="List Table 4 - Accent 4"/>
    <w:basedOn w:val="887"/>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80" w:customStyle="1">
    <w:name w:val="List Table 4 - Accent 5"/>
    <w:basedOn w:val="887"/>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81" w:customStyle="1">
    <w:name w:val="List Table 4 - Accent 6"/>
    <w:basedOn w:val="887"/>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82" w:customStyle="1">
    <w:name w:val="List Table 5 Dark - Accent 1"/>
    <w:basedOn w:val="887"/>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3" w:customStyle="1">
    <w:name w:val="List Table 5 Dark - Accent 2"/>
    <w:basedOn w:val="887"/>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4" w:customStyle="1">
    <w:name w:val="List Table 5 Dark - Accent 3"/>
    <w:basedOn w:val="887"/>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5" w:customStyle="1">
    <w:name w:val="List Table 5 Dark - Accent 4"/>
    <w:basedOn w:val="887"/>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6" w:customStyle="1">
    <w:name w:val="List Table 5 Dark - Accent 5"/>
    <w:basedOn w:val="887"/>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7" w:customStyle="1">
    <w:name w:val="List Table 5 Dark - Accent 6"/>
    <w:basedOn w:val="887"/>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8" w:customStyle="1">
    <w:name w:val="List Table 6 Colorful - Accent 1"/>
    <w:basedOn w:val="887"/>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89" w:customStyle="1">
    <w:name w:val="List Table 6 Colorful - Accent 2"/>
    <w:basedOn w:val="887"/>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90" w:customStyle="1">
    <w:name w:val="List Table 6 Colorful - Accent 3"/>
    <w:basedOn w:val="887"/>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91" w:customStyle="1">
    <w:name w:val="List Table 6 Colorful - Accent 4"/>
    <w:basedOn w:val="887"/>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92" w:customStyle="1">
    <w:name w:val="List Table 6 Colorful - Accent 5"/>
    <w:basedOn w:val="887"/>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93" w:customStyle="1">
    <w:name w:val="List Table 6 Colorful - Accent 6"/>
    <w:basedOn w:val="887"/>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94" w:customStyle="1">
    <w:name w:val="List Table 7 Colorful - Accent 1"/>
    <w:basedOn w:val="887"/>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95" w:customStyle="1">
    <w:name w:val="List Table 7 Colorful - Accent 2"/>
    <w:basedOn w:val="887"/>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96" w:customStyle="1">
    <w:name w:val="List Table 7 Colorful - Accent 3"/>
    <w:basedOn w:val="887"/>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97" w:customStyle="1">
    <w:name w:val="List Table 7 Colorful - Accent 4"/>
    <w:basedOn w:val="887"/>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98" w:customStyle="1">
    <w:name w:val="List Table 7 Colorful - Accent 5"/>
    <w:basedOn w:val="887"/>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99" w:customStyle="1">
    <w:name w:val="List Table 7 Colorful - Accent 6"/>
    <w:basedOn w:val="887"/>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00" w:customStyle="1">
    <w:name w:val="Lined - Accent"/>
    <w:basedOn w:val="8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01" w:customStyle="1">
    <w:name w:val="Lined - Accent 1"/>
    <w:basedOn w:val="8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02" w:customStyle="1">
    <w:name w:val="Lined - Accent 2"/>
    <w:basedOn w:val="8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03" w:customStyle="1">
    <w:name w:val="Lined - Accent 3"/>
    <w:basedOn w:val="8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04" w:customStyle="1">
    <w:name w:val="Lined - Accent 4"/>
    <w:basedOn w:val="8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05" w:customStyle="1">
    <w:name w:val="Lined - Accent 5"/>
    <w:basedOn w:val="8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06" w:customStyle="1">
    <w:name w:val="Lined - Accent 6"/>
    <w:basedOn w:val="8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07" w:customStyle="1">
    <w:name w:val="Bordered &amp; Lined - Accent"/>
    <w:basedOn w:val="88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08" w:customStyle="1">
    <w:name w:val="Bordered &amp; Lined - Accent 1"/>
    <w:basedOn w:val="887"/>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09" w:customStyle="1">
    <w:name w:val="Bordered &amp; Lined - Accent 2"/>
    <w:basedOn w:val="887"/>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10" w:customStyle="1">
    <w:name w:val="Bordered &amp; Lined - Accent 3"/>
    <w:basedOn w:val="887"/>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11" w:customStyle="1">
    <w:name w:val="Bordered &amp; Lined - Accent 4"/>
    <w:basedOn w:val="887"/>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12" w:customStyle="1">
    <w:name w:val="Bordered &amp; Lined - Accent 5"/>
    <w:basedOn w:val="887"/>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13" w:customStyle="1">
    <w:name w:val="Bordered &amp; Lined - Accent 6"/>
    <w:basedOn w:val="887"/>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14" w:customStyle="1">
    <w:name w:val="Bordered"/>
    <w:basedOn w:val="88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15" w:customStyle="1">
    <w:name w:val="Bordered - Accent 1"/>
    <w:basedOn w:val="88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16" w:customStyle="1">
    <w:name w:val="Bordered - Accent 2"/>
    <w:basedOn w:val="88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17" w:customStyle="1">
    <w:name w:val="Bordered - Accent 3"/>
    <w:basedOn w:val="88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18" w:customStyle="1">
    <w:name w:val="Bordered - Accent 4"/>
    <w:basedOn w:val="88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19" w:customStyle="1">
    <w:name w:val="Bordered - Accent 5"/>
    <w:basedOn w:val="88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20" w:customStyle="1">
    <w:name w:val="Bordered - Accent 6"/>
    <w:basedOn w:val="88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21" w:customStyle="1">
    <w:name w:val="脚注文本 字符"/>
    <w:link w:val="924"/>
    <w:uiPriority w:val="99"/>
    <w:qFormat/>
    <w:rPr>
      <w:sz w:val="18"/>
    </w:rPr>
  </w:style>
  <w:style w:type="character" w:styleId="1122" w:customStyle="1">
    <w:name w:val="尾注文本 字符"/>
    <w:link w:val="913"/>
    <w:uiPriority w:val="99"/>
    <w:qFormat/>
    <w:rPr>
      <w:sz w:val="20"/>
    </w:rPr>
  </w:style>
  <w:style w:type="paragraph" w:styleId="1123" w:customStyle="1">
    <w:name w:val="TOC 标题11"/>
    <w:uiPriority w:val="39"/>
    <w:unhideWhenUsed/>
    <w:qFormat/>
    <w:rPr>
      <w:rFonts w:ascii="Times New Roman" w:hAnsi="Times New Roman" w:eastAsia="宋体" w:cs="Times New Roman"/>
      <w:lang w:val="en-US" w:eastAsia="zh-CN" w:bidi="ar-SA"/>
    </w:rPr>
  </w:style>
  <w:style w:type="table" w:styleId="1124" w:customStyle="1">
    <w:name w:val="Table Normal"/>
    <w:uiPriority w:val="2"/>
    <w:semiHidden/>
    <w:unhideWhenUsed/>
    <w:qFormat/>
    <w:tblPr>
      <w:tblCellMar>
        <w:left w:w="0" w:type="dxa"/>
        <w:top w:w="0" w:type="dxa"/>
        <w:right w:w="0" w:type="dxa"/>
        <w:bottom w:w="0" w:type="dxa"/>
      </w:tblCellMar>
    </w:tblPr>
  </w:style>
  <w:style w:type="paragraph" w:styleId="1125" w:customStyle="1">
    <w:name w:val="Table Paragraph"/>
    <w:basedOn w:val="876"/>
    <w:uiPriority w:val="1"/>
    <w:qFormat/>
  </w:style>
  <w:style w:type="character" w:styleId="1126" w:customStyle="1">
    <w:name w:val="font31"/>
    <w:basedOn w:val="886"/>
    <w:uiPriority w:val="0"/>
    <w:qFormat/>
    <w:rPr>
      <w:rFonts w:hint="default" w:ascii="Times New Roman" w:hAnsi="Times New Roman" w:cs="Times New Roman"/>
      <w:color w:val="000000"/>
      <w:sz w:val="20"/>
      <w:szCs w:val="20"/>
      <w:u w:val="none"/>
    </w:rPr>
  </w:style>
  <w:style w:type="character" w:styleId="1127" w:customStyle="1">
    <w:name w:val="font41"/>
    <w:basedOn w:val="886"/>
    <w:uiPriority w:val="0"/>
    <w:qFormat/>
    <w:rPr>
      <w:rFonts w:hint="default" w:ascii="方正仿宋简体" w:hAnsi="方正仿宋简体" w:eastAsia="方正仿宋简体" w:cs="方正仿宋简体"/>
      <w:color w:val="000000"/>
      <w:sz w:val="20"/>
      <w:szCs w:val="20"/>
      <w:u w:val="none"/>
    </w:rPr>
  </w:style>
  <w:style w:type="character" w:styleId="1128" w:customStyle="1">
    <w:name w:val="font11"/>
    <w:basedOn w:val="886"/>
    <w:uiPriority w:val="0"/>
    <w:qFormat/>
    <w:rPr>
      <w:rFonts w:hint="eastAsia" w:ascii="宋体" w:hAnsi="宋体" w:eastAsia="宋体" w:cs="宋体"/>
      <w:color w:val="000000"/>
      <w:sz w:val="20"/>
      <w:szCs w:val="20"/>
      <w:u w:val="none"/>
    </w:rPr>
  </w:style>
  <w:style w:type="character" w:styleId="1129" w:customStyle="1">
    <w:name w:val="批注框文本 字符"/>
    <w:basedOn w:val="886"/>
    <w:link w:val="914"/>
    <w:uiPriority w:val="0"/>
    <w:qFormat/>
    <w:rPr>
      <w:rFonts w:ascii="宋体" w:hAnsi="宋体" w:cs="宋体"/>
      <w:sz w:val="18"/>
      <w:szCs w:val="18"/>
      <w:lang w:val="zh-CN" w:bidi="zh-CN"/>
    </w:rPr>
  </w:style>
  <w:style w:type="paragraph" w:styleId="1130" w:customStyle="1">
    <w:name w:val="列出段落1"/>
    <w:basedOn w:val="876"/>
    <w:link w:val="1330"/>
    <w:uiPriority w:val="0"/>
    <w:qFormat/>
    <w:pPr>
      <w:ind w:firstLine="420"/>
    </w:pPr>
  </w:style>
  <w:style w:type="paragraph" w:styleId="1131" w:customStyle="1">
    <w:name w:val="标题 21"/>
    <w:basedOn w:val="876"/>
    <w:uiPriority w:val="1"/>
    <w:qFormat/>
    <w:pPr>
      <w:outlineLvl w:val="2"/>
    </w:pPr>
    <w:rPr>
      <w:rFonts w:ascii="黑体" w:hAnsi="黑体" w:eastAsia="黑体" w:cs="黑体"/>
      <w:sz w:val="36"/>
      <w:szCs w:val="36"/>
    </w:rPr>
  </w:style>
  <w:style w:type="paragraph" w:styleId="1132" w:customStyle="1">
    <w:name w:val="标题 51"/>
    <w:basedOn w:val="876"/>
    <w:uiPriority w:val="1"/>
    <w:qFormat/>
    <w:pPr>
      <w:ind w:left="638"/>
      <w:outlineLvl w:val="5"/>
    </w:pPr>
    <w:rPr>
      <w:b/>
      <w:bCs/>
      <w:sz w:val="21"/>
      <w:szCs w:val="21"/>
    </w:rPr>
  </w:style>
  <w:style w:type="paragraph" w:styleId="1133" w:customStyle="1">
    <w:name w:val="Body text|1"/>
    <w:basedOn w:val="876"/>
    <w:uiPriority w:val="0"/>
    <w:qFormat/>
    <w:pPr>
      <w:ind w:firstLine="400"/>
      <w:spacing w:after="180" w:line="410" w:lineRule="auto"/>
    </w:pPr>
    <w:rPr>
      <w:color w:val="1b1626"/>
      <w:sz w:val="30"/>
      <w:szCs w:val="30"/>
      <w:lang w:val="zh-TW" w:eastAsia="zh-TW" w:bidi="zh-TW"/>
    </w:rPr>
  </w:style>
  <w:style w:type="paragraph" w:styleId="1134" w:customStyle="1">
    <w:name w:val="Heading #2|1"/>
    <w:basedOn w:val="876"/>
    <w:uiPriority w:val="0"/>
    <w:qFormat/>
    <w:pPr>
      <w:ind w:firstLine="700"/>
      <w:spacing w:after="180" w:line="584" w:lineRule="exact"/>
      <w:outlineLvl w:val="1"/>
    </w:pPr>
    <w:rPr>
      <w:b/>
      <w:bCs/>
      <w:color w:val="1b1626"/>
      <w:sz w:val="30"/>
      <w:szCs w:val="30"/>
      <w:lang w:val="zh-TW" w:eastAsia="zh-TW" w:bidi="zh-TW"/>
    </w:rPr>
  </w:style>
  <w:style w:type="paragraph" w:styleId="1135" w:customStyle="1">
    <w:name w:val="表内文字居左"/>
    <w:basedOn w:val="876"/>
    <w:uiPriority w:val="0"/>
    <w:qFormat/>
    <w:rPr>
      <w:sz w:val="24"/>
      <w:szCs w:val="24"/>
    </w:rPr>
  </w:style>
  <w:style w:type="paragraph" w:styleId="1136" w:customStyle="1">
    <w:name w:val="正文-首缩2"/>
    <w:basedOn w:val="876"/>
    <w:uiPriority w:val="0"/>
    <w:qFormat/>
    <w:pPr>
      <w:ind w:firstLine="200"/>
      <w:spacing w:line="360" w:lineRule="auto"/>
    </w:pPr>
    <w:rPr>
      <w:rFonts w:ascii="Times New Roman" w:hAnsi="Times New Roman" w:cs="Times New Roman"/>
      <w:sz w:val="28"/>
      <w:szCs w:val="28"/>
    </w:rPr>
  </w:style>
  <w:style w:type="paragraph" w:styleId="1137" w:customStyle="1">
    <w:name w:val="正文首行缩进 211"/>
    <w:basedOn w:val="903"/>
    <w:uiPriority w:val="0"/>
    <w:qFormat/>
    <w:pPr>
      <w:ind w:firstLine="420"/>
      <w:spacing w:before="100" w:beforeAutospacing="1" w:line="360" w:lineRule="auto"/>
    </w:pPr>
    <w:rPr>
      <w:rFonts w:hAnsi="宋体"/>
      <w:sz w:val="20"/>
    </w:rPr>
  </w:style>
  <w:style w:type="paragraph" w:styleId="1138" w:customStyle="1">
    <w:name w:val="正文首行缩进 21"/>
    <w:basedOn w:val="903"/>
    <w:uiPriority w:val="0"/>
    <w:qFormat/>
    <w:pPr>
      <w:ind w:firstLine="420"/>
      <w:spacing w:before="100" w:beforeAutospacing="1" w:line="360" w:lineRule="auto"/>
    </w:pPr>
    <w:rPr>
      <w:rFonts w:hAnsi="宋体"/>
      <w:sz w:val="20"/>
    </w:rPr>
  </w:style>
  <w:style w:type="character" w:styleId="1139" w:customStyle="1">
    <w:name w:val="批注文字 字符"/>
    <w:basedOn w:val="886"/>
    <w:link w:val="898"/>
    <w:uiPriority w:val="0"/>
    <w:qFormat/>
    <w:rPr>
      <w:rFonts w:ascii="宋体" w:hAnsi="宋体" w:cs="宋体"/>
      <w:sz w:val="22"/>
      <w:szCs w:val="22"/>
      <w:lang w:val="zh-CN" w:bidi="zh-CN"/>
    </w:rPr>
  </w:style>
  <w:style w:type="character" w:styleId="1140" w:customStyle="1">
    <w:name w:val="批注主题 字符"/>
    <w:basedOn w:val="1139"/>
    <w:link w:val="937"/>
    <w:uiPriority w:val="0"/>
    <w:qFormat/>
    <w:rPr>
      <w:rFonts w:ascii="宋体" w:hAnsi="宋体" w:cs="宋体"/>
      <w:b/>
      <w:bCs/>
      <w:sz w:val="22"/>
      <w:szCs w:val="22"/>
      <w:lang w:val="zh-CN" w:bidi="zh-CN"/>
    </w:rPr>
  </w:style>
  <w:style w:type="paragraph" w:styleId="1141" w:customStyle="1">
    <w:name w:val="WPSOffice手动目录 1"/>
    <w:uiPriority w:val="0"/>
    <w:qFormat/>
    <w:rPr>
      <w:rFonts w:ascii="Times New Roman" w:hAnsi="Times New Roman" w:eastAsia="宋体" w:cs="Times New Roman"/>
      <w:lang w:val="en-US" w:eastAsia="zh-CN" w:bidi="ar-SA"/>
    </w:rPr>
  </w:style>
  <w:style w:type="paragraph" w:styleId="1142" w:customStyle="1">
    <w:name w:val="二级目录"/>
    <w:next w:val="876"/>
    <w:uiPriority w:val="0"/>
    <w:qFormat/>
    <w:pPr>
      <w:tabs>
        <w:tab w:val="left" w:pos="720" w:leader="none"/>
      </w:tabs>
      <w:outlineLvl w:val="1"/>
    </w:pPr>
    <w:rPr>
      <w:rFonts w:ascii="Calibri" w:hAnsi="Calibri" w:eastAsia="宋体" w:cs="Times New Roman"/>
      <w:b/>
      <w:sz w:val="30"/>
      <w:szCs w:val="28"/>
      <w:lang w:val="en-US" w:eastAsia="zh-CN" w:bidi="ar-SA"/>
    </w:rPr>
  </w:style>
  <w:style w:type="character" w:styleId="1143" w:customStyle="1">
    <w:name w:val="纯文本 字符"/>
    <w:basedOn w:val="886"/>
    <w:link w:val="908"/>
    <w:uiPriority w:val="0"/>
    <w:qFormat/>
    <w:rPr>
      <w:rFonts w:ascii="宋体" w:hAnsi="Courier New" w:cs="宋体"/>
      <w:sz w:val="22"/>
      <w:szCs w:val="22"/>
      <w:lang w:val="zh-CN" w:bidi="zh-CN"/>
    </w:rPr>
  </w:style>
  <w:style w:type="character" w:styleId="1144" w:customStyle="1">
    <w:name w:val="font01"/>
    <w:basedOn w:val="886"/>
    <w:uiPriority w:val="0"/>
    <w:qFormat/>
    <w:rPr>
      <w:rFonts w:hint="eastAsia" w:ascii="宋体" w:hAnsi="宋体" w:eastAsia="宋体" w:cs="宋体"/>
      <w:color w:val="000000"/>
      <w:sz w:val="22"/>
      <w:szCs w:val="22"/>
      <w:u w:val="none"/>
    </w:rPr>
  </w:style>
  <w:style w:type="paragraph" w:styleId="1145" w:customStyle="1">
    <w:name w:val="彩色列表1"/>
    <w:basedOn w:val="876"/>
    <w:uiPriority w:val="0"/>
    <w:qFormat/>
    <w:pPr>
      <w:ind w:firstLine="420"/>
    </w:pPr>
    <w:rPr>
      <w:rFonts w:ascii="Times New Roman" w:hAnsi="Times New Roman" w:cs="Times New Roman"/>
      <w:szCs w:val="21"/>
    </w:rPr>
  </w:style>
  <w:style w:type="character" w:styleId="1146" w:customStyle="1">
    <w:name w:val="15"/>
    <w:basedOn w:val="886"/>
    <w:uiPriority w:val="0"/>
    <w:qFormat/>
    <w:rPr>
      <w:rFonts w:hint="default" w:ascii="Times New Roman" w:hAnsi="Times New Roman" w:cs="Times New Roman"/>
    </w:rPr>
  </w:style>
  <w:style w:type="paragraph" w:styleId="1147" w:customStyle="1">
    <w:name w:val="Table Text"/>
    <w:basedOn w:val="876"/>
    <w:uiPriority w:val="0"/>
    <w:semiHidden/>
    <w:qFormat/>
    <w:rPr>
      <w:rFonts w:ascii="Arial" w:hAnsi="Arial" w:eastAsia="Arial" w:cs="Arial"/>
      <w:sz w:val="21"/>
      <w:szCs w:val="21"/>
      <w:lang w:val="en-US" w:eastAsia="en-US" w:bidi="ar-SA"/>
    </w:rPr>
  </w:style>
  <w:style w:type="character" w:styleId="1148" w:customStyle="1">
    <w:name w:val="font61"/>
    <w:basedOn w:val="886"/>
    <w:uiPriority w:val="0"/>
    <w:qFormat/>
    <w:rPr>
      <w:rFonts w:hint="default" w:ascii="Times New Roman" w:hAnsi="Times New Roman" w:cs="Times New Roman"/>
      <w:color w:val="000000"/>
      <w:sz w:val="20"/>
      <w:szCs w:val="20"/>
      <w:u w:val="none"/>
    </w:rPr>
  </w:style>
  <w:style w:type="character" w:styleId="1149" w:customStyle="1">
    <w:name w:val="font51"/>
    <w:basedOn w:val="886"/>
    <w:uiPriority w:val="0"/>
    <w:qFormat/>
    <w:rPr>
      <w:rFonts w:hint="eastAsia" w:ascii="微软雅黑" w:hAnsi="微软雅黑" w:eastAsia="微软雅黑" w:cs="微软雅黑"/>
      <w:color w:val="000000"/>
      <w:sz w:val="20"/>
      <w:szCs w:val="20"/>
      <w:u w:val="none"/>
    </w:rPr>
  </w:style>
  <w:style w:type="paragraph" w:styleId="1150" w:customStyle="1">
    <w:name w:val="列表段落1"/>
    <w:basedOn w:val="876"/>
    <w:uiPriority w:val="99"/>
    <w:qFormat/>
    <w:pPr>
      <w:contextualSpacing/>
      <w:ind w:left="720"/>
      <w:widowControl/>
    </w:pPr>
    <w:rPr>
      <w:rFonts w:ascii="Arial" w:hAnsi="Arial" w:eastAsia="黑体" w:cs="Times New Roman"/>
      <w:sz w:val="24"/>
      <w:szCs w:val="24"/>
      <w:lang w:val="en-US" w:eastAsia="en-US" w:bidi="ar-SA"/>
    </w:rPr>
  </w:style>
  <w:style w:type="paragraph" w:styleId="1151" w:customStyle="1">
    <w:name w:val="正文首行缩进1"/>
    <w:basedOn w:val="876"/>
    <w:uiPriority w:val="0"/>
    <w:qFormat/>
    <w:pPr>
      <w:ind w:firstLine="420"/>
      <w:spacing w:after="120" w:line="360" w:lineRule="auto"/>
    </w:pPr>
    <w:rPr>
      <w:szCs w:val="21"/>
    </w:rPr>
  </w:style>
  <w:style w:type="paragraph" w:styleId="1152" w:customStyle="1">
    <w:name w:val="修订1"/>
    <w:hidden/>
    <w:uiPriority w:val="99"/>
    <w:semiHidden/>
    <w:qFormat/>
    <w:rPr>
      <w:rFonts w:ascii="宋体" w:hAnsi="宋体" w:eastAsia="宋体" w:cs="宋体"/>
      <w:sz w:val="22"/>
      <w:szCs w:val="22"/>
      <w:lang w:val="zh-CN" w:eastAsia="zh-CN" w:bidi="zh-CN"/>
    </w:rPr>
  </w:style>
  <w:style w:type="paragraph" w:styleId="1153" w:customStyle="1">
    <w:name w:val="正文缩进1"/>
    <w:basedOn w:val="876"/>
    <w:uiPriority w:val="99"/>
    <w:qFormat/>
    <w:pPr>
      <w:ind w:firstLine="420"/>
    </w:pPr>
    <w:rPr>
      <w:szCs w:val="20"/>
    </w:rPr>
  </w:style>
  <w:style w:type="paragraph" w:styleId="1154" w:customStyle="1">
    <w:name w:val="LC主要特点"/>
    <w:basedOn w:val="876"/>
    <w:uiPriority w:val="0"/>
    <w:qFormat/>
    <w:pPr>
      <w:spacing w:before="20" w:after="20" w:line="288" w:lineRule="auto"/>
    </w:pPr>
    <w:rPr>
      <w:rFonts w:ascii="Arial" w:hAnsi="Arial" w:eastAsia="微软雅黑"/>
      <w:b/>
    </w:rPr>
  </w:style>
  <w:style w:type="paragraph" w:styleId="1155" w:customStyle="1">
    <w:name w:val="LC 文字内容 带符号编码"/>
    <w:next w:val="876"/>
    <w:uiPriority w:val="0"/>
    <w:qFormat/>
    <w:pPr>
      <w:numPr>
        <w:ilvl w:val="0"/>
        <w:numId w:val="1"/>
      </w:numPr>
      <w:ind w:left="840"/>
      <w:jc w:val="both"/>
    </w:pPr>
    <w:rPr>
      <w:rFonts w:ascii="微软雅黑" w:hAnsi="微软雅黑" w:eastAsia="微软雅黑" w:cs="微软雅黑"/>
      <w:sz w:val="21"/>
      <w:lang w:val="en-US" w:eastAsia="zh-CN" w:bidi="ar-SA"/>
    </w:rPr>
  </w:style>
  <w:style w:type="paragraph" w:styleId="1156" w:customStyle="1">
    <w:name w:val="产品手册——表"/>
    <w:uiPriority w:val="0"/>
    <w:qFormat/>
    <w:pPr>
      <w:jc w:val="center"/>
      <w:spacing w:before="20" w:after="20"/>
    </w:pPr>
    <w:rPr>
      <w:rFonts w:ascii="微软雅黑" w:hAnsi="微软雅黑" w:eastAsia="微软雅黑" w:cs="微软雅黑"/>
      <w:sz w:val="21"/>
      <w:szCs w:val="22"/>
      <w:lang w:val="en-US" w:eastAsia="zh-CN" w:bidi="ar-SA"/>
    </w:rPr>
  </w:style>
  <w:style w:type="paragraph" w:styleId="1157" w:customStyle="1">
    <w:name w:val="正文文本1"/>
    <w:basedOn w:val="876"/>
    <w:next w:val="876"/>
    <w:uiPriority w:val="99"/>
    <w:qFormat/>
    <w:pPr>
      <w:spacing w:after="120"/>
    </w:pPr>
    <w:rPr>
      <w:sz w:val="24"/>
    </w:rPr>
  </w:style>
  <w:style w:type="paragraph" w:styleId="1158" w:customStyle="1">
    <w:name w:val="标题 11"/>
    <w:basedOn w:val="876"/>
    <w:next w:val="876"/>
    <w:uiPriority w:val="99"/>
    <w:qFormat/>
    <w:pPr>
      <w:keepLines/>
      <w:keepNext/>
      <w:spacing w:before="340" w:after="330" w:line="576" w:lineRule="auto"/>
      <w:outlineLvl w:val="0"/>
    </w:pPr>
    <w:rPr>
      <w:b/>
      <w:bCs/>
      <w:sz w:val="44"/>
      <w:szCs w:val="44"/>
    </w:rPr>
  </w:style>
  <w:style w:type="character" w:styleId="1159" w:customStyle="1">
    <w:name w:val="要点1"/>
    <w:basedOn w:val="1160"/>
    <w:uiPriority w:val="99"/>
    <w:qFormat/>
    <w:rPr>
      <w:rFonts w:cs="Times New Roman"/>
      <w:b/>
    </w:rPr>
  </w:style>
  <w:style w:type="character" w:styleId="1160" w:customStyle="1">
    <w:name w:val="默认段落字体1"/>
    <w:uiPriority w:val="1"/>
    <w:unhideWhenUsed/>
    <w:qFormat/>
  </w:style>
  <w:style w:type="paragraph" w:styleId="1161" w:customStyle="1">
    <w:name w:val="普通(网站)1"/>
    <w:basedOn w:val="876"/>
    <w:uiPriority w:val="0"/>
    <w:qFormat/>
    <w:pPr>
      <w:spacing w:before="100" w:beforeAutospacing="1" w:after="100" w:afterAutospacing="1"/>
      <w:widowControl/>
    </w:pPr>
    <w:rPr>
      <w:sz w:val="24"/>
    </w:rPr>
  </w:style>
  <w:style w:type="character" w:styleId="1162" w:customStyle="1">
    <w:name w:val="正文文本 字符"/>
    <w:basedOn w:val="886"/>
    <w:link w:val="902"/>
    <w:uiPriority w:val="0"/>
    <w:qFormat/>
    <w:rPr>
      <w:rFonts w:ascii="宋体" w:hAnsi="宋体" w:cs="宋体"/>
      <w:sz w:val="21"/>
      <w:szCs w:val="21"/>
      <w:lang w:val="zh-CN" w:bidi="zh-CN"/>
    </w:rPr>
  </w:style>
  <w:style w:type="character" w:styleId="1163" w:customStyle="1">
    <w:name w:val="正文首行缩进 字符"/>
    <w:basedOn w:val="1162"/>
    <w:link w:val="938"/>
    <w:uiPriority w:val="0"/>
    <w:qFormat/>
    <w:rPr>
      <w:rFonts w:ascii="宋体" w:hAnsi="宋体" w:cs="宋体"/>
      <w:sz w:val="22"/>
      <w:szCs w:val="22"/>
      <w:lang w:val="zh-CN" w:bidi="zh-CN"/>
    </w:rPr>
  </w:style>
  <w:style w:type="character" w:styleId="1164" w:customStyle="1">
    <w:name w:val="文档结构图 字符"/>
    <w:basedOn w:val="886"/>
    <w:link w:val="896"/>
    <w:uiPriority w:val="0"/>
    <w:qFormat/>
    <w:rPr>
      <w:rFonts w:ascii="宋体" w:hAnsi="宋体" w:cs="宋体"/>
      <w:sz w:val="24"/>
      <w:szCs w:val="24"/>
      <w:shd w:val="clear" w:color="auto" w:fill="000080"/>
    </w:rPr>
  </w:style>
  <w:style w:type="character" w:styleId="1165" w:customStyle="1">
    <w:name w:val="称呼 字符"/>
    <w:basedOn w:val="886"/>
    <w:link w:val="900"/>
    <w:uiPriority w:val="0"/>
    <w:qFormat/>
    <w:rPr>
      <w:rFonts w:ascii="仿宋_GB2312" w:eastAsia="仿宋_GB2312"/>
      <w:sz w:val="28"/>
      <w:szCs w:val="24"/>
    </w:rPr>
  </w:style>
  <w:style w:type="character" w:styleId="1166" w:customStyle="1">
    <w:name w:val="正文文本 3 字符"/>
    <w:basedOn w:val="886"/>
    <w:link w:val="901"/>
    <w:uiPriority w:val="0"/>
    <w:qFormat/>
    <w:rPr>
      <w:rFonts w:ascii="仿宋_GB2312" w:hAnsi="Arial" w:eastAsia="仿宋_GB2312"/>
      <w:sz w:val="32"/>
      <w:szCs w:val="24"/>
    </w:rPr>
  </w:style>
  <w:style w:type="character" w:styleId="1167" w:customStyle="1">
    <w:name w:val="正文文本缩进 2 字符"/>
    <w:basedOn w:val="886"/>
    <w:link w:val="912"/>
    <w:uiPriority w:val="0"/>
    <w:qFormat/>
    <w:rPr>
      <w:rFonts w:ascii="Arial" w:hAnsi="Arial" w:eastAsia="仿宋_GB2312" w:cs="宋体"/>
      <w:sz w:val="32"/>
      <w:szCs w:val="24"/>
    </w:rPr>
  </w:style>
  <w:style w:type="character" w:styleId="1168" w:customStyle="1">
    <w:name w:val="签名 字符"/>
    <w:basedOn w:val="886"/>
    <w:link w:val="918"/>
    <w:uiPriority w:val="0"/>
    <w:qFormat/>
    <w:rPr>
      <w:rFonts w:eastAsia="仿宋_GB2312"/>
      <w:sz w:val="24"/>
      <w:szCs w:val="24"/>
    </w:rPr>
  </w:style>
  <w:style w:type="character" w:styleId="1169" w:customStyle="1">
    <w:name w:val="正文文本缩进 3 字符"/>
    <w:basedOn w:val="886"/>
    <w:link w:val="926"/>
    <w:uiPriority w:val="0"/>
    <w:qFormat/>
    <w:rPr>
      <w:rFonts w:ascii="Arial" w:hAnsi="Arial" w:eastAsia="仿宋_GB2312" w:cs="宋体"/>
      <w:color w:val="ffff00"/>
      <w:sz w:val="32"/>
      <w:szCs w:val="24"/>
    </w:rPr>
  </w:style>
  <w:style w:type="character" w:styleId="1170" w:customStyle="1">
    <w:name w:val="正文文本 2 字符"/>
    <w:basedOn w:val="886"/>
    <w:link w:val="932"/>
    <w:uiPriority w:val="0"/>
    <w:qFormat/>
    <w:rPr>
      <w:rFonts w:ascii="楷体_GB2312" w:eastAsia="楷体_GB2312"/>
      <w:sz w:val="28"/>
      <w:szCs w:val="24"/>
    </w:rPr>
  </w:style>
  <w:style w:type="character" w:styleId="1171" w:customStyle="1">
    <w:name w:val="HTML 预设格式 字符"/>
    <w:basedOn w:val="886"/>
    <w:link w:val="933"/>
    <w:uiPriority w:val="0"/>
    <w:qFormat/>
    <w:rPr>
      <w:rFonts w:ascii="黑体" w:hAnsi="Courier New" w:eastAsia="黑体" w:cs="Courier New"/>
      <w:szCs w:val="24"/>
    </w:rPr>
  </w:style>
  <w:style w:type="character" w:styleId="1172" w:customStyle="1">
    <w:name w:val="小四 段落 宋体 Char Char Char Char1"/>
    <w:uiPriority w:val="0"/>
    <w:qFormat/>
    <w:rPr>
      <w:rFonts w:ascii="Times New Roman" w:hAnsi="Times New Roman" w:eastAsia="宋体" w:cs="Times New Roman"/>
      <w:sz w:val="24"/>
      <w:szCs w:val="24"/>
      <w:lang w:val="en-US" w:eastAsia="zh-CN" w:bidi="ar-SA"/>
    </w:rPr>
  </w:style>
  <w:style w:type="paragraph" w:styleId="1173" w:customStyle="1">
    <w:name w:val="flName"/>
    <w:basedOn w:val="1174"/>
    <w:uiPriority w:val="0"/>
    <w:qFormat/>
    <w:pPr>
      <w:spacing w:before="0" w:line="113" w:lineRule="atLeast"/>
    </w:pPr>
    <w:rPr>
      <w:rFonts w:eastAsia="宋体"/>
    </w:rPr>
  </w:style>
  <w:style w:type="paragraph" w:styleId="1174" w:customStyle="1">
    <w:name w:val="flNote"/>
    <w:basedOn w:val="876"/>
    <w:uiPriority w:val="0"/>
    <w:qFormat/>
    <w:pPr>
      <w:ind w:firstLine="562"/>
      <w:jc w:val="center"/>
      <w:spacing w:before="567" w:line="360" w:lineRule="atLeast"/>
    </w:pPr>
    <w:rPr>
      <w:rFonts w:ascii="Times New Roman" w:hAnsi="Times New Roman" w:eastAsia="黑体" w:cs="Times New Roman"/>
      <w:b/>
      <w:sz w:val="24"/>
      <w:szCs w:val="24"/>
      <w:lang w:val="en-US" w:bidi="ar-SA"/>
    </w:rPr>
  </w:style>
  <w:style w:type="paragraph" w:styleId="1175" w:customStyle="1">
    <w:name w:val="小四 段落 宋体"/>
    <w:basedOn w:val="892"/>
    <w:uiPriority w:val="0"/>
    <w:qFormat/>
    <w:pPr>
      <w:ind w:left="113" w:right="113" w:firstLine="425"/>
      <w:jc w:val="left"/>
      <w:tabs>
        <w:tab w:val="clear" w:pos="2952" w:leader="none"/>
      </w:tabs>
    </w:pPr>
  </w:style>
  <w:style w:type="paragraph" w:styleId="1176" w:customStyle="1">
    <w:name w:val="丁华标题2"/>
    <w:basedOn w:val="878"/>
    <w:next w:val="1177"/>
    <w:uiPriority w:val="0"/>
    <w:qFormat/>
    <w:pPr>
      <w:numPr>
        <w:ilvl w:val="1"/>
        <w:numId w:val="2"/>
      </w:numPr>
      <w:ind w:firstLine="200"/>
      <w:keepLines/>
      <w:keepNext/>
      <w:spacing w:line="415" w:lineRule="auto"/>
    </w:pPr>
    <w:rPr>
      <w:rFonts w:ascii="Arial" w:hAnsi="Arial" w:eastAsia="黑体" w:cs="Times New Roman"/>
      <w:b w:val="0"/>
      <w:bCs w:val="0"/>
      <w:sz w:val="28"/>
      <w:szCs w:val="20"/>
      <w:lang w:val="en-US" w:bidi="ar-SA"/>
    </w:rPr>
  </w:style>
  <w:style w:type="paragraph" w:styleId="1177" w:customStyle="1">
    <w:name w:val="丁华正文"/>
    <w:basedOn w:val="926"/>
    <w:uiPriority w:val="0"/>
    <w:qFormat/>
    <w:pPr>
      <w:ind w:left="0" w:firstLine="510"/>
    </w:pPr>
    <w:rPr>
      <w:rFonts w:ascii="Times New Roman" w:hAnsi="Times New Roman" w:eastAsia="宋体" w:cs="Times New Roman"/>
      <w:color w:val="auto"/>
      <w:sz w:val="24"/>
      <w:szCs w:val="16"/>
    </w:rPr>
  </w:style>
  <w:style w:type="paragraph" w:styleId="1178" w:customStyle="1">
    <w:name w:val="Char Char Char Char Char Char Char Char Char"/>
    <w:basedOn w:val="876"/>
    <w:uiPriority w:val="0"/>
    <w:qFormat/>
    <w:pPr>
      <w:ind w:left="360" w:hanging="360"/>
      <w:jc w:val="both"/>
      <w:spacing w:line="360" w:lineRule="auto"/>
      <w:tabs>
        <w:tab w:val="left" w:pos="360" w:leader="none"/>
      </w:tabs>
    </w:pPr>
    <w:rPr>
      <w:rFonts w:ascii="Times New Roman" w:hAnsi="Times New Roman" w:cs="Times New Roman"/>
      <w:sz w:val="24"/>
      <w:szCs w:val="24"/>
      <w:lang w:val="en-US" w:bidi="ar-SA"/>
    </w:rPr>
  </w:style>
  <w:style w:type="paragraph" w:styleId="1179" w:customStyle="1">
    <w:name w:val="xl28"/>
    <w:basedOn w:val="876"/>
    <w:uiPriority w:val="0"/>
    <w:qFormat/>
    <w:pPr>
      <w:ind w:firstLine="562"/>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i/>
      <w:iCs/>
      <w:sz w:val="20"/>
      <w:szCs w:val="24"/>
      <w:lang w:val="en-US" w:bidi="ar-SA"/>
    </w:rPr>
  </w:style>
  <w:style w:type="paragraph" w:styleId="1180" w:customStyle="1">
    <w:name w:val="一级标题"/>
    <w:basedOn w:val="876"/>
    <w:uiPriority w:val="0"/>
    <w:qFormat/>
    <w:pPr>
      <w:ind w:left="900" w:hanging="420"/>
      <w:jc w:val="both"/>
      <w:spacing w:line="360" w:lineRule="auto"/>
      <w:tabs>
        <w:tab w:val="left" w:pos="903" w:leader="none"/>
      </w:tabs>
    </w:pPr>
    <w:rPr>
      <w:rFonts w:ascii="Arial" w:hAnsi="Arial" w:cs="Arial"/>
      <w:sz w:val="24"/>
      <w:szCs w:val="24"/>
      <w:lang w:val="en-US" w:bidi="ar-SA"/>
    </w:rPr>
  </w:style>
  <w:style w:type="paragraph" w:styleId="1181" w:customStyle="1">
    <w:name w:val="样式 段后: 0.5 行 左  0.75 字符"/>
    <w:basedOn w:val="876"/>
    <w:uiPriority w:val="0"/>
    <w:qFormat/>
    <w:pPr>
      <w:ind w:firstLine="420"/>
      <w:jc w:val="both"/>
      <w:spacing w:line="360" w:lineRule="auto"/>
      <w:widowControl/>
    </w:pPr>
    <w:rPr>
      <w:rFonts w:ascii="Times New Roman" w:hAnsi="Arial" w:cs="Arial"/>
      <w:sz w:val="24"/>
      <w:szCs w:val="21"/>
      <w:lang w:val="en-US" w:bidi="ar-SA"/>
    </w:rPr>
  </w:style>
  <w:style w:type="paragraph" w:styleId="1182" w:customStyle="1">
    <w:name w:val="Body Text 22"/>
    <w:basedOn w:val="876"/>
    <w:uiPriority w:val="0"/>
    <w:qFormat/>
    <w:pPr>
      <w:ind w:left="720" w:hanging="720"/>
      <w:jc w:val="both"/>
      <w:spacing w:line="360" w:lineRule="auto"/>
      <w:widowControl/>
    </w:pPr>
    <w:rPr>
      <w:rFonts w:ascii="Times New Roman" w:hAnsi="Times New Roman" w:cs="Times New Roman"/>
      <w:sz w:val="24"/>
      <w:szCs w:val="24"/>
      <w:lang w:val="en-GB" w:bidi="ar-SA"/>
    </w:rPr>
  </w:style>
  <w:style w:type="paragraph" w:styleId="1183" w:customStyle="1">
    <w:name w:val="my正文"/>
    <w:basedOn w:val="876"/>
    <w:uiPriority w:val="0"/>
    <w:qFormat/>
    <w:pPr>
      <w:ind w:firstLine="480"/>
      <w:jc w:val="both"/>
      <w:spacing w:line="360" w:lineRule="auto"/>
    </w:pPr>
    <w:rPr>
      <w:rFonts w:ascii="Times New Roman" w:hAnsi="Times New Roman" w:cs="Times New Roman"/>
      <w:sz w:val="24"/>
      <w:szCs w:val="24"/>
      <w:lang w:val="en-US" w:bidi="ar-SA"/>
    </w:rPr>
  </w:style>
  <w:style w:type="paragraph" w:styleId="1184" w:customStyle="1">
    <w:name w:val="xl33"/>
    <w:basedOn w:val="876"/>
    <w:uiPriority w:val="0"/>
    <w:qFormat/>
    <w:pPr>
      <w:ind w:firstLine="562"/>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b/>
      <w:bCs/>
      <w:sz w:val="20"/>
      <w:szCs w:val="24"/>
      <w:lang w:val="en-US" w:bidi="ar-SA"/>
    </w:rPr>
  </w:style>
  <w:style w:type="paragraph" w:styleId="1185" w:customStyle="1">
    <w:name w:val="Pa6"/>
    <w:basedOn w:val="876"/>
    <w:next w:val="876"/>
    <w:uiPriority w:val="0"/>
    <w:qFormat/>
    <w:pPr>
      <w:ind w:firstLine="562"/>
      <w:spacing w:line="241" w:lineRule="atLeast"/>
    </w:pPr>
    <w:rPr>
      <w:rFonts w:ascii="汉仪大黑简" w:hAnsi="Times New Roman" w:eastAsia="汉仪大黑简" w:cs="Times New Roman"/>
      <w:sz w:val="24"/>
      <w:szCs w:val="24"/>
      <w:lang w:val="en-US" w:bidi="ar-SA"/>
    </w:rPr>
  </w:style>
  <w:style w:type="paragraph" w:styleId="1186" w:customStyle="1">
    <w:name w:val="Char Char Char Char Char Char Char"/>
    <w:basedOn w:val="876"/>
    <w:uiPriority w:val="0"/>
    <w:qFormat/>
    <w:pPr>
      <w:ind w:firstLine="562"/>
      <w:spacing w:line="360" w:lineRule="auto"/>
    </w:pPr>
    <w:rPr>
      <w:rFonts w:ascii="Tahoma" w:hAnsi="Tahoma" w:cs="Times New Roman"/>
      <w:sz w:val="24"/>
      <w:szCs w:val="24"/>
      <w:lang w:val="en-US" w:bidi="ar-SA"/>
    </w:rPr>
  </w:style>
  <w:style w:type="paragraph" w:styleId="1187" w:customStyle="1">
    <w:name w:val="正文 首行缩进:  2 字符 Char"/>
    <w:basedOn w:val="876"/>
    <w:uiPriority w:val="0"/>
    <w:qFormat/>
    <w:pPr>
      <w:ind w:firstLine="480"/>
      <w:jc w:val="both"/>
      <w:spacing w:line="360" w:lineRule="auto"/>
    </w:pPr>
    <w:rPr>
      <w:rFonts w:ascii="Times New Roman" w:hAnsi="Times New Roman"/>
      <w:sz w:val="24"/>
      <w:szCs w:val="24"/>
      <w:lang w:val="en-US" w:bidi="ar-SA"/>
    </w:rPr>
  </w:style>
  <w:style w:type="paragraph" w:styleId="1188" w:customStyle="1">
    <w:name w:val="中等深浅网格 1 - 强调文字颜色 21"/>
    <w:basedOn w:val="876"/>
    <w:uiPriority w:val="0"/>
    <w:qFormat/>
    <w:pPr>
      <w:ind w:firstLine="420"/>
      <w:jc w:val="both"/>
      <w:spacing w:line="360" w:lineRule="auto"/>
    </w:pPr>
    <w:rPr>
      <w:rFonts w:ascii="Calibri" w:hAnsi="Calibri" w:cs="Times New Roman"/>
      <w:sz w:val="24"/>
      <w:lang w:val="en-US" w:bidi="ar-SA"/>
    </w:rPr>
  </w:style>
  <w:style w:type="character" w:styleId="1189" w:customStyle="1">
    <w:name w:val="正文文本缩进 字符"/>
    <w:link w:val="903"/>
    <w:uiPriority w:val="0"/>
    <w:qFormat/>
    <w:rPr>
      <w:rFonts w:ascii="宋体" w:hAnsi="Courier New" w:cs="宋体"/>
      <w:spacing w:val="-4"/>
      <w:sz w:val="18"/>
      <w:lang w:val="zh-CN" w:bidi="zh-CN"/>
    </w:rPr>
  </w:style>
  <w:style w:type="character" w:styleId="1190" w:customStyle="1">
    <w:name w:val="font91"/>
    <w:uiPriority w:val="0"/>
    <w:qFormat/>
    <w:rPr>
      <w:rFonts w:hint="default" w:ascii="Arial" w:hAnsi="Arial" w:eastAsia="宋体" w:cs="Arial"/>
      <w:color w:val="000000"/>
      <w:sz w:val="16"/>
      <w:szCs w:val="16"/>
      <w:u w:val="none"/>
    </w:rPr>
  </w:style>
  <w:style w:type="paragraph" w:styleId="1191" w:customStyle="1">
    <w:name w:val="Char Char1 Char"/>
    <w:basedOn w:val="876"/>
    <w:uiPriority w:val="0"/>
    <w:qFormat/>
    <w:pPr>
      <w:ind w:firstLine="562"/>
      <w:spacing w:after="160" w:line="240" w:lineRule="exact"/>
      <w:widowControl/>
    </w:pPr>
    <w:rPr>
      <w:rFonts w:ascii="Verdana" w:hAnsi="Verdana" w:cs="Times New Roman"/>
      <w:sz w:val="20"/>
      <w:szCs w:val="24"/>
      <w:lang w:val="en-US" w:eastAsia="en-US" w:bidi="ar-SA"/>
    </w:rPr>
  </w:style>
  <w:style w:type="paragraph" w:styleId="1192" w:customStyle="1">
    <w:name w:val="小四 段落 宋体 Char Char Char"/>
    <w:basedOn w:val="892"/>
    <w:uiPriority w:val="0"/>
    <w:qFormat/>
    <w:pPr>
      <w:ind w:left="0" w:right="-33" w:firstLine="545"/>
      <w:jc w:val="left"/>
      <w:tabs>
        <w:tab w:val="clear" w:pos="2952" w:leader="none"/>
      </w:tabs>
    </w:pPr>
  </w:style>
  <w:style w:type="paragraph" w:styleId="1193" w:customStyle="1">
    <w:name w:val="xl63"/>
    <w:basedOn w:val="876"/>
    <w:uiPriority w:val="0"/>
    <w:qFormat/>
    <w:pPr>
      <w:ind w:firstLine="562"/>
      <w:jc w:val="center"/>
      <w:spacing w:before="100" w:beforeAutospacing="1" w:after="100" w:afterAutospacing="1" w:line="360" w:lineRule="auto"/>
      <w:widowControl/>
      <w:pBdr>
        <w:top w:val="single" w:color="auto" w:sz="4" w:space="0"/>
        <w:left w:val="single" w:color="auto" w:sz="4" w:space="0"/>
        <w:bottom w:val="single" w:color="auto" w:sz="4" w:space="0"/>
      </w:pBdr>
    </w:pPr>
    <w:rPr>
      <w:rFonts w:ascii="Times New Roman" w:hAnsi="Times New Roman" w:cs="Times New Roman"/>
      <w:b/>
      <w:bCs/>
      <w:sz w:val="20"/>
      <w:szCs w:val="24"/>
      <w:lang w:val="en-US" w:bidi="ar-SA"/>
    </w:rPr>
  </w:style>
  <w:style w:type="paragraph" w:styleId="1194" w:customStyle="1">
    <w:name w:val="Char Char Char Char Char Char Char Char Char Char Char"/>
    <w:basedOn w:val="876"/>
    <w:uiPriority w:val="0"/>
    <w:qFormat/>
    <w:pPr>
      <w:ind w:firstLine="562"/>
      <w:jc w:val="both"/>
      <w:spacing w:line="360" w:lineRule="auto"/>
    </w:pPr>
    <w:rPr>
      <w:rFonts w:ascii="Tahoma" w:hAnsi="Tahoma" w:cs="Tahoma"/>
      <w:sz w:val="24"/>
      <w:szCs w:val="24"/>
      <w:lang w:val="en-US" w:bidi="ar-SA"/>
    </w:rPr>
  </w:style>
  <w:style w:type="paragraph" w:styleId="1195" w:customStyle="1">
    <w:name w:val="正文2"/>
    <w:basedOn w:val="876"/>
    <w:uiPriority w:val="0"/>
    <w:qFormat/>
    <w:pPr>
      <w:ind w:firstLine="510"/>
      <w:jc w:val="both"/>
      <w:spacing w:before="156" w:line="360" w:lineRule="auto"/>
    </w:pPr>
    <w:rPr>
      <w:rFonts w:ascii="Times New Roman" w:hAnsi="Times New Roman" w:cs="Times New Roman"/>
      <w:sz w:val="24"/>
      <w:szCs w:val="24"/>
      <w:lang w:val="en-US" w:bidi="ar-SA"/>
    </w:rPr>
  </w:style>
  <w:style w:type="paragraph" w:styleId="1196" w:customStyle="1">
    <w:name w:val="行文"/>
    <w:basedOn w:val="876"/>
    <w:uiPriority w:val="0"/>
    <w:qFormat/>
    <w:pPr>
      <w:ind w:firstLine="624"/>
      <w:jc w:val="both"/>
      <w:spacing w:line="480" w:lineRule="exact"/>
    </w:pPr>
    <w:rPr>
      <w:rFonts w:ascii="Times New Roman" w:hAnsi="Times New Roman" w:eastAsia="仿宋_GB2312" w:cs="Times New Roman"/>
      <w:spacing w:val="8"/>
      <w:sz w:val="30"/>
      <w:szCs w:val="24"/>
      <w:lang w:val="en-US" w:bidi="ar-SA"/>
    </w:rPr>
  </w:style>
  <w:style w:type="paragraph" w:styleId="1197" w:customStyle="1">
    <w:name w:val="公文标题 2"/>
    <w:basedOn w:val="876"/>
    <w:next w:val="1198"/>
    <w:uiPriority w:val="0"/>
    <w:qFormat/>
    <w:pPr>
      <w:ind w:firstLine="562"/>
      <w:jc w:val="both"/>
      <w:spacing w:line="360" w:lineRule="auto"/>
      <w:outlineLvl w:val="1"/>
    </w:pPr>
    <w:rPr>
      <w:rFonts w:ascii="仿宋_GB2312" w:eastAsia="仿宋_GB2312" w:cs="Times New Roman"/>
      <w:sz w:val="28"/>
      <w:szCs w:val="24"/>
      <w:lang w:val="en-US" w:bidi="ar-SA"/>
    </w:rPr>
  </w:style>
  <w:style w:type="paragraph" w:styleId="1198" w:customStyle="1">
    <w:name w:val="公文正文"/>
    <w:basedOn w:val="903"/>
    <w:uiPriority w:val="0"/>
    <w:qFormat/>
    <w:pPr>
      <w:ind w:firstLine="200"/>
      <w:jc w:val="both"/>
      <w:spacing w:line="360" w:lineRule="auto"/>
    </w:pPr>
    <w:rPr>
      <w:rFonts w:ascii="仿宋_GB2312" w:hAnsi="宋体" w:eastAsia="仿宋_GB2312" w:cs="Times New Roman"/>
      <w:spacing w:val="0"/>
      <w:sz w:val="28"/>
      <w:szCs w:val="24"/>
      <w:lang w:val="en-US" w:bidi="ar-SA"/>
    </w:rPr>
  </w:style>
  <w:style w:type="paragraph" w:styleId="1199" w:customStyle="1">
    <w:name w:val="xl35"/>
    <w:basedOn w:val="876"/>
    <w:uiPriority w:val="0"/>
    <w:qFormat/>
    <w:pPr>
      <w:ind w:firstLine="562"/>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b/>
      <w:bCs/>
      <w:i/>
      <w:iCs/>
      <w:sz w:val="20"/>
      <w:szCs w:val="24"/>
      <w:lang w:val="en-US" w:bidi="ar-SA"/>
    </w:rPr>
  </w:style>
  <w:style w:type="paragraph" w:styleId="1200" w:customStyle="1">
    <w:name w:val="标准小四"/>
    <w:basedOn w:val="876"/>
    <w:uiPriority w:val="0"/>
    <w:qFormat/>
    <w:pPr>
      <w:ind w:firstLine="480"/>
      <w:jc w:val="both"/>
      <w:spacing w:line="360" w:lineRule="auto"/>
    </w:pPr>
    <w:rPr>
      <w:rFonts w:ascii="Arial" w:hAnsi="Arial" w:cs="Times New Roman"/>
      <w:sz w:val="24"/>
      <w:szCs w:val="21"/>
      <w:lang w:val="en-US" w:bidi="ar-SA"/>
    </w:rPr>
  </w:style>
  <w:style w:type="character" w:styleId="1201" w:customStyle="1">
    <w:name w:val="font71"/>
    <w:uiPriority w:val="0"/>
    <w:qFormat/>
    <w:rPr>
      <w:rFonts w:hint="default" w:ascii="Times New Roman" w:hAnsi="Times New Roman" w:eastAsia="宋体" w:cs="Times New Roman"/>
      <w:color w:val="000000"/>
      <w:sz w:val="22"/>
      <w:szCs w:val="22"/>
      <w:u w:val="none"/>
    </w:rPr>
  </w:style>
  <w:style w:type="paragraph" w:styleId="1202" w:customStyle="1">
    <w:name w:val="_Style 42"/>
    <w:basedOn w:val="876"/>
    <w:next w:val="902"/>
    <w:uiPriority w:val="0"/>
    <w:qFormat/>
    <w:pPr>
      <w:ind w:firstLine="562"/>
      <w:jc w:val="both"/>
      <w:spacing w:line="360" w:lineRule="auto"/>
    </w:pPr>
    <w:rPr>
      <w:rFonts w:ascii="楷体_GB2312" w:hAnsi="Arial" w:eastAsia="楷体_GB2312" w:cs="Times New Roman"/>
      <w:sz w:val="28"/>
      <w:szCs w:val="24"/>
      <w:lang w:val="en-US" w:bidi="ar-SA"/>
    </w:rPr>
  </w:style>
  <w:style w:type="paragraph" w:styleId="1203" w:customStyle="1">
    <w:name w:val="greytypebeni"/>
    <w:basedOn w:val="876"/>
    <w:uiPriority w:val="0"/>
    <w:qFormat/>
    <w:pPr>
      <w:ind w:firstLine="562"/>
      <w:spacing w:line="360" w:lineRule="auto"/>
      <w:widowControl/>
    </w:pPr>
    <w:rPr>
      <w:sz w:val="24"/>
      <w:szCs w:val="24"/>
      <w:lang w:val="en-US" w:bidi="ar-SA"/>
    </w:rPr>
  </w:style>
  <w:style w:type="paragraph" w:styleId="1204" w:customStyle="1">
    <w:name w:val="方案正文"/>
    <w:basedOn w:val="876"/>
    <w:uiPriority w:val="0"/>
    <w:qFormat/>
    <w:pPr>
      <w:ind w:firstLine="359"/>
      <w:spacing w:before="156" w:line="360" w:lineRule="auto"/>
    </w:pPr>
    <w:rPr>
      <w:rFonts w:ascii="Arial" w:hAnsi="Arial"/>
      <w:sz w:val="24"/>
      <w:szCs w:val="21"/>
      <w:lang w:val="en-US" w:bidi="ar-SA"/>
    </w:rPr>
  </w:style>
  <w:style w:type="paragraph" w:styleId="1205" w:customStyle="1">
    <w:name w:val="7"/>
    <w:basedOn w:val="876"/>
    <w:next w:val="934"/>
    <w:uiPriority w:val="0"/>
    <w:qFormat/>
    <w:pPr>
      <w:ind w:firstLine="562"/>
      <w:spacing w:before="100" w:beforeAutospacing="1" w:after="100" w:afterAutospacing="1" w:line="360" w:lineRule="auto"/>
      <w:widowControl/>
    </w:pPr>
    <w:rPr>
      <w:rFonts w:cs="Times New Roman"/>
      <w:sz w:val="24"/>
      <w:szCs w:val="24"/>
      <w:lang w:val="en-US" w:bidi="ar-SA"/>
    </w:rPr>
  </w:style>
  <w:style w:type="paragraph" w:styleId="1206" w:customStyle="1">
    <w:name w:val="Char Char Char Char Char Char Char Char Char Char Char Char Char Char Char Char Char Char Char Char Char Char Char"/>
    <w:basedOn w:val="876"/>
    <w:uiPriority w:val="0"/>
    <w:qFormat/>
    <w:pPr>
      <w:ind w:firstLine="562"/>
      <w:jc w:val="both"/>
      <w:spacing w:line="360" w:lineRule="auto"/>
    </w:pPr>
    <w:rPr>
      <w:rFonts w:ascii="Tahoma" w:hAnsi="Tahoma" w:cs="Tahoma"/>
      <w:sz w:val="24"/>
      <w:szCs w:val="24"/>
      <w:lang w:val="en-US" w:bidi="ar-SA"/>
    </w:rPr>
  </w:style>
  <w:style w:type="paragraph" w:styleId="1207" w:customStyle="1">
    <w:name w:val="样式 段后: 0.25 行"/>
    <w:basedOn w:val="876"/>
    <w:uiPriority w:val="0"/>
    <w:qFormat/>
    <w:pPr>
      <w:ind w:firstLine="420"/>
      <w:spacing w:after="78" w:line="300" w:lineRule="auto"/>
      <w:widowControl/>
    </w:pPr>
    <w:rPr>
      <w:rFonts w:ascii="Arial" w:hAnsi="Arial"/>
      <w:szCs w:val="24"/>
      <w:lang w:val="en-US" w:eastAsia="en-US" w:bidi="en-US"/>
    </w:rPr>
  </w:style>
  <w:style w:type="character" w:styleId="1208" w:customStyle="1">
    <w:name w:val="标准小四 Char"/>
    <w:uiPriority w:val="0"/>
    <w:qFormat/>
    <w:rPr>
      <w:rFonts w:ascii="Arial" w:hAnsi="Arial" w:eastAsia="宋体" w:cs="Times New Roman"/>
      <w:sz w:val="24"/>
      <w:szCs w:val="21"/>
      <w:lang w:val="en-US" w:eastAsia="zh-CN" w:bidi="ar-SA"/>
    </w:rPr>
  </w:style>
  <w:style w:type="character" w:styleId="1209" w:customStyle="1">
    <w:name w:val="纯文本 Char1"/>
    <w:uiPriority w:val="0"/>
    <w:qFormat/>
    <w:rPr>
      <w:rFonts w:ascii="宋体" w:hAnsi="Courier New" w:eastAsia="宋体" w:cs="Courier New"/>
      <w:sz w:val="21"/>
      <w:szCs w:val="21"/>
    </w:rPr>
  </w:style>
  <w:style w:type="paragraph" w:styleId="1210" w:customStyle="1">
    <w:name w:val="xl61"/>
    <w:basedOn w:val="876"/>
    <w:uiPriority w:val="0"/>
    <w:qFormat/>
    <w:pPr>
      <w:ind w:firstLine="562"/>
      <w:jc w:val="center"/>
      <w:spacing w:before="100" w:beforeAutospacing="1" w:after="100" w:afterAutospacing="1" w:line="360" w:lineRule="auto"/>
      <w:shd w:val="clear" w:color="auto" w:fill="969696"/>
      <w:widowControl/>
      <w:pBdr>
        <w:top w:val="single" w:color="auto" w:sz="4" w:space="0"/>
        <w:bottom w:val="single" w:color="auto" w:sz="4" w:space="0"/>
      </w:pBdr>
    </w:pPr>
    <w:rPr>
      <w:rFonts w:ascii="Times New Roman" w:hAnsi="Times New Roman" w:cs="Times New Roman"/>
      <w:b/>
      <w:bCs/>
      <w:i/>
      <w:iCs/>
      <w:sz w:val="20"/>
      <w:szCs w:val="24"/>
      <w:lang w:val="en-US" w:bidi="ar-SA"/>
    </w:rPr>
  </w:style>
  <w:style w:type="paragraph" w:styleId="1211" w:customStyle="1">
    <w:name w:val="马刚标题1"/>
    <w:basedOn w:val="877"/>
    <w:next w:val="876"/>
    <w:uiPriority w:val="0"/>
    <w:qFormat/>
    <w:pPr>
      <w:ind w:left="567" w:right="0" w:hanging="567"/>
      <w:jc w:val="left"/>
      <w:keepLines/>
      <w:keepNext/>
      <w:spacing w:before="400" w:after="120" w:line="576" w:lineRule="auto"/>
      <w:tabs>
        <w:tab w:val="left" w:pos="315" w:leader="none"/>
        <w:tab w:val="left" w:pos="567" w:leader="none"/>
      </w:tabs>
    </w:pPr>
    <w:rPr>
      <w:rFonts w:ascii="Times New Roman" w:hAnsi="Times New Roman" w:cs="Times New Roman"/>
      <w:b w:val="0"/>
      <w:bCs w:val="0"/>
      <w:sz w:val="32"/>
      <w:szCs w:val="20"/>
      <w:lang w:val="en-US" w:bidi="ar-SA"/>
    </w:rPr>
  </w:style>
  <w:style w:type="paragraph" w:styleId="1212" w:customStyle="1">
    <w:name w:val="xl59"/>
    <w:basedOn w:val="876"/>
    <w:uiPriority w:val="0"/>
    <w:qFormat/>
    <w:pPr>
      <w:ind w:firstLine="562"/>
      <w:jc w:val="center"/>
      <w:spacing w:before="100" w:beforeAutospacing="1" w:after="100" w:afterAutospacing="1" w:line="360" w:lineRule="auto"/>
      <w:widowControl/>
      <w:pBdr>
        <w:left w:val="single" w:color="auto" w:sz="4" w:space="0"/>
        <w:bottom w:val="single" w:color="auto" w:sz="4" w:space="0"/>
        <w:right w:val="single" w:color="auto" w:sz="4" w:space="0"/>
      </w:pBdr>
    </w:pPr>
    <w:rPr>
      <w:rFonts w:ascii="Times New Roman" w:hAnsi="Times New Roman" w:cs="Times New Roman"/>
      <w:b/>
      <w:bCs/>
      <w:i/>
      <w:iCs/>
      <w:sz w:val="20"/>
      <w:szCs w:val="24"/>
      <w:lang w:val="en-US" w:bidi="ar-SA"/>
    </w:rPr>
  </w:style>
  <w:style w:type="character" w:styleId="1213" w:customStyle="1">
    <w:name w:val="h Char Char"/>
    <w:uiPriority w:val="0"/>
    <w:qFormat/>
    <w:rPr>
      <w:rFonts w:ascii="Times New Roman" w:hAnsi="Times New Roman" w:eastAsia="宋体" w:cs="Times New Roman"/>
      <w:sz w:val="18"/>
      <w:szCs w:val="18"/>
      <w:lang w:val="en-US" w:eastAsia="zh-CN" w:bidi="ar-SA"/>
    </w:rPr>
  </w:style>
  <w:style w:type="character" w:styleId="1214" w:customStyle="1">
    <w:name w:val="无间隔 字符"/>
    <w:link w:val="1005"/>
    <w:uiPriority w:val="0"/>
    <w:qFormat/>
  </w:style>
  <w:style w:type="paragraph" w:styleId="1215" w:customStyle="1">
    <w:name w:val="xl43"/>
    <w:basedOn w:val="876"/>
    <w:uiPriority w:val="0"/>
    <w:qFormat/>
    <w:pPr>
      <w:ind w:firstLine="562"/>
      <w:jc w:val="center"/>
      <w:spacing w:before="100" w:beforeAutospacing="1" w:after="100" w:afterAutospacing="1" w:line="360" w:lineRule="auto"/>
      <w:widowControl/>
      <w:pBdr>
        <w:left w:val="single" w:color="auto" w:sz="4" w:space="0"/>
        <w:bottom w:val="single" w:color="auto" w:sz="4" w:space="0"/>
        <w:right w:val="single" w:color="auto" w:sz="4" w:space="0"/>
      </w:pBdr>
    </w:pPr>
    <w:rPr>
      <w:b/>
      <w:bCs/>
      <w:sz w:val="20"/>
      <w:szCs w:val="24"/>
      <w:lang w:val="en-US" w:bidi="ar-SA"/>
    </w:rPr>
  </w:style>
  <w:style w:type="paragraph" w:styleId="1216" w:customStyle="1">
    <w:name w:val="新图表正文"/>
    <w:link w:val="1228"/>
    <w:uiPriority w:val="0"/>
    <w:qFormat/>
    <w:pPr>
      <w:jc w:val="both"/>
    </w:pPr>
    <w:rPr>
      <w:rFonts w:ascii="宋体" w:hAnsi="宋体" w:eastAsia="宋体" w:cs="Times New Roman"/>
      <w:sz w:val="18"/>
      <w:szCs w:val="21"/>
      <w:lang w:val="en-US" w:eastAsia="zh-CN" w:bidi="ar-SA"/>
    </w:rPr>
  </w:style>
  <w:style w:type="character" w:styleId="1217" w:customStyle="1">
    <w:name w:val="小四 段落 宋体 Char Char Char Char Char Char Char Char"/>
    <w:uiPriority w:val="0"/>
    <w:qFormat/>
    <w:rPr>
      <w:rFonts w:ascii="Times New Roman" w:hAnsi="Times New Roman" w:eastAsia="宋体" w:cs="Times New Roman"/>
      <w:sz w:val="24"/>
      <w:szCs w:val="24"/>
      <w:lang w:val="en-US" w:eastAsia="zh-CN" w:bidi="ar-SA"/>
    </w:rPr>
  </w:style>
  <w:style w:type="paragraph" w:styleId="1218" w:customStyle="1">
    <w:name w:val="正文 首行缩进:  2 字符 Char Char"/>
    <w:basedOn w:val="876"/>
    <w:uiPriority w:val="0"/>
    <w:qFormat/>
    <w:pPr>
      <w:ind w:firstLine="480"/>
      <w:jc w:val="both"/>
      <w:spacing w:line="360" w:lineRule="auto"/>
    </w:pPr>
    <w:rPr>
      <w:rFonts w:ascii="楷体_GB2312" w:hAnsi="Times New Roman" w:eastAsia="楷体_GB2312" w:cs="Times New Roman"/>
      <w:bCs/>
      <w:sz w:val="24"/>
      <w:szCs w:val="24"/>
      <w:lang w:val="en-US" w:bidi="ar-SA"/>
    </w:rPr>
  </w:style>
  <w:style w:type="paragraph" w:styleId="1219" w:customStyle="1">
    <w:name w:val="￥正文"/>
    <w:basedOn w:val="876"/>
    <w:link w:val="1358"/>
    <w:uiPriority w:val="0"/>
    <w:qFormat/>
    <w:pPr>
      <w:ind w:firstLine="200"/>
      <w:jc w:val="both"/>
      <w:spacing w:line="360" w:lineRule="auto"/>
    </w:pPr>
    <w:rPr>
      <w:sz w:val="24"/>
      <w:szCs w:val="24"/>
      <w:lang w:val="en-US" w:bidi="ar-SA"/>
    </w:rPr>
  </w:style>
  <w:style w:type="paragraph" w:styleId="1220" w:customStyle="1">
    <w:name w:val="样式 首行缩进:  2 字符"/>
    <w:basedOn w:val="876"/>
    <w:link w:val="1229"/>
    <w:uiPriority w:val="0"/>
    <w:qFormat/>
    <w:pPr>
      <w:ind w:firstLine="480"/>
      <w:jc w:val="both"/>
      <w:spacing w:line="360" w:lineRule="auto"/>
    </w:pPr>
    <w:rPr>
      <w:sz w:val="24"/>
      <w:szCs w:val="24"/>
      <w:lang w:val="en-US" w:bidi="ar-SA"/>
    </w:rPr>
  </w:style>
  <w:style w:type="paragraph" w:styleId="1221" w:customStyle="1">
    <w:name w:val="xl49"/>
    <w:basedOn w:val="876"/>
    <w:uiPriority w:val="0"/>
    <w:qFormat/>
    <w:pPr>
      <w:ind w:firstLine="562"/>
      <w:jc w:val="center"/>
      <w:spacing w:before="100" w:beforeAutospacing="1" w:after="100" w:afterAutospacing="1" w:line="360" w:lineRule="auto"/>
      <w:widowControl/>
      <w:pBdr>
        <w:left w:val="single" w:color="auto" w:sz="4" w:space="0"/>
        <w:right w:val="single" w:color="auto" w:sz="4" w:space="0"/>
      </w:pBdr>
    </w:pPr>
    <w:rPr>
      <w:rFonts w:ascii="Times New Roman" w:hAnsi="Times New Roman" w:cs="Times New Roman"/>
      <w:b/>
      <w:bCs/>
      <w:sz w:val="20"/>
      <w:szCs w:val="24"/>
      <w:lang w:val="en-US" w:bidi="ar-SA"/>
    </w:rPr>
  </w:style>
  <w:style w:type="paragraph" w:styleId="1222" w:customStyle="1">
    <w:name w:val="06列出段落"/>
    <w:basedOn w:val="876"/>
    <w:next w:val="995"/>
    <w:uiPriority w:val="0"/>
    <w:qFormat/>
    <w:pPr>
      <w:ind w:firstLine="420"/>
      <w:jc w:val="both"/>
      <w:spacing w:line="360" w:lineRule="auto"/>
    </w:pPr>
    <w:rPr>
      <w:rFonts w:ascii="Calibri" w:hAnsi="Calibri" w:cs="Times New Roman"/>
      <w:sz w:val="24"/>
      <w:szCs w:val="24"/>
      <w:lang w:val="en-US" w:bidi="ar-SA"/>
    </w:rPr>
  </w:style>
  <w:style w:type="paragraph" w:styleId="1223" w:customStyle="1">
    <w:name w:val="retrait3"/>
    <w:basedOn w:val="876"/>
    <w:uiPriority w:val="0"/>
    <w:qFormat/>
    <w:pPr>
      <w:ind w:left="851" w:firstLine="562"/>
      <w:spacing w:before="20" w:after="20" w:line="360" w:lineRule="auto"/>
      <w:widowControl/>
    </w:pPr>
    <w:rPr>
      <w:rFonts w:ascii="Arial" w:hAnsi="Arial" w:cs="Times New Roman"/>
      <w:sz w:val="24"/>
      <w:szCs w:val="24"/>
      <w:lang w:val="en-GB" w:bidi="ar-SA"/>
    </w:rPr>
  </w:style>
  <w:style w:type="paragraph" w:styleId="1224" w:customStyle="1">
    <w:name w:val="默认段落字体 Para Char Char Char Char Char Char Char"/>
    <w:basedOn w:val="876"/>
    <w:uiPriority w:val="0"/>
    <w:qFormat/>
    <w:pPr>
      <w:ind w:firstLine="562"/>
      <w:jc w:val="both"/>
      <w:spacing w:line="360" w:lineRule="auto"/>
    </w:pPr>
    <w:rPr>
      <w:rFonts w:ascii="Times New Roman" w:hAnsi="Times New Roman" w:cs="Times New Roman"/>
      <w:sz w:val="24"/>
      <w:szCs w:val="24"/>
      <w:lang w:val="en-US" w:bidi="ar-SA"/>
    </w:rPr>
  </w:style>
  <w:style w:type="paragraph" w:styleId="1225" w:customStyle="1">
    <w:name w:val="文档正文"/>
    <w:basedOn w:val="876"/>
    <w:uiPriority w:val="0"/>
    <w:qFormat/>
    <w:pPr>
      <w:ind w:firstLine="562"/>
      <w:jc w:val="both"/>
      <w:spacing w:line="360" w:lineRule="auto"/>
    </w:pPr>
    <w:rPr>
      <w:rFonts w:cs="Times New Roman"/>
      <w:b/>
      <w:bCs/>
      <w:sz w:val="24"/>
      <w:szCs w:val="24"/>
      <w:lang w:val="en-US" w:bidi="ar-SA"/>
    </w:rPr>
  </w:style>
  <w:style w:type="character" w:styleId="1226" w:customStyle="1">
    <w:name w:val="font21"/>
    <w:basedOn w:val="886"/>
    <w:uiPriority w:val="0"/>
    <w:qFormat/>
    <w:rPr>
      <w:rFonts w:hint="default" w:ascii="Times New Roman" w:hAnsi="Times New Roman" w:eastAsia="宋体" w:cs="Times New Roman"/>
      <w:color w:val="000000"/>
      <w:sz w:val="22"/>
      <w:szCs w:val="22"/>
      <w:u w:val="none"/>
      <w:vertAlign w:val="superscript"/>
    </w:rPr>
  </w:style>
  <w:style w:type="character" w:styleId="1227" w:customStyle="1">
    <w:name w:val="小四 段落 宋体 Char Char Char Char Char"/>
    <w:uiPriority w:val="0"/>
    <w:qFormat/>
    <w:rPr>
      <w:rFonts w:ascii="Times New Roman" w:hAnsi="Times New Roman" w:eastAsia="宋体" w:cs="Times New Roman"/>
      <w:sz w:val="24"/>
      <w:szCs w:val="24"/>
      <w:lang w:val="en-US" w:eastAsia="zh-CN" w:bidi="ar-SA"/>
    </w:rPr>
  </w:style>
  <w:style w:type="character" w:styleId="1228" w:customStyle="1">
    <w:name w:val="新图表正文 Char Char"/>
    <w:link w:val="1216"/>
    <w:uiPriority w:val="0"/>
    <w:qFormat/>
    <w:rPr>
      <w:rFonts w:ascii="宋体" w:hAnsi="宋体"/>
      <w:sz w:val="18"/>
      <w:szCs w:val="21"/>
    </w:rPr>
  </w:style>
  <w:style w:type="character" w:styleId="1229" w:customStyle="1">
    <w:name w:val="样式 首行缩进:  2 字符 Char Char"/>
    <w:link w:val="1220"/>
    <w:uiPriority w:val="0"/>
    <w:qFormat/>
    <w:rPr>
      <w:rFonts w:ascii="宋体" w:hAnsi="宋体" w:cs="宋体"/>
      <w:sz w:val="24"/>
      <w:szCs w:val="24"/>
    </w:rPr>
  </w:style>
  <w:style w:type="paragraph" w:styleId="1230" w:customStyle="1">
    <w:name w:val="小四 段落 宋体 Char Char Char Char"/>
    <w:basedOn w:val="876"/>
    <w:uiPriority w:val="0"/>
    <w:qFormat/>
    <w:pPr>
      <w:ind w:right="-33" w:firstLine="480"/>
      <w:spacing w:line="360" w:lineRule="auto"/>
    </w:pPr>
    <w:rPr>
      <w:rFonts w:ascii="Times New Roman" w:hAnsi="Times New Roman" w:cs="Times New Roman"/>
      <w:sz w:val="24"/>
      <w:szCs w:val="24"/>
      <w:lang w:val="en-US" w:bidi="ar-SA"/>
    </w:rPr>
  </w:style>
  <w:style w:type="paragraph" w:styleId="1231" w:customStyle="1">
    <w:name w:val="讲话正文"/>
    <w:basedOn w:val="876"/>
    <w:uiPriority w:val="0"/>
    <w:qFormat/>
    <w:pPr>
      <w:ind w:firstLine="200"/>
      <w:jc w:val="both"/>
      <w:spacing w:line="360" w:lineRule="auto"/>
    </w:pPr>
    <w:rPr>
      <w:rFonts w:ascii="仿宋" w:hAnsi="仿宋" w:eastAsia="仿宋"/>
      <w:sz w:val="32"/>
      <w:szCs w:val="32"/>
      <w:lang w:val="en-US" w:bidi="ar-SA"/>
    </w:rPr>
  </w:style>
  <w:style w:type="paragraph" w:styleId="1232" w:customStyle="1">
    <w:name w:val="tableau"/>
    <w:basedOn w:val="876"/>
    <w:uiPriority w:val="0"/>
    <w:qFormat/>
    <w:pPr>
      <w:ind w:firstLine="562"/>
      <w:jc w:val="center"/>
      <w:spacing w:before="20" w:after="20" w:line="360" w:lineRule="auto"/>
      <w:widowControl/>
    </w:pPr>
    <w:rPr>
      <w:rFonts w:ascii="Arial" w:hAnsi="Arial" w:cs="Times New Roman"/>
      <w:sz w:val="16"/>
      <w:szCs w:val="24"/>
      <w:lang w:val="en-GB" w:eastAsia="en-US" w:bidi="ar-SA"/>
    </w:rPr>
  </w:style>
  <w:style w:type="paragraph" w:styleId="1233" w:customStyle="1">
    <w:name w:val="Char Char Char Char Char Char Char Char"/>
    <w:basedOn w:val="876"/>
    <w:uiPriority w:val="0"/>
    <w:qFormat/>
    <w:pPr>
      <w:ind w:firstLine="562"/>
      <w:jc w:val="both"/>
      <w:spacing w:line="360" w:lineRule="auto"/>
    </w:pPr>
    <w:rPr>
      <w:rFonts w:ascii="Tahoma" w:hAnsi="Tahoma" w:cs="Times New Roman"/>
      <w:sz w:val="24"/>
      <w:szCs w:val="24"/>
      <w:lang w:val="en-US" w:bidi="ar-SA"/>
    </w:rPr>
  </w:style>
  <w:style w:type="paragraph" w:styleId="1234" w:customStyle="1">
    <w:name w:val="Char Char Char Char Char Char Char Char Char Char Char Char Char Char"/>
    <w:basedOn w:val="876"/>
    <w:uiPriority w:val="0"/>
    <w:qFormat/>
    <w:pPr>
      <w:ind w:firstLine="562"/>
      <w:jc w:val="both"/>
      <w:spacing w:line="360" w:lineRule="auto"/>
    </w:pPr>
    <w:rPr>
      <w:rFonts w:ascii="Tahoma" w:hAnsi="Tahoma" w:cs="Tahoma"/>
      <w:sz w:val="24"/>
      <w:szCs w:val="24"/>
      <w:lang w:val="en-US" w:bidi="ar-SA"/>
    </w:rPr>
  </w:style>
  <w:style w:type="character" w:styleId="1235" w:customStyle="1">
    <w:name w:val="正文 + 宋体 Char"/>
    <w:uiPriority w:val="0"/>
    <w:qFormat/>
    <w:rPr>
      <w:rFonts w:ascii="Times New Roman" w:hAnsi="Times New Roman" w:eastAsia="宋体" w:cs="Times New Roman"/>
      <w:sz w:val="21"/>
      <w:szCs w:val="24"/>
      <w:lang w:val="en-US" w:eastAsia="zh-CN" w:bidi="ar-SA"/>
    </w:rPr>
  </w:style>
  <w:style w:type="character" w:styleId="1236" w:customStyle="1">
    <w:name w:val="A2"/>
    <w:uiPriority w:val="0"/>
    <w:qFormat/>
    <w:rPr>
      <w:rFonts w:ascii="Times New Roman" w:hAnsi="Times New Roman" w:eastAsia="宋体" w:cs="Helvetica"/>
      <w:color w:val="000000"/>
      <w:sz w:val="18"/>
      <w:szCs w:val="18"/>
    </w:rPr>
  </w:style>
  <w:style w:type="character" w:styleId="1237" w:customStyle="1">
    <w:name w:val="subtitle1"/>
    <w:uiPriority w:val="0"/>
    <w:qFormat/>
    <w:rPr>
      <w:rFonts w:hint="default" w:ascii="Georgia" w:hAnsi="Georgia" w:eastAsia="宋体" w:cs="Times New Roman"/>
      <w:b/>
      <w:bCs/>
      <w:color w:val="666666"/>
      <w:sz w:val="18"/>
      <w:szCs w:val="18"/>
    </w:rPr>
  </w:style>
  <w:style w:type="paragraph" w:styleId="1238" w:customStyle="1">
    <w:name w:val="二级标题"/>
    <w:basedOn w:val="876"/>
    <w:uiPriority w:val="0"/>
    <w:qFormat/>
    <w:pPr>
      <w:ind w:firstLine="482"/>
      <w:spacing w:line="300" w:lineRule="auto"/>
      <w:widowControl/>
      <w:outlineLvl w:val="1"/>
    </w:pPr>
    <w:rPr>
      <w:rFonts w:cs="Times New Roman"/>
      <w:b/>
      <w:color w:val="000000"/>
      <w:sz w:val="24"/>
      <w:szCs w:val="24"/>
      <w:lang w:val="en-US" w:bidi="ar-SA"/>
    </w:rPr>
  </w:style>
  <w:style w:type="paragraph" w:styleId="1239" w:customStyle="1">
    <w:name w:val="标题4，章节第四层"/>
    <w:basedOn w:val="876"/>
    <w:next w:val="876"/>
    <w:uiPriority w:val="0"/>
    <w:qFormat/>
    <w:pPr>
      <w:ind w:firstLine="562"/>
      <w:jc w:val="both"/>
      <w:spacing w:line="360" w:lineRule="auto"/>
      <w:tabs>
        <w:tab w:val="left" w:pos="0" w:leader="none"/>
      </w:tabs>
      <w:outlineLvl w:val="3"/>
    </w:pPr>
    <w:rPr>
      <w:rFonts w:cs="Times New Roman"/>
      <w:b/>
      <w:sz w:val="24"/>
      <w:szCs w:val="24"/>
      <w:lang w:val="en-US" w:bidi="ar-SA"/>
    </w:rPr>
  </w:style>
  <w:style w:type="paragraph" w:styleId="1240" w:customStyle="1">
    <w:name w:val="正文格式"/>
    <w:basedOn w:val="876"/>
    <w:uiPriority w:val="0"/>
    <w:qFormat/>
    <w:pPr>
      <w:ind w:left="178" w:right="44" w:hanging="178"/>
      <w:spacing w:before="78" w:line="360" w:lineRule="auto"/>
      <w:widowControl/>
    </w:pPr>
    <w:rPr>
      <w:rFonts w:cs="Times New Roman"/>
      <w:bCs/>
      <w:sz w:val="24"/>
      <w:szCs w:val="21"/>
      <w:lang w:val="en-US" w:bidi="ar-SA"/>
    </w:rPr>
  </w:style>
  <w:style w:type="character" w:styleId="1241" w:customStyle="1">
    <w:name w:val="Char Char29"/>
    <w:uiPriority w:val="0"/>
    <w:qFormat/>
    <w:rPr>
      <w:rFonts w:ascii="Times New Roman" w:hAnsi="Times New Roman" w:eastAsia="宋体" w:cs="Times New Roman"/>
      <w:b/>
      <w:bCs/>
      <w:sz w:val="44"/>
      <w:szCs w:val="44"/>
    </w:rPr>
  </w:style>
  <w:style w:type="paragraph" w:styleId="1242" w:customStyle="1">
    <w:name w:val="段 Char"/>
    <w:uiPriority w:val="0"/>
    <w:qFormat/>
    <w:pPr>
      <w:ind w:firstLine="200"/>
      <w:jc w:val="both"/>
    </w:pPr>
    <w:rPr>
      <w:rFonts w:ascii="宋体" w:hAnsi="Times New Roman" w:eastAsia="宋体" w:cs="Times New Roman"/>
      <w:sz w:val="21"/>
      <w:lang w:val="en-US" w:eastAsia="zh-CN" w:bidi="ar-SA"/>
    </w:rPr>
  </w:style>
  <w:style w:type="character" w:styleId="1243" w:customStyle="1">
    <w:name w:val="小四 段落 宋体 Char Char Char Char Char Char"/>
    <w:uiPriority w:val="0"/>
    <w:qFormat/>
    <w:rPr>
      <w:rFonts w:ascii="Times New Roman" w:hAnsi="Times New Roman" w:eastAsia="宋体" w:cs="Times New Roman"/>
      <w:sz w:val="24"/>
      <w:szCs w:val="24"/>
      <w:lang w:val="en-US" w:eastAsia="zh-CN" w:bidi="ar-SA"/>
    </w:rPr>
  </w:style>
  <w:style w:type="paragraph" w:styleId="1244" w:customStyle="1">
    <w:name w:val="List Paragraph1"/>
    <w:basedOn w:val="876"/>
    <w:uiPriority w:val="0"/>
    <w:qFormat/>
    <w:pPr>
      <w:contextualSpacing/>
      <w:ind w:left="720" w:firstLine="562"/>
      <w:spacing w:line="360" w:lineRule="auto"/>
      <w:widowControl/>
    </w:pPr>
    <w:rPr>
      <w:rFonts w:ascii="Arial" w:hAnsi="Arial" w:eastAsia="黑体" w:cs="Times New Roman"/>
      <w:sz w:val="24"/>
      <w:szCs w:val="24"/>
      <w:lang w:val="en-US" w:eastAsia="en-US" w:bidi="ar-SA"/>
    </w:rPr>
  </w:style>
  <w:style w:type="character" w:styleId="1245" w:customStyle="1">
    <w:name w:val="l-over"/>
    <w:uiPriority w:val="0"/>
    <w:qFormat/>
    <w:rPr>
      <w:rFonts w:ascii="Times New Roman" w:hAnsi="Times New Roman" w:eastAsia="宋体" w:cs="Times New Roman"/>
    </w:rPr>
  </w:style>
  <w:style w:type="paragraph" w:styleId="1246" w:customStyle="1">
    <w:name w:val="标题3"/>
    <w:basedOn w:val="879"/>
    <w:uiPriority w:val="0"/>
    <w:qFormat/>
    <w:pPr>
      <w:ind w:left="0" w:firstLine="562"/>
      <w:jc w:val="both"/>
      <w:spacing w:line="360" w:lineRule="auto"/>
      <w:shd w:val="clear" w:color="auto" w:fill="ffffff"/>
    </w:pPr>
    <w:rPr>
      <w:rFonts w:ascii="Times New Roman" w:hAnsi="Times New Roman" w:eastAsia="仿宋_GB2312" w:cs="Times New Roman"/>
      <w:bCs/>
      <w:sz w:val="30"/>
      <w:szCs w:val="32"/>
      <w:lang w:val="en-US" w:bidi="ar-SA"/>
    </w:rPr>
  </w:style>
  <w:style w:type="paragraph" w:styleId="1247" w:customStyle="1">
    <w:name w:val="Char Char Char Char Char Char"/>
    <w:basedOn w:val="876"/>
    <w:uiPriority w:val="0"/>
    <w:qFormat/>
    <w:pPr>
      <w:ind w:firstLine="562"/>
      <w:jc w:val="both"/>
      <w:spacing w:line="360" w:lineRule="auto"/>
    </w:pPr>
    <w:rPr>
      <w:rFonts w:ascii="Tahoma" w:hAnsi="Tahoma" w:cs="Tahoma"/>
      <w:sz w:val="24"/>
      <w:szCs w:val="24"/>
      <w:lang w:val="en-US" w:bidi="ar-SA"/>
    </w:rPr>
  </w:style>
  <w:style w:type="paragraph" w:styleId="1248" w:customStyle="1">
    <w:name w:val="表头_5"/>
    <w:basedOn w:val="876"/>
    <w:uiPriority w:val="0"/>
    <w:qFormat/>
    <w:pPr>
      <w:ind w:firstLine="562"/>
      <w:jc w:val="both"/>
      <w:spacing w:line="360" w:lineRule="auto"/>
    </w:pPr>
    <w:rPr>
      <w:rFonts w:ascii="Times New Roman" w:hAnsi="Times New Roman" w:cs="Times New Roman"/>
      <w:b/>
      <w:bCs/>
      <w:sz w:val="28"/>
      <w:szCs w:val="21"/>
      <w:lang w:val="en-US" w:bidi="ar-SA"/>
    </w:rPr>
  </w:style>
  <w:style w:type="paragraph" w:styleId="1249" w:customStyle="1">
    <w:name w:val="Bullets L1"/>
    <w:basedOn w:val="876"/>
    <w:uiPriority w:val="0"/>
    <w:qFormat/>
    <w:pPr>
      <w:numPr>
        <w:ilvl w:val="0"/>
        <w:numId w:val="3"/>
      </w:numPr>
      <w:ind w:firstLine="200"/>
      <w:spacing w:before="60" w:after="60" w:line="360" w:lineRule="auto"/>
      <w:widowControl/>
    </w:pPr>
    <w:rPr>
      <w:rFonts w:ascii="Arial" w:hAnsi="Arial" w:cs="Times New Roman"/>
      <w:sz w:val="20"/>
      <w:szCs w:val="24"/>
      <w:lang w:val="en-US" w:bidi="ar-SA"/>
    </w:rPr>
  </w:style>
  <w:style w:type="paragraph" w:styleId="1250" w:customStyle="1">
    <w:name w:val="Char1 Char Char Char"/>
    <w:basedOn w:val="876"/>
    <w:uiPriority w:val="0"/>
    <w:qFormat/>
    <w:pPr>
      <w:ind w:firstLine="562"/>
      <w:jc w:val="both"/>
      <w:spacing w:line="360" w:lineRule="auto"/>
    </w:pPr>
    <w:rPr>
      <w:rFonts w:ascii="Tahoma" w:hAnsi="Tahoma" w:cs="Tahoma"/>
      <w:sz w:val="24"/>
      <w:szCs w:val="24"/>
      <w:lang w:val="en-US" w:bidi="ar-SA"/>
    </w:rPr>
  </w:style>
  <w:style w:type="paragraph" w:styleId="1251" w:customStyle="1">
    <w:name w:val="默认段落字体 Para Char"/>
    <w:basedOn w:val="876"/>
    <w:uiPriority w:val="0"/>
    <w:qFormat/>
    <w:pPr>
      <w:ind w:firstLine="562"/>
      <w:jc w:val="both"/>
      <w:spacing w:line="360" w:lineRule="auto"/>
    </w:pPr>
    <w:rPr>
      <w:rFonts w:ascii="Times New Roman" w:hAnsi="Times New Roman" w:cs="Times New Roman"/>
      <w:sz w:val="24"/>
      <w:szCs w:val="24"/>
      <w:lang w:val="en-US" w:bidi="ar-SA"/>
    </w:rPr>
  </w:style>
  <w:style w:type="paragraph" w:styleId="1252" w:customStyle="1">
    <w:name w:val="样式 加点正文 + 段前: 0.5 行 段后: 0.5 行1"/>
    <w:basedOn w:val="876"/>
    <w:uiPriority w:val="0"/>
    <w:qFormat/>
    <w:pPr>
      <w:ind w:left="1268" w:hanging="420"/>
      <w:jc w:val="both"/>
      <w:spacing w:before="156" w:after="156" w:line="300" w:lineRule="auto"/>
      <w:tabs>
        <w:tab w:val="left" w:pos="420" w:leader="none"/>
        <w:tab w:val="left" w:pos="1268" w:leader="none"/>
      </w:tabs>
    </w:pPr>
    <w:rPr>
      <w:rFonts w:ascii="Times New Roman" w:hAnsi="Times New Roman" w:cs="Times New Roman"/>
      <w:sz w:val="24"/>
      <w:szCs w:val="24"/>
      <w:lang w:val="en-US" w:bidi="ar-SA"/>
    </w:rPr>
  </w:style>
  <w:style w:type="paragraph" w:styleId="1253" w:customStyle="1">
    <w:name w:val="列出段落2"/>
    <w:basedOn w:val="876"/>
    <w:uiPriority w:val="0"/>
    <w:qFormat/>
    <w:pPr>
      <w:ind w:left="720" w:firstLine="562"/>
      <w:spacing w:line="360" w:lineRule="auto"/>
      <w:widowControl/>
    </w:pPr>
    <w:rPr>
      <w:rFonts w:ascii="Arial" w:hAnsi="Arial" w:eastAsia="黑体" w:cs="Arial"/>
      <w:sz w:val="24"/>
      <w:szCs w:val="24"/>
      <w:lang w:val="en-US" w:eastAsia="en-US" w:bidi="ar-SA"/>
    </w:rPr>
  </w:style>
  <w:style w:type="character" w:styleId="1254" w:customStyle="1">
    <w:name w:val="Char Char22"/>
    <w:uiPriority w:val="0"/>
    <w:qFormat/>
    <w:rPr>
      <w:rFonts w:ascii="Times New Roman" w:hAnsi="Times New Roman" w:eastAsia="宋体" w:cs="Times New Roman"/>
      <w:b/>
      <w:bCs/>
      <w:sz w:val="24"/>
      <w:szCs w:val="24"/>
    </w:rPr>
  </w:style>
  <w:style w:type="paragraph" w:styleId="1255" w:customStyle="1">
    <w:name w:val="Char Char Char"/>
    <w:basedOn w:val="896"/>
    <w:uiPriority w:val="0"/>
    <w:qFormat/>
    <w:pPr>
      <w:spacing w:line="436" w:lineRule="exact"/>
    </w:pPr>
    <w:rPr>
      <w:rFonts w:ascii="Times New Roman" w:hAnsi="Times New Roman" w:cs="Times New Roman"/>
    </w:rPr>
  </w:style>
  <w:style w:type="paragraph" w:styleId="1256" w:customStyle="1">
    <w:name w:val="样式 正文缩进2字符 + 左侧:  2 字符 首行缩进:  2 字符"/>
    <w:basedOn w:val="876"/>
    <w:uiPriority w:val="0"/>
    <w:qFormat/>
    <w:pPr>
      <w:ind w:firstLine="480"/>
      <w:jc w:val="both"/>
      <w:spacing w:line="360" w:lineRule="auto"/>
    </w:pPr>
    <w:rPr>
      <w:rFonts w:ascii="Times New Roman" w:hAnsi="Times New Roman"/>
      <w:bCs/>
      <w:sz w:val="24"/>
      <w:szCs w:val="20"/>
      <w:lang w:val="en-US" w:bidi="ar-SA"/>
    </w:rPr>
  </w:style>
  <w:style w:type="paragraph" w:styleId="1257" w:customStyle="1">
    <w:name w:val="zw"/>
    <w:basedOn w:val="876"/>
    <w:uiPriority w:val="0"/>
    <w:qFormat/>
    <w:pPr>
      <w:ind w:firstLine="480"/>
      <w:spacing w:line="360" w:lineRule="auto"/>
      <w:widowControl/>
    </w:pPr>
    <w:rPr>
      <w:rFonts w:cs="Times New Roman"/>
      <w:bCs/>
      <w:sz w:val="24"/>
      <w:szCs w:val="24"/>
      <w:lang w:val="en-US" w:bidi="ar-SA"/>
    </w:rPr>
  </w:style>
  <w:style w:type="paragraph" w:styleId="1258" w:customStyle="1">
    <w:name w:val="标题5，章节第五层"/>
    <w:basedOn w:val="876"/>
    <w:next w:val="876"/>
    <w:uiPriority w:val="0"/>
    <w:qFormat/>
    <w:pPr>
      <w:ind w:left="2100" w:hanging="420"/>
      <w:jc w:val="both"/>
      <w:spacing w:before="78" w:line="360" w:lineRule="auto"/>
      <w:tabs>
        <w:tab w:val="left" w:pos="1050" w:leader="none"/>
        <w:tab w:val="left" w:pos="2100" w:leader="none"/>
      </w:tabs>
      <w:outlineLvl w:val="4"/>
    </w:pPr>
    <w:rPr>
      <w:rFonts w:ascii="Arial" w:hAnsi="Arial" w:eastAsia="华文细黑" w:cs="Times New Roman"/>
      <w:sz w:val="30"/>
      <w:szCs w:val="24"/>
      <w:lang w:val="en-US" w:bidi="ar-SA"/>
    </w:rPr>
  </w:style>
  <w:style w:type="paragraph" w:styleId="1259" w:customStyle="1">
    <w:name w:val="xl62"/>
    <w:basedOn w:val="876"/>
    <w:uiPriority w:val="0"/>
    <w:qFormat/>
    <w:pPr>
      <w:ind w:firstLine="562"/>
      <w:jc w:val="center"/>
      <w:spacing w:before="100" w:beforeAutospacing="1" w:after="100" w:afterAutospacing="1" w:line="360" w:lineRule="auto"/>
      <w:shd w:val="clear" w:color="auto" w:fill="969696"/>
      <w:widowControl/>
      <w:pBdr>
        <w:top w:val="single" w:color="auto" w:sz="4" w:space="0"/>
        <w:bottom w:val="single" w:color="auto" w:sz="4" w:space="0"/>
        <w:right w:val="single" w:color="auto" w:sz="4" w:space="0"/>
      </w:pBdr>
    </w:pPr>
    <w:rPr>
      <w:rFonts w:ascii="Times New Roman" w:hAnsi="Times New Roman" w:cs="Times New Roman"/>
      <w:b/>
      <w:bCs/>
      <w:i/>
      <w:iCs/>
      <w:sz w:val="20"/>
      <w:szCs w:val="24"/>
      <w:lang w:val="en-US" w:bidi="ar-SA"/>
    </w:rPr>
  </w:style>
  <w:style w:type="paragraph" w:styleId="1260" w:customStyle="1">
    <w:name w:val="符号与编号 Char Char"/>
    <w:basedOn w:val="876"/>
    <w:uiPriority w:val="0"/>
    <w:qFormat/>
    <w:pPr>
      <w:ind w:left="839" w:hanging="419"/>
      <w:jc w:val="both"/>
      <w:spacing w:after="156" w:line="400" w:lineRule="atLeast"/>
      <w:tabs>
        <w:tab w:val="left" w:pos="840" w:leader="none"/>
      </w:tabs>
    </w:pPr>
    <w:rPr>
      <w:rFonts w:ascii="Times New Roman" w:hAnsi="Times New Roman" w:cs="Times New Roman"/>
      <w:sz w:val="24"/>
      <w:szCs w:val="24"/>
      <w:lang w:val="en-US" w:bidi="ar-SA"/>
    </w:rPr>
  </w:style>
  <w:style w:type="paragraph" w:styleId="1261" w:customStyle="1">
    <w:name w:val="样式1"/>
    <w:basedOn w:val="876"/>
    <w:uiPriority w:val="0"/>
    <w:qFormat/>
    <w:pPr>
      <w:ind w:firstLine="480"/>
      <w:jc w:val="both"/>
      <w:spacing w:line="300" w:lineRule="auto"/>
    </w:pPr>
    <w:rPr>
      <w:rFonts w:ascii="Times New Roman" w:hAnsi="Times New Roman" w:cs="Times New Roman"/>
      <w:sz w:val="24"/>
      <w:szCs w:val="24"/>
      <w:lang w:val="en-US" w:bidi="ar-SA"/>
    </w:rPr>
  </w:style>
  <w:style w:type="paragraph" w:styleId="1262" w:customStyle="1">
    <w:name w:val="项目符号，二级"/>
    <w:basedOn w:val="1240"/>
    <w:next w:val="1240"/>
    <w:uiPriority w:val="0"/>
    <w:qFormat/>
    <w:pPr>
      <w:ind w:left="1337" w:right="-27" w:firstLine="480"/>
      <w:tabs>
        <w:tab w:val="left" w:pos="567" w:leader="none"/>
        <w:tab w:val="left" w:pos="1211" w:leader="none"/>
        <w:tab w:val="left" w:pos="1337" w:leader="none"/>
      </w:tabs>
    </w:pPr>
    <w:rPr>
      <w:rFonts w:ascii="Times New Roman" w:hAnsi="Times New Roman"/>
      <w:bCs w:val="0"/>
      <w:color w:val="000000"/>
      <w:szCs w:val="24"/>
    </w:rPr>
  </w:style>
  <w:style w:type="character" w:styleId="1263" w:customStyle="1">
    <w:name w:val="param-value"/>
    <w:uiPriority w:val="0"/>
    <w:qFormat/>
    <w:rPr>
      <w:rFonts w:ascii="Times New Roman" w:hAnsi="Times New Roman" w:eastAsia="宋体" w:cs="Times New Roman"/>
    </w:rPr>
  </w:style>
  <w:style w:type="paragraph" w:styleId="1264" w:customStyle="1">
    <w:name w:val="Body Text 21"/>
    <w:basedOn w:val="876"/>
    <w:uiPriority w:val="0"/>
    <w:qFormat/>
    <w:pPr>
      <w:ind w:left="720" w:hanging="720"/>
      <w:jc w:val="both"/>
      <w:spacing w:line="360" w:lineRule="auto"/>
      <w:widowControl/>
    </w:pPr>
    <w:rPr>
      <w:rFonts w:ascii="Times New Roman" w:hAnsi="Times New Roman" w:cs="Times New Roman"/>
      <w:sz w:val="24"/>
      <w:szCs w:val="24"/>
      <w:lang w:val="en-GB" w:bidi="ar-SA"/>
    </w:rPr>
  </w:style>
  <w:style w:type="paragraph" w:styleId="1265" w:customStyle="1">
    <w:name w:val="表格抬头"/>
    <w:basedOn w:val="876"/>
    <w:link w:val="1418"/>
    <w:uiPriority w:val="0"/>
    <w:qFormat/>
    <w:pPr>
      <w:ind w:firstLine="562"/>
      <w:jc w:val="center"/>
      <w:spacing w:line="360" w:lineRule="auto"/>
    </w:pPr>
    <w:rPr>
      <w:rFonts w:ascii="黑体" w:eastAsia="黑体"/>
      <w:b/>
      <w:sz w:val="24"/>
      <w:szCs w:val="24"/>
      <w:lang w:val="en-US" w:bidi="ar-SA"/>
    </w:rPr>
  </w:style>
  <w:style w:type="character" w:styleId="1266" w:customStyle="1">
    <w:name w:val="_Style 109"/>
    <w:uiPriority w:val="0"/>
    <w:qFormat/>
    <w:rPr>
      <w:rFonts w:ascii="Times New Roman" w:hAnsi="Times New Roman" w:eastAsia="宋体" w:cs="Times New Roman"/>
      <w:smallCaps/>
    </w:rPr>
  </w:style>
  <w:style w:type="paragraph" w:styleId="1267" w:customStyle="1">
    <w:name w:val="Char Char"/>
    <w:basedOn w:val="876"/>
    <w:uiPriority w:val="0"/>
    <w:qFormat/>
    <w:pPr>
      <w:ind w:firstLine="562"/>
      <w:jc w:val="both"/>
      <w:spacing w:line="360" w:lineRule="auto"/>
    </w:pPr>
    <w:rPr>
      <w:rFonts w:ascii="Tahoma" w:hAnsi="Tahoma" w:cs="Times New Roman"/>
      <w:sz w:val="24"/>
      <w:szCs w:val="24"/>
      <w:lang w:val="en-US" w:bidi="ar-SA"/>
    </w:rPr>
  </w:style>
  <w:style w:type="paragraph" w:styleId="1268" w:customStyle="1">
    <w:name w:val="表格1"/>
    <w:basedOn w:val="876"/>
    <w:uiPriority w:val="0"/>
    <w:qFormat/>
    <w:pPr>
      <w:ind w:firstLine="562"/>
      <w:jc w:val="both"/>
      <w:spacing w:line="360" w:lineRule="auto"/>
    </w:pPr>
    <w:rPr>
      <w:rFonts w:hAnsi="Times New Roman" w:cs="Times New Roman"/>
      <w:sz w:val="24"/>
      <w:szCs w:val="21"/>
      <w:lang w:val="en-US" w:bidi="ar-SA"/>
    </w:rPr>
  </w:style>
  <w:style w:type="character" w:styleId="1269" w:customStyle="1">
    <w:name w:val="样式 宋体 小四"/>
    <w:uiPriority w:val="0"/>
    <w:qFormat/>
    <w:rPr>
      <w:rFonts w:ascii="宋体" w:hAnsi="宋体" w:eastAsia="宋体" w:cs="Times New Roman"/>
      <w:sz w:val="24"/>
    </w:rPr>
  </w:style>
  <w:style w:type="character" w:styleId="1270" w:customStyle="1">
    <w:name w:val="纯文本 Char Char Char1"/>
    <w:uiPriority w:val="0"/>
    <w:qFormat/>
    <w:rPr>
      <w:rFonts w:ascii="宋体" w:hAnsi="Courier New" w:eastAsia="宋体" w:cs="Times New Roman"/>
      <w:sz w:val="21"/>
      <w:szCs w:val="21"/>
      <w:lang w:val="en-US" w:eastAsia="zh-CN" w:bidi="ar-SA"/>
    </w:rPr>
  </w:style>
  <w:style w:type="paragraph" w:styleId="1271" w:customStyle="1">
    <w:name w:val="Char Char1"/>
    <w:basedOn w:val="876"/>
    <w:uiPriority w:val="0"/>
    <w:qFormat/>
    <w:pPr>
      <w:ind w:firstLine="562"/>
      <w:jc w:val="both"/>
      <w:spacing w:line="360" w:lineRule="auto"/>
    </w:pPr>
    <w:rPr>
      <w:rFonts w:ascii="Tahoma" w:hAnsi="Tahoma" w:cs="Tahoma"/>
      <w:sz w:val="24"/>
      <w:szCs w:val="24"/>
      <w:lang w:val="en-US" w:bidi="ar-SA"/>
    </w:rPr>
  </w:style>
  <w:style w:type="paragraph" w:styleId="1272" w:customStyle="1">
    <w:name w:val="Item Step in Table"/>
    <w:uiPriority w:val="0"/>
    <w:qFormat/>
    <w:pPr>
      <w:numPr>
        <w:ilvl w:val="0"/>
        <w:numId w:val="4"/>
      </w:numPr>
      <w:jc w:val="both"/>
      <w:spacing w:before="40" w:after="40"/>
    </w:pPr>
    <w:rPr>
      <w:rFonts w:ascii="Arial" w:hAnsi="Arial" w:eastAsia="宋体" w:cs="Arial"/>
      <w:sz w:val="18"/>
      <w:szCs w:val="18"/>
      <w:lang w:val="en-US" w:eastAsia="zh-CN" w:bidi="ar-SA"/>
    </w:rPr>
  </w:style>
  <w:style w:type="paragraph" w:styleId="1273" w:customStyle="1">
    <w:name w:val="马刚标题3"/>
    <w:basedOn w:val="876"/>
    <w:next w:val="876"/>
    <w:uiPriority w:val="0"/>
    <w:qFormat/>
    <w:pPr>
      <w:ind w:left="567" w:hanging="567"/>
      <w:keepLines/>
      <w:keepNext/>
      <w:spacing w:before="120" w:after="60" w:line="413" w:lineRule="auto"/>
      <w:tabs>
        <w:tab w:val="left" w:pos="567" w:leader="none"/>
        <w:tab w:val="left" w:pos="735" w:leader="none"/>
      </w:tabs>
      <w:outlineLvl w:val="2"/>
    </w:pPr>
    <w:rPr>
      <w:rFonts w:ascii="黑体" w:hAnsi="Arial" w:eastAsia="黑体" w:cs="Times New Roman"/>
      <w:b/>
      <w:bCs/>
      <w:sz w:val="24"/>
      <w:szCs w:val="24"/>
      <w:lang w:val="en-US" w:bidi="ar-SA"/>
    </w:rPr>
  </w:style>
  <w:style w:type="paragraph" w:styleId="1274" w:customStyle="1">
    <w:name w:val="xl44"/>
    <w:basedOn w:val="876"/>
    <w:uiPriority w:val="0"/>
    <w:qFormat/>
    <w:pPr>
      <w:ind w:firstLine="562"/>
      <w:jc w:val="center"/>
      <w:spacing w:before="100" w:beforeAutospacing="1" w:after="100" w:afterAutospacing="1" w:line="360" w:lineRule="auto"/>
      <w:widowControl/>
      <w:pBdr>
        <w:top w:val="single" w:color="auto" w:sz="4" w:space="0"/>
        <w:left w:val="single" w:color="auto" w:sz="4" w:space="0"/>
        <w:right w:val="single" w:color="auto" w:sz="4" w:space="0"/>
      </w:pBdr>
    </w:pPr>
    <w:rPr>
      <w:b/>
      <w:bCs/>
      <w:sz w:val="20"/>
      <w:szCs w:val="24"/>
      <w:lang w:val="en-US" w:bidi="ar-SA"/>
    </w:rPr>
  </w:style>
  <w:style w:type="paragraph" w:styleId="1275" w:customStyle="1">
    <w:name w:val="正文缩进2字符"/>
    <w:basedOn w:val="876"/>
    <w:uiPriority w:val="0"/>
    <w:qFormat/>
    <w:pPr>
      <w:ind w:firstLine="200"/>
      <w:jc w:val="both"/>
      <w:spacing w:line="300" w:lineRule="auto"/>
    </w:pPr>
    <w:rPr>
      <w:rFonts w:ascii="仿宋_GB2312" w:hAnsi="Times New Roman" w:eastAsia="仿宋_GB2312" w:cs="Times New Roman"/>
      <w:sz w:val="32"/>
      <w:szCs w:val="32"/>
      <w:lang w:val="en-US" w:bidi="ar-SA"/>
    </w:rPr>
  </w:style>
  <w:style w:type="paragraph" w:styleId="1276" w:customStyle="1">
    <w:name w:val="Char1"/>
    <w:basedOn w:val="876"/>
    <w:uiPriority w:val="0"/>
    <w:qFormat/>
    <w:pPr>
      <w:ind w:firstLine="562"/>
      <w:jc w:val="both"/>
      <w:spacing w:line="360" w:lineRule="auto"/>
    </w:pPr>
    <w:rPr>
      <w:rFonts w:ascii="仿宋_GB2312" w:eastAsia="仿宋_GB2312"/>
      <w:b/>
      <w:sz w:val="32"/>
      <w:szCs w:val="32"/>
      <w:lang w:val="en-US" w:bidi="ar-SA"/>
    </w:rPr>
  </w:style>
  <w:style w:type="paragraph" w:styleId="1277" w:customStyle="1">
    <w:name w:val="Pa5"/>
    <w:basedOn w:val="876"/>
    <w:next w:val="876"/>
    <w:uiPriority w:val="0"/>
    <w:qFormat/>
    <w:pPr>
      <w:ind w:firstLine="562"/>
      <w:spacing w:line="241" w:lineRule="atLeast"/>
    </w:pPr>
    <w:rPr>
      <w:rFonts w:ascii="汉仪大黑简" w:hAnsi="Times New Roman" w:eastAsia="汉仪大黑简" w:cs="Times New Roman"/>
      <w:sz w:val="24"/>
      <w:szCs w:val="24"/>
      <w:lang w:val="en-US" w:bidi="ar-SA"/>
    </w:rPr>
  </w:style>
  <w:style w:type="character" w:styleId="1278" w:customStyle="1">
    <w:name w:val="Char Char20"/>
    <w:uiPriority w:val="0"/>
    <w:qFormat/>
    <w:rPr>
      <w:rFonts w:ascii="Arial" w:hAnsi="Arial" w:eastAsia="黑体" w:cs="Times New Roman"/>
      <w:sz w:val="21"/>
      <w:szCs w:val="21"/>
    </w:rPr>
  </w:style>
  <w:style w:type="paragraph" w:styleId="1279" w:customStyle="1">
    <w:name w:val="条1"/>
    <w:basedOn w:val="876"/>
    <w:uiPriority w:val="0"/>
    <w:qFormat/>
    <w:pPr>
      <w:ind w:left="780" w:hanging="360"/>
      <w:jc w:val="both"/>
      <w:spacing w:before="156" w:line="360" w:lineRule="auto"/>
      <w:tabs>
        <w:tab w:val="left" w:pos="780" w:leader="none"/>
      </w:tabs>
    </w:pPr>
    <w:rPr>
      <w:rFonts w:ascii="Times New Roman" w:hAnsi="Times New Roman" w:eastAsia="黑体" w:cs="Times New Roman"/>
      <w:sz w:val="24"/>
      <w:szCs w:val="24"/>
      <w:lang w:val="en-US" w:bidi="ar-SA"/>
    </w:rPr>
  </w:style>
  <w:style w:type="character" w:styleId="1280" w:customStyle="1">
    <w:name w:val="_Style 106"/>
    <w:uiPriority w:val="0"/>
    <w:qFormat/>
    <w:rPr>
      <w:rFonts w:ascii="Times New Roman" w:hAnsi="Times New Roman" w:eastAsia="宋体" w:cs="Times New Roman"/>
      <w:i/>
      <w:iCs/>
      <w:smallCaps/>
      <w:spacing w:val="5"/>
    </w:rPr>
  </w:style>
  <w:style w:type="paragraph" w:styleId="1281" w:customStyle="1">
    <w:name w:val="Char"/>
    <w:basedOn w:val="876"/>
    <w:uiPriority w:val="0"/>
    <w:qFormat/>
    <w:pPr>
      <w:ind w:firstLine="562"/>
      <w:jc w:val="both"/>
      <w:spacing w:after="156" w:line="360" w:lineRule="auto"/>
    </w:pPr>
    <w:rPr>
      <w:rFonts w:ascii="Tahoma" w:hAnsi="Tahoma" w:cs="Times New Roman"/>
      <w:sz w:val="24"/>
      <w:szCs w:val="24"/>
      <w:lang w:val="en-US" w:bidi="ar-SA"/>
    </w:rPr>
  </w:style>
  <w:style w:type="character" w:styleId="1282" w:customStyle="1">
    <w:name w:val="textcontents"/>
    <w:uiPriority w:val="0"/>
    <w:qFormat/>
    <w:rPr>
      <w:rFonts w:ascii="Times New Roman" w:hAnsi="Times New Roman" w:eastAsia="宋体" w:cs="Times New Roman"/>
    </w:rPr>
  </w:style>
  <w:style w:type="paragraph" w:styleId="1283" w:customStyle="1">
    <w:name w:val="xl36"/>
    <w:basedOn w:val="876"/>
    <w:uiPriority w:val="0"/>
    <w:qFormat/>
    <w:pPr>
      <w:ind w:firstLine="562"/>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b/>
      <w:bCs/>
      <w:sz w:val="20"/>
      <w:szCs w:val="24"/>
      <w:lang w:val="en-US" w:bidi="ar-SA"/>
    </w:rPr>
  </w:style>
  <w:style w:type="character" w:styleId="1284" w:customStyle="1">
    <w:name w:val="华宇段落1 Char Char"/>
    <w:uiPriority w:val="0"/>
    <w:qFormat/>
    <w:rPr>
      <w:rFonts w:ascii="Times New Roman" w:hAnsi="Times New Roman" w:eastAsia="宋体" w:cs="Times New Roman"/>
      <w:bCs/>
      <w:sz w:val="24"/>
      <w:szCs w:val="24"/>
      <w:lang w:val="en-US" w:eastAsia="zh-CN" w:bidi="ar-SA"/>
    </w:rPr>
  </w:style>
  <w:style w:type="character" w:styleId="1285" w:customStyle="1">
    <w:name w:val="_Style 197"/>
    <w:uiPriority w:val="0"/>
    <w:qFormat/>
    <w:rPr>
      <w:rFonts w:ascii="Times New Roman" w:hAnsi="Times New Roman" w:eastAsia="宋体" w:cs="Times New Roman"/>
      <w:smallCaps/>
      <w:spacing w:val="5"/>
      <w:u w:val="single"/>
    </w:rPr>
  </w:style>
  <w:style w:type="character" w:styleId="1286" w:customStyle="1">
    <w:name w:val="Char Char25"/>
    <w:uiPriority w:val="0"/>
    <w:qFormat/>
    <w:rPr>
      <w:rFonts w:ascii="Arial" w:hAnsi="Arial" w:eastAsia="黑体" w:cs="Times New Roman"/>
      <w:b/>
      <w:sz w:val="28"/>
    </w:rPr>
  </w:style>
  <w:style w:type="paragraph" w:styleId="1287" w:customStyle="1">
    <w:name w:val="正文文本缩进1"/>
    <w:basedOn w:val="876"/>
    <w:uiPriority w:val="0"/>
    <w:qFormat/>
    <w:pPr>
      <w:ind w:left="420" w:firstLine="562"/>
      <w:jc w:val="both"/>
      <w:spacing w:after="120" w:line="360" w:lineRule="auto"/>
    </w:pPr>
    <w:rPr>
      <w:rFonts w:ascii="Times New Roman" w:hAnsi="Times New Roman" w:cs="Times New Roman"/>
      <w:sz w:val="24"/>
      <w:szCs w:val="24"/>
      <w:lang w:val="en-US" w:bidi="ar-SA"/>
    </w:rPr>
  </w:style>
  <w:style w:type="character" w:styleId="1288" w:customStyle="1">
    <w:name w:val="normalfont1"/>
    <w:uiPriority w:val="0"/>
    <w:qFormat/>
    <w:rPr>
      <w:rFonts w:hint="default" w:ascii="ˎ̥" w:hAnsi="ˎ̥" w:eastAsia="宋体" w:cs="Times New Roman"/>
      <w:sz w:val="18"/>
      <w:szCs w:val="18"/>
      <w:u w:val="none"/>
    </w:rPr>
  </w:style>
  <w:style w:type="character" w:styleId="1289" w:customStyle="1">
    <w:name w:val="3zw"/>
    <w:uiPriority w:val="0"/>
    <w:qFormat/>
    <w:rPr>
      <w:rFonts w:ascii="Times New Roman" w:hAnsi="Times New Roman" w:eastAsia="宋体" w:cs="Times New Roman"/>
    </w:rPr>
  </w:style>
  <w:style w:type="character" w:styleId="1290" w:customStyle="1">
    <w:name w:val="Title1 Char"/>
    <w:uiPriority w:val="0"/>
    <w:qFormat/>
    <w:rPr>
      <w:rFonts w:ascii="Times New Roman" w:hAnsi="Times New Roman" w:eastAsia="宋体" w:cs="Times New Roman"/>
      <w:b/>
      <w:bCs/>
      <w:sz w:val="44"/>
      <w:szCs w:val="44"/>
      <w:lang w:val="en-US" w:eastAsia="zh-CN" w:bidi="ar-SA"/>
    </w:rPr>
  </w:style>
  <w:style w:type="paragraph" w:styleId="1291" w:customStyle="1">
    <w:name w:val="Table Text Char"/>
    <w:uiPriority w:val="0"/>
    <w:qFormat/>
    <w:pPr>
      <w:spacing w:before="80" w:after="80"/>
    </w:pPr>
    <w:rPr>
      <w:rFonts w:ascii="Arial" w:hAnsi="Arial" w:eastAsia="宋体" w:cs="Arial"/>
      <w:sz w:val="18"/>
      <w:szCs w:val="28"/>
      <w:lang w:val="en-US" w:eastAsia="zh-CN" w:bidi="ar-SA"/>
    </w:rPr>
  </w:style>
  <w:style w:type="paragraph" w:styleId="1292" w:customStyle="1">
    <w:name w:val="我的正文"/>
    <w:basedOn w:val="876"/>
    <w:uiPriority w:val="0"/>
    <w:qFormat/>
    <w:pPr>
      <w:ind w:firstLine="420"/>
      <w:spacing w:line="360" w:lineRule="auto"/>
      <w:widowControl/>
    </w:pPr>
    <w:rPr>
      <w:sz w:val="24"/>
      <w:szCs w:val="21"/>
      <w:lang w:val="en-US" w:bidi="ar-SA"/>
    </w:rPr>
  </w:style>
  <w:style w:type="paragraph" w:styleId="1293" w:customStyle="1">
    <w:name w:val="xl50"/>
    <w:basedOn w:val="876"/>
    <w:uiPriority w:val="0"/>
    <w:qFormat/>
    <w:pPr>
      <w:ind w:firstLine="562"/>
      <w:jc w:val="center"/>
      <w:spacing w:before="100" w:beforeAutospacing="1" w:after="100" w:afterAutospacing="1" w:line="360" w:lineRule="auto"/>
      <w:widowControl/>
      <w:pBdr>
        <w:left w:val="single" w:color="auto" w:sz="4" w:space="0"/>
        <w:bottom w:val="single" w:color="auto" w:sz="4" w:space="0"/>
        <w:right w:val="single" w:color="auto" w:sz="4" w:space="0"/>
      </w:pBdr>
    </w:pPr>
    <w:rPr>
      <w:rFonts w:ascii="Times New Roman" w:hAnsi="Times New Roman" w:cs="Times New Roman"/>
      <w:b/>
      <w:bCs/>
      <w:sz w:val="20"/>
      <w:szCs w:val="24"/>
      <w:lang w:val="en-US" w:bidi="ar-SA"/>
    </w:rPr>
  </w:style>
  <w:style w:type="character" w:styleId="1294" w:customStyle="1">
    <w:name w:val="已访问的超链接1"/>
    <w:uiPriority w:val="0"/>
    <w:qFormat/>
    <w:rPr>
      <w:rFonts w:ascii="Times New Roman" w:hAnsi="Times New Roman" w:eastAsia="宋体" w:cs="Times New Roman"/>
      <w:color w:val="auto"/>
      <w:u w:val="none"/>
    </w:rPr>
  </w:style>
  <w:style w:type="paragraph" w:styleId="1295" w:customStyle="1">
    <w:name w:val="xl27"/>
    <w:basedOn w:val="876"/>
    <w:uiPriority w:val="0"/>
    <w:qFormat/>
    <w:pPr>
      <w:ind w:firstLine="562"/>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i/>
      <w:iCs/>
      <w:sz w:val="20"/>
      <w:szCs w:val="24"/>
      <w:lang w:val="en-US" w:bidi="ar-SA"/>
    </w:rPr>
  </w:style>
  <w:style w:type="paragraph" w:styleId="1296" w:customStyle="1">
    <w:name w:val="xl51"/>
    <w:basedOn w:val="876"/>
    <w:uiPriority w:val="0"/>
    <w:qFormat/>
    <w:pPr>
      <w:ind w:firstLine="562"/>
      <w:jc w:val="center"/>
      <w:spacing w:before="100" w:beforeAutospacing="1" w:after="100" w:afterAutospacing="1" w:line="360" w:lineRule="auto"/>
      <w:shd w:val="clear" w:color="auto" w:fill="969696"/>
      <w:widowControl/>
      <w:pBdr>
        <w:top w:val="single" w:color="auto" w:sz="4" w:space="0"/>
        <w:left w:val="single" w:color="auto" w:sz="4" w:space="0"/>
        <w:bottom w:val="single" w:color="auto" w:sz="4" w:space="0"/>
      </w:pBdr>
    </w:pPr>
    <w:rPr>
      <w:rFonts w:ascii="Times New Roman" w:hAnsi="Times New Roman" w:cs="Times New Roman"/>
      <w:b/>
      <w:bCs/>
      <w:i/>
      <w:iCs/>
      <w:sz w:val="20"/>
      <w:szCs w:val="24"/>
      <w:lang w:val="en-US" w:bidi="ar-SA"/>
    </w:rPr>
  </w:style>
  <w:style w:type="paragraph" w:styleId="1297" w:customStyle="1">
    <w:name w:val="00-合正"/>
    <w:basedOn w:val="876"/>
    <w:uiPriority w:val="0"/>
    <w:qFormat/>
    <w:pPr>
      <w:ind w:firstLine="200"/>
      <w:spacing w:line="560" w:lineRule="exact"/>
    </w:pPr>
    <w:rPr>
      <w:rFonts w:ascii="楷体" w:hAnsi="楷体" w:eastAsia="楷体" w:cs="Times New Roman"/>
      <w:color w:val="000000"/>
      <w:sz w:val="28"/>
      <w:szCs w:val="24"/>
      <w:lang w:val="en-US" w:bidi="ar-SA"/>
    </w:rPr>
  </w:style>
  <w:style w:type="paragraph" w:styleId="1298" w:customStyle="1">
    <w:name w:val="font5"/>
    <w:basedOn w:val="876"/>
    <w:uiPriority w:val="0"/>
    <w:qFormat/>
    <w:pPr>
      <w:ind w:firstLine="562"/>
      <w:spacing w:before="100" w:beforeAutospacing="1" w:after="100" w:afterAutospacing="1" w:line="360" w:lineRule="auto"/>
      <w:widowControl/>
    </w:pPr>
    <w:rPr>
      <w:sz w:val="18"/>
      <w:szCs w:val="18"/>
      <w:lang w:val="en-US" w:bidi="ar-SA"/>
    </w:rPr>
  </w:style>
  <w:style w:type="paragraph" w:styleId="1299" w:customStyle="1">
    <w:name w:val="华宇段落1 Char"/>
    <w:basedOn w:val="876"/>
    <w:uiPriority w:val="0"/>
    <w:qFormat/>
    <w:pPr>
      <w:ind w:firstLine="200"/>
      <w:jc w:val="both"/>
      <w:spacing w:line="360" w:lineRule="auto"/>
    </w:pPr>
    <w:rPr>
      <w:rFonts w:ascii="Times New Roman" w:hAnsi="Times New Roman" w:cs="Times New Roman"/>
      <w:bCs/>
      <w:sz w:val="24"/>
      <w:szCs w:val="24"/>
      <w:lang w:val="en-US" w:bidi="ar-SA"/>
    </w:rPr>
  </w:style>
  <w:style w:type="paragraph" w:styleId="1300" w:customStyle="1">
    <w:name w:val="xl25"/>
    <w:basedOn w:val="876"/>
    <w:uiPriority w:val="0"/>
    <w:qFormat/>
    <w:pPr>
      <w:ind w:firstLine="562"/>
      <w:jc w:val="center"/>
      <w:spacing w:before="100" w:beforeAutospacing="1" w:after="100" w:afterAutospacing="1" w:line="360" w:lineRule="auto"/>
      <w:widowControl/>
      <w:pBdr>
        <w:right w:val="single" w:color="auto" w:sz="4" w:space="0"/>
      </w:pBdr>
    </w:pPr>
    <w:rPr>
      <w:rFonts w:ascii="Times New Roman" w:hAnsi="Times New Roman" w:cs="Times New Roman"/>
      <w:sz w:val="24"/>
      <w:szCs w:val="21"/>
      <w:lang w:val="en-US" w:bidi="ar-SA"/>
    </w:rPr>
  </w:style>
  <w:style w:type="character" w:styleId="1301" w:customStyle="1">
    <w:name w:val="普通文字1 Char"/>
    <w:uiPriority w:val="0"/>
    <w:qFormat/>
    <w:rPr>
      <w:rFonts w:ascii="宋体" w:hAnsi="Times New Roman" w:eastAsia="宋体" w:cs="Times New Roman"/>
      <w:sz w:val="21"/>
      <w:szCs w:val="21"/>
      <w:lang w:val="en-US" w:eastAsia="zh-CN" w:bidi="ar-SA"/>
    </w:rPr>
  </w:style>
  <w:style w:type="paragraph" w:styleId="1302" w:customStyle="1">
    <w:name w:val="content_lineheight"/>
    <w:basedOn w:val="876"/>
    <w:uiPriority w:val="0"/>
    <w:qFormat/>
    <w:pPr>
      <w:ind w:firstLine="562"/>
      <w:spacing w:before="100" w:beforeAutospacing="1" w:after="100" w:afterAutospacing="1" w:line="360" w:lineRule="auto"/>
      <w:widowControl/>
    </w:pPr>
    <w:rPr>
      <w:rFonts w:cs="Times New Roman"/>
      <w:sz w:val="24"/>
      <w:szCs w:val="24"/>
      <w:lang w:val="en-US" w:bidi="ar-SA"/>
    </w:rPr>
  </w:style>
  <w:style w:type="character" w:styleId="1303" w:customStyle="1">
    <w:name w:val="批注文字 Char"/>
    <w:uiPriority w:val="0"/>
    <w:qFormat/>
    <w:rPr>
      <w:rFonts w:ascii="Times New Roman" w:hAnsi="Times New Roman" w:eastAsia="宋体" w:cs="Times New Roman"/>
      <w:sz w:val="21"/>
      <w:lang w:val="en-US" w:eastAsia="zh-CN" w:bidi="ar-SA"/>
    </w:rPr>
  </w:style>
  <w:style w:type="paragraph" w:styleId="1304" w:customStyle="1">
    <w:name w:val="xl31"/>
    <w:basedOn w:val="876"/>
    <w:uiPriority w:val="0"/>
    <w:qFormat/>
    <w:pPr>
      <w:ind w:firstLine="562"/>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楷体_GB2312" w:eastAsia="楷体_GB2312"/>
      <w:b/>
      <w:bCs/>
      <w:sz w:val="24"/>
      <w:szCs w:val="24"/>
      <w:lang w:val="en-US" w:bidi="ar-SA"/>
    </w:rPr>
  </w:style>
  <w:style w:type="character" w:styleId="1305" w:customStyle="1">
    <w:name w:val="font81"/>
    <w:uiPriority w:val="0"/>
    <w:qFormat/>
    <w:rPr>
      <w:rFonts w:hint="eastAsia" w:ascii="宋体" w:hAnsi="宋体" w:eastAsia="宋体" w:cs="宋体"/>
      <w:color w:val="000000"/>
      <w:sz w:val="16"/>
      <w:szCs w:val="16"/>
      <w:u w:val="none"/>
    </w:rPr>
  </w:style>
  <w:style w:type="character" w:styleId="1306" w:customStyle="1">
    <w:name w:val="111111 Char"/>
    <w:link w:val="1307"/>
    <w:uiPriority w:val="0"/>
    <w:qFormat/>
    <w:rPr>
      <w:rFonts w:ascii="宋体" w:hAnsi="宋体" w:eastAsia="黑体" w:cs="宋体"/>
      <w:b/>
      <w:bCs/>
      <w:sz w:val="21"/>
      <w:szCs w:val="21"/>
    </w:rPr>
  </w:style>
  <w:style w:type="paragraph" w:styleId="1307" w:customStyle="1">
    <w:name w:val="111111"/>
    <w:basedOn w:val="876"/>
    <w:link w:val="1306"/>
    <w:uiPriority w:val="0"/>
    <w:qFormat/>
    <w:pPr>
      <w:ind w:firstLine="562"/>
      <w:jc w:val="center"/>
      <w:spacing w:before="120" w:after="120" w:line="360" w:lineRule="auto"/>
    </w:pPr>
    <w:rPr>
      <w:rFonts w:eastAsia="黑体"/>
      <w:b/>
      <w:bCs/>
      <w:sz w:val="21"/>
      <w:szCs w:val="21"/>
      <w:lang w:val="en-US" w:bidi="ar-SA"/>
    </w:rPr>
  </w:style>
  <w:style w:type="paragraph" w:styleId="1308" w:customStyle="1">
    <w:name w:val="xl58"/>
    <w:basedOn w:val="876"/>
    <w:uiPriority w:val="0"/>
    <w:qFormat/>
    <w:pPr>
      <w:ind w:firstLine="562"/>
      <w:jc w:val="center"/>
      <w:spacing w:before="100" w:beforeAutospacing="1" w:after="100" w:afterAutospacing="1" w:line="360" w:lineRule="auto"/>
      <w:widowControl/>
      <w:pBdr>
        <w:left w:val="single" w:color="auto" w:sz="4" w:space="0"/>
        <w:right w:val="single" w:color="auto" w:sz="4" w:space="0"/>
      </w:pBdr>
    </w:pPr>
    <w:rPr>
      <w:rFonts w:ascii="Times New Roman" w:hAnsi="Times New Roman" w:cs="Times New Roman"/>
      <w:b/>
      <w:bCs/>
      <w:i/>
      <w:iCs/>
      <w:sz w:val="20"/>
      <w:szCs w:val="24"/>
      <w:lang w:val="en-US" w:bidi="ar-SA"/>
    </w:rPr>
  </w:style>
  <w:style w:type="character" w:styleId="1309" w:customStyle="1">
    <w:name w:val="concon"/>
    <w:uiPriority w:val="0"/>
    <w:qFormat/>
    <w:rPr>
      <w:rFonts w:ascii="Times New Roman" w:hAnsi="Times New Roman" w:eastAsia="宋体" w:cs="Times New Roman"/>
    </w:rPr>
  </w:style>
  <w:style w:type="character" w:styleId="1310" w:customStyle="1">
    <w:name w:val="content"/>
    <w:uiPriority w:val="0"/>
    <w:qFormat/>
    <w:rPr>
      <w:rFonts w:ascii="Times New Roman" w:hAnsi="Times New Roman" w:eastAsia="宋体" w:cs="Times New Roman"/>
    </w:rPr>
  </w:style>
  <w:style w:type="paragraph" w:styleId="1311" w:customStyle="1">
    <w:name w:val="标题6"/>
    <w:basedOn w:val="881"/>
    <w:uiPriority w:val="0"/>
    <w:qFormat/>
    <w:pPr>
      <w:numPr>
        <w:ilvl w:val="0"/>
        <w:numId w:val="5"/>
      </w:numPr>
      <w:ind w:firstLine="200"/>
      <w:jc w:val="both"/>
      <w:spacing w:before="145" w:after="145" w:line="360" w:lineRule="auto"/>
    </w:pPr>
    <w:rPr>
      <w:rFonts w:ascii="Times New Roman" w:hAnsi="Times New Roman" w:eastAsia="宋体" w:cs="Times New Roman"/>
      <w:b w:val="0"/>
      <w:szCs w:val="28"/>
      <w:lang w:val="en-US" w:bidi="ar-SA"/>
    </w:rPr>
  </w:style>
  <w:style w:type="paragraph" w:styleId="1312" w:customStyle="1">
    <w:name w:val="彩色列表 - 强调文字颜色 11"/>
    <w:basedOn w:val="876"/>
    <w:uiPriority w:val="0"/>
    <w:qFormat/>
    <w:pPr>
      <w:contextualSpacing/>
      <w:ind w:left="720" w:firstLine="562"/>
      <w:spacing w:before="100" w:after="100" w:line="276" w:lineRule="auto"/>
      <w:widowControl/>
    </w:pPr>
    <w:rPr>
      <w:rFonts w:ascii="Arial" w:hAnsi="Arial" w:cs="Arial"/>
      <w:color w:val="0f0f0f"/>
      <w:sz w:val="20"/>
      <w:szCs w:val="24"/>
      <w:lang w:val="en-US" w:eastAsia="en-US" w:bidi="ar-SA"/>
    </w:rPr>
  </w:style>
  <w:style w:type="paragraph" w:styleId="1313" w:customStyle="1">
    <w:name w:val="Normal2"/>
    <w:basedOn w:val="876"/>
    <w:uiPriority w:val="0"/>
    <w:qFormat/>
    <w:pPr>
      <w:ind w:firstLine="562"/>
      <w:jc w:val="both"/>
      <w:spacing w:line="360" w:lineRule="auto"/>
    </w:pPr>
    <w:rPr>
      <w:rFonts w:ascii="Calibri" w:hAnsi="Calibri" w:eastAsia="Calibri"/>
      <w:sz w:val="24"/>
      <w:szCs w:val="24"/>
      <w:lang w:bidi="ar-SA"/>
    </w:rPr>
  </w:style>
  <w:style w:type="paragraph" w:styleId="1314" w:customStyle="1">
    <w:name w:val="Char Char Char Char Char Char Char Char Char Char Char Char Char Char Char Char Char Char Char Char Char"/>
    <w:basedOn w:val="876"/>
    <w:uiPriority w:val="0"/>
    <w:qFormat/>
    <w:pPr>
      <w:ind w:firstLine="562"/>
      <w:jc w:val="both"/>
      <w:spacing w:line="360" w:lineRule="auto"/>
    </w:pPr>
    <w:rPr>
      <w:rFonts w:ascii="Tahoma" w:hAnsi="Tahoma" w:cs="Tahoma"/>
      <w:sz w:val="24"/>
      <w:szCs w:val="24"/>
      <w:lang w:val="en-US" w:bidi="ar-SA"/>
    </w:rPr>
  </w:style>
  <w:style w:type="paragraph" w:styleId="1315" w:customStyle="1">
    <w:name w:val="插图"/>
    <w:basedOn w:val="876"/>
    <w:uiPriority w:val="0"/>
    <w:qFormat/>
    <w:pPr>
      <w:ind w:firstLine="562"/>
      <w:jc w:val="center"/>
      <w:spacing w:line="360" w:lineRule="auto"/>
      <w:tabs>
        <w:tab w:val="left" w:pos="1620" w:leader="none"/>
      </w:tabs>
    </w:pPr>
    <w:rPr>
      <w:rFonts w:ascii="Times New Roman" w:hAnsi="Times New Roman" w:cs="Times New Roman"/>
      <w:bCs/>
      <w:color w:val="000000"/>
      <w:sz w:val="24"/>
      <w:lang w:val="en-US" w:bidi="ar-SA"/>
    </w:rPr>
  </w:style>
  <w:style w:type="paragraph" w:styleId="1316" w:customStyle="1">
    <w:name w:val="大标题"/>
    <w:basedOn w:val="876"/>
    <w:next w:val="876"/>
    <w:uiPriority w:val="0"/>
    <w:qFormat/>
    <w:pPr>
      <w:ind w:hanging="420"/>
      <w:jc w:val="both"/>
      <w:pageBreakBefore/>
      <w:spacing w:line="360" w:lineRule="auto"/>
      <w:tabs>
        <w:tab w:val="left" w:pos="420" w:leader="none"/>
      </w:tabs>
      <w:outlineLvl w:val="0"/>
    </w:pPr>
    <w:rPr>
      <w:rFonts w:ascii="Times New Roman" w:hAnsi="Times New Roman" w:cs="Times New Roman"/>
      <w:b/>
      <w:iCs/>
      <w:sz w:val="44"/>
      <w:szCs w:val="24"/>
      <w:lang w:val="en-US" w:bidi="ar-SA"/>
    </w:rPr>
  </w:style>
  <w:style w:type="paragraph" w:styleId="1317" w:customStyle="1">
    <w:name w:val="Test2"/>
    <w:basedOn w:val="878"/>
    <w:uiPriority w:val="0"/>
    <w:qFormat/>
    <w:pPr>
      <w:ind w:left="0" w:firstLine="562"/>
      <w:jc w:val="center"/>
      <w:keepLines/>
      <w:keepNext/>
      <w:spacing w:before="156" w:after="156" w:line="480" w:lineRule="exact"/>
      <w:widowControl/>
    </w:pPr>
    <w:rPr>
      <w:rFonts w:ascii="黑体" w:hAnsi="Arial" w:eastAsia="黑体" w:cs="Times New Roman"/>
      <w:sz w:val="24"/>
      <w:szCs w:val="24"/>
      <w:lang w:val="en-US" w:bidi="ar-SA"/>
    </w:rPr>
  </w:style>
  <w:style w:type="paragraph" w:styleId="1318" w:customStyle="1">
    <w:name w:val="xl39"/>
    <w:basedOn w:val="876"/>
    <w:uiPriority w:val="0"/>
    <w:qFormat/>
    <w:pPr>
      <w:ind w:firstLine="562"/>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sz w:val="24"/>
      <w:szCs w:val="24"/>
      <w:lang w:val="en-US" w:bidi="ar-SA"/>
    </w:rPr>
  </w:style>
  <w:style w:type="character" w:styleId="1319" w:customStyle="1">
    <w:name w:val="case31"/>
    <w:uiPriority w:val="0"/>
    <w:qFormat/>
    <w:rPr>
      <w:rFonts w:ascii="Times New Roman" w:hAnsi="Times New Roman" w:eastAsia="宋体" w:cs="Times New Roman"/>
      <w:sz w:val="21"/>
      <w:szCs w:val="21"/>
    </w:rPr>
  </w:style>
  <w:style w:type="paragraph" w:styleId="1320" w:customStyle="1">
    <w:name w:val="论文正文"/>
    <w:basedOn w:val="912"/>
    <w:uiPriority w:val="0"/>
    <w:qFormat/>
    <w:pPr>
      <w:ind w:left="0" w:firstLine="200"/>
      <w:jc w:val="left"/>
    </w:pPr>
    <w:rPr>
      <w:rFonts w:ascii="Times New Roman" w:hAnsi="Times New Roman" w:eastAsia="宋体" w:cs="Times New Roman"/>
      <w:sz w:val="28"/>
    </w:rPr>
  </w:style>
  <w:style w:type="character" w:styleId="1321" w:customStyle="1">
    <w:name w:val="l-selected"/>
    <w:uiPriority w:val="0"/>
    <w:qFormat/>
    <w:rPr>
      <w:rFonts w:ascii="Times New Roman" w:hAnsi="Times New Roman" w:eastAsia="宋体" w:cs="Times New Roman"/>
      <w:color w:val="355686"/>
      <w:shd w:val="clear" w:color="auto" w:fill="ffffff"/>
    </w:rPr>
  </w:style>
  <w:style w:type="paragraph" w:styleId="1322" w:customStyle="1">
    <w:name w:val="样式"/>
    <w:basedOn w:val="876"/>
    <w:uiPriority w:val="0"/>
    <w:qFormat/>
    <w:pPr>
      <w:ind w:firstLine="562"/>
      <w:jc w:val="both"/>
      <w:spacing w:before="120" w:after="120" w:line="360" w:lineRule="auto"/>
    </w:pPr>
    <w:rPr>
      <w:rFonts w:hAnsi="Times New Roman" w:cs="Times New Roman"/>
      <w:sz w:val="24"/>
      <w:szCs w:val="24"/>
      <w:lang w:val="en-US" w:bidi="ar-SA"/>
    </w:rPr>
  </w:style>
  <w:style w:type="paragraph" w:styleId="1323" w:customStyle="1">
    <w:name w:val="段"/>
    <w:next w:val="876"/>
    <w:uiPriority w:val="0"/>
    <w:qFormat/>
    <w:pPr>
      <w:ind w:firstLine="200"/>
      <w:jc w:val="both"/>
    </w:pPr>
    <w:rPr>
      <w:rFonts w:ascii="宋体" w:hAnsi="Times New Roman" w:eastAsia="宋体" w:cs="Times New Roman"/>
      <w:sz w:val="21"/>
      <w:lang w:val="en-US" w:eastAsia="zh-CN" w:bidi="ar-SA"/>
    </w:rPr>
  </w:style>
  <w:style w:type="paragraph" w:styleId="1324" w:customStyle="1">
    <w:name w:val="段落"/>
    <w:basedOn w:val="876"/>
    <w:uiPriority w:val="0"/>
    <w:qFormat/>
    <w:pPr>
      <w:ind w:firstLine="480"/>
      <w:jc w:val="both"/>
      <w:spacing w:line="460" w:lineRule="exact"/>
    </w:pPr>
    <w:rPr>
      <w:rFonts w:ascii="Times New Roman" w:hAnsi="Times New Roman" w:cs="Times New Roman"/>
      <w:sz w:val="24"/>
      <w:szCs w:val="24"/>
      <w:lang w:val="en-US" w:bidi="ar-SA"/>
    </w:rPr>
  </w:style>
  <w:style w:type="paragraph" w:styleId="1325" w:customStyle="1">
    <w:name w:val="xl29"/>
    <w:basedOn w:val="876"/>
    <w:uiPriority w:val="0"/>
    <w:qFormat/>
    <w:pPr>
      <w:ind w:firstLine="562"/>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sz w:val="20"/>
      <w:szCs w:val="24"/>
      <w:lang w:val="en-US" w:bidi="ar-SA"/>
    </w:rPr>
  </w:style>
  <w:style w:type="character" w:styleId="1326" w:customStyle="1">
    <w:name w:val="纯文本 Char Char"/>
    <w:uiPriority w:val="0"/>
    <w:qFormat/>
    <w:rPr>
      <w:rFonts w:ascii="宋体" w:hAnsi="Courier New" w:eastAsia="宋体" w:cs="Times New Roman"/>
      <w:sz w:val="21"/>
      <w:szCs w:val="21"/>
      <w:lang w:val="en-US" w:eastAsia="zh-CN" w:bidi="ar-SA"/>
    </w:rPr>
  </w:style>
  <w:style w:type="paragraph" w:styleId="1327" w:customStyle="1">
    <w:name w:val="Default Text"/>
    <w:basedOn w:val="876"/>
    <w:uiPriority w:val="0"/>
    <w:qFormat/>
    <w:pPr>
      <w:ind w:firstLine="562"/>
      <w:spacing w:line="360" w:lineRule="auto"/>
      <w:widowControl/>
    </w:pPr>
    <w:rPr>
      <w:rFonts w:ascii="Times New Roman" w:hAnsi="Times New Roman" w:cs="Times New Roman"/>
      <w:sz w:val="24"/>
      <w:szCs w:val="24"/>
      <w:lang w:val="en-US" w:eastAsia="en-US" w:bidi="ar-SA"/>
    </w:rPr>
  </w:style>
  <w:style w:type="character" w:styleId="1328" w:customStyle="1">
    <w:name w:val="title_emph1"/>
    <w:uiPriority w:val="0"/>
    <w:qFormat/>
    <w:rPr>
      <w:rFonts w:ascii="Arial" w:hAnsi="Times New Roman" w:eastAsia="宋体" w:cs="Arial"/>
      <w:b/>
      <w:bCs/>
      <w:sz w:val="18"/>
      <w:szCs w:val="18"/>
    </w:rPr>
  </w:style>
  <w:style w:type="paragraph" w:styleId="1329" w:customStyle="1">
    <w:name w:val="p0"/>
    <w:basedOn w:val="876"/>
    <w:uiPriority w:val="0"/>
    <w:qFormat/>
    <w:pPr>
      <w:ind w:firstLine="562"/>
      <w:spacing w:before="100" w:beforeAutospacing="1" w:after="100" w:afterAutospacing="1" w:line="360" w:lineRule="auto"/>
      <w:widowControl/>
    </w:pPr>
    <w:rPr>
      <w:sz w:val="24"/>
      <w:szCs w:val="24"/>
      <w:lang w:val="en-US" w:bidi="ar-SA"/>
    </w:rPr>
  </w:style>
  <w:style w:type="character" w:styleId="1330" w:customStyle="1">
    <w:name w:val="列出段落 Char"/>
    <w:link w:val="1130"/>
    <w:uiPriority w:val="0"/>
    <w:qFormat/>
    <w:rPr>
      <w:rFonts w:ascii="宋体" w:hAnsi="宋体" w:cs="宋体"/>
      <w:sz w:val="22"/>
      <w:szCs w:val="22"/>
      <w:lang w:val="zh-CN" w:bidi="zh-CN"/>
    </w:rPr>
  </w:style>
  <w:style w:type="paragraph" w:styleId="1331" w:customStyle="1">
    <w:name w:val="xl48"/>
    <w:basedOn w:val="876"/>
    <w:uiPriority w:val="0"/>
    <w:qFormat/>
    <w:pPr>
      <w:ind w:firstLine="562"/>
      <w:jc w:val="center"/>
      <w:spacing w:before="100" w:beforeAutospacing="1" w:after="100" w:afterAutospacing="1" w:line="360" w:lineRule="auto"/>
      <w:widowControl/>
      <w:pBdr>
        <w:top w:val="single" w:color="auto" w:sz="4" w:space="0"/>
        <w:left w:val="single" w:color="auto" w:sz="4" w:space="0"/>
        <w:right w:val="single" w:color="auto" w:sz="4" w:space="0"/>
      </w:pBdr>
    </w:pPr>
    <w:rPr>
      <w:rFonts w:ascii="Times New Roman" w:hAnsi="Times New Roman" w:cs="Times New Roman"/>
      <w:b/>
      <w:bCs/>
      <w:sz w:val="20"/>
      <w:szCs w:val="24"/>
      <w:lang w:val="en-US" w:bidi="ar-SA"/>
    </w:rPr>
  </w:style>
  <w:style w:type="character" w:styleId="1332" w:customStyle="1">
    <w:name w:val="2nd level Char"/>
    <w:uiPriority w:val="0"/>
    <w:qFormat/>
    <w:rPr>
      <w:rFonts w:ascii="Arial" w:hAnsi="Arial" w:eastAsia="黑体" w:cs="Times New Roman"/>
      <w:b/>
      <w:bCs/>
      <w:sz w:val="32"/>
      <w:szCs w:val="32"/>
      <w:lang w:val="en-US" w:eastAsia="zh-CN" w:bidi="ar-SA"/>
    </w:rPr>
  </w:style>
  <w:style w:type="character" w:styleId="1333" w:customStyle="1">
    <w:name w:val="Char Char21"/>
    <w:uiPriority w:val="0"/>
    <w:qFormat/>
    <w:rPr>
      <w:rFonts w:ascii="Arial" w:hAnsi="Arial" w:eastAsia="黑体" w:cs="Times New Roman"/>
      <w:sz w:val="24"/>
      <w:szCs w:val="24"/>
    </w:rPr>
  </w:style>
  <w:style w:type="paragraph" w:styleId="1334" w:customStyle="1">
    <w:name w:val="样式4 Char"/>
    <w:basedOn w:val="876"/>
    <w:uiPriority w:val="0"/>
    <w:qFormat/>
    <w:pPr>
      <w:ind w:firstLine="480"/>
      <w:spacing w:line="360" w:lineRule="auto"/>
      <w:widowControl/>
    </w:pPr>
    <w:rPr>
      <w:rFonts w:ascii="Times New Roman" w:hAnsi="Times New Roman"/>
      <w:color w:val="000000"/>
      <w:sz w:val="24"/>
      <w:szCs w:val="24"/>
      <w:lang w:val="en-US" w:bidi="ar-SA"/>
    </w:rPr>
  </w:style>
  <w:style w:type="paragraph" w:styleId="1335" w:customStyle="1">
    <w:name w:val="xl38"/>
    <w:basedOn w:val="876"/>
    <w:uiPriority w:val="0"/>
    <w:qFormat/>
    <w:pPr>
      <w:ind w:firstLine="562"/>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b/>
      <w:bCs/>
      <w:sz w:val="20"/>
      <w:szCs w:val="24"/>
      <w:lang w:val="en-US" w:bidi="ar-SA"/>
    </w:rPr>
  </w:style>
  <w:style w:type="paragraph" w:styleId="1336" w:customStyle="1">
    <w:name w:val="_Style 317"/>
    <w:uiPriority w:val="0"/>
    <w:qFormat/>
    <w:rPr>
      <w:rFonts w:ascii="Times New Roman" w:hAnsi="Times New Roman" w:eastAsia="宋体" w:cs="Times New Roman"/>
      <w:sz w:val="21"/>
      <w:szCs w:val="24"/>
      <w:lang w:val="en-US" w:eastAsia="zh-CN" w:bidi="ar-SA"/>
    </w:rPr>
  </w:style>
  <w:style w:type="paragraph" w:styleId="1337" w:customStyle="1">
    <w:name w:val="Char Char Char Char Char"/>
    <w:basedOn w:val="876"/>
    <w:uiPriority w:val="0"/>
    <w:qFormat/>
    <w:pPr>
      <w:ind w:firstLine="562"/>
      <w:jc w:val="both"/>
      <w:spacing w:line="360" w:lineRule="auto"/>
    </w:pPr>
    <w:rPr>
      <w:rFonts w:ascii="Tahoma" w:hAnsi="Tahoma" w:cs="Tahoma"/>
      <w:sz w:val="24"/>
      <w:szCs w:val="24"/>
      <w:lang w:val="en-US" w:bidi="ar-SA"/>
    </w:rPr>
  </w:style>
  <w:style w:type="character" w:styleId="1338" w:customStyle="1">
    <w:name w:val="标题 Char1"/>
    <w:uiPriority w:val="0"/>
    <w:qFormat/>
    <w:rPr>
      <w:rFonts w:ascii="Cambria" w:hAnsi="Times New Roman" w:eastAsia="宋体" w:cs="Times New Roman"/>
      <w:b/>
      <w:bCs/>
      <w:sz w:val="32"/>
      <w:szCs w:val="32"/>
    </w:rPr>
  </w:style>
  <w:style w:type="paragraph" w:styleId="1339" w:customStyle="1">
    <w:name w:val="A."/>
    <w:basedOn w:val="876"/>
    <w:uiPriority w:val="0"/>
    <w:qFormat/>
    <w:pPr>
      <w:ind w:left="5245" w:hanging="1985"/>
      <w:jc w:val="both"/>
      <w:spacing w:before="240" w:line="240" w:lineRule="atLeast"/>
      <w:widowControl/>
      <w:tabs>
        <w:tab w:val="left" w:pos="680" w:leader="none"/>
        <w:tab w:val="left" w:pos="5245" w:leader="none"/>
      </w:tabs>
    </w:pPr>
    <w:rPr>
      <w:rFonts w:ascii="Times New Roman" w:hAnsi="Times New Roman" w:eastAsia="Times New Roman" w:cs="Times New Roman"/>
      <w:sz w:val="24"/>
      <w:szCs w:val="24"/>
      <w:lang w:val="en-US" w:bidi="ar-SA"/>
    </w:rPr>
  </w:style>
  <w:style w:type="character" w:styleId="1340" w:customStyle="1">
    <w:name w:val="小四 段落 宋体 Char Char Char1"/>
    <w:uiPriority w:val="0"/>
    <w:qFormat/>
    <w:rPr>
      <w:rFonts w:ascii="宋体" w:hAnsi="宋体" w:eastAsia="宋体" w:cs="Times New Roman"/>
      <w:sz w:val="24"/>
      <w:szCs w:val="24"/>
      <w:lang w:val="en-US" w:eastAsia="zh-CN" w:bidi="ar-SA"/>
    </w:rPr>
  </w:style>
  <w:style w:type="character" w:styleId="1341" w:customStyle="1">
    <w:name w:val="point_normal1"/>
    <w:uiPriority w:val="0"/>
    <w:qFormat/>
    <w:rPr>
      <w:rFonts w:hint="default" w:ascii="Arial" w:hAnsi="Arial" w:eastAsia="宋体" w:cs="Arial"/>
      <w:sz w:val="18"/>
      <w:szCs w:val="18"/>
    </w:rPr>
  </w:style>
  <w:style w:type="character" w:styleId="1342" w:customStyle="1">
    <w:name w:val="纯文本 Char Char Char"/>
    <w:uiPriority w:val="0"/>
    <w:qFormat/>
    <w:rPr>
      <w:rFonts w:ascii="宋体" w:hAnsi="Courier New" w:eastAsia="宋体" w:cs="Times New Roman"/>
      <w:sz w:val="21"/>
      <w:szCs w:val="21"/>
      <w:lang w:val="en-US" w:eastAsia="zh-CN" w:bidi="ar-SA"/>
    </w:rPr>
  </w:style>
  <w:style w:type="character" w:styleId="1343"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ascii="Times New Roman" w:hAnsi="Times New Roman" w:eastAsia="宋体" w:cs="Times New Roman"/>
      <w:b/>
      <w:bCs/>
      <w:sz w:val="32"/>
      <w:szCs w:val="32"/>
      <w:lang w:val="en-US" w:eastAsia="zh-CN" w:bidi="ar-SA"/>
    </w:rPr>
  </w:style>
  <w:style w:type="paragraph" w:styleId="1344" w:customStyle="1">
    <w:name w:val="xl45"/>
    <w:basedOn w:val="876"/>
    <w:uiPriority w:val="0"/>
    <w:qFormat/>
    <w:pPr>
      <w:ind w:firstLine="562"/>
      <w:jc w:val="center"/>
      <w:spacing w:before="100" w:beforeAutospacing="1" w:after="100" w:afterAutospacing="1" w:line="360" w:lineRule="auto"/>
      <w:widowControl/>
      <w:pBdr>
        <w:left w:val="single" w:color="auto" w:sz="4" w:space="0"/>
        <w:right w:val="single" w:color="auto" w:sz="4" w:space="0"/>
      </w:pBdr>
    </w:pPr>
    <w:rPr>
      <w:b/>
      <w:bCs/>
      <w:sz w:val="20"/>
      <w:szCs w:val="24"/>
      <w:lang w:val="en-US" w:bidi="ar-SA"/>
    </w:rPr>
  </w:style>
  <w:style w:type="character" w:styleId="1345" w:customStyle="1">
    <w:name w:val="Char Char27"/>
    <w:uiPriority w:val="0"/>
    <w:qFormat/>
    <w:rPr>
      <w:rFonts w:ascii="Times New Roman" w:hAnsi="Times New Roman" w:eastAsia="宋体" w:cs="Times New Roman"/>
      <w:b/>
      <w:bCs/>
      <w:sz w:val="44"/>
      <w:szCs w:val="44"/>
    </w:rPr>
  </w:style>
  <w:style w:type="paragraph" w:styleId="1346" w:customStyle="1">
    <w:name w:val="Char Char Char Char Char Char Char1 Char"/>
    <w:basedOn w:val="876"/>
    <w:uiPriority w:val="0"/>
    <w:qFormat/>
    <w:pPr>
      <w:ind w:firstLine="562"/>
      <w:jc w:val="both"/>
      <w:spacing w:line="360" w:lineRule="auto"/>
    </w:pPr>
    <w:rPr>
      <w:rFonts w:ascii="Tahoma" w:hAnsi="Tahoma" w:cs="Tahoma"/>
      <w:sz w:val="24"/>
      <w:szCs w:val="24"/>
      <w:lang w:val="en-US" w:bidi="ar-SA"/>
    </w:rPr>
  </w:style>
  <w:style w:type="paragraph" w:styleId="1347" w:customStyle="1">
    <w:name w:val="xl30"/>
    <w:basedOn w:val="876"/>
    <w:uiPriority w:val="0"/>
    <w:qFormat/>
    <w:pPr>
      <w:ind w:firstLine="562"/>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sz w:val="20"/>
      <w:szCs w:val="24"/>
      <w:lang w:val="en-US" w:bidi="ar-SA"/>
    </w:rPr>
  </w:style>
  <w:style w:type="paragraph" w:styleId="1348" w:customStyle="1">
    <w:name w:val="[Normal]"/>
    <w:uiPriority w:val="0"/>
    <w:qFormat/>
    <w:rPr>
      <w:rFonts w:ascii="方正仿宋简体" w:hAnsi="方正仿宋简体" w:eastAsia="方正仿宋简体" w:cs="Courier New"/>
      <w:sz w:val="24"/>
      <w:szCs w:val="22"/>
      <w:lang w:val="zh-CN" w:eastAsia="zh-CN" w:bidi="ar-SA"/>
    </w:rPr>
  </w:style>
  <w:style w:type="paragraph" w:styleId="1349" w:customStyle="1">
    <w:name w:val="符号与编号 Char"/>
    <w:basedOn w:val="876"/>
    <w:uiPriority w:val="0"/>
    <w:qFormat/>
    <w:pPr>
      <w:ind w:left="720" w:firstLine="562"/>
      <w:jc w:val="both"/>
      <w:spacing w:after="156" w:line="400" w:lineRule="atLeast"/>
      <w:tabs>
        <w:tab w:val="left" w:pos="720" w:leader="none"/>
      </w:tabs>
    </w:pPr>
    <w:rPr>
      <w:rFonts w:ascii="Times New Roman" w:hAnsi="Times New Roman" w:cs="Times New Roman"/>
      <w:sz w:val="24"/>
      <w:szCs w:val="24"/>
      <w:lang w:val="en-US" w:bidi="ar-SA"/>
    </w:rPr>
  </w:style>
  <w:style w:type="paragraph" w:styleId="1350" w:customStyle="1">
    <w:name w:val="xl24"/>
    <w:basedOn w:val="876"/>
    <w:uiPriority w:val="0"/>
    <w:qFormat/>
    <w:pPr>
      <w:ind w:firstLine="562"/>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b/>
      <w:bCs/>
      <w:sz w:val="20"/>
      <w:szCs w:val="24"/>
      <w:lang w:val="en-US" w:bidi="ar-SA"/>
    </w:rPr>
  </w:style>
  <w:style w:type="character" w:styleId="1351" w:customStyle="1">
    <w:name w:val="_Style 188"/>
    <w:uiPriority w:val="0"/>
    <w:qFormat/>
    <w:rPr>
      <w:rFonts w:ascii="Times New Roman" w:hAnsi="Times New Roman" w:eastAsia="宋体" w:cs="Times New Roman"/>
      <w:b/>
      <w:bCs/>
    </w:rPr>
  </w:style>
  <w:style w:type="paragraph" w:styleId="1352" w:customStyle="1">
    <w:name w:val="正文文本 21"/>
    <w:basedOn w:val="876"/>
    <w:uiPriority w:val="0"/>
    <w:qFormat/>
    <w:pPr>
      <w:ind w:left="720" w:hanging="720"/>
      <w:jc w:val="both"/>
      <w:spacing w:line="360" w:lineRule="auto"/>
      <w:widowControl/>
    </w:pPr>
    <w:rPr>
      <w:rFonts w:ascii="Times New Roman" w:hAnsi="Times New Roman" w:cs="Times New Roman"/>
      <w:sz w:val="24"/>
      <w:szCs w:val="24"/>
      <w:lang w:val="en-GB" w:bidi="ar-SA"/>
    </w:rPr>
  </w:style>
  <w:style w:type="paragraph" w:styleId="1353"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354" w:customStyle="1">
    <w:name w:val="样式 样式 首行缩进:  2 字符 + 行距: 1.5 倍行距"/>
    <w:basedOn w:val="876"/>
    <w:uiPriority w:val="0"/>
    <w:qFormat/>
    <w:pPr>
      <w:ind w:firstLine="470"/>
      <w:jc w:val="both"/>
      <w:spacing w:line="360" w:lineRule="auto"/>
    </w:pPr>
    <w:rPr>
      <w:rFonts w:ascii="Times New Roman" w:hAnsi="Times New Roman" w:cs="Times New Roman"/>
      <w:sz w:val="24"/>
      <w:szCs w:val="24"/>
      <w:lang w:val="en-US" w:bidi="ar-SA"/>
    </w:rPr>
  </w:style>
  <w:style w:type="character" w:styleId="1355" w:customStyle="1">
    <w:name w:val="content_lineheight1"/>
    <w:uiPriority w:val="0"/>
    <w:qFormat/>
    <w:rPr>
      <w:rFonts w:ascii="Times New Roman" w:hAnsi="Times New Roman" w:eastAsia="宋体" w:cs="Times New Roman"/>
    </w:rPr>
  </w:style>
  <w:style w:type="paragraph" w:styleId="1356" w:customStyle="1">
    <w:name w:val="font6"/>
    <w:basedOn w:val="876"/>
    <w:uiPriority w:val="0"/>
    <w:qFormat/>
    <w:pPr>
      <w:ind w:firstLine="562"/>
      <w:spacing w:before="100" w:beforeAutospacing="1" w:after="100" w:afterAutospacing="1" w:line="360" w:lineRule="auto"/>
      <w:widowControl/>
    </w:pPr>
    <w:rPr>
      <w:b/>
      <w:bCs/>
      <w:sz w:val="20"/>
      <w:szCs w:val="24"/>
      <w:lang w:val="en-US" w:bidi="ar-SA"/>
    </w:rPr>
  </w:style>
  <w:style w:type="paragraph" w:styleId="1357" w:customStyle="1">
    <w:name w:val="font7"/>
    <w:basedOn w:val="876"/>
    <w:uiPriority w:val="0"/>
    <w:qFormat/>
    <w:pPr>
      <w:ind w:firstLine="562"/>
      <w:spacing w:before="100" w:beforeAutospacing="1" w:after="100" w:afterAutospacing="1" w:line="360" w:lineRule="auto"/>
      <w:widowControl/>
    </w:pPr>
    <w:rPr>
      <w:rFonts w:hint="eastAsia" w:cs="Times New Roman"/>
      <w:b/>
      <w:bCs/>
      <w:sz w:val="24"/>
      <w:szCs w:val="24"/>
      <w:lang w:val="en-US" w:bidi="ar-SA"/>
    </w:rPr>
  </w:style>
  <w:style w:type="character" w:styleId="1358" w:customStyle="1">
    <w:name w:val="￥正文 Char"/>
    <w:link w:val="1219"/>
    <w:uiPriority w:val="0"/>
    <w:qFormat/>
    <w:rPr>
      <w:rFonts w:ascii="宋体" w:hAnsi="宋体" w:cs="宋体"/>
      <w:sz w:val="24"/>
      <w:szCs w:val="24"/>
    </w:rPr>
  </w:style>
  <w:style w:type="paragraph" w:styleId="1359" w:customStyle="1">
    <w:name w:val="项目符号：一级"/>
    <w:basedOn w:val="1240"/>
    <w:next w:val="1240"/>
    <w:uiPriority w:val="0"/>
    <w:qFormat/>
    <w:pPr>
      <w:ind w:right="-134"/>
    </w:pPr>
    <w:rPr>
      <w:rFonts w:ascii="Times New Roman" w:hAnsi="Times New Roman"/>
      <w:bCs w:val="0"/>
    </w:rPr>
  </w:style>
  <w:style w:type="paragraph" w:styleId="1360" w:customStyle="1">
    <w:name w:val="xl56"/>
    <w:basedOn w:val="876"/>
    <w:uiPriority w:val="0"/>
    <w:qFormat/>
    <w:pPr>
      <w:ind w:firstLine="562"/>
      <w:jc w:val="center"/>
      <w:spacing w:before="100" w:beforeAutospacing="1" w:after="100" w:afterAutospacing="1" w:line="360" w:lineRule="auto"/>
      <w:shd w:val="clear" w:color="auto" w:fill="969696"/>
      <w:widowControl/>
      <w:pBdr>
        <w:top w:val="single" w:color="auto" w:sz="4" w:space="0"/>
        <w:bottom w:val="single" w:color="auto" w:sz="4" w:space="0"/>
        <w:right w:val="single" w:color="auto" w:sz="4" w:space="0"/>
      </w:pBdr>
    </w:pPr>
    <w:rPr>
      <w:rFonts w:ascii="Times New Roman" w:hAnsi="Times New Roman" w:cs="Times New Roman"/>
      <w:b/>
      <w:bCs/>
      <w:sz w:val="20"/>
      <w:szCs w:val="24"/>
      <w:lang w:val="en-US" w:bidi="ar-SA"/>
    </w:rPr>
  </w:style>
  <w:style w:type="character" w:styleId="1361" w:customStyle="1">
    <w:name w:val="ih151"/>
    <w:uiPriority w:val="0"/>
    <w:qFormat/>
    <w:rPr>
      <w:rFonts w:ascii="Times New Roman" w:hAnsi="Times New Roman" w:eastAsia="宋体" w:cs="Times New Roman"/>
      <w:color w:val="666666"/>
      <w:sz w:val="18"/>
      <w:szCs w:val="18"/>
      <w:u w:val="none"/>
    </w:rPr>
  </w:style>
  <w:style w:type="paragraph" w:styleId="1362" w:customStyle="1">
    <w:name w:val="Char Char1 Char Char Char Char Char Char Char"/>
    <w:basedOn w:val="876"/>
    <w:uiPriority w:val="0"/>
    <w:qFormat/>
    <w:pPr>
      <w:ind w:firstLine="562"/>
      <w:jc w:val="both"/>
      <w:spacing w:line="360" w:lineRule="auto"/>
    </w:pPr>
    <w:rPr>
      <w:rFonts w:ascii="Tahoma" w:hAnsi="Tahoma" w:cs="Tahoma"/>
      <w:sz w:val="24"/>
      <w:szCs w:val="24"/>
      <w:lang w:val="en-US" w:bidi="ar-SA"/>
    </w:rPr>
  </w:style>
  <w:style w:type="paragraph" w:styleId="1363" w:customStyle="1">
    <w:name w:val="样式 标题 2第一章 标题 2Heading 2 HiddenHeading 2 CCBSheading 2H2h2..."/>
    <w:basedOn w:val="878"/>
    <w:uiPriority w:val="0"/>
    <w:qFormat/>
    <w:pPr>
      <w:ind w:left="360" w:hanging="360"/>
      <w:jc w:val="center"/>
      <w:keepNext/>
      <w:spacing w:before="156" w:after="156" w:line="360" w:lineRule="auto"/>
      <w:tabs>
        <w:tab w:val="left" w:pos="360" w:leader="none"/>
      </w:tabs>
    </w:pPr>
    <w:rPr>
      <w:rFonts w:ascii="黑体" w:hAnsi="Times New Roman" w:eastAsia="黑体"/>
      <w:b w:val="0"/>
      <w:bCs w:val="0"/>
      <w:szCs w:val="20"/>
      <w:lang w:val="en-US" w:bidi="ar-SA"/>
    </w:rPr>
  </w:style>
  <w:style w:type="character" w:styleId="1364" w:customStyle="1">
    <w:name w:val="l-open"/>
    <w:uiPriority w:val="0"/>
    <w:qFormat/>
    <w:rPr>
      <w:rFonts w:ascii="Times New Roman" w:hAnsi="Times New Roman" w:eastAsia="宋体" w:cs="Times New Roman"/>
    </w:rPr>
  </w:style>
  <w:style w:type="paragraph" w:styleId="1365" w:customStyle="1">
    <w:name w:val="font14"/>
    <w:basedOn w:val="876"/>
    <w:uiPriority w:val="0"/>
    <w:qFormat/>
    <w:pPr>
      <w:ind w:firstLine="562"/>
      <w:spacing w:before="100" w:beforeAutospacing="1" w:after="100" w:afterAutospacing="1" w:line="360" w:lineRule="auto"/>
      <w:widowControl/>
    </w:pPr>
    <w:rPr>
      <w:rFonts w:ascii="Times New Roman" w:hAnsi="Times New Roman" w:cs="Times New Roman"/>
      <w:sz w:val="36"/>
      <w:szCs w:val="36"/>
      <w:lang w:val="en-US" w:bidi="ar-SA"/>
    </w:rPr>
  </w:style>
  <w:style w:type="paragraph" w:styleId="1366" w:customStyle="1">
    <w:name w:val="xl53"/>
    <w:basedOn w:val="876"/>
    <w:uiPriority w:val="0"/>
    <w:qFormat/>
    <w:pPr>
      <w:ind w:firstLine="562"/>
      <w:jc w:val="center"/>
      <w:spacing w:before="100" w:beforeAutospacing="1" w:after="100" w:afterAutospacing="1" w:line="360" w:lineRule="auto"/>
      <w:shd w:val="clear" w:color="auto" w:fill="969696"/>
      <w:widowControl/>
      <w:pBdr>
        <w:top w:val="single" w:color="auto" w:sz="4" w:space="0"/>
        <w:bottom w:val="single" w:color="auto" w:sz="4" w:space="0"/>
        <w:right w:val="single" w:color="auto" w:sz="4" w:space="0"/>
      </w:pBdr>
    </w:pPr>
    <w:rPr>
      <w:rFonts w:ascii="Times New Roman" w:hAnsi="Times New Roman" w:cs="Times New Roman"/>
      <w:b/>
      <w:bCs/>
      <w:i/>
      <w:iCs/>
      <w:sz w:val="20"/>
      <w:szCs w:val="24"/>
      <w:lang w:val="en-US" w:bidi="ar-SA"/>
    </w:rPr>
  </w:style>
  <w:style w:type="paragraph" w:styleId="1367" w:customStyle="1">
    <w:name w:val="样式 小四 行距: 固定值 25 磅8"/>
    <w:basedOn w:val="876"/>
    <w:next w:val="876"/>
    <w:uiPriority w:val="0"/>
    <w:qFormat/>
    <w:pPr>
      <w:ind w:firstLine="464"/>
      <w:jc w:val="both"/>
      <w:spacing w:line="500" w:lineRule="exact"/>
    </w:pPr>
    <w:rPr>
      <w:rFonts w:ascii="Times New Roman" w:hAnsi="Times New Roman"/>
      <w:sz w:val="24"/>
      <w:szCs w:val="24"/>
      <w:lang w:val="en-US" w:bidi="ar-SA"/>
    </w:rPr>
  </w:style>
  <w:style w:type="paragraph" w:styleId="1368" w:customStyle="1">
    <w:name w:val="xl40"/>
    <w:basedOn w:val="876"/>
    <w:uiPriority w:val="0"/>
    <w:qFormat/>
    <w:pPr>
      <w:ind w:firstLine="562"/>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sz w:val="20"/>
      <w:szCs w:val="24"/>
      <w:lang w:val="en-US" w:bidi="ar-SA"/>
    </w:rPr>
  </w:style>
  <w:style w:type="paragraph" w:styleId="1369" w:customStyle="1">
    <w:name w:val="样式 标题 3H3sect1.2.3BOD 0Heading 3 - oldh3l3CTLevel 3 Head..."/>
    <w:basedOn w:val="879"/>
    <w:uiPriority w:val="0"/>
    <w:qFormat/>
    <w:pPr>
      <w:ind w:left="0" w:firstLine="562"/>
      <w:keepLines/>
      <w:keepNext/>
      <w:spacing w:before="156" w:after="156" w:line="390" w:lineRule="atLeast"/>
      <w:shd w:val="clear" w:color="auto" w:fill="ffffff"/>
    </w:pPr>
    <w:rPr>
      <w:rFonts w:ascii="Times New Roman" w:hAnsi="Times New Roman"/>
      <w:b/>
      <w:bCs/>
      <w:sz w:val="30"/>
      <w:szCs w:val="21"/>
      <w:lang w:val="en-US" w:bidi="ar-SA"/>
    </w:rPr>
  </w:style>
  <w:style w:type="character" w:styleId="1370" w:customStyle="1">
    <w:name w:val="Char Char2"/>
    <w:uiPriority w:val="0"/>
    <w:qFormat/>
    <w:rPr>
      <w:rFonts w:ascii="宋体" w:hAnsi="Courier New" w:eastAsia="宋体" w:cs="Times New Roman"/>
      <w:sz w:val="21"/>
      <w:szCs w:val="21"/>
      <w:lang w:val="en-US" w:eastAsia="zh-CN" w:bidi="ar-SA"/>
    </w:rPr>
  </w:style>
  <w:style w:type="paragraph" w:styleId="1371" w:customStyle="1">
    <w:name w:val="普通正文"/>
    <w:basedOn w:val="876"/>
    <w:uiPriority w:val="0"/>
    <w:qFormat/>
    <w:pPr>
      <w:ind w:firstLine="480"/>
      <w:spacing w:line="360" w:lineRule="auto"/>
    </w:pPr>
    <w:rPr>
      <w:rFonts w:ascii="Arial" w:hAnsi="Arial" w:cs="Times New Roman"/>
      <w:sz w:val="24"/>
      <w:szCs w:val="24"/>
      <w:lang w:val="en-US" w:bidi="ar-SA"/>
    </w:rPr>
  </w:style>
  <w:style w:type="paragraph" w:styleId="1372" w:customStyle="1">
    <w:name w:val="正文1"/>
    <w:basedOn w:val="876"/>
    <w:next w:val="876"/>
    <w:uiPriority w:val="0"/>
    <w:qFormat/>
    <w:pPr>
      <w:ind w:firstLine="510"/>
      <w:jc w:val="both"/>
      <w:spacing w:before="156" w:line="360" w:lineRule="auto"/>
    </w:pPr>
    <w:rPr>
      <w:rFonts w:ascii="Times New Roman" w:hAnsi="Times New Roman" w:cs="Times New Roman"/>
      <w:sz w:val="24"/>
      <w:szCs w:val="24"/>
      <w:lang w:val="en-US" w:bidi="ar-SA"/>
    </w:rPr>
  </w:style>
  <w:style w:type="character" w:styleId="1373" w:customStyle="1">
    <w:name w:val="特点 Char1"/>
    <w:uiPriority w:val="0"/>
    <w:qFormat/>
    <w:rPr>
      <w:rFonts w:ascii="Times New Roman" w:hAnsi="Times New Roman" w:eastAsia="宋体" w:cs="Times New Roman"/>
      <w:sz w:val="21"/>
      <w:lang w:val="en-US" w:eastAsia="zh-CN" w:bidi="ar-SA"/>
    </w:rPr>
  </w:style>
  <w:style w:type="paragraph" w:styleId="1374"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character" w:styleId="1375" w:customStyle="1">
    <w:name w:val="_Style 150"/>
    <w:uiPriority w:val="0"/>
    <w:qFormat/>
    <w:rPr>
      <w:rFonts w:ascii="Times New Roman" w:hAnsi="Times New Roman" w:eastAsia="宋体" w:cs="Times New Roman"/>
      <w:i/>
      <w:iCs/>
    </w:rPr>
  </w:style>
  <w:style w:type="paragraph" w:styleId="1376" w:customStyle="1">
    <w:name w:val="小四 段落 宋体 Char Char"/>
    <w:basedOn w:val="876"/>
    <w:uiPriority w:val="0"/>
    <w:qFormat/>
    <w:pPr>
      <w:ind w:firstLine="480"/>
      <w:jc w:val="both"/>
      <w:spacing w:line="360" w:lineRule="auto"/>
    </w:pPr>
    <w:rPr>
      <w:rFonts w:cs="Times New Roman"/>
      <w:sz w:val="24"/>
      <w:szCs w:val="24"/>
      <w:lang w:val="en-US" w:bidi="ar-SA"/>
    </w:rPr>
  </w:style>
  <w:style w:type="paragraph" w:styleId="1377" w:customStyle="1">
    <w:name w:val="xl37"/>
    <w:basedOn w:val="876"/>
    <w:uiPriority w:val="0"/>
    <w:qFormat/>
    <w:pPr>
      <w:ind w:firstLine="562"/>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b/>
      <w:bCs/>
      <w:i/>
      <w:iCs/>
      <w:sz w:val="20"/>
      <w:szCs w:val="24"/>
      <w:lang w:val="en-US" w:bidi="ar-SA"/>
    </w:rPr>
  </w:style>
  <w:style w:type="paragraph" w:styleId="1378" w:customStyle="1">
    <w:name w:val="Char Char1 Char Char Char Char"/>
    <w:basedOn w:val="896"/>
    <w:uiPriority w:val="0"/>
    <w:qFormat/>
    <w:pPr>
      <w:ind w:left="357"/>
      <w:jc w:val="left"/>
      <w:spacing w:line="436" w:lineRule="exact"/>
      <w:outlineLvl w:val="3"/>
    </w:pPr>
    <w:rPr>
      <w:rFonts w:ascii="Tahoma" w:hAnsi="Tahoma" w:cs="Tahoma"/>
      <w:b/>
    </w:rPr>
  </w:style>
  <w:style w:type="paragraph" w:styleId="1379" w:customStyle="1">
    <w:name w:val="普通文字"/>
    <w:basedOn w:val="876"/>
    <w:next w:val="876"/>
    <w:uiPriority w:val="0"/>
    <w:qFormat/>
    <w:pPr>
      <w:ind w:firstLine="562"/>
      <w:jc w:val="both"/>
      <w:spacing w:line="360" w:lineRule="auto"/>
    </w:pPr>
    <w:rPr>
      <w:sz w:val="24"/>
      <w:szCs w:val="24"/>
      <w:lang w:val="en-US" w:bidi="ar-SA"/>
    </w:rPr>
  </w:style>
  <w:style w:type="paragraph" w:styleId="1380" w:customStyle="1">
    <w:name w:val="标题 4宋体"/>
    <w:basedOn w:val="880"/>
    <w:uiPriority w:val="0"/>
    <w:qFormat/>
    <w:pPr>
      <w:ind w:left="0" w:firstLine="562"/>
      <w:keepNext/>
      <w:spacing w:line="360" w:lineRule="auto"/>
    </w:pPr>
    <w:rPr>
      <w:rFonts w:cs="Times New Roman"/>
      <w:b/>
      <w:bCs/>
      <w:color w:val="000000"/>
      <w:lang w:val="en-US" w:bidi="ar-SA"/>
    </w:rPr>
  </w:style>
  <w:style w:type="paragraph" w:styleId="1381" w:customStyle="1">
    <w:name w:val="表格内容"/>
    <w:basedOn w:val="876"/>
    <w:uiPriority w:val="0"/>
    <w:qFormat/>
    <w:pPr>
      <w:ind w:firstLine="562"/>
      <w:jc w:val="center"/>
      <w:spacing w:before="60" w:line="300" w:lineRule="auto"/>
      <w:widowControl/>
    </w:pPr>
    <w:rPr>
      <w:rFonts w:ascii="Times New Roman" w:hAnsi="Times New Roman" w:cs="Times New Roman"/>
      <w:sz w:val="24"/>
      <w:szCs w:val="24"/>
      <w:lang w:val="en-US" w:bidi="ar-SA"/>
    </w:rPr>
  </w:style>
  <w:style w:type="character" w:styleId="1382" w:customStyle="1">
    <w:name w:val="标题 3 Char"/>
    <w:uiPriority w:val="0"/>
    <w:qFormat/>
    <w:rPr>
      <w:rFonts w:ascii="宋体" w:hAnsi="宋体" w:eastAsia="宋体" w:cs="Times New Roman"/>
      <w:b/>
      <w:bCs/>
      <w:sz w:val="24"/>
      <w:szCs w:val="32"/>
      <w:lang w:val="en-US" w:eastAsia="zh-CN" w:bidi="ar-SA"/>
    </w:rPr>
  </w:style>
  <w:style w:type="paragraph" w:styleId="1383" w:customStyle="1">
    <w:name w:val="00-表格的正文"/>
    <w:basedOn w:val="876"/>
    <w:uiPriority w:val="0"/>
    <w:qFormat/>
    <w:pPr>
      <w:ind w:firstLine="562"/>
      <w:spacing w:line="440" w:lineRule="exact"/>
    </w:pPr>
    <w:rPr>
      <w:rFonts w:ascii="楷体" w:hAnsi="楷体" w:cs="Times New Roman"/>
      <w:color w:val="000000"/>
      <w:sz w:val="20"/>
      <w:szCs w:val="24"/>
      <w:lang w:val="en-US" w:bidi="ar-SA"/>
    </w:rPr>
  </w:style>
  <w:style w:type="paragraph" w:styleId="1384" w:customStyle="1">
    <w:name w:val="Char Char Char Char Char Char Char Char Char Char Char Char Char"/>
    <w:basedOn w:val="896"/>
    <w:uiPriority w:val="0"/>
    <w:qFormat/>
    <w:rPr>
      <w:rFonts w:ascii="Tahoma" w:hAnsi="Tahoma" w:cs="Times New Roman"/>
    </w:rPr>
  </w:style>
  <w:style w:type="paragraph" w:styleId="1385" w:customStyle="1">
    <w:name w:val="一级条标题"/>
    <w:basedOn w:val="1386"/>
    <w:next w:val="1323"/>
    <w:uiPriority w:val="0"/>
    <w:qFormat/>
    <w:pPr>
      <w:outlineLvl w:val="2"/>
    </w:pPr>
    <w:rPr>
      <w:rFonts w:ascii="Calibri" w:hAnsi="Calibri"/>
      <w:szCs w:val="21"/>
    </w:rPr>
  </w:style>
  <w:style w:type="paragraph" w:styleId="1386" w:customStyle="1">
    <w:name w:val="章标题"/>
    <w:next w:val="1323"/>
    <w:uiPriority w:val="0"/>
    <w:qFormat/>
    <w:pPr>
      <w:jc w:val="both"/>
      <w:spacing w:before="156" w:after="156"/>
      <w:outlineLvl w:val="1"/>
    </w:pPr>
    <w:rPr>
      <w:rFonts w:ascii="Times New Roman" w:hAnsi="Times New Roman" w:eastAsia="黑体" w:cs="Times New Roman"/>
      <w:sz w:val="21"/>
      <w:lang w:val="en-US" w:eastAsia="zh-CN" w:bidi="ar-SA"/>
    </w:rPr>
  </w:style>
  <w:style w:type="paragraph" w:styleId="1387" w:customStyle="1">
    <w:name w:val="标准文本"/>
    <w:basedOn w:val="876"/>
    <w:uiPriority w:val="0"/>
    <w:qFormat/>
    <w:pPr>
      <w:ind w:firstLine="480"/>
      <w:jc w:val="both"/>
      <w:spacing w:line="360" w:lineRule="auto"/>
    </w:pPr>
    <w:rPr>
      <w:rFonts w:ascii="Times New Roman" w:hAnsi="Times New Roman"/>
      <w:sz w:val="24"/>
      <w:szCs w:val="24"/>
      <w:lang w:val="en-US" w:bidi="ar-SA"/>
    </w:rPr>
  </w:style>
  <w:style w:type="paragraph" w:styleId="1388" w:customStyle="1">
    <w:name w:val="font9"/>
    <w:basedOn w:val="876"/>
    <w:uiPriority w:val="0"/>
    <w:qFormat/>
    <w:pPr>
      <w:ind w:firstLine="562"/>
      <w:spacing w:before="100" w:beforeAutospacing="1" w:after="100" w:afterAutospacing="1" w:line="360" w:lineRule="auto"/>
      <w:widowControl/>
    </w:pPr>
    <w:rPr>
      <w:rFonts w:ascii="Times New Roman" w:hAnsi="Times New Roman" w:cs="Times New Roman"/>
      <w:b/>
      <w:bCs/>
      <w:sz w:val="20"/>
      <w:szCs w:val="24"/>
      <w:lang w:val="en-US" w:bidi="ar-SA"/>
    </w:rPr>
  </w:style>
  <w:style w:type="character" w:styleId="1389" w:customStyle="1">
    <w:name w:val="style13"/>
    <w:uiPriority w:val="0"/>
    <w:qFormat/>
    <w:rPr>
      <w:rFonts w:ascii="Times New Roman" w:hAnsi="Times New Roman" w:eastAsia="宋体" w:cs="Times New Roman"/>
      <w:sz w:val="18"/>
      <w:szCs w:val="18"/>
    </w:rPr>
  </w:style>
  <w:style w:type="character" w:styleId="1390" w:customStyle="1">
    <w:name w:val="标准文本 Char"/>
    <w:uiPriority w:val="0"/>
    <w:qFormat/>
    <w:rPr>
      <w:rFonts w:ascii="Times New Roman" w:hAnsi="Times New Roman" w:eastAsia="宋体" w:cs="宋体"/>
      <w:sz w:val="24"/>
      <w:szCs w:val="24"/>
      <w:lang w:val="en-US" w:eastAsia="zh-CN" w:bidi="ar-SA"/>
    </w:rPr>
  </w:style>
  <w:style w:type="paragraph" w:styleId="1391" w:customStyle="1">
    <w:name w:val="样式2"/>
    <w:basedOn w:val="876"/>
    <w:uiPriority w:val="0"/>
    <w:qFormat/>
    <w:pPr>
      <w:ind w:left="200" w:firstLine="562"/>
      <w:jc w:val="both"/>
      <w:spacing w:line="360" w:lineRule="auto"/>
    </w:pPr>
    <w:rPr>
      <w:rFonts w:cs="Times New Roman"/>
      <w:b/>
      <w:sz w:val="24"/>
      <w:szCs w:val="24"/>
      <w:lang w:val="en-US" w:bidi="ar-SA"/>
    </w:rPr>
  </w:style>
  <w:style w:type="paragraph" w:styleId="1392" w:customStyle="1">
    <w:name w:val="马刚标题4"/>
    <w:basedOn w:val="1273"/>
    <w:next w:val="876"/>
    <w:uiPriority w:val="0"/>
    <w:qFormat/>
    <w:pPr>
      <w:spacing w:before="100" w:after="40"/>
      <w:tabs>
        <w:tab w:val="clear" w:pos="567" w:leader="none"/>
        <w:tab w:val="clear" w:pos="735" w:leader="none"/>
        <w:tab w:val="left" w:pos="1050" w:leader="none"/>
      </w:tabs>
      <w:outlineLvl w:val="3"/>
    </w:pPr>
    <w:rPr>
      <w:rFonts w:ascii="Times New Roman" w:hAnsi="Times New Roman" w:eastAsia="宋体"/>
      <w:b w:val="0"/>
    </w:rPr>
  </w:style>
  <w:style w:type="paragraph" w:styleId="1393" w:customStyle="1">
    <w:name w:val="小四 段落 宋体 Char"/>
    <w:basedOn w:val="892"/>
    <w:uiPriority w:val="0"/>
    <w:qFormat/>
    <w:pPr>
      <w:ind w:left="0" w:right="-33" w:firstLine="600"/>
      <w:jc w:val="left"/>
      <w:tabs>
        <w:tab w:val="clear" w:pos="2952" w:leader="none"/>
      </w:tabs>
    </w:pPr>
    <w:rPr>
      <w:rFonts w:ascii="仿宋_GB2312" w:eastAsia="仿宋_GB2312"/>
      <w:sz w:val="30"/>
      <w:szCs w:val="30"/>
    </w:rPr>
  </w:style>
  <w:style w:type="paragraph" w:styleId="1394" w:customStyle="1">
    <w:name w:val="Normal1"/>
    <w:basedOn w:val="876"/>
    <w:uiPriority w:val="0"/>
    <w:qFormat/>
    <w:pPr>
      <w:ind w:firstLine="562"/>
      <w:jc w:val="both"/>
      <w:spacing w:line="360" w:lineRule="auto"/>
    </w:pPr>
    <w:rPr>
      <w:rFonts w:ascii="Calibri" w:hAnsi="Calibri" w:eastAsia="Calibri"/>
      <w:sz w:val="24"/>
      <w:szCs w:val="24"/>
      <w:lang w:bidi="ar-SA"/>
    </w:rPr>
  </w:style>
  <w:style w:type="paragraph" w:styleId="1395" w:customStyle="1">
    <w:name w:val="样式 样式 标题 3H3sect1.2.3BOD 0Heading 3 - oldh3l3CTLevel 3 Head... +..."/>
    <w:basedOn w:val="876"/>
    <w:uiPriority w:val="0"/>
    <w:qFormat/>
    <w:pPr>
      <w:ind w:firstLine="562"/>
      <w:keepLines/>
      <w:keepNext/>
      <w:spacing w:before="156" w:after="156" w:line="360" w:lineRule="auto"/>
      <w:outlineLvl w:val="2"/>
    </w:pPr>
    <w:rPr>
      <w:rFonts w:ascii="Times New Roman" w:hAnsi="Times New Roman"/>
      <w:b/>
      <w:bCs/>
      <w:sz w:val="24"/>
      <w:szCs w:val="24"/>
      <w:lang w:val="en-US" w:bidi="ar-SA"/>
    </w:rPr>
  </w:style>
  <w:style w:type="paragraph" w:styleId="1396" w:customStyle="1">
    <w:name w:val="xl41"/>
    <w:basedOn w:val="876"/>
    <w:uiPriority w:val="0"/>
    <w:qFormat/>
    <w:pPr>
      <w:ind w:firstLine="562"/>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b/>
      <w:bCs/>
      <w:sz w:val="20"/>
      <w:szCs w:val="24"/>
      <w:lang w:val="en-US" w:bidi="ar-SA"/>
    </w:rPr>
  </w:style>
  <w:style w:type="character" w:styleId="1397" w:customStyle="1">
    <w:name w:val="Char Char28"/>
    <w:uiPriority w:val="0"/>
    <w:qFormat/>
    <w:rPr>
      <w:rFonts w:ascii="Arial" w:hAnsi="Arial" w:eastAsia="黑体" w:cs="Arial"/>
      <w:b/>
      <w:bCs/>
      <w:sz w:val="32"/>
      <w:szCs w:val="32"/>
    </w:rPr>
  </w:style>
  <w:style w:type="paragraph" w:styleId="1398" w:customStyle="1">
    <w:name w:val="xl26"/>
    <w:basedOn w:val="876"/>
    <w:uiPriority w:val="0"/>
    <w:qFormat/>
    <w:pPr>
      <w:ind w:firstLine="562"/>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sz w:val="20"/>
      <w:szCs w:val="24"/>
      <w:lang w:val="en-US" w:bidi="ar-SA"/>
    </w:rPr>
  </w:style>
  <w:style w:type="paragraph" w:styleId="1399" w:customStyle="1">
    <w:name w:val="Char Char1 Char Char Char Char1 Char Char Char Char Char Char"/>
    <w:basedOn w:val="876"/>
    <w:uiPriority w:val="0"/>
    <w:qFormat/>
    <w:pPr>
      <w:ind w:firstLine="562"/>
      <w:jc w:val="both"/>
      <w:spacing w:line="360" w:lineRule="auto"/>
    </w:pPr>
    <w:rPr>
      <w:rFonts w:ascii="Tahoma" w:hAnsi="Tahoma" w:cs="Times New Roman"/>
      <w:sz w:val="24"/>
      <w:szCs w:val="24"/>
      <w:lang w:val="en-US" w:bidi="ar-SA"/>
    </w:rPr>
  </w:style>
  <w:style w:type="paragraph" w:styleId="1400" w:customStyle="1">
    <w:name w:val="xl57"/>
    <w:basedOn w:val="876"/>
    <w:uiPriority w:val="0"/>
    <w:qFormat/>
    <w:pPr>
      <w:ind w:firstLine="562"/>
      <w:jc w:val="center"/>
      <w:spacing w:before="100" w:beforeAutospacing="1" w:after="100" w:afterAutospacing="1" w:line="360" w:lineRule="auto"/>
      <w:widowControl/>
      <w:pBdr>
        <w:top w:val="single" w:color="auto" w:sz="4" w:space="0"/>
        <w:left w:val="single" w:color="auto" w:sz="4" w:space="0"/>
        <w:right w:val="single" w:color="auto" w:sz="4" w:space="0"/>
      </w:pBdr>
    </w:pPr>
    <w:rPr>
      <w:rFonts w:ascii="Times New Roman" w:hAnsi="Times New Roman" w:cs="Times New Roman"/>
      <w:b/>
      <w:bCs/>
      <w:i/>
      <w:iCs/>
      <w:sz w:val="20"/>
      <w:szCs w:val="24"/>
      <w:lang w:val="en-US" w:bidi="ar-SA"/>
    </w:rPr>
  </w:style>
  <w:style w:type="paragraph" w:styleId="1401" w:customStyle="1">
    <w:name w:val="xl34"/>
    <w:basedOn w:val="876"/>
    <w:uiPriority w:val="0"/>
    <w:qFormat/>
    <w:pPr>
      <w:ind w:firstLine="562"/>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i/>
      <w:iCs/>
      <w:sz w:val="20"/>
      <w:szCs w:val="24"/>
      <w:lang w:val="en-US" w:bidi="ar-SA"/>
    </w:rPr>
  </w:style>
  <w:style w:type="character" w:styleId="1402" w:customStyle="1">
    <w:name w:val="Char Char24"/>
    <w:uiPriority w:val="0"/>
    <w:qFormat/>
    <w:rPr>
      <w:rFonts w:ascii="Times New Roman" w:hAnsi="Times New Roman" w:eastAsia="宋体" w:cs="Times New Roman"/>
      <w:b/>
      <w:bCs/>
      <w:sz w:val="28"/>
      <w:szCs w:val="28"/>
    </w:rPr>
  </w:style>
  <w:style w:type="paragraph" w:styleId="1403" w:customStyle="1">
    <w:name w:val="样式 样式 首行缩进:  0.74 厘米 行距: 1.5 倍行距 + 段后: 0.5 行"/>
    <w:basedOn w:val="876"/>
    <w:uiPriority w:val="0"/>
    <w:qFormat/>
    <w:pPr>
      <w:ind w:firstLine="420"/>
      <w:jc w:val="both"/>
      <w:spacing w:line="360" w:lineRule="auto"/>
    </w:pPr>
    <w:rPr>
      <w:rFonts w:ascii="楷体_GB2312" w:hAnsi="Times New Roman" w:eastAsia="楷体_GB2312" w:cs="Times New Roman"/>
      <w:bCs/>
      <w:sz w:val="24"/>
      <w:szCs w:val="24"/>
      <w:lang w:val="en-US" w:bidi="ar-SA"/>
    </w:rPr>
  </w:style>
  <w:style w:type="paragraph" w:styleId="1404" w:customStyle="1">
    <w:name w:val="表蕊"/>
    <w:basedOn w:val="876"/>
    <w:uiPriority w:val="0"/>
    <w:qFormat/>
    <w:pPr>
      <w:ind w:firstLine="562"/>
      <w:spacing w:line="320" w:lineRule="atLeast"/>
    </w:pPr>
    <w:rPr>
      <w:rFonts w:ascii="Times New Roman" w:hAnsi="Times New Roman" w:eastAsia="楷体_GB2312" w:cs="Times New Roman"/>
      <w:spacing w:val="-10"/>
      <w:sz w:val="24"/>
      <w:szCs w:val="24"/>
      <w:lang w:val="en-US" w:bidi="ar-SA"/>
    </w:rPr>
  </w:style>
  <w:style w:type="paragraph" w:styleId="1405" w:customStyle="1">
    <w:name w:val="默认段落字体 Para Char Char Char Char Char Char Char Char Char1 Char Char Char Char Char Char Char"/>
    <w:basedOn w:val="896"/>
    <w:uiPriority w:val="0"/>
    <w:qFormat/>
    <w:rPr>
      <w:rFonts w:ascii="Times New Roman" w:hAnsi="Times New Roman" w:cs="Times New Roman"/>
    </w:rPr>
  </w:style>
  <w:style w:type="character" w:styleId="1406" w:customStyle="1">
    <w:name w:val="正文缩进 Char1"/>
    <w:link w:val="1407"/>
    <w:uiPriority w:val="0"/>
    <w:qFormat/>
  </w:style>
  <w:style w:type="paragraph" w:styleId="1407" w:customStyle="1">
    <w:name w:val="Normal Indent1"/>
    <w:basedOn w:val="876"/>
    <w:link w:val="1406"/>
    <w:uiPriority w:val="0"/>
    <w:qFormat/>
    <w:pPr>
      <w:ind w:firstLine="420"/>
      <w:jc w:val="both"/>
      <w:spacing w:line="360" w:lineRule="auto"/>
    </w:pPr>
    <w:rPr>
      <w:rFonts w:ascii="Times New Roman" w:hAnsi="Times New Roman" w:cs="Times New Roman"/>
      <w:sz w:val="20"/>
      <w:szCs w:val="20"/>
      <w:lang w:val="en-US" w:bidi="ar-SA"/>
    </w:rPr>
  </w:style>
  <w:style w:type="paragraph" w:styleId="1408" w:customStyle="1">
    <w:name w:val="Char Char Char Char"/>
    <w:basedOn w:val="876"/>
    <w:uiPriority w:val="0"/>
    <w:qFormat/>
    <w:pPr>
      <w:ind w:firstLine="562"/>
      <w:jc w:val="center"/>
      <w:spacing w:after="160" w:line="240" w:lineRule="exact"/>
      <w:widowControl/>
    </w:pPr>
    <w:rPr>
      <w:rFonts w:ascii="黑体" w:hAnsi="Verdana" w:eastAsia="黑体" w:cs="Times New Roman"/>
      <w:sz w:val="32"/>
      <w:szCs w:val="32"/>
      <w:lang w:val="en-US" w:eastAsia="en-US" w:bidi="ar-SA"/>
    </w:rPr>
  </w:style>
  <w:style w:type="character" w:styleId="1409" w:customStyle="1">
    <w:name w:val="t1"/>
    <w:uiPriority w:val="0"/>
    <w:qFormat/>
    <w:rPr>
      <w:rFonts w:ascii="Times New Roman" w:hAnsi="Times New Roman" w:eastAsia="宋体" w:cs="Times New Roman"/>
    </w:rPr>
  </w:style>
  <w:style w:type="paragraph" w:styleId="1410"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411" w:customStyle="1">
    <w:name w:val="xl32"/>
    <w:basedOn w:val="876"/>
    <w:uiPriority w:val="0"/>
    <w:qFormat/>
    <w:pPr>
      <w:ind w:firstLine="562"/>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i/>
      <w:iCs/>
      <w:sz w:val="20"/>
      <w:szCs w:val="24"/>
      <w:lang w:val="en-US" w:bidi="ar-SA"/>
    </w:rPr>
  </w:style>
  <w:style w:type="character" w:styleId="1412" w:customStyle="1">
    <w:name w:val="l-selected2"/>
    <w:uiPriority w:val="0"/>
    <w:qFormat/>
    <w:rPr>
      <w:rFonts w:ascii="Times New Roman" w:hAnsi="Times New Roman" w:eastAsia="宋体" w:cs="Times New Roman"/>
      <w:color w:val="355686"/>
      <w:shd w:val="clear" w:color="auto" w:fill="ffffff"/>
    </w:rPr>
  </w:style>
  <w:style w:type="paragraph" w:styleId="1413" w:customStyle="1">
    <w:name w:val="表"/>
    <w:uiPriority w:val="0"/>
    <w:qFormat/>
    <w:pPr>
      <w:jc w:val="center"/>
      <w:spacing w:before="20" w:after="20"/>
    </w:pPr>
    <w:rPr>
      <w:rFonts w:ascii="Times New Roman" w:hAnsi="Times New Roman" w:eastAsia="微软雅黑" w:cstheme="minorBidi"/>
      <w:sz w:val="21"/>
      <w:szCs w:val="22"/>
      <w:lang w:val="en-US" w:eastAsia="zh-CN" w:bidi="ar-SA"/>
    </w:rPr>
  </w:style>
  <w:style w:type="paragraph" w:styleId="1414" w:customStyle="1">
    <w:name w:val="xl55"/>
    <w:basedOn w:val="876"/>
    <w:uiPriority w:val="0"/>
    <w:qFormat/>
    <w:pPr>
      <w:ind w:firstLine="562"/>
      <w:jc w:val="center"/>
      <w:spacing w:before="100" w:beforeAutospacing="1" w:after="100" w:afterAutospacing="1" w:line="360" w:lineRule="auto"/>
      <w:shd w:val="clear" w:color="auto" w:fill="969696"/>
      <w:widowControl/>
      <w:pBdr>
        <w:top w:val="single" w:color="auto" w:sz="4" w:space="0"/>
        <w:bottom w:val="single" w:color="auto" w:sz="4" w:space="0"/>
      </w:pBdr>
    </w:pPr>
    <w:rPr>
      <w:rFonts w:ascii="Times New Roman" w:hAnsi="Times New Roman" w:cs="Times New Roman"/>
      <w:b/>
      <w:bCs/>
      <w:sz w:val="20"/>
      <w:szCs w:val="24"/>
      <w:lang w:val="en-US" w:bidi="ar-SA"/>
    </w:rPr>
  </w:style>
  <w:style w:type="character" w:styleId="1415" w:customStyle="1">
    <w:name w:val="Char Char23"/>
    <w:uiPriority w:val="0"/>
    <w:qFormat/>
    <w:rPr>
      <w:rFonts w:ascii="Arial" w:hAnsi="Arial" w:eastAsia="黑体" w:cs="Times New Roman"/>
      <w:b/>
      <w:bCs/>
      <w:sz w:val="24"/>
      <w:szCs w:val="24"/>
    </w:rPr>
  </w:style>
  <w:style w:type="paragraph" w:styleId="1416" w:customStyle="1">
    <w:name w:val="_Style 1"/>
    <w:basedOn w:val="876"/>
    <w:uiPriority w:val="0"/>
    <w:qFormat/>
    <w:pPr>
      <w:ind w:firstLine="420"/>
      <w:jc w:val="both"/>
      <w:spacing w:line="360" w:lineRule="auto"/>
    </w:pPr>
    <w:rPr>
      <w:rFonts w:ascii="Calibri" w:hAnsi="Calibri" w:cs="Times New Roman"/>
      <w:sz w:val="24"/>
      <w:lang w:val="en-US" w:bidi="ar-SA"/>
    </w:rPr>
  </w:style>
  <w:style w:type="paragraph" w:styleId="1417" w:customStyle="1">
    <w:name w:val="正文lzq"/>
    <w:basedOn w:val="876"/>
    <w:uiPriority w:val="0"/>
    <w:qFormat/>
    <w:pPr>
      <w:ind w:firstLine="480"/>
      <w:jc w:val="both"/>
      <w:spacing w:line="360" w:lineRule="auto"/>
    </w:pPr>
    <w:rPr>
      <w:rFonts w:ascii="Times New Roman" w:hAnsi="Times New Roman" w:cs="Times New Roman"/>
      <w:sz w:val="24"/>
      <w:szCs w:val="24"/>
      <w:lang w:val="en-US" w:bidi="ar-SA"/>
    </w:rPr>
  </w:style>
  <w:style w:type="character" w:styleId="1418" w:customStyle="1">
    <w:name w:val="表格抬头 Char"/>
    <w:link w:val="1265"/>
    <w:uiPriority w:val="0"/>
    <w:qFormat/>
    <w:rPr>
      <w:rFonts w:ascii="黑体" w:hAnsi="宋体" w:eastAsia="黑体" w:cs="宋体"/>
      <w:b/>
      <w:sz w:val="24"/>
      <w:szCs w:val="24"/>
    </w:rPr>
  </w:style>
  <w:style w:type="paragraph" w:styleId="1419" w:customStyle="1">
    <w:name w:val="标题3，章节第三层"/>
    <w:basedOn w:val="876"/>
    <w:next w:val="1240"/>
    <w:uiPriority w:val="0"/>
    <w:qFormat/>
    <w:pPr>
      <w:ind w:firstLine="562"/>
      <w:jc w:val="both"/>
      <w:spacing w:before="78" w:line="300" w:lineRule="auto"/>
      <w:outlineLvl w:val="2"/>
    </w:pPr>
    <w:rPr>
      <w:rFonts w:ascii="Arial" w:hAnsi="Arial" w:eastAsia="华文细黑" w:cs="Times New Roman"/>
      <w:sz w:val="30"/>
      <w:szCs w:val="24"/>
      <w:lang w:val="en-US" w:bidi="ar-SA"/>
    </w:rPr>
  </w:style>
  <w:style w:type="paragraph" w:styleId="1420" w:customStyle="1">
    <w:name w:val="表格文字"/>
    <w:basedOn w:val="876"/>
    <w:uiPriority w:val="0"/>
    <w:qFormat/>
    <w:pPr>
      <w:ind w:firstLine="200"/>
      <w:spacing w:line="360" w:lineRule="auto"/>
    </w:pPr>
    <w:rPr>
      <w:rFonts w:ascii="Arial" w:hAnsi="Arial" w:cs="Times New Roman"/>
      <w:sz w:val="24"/>
      <w:szCs w:val="24"/>
      <w:lang w:val="en-US" w:bidi="ar-SA"/>
    </w:rPr>
  </w:style>
  <w:style w:type="character" w:styleId="1421" w:customStyle="1">
    <w:name w:val="listbenefit"/>
    <w:uiPriority w:val="0"/>
    <w:qFormat/>
    <w:rPr>
      <w:rFonts w:ascii="Times New Roman" w:hAnsi="Times New Roman" w:eastAsia="宋体" w:cs="Times New Roman"/>
    </w:rPr>
  </w:style>
  <w:style w:type="paragraph" w:styleId="1422" w:customStyle="1">
    <w:name w:val="表格"/>
    <w:basedOn w:val="876"/>
    <w:uiPriority w:val="0"/>
    <w:qFormat/>
    <w:pPr>
      <w:ind w:firstLine="21"/>
      <w:jc w:val="both"/>
      <w:spacing w:line="360" w:lineRule="auto"/>
    </w:pPr>
    <w:rPr>
      <w:sz w:val="20"/>
      <w:szCs w:val="24"/>
      <w:lang w:val="en-US" w:bidi="ar-SA"/>
    </w:rPr>
  </w:style>
  <w:style w:type="paragraph" w:styleId="1423" w:customStyle="1">
    <w:name w:val="纯文本1"/>
    <w:basedOn w:val="876"/>
    <w:uiPriority w:val="0"/>
    <w:qFormat/>
    <w:pPr>
      <w:ind w:firstLine="562"/>
      <w:jc w:val="both"/>
      <w:spacing w:line="360" w:lineRule="auto"/>
    </w:pPr>
    <w:rPr>
      <w:rFonts w:eastAsia="楷体_GB2312"/>
      <w:sz w:val="28"/>
      <w:szCs w:val="24"/>
      <w:lang w:val="en-US" w:bidi="ar-SA"/>
    </w:rPr>
  </w:style>
  <w:style w:type="paragraph" w:styleId="1424" w:customStyle="1">
    <w:name w:val="xl52"/>
    <w:basedOn w:val="876"/>
    <w:uiPriority w:val="0"/>
    <w:qFormat/>
    <w:pPr>
      <w:ind w:firstLine="562"/>
      <w:jc w:val="center"/>
      <w:spacing w:before="100" w:beforeAutospacing="1" w:after="100" w:afterAutospacing="1" w:line="360" w:lineRule="auto"/>
      <w:shd w:val="clear" w:color="auto" w:fill="969696"/>
      <w:widowControl/>
      <w:pBdr>
        <w:top w:val="single" w:color="auto" w:sz="4" w:space="0"/>
        <w:bottom w:val="single" w:color="auto" w:sz="4" w:space="0"/>
      </w:pBdr>
    </w:pPr>
    <w:rPr>
      <w:rFonts w:ascii="Times New Roman" w:hAnsi="Times New Roman" w:cs="Times New Roman"/>
      <w:b/>
      <w:bCs/>
      <w:i/>
      <w:iCs/>
      <w:sz w:val="20"/>
      <w:szCs w:val="24"/>
      <w:lang w:val="en-US" w:bidi="ar-SA"/>
    </w:rPr>
  </w:style>
  <w:style w:type="paragraph" w:styleId="1425" w:customStyle="1">
    <w:name w:val="font12"/>
    <w:basedOn w:val="876"/>
    <w:uiPriority w:val="0"/>
    <w:qFormat/>
    <w:pPr>
      <w:ind w:firstLine="562"/>
      <w:spacing w:before="100" w:beforeAutospacing="1" w:after="100" w:afterAutospacing="1" w:line="360" w:lineRule="auto"/>
      <w:widowControl/>
    </w:pPr>
    <w:rPr>
      <w:sz w:val="36"/>
      <w:szCs w:val="36"/>
      <w:lang w:val="en-US" w:bidi="ar-SA"/>
    </w:rPr>
  </w:style>
  <w:style w:type="paragraph" w:styleId="1426" w:customStyle="1">
    <w:name w:val="xl46"/>
    <w:basedOn w:val="876"/>
    <w:uiPriority w:val="0"/>
    <w:qFormat/>
    <w:pPr>
      <w:ind w:firstLine="562"/>
      <w:jc w:val="center"/>
      <w:spacing w:before="100" w:beforeAutospacing="1" w:after="100" w:afterAutospacing="1" w:line="360" w:lineRule="auto"/>
      <w:widowControl/>
      <w:pBdr>
        <w:left w:val="single" w:color="auto" w:sz="4" w:space="0"/>
        <w:right w:val="single" w:color="auto" w:sz="4" w:space="0"/>
      </w:pBdr>
    </w:pPr>
    <w:rPr>
      <w:sz w:val="24"/>
      <w:szCs w:val="24"/>
      <w:lang w:val="en-US" w:bidi="ar-SA"/>
    </w:rPr>
  </w:style>
  <w:style w:type="paragraph" w:styleId="1427" w:customStyle="1">
    <w:name w:val="项目符号，一级"/>
    <w:basedOn w:val="1240"/>
    <w:next w:val="1240"/>
    <w:uiPriority w:val="0"/>
    <w:qFormat/>
    <w:pPr>
      <w:ind w:left="376" w:firstLine="0"/>
      <w:spacing w:line="240" w:lineRule="atLeast"/>
      <w:tabs>
        <w:tab w:val="left" w:pos="1320" w:leader="none"/>
      </w:tabs>
    </w:pPr>
    <w:rPr>
      <w:rFonts w:ascii="Times New Roman" w:hAnsi="Times New Roman"/>
      <w:bCs w:val="0"/>
      <w:color w:val="000000"/>
      <w:szCs w:val="24"/>
    </w:rPr>
  </w:style>
  <w:style w:type="paragraph" w:styleId="1428" w:customStyle="1">
    <w:name w:val="标题2，章节第二层"/>
    <w:basedOn w:val="876"/>
    <w:next w:val="1240"/>
    <w:uiPriority w:val="0"/>
    <w:qFormat/>
    <w:pPr>
      <w:numPr>
        <w:ilvl w:val="4"/>
        <w:numId w:val="4"/>
      </w:numPr>
      <w:ind w:left="992" w:hanging="567"/>
      <w:jc w:val="both"/>
      <w:spacing w:before="312" w:after="312" w:line="300" w:lineRule="auto"/>
      <w:tabs>
        <w:tab w:val="left" w:pos="630" w:leader="none"/>
        <w:tab w:val="left" w:pos="992" w:leader="none"/>
      </w:tabs>
      <w:outlineLvl w:val="1"/>
    </w:pPr>
    <w:rPr>
      <w:rFonts w:ascii="Arial" w:hAnsi="Arial" w:eastAsia="黑体" w:cs="Times New Roman"/>
      <w:sz w:val="32"/>
      <w:szCs w:val="24"/>
      <w:lang w:val="en-US" w:bidi="ar-SA"/>
    </w:rPr>
  </w:style>
  <w:style w:type="paragraph" w:styleId="1429" w:customStyle="1">
    <w:name w:val="正文 居中"/>
    <w:basedOn w:val="876"/>
    <w:uiPriority w:val="0"/>
    <w:qFormat/>
    <w:pPr>
      <w:ind w:firstLine="562"/>
      <w:jc w:val="center"/>
      <w:spacing w:line="360" w:lineRule="auto"/>
    </w:pPr>
    <w:rPr>
      <w:rFonts w:ascii="Times New Roman" w:hAnsi="Times New Roman" w:cs="Times New Roman"/>
      <w:sz w:val="24"/>
      <w:szCs w:val="24"/>
      <w:lang w:val="en-US" w:bidi="ar-SA"/>
    </w:rPr>
  </w:style>
  <w:style w:type="paragraph" w:styleId="1430" w:customStyle="1">
    <w:name w:val="丁华标题3"/>
    <w:basedOn w:val="1176"/>
    <w:next w:val="1177"/>
    <w:uiPriority w:val="0"/>
    <w:qFormat/>
    <w:pPr>
      <w:numPr>
        <w:ilvl w:val="2"/>
      </w:numPr>
      <w:ind w:left="1980" w:hanging="420"/>
      <w:tabs>
        <w:tab w:val="left" w:pos="1470" w:leader="none"/>
        <w:tab w:val="left" w:pos="1980" w:leader="none"/>
      </w:tabs>
      <w:outlineLvl w:val="2"/>
    </w:pPr>
    <w:rPr>
      <w:rFonts w:ascii="Times New Roman" w:hAnsi="Times New Roman" w:eastAsia="宋体"/>
      <w:sz w:val="24"/>
    </w:rPr>
  </w:style>
  <w:style w:type="character" w:styleId="1431" w:customStyle="1">
    <w:name w:val="para_small"/>
    <w:uiPriority w:val="0"/>
    <w:qFormat/>
    <w:rPr>
      <w:rFonts w:ascii="Times New Roman" w:hAnsi="Times New Roman" w:eastAsia="宋体" w:cs="Times New Roman"/>
    </w:rPr>
  </w:style>
  <w:style w:type="paragraph" w:styleId="1432" w:customStyle="1">
    <w:name w:val="a"/>
    <w:basedOn w:val="876"/>
    <w:uiPriority w:val="0"/>
    <w:qFormat/>
    <w:pPr>
      <w:ind w:firstLine="562"/>
      <w:jc w:val="both"/>
      <w:spacing w:before="100" w:beforeAutospacing="1" w:after="100" w:afterAutospacing="1" w:line="360" w:lineRule="auto"/>
      <w:widowControl/>
    </w:pPr>
    <w:rPr>
      <w:sz w:val="24"/>
      <w:szCs w:val="24"/>
      <w:lang w:val="en-US" w:bidi="ar-SA"/>
    </w:rPr>
  </w:style>
  <w:style w:type="paragraph" w:styleId="1433" w:customStyle="1">
    <w:name w:val="Char Char Char Char Char Char Char Char Char Char Char1 Char Char Char1"/>
    <w:basedOn w:val="876"/>
    <w:uiPriority w:val="0"/>
    <w:qFormat/>
    <w:pPr>
      <w:ind w:firstLine="200"/>
      <w:spacing w:line="360" w:lineRule="auto"/>
    </w:pPr>
    <w:rPr>
      <w:rFonts w:ascii="Tahoma" w:hAnsi="Tahoma" w:cs="Times New Roman"/>
      <w:sz w:val="24"/>
      <w:szCs w:val="24"/>
      <w:lang w:val="en-US" w:bidi="ar-SA"/>
    </w:rPr>
  </w:style>
  <w:style w:type="character" w:styleId="1434" w:customStyle="1">
    <w:name w:val="小四 段落 宋体 Char1"/>
    <w:uiPriority w:val="0"/>
    <w:qFormat/>
    <w:rPr>
      <w:rFonts w:ascii="Times New Roman" w:hAnsi="Times New Roman" w:eastAsia="宋体" w:cs="Times New Roman"/>
      <w:sz w:val="24"/>
      <w:szCs w:val="24"/>
      <w:lang w:val="en-US" w:eastAsia="zh-CN" w:bidi="ar-SA"/>
    </w:rPr>
  </w:style>
  <w:style w:type="paragraph" w:styleId="1435" w:customStyle="1">
    <w:name w:val="正文 + Arial Char"/>
    <w:basedOn w:val="876"/>
    <w:uiPriority w:val="0"/>
    <w:qFormat/>
    <w:pPr>
      <w:ind w:left="315" w:hanging="315"/>
      <w:jc w:val="both"/>
      <w:spacing w:line="300" w:lineRule="auto"/>
      <w:widowControl/>
      <w:tabs>
        <w:tab w:val="left" w:pos="315" w:leader="none"/>
      </w:tabs>
    </w:pPr>
    <w:rPr>
      <w:rFonts w:ascii="Arial" w:hAnsi="Arial" w:cs="Arial"/>
      <w:b/>
      <w:color w:val="000000"/>
      <w:sz w:val="24"/>
      <w:szCs w:val="24"/>
      <w:lang w:val="en-US" w:bidi="ar-SA"/>
    </w:rPr>
  </w:style>
  <w:style w:type="paragraph" w:styleId="1436" w:customStyle="1">
    <w:name w:val="font10"/>
    <w:basedOn w:val="876"/>
    <w:uiPriority w:val="0"/>
    <w:qFormat/>
    <w:pPr>
      <w:ind w:firstLine="562"/>
      <w:spacing w:before="100" w:beforeAutospacing="1" w:after="100" w:afterAutospacing="1" w:line="360" w:lineRule="auto"/>
      <w:widowControl/>
    </w:pPr>
    <w:rPr>
      <w:rFonts w:ascii="楷体_GB2312" w:eastAsia="楷体_GB2312"/>
      <w:b/>
      <w:bCs/>
      <w:sz w:val="18"/>
      <w:szCs w:val="18"/>
      <w:lang w:val="en-US" w:bidi="ar-SA"/>
    </w:rPr>
  </w:style>
  <w:style w:type="paragraph" w:styleId="1437"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438" w:customStyle="1">
    <w:name w:val="font8"/>
    <w:basedOn w:val="876"/>
    <w:uiPriority w:val="0"/>
    <w:qFormat/>
    <w:pPr>
      <w:ind w:firstLine="562"/>
      <w:spacing w:before="100" w:beforeAutospacing="1" w:after="100" w:afterAutospacing="1" w:line="360" w:lineRule="auto"/>
      <w:widowControl/>
    </w:pPr>
    <w:rPr>
      <w:b/>
      <w:bCs/>
      <w:i/>
      <w:iCs/>
      <w:sz w:val="20"/>
      <w:szCs w:val="24"/>
      <w:lang w:val="en-US" w:bidi="ar-SA"/>
    </w:rPr>
  </w:style>
  <w:style w:type="paragraph" w:styleId="1439" w:customStyle="1">
    <w:name w:val="Char2 Char Char Char Char Char Char1"/>
    <w:basedOn w:val="876"/>
    <w:uiPriority w:val="0"/>
    <w:qFormat/>
    <w:pPr>
      <w:ind w:hanging="425"/>
      <w:jc w:val="both"/>
      <w:keepNext/>
      <w:spacing w:before="80" w:after="80" w:line="360" w:lineRule="auto"/>
      <w:widowControl/>
      <w:tabs>
        <w:tab w:val="left" w:pos="425" w:leader="none"/>
      </w:tabs>
    </w:pPr>
    <w:rPr>
      <w:rFonts w:ascii="Arial" w:hAnsi="Arial" w:cs="Arial"/>
      <w:sz w:val="20"/>
      <w:szCs w:val="24"/>
      <w:lang w:val="en-US" w:bidi="ar-SA"/>
    </w:rPr>
  </w:style>
  <w:style w:type="character" w:styleId="1440" w:customStyle="1">
    <w:name w:val="样式 非加粗"/>
    <w:uiPriority w:val="0"/>
    <w:qFormat/>
    <w:rPr>
      <w:rFonts w:ascii="Times New Roman" w:hAnsi="Times New Roman" w:eastAsia="宋体" w:cs="Times New Roman"/>
      <w:sz w:val="28"/>
    </w:rPr>
  </w:style>
  <w:style w:type="paragraph" w:styleId="1441" w:customStyle="1">
    <w:name w:val="部分1"/>
    <w:basedOn w:val="876"/>
    <w:uiPriority w:val="0"/>
    <w:qFormat/>
    <w:pPr>
      <w:ind w:firstLine="562"/>
      <w:jc w:val="center"/>
      <w:keepNext/>
      <w:pageBreakBefore/>
      <w:spacing w:line="360" w:lineRule="auto"/>
      <w:tabs>
        <w:tab w:val="left" w:pos="360" w:leader="none"/>
      </w:tabs>
      <w:outlineLvl w:val="0"/>
    </w:pPr>
    <w:rPr>
      <w:rFonts w:ascii="Times New Roman" w:hAnsi="Times New Roman" w:eastAsia="黑体" w:cs="Times New Roman"/>
      <w:b/>
      <w:sz w:val="36"/>
      <w:szCs w:val="24"/>
      <w:lang w:val="en-US" w:bidi="ar-SA"/>
    </w:rPr>
  </w:style>
  <w:style w:type="paragraph" w:styleId="1442" w:customStyle="1">
    <w:name w:val="xl60"/>
    <w:basedOn w:val="876"/>
    <w:uiPriority w:val="0"/>
    <w:qFormat/>
    <w:pPr>
      <w:ind w:firstLine="562"/>
      <w:jc w:val="center"/>
      <w:spacing w:before="100" w:beforeAutospacing="1" w:after="100" w:afterAutospacing="1" w:line="360" w:lineRule="auto"/>
      <w:shd w:val="clear" w:color="auto" w:fill="969696"/>
      <w:widowControl/>
      <w:pBdr>
        <w:top w:val="single" w:color="auto" w:sz="4" w:space="0"/>
        <w:left w:val="single" w:color="auto" w:sz="4" w:space="0"/>
        <w:bottom w:val="single" w:color="auto" w:sz="4" w:space="0"/>
      </w:pBdr>
    </w:pPr>
    <w:rPr>
      <w:rFonts w:ascii="Times New Roman" w:hAnsi="Times New Roman" w:cs="Times New Roman"/>
      <w:b/>
      <w:bCs/>
      <w:i/>
      <w:iCs/>
      <w:sz w:val="20"/>
      <w:szCs w:val="24"/>
      <w:lang w:val="en-US" w:bidi="ar-SA"/>
    </w:rPr>
  </w:style>
  <w:style w:type="paragraph" w:styleId="1443" w:customStyle="1">
    <w:name w:val="符号与编号"/>
    <w:basedOn w:val="876"/>
    <w:uiPriority w:val="0"/>
    <w:qFormat/>
    <w:pPr>
      <w:ind w:left="900" w:hanging="420"/>
      <w:jc w:val="both"/>
      <w:spacing w:after="156" w:line="400" w:lineRule="atLeast"/>
      <w:tabs>
        <w:tab w:val="left" w:pos="900" w:leader="none"/>
      </w:tabs>
    </w:pPr>
    <w:rPr>
      <w:rFonts w:ascii="Times New Roman" w:hAnsi="Times New Roman" w:cs="Times New Roman"/>
      <w:sz w:val="24"/>
      <w:szCs w:val="24"/>
      <w:lang w:val="en-US" w:bidi="ar-SA"/>
    </w:rPr>
  </w:style>
  <w:style w:type="paragraph" w:styleId="1444" w:customStyle="1">
    <w:name w:val="No Spacing1"/>
    <w:uiPriority w:val="0"/>
    <w:qFormat/>
    <w:pPr>
      <w:jc w:val="both"/>
      <w:widowControl w:val="off"/>
    </w:pPr>
    <w:rPr>
      <w:rFonts w:ascii="Times New Roman" w:hAnsi="Times New Roman" w:eastAsia="微软雅黑" w:cs="Times New Roman"/>
      <w:sz w:val="24"/>
      <w:szCs w:val="22"/>
      <w:lang w:val="en-US" w:eastAsia="zh-CN" w:bidi="ar-SA"/>
    </w:rPr>
  </w:style>
  <w:style w:type="paragraph" w:styleId="1445" w:customStyle="1">
    <w:name w:val="样式3"/>
    <w:basedOn w:val="876"/>
    <w:next w:val="876"/>
    <w:uiPriority w:val="0"/>
    <w:qFormat/>
    <w:pPr>
      <w:ind w:firstLine="562"/>
      <w:jc w:val="both"/>
      <w:spacing w:line="360" w:lineRule="auto"/>
    </w:pPr>
    <w:rPr>
      <w:rFonts w:ascii="Times New Roman" w:hAnsi="Times New Roman" w:cs="Times New Roman"/>
      <w:sz w:val="24"/>
      <w:szCs w:val="24"/>
      <w:lang w:val="en-US" w:bidi="ar-SA"/>
    </w:rPr>
  </w:style>
  <w:style w:type="character" w:styleId="1446" w:customStyle="1">
    <w:name w:val="标准小四 Char Char"/>
    <w:uiPriority w:val="0"/>
    <w:qFormat/>
    <w:rPr>
      <w:rFonts w:ascii="Arial" w:hAnsi="Arial" w:eastAsia="宋体" w:cs="Times New Roman"/>
      <w:sz w:val="24"/>
      <w:szCs w:val="21"/>
      <w:lang w:val="en-US" w:eastAsia="zh-CN" w:bidi="ar-SA"/>
    </w:rPr>
  </w:style>
  <w:style w:type="character" w:styleId="1447" w:customStyle="1">
    <w:name w:val="Char Char17"/>
    <w:uiPriority w:val="0"/>
    <w:qFormat/>
    <w:rPr>
      <w:rFonts w:ascii="宋体" w:hAnsi="Courier New" w:eastAsia="宋体" w:cs="Times New Roman"/>
      <w:sz w:val="21"/>
      <w:szCs w:val="21"/>
    </w:rPr>
  </w:style>
  <w:style w:type="paragraph" w:styleId="1448" w:customStyle="1">
    <w:name w:val="表格内文字"/>
    <w:basedOn w:val="876"/>
    <w:uiPriority w:val="0"/>
    <w:qFormat/>
    <w:pPr>
      <w:ind w:firstLine="562"/>
      <w:jc w:val="both"/>
      <w:spacing w:line="300" w:lineRule="atLeast"/>
    </w:pPr>
    <w:rPr>
      <w:rFonts w:ascii="Times New Roman" w:hAnsi="Times New Roman" w:cs="Times New Roman"/>
      <w:sz w:val="18"/>
      <w:szCs w:val="24"/>
      <w:lang w:val="en-US" w:bidi="ar-SA"/>
    </w:rPr>
  </w:style>
  <w:style w:type="paragraph" w:styleId="1449" w:customStyle="1">
    <w:name w:val="1"/>
    <w:basedOn w:val="876"/>
    <w:next w:val="932"/>
    <w:uiPriority w:val="0"/>
    <w:qFormat/>
    <w:pPr>
      <w:ind w:firstLine="562"/>
      <w:jc w:val="both"/>
      <w:spacing w:line="360" w:lineRule="auto"/>
    </w:pPr>
    <w:rPr>
      <w:rFonts w:ascii="Times New Roman" w:hAnsi="Times New Roman" w:eastAsia="仿宋_GB2312" w:cs="Times New Roman"/>
      <w:sz w:val="24"/>
      <w:szCs w:val="24"/>
      <w:lang w:val="en-US" w:bidi="ar-SA"/>
    </w:rPr>
  </w:style>
  <w:style w:type="paragraph" w:styleId="1450" w:customStyle="1">
    <w:name w:val="正文文本 New New"/>
    <w:basedOn w:val="876"/>
    <w:uiPriority w:val="0"/>
    <w:qFormat/>
    <w:pPr>
      <w:ind w:firstLine="200"/>
      <w:jc w:val="both"/>
      <w:spacing w:before="60" w:after="60" w:line="360" w:lineRule="auto"/>
      <w:widowControl/>
    </w:pPr>
    <w:rPr>
      <w:rFonts w:ascii="Times New Roman" w:hAnsi="Times New Roman" w:eastAsia="华文楷体" w:cs="Times New Roman"/>
      <w:sz w:val="24"/>
      <w:szCs w:val="24"/>
      <w:lang w:val="en-US" w:bidi="ar-SA"/>
    </w:rPr>
  </w:style>
  <w:style w:type="paragraph" w:styleId="1451" w:customStyle="1">
    <w:name w:val="font13"/>
    <w:basedOn w:val="876"/>
    <w:uiPriority w:val="0"/>
    <w:qFormat/>
    <w:pPr>
      <w:ind w:firstLine="562"/>
      <w:spacing w:before="100" w:beforeAutospacing="1" w:after="100" w:afterAutospacing="1" w:line="360" w:lineRule="auto"/>
      <w:widowControl/>
    </w:pPr>
    <w:rPr>
      <w:rFonts w:ascii="Times New Roman" w:hAnsi="Times New Roman" w:cs="Times New Roman"/>
      <w:i/>
      <w:iCs/>
      <w:sz w:val="36"/>
      <w:szCs w:val="36"/>
      <w:lang w:val="en-US" w:bidi="ar-SA"/>
    </w:rPr>
  </w:style>
  <w:style w:type="paragraph" w:styleId="1452" w:customStyle="1">
    <w:name w:val="正文 + 宋体"/>
    <w:basedOn w:val="876"/>
    <w:uiPriority w:val="0"/>
    <w:qFormat/>
    <w:pPr>
      <w:ind w:firstLine="420"/>
      <w:jc w:val="both"/>
      <w:spacing w:line="360" w:lineRule="auto"/>
    </w:pPr>
    <w:rPr>
      <w:rFonts w:ascii="Times New Roman" w:hAnsi="Times New Roman" w:cs="Times New Roman"/>
      <w:sz w:val="24"/>
      <w:szCs w:val="24"/>
      <w:lang w:val="en-US" w:bidi="ar-SA"/>
    </w:rPr>
  </w:style>
  <w:style w:type="character" w:styleId="1453" w:customStyle="1">
    <w:name w:val="style131"/>
    <w:uiPriority w:val="0"/>
    <w:qFormat/>
    <w:rPr>
      <w:rFonts w:ascii="Times New Roman" w:hAnsi="Times New Roman" w:eastAsia="宋体" w:cs="Times New Roman"/>
      <w:sz w:val="18"/>
      <w:szCs w:val="18"/>
    </w:rPr>
  </w:style>
  <w:style w:type="paragraph" w:styleId="1454" w:customStyle="1">
    <w:name w:val="标题1，章节第一层"/>
    <w:basedOn w:val="1240"/>
    <w:next w:val="1240"/>
    <w:uiPriority w:val="0"/>
    <w:qFormat/>
    <w:pPr>
      <w:ind w:left="482"/>
      <w:spacing w:before="0"/>
      <w:tabs>
        <w:tab w:val="left" w:pos="693" w:leader="none"/>
      </w:tabs>
      <w:outlineLvl w:val="0"/>
    </w:pPr>
    <w:rPr>
      <w:rFonts w:ascii="Times New Roman" w:hAnsi="Times New Roman"/>
      <w:color w:val="000000"/>
      <w:szCs w:val="24"/>
    </w:rPr>
  </w:style>
  <w:style w:type="paragraph" w:styleId="1455" w:customStyle="1">
    <w:name w:val="a0"/>
    <w:basedOn w:val="876"/>
    <w:uiPriority w:val="0"/>
    <w:qFormat/>
    <w:pPr>
      <w:ind w:firstLine="562"/>
      <w:jc w:val="both"/>
      <w:spacing w:before="100" w:beforeAutospacing="1" w:after="100" w:afterAutospacing="1" w:line="360" w:lineRule="auto"/>
      <w:widowControl/>
    </w:pPr>
    <w:rPr>
      <w:sz w:val="24"/>
      <w:szCs w:val="24"/>
      <w:lang w:val="en-US" w:bidi="ar-SA"/>
    </w:rPr>
  </w:style>
  <w:style w:type="character" w:styleId="1456" w:customStyle="1">
    <w:name w:val="font101"/>
    <w:uiPriority w:val="0"/>
    <w:qFormat/>
    <w:rPr>
      <w:rFonts w:hint="eastAsia" w:ascii="宋体" w:hAnsi="宋体" w:eastAsia="宋体" w:cs="宋体"/>
      <w:color w:val="000000"/>
      <w:sz w:val="16"/>
      <w:szCs w:val="16"/>
      <w:u w:val="none"/>
    </w:rPr>
  </w:style>
  <w:style w:type="paragraph" w:styleId="1457" w:customStyle="1">
    <w:name w:val="xl42"/>
    <w:basedOn w:val="876"/>
    <w:uiPriority w:val="0"/>
    <w:qFormat/>
    <w:pPr>
      <w:ind w:firstLine="562"/>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b/>
      <w:bCs/>
      <w:sz w:val="20"/>
      <w:szCs w:val="24"/>
      <w:lang w:val="en-US" w:bidi="ar-SA"/>
    </w:rPr>
  </w:style>
  <w:style w:type="paragraph" w:styleId="1458" w:customStyle="1">
    <w:name w:val="列表内容"/>
    <w:basedOn w:val="876"/>
    <w:next w:val="876"/>
    <w:uiPriority w:val="0"/>
    <w:qFormat/>
    <w:pPr>
      <w:ind w:left="840" w:hanging="420"/>
      <w:spacing w:line="360" w:lineRule="auto"/>
      <w:widowControl/>
      <w:tabs>
        <w:tab w:val="left" w:pos="840" w:leader="none"/>
      </w:tabs>
    </w:pPr>
    <w:rPr>
      <w:rFonts w:ascii="Times New Roman" w:hAnsi="Times New Roman" w:cs="Times New Roman"/>
      <w:sz w:val="18"/>
      <w:szCs w:val="24"/>
      <w:lang w:val="en-US" w:bidi="ar-SA"/>
    </w:rPr>
  </w:style>
  <w:style w:type="paragraph" w:styleId="1459" w:customStyle="1">
    <w:name w:val="正文表标题"/>
    <w:next w:val="1323"/>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460" w:customStyle="1">
    <w:name w:val="二级条标题"/>
    <w:basedOn w:val="876"/>
    <w:next w:val="1323"/>
    <w:uiPriority w:val="0"/>
    <w:qFormat/>
    <w:pPr>
      <w:ind w:hanging="420"/>
      <w:jc w:val="both"/>
      <w:spacing w:line="360" w:lineRule="auto"/>
      <w:widowControl/>
      <w:tabs>
        <w:tab w:val="left" w:pos="2240" w:leader="none"/>
      </w:tabs>
      <w:outlineLvl w:val="3"/>
    </w:pPr>
    <w:rPr>
      <w:rFonts w:ascii="Times New Roman" w:hAnsi="Times New Roman" w:eastAsia="黑体" w:cs="Times New Roman"/>
      <w:sz w:val="24"/>
      <w:szCs w:val="24"/>
      <w:lang w:val="en-US" w:bidi="ar-SA"/>
    </w:rPr>
  </w:style>
  <w:style w:type="character" w:styleId="1461" w:customStyle="1">
    <w:name w:val="apple-converted-space"/>
    <w:uiPriority w:val="0"/>
    <w:qFormat/>
    <w:rPr>
      <w:rFonts w:ascii="Times New Roman" w:hAnsi="Times New Roman" w:eastAsia="宋体" w:cs="Times New Roman"/>
    </w:rPr>
  </w:style>
  <w:style w:type="paragraph" w:styleId="1462" w:customStyle="1">
    <w:name w:val="xl47"/>
    <w:basedOn w:val="876"/>
    <w:uiPriority w:val="0"/>
    <w:qFormat/>
    <w:pPr>
      <w:ind w:firstLine="562"/>
      <w:jc w:val="center"/>
      <w:spacing w:before="100" w:beforeAutospacing="1" w:after="100" w:afterAutospacing="1" w:line="360" w:lineRule="auto"/>
      <w:widowControl/>
      <w:pBdr>
        <w:left w:val="single" w:color="auto" w:sz="4" w:space="0"/>
        <w:bottom w:val="single" w:color="auto" w:sz="4" w:space="0"/>
        <w:right w:val="single" w:color="auto" w:sz="4" w:space="0"/>
      </w:pBdr>
    </w:pPr>
    <w:rPr>
      <w:sz w:val="24"/>
      <w:szCs w:val="24"/>
      <w:lang w:val="en-US" w:bidi="ar-SA"/>
    </w:rPr>
  </w:style>
  <w:style w:type="character" w:styleId="1463" w:customStyle="1">
    <w:name w:val="NormalCharacter"/>
    <w:uiPriority w:val="0"/>
    <w:qFormat/>
    <w:rPr>
      <w:rFonts w:ascii="Times New Roman" w:hAnsi="Times New Roman" w:eastAsia="宋体" w:cs="Times New Roman"/>
      <w:sz w:val="21"/>
      <w:szCs w:val="22"/>
      <w:lang w:val="en-US" w:eastAsia="zh-CN" w:bidi="ar-SA"/>
    </w:rPr>
  </w:style>
  <w:style w:type="paragraph" w:styleId="1464" w:customStyle="1">
    <w:name w:val="丁华标题1"/>
    <w:basedOn w:val="877"/>
    <w:next w:val="1177"/>
    <w:uiPriority w:val="0"/>
    <w:qFormat/>
    <w:pPr>
      <w:numPr>
        <w:ilvl w:val="0"/>
        <w:numId w:val="2"/>
      </w:numPr>
      <w:ind w:right="0" w:firstLine="0"/>
      <w:jc w:val="left"/>
      <w:keepLines/>
      <w:keepNext/>
      <w:spacing w:before="600" w:after="120" w:line="578" w:lineRule="auto"/>
      <w:tabs>
        <w:tab w:val="left" w:pos="1440" w:leader="none"/>
      </w:tabs>
    </w:pPr>
    <w:rPr>
      <w:rFonts w:ascii="Times New Roman" w:hAnsi="Times New Roman" w:cs="Times New Roman"/>
      <w:b w:val="0"/>
      <w:bCs w:val="0"/>
      <w:sz w:val="32"/>
      <w:szCs w:val="20"/>
      <w:lang w:val="en-US" w:bidi="ar-SA"/>
    </w:rPr>
  </w:style>
  <w:style w:type="paragraph" w:styleId="1465" w:customStyle="1">
    <w:name w:val="正文--表格内正文"/>
    <w:basedOn w:val="876"/>
    <w:uiPriority w:val="0"/>
    <w:qFormat/>
    <w:pPr>
      <w:ind w:firstLine="562"/>
      <w:jc w:val="center"/>
      <w:spacing w:before="156" w:line="0" w:lineRule="atLeast"/>
    </w:pPr>
    <w:rPr>
      <w:rFonts w:cs="Times New Roman"/>
      <w:color w:val="000000"/>
      <w:sz w:val="24"/>
      <w:szCs w:val="24"/>
      <w:lang w:val="en-US" w:bidi="ar-SA"/>
    </w:rPr>
  </w:style>
  <w:style w:type="character" w:styleId="1466" w:customStyle="1">
    <w:name w:val="标题 3 Char Char"/>
    <w:uiPriority w:val="0"/>
    <w:qFormat/>
    <w:rPr>
      <w:rFonts w:ascii="Times New Roman" w:hAnsi="Times New Roman" w:eastAsia="仿宋_GB2312" w:cs="Times New Roman"/>
      <w:b/>
      <w:bCs/>
      <w:sz w:val="28"/>
      <w:szCs w:val="32"/>
      <w:lang w:val="en-US" w:eastAsia="zh-CN" w:bidi="ar-SA"/>
    </w:rPr>
  </w:style>
  <w:style w:type="character" w:styleId="1467" w:customStyle="1">
    <w:name w:val="标准文本 Char Char"/>
    <w:uiPriority w:val="0"/>
    <w:qFormat/>
    <w:rPr>
      <w:rFonts w:ascii="Times New Roman" w:hAnsi="Times New Roman" w:eastAsia="宋体" w:cs="宋体"/>
      <w:sz w:val="24"/>
      <w:szCs w:val="24"/>
      <w:lang w:val="en-US" w:eastAsia="zh-CN" w:bidi="ar-SA"/>
    </w:rPr>
  </w:style>
  <w:style w:type="paragraph" w:styleId="1468" w:customStyle="1">
    <w:name w:val="正文 New New New New New New New New New New New New New New"/>
    <w:uiPriority w:val="0"/>
    <w:qFormat/>
    <w:pPr>
      <w:jc w:val="both"/>
      <w:widowControl w:val="off"/>
    </w:pPr>
    <w:rPr>
      <w:rFonts w:hint="eastAsia" w:ascii="Times New Roman" w:hAnsi="Times New Roman" w:eastAsia="宋体" w:cs="Times New Roman"/>
      <w:sz w:val="21"/>
      <w:lang w:val="en-US" w:eastAsia="zh-CN" w:bidi="ar-SA"/>
    </w:rPr>
  </w:style>
  <w:style w:type="character" w:styleId="1469" w:customStyle="1">
    <w:name w:val="样式 首行缩进:  2 字符 Char"/>
    <w:uiPriority w:val="0"/>
    <w:qFormat/>
    <w:rPr>
      <w:rFonts w:ascii="Times New Roman" w:hAnsi="Times New Roman" w:eastAsia="宋体" w:cs="宋体"/>
      <w:sz w:val="24"/>
      <w:lang w:val="en-US" w:eastAsia="zh-CN" w:bidi="ar-SA"/>
    </w:rPr>
  </w:style>
  <w:style w:type="paragraph" w:styleId="1470" w:customStyle="1">
    <w:name w:val="flType"/>
    <w:basedOn w:val="1173"/>
    <w:uiPriority w:val="0"/>
    <w:qFormat/>
    <w:pPr>
      <w:spacing w:after="284"/>
    </w:pPr>
  </w:style>
  <w:style w:type="paragraph" w:styleId="1471" w:customStyle="1">
    <w:name w:val="四号正文"/>
    <w:basedOn w:val="876"/>
    <w:uiPriority w:val="0"/>
    <w:qFormat/>
    <w:pPr>
      <w:ind w:firstLine="560"/>
      <w:jc w:val="both"/>
      <w:spacing w:line="360" w:lineRule="auto"/>
    </w:pPr>
    <w:rPr>
      <w:rFonts w:ascii="Times New Roman" w:hAnsi="Times New Roman" w:cs="Times New Roman"/>
      <w:sz w:val="28"/>
      <w:szCs w:val="28"/>
      <w:lang w:val="en-US" w:bidi="ar-SA"/>
    </w:rPr>
  </w:style>
  <w:style w:type="character" w:styleId="1472" w:customStyle="1">
    <w:name w:val="华宇段落1 Char Char Char"/>
    <w:uiPriority w:val="0"/>
    <w:qFormat/>
    <w:rPr>
      <w:rFonts w:ascii="Times New Roman" w:hAnsi="Times New Roman" w:eastAsia="宋体" w:cs="Times New Roman"/>
      <w:bCs/>
      <w:sz w:val="24"/>
      <w:szCs w:val="24"/>
      <w:lang w:val="en-US" w:eastAsia="zh-CN" w:bidi="ar-SA"/>
    </w:rPr>
  </w:style>
  <w:style w:type="character" w:styleId="1473" w:customStyle="1">
    <w:name w:val="Char Char26"/>
    <w:uiPriority w:val="0"/>
    <w:qFormat/>
    <w:rPr>
      <w:rFonts w:ascii="Times New Roman" w:hAnsi="Times New Roman" w:eastAsia="宋体" w:cs="Times New Roman"/>
      <w:b/>
      <w:bCs/>
      <w:sz w:val="32"/>
      <w:szCs w:val="32"/>
    </w:rPr>
  </w:style>
  <w:style w:type="paragraph" w:styleId="1474" w:customStyle="1">
    <w:name w:val="xl54"/>
    <w:basedOn w:val="876"/>
    <w:uiPriority w:val="0"/>
    <w:qFormat/>
    <w:pPr>
      <w:ind w:firstLine="562"/>
      <w:jc w:val="center"/>
      <w:spacing w:before="100" w:beforeAutospacing="1" w:after="100" w:afterAutospacing="1" w:line="360" w:lineRule="auto"/>
      <w:shd w:val="clear" w:color="auto" w:fill="969696"/>
      <w:widowControl/>
      <w:pBdr>
        <w:top w:val="single" w:color="auto" w:sz="4" w:space="0"/>
        <w:left w:val="single" w:color="auto" w:sz="4" w:space="0"/>
        <w:bottom w:val="single" w:color="auto" w:sz="4" w:space="0"/>
      </w:pBdr>
    </w:pPr>
    <w:rPr>
      <w:b/>
      <w:bCs/>
      <w:sz w:val="20"/>
      <w:szCs w:val="24"/>
      <w:lang w:val="en-US" w:bidi="ar-SA"/>
    </w:rPr>
  </w:style>
  <w:style w:type="paragraph" w:styleId="1475" w:customStyle="1">
    <w:name w:val="BodyText"/>
    <w:basedOn w:val="876"/>
    <w:uiPriority w:val="0"/>
    <w:qFormat/>
    <w:pPr>
      <w:spacing w:after="120"/>
    </w:pPr>
    <w:rPr>
      <w:rFonts w:ascii="Calibri"/>
      <w:sz w:val="20"/>
    </w:rPr>
  </w:style>
  <w:style w:type="paragraph" w:styleId="1476"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numbering" w:styleId="14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2.jpg"/><Relationship Id="rId18" Type="http://schemas.openxmlformats.org/officeDocument/2006/relationships/image" Target="media/image3.wmf"/><Relationship Id="rId19" Type="http://schemas.openxmlformats.org/officeDocument/2006/relationships/image" Target="media/image4.jpg"/><Relationship Id="rId20" Type="http://schemas.openxmlformats.org/officeDocument/2006/relationships/image" Target="media/image5.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603D4ECC-753A-4234-8C7E-2063C09CF77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焦翔</dc:creator>
  <cp:lastModifiedBy>江跃</cp:lastModifiedBy>
  <cp:revision>259</cp:revision>
  <dcterms:created xsi:type="dcterms:W3CDTF">2025-06-16T07:37:00Z</dcterms:created>
  <dcterms:modified xsi:type="dcterms:W3CDTF">2026-07-17T09:16:14Z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2020-09-01T00:00:00Z</vt:filetime>
  </property>
  <property fmtid="{D5CDD505-2E9C-101B-9397-08002B2CF9AE}" pid="3" name="Creator">
    <vt:lpwstr>WPS 文字</vt:lpwstr>
  </property>
  <property fmtid="{D5CDD505-2E9C-101B-9397-08002B2CF9AE}" pid="4" name="LastSaved">
    <vt:filetime>2021-05-12T00:00:00Z</vt:filetime>
  </property>
  <property fmtid="{D5CDD505-2E9C-101B-9397-08002B2CF9AE}" pid="5" name="KSOProductBuildVer">
    <vt:lpwstr>2052-12.1.0.23542</vt:lpwstr>
  </property>
  <property fmtid="{D5CDD505-2E9C-101B-9397-08002B2CF9AE}" pid="6" name="ICV">
    <vt:lpwstr>98CADF8C29C4414F98D4CE1F51D4B46C_13</vt:lpwstr>
  </property>
  <property fmtid="{D5CDD505-2E9C-101B-9397-08002B2CF9AE}" pid="7" name="KSOTemplateDocerSaveRecord">
    <vt:lpwstr>eyJoZGlkIjoiYTRhMDcwNGIxZTNiMzM5ZGI1NmM3MmZhMTMyY2I2NmMiLCJ1c2VySWQiOiIyNzM4NDU2NzMifQ==</vt:lpwstr>
  </property>
</Properties>
</file>