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8"/>
        <w:jc w:val="center"/>
        <w:spacing w:line="360" w:lineRule="auto"/>
        <w:rPr>
          <w:rFonts w:hint="eastAsia"/>
          <w:b/>
          <w:bCs/>
          <w:color w:val="000000"/>
          <w:sz w:val="72"/>
          <w:szCs w:val="72"/>
          <w:highlight w:val="none"/>
        </w:rPr>
      </w:pPr>
      <w:r>
        <w:rPr>
          <w:rFonts w:hint="eastAsia"/>
          <w:b/>
          <w:bCs/>
          <w:color w:val="000000"/>
          <w:sz w:val="72"/>
          <w:szCs w:val="72"/>
          <w:highlight w:val="none"/>
        </w:rPr>
      </w:r>
      <w:r>
        <w:rPr>
          <w:highlight w:val="none"/>
        </w:rPr>
      </w:r>
    </w:p>
    <w:p>
      <w:pPr>
        <w:pStyle w:val="1168"/>
        <w:jc w:val="center"/>
        <w:spacing w:line="360" w:lineRule="auto"/>
        <w:rPr>
          <w:b/>
          <w:bCs/>
          <w:color w:val="000000"/>
          <w:sz w:val="72"/>
          <w:szCs w:val="72"/>
          <w:highlight w:val="none"/>
        </w:rPr>
      </w:pPr>
      <w:r>
        <w:rPr>
          <w:b/>
          <w:bCs/>
          <w:color w:val="000000"/>
          <w:sz w:val="72"/>
          <w:szCs w:val="72"/>
          <w:highlight w:val="none"/>
        </w:rPr>
      </w:r>
      <w:r>
        <w:rPr>
          <w:highlight w:val="none"/>
        </w:rPr>
      </w:r>
    </w:p>
    <w:p>
      <w:pPr>
        <w:pStyle w:val="1168"/>
        <w:jc w:val="center"/>
        <w:spacing w:after="156" w:line="480" w:lineRule="auto"/>
        <w:rPr>
          <w:b/>
          <w:bCs/>
          <w:color w:val="000000"/>
          <w:sz w:val="72"/>
          <w:szCs w:val="72"/>
          <w:highlight w:val="none"/>
        </w:rPr>
      </w:pPr>
      <w:r>
        <w:rPr>
          <w:b/>
          <w:bCs/>
          <w:color w:val="000000"/>
          <w:sz w:val="72"/>
          <w:szCs w:val="72"/>
          <w:highlight w:val="none"/>
        </w:rPr>
        <w:t xml:space="preserve">南京红十字血液中心</w:t>
      </w:r>
      <w:r>
        <w:rPr>
          <w:b/>
          <w:bCs/>
          <w:color w:val="000000"/>
          <w:sz w:val="72"/>
          <w:szCs w:val="72"/>
          <w:highlight w:val="none"/>
        </w:rPr>
      </w:r>
      <w:r>
        <w:rPr>
          <w:highlight w:val="none"/>
        </w:rPr>
      </w:r>
    </w:p>
    <w:p>
      <w:pPr>
        <w:pStyle w:val="1224"/>
        <w:ind w:firstLine="422"/>
        <w:rPr>
          <w:b/>
          <w:bCs/>
          <w:color w:val="000000"/>
          <w:highlight w:val="none"/>
        </w:rPr>
      </w:pPr>
      <w:r>
        <w:rPr>
          <w:b/>
          <w:bCs/>
          <w:color w:val="000000"/>
          <w:highlight w:val="none"/>
        </w:rPr>
      </w:r>
      <w:r>
        <w:rPr>
          <w:highlight w:val="none"/>
        </w:rPr>
      </w:r>
    </w:p>
    <w:p>
      <w:pPr>
        <w:pStyle w:val="1168"/>
        <w:jc w:val="center"/>
        <w:spacing w:after="156" w:line="480" w:lineRule="auto"/>
        <w:rPr>
          <w:color w:val="000000"/>
          <w:sz w:val="72"/>
          <w:szCs w:val="72"/>
          <w:highlight w:val="none"/>
        </w:rPr>
      </w:pPr>
      <w:r>
        <w:rPr>
          <w:b/>
          <w:bCs/>
          <w:color w:val="000000"/>
          <w:sz w:val="52"/>
          <w:szCs w:val="52"/>
          <w:highlight w:val="none"/>
        </w:rPr>
        <w:t xml:space="preserve">平板速冻机等设备</w:t>
      </w:r>
      <w:r>
        <w:rPr>
          <w:color w:val="000000"/>
          <w:sz w:val="72"/>
          <w:szCs w:val="72"/>
          <w:highlight w:val="none"/>
        </w:rPr>
      </w:r>
      <w:r>
        <w:rPr>
          <w:highlight w:val="none"/>
        </w:rPr>
      </w:r>
    </w:p>
    <w:p>
      <w:pPr>
        <w:pStyle w:val="1168"/>
        <w:jc w:val="center"/>
        <w:spacing w:after="156" w:line="480" w:lineRule="auto"/>
        <w:rPr>
          <w:color w:val="000000"/>
          <w:sz w:val="72"/>
          <w:szCs w:val="72"/>
          <w:highlight w:val="none"/>
        </w:rPr>
      </w:pPr>
      <w:r>
        <w:rPr>
          <w:color w:val="000000"/>
          <w:sz w:val="72"/>
          <w:szCs w:val="72"/>
          <w:highlight w:val="none"/>
        </w:rPr>
      </w:r>
      <w:r>
        <w:rPr>
          <w:highlight w:val="none"/>
        </w:rPr>
      </w:r>
    </w:p>
    <w:p>
      <w:pPr>
        <w:pStyle w:val="1168"/>
        <w:jc w:val="center"/>
        <w:spacing w:line="360" w:lineRule="auto"/>
        <w:rPr>
          <w:color w:val="000000"/>
          <w:sz w:val="72"/>
          <w:szCs w:val="72"/>
          <w:highlight w:val="none"/>
        </w:rPr>
      </w:pPr>
      <w:r>
        <w:rPr>
          <w:color w:val="000000"/>
          <w:sz w:val="72"/>
          <w:szCs w:val="72"/>
          <w:highlight w:val="none"/>
        </w:rPr>
      </w:r>
      <w:r>
        <w:rPr>
          <w:highlight w:val="none"/>
        </w:rPr>
      </w:r>
    </w:p>
    <w:p>
      <w:pPr>
        <w:pStyle w:val="1168"/>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rPr>
          <w:highlight w:val="none"/>
        </w:rPr>
      </w:r>
    </w:p>
    <w:p>
      <w:pPr>
        <w:pStyle w:val="1168"/>
        <w:jc w:val="center"/>
        <w:spacing w:line="360" w:lineRule="auto"/>
        <w:rPr>
          <w:b/>
          <w:bCs/>
          <w:color w:val="000000"/>
          <w:sz w:val="36"/>
          <w:szCs w:val="36"/>
          <w:highlight w:val="none"/>
        </w:rPr>
      </w:pPr>
      <w:r>
        <w:rPr>
          <w:b/>
          <w:bCs/>
          <w:color w:val="000000"/>
          <w:sz w:val="36"/>
          <w:szCs w:val="36"/>
          <w:highlight w:val="none"/>
        </w:rPr>
        <w:t xml:space="preserve">招标编号：JSZC-320000-SMDY-G2026-0020（2640SUMEC/ZWHD2049）</w:t>
      </w:r>
      <w:r>
        <w:rPr>
          <w:b/>
          <w:bCs/>
          <w:color w:val="000000"/>
          <w:sz w:val="36"/>
          <w:szCs w:val="36"/>
          <w:highlight w:val="none"/>
        </w:rPr>
      </w:r>
      <w:r>
        <w:rPr>
          <w:highlight w:val="none"/>
        </w:rPr>
      </w:r>
    </w:p>
    <w:p>
      <w:pPr>
        <w:pStyle w:val="1168"/>
        <w:jc w:val="left"/>
        <w:spacing w:line="440" w:lineRule="exact"/>
        <w:rPr>
          <w:b/>
          <w:bCs/>
          <w:color w:val="000000"/>
          <w:sz w:val="72"/>
          <w:szCs w:val="72"/>
          <w:highlight w:val="none"/>
        </w:rPr>
      </w:pPr>
      <w:r>
        <w:rPr>
          <w:b/>
          <w:bCs/>
          <w:color w:val="000000"/>
          <w:sz w:val="72"/>
          <w:szCs w:val="72"/>
          <w:highlight w:val="none"/>
        </w:rPr>
      </w:r>
      <w:r>
        <w:rPr>
          <w:highlight w:val="none"/>
        </w:rPr>
      </w:r>
    </w:p>
    <w:p>
      <w:pPr>
        <w:pStyle w:val="1168"/>
        <w:jc w:val="left"/>
        <w:spacing w:line="440" w:lineRule="exact"/>
        <w:rPr>
          <w:b/>
          <w:bCs/>
          <w:color w:val="000000"/>
          <w:sz w:val="72"/>
          <w:szCs w:val="72"/>
          <w:highlight w:val="none"/>
        </w:rPr>
      </w:pPr>
      <w:r>
        <w:rPr>
          <w:b/>
          <w:bCs/>
          <w:color w:val="000000"/>
          <w:sz w:val="72"/>
          <w:szCs w:val="72"/>
          <w:highlight w:val="none"/>
        </w:rPr>
      </w:r>
      <w:r>
        <w:rPr>
          <w:highlight w:val="none"/>
        </w:rPr>
      </w:r>
    </w:p>
    <w:p>
      <w:pPr>
        <w:pStyle w:val="1168"/>
        <w:jc w:val="center"/>
        <w:spacing w:line="440" w:lineRule="exact"/>
        <w:rPr>
          <w:b/>
          <w:bCs/>
          <w:color w:val="000000"/>
          <w:sz w:val="72"/>
          <w:szCs w:val="72"/>
          <w:highlight w:val="none"/>
        </w:rPr>
      </w:pPr>
      <w:r>
        <w:rPr>
          <w:b/>
          <w:bCs/>
          <w:color w:val="000000"/>
          <w:sz w:val="72"/>
          <w:szCs w:val="72"/>
          <w:highlight w:val="none"/>
        </w:rPr>
      </w:r>
      <w:r>
        <w:rPr>
          <w:highlight w:val="none"/>
        </w:rPr>
      </w:r>
    </w:p>
    <w:p>
      <w:pPr>
        <w:pStyle w:val="1168"/>
        <w:spacing w:line="360" w:lineRule="auto"/>
        <w:rPr>
          <w:b/>
          <w:bCs/>
          <w:color w:val="000000"/>
          <w:sz w:val="72"/>
          <w:szCs w:val="72"/>
          <w:highlight w:val="none"/>
        </w:rPr>
      </w:pPr>
      <w:r>
        <w:rPr>
          <w:b/>
          <w:bCs/>
          <w:color w:val="000000"/>
          <w:sz w:val="72"/>
          <w:szCs w:val="72"/>
          <w:highlight w:val="none"/>
        </w:rPr>
      </w:r>
      <w:r>
        <w:rPr>
          <w:highlight w:val="none"/>
        </w:rPr>
      </w:r>
    </w:p>
    <w:p>
      <w:pPr>
        <w:pStyle w:val="1184"/>
        <w:rPr>
          <w:rFonts w:ascii="Times New Roman"/>
          <w:color w:val="000000"/>
          <w:highlight w:val="none"/>
        </w:rPr>
      </w:pPr>
      <w:r>
        <w:rPr>
          <w:rFonts w:ascii="Times New Roman"/>
          <w:color w:val="000000"/>
          <w:highlight w:val="none"/>
        </w:rPr>
      </w:r>
      <w:r>
        <w:rPr>
          <w:highlight w:val="none"/>
        </w:rPr>
      </w:r>
    </w:p>
    <w:p>
      <w:pPr>
        <w:pStyle w:val="1168"/>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rPr>
          <w:highlight w:val="none"/>
        </w:rPr>
      </w:r>
    </w:p>
    <w:p>
      <w:pPr>
        <w:pStyle w:val="1168"/>
        <w:jc w:val="center"/>
        <w:spacing w:line="360" w:lineRule="auto"/>
        <w:rPr>
          <w:b/>
          <w:color w:val="000000"/>
          <w:sz w:val="32"/>
          <w:szCs w:val="22"/>
          <w:highlight w:val="none"/>
        </w:rPr>
      </w:pPr>
      <w:r>
        <w:rPr>
          <w:b/>
          <w:bCs/>
          <w:color w:val="000000"/>
          <w:sz w:val="32"/>
          <w:szCs w:val="32"/>
          <w:highlight w:val="none"/>
        </w:rPr>
        <w:t xml:space="preserve">2026年</w:t>
      </w:r>
      <w:r>
        <w:rPr>
          <w:rFonts w:hint="eastAsia"/>
          <w:b/>
          <w:bCs/>
          <w:color w:val="000000"/>
          <w:sz w:val="32"/>
          <w:szCs w:val="32"/>
          <w:highlight w:val="none"/>
          <w:lang w:val="en-US" w:eastAsia="zh-CN"/>
        </w:rPr>
        <w:t xml:space="preserve">7</w:t>
      </w:r>
      <w:r>
        <w:rPr>
          <w:b/>
          <w:bCs/>
          <w:color w:val="000000"/>
          <w:sz w:val="32"/>
          <w:szCs w:val="32"/>
          <w:highlight w:val="none"/>
        </w:rPr>
        <w:t xml:space="preserve">月</w:t>
      </w:r>
      <w:r>
        <w:rPr>
          <w:b/>
          <w:color w:val="000000"/>
          <w:sz w:val="32"/>
          <w:szCs w:val="22"/>
          <w:highlight w:val="none"/>
        </w:rPr>
      </w:r>
      <w:r>
        <w:rPr>
          <w:highlight w:val="none"/>
        </w:rPr>
      </w:r>
    </w:p>
    <w:p>
      <w:pPr>
        <w:pStyle w:val="1168"/>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rPr>
          <w:highlight w:val="none"/>
        </w:rPr>
      </w:r>
    </w:p>
    <w:p>
      <w:pPr>
        <w:pStyle w:val="1168"/>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rPr>
          <w:highlight w:val="none"/>
        </w:rPr>
      </w:r>
    </w:p>
    <w:p>
      <w:pPr>
        <w:pStyle w:val="1203"/>
        <w:tabs>
          <w:tab w:val="right" w:pos="9638" w:leader="dot"/>
        </w:tabs>
        <w:rPr>
          <w:color w:val="000000"/>
          <w:highlight w:val="none"/>
        </w:rPr>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color w:val="000000"/>
          <w:highlight w:val="none"/>
        </w:rPr>
        <w:instrText xml:space="preserve"> HYPERLINK \l _Toc4196 </w:instrText>
      </w:r>
      <w:r>
        <w:rPr>
          <w:bCs/>
          <w:color w:val="000000"/>
          <w:highlight w:val="none"/>
        </w:rPr>
        <w:fldChar w:fldCharType="separate"/>
      </w:r>
      <w:r>
        <w:rPr>
          <w:color w:val="000000"/>
          <w:szCs w:val="28"/>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_Toc4196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_Toc9478 </w:instrText>
      </w:r>
      <w:r>
        <w:rPr>
          <w:bCs/>
          <w:color w:val="000000"/>
          <w:highlight w:val="none"/>
        </w:rPr>
        <w:fldChar w:fldCharType="separate"/>
      </w:r>
      <w:r>
        <w:rPr>
          <w:color w:val="000000"/>
          <w:szCs w:val="21"/>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_Toc9478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_Toc23262 </w:instrText>
      </w:r>
      <w:r>
        <w:rPr>
          <w:bCs/>
          <w:color w:val="000000"/>
          <w:highlight w:val="none"/>
        </w:rPr>
        <w:fldChar w:fldCharType="separate"/>
      </w:r>
      <w:r>
        <w:rPr>
          <w:color w:val="000000"/>
          <w:szCs w:val="21"/>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_Toc23262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_Toc4680 </w:instrText>
      </w:r>
      <w:r>
        <w:rPr>
          <w:bCs/>
          <w:color w:val="000000"/>
          <w:highlight w:val="none"/>
        </w:rPr>
        <w:fldChar w:fldCharType="separate"/>
      </w:r>
      <w:r>
        <w:rPr>
          <w:color w:val="000000"/>
          <w:szCs w:val="21"/>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_Toc4680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_Toc1188 </w:instrText>
      </w:r>
      <w:r>
        <w:rPr>
          <w:bCs/>
          <w:color w:val="000000"/>
          <w:highlight w:val="none"/>
        </w:rPr>
        <w:fldChar w:fldCharType="separate"/>
      </w:r>
      <w:r>
        <w:rPr>
          <w:color w:val="000000"/>
          <w:szCs w:val="21"/>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_Toc1188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_Toc14709 </w:instrText>
      </w:r>
      <w:r>
        <w:rPr>
          <w:bCs/>
          <w:color w:val="000000"/>
          <w:highlight w:val="none"/>
        </w:rPr>
        <w:fldChar w:fldCharType="separate"/>
      </w:r>
      <w:r>
        <w:rPr>
          <w:color w:val="000000"/>
          <w:szCs w:val="21"/>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_Toc14709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_Toc13896 </w:instrText>
      </w:r>
      <w:r>
        <w:rPr>
          <w:bCs/>
          <w:color w:val="000000"/>
          <w:highlight w:val="none"/>
        </w:rPr>
        <w:fldChar w:fldCharType="separate"/>
      </w:r>
      <w:r>
        <w:rPr>
          <w:color w:val="000000"/>
          <w:szCs w:val="21"/>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_Toc13896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_Toc28969 </w:instrText>
      </w:r>
      <w:r>
        <w:rPr>
          <w:bCs/>
          <w:color w:val="000000"/>
          <w:highlight w:val="none"/>
        </w:rPr>
        <w:fldChar w:fldCharType="separate"/>
      </w:r>
      <w:r>
        <w:rPr>
          <w:color w:val="000000"/>
          <w:szCs w:val="21"/>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_Toc28969 \h </w:instrText>
      </w:r>
      <w:r>
        <w:rPr>
          <w:color w:val="000000"/>
          <w:highlight w:val="none"/>
        </w:rPr>
        <w:fldChar w:fldCharType="separate"/>
      </w:r>
      <w:r>
        <w:rPr>
          <w:color w:val="000000"/>
          <w:highlight w:val="none"/>
        </w:rPr>
        <w:t xml:space="preserve">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3"/>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_Toc25319 </w:instrText>
      </w:r>
      <w:r>
        <w:rPr>
          <w:bCs/>
          <w:color w:val="000000"/>
          <w:highlight w:val="none"/>
        </w:rPr>
        <w:fldChar w:fldCharType="separate"/>
      </w:r>
      <w:r>
        <w:rPr>
          <w:color w:val="000000"/>
          <w:szCs w:val="28"/>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_Toc25319 \h </w:instrText>
      </w:r>
      <w:r>
        <w:rPr>
          <w:color w:val="000000"/>
          <w:highlight w:val="none"/>
        </w:rPr>
        <w:fldChar w:fldCharType="separate"/>
      </w:r>
      <w:r>
        <w:rPr>
          <w:color w:val="000000"/>
          <w:highlight w:val="none"/>
        </w:rPr>
        <w:t xml:space="preserve">6</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_Toc17214 </w:instrText>
      </w:r>
      <w:r>
        <w:rPr>
          <w:bCs/>
          <w:color w:val="000000"/>
          <w:highlight w:val="none"/>
        </w:rPr>
        <w:fldChar w:fldCharType="separate"/>
      </w:r>
      <w:r>
        <w:rPr>
          <w:bCs/>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_Toc17214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_Toc27509 </w:instrText>
      </w:r>
      <w:r>
        <w:rPr>
          <w:bCs/>
          <w:color w:val="000000"/>
          <w:highlight w:val="none"/>
        </w:rPr>
        <w:fldChar w:fldCharType="separate"/>
      </w:r>
      <w:r>
        <w:rPr>
          <w:bCs/>
          <w:color w:val="000000"/>
          <w:szCs w:val="21"/>
          <w:highlight w:val="none"/>
          <w:lang w:val="zh-CN"/>
        </w:rPr>
        <w:t xml:space="preserve">1.</w:t>
      </w:r>
      <w:r>
        <w:rPr>
          <w:color w:val="000000"/>
          <w:szCs w:val="21"/>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_Toc27509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_Toc6479 </w:instrText>
      </w:r>
      <w:r>
        <w:rPr>
          <w:bCs/>
          <w:color w:val="000000"/>
          <w:highlight w:val="none"/>
        </w:rPr>
        <w:fldChar w:fldCharType="separate"/>
      </w:r>
      <w:r>
        <w:rPr>
          <w:bCs/>
          <w:color w:val="000000"/>
          <w:szCs w:val="21"/>
          <w:highlight w:val="none"/>
          <w:lang w:val="zh-CN"/>
        </w:rPr>
        <w:t xml:space="preserve">2.</w:t>
      </w:r>
      <w:r>
        <w:rPr>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_Toc6479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_Toc21937 </w:instrText>
      </w:r>
      <w:r>
        <w:rPr>
          <w:bCs/>
          <w:color w:val="000000"/>
          <w:highlight w:val="none"/>
        </w:rPr>
        <w:fldChar w:fldCharType="separate"/>
      </w:r>
      <w:r>
        <w:rPr>
          <w:color w:val="000000"/>
          <w:highlight w:val="none"/>
        </w:rPr>
        <w:t xml:space="preserve">3.政策功能</w:t>
      </w:r>
      <w:r>
        <w:rPr>
          <w:color w:val="000000"/>
          <w:highlight w:val="none"/>
        </w:rPr>
        <w:tab/>
      </w:r>
      <w:r>
        <w:rPr>
          <w:color w:val="000000"/>
          <w:highlight w:val="none"/>
        </w:rPr>
        <w:fldChar w:fldCharType="begin"/>
      </w:r>
      <w:r>
        <w:rPr>
          <w:color w:val="000000"/>
          <w:highlight w:val="none"/>
        </w:rPr>
        <w:instrText xml:space="preserve"> PAGEREF _Toc21937 \h </w:instrText>
      </w:r>
      <w:r>
        <w:rPr>
          <w:color w:val="000000"/>
          <w:highlight w:val="none"/>
        </w:rPr>
        <w:fldChar w:fldCharType="separate"/>
      </w:r>
      <w:r>
        <w:rPr>
          <w:color w:val="000000"/>
          <w:highlight w:val="none"/>
        </w:rPr>
        <w:t xml:space="preserve">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_Toc25193 </w:instrText>
      </w:r>
      <w:r>
        <w:rPr>
          <w:bCs/>
          <w:color w:val="000000"/>
          <w:highlight w:val="none"/>
        </w:rPr>
        <w:fldChar w:fldCharType="separate"/>
      </w:r>
      <w:r>
        <w:rPr>
          <w:bCs/>
          <w:color w:val="000000"/>
          <w:szCs w:val="21"/>
          <w:highlight w:val="none"/>
          <w:lang w:val="zh-CN"/>
        </w:rPr>
        <w:t xml:space="preserve">4.</w:t>
      </w:r>
      <w:r>
        <w:rPr>
          <w:color w:val="000000"/>
          <w:szCs w:val="21"/>
          <w:highlight w:val="none"/>
          <w:lang w:val="zh-CN"/>
        </w:rPr>
        <w:t xml:space="preserve">投标费用</w:t>
      </w:r>
      <w:r>
        <w:rPr>
          <w:color w:val="000000"/>
          <w:highlight w:val="none"/>
        </w:rPr>
        <w:tab/>
      </w:r>
      <w:r>
        <w:rPr>
          <w:color w:val="000000"/>
          <w:highlight w:val="none"/>
        </w:rPr>
        <w:fldChar w:fldCharType="begin"/>
      </w:r>
      <w:r>
        <w:rPr>
          <w:color w:val="000000"/>
          <w:highlight w:val="none"/>
        </w:rPr>
        <w:instrText xml:space="preserve"> PAGEREF _Toc25193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_Toc31643 </w:instrText>
      </w:r>
      <w:r>
        <w:rPr>
          <w:bCs/>
          <w:color w:val="000000"/>
          <w:highlight w:val="none"/>
        </w:rPr>
        <w:fldChar w:fldCharType="separate"/>
      </w:r>
      <w:r>
        <w:rPr>
          <w:bCs/>
          <w:color w:val="000000"/>
          <w:szCs w:val="21"/>
          <w:highlight w:val="none"/>
          <w:lang w:val="zh-CN"/>
        </w:rPr>
        <w:t xml:space="preserve">5.</w:t>
      </w:r>
      <w:r>
        <w:rPr>
          <w:color w:val="000000"/>
          <w:szCs w:val="21"/>
          <w:highlight w:val="none"/>
          <w:lang w:val="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_Toc31643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_Toc8997 </w:instrText>
      </w:r>
      <w:r>
        <w:rPr>
          <w:bCs/>
          <w:color w:val="000000"/>
          <w:highlight w:val="none"/>
        </w:rPr>
        <w:fldChar w:fldCharType="separate"/>
      </w:r>
      <w:r>
        <w:rPr>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_Toc8997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_Toc32663 </w:instrText>
      </w:r>
      <w:r>
        <w:rPr>
          <w:bCs/>
          <w:color w:val="000000"/>
          <w:highlight w:val="none"/>
        </w:rPr>
        <w:fldChar w:fldCharType="separate"/>
      </w:r>
      <w:r>
        <w:rPr>
          <w:bCs/>
          <w:color w:val="000000"/>
          <w:szCs w:val="21"/>
          <w:highlight w:val="none"/>
          <w:lang w:val="zh-CN"/>
        </w:rPr>
        <w:t xml:space="preserve">6.</w:t>
      </w:r>
      <w:r>
        <w:rPr>
          <w:color w:val="000000"/>
          <w:szCs w:val="21"/>
          <w:highlight w:val="none"/>
          <w:lang w:val="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_Toc32663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_Toc11205 </w:instrText>
      </w:r>
      <w:r>
        <w:rPr>
          <w:bCs/>
          <w:color w:val="000000"/>
          <w:highlight w:val="none"/>
        </w:rPr>
        <w:fldChar w:fldCharType="separate"/>
      </w:r>
      <w:r>
        <w:rPr>
          <w:bCs/>
          <w:color w:val="000000"/>
          <w:szCs w:val="21"/>
          <w:highlight w:val="none"/>
        </w:rPr>
        <w:t xml:space="preserve">7.招标文件的澄清、补充或修改</w:t>
      </w:r>
      <w:r>
        <w:rPr>
          <w:color w:val="000000"/>
          <w:highlight w:val="none"/>
        </w:rPr>
        <w:tab/>
      </w:r>
      <w:r>
        <w:rPr>
          <w:color w:val="000000"/>
          <w:highlight w:val="none"/>
        </w:rPr>
        <w:fldChar w:fldCharType="begin"/>
      </w:r>
      <w:r>
        <w:rPr>
          <w:color w:val="000000"/>
          <w:highlight w:val="none"/>
        </w:rPr>
        <w:instrText xml:space="preserve"> PAGEREF _Toc11205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_Toc29344 </w:instrText>
      </w:r>
      <w:r>
        <w:rPr>
          <w:bCs/>
          <w:color w:val="000000"/>
          <w:highlight w:val="none"/>
        </w:rPr>
        <w:fldChar w:fldCharType="separate"/>
      </w:r>
      <w:r>
        <w:rPr>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_Toc29344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_Toc19466 </w:instrText>
      </w:r>
      <w:r>
        <w:rPr>
          <w:bCs/>
          <w:color w:val="000000"/>
          <w:highlight w:val="none"/>
        </w:rPr>
        <w:fldChar w:fldCharType="separate"/>
      </w:r>
      <w:r>
        <w:rPr>
          <w:bCs/>
          <w:color w:val="000000"/>
          <w:szCs w:val="21"/>
          <w:highlight w:val="none"/>
        </w:rPr>
        <w:t xml:space="preserve">8.投标文件的语言、计量单位、货币</w:t>
      </w:r>
      <w:r>
        <w:rPr>
          <w:color w:val="000000"/>
          <w:highlight w:val="none"/>
        </w:rPr>
        <w:tab/>
      </w:r>
      <w:r>
        <w:rPr>
          <w:color w:val="000000"/>
          <w:highlight w:val="none"/>
        </w:rPr>
        <w:fldChar w:fldCharType="begin"/>
      </w:r>
      <w:r>
        <w:rPr>
          <w:color w:val="000000"/>
          <w:highlight w:val="none"/>
        </w:rPr>
        <w:instrText xml:space="preserve"> PAGEREF _Toc19466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_Toc17734 </w:instrText>
      </w:r>
      <w:r>
        <w:rPr>
          <w:bCs/>
          <w:color w:val="000000"/>
          <w:highlight w:val="none"/>
        </w:rPr>
        <w:fldChar w:fldCharType="separate"/>
      </w:r>
      <w:r>
        <w:rPr>
          <w:bCs/>
          <w:color w:val="000000"/>
          <w:szCs w:val="21"/>
          <w:highlight w:val="none"/>
        </w:rPr>
        <w:t xml:space="preserve">9.</w:t>
      </w:r>
      <w:r>
        <w:rPr>
          <w:color w:val="000000"/>
          <w:szCs w:val="21"/>
          <w:highlight w:val="none"/>
          <w:lang w:val="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_Toc17734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_Toc23258 </w:instrText>
      </w:r>
      <w:r>
        <w:rPr>
          <w:bCs/>
          <w:color w:val="000000"/>
          <w:highlight w:val="none"/>
        </w:rPr>
        <w:fldChar w:fldCharType="separate"/>
      </w:r>
      <w:r>
        <w:rPr>
          <w:bCs/>
          <w:color w:val="000000"/>
          <w:szCs w:val="21"/>
          <w:highlight w:val="none"/>
        </w:rPr>
        <w:t xml:space="preserve">10.投标文件的组成</w:t>
      </w:r>
      <w:r>
        <w:rPr>
          <w:color w:val="000000"/>
          <w:highlight w:val="none"/>
        </w:rPr>
        <w:tab/>
      </w:r>
      <w:r>
        <w:rPr>
          <w:color w:val="000000"/>
          <w:highlight w:val="none"/>
        </w:rPr>
        <w:fldChar w:fldCharType="begin"/>
      </w:r>
      <w:r>
        <w:rPr>
          <w:color w:val="000000"/>
          <w:highlight w:val="none"/>
        </w:rPr>
        <w:instrText xml:space="preserve"> PAGEREF _Toc23258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_Toc8507 </w:instrText>
      </w:r>
      <w:r>
        <w:rPr>
          <w:bCs/>
          <w:color w:val="000000"/>
          <w:highlight w:val="none"/>
        </w:rPr>
        <w:fldChar w:fldCharType="separate"/>
      </w:r>
      <w:r>
        <w:rPr>
          <w:bCs/>
          <w:color w:val="000000"/>
          <w:szCs w:val="21"/>
          <w:highlight w:val="none"/>
        </w:rPr>
        <w:t xml:space="preserve">11.投标保证金</w:t>
      </w:r>
      <w:r>
        <w:rPr>
          <w:color w:val="000000"/>
          <w:highlight w:val="none"/>
        </w:rPr>
        <w:tab/>
      </w:r>
      <w:r>
        <w:rPr>
          <w:color w:val="000000"/>
          <w:highlight w:val="none"/>
        </w:rPr>
        <w:fldChar w:fldCharType="begin"/>
      </w:r>
      <w:r>
        <w:rPr>
          <w:color w:val="000000"/>
          <w:highlight w:val="none"/>
        </w:rPr>
        <w:instrText xml:space="preserve"> PAGEREF _Toc8507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_Toc22509 </w:instrText>
      </w:r>
      <w:r>
        <w:rPr>
          <w:bCs/>
          <w:color w:val="000000"/>
          <w:highlight w:val="none"/>
        </w:rPr>
        <w:fldChar w:fldCharType="separate"/>
      </w:r>
      <w:r>
        <w:rPr>
          <w:bCs/>
          <w:color w:val="000000"/>
          <w:szCs w:val="21"/>
          <w:highlight w:val="none"/>
        </w:rPr>
        <w:t xml:space="preserve">12.投标文件的有效期</w:t>
      </w:r>
      <w:r>
        <w:rPr>
          <w:color w:val="000000"/>
          <w:highlight w:val="none"/>
        </w:rPr>
        <w:tab/>
      </w:r>
      <w:r>
        <w:rPr>
          <w:color w:val="000000"/>
          <w:highlight w:val="none"/>
        </w:rPr>
        <w:fldChar w:fldCharType="begin"/>
      </w:r>
      <w:r>
        <w:rPr>
          <w:color w:val="000000"/>
          <w:highlight w:val="none"/>
        </w:rPr>
        <w:instrText xml:space="preserve"> PAGEREF _Toc22509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_Toc30918 </w:instrText>
      </w:r>
      <w:r>
        <w:rPr>
          <w:bCs/>
          <w:color w:val="000000"/>
          <w:highlight w:val="none"/>
        </w:rPr>
        <w:fldChar w:fldCharType="separate"/>
      </w:r>
      <w:r>
        <w:rPr>
          <w:bCs/>
          <w:color w:val="000000"/>
          <w:szCs w:val="21"/>
          <w:highlight w:val="none"/>
        </w:rPr>
        <w:t xml:space="preserve">13.投标文件的签署及其形式</w:t>
      </w:r>
      <w:r>
        <w:rPr>
          <w:color w:val="000000"/>
          <w:highlight w:val="none"/>
        </w:rPr>
        <w:tab/>
      </w:r>
      <w:r>
        <w:rPr>
          <w:color w:val="000000"/>
          <w:highlight w:val="none"/>
        </w:rPr>
        <w:fldChar w:fldCharType="begin"/>
      </w:r>
      <w:r>
        <w:rPr>
          <w:color w:val="000000"/>
          <w:highlight w:val="none"/>
        </w:rPr>
        <w:instrText xml:space="preserve"> PAGEREF _Toc30918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_Toc24607 </w:instrText>
      </w:r>
      <w:r>
        <w:rPr>
          <w:bCs/>
          <w:color w:val="000000"/>
          <w:highlight w:val="none"/>
        </w:rPr>
        <w:fldChar w:fldCharType="separate"/>
      </w:r>
      <w:r>
        <w:rPr>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_Toc24607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_Toc16983 </w:instrText>
      </w:r>
      <w:r>
        <w:rPr>
          <w:bCs/>
          <w:color w:val="000000"/>
          <w:highlight w:val="none"/>
        </w:rPr>
        <w:fldChar w:fldCharType="separate"/>
      </w:r>
      <w:r>
        <w:rPr>
          <w:bCs/>
          <w:color w:val="000000"/>
          <w:szCs w:val="21"/>
          <w:highlight w:val="none"/>
        </w:rPr>
        <w:t xml:space="preserve">14.投标文件的密封及标记</w:t>
      </w:r>
      <w:r>
        <w:rPr>
          <w:color w:val="000000"/>
          <w:highlight w:val="none"/>
        </w:rPr>
        <w:tab/>
      </w:r>
      <w:r>
        <w:rPr>
          <w:color w:val="000000"/>
          <w:highlight w:val="none"/>
        </w:rPr>
        <w:fldChar w:fldCharType="begin"/>
      </w:r>
      <w:r>
        <w:rPr>
          <w:color w:val="000000"/>
          <w:highlight w:val="none"/>
        </w:rPr>
        <w:instrText xml:space="preserve"> PAGEREF _Toc16983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_Toc12570 </w:instrText>
      </w:r>
      <w:r>
        <w:rPr>
          <w:bCs/>
          <w:color w:val="000000"/>
          <w:highlight w:val="none"/>
        </w:rPr>
        <w:fldChar w:fldCharType="separate"/>
      </w:r>
      <w:r>
        <w:rPr>
          <w:bCs/>
          <w:color w:val="000000"/>
          <w:szCs w:val="21"/>
          <w:highlight w:val="none"/>
        </w:rPr>
        <w:t xml:space="preserve">15.投标的截止日期</w:t>
      </w:r>
      <w:r>
        <w:rPr>
          <w:color w:val="000000"/>
          <w:highlight w:val="none"/>
        </w:rPr>
        <w:tab/>
      </w:r>
      <w:r>
        <w:rPr>
          <w:color w:val="000000"/>
          <w:highlight w:val="none"/>
        </w:rPr>
        <w:fldChar w:fldCharType="begin"/>
      </w:r>
      <w:r>
        <w:rPr>
          <w:color w:val="000000"/>
          <w:highlight w:val="none"/>
        </w:rPr>
        <w:instrText xml:space="preserve"> PAGEREF _Toc12570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_Toc18944 </w:instrText>
      </w:r>
      <w:r>
        <w:rPr>
          <w:bCs/>
          <w:color w:val="000000"/>
          <w:highlight w:val="none"/>
        </w:rPr>
        <w:fldChar w:fldCharType="separate"/>
      </w:r>
      <w:r>
        <w:rPr>
          <w:bCs/>
          <w:color w:val="000000"/>
          <w:szCs w:val="21"/>
          <w:highlight w:val="none"/>
        </w:rPr>
        <w:t xml:space="preserve">16.投标文件的拒收</w:t>
      </w:r>
      <w:r>
        <w:rPr>
          <w:color w:val="000000"/>
          <w:highlight w:val="none"/>
        </w:rPr>
        <w:tab/>
      </w:r>
      <w:r>
        <w:rPr>
          <w:color w:val="000000"/>
          <w:highlight w:val="none"/>
        </w:rPr>
        <w:fldChar w:fldCharType="begin"/>
      </w:r>
      <w:r>
        <w:rPr>
          <w:color w:val="000000"/>
          <w:highlight w:val="none"/>
        </w:rPr>
        <w:instrText xml:space="preserve"> PAGEREF _Toc18944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_Toc8045 </w:instrText>
      </w:r>
      <w:r>
        <w:rPr>
          <w:bCs/>
          <w:color w:val="000000"/>
          <w:highlight w:val="none"/>
        </w:rPr>
        <w:fldChar w:fldCharType="separate"/>
      </w:r>
      <w:r>
        <w:rPr>
          <w:bCs/>
          <w:color w:val="000000"/>
          <w:szCs w:val="21"/>
          <w:highlight w:val="none"/>
        </w:rPr>
        <w:t xml:space="preserve">17.投标文件的修改或撤回</w:t>
      </w:r>
      <w:r>
        <w:rPr>
          <w:color w:val="000000"/>
          <w:highlight w:val="none"/>
        </w:rPr>
        <w:tab/>
      </w:r>
      <w:r>
        <w:rPr>
          <w:color w:val="000000"/>
          <w:highlight w:val="none"/>
        </w:rPr>
        <w:fldChar w:fldCharType="begin"/>
      </w:r>
      <w:r>
        <w:rPr>
          <w:color w:val="000000"/>
          <w:highlight w:val="none"/>
        </w:rPr>
        <w:instrText xml:space="preserve"> PAGEREF _Toc8045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_Toc4024 </w:instrText>
      </w:r>
      <w:r>
        <w:rPr>
          <w:bCs/>
          <w:color w:val="000000"/>
          <w:highlight w:val="none"/>
        </w:rPr>
        <w:fldChar w:fldCharType="separate"/>
      </w:r>
      <w:r>
        <w:rPr>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_Toc4024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_Toc14931 </w:instrText>
      </w:r>
      <w:r>
        <w:rPr>
          <w:bCs/>
          <w:color w:val="000000"/>
          <w:highlight w:val="none"/>
        </w:rPr>
        <w:fldChar w:fldCharType="separate"/>
      </w:r>
      <w:r>
        <w:rPr>
          <w:bCs/>
          <w:color w:val="000000"/>
          <w:szCs w:val="21"/>
          <w:highlight w:val="none"/>
        </w:rPr>
        <w:t xml:space="preserve">18.开标</w:t>
      </w:r>
      <w:r>
        <w:rPr>
          <w:color w:val="000000"/>
          <w:highlight w:val="none"/>
        </w:rPr>
        <w:tab/>
      </w:r>
      <w:r>
        <w:rPr>
          <w:color w:val="000000"/>
          <w:highlight w:val="none"/>
        </w:rPr>
        <w:fldChar w:fldCharType="begin"/>
      </w:r>
      <w:r>
        <w:rPr>
          <w:color w:val="000000"/>
          <w:highlight w:val="none"/>
        </w:rPr>
        <w:instrText xml:space="preserve"> PAGEREF _Toc14931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_Toc8318 </w:instrText>
      </w:r>
      <w:r>
        <w:rPr>
          <w:bCs/>
          <w:color w:val="000000"/>
          <w:highlight w:val="none"/>
        </w:rPr>
        <w:fldChar w:fldCharType="separate"/>
      </w:r>
      <w:r>
        <w:rPr>
          <w:bCs/>
          <w:color w:val="000000"/>
          <w:szCs w:val="21"/>
          <w:highlight w:val="none"/>
        </w:rPr>
        <w:t xml:space="preserve">19.评标组织</w:t>
      </w:r>
      <w:r>
        <w:rPr>
          <w:color w:val="000000"/>
          <w:highlight w:val="none"/>
        </w:rPr>
        <w:tab/>
      </w:r>
      <w:r>
        <w:rPr>
          <w:color w:val="000000"/>
          <w:highlight w:val="none"/>
        </w:rPr>
        <w:fldChar w:fldCharType="begin"/>
      </w:r>
      <w:r>
        <w:rPr>
          <w:color w:val="000000"/>
          <w:highlight w:val="none"/>
        </w:rPr>
        <w:instrText xml:space="preserve"> PAGEREF _Toc8318 \h </w:instrText>
      </w:r>
      <w:r>
        <w:rPr>
          <w:color w:val="000000"/>
          <w:highlight w:val="none"/>
        </w:rPr>
        <w:fldChar w:fldCharType="separate"/>
      </w:r>
      <w:r>
        <w:rPr>
          <w:color w:val="000000"/>
          <w:highlight w:val="none"/>
        </w:rPr>
        <w:t xml:space="preserve">16</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_Toc29364 </w:instrText>
      </w:r>
      <w:r>
        <w:rPr>
          <w:bCs/>
          <w:color w:val="000000"/>
          <w:highlight w:val="none"/>
        </w:rPr>
        <w:fldChar w:fldCharType="separate"/>
      </w:r>
      <w:r>
        <w:rPr>
          <w:bCs/>
          <w:color w:val="000000"/>
          <w:szCs w:val="21"/>
          <w:highlight w:val="none"/>
        </w:rPr>
        <w:t xml:space="preserve">20.对投标文件的资格性审查和符合性审查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_Toc29364 \h </w:instrText>
      </w:r>
      <w:r>
        <w:rPr>
          <w:color w:val="000000"/>
          <w:highlight w:val="none"/>
        </w:rPr>
        <w:fldChar w:fldCharType="separate"/>
      </w:r>
      <w:r>
        <w:rPr>
          <w:color w:val="000000"/>
          <w:highlight w:val="none"/>
        </w:rPr>
        <w:t xml:space="preserve">16</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_Toc2528 </w:instrText>
      </w:r>
      <w:r>
        <w:rPr>
          <w:bCs/>
          <w:color w:val="000000"/>
          <w:highlight w:val="none"/>
        </w:rPr>
        <w:fldChar w:fldCharType="separate"/>
      </w:r>
      <w:r>
        <w:rPr>
          <w:bCs/>
          <w:color w:val="000000"/>
          <w:szCs w:val="21"/>
          <w:highlight w:val="none"/>
        </w:rPr>
        <w:t xml:space="preserve">21.投标文件的澄清</w:t>
      </w:r>
      <w:r>
        <w:rPr>
          <w:color w:val="000000"/>
          <w:highlight w:val="none"/>
        </w:rPr>
        <w:tab/>
      </w:r>
      <w:r>
        <w:rPr>
          <w:color w:val="000000"/>
          <w:highlight w:val="none"/>
        </w:rPr>
        <w:fldChar w:fldCharType="begin"/>
      </w:r>
      <w:r>
        <w:rPr>
          <w:color w:val="000000"/>
          <w:highlight w:val="none"/>
        </w:rPr>
        <w:instrText xml:space="preserve"> PAGEREF _Toc2528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_Toc1827 </w:instrText>
      </w:r>
      <w:r>
        <w:rPr>
          <w:bCs/>
          <w:color w:val="000000"/>
          <w:highlight w:val="none"/>
        </w:rPr>
        <w:fldChar w:fldCharType="separate"/>
      </w:r>
      <w:r>
        <w:rPr>
          <w:bCs/>
          <w:color w:val="000000"/>
          <w:szCs w:val="21"/>
          <w:highlight w:val="none"/>
        </w:rPr>
        <w:t xml:space="preserve">22.对投标文件的详细评审</w:t>
      </w:r>
      <w:r>
        <w:rPr>
          <w:color w:val="000000"/>
          <w:highlight w:val="none"/>
        </w:rPr>
        <w:tab/>
      </w:r>
      <w:r>
        <w:rPr>
          <w:color w:val="000000"/>
          <w:highlight w:val="none"/>
        </w:rPr>
        <w:fldChar w:fldCharType="begin"/>
      </w:r>
      <w:r>
        <w:rPr>
          <w:color w:val="000000"/>
          <w:highlight w:val="none"/>
        </w:rPr>
        <w:instrText xml:space="preserve"> PAGEREF _Toc1827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_Toc17011 </w:instrText>
      </w:r>
      <w:r>
        <w:rPr>
          <w:bCs/>
          <w:color w:val="000000"/>
          <w:highlight w:val="none"/>
        </w:rPr>
        <w:fldChar w:fldCharType="separate"/>
      </w:r>
      <w:r>
        <w:rPr>
          <w:bCs/>
          <w:color w:val="000000"/>
          <w:szCs w:val="21"/>
          <w:highlight w:val="none"/>
        </w:rPr>
        <w:t xml:space="preserve">23.评标过程的保密与公正</w:t>
      </w:r>
      <w:r>
        <w:rPr>
          <w:color w:val="000000"/>
          <w:highlight w:val="none"/>
        </w:rPr>
        <w:tab/>
      </w:r>
      <w:r>
        <w:rPr>
          <w:color w:val="000000"/>
          <w:highlight w:val="none"/>
        </w:rPr>
        <w:fldChar w:fldCharType="begin"/>
      </w:r>
      <w:r>
        <w:rPr>
          <w:color w:val="000000"/>
          <w:highlight w:val="none"/>
        </w:rPr>
        <w:instrText xml:space="preserve"> PAGEREF _Toc17011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_Toc17645 </w:instrText>
      </w:r>
      <w:r>
        <w:rPr>
          <w:bCs/>
          <w:color w:val="000000"/>
          <w:highlight w:val="none"/>
        </w:rPr>
        <w:fldChar w:fldCharType="separate"/>
      </w:r>
      <w:r>
        <w:rPr>
          <w:bCs/>
          <w:color w:val="000000"/>
          <w:szCs w:val="21"/>
          <w:highlight w:val="none"/>
        </w:rPr>
        <w:t xml:space="preserve">24.无效投标条款和废标条款</w:t>
      </w:r>
      <w:r>
        <w:rPr>
          <w:color w:val="000000"/>
          <w:highlight w:val="none"/>
        </w:rPr>
        <w:tab/>
      </w:r>
      <w:r>
        <w:rPr>
          <w:color w:val="000000"/>
          <w:highlight w:val="none"/>
        </w:rPr>
        <w:fldChar w:fldCharType="begin"/>
      </w:r>
      <w:r>
        <w:rPr>
          <w:color w:val="000000"/>
          <w:highlight w:val="none"/>
        </w:rPr>
        <w:instrText xml:space="preserve"> PAGEREF _Toc17645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_Toc30516 </w:instrText>
      </w:r>
      <w:r>
        <w:rPr>
          <w:bCs/>
          <w:color w:val="000000"/>
          <w:highlight w:val="none"/>
        </w:rPr>
        <w:fldChar w:fldCharType="separate"/>
      </w:r>
      <w:r>
        <w:rPr>
          <w:bCs/>
          <w:color w:val="000000"/>
          <w:szCs w:val="21"/>
          <w:highlight w:val="none"/>
        </w:rPr>
        <w:t xml:space="preserve">25.投标截止时间结束参加投标的供应商不足三家的处理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_Toc30516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_Toc28271 </w:instrText>
      </w:r>
      <w:r>
        <w:rPr>
          <w:bCs/>
          <w:color w:val="000000"/>
          <w:highlight w:val="none"/>
        </w:rPr>
        <w:fldChar w:fldCharType="separate"/>
      </w:r>
      <w:r>
        <w:rPr>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_Toc28271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_Toc27899 </w:instrText>
      </w:r>
      <w:r>
        <w:rPr>
          <w:bCs/>
          <w:color w:val="000000"/>
          <w:highlight w:val="none"/>
        </w:rPr>
        <w:fldChar w:fldCharType="separate"/>
      </w:r>
      <w:r>
        <w:rPr>
          <w:bCs/>
          <w:color w:val="000000"/>
          <w:szCs w:val="21"/>
          <w:highlight w:val="none"/>
        </w:rPr>
        <w:t xml:space="preserve">26.确定中标供应商</w:t>
      </w:r>
      <w:r>
        <w:rPr>
          <w:color w:val="000000"/>
          <w:highlight w:val="none"/>
        </w:rPr>
        <w:tab/>
      </w:r>
      <w:r>
        <w:rPr>
          <w:color w:val="000000"/>
          <w:highlight w:val="none"/>
        </w:rPr>
        <w:fldChar w:fldCharType="begin"/>
      </w:r>
      <w:r>
        <w:rPr>
          <w:color w:val="000000"/>
          <w:highlight w:val="none"/>
        </w:rPr>
        <w:instrText xml:space="preserve"> PAGEREF _Toc27899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_Toc22863 </w:instrText>
      </w:r>
      <w:r>
        <w:rPr>
          <w:bCs/>
          <w:color w:val="000000"/>
          <w:highlight w:val="none"/>
        </w:rPr>
        <w:fldChar w:fldCharType="separate"/>
      </w:r>
      <w:r>
        <w:rPr>
          <w:bCs/>
          <w:color w:val="000000"/>
          <w:szCs w:val="21"/>
          <w:highlight w:val="none"/>
        </w:rPr>
        <w:t xml:space="preserve">27.中标的通知</w:t>
      </w:r>
      <w:r>
        <w:rPr>
          <w:color w:val="000000"/>
          <w:highlight w:val="none"/>
        </w:rPr>
        <w:tab/>
      </w:r>
      <w:r>
        <w:rPr>
          <w:color w:val="000000"/>
          <w:highlight w:val="none"/>
        </w:rPr>
        <w:fldChar w:fldCharType="begin"/>
      </w:r>
      <w:r>
        <w:rPr>
          <w:color w:val="000000"/>
          <w:highlight w:val="none"/>
        </w:rPr>
        <w:instrText xml:space="preserve"> PAGEREF _Toc22863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_Toc24155 </w:instrText>
      </w:r>
      <w:r>
        <w:rPr>
          <w:bCs/>
          <w:color w:val="000000"/>
          <w:highlight w:val="none"/>
        </w:rPr>
        <w:fldChar w:fldCharType="separate"/>
      </w:r>
      <w:r>
        <w:rPr>
          <w:bCs/>
          <w:color w:val="000000"/>
          <w:szCs w:val="21"/>
          <w:highlight w:val="none"/>
        </w:rPr>
        <w:t xml:space="preserve">28.签订合同</w:t>
      </w:r>
      <w:r>
        <w:rPr>
          <w:color w:val="000000"/>
          <w:highlight w:val="none"/>
        </w:rPr>
        <w:tab/>
      </w:r>
      <w:r>
        <w:rPr>
          <w:color w:val="000000"/>
          <w:highlight w:val="none"/>
        </w:rPr>
        <w:fldChar w:fldCharType="begin"/>
      </w:r>
      <w:r>
        <w:rPr>
          <w:color w:val="000000"/>
          <w:highlight w:val="none"/>
        </w:rPr>
        <w:instrText xml:space="preserve"> PAGEREF _Toc24155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_Toc11086 </w:instrText>
      </w:r>
      <w:r>
        <w:rPr>
          <w:bCs/>
          <w:color w:val="000000"/>
          <w:highlight w:val="none"/>
        </w:rPr>
        <w:fldChar w:fldCharType="separate"/>
      </w:r>
      <w:r>
        <w:rPr>
          <w:bCs/>
          <w:color w:val="000000"/>
          <w:szCs w:val="21"/>
          <w:highlight w:val="none"/>
        </w:rPr>
        <w:t xml:space="preserve">29.招标代理服务费</w:t>
      </w:r>
      <w:r>
        <w:rPr>
          <w:color w:val="000000"/>
          <w:highlight w:val="none"/>
        </w:rPr>
        <w:tab/>
      </w:r>
      <w:r>
        <w:rPr>
          <w:color w:val="000000"/>
          <w:highlight w:val="none"/>
        </w:rPr>
        <w:fldChar w:fldCharType="begin"/>
      </w:r>
      <w:r>
        <w:rPr>
          <w:color w:val="000000"/>
          <w:highlight w:val="none"/>
        </w:rPr>
        <w:instrText xml:space="preserve"> PAGEREF _Toc11086 \h </w:instrText>
      </w:r>
      <w:r>
        <w:rPr>
          <w:color w:val="000000"/>
          <w:highlight w:val="none"/>
        </w:rPr>
        <w:fldChar w:fldCharType="separate"/>
      </w:r>
      <w:r>
        <w:rPr>
          <w:color w:val="000000"/>
          <w:highlight w:val="none"/>
        </w:rPr>
        <w:t xml:space="preserve">21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_Toc16803 </w:instrText>
      </w:r>
      <w:r>
        <w:rPr>
          <w:bCs/>
          <w:color w:val="000000"/>
          <w:highlight w:val="none"/>
        </w:rPr>
        <w:fldChar w:fldCharType="separate"/>
      </w:r>
      <w:r>
        <w:rPr>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_Toc16803 \h </w:instrText>
      </w:r>
      <w:r>
        <w:rPr>
          <w:color w:val="000000"/>
          <w:highlight w:val="none"/>
        </w:rPr>
        <w:fldChar w:fldCharType="separate"/>
      </w:r>
      <w:r>
        <w:rPr>
          <w:color w:val="000000"/>
          <w:highlight w:val="none"/>
        </w:rPr>
        <w:t xml:space="preserve">21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_Toc4806 </w:instrText>
      </w:r>
      <w:r>
        <w:rPr>
          <w:bCs/>
          <w:color w:val="000000"/>
          <w:highlight w:val="none"/>
        </w:rPr>
        <w:fldChar w:fldCharType="separate"/>
      </w:r>
      <w:r>
        <w:rPr>
          <w:bCs/>
          <w:color w:val="000000"/>
          <w:szCs w:val="21"/>
          <w:highlight w:val="none"/>
        </w:rPr>
        <w:t xml:space="preserve">30、质疑</w:t>
      </w:r>
      <w:r>
        <w:rPr>
          <w:color w:val="000000"/>
          <w:highlight w:val="none"/>
        </w:rPr>
        <w:tab/>
      </w:r>
      <w:r>
        <w:rPr>
          <w:color w:val="000000"/>
          <w:highlight w:val="none"/>
        </w:rPr>
        <w:fldChar w:fldCharType="begin"/>
      </w:r>
      <w:r>
        <w:rPr>
          <w:color w:val="000000"/>
          <w:highlight w:val="none"/>
        </w:rPr>
        <w:instrText xml:space="preserve"> PAGEREF _Toc4806 \h </w:instrText>
      </w:r>
      <w:r>
        <w:rPr>
          <w:color w:val="000000"/>
          <w:highlight w:val="none"/>
        </w:rPr>
        <w:fldChar w:fldCharType="separate"/>
      </w:r>
      <w:r>
        <w:rPr>
          <w:color w:val="000000"/>
          <w:highlight w:val="none"/>
        </w:rPr>
        <w:t xml:space="preserve">21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_Toc32743 </w:instrText>
      </w:r>
      <w:r>
        <w:rPr>
          <w:bCs/>
          <w:color w:val="000000"/>
          <w:highlight w:val="none"/>
        </w:rPr>
        <w:fldChar w:fldCharType="separate"/>
      </w:r>
      <w:r>
        <w:rPr>
          <w:bCs/>
          <w:color w:val="000000"/>
          <w:highlight w:val="none"/>
        </w:rPr>
        <w:t xml:space="preserve">八、政府采购履约资金扶持政策</w:t>
      </w:r>
      <w:r>
        <w:rPr>
          <w:color w:val="000000"/>
          <w:highlight w:val="none"/>
        </w:rPr>
        <w:tab/>
      </w:r>
      <w:r>
        <w:rPr>
          <w:color w:val="000000"/>
          <w:highlight w:val="none"/>
        </w:rPr>
        <w:fldChar w:fldCharType="begin"/>
      </w:r>
      <w:r>
        <w:rPr>
          <w:color w:val="000000"/>
          <w:highlight w:val="none"/>
        </w:rPr>
        <w:instrText xml:space="preserve"> PAGEREF _Toc32743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3"/>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 </w:instrText>
      </w:r>
      <w:r>
        <w:rPr>
          <w:bCs/>
          <w:color w:val="000000"/>
          <w:highlight w:val="none"/>
        </w:rPr>
        <w:fldChar w:fldCharType="separate"/>
      </w:r>
      <w:r>
        <w:rPr>
          <w:color w:val="000000"/>
          <w:szCs w:val="28"/>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_Toc27 \h </w:instrText>
      </w:r>
      <w:r>
        <w:rPr>
          <w:color w:val="000000"/>
          <w:highlight w:val="none"/>
        </w:rPr>
        <w:fldChar w:fldCharType="separate"/>
      </w:r>
      <w:r>
        <w:rPr>
          <w:color w:val="000000"/>
          <w:highlight w:val="none"/>
        </w:rPr>
        <w:t xml:space="preserve">23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_Toc11564 </w:instrText>
      </w:r>
      <w:r>
        <w:rPr>
          <w:bCs/>
          <w:color w:val="000000"/>
          <w:highlight w:val="none"/>
        </w:rPr>
        <w:fldChar w:fldCharType="separate"/>
      </w:r>
      <w:r>
        <w:rPr>
          <w:rFonts w:hint="eastAsia"/>
          <w:color w:val="000000"/>
          <w:szCs w:val="21"/>
          <w:highlight w:val="none"/>
        </w:rPr>
        <w:t xml:space="preserve">分包1：</w:t>
      </w:r>
      <w:r>
        <w:rPr>
          <w:color w:val="000000"/>
          <w:highlight w:val="none"/>
        </w:rPr>
        <w:tab/>
      </w:r>
      <w:r>
        <w:rPr>
          <w:color w:val="000000"/>
          <w:highlight w:val="none"/>
        </w:rPr>
        <w:fldChar w:fldCharType="begin"/>
      </w:r>
      <w:r>
        <w:rPr>
          <w:color w:val="000000"/>
          <w:highlight w:val="none"/>
        </w:rPr>
        <w:instrText xml:space="preserve"> PAGEREF _Toc11564 \h </w:instrText>
      </w:r>
      <w:r>
        <w:rPr>
          <w:color w:val="000000"/>
          <w:highlight w:val="none"/>
        </w:rPr>
        <w:fldChar w:fldCharType="separate"/>
      </w:r>
      <w:r>
        <w:rPr>
          <w:color w:val="000000"/>
          <w:highlight w:val="none"/>
        </w:rPr>
        <w:t xml:space="preserve">24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_Toc20385 </w:instrText>
      </w:r>
      <w:r>
        <w:rPr>
          <w:bCs/>
          <w:color w:val="000000"/>
          <w:highlight w:val="none"/>
        </w:rPr>
        <w:fldChar w:fldCharType="separate"/>
      </w:r>
      <w:r>
        <w:rPr>
          <w:rFonts w:hint="eastAsia"/>
          <w:color w:val="000000"/>
          <w:szCs w:val="21"/>
          <w:highlight w:val="none"/>
        </w:rPr>
        <w:t xml:space="preserve">分包2：</w:t>
      </w:r>
      <w:r>
        <w:rPr>
          <w:color w:val="000000"/>
          <w:highlight w:val="none"/>
        </w:rPr>
        <w:tab/>
      </w:r>
      <w:r>
        <w:rPr>
          <w:color w:val="000000"/>
          <w:highlight w:val="none"/>
        </w:rPr>
        <w:fldChar w:fldCharType="begin"/>
      </w:r>
      <w:r>
        <w:rPr>
          <w:color w:val="000000"/>
          <w:highlight w:val="none"/>
        </w:rPr>
        <w:instrText xml:space="preserve"> PAGEREF _Toc20385 \h </w:instrText>
      </w:r>
      <w:r>
        <w:rPr>
          <w:color w:val="000000"/>
          <w:highlight w:val="none"/>
        </w:rPr>
        <w:fldChar w:fldCharType="separate"/>
      </w:r>
      <w:r>
        <w:rPr>
          <w:color w:val="000000"/>
          <w:highlight w:val="none"/>
        </w:rPr>
        <w:t xml:space="preserve">25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_Toc4919 </w:instrText>
      </w:r>
      <w:r>
        <w:rPr>
          <w:bCs/>
          <w:color w:val="000000"/>
          <w:highlight w:val="none"/>
        </w:rPr>
        <w:fldChar w:fldCharType="separate"/>
      </w:r>
      <w:r>
        <w:rPr>
          <w:rFonts w:hint="eastAsia"/>
          <w:color w:val="000000"/>
          <w:szCs w:val="21"/>
          <w:highlight w:val="none"/>
        </w:rPr>
        <w:t xml:space="preserve">分包3：</w:t>
      </w:r>
      <w:r>
        <w:rPr>
          <w:color w:val="000000"/>
          <w:highlight w:val="none"/>
        </w:rPr>
        <w:tab/>
      </w:r>
      <w:r>
        <w:rPr>
          <w:color w:val="000000"/>
          <w:highlight w:val="none"/>
        </w:rPr>
        <w:fldChar w:fldCharType="begin"/>
      </w:r>
      <w:r>
        <w:rPr>
          <w:color w:val="000000"/>
          <w:highlight w:val="none"/>
        </w:rPr>
        <w:instrText xml:space="preserve"> PAGEREF _Toc4919 \h </w:instrText>
      </w:r>
      <w:r>
        <w:rPr>
          <w:color w:val="000000"/>
          <w:highlight w:val="none"/>
        </w:rPr>
        <w:fldChar w:fldCharType="separate"/>
      </w:r>
      <w:r>
        <w:rPr>
          <w:color w:val="000000"/>
          <w:highlight w:val="none"/>
        </w:rPr>
        <w:t xml:space="preserve">27</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3"/>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_Toc4040 </w:instrText>
      </w:r>
      <w:r>
        <w:rPr>
          <w:bCs/>
          <w:color w:val="000000"/>
          <w:highlight w:val="none"/>
        </w:rPr>
        <w:fldChar w:fldCharType="separate"/>
      </w:r>
      <w:r>
        <w:rPr>
          <w:color w:val="000000"/>
          <w:szCs w:val="28"/>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_Toc4040 \h </w:instrText>
      </w:r>
      <w:r>
        <w:rPr>
          <w:color w:val="000000"/>
          <w:highlight w:val="none"/>
        </w:rPr>
        <w:fldChar w:fldCharType="separate"/>
      </w:r>
      <w:r>
        <w:rPr>
          <w:color w:val="000000"/>
          <w:highlight w:val="none"/>
        </w:rPr>
        <w:t xml:space="preserve">29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_Toc11148 </w:instrText>
      </w:r>
      <w:r>
        <w:rPr>
          <w:bCs/>
          <w:color w:val="000000"/>
          <w:highlight w:val="none"/>
        </w:rPr>
        <w:fldChar w:fldCharType="separate"/>
      </w:r>
      <w:r>
        <w:rPr>
          <w:bCs/>
          <w:color w:val="000000"/>
          <w:szCs w:val="21"/>
          <w:highlight w:val="none"/>
        </w:rPr>
        <w:t xml:space="preserve">分包1：平板速冻机</w:t>
      </w:r>
      <w:r>
        <w:rPr>
          <w:color w:val="000000"/>
          <w:highlight w:val="none"/>
        </w:rPr>
        <w:tab/>
      </w:r>
      <w:r>
        <w:rPr>
          <w:color w:val="000000"/>
          <w:highlight w:val="none"/>
        </w:rPr>
        <w:fldChar w:fldCharType="begin"/>
      </w:r>
      <w:r>
        <w:rPr>
          <w:color w:val="000000"/>
          <w:highlight w:val="none"/>
        </w:rPr>
        <w:instrText xml:space="preserve"> PAGEREF _Toc11148 \h </w:instrText>
      </w:r>
      <w:r>
        <w:rPr>
          <w:color w:val="000000"/>
          <w:highlight w:val="none"/>
        </w:rPr>
        <w:fldChar w:fldCharType="separate"/>
      </w:r>
      <w:r>
        <w:rPr>
          <w:color w:val="000000"/>
          <w:highlight w:val="none"/>
        </w:rPr>
        <w:t xml:space="preserve">29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_Toc11658 </w:instrText>
      </w:r>
      <w:r>
        <w:rPr>
          <w:bCs/>
          <w:color w:val="000000"/>
          <w:highlight w:val="none"/>
        </w:rPr>
        <w:fldChar w:fldCharType="separate"/>
      </w:r>
      <w:r>
        <w:rPr>
          <w:bCs/>
          <w:color w:val="000000"/>
          <w:szCs w:val="21"/>
          <w:highlight w:val="none"/>
        </w:rPr>
        <w:t xml:space="preserve">分包2：大容量冷冻离心机</w:t>
      </w:r>
      <w:r>
        <w:rPr>
          <w:color w:val="000000"/>
          <w:highlight w:val="none"/>
        </w:rPr>
        <w:tab/>
      </w:r>
      <w:r>
        <w:rPr>
          <w:color w:val="000000"/>
          <w:highlight w:val="none"/>
        </w:rPr>
        <w:fldChar w:fldCharType="begin"/>
      </w:r>
      <w:r>
        <w:rPr>
          <w:color w:val="000000"/>
          <w:highlight w:val="none"/>
        </w:rPr>
        <w:instrText xml:space="preserve"> PAGEREF _Toc11658 \h </w:instrText>
      </w:r>
      <w:r>
        <w:rPr>
          <w:color w:val="000000"/>
          <w:highlight w:val="none"/>
        </w:rPr>
        <w:fldChar w:fldCharType="separate"/>
      </w:r>
      <w:r>
        <w:rPr>
          <w:color w:val="000000"/>
          <w:highlight w:val="none"/>
        </w:rPr>
        <w:t xml:space="preserve">31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_Toc19099 </w:instrText>
      </w:r>
      <w:r>
        <w:rPr>
          <w:bCs/>
          <w:color w:val="000000"/>
          <w:highlight w:val="none"/>
        </w:rPr>
        <w:fldChar w:fldCharType="separate"/>
      </w:r>
      <w:r>
        <w:rPr>
          <w:bCs/>
          <w:color w:val="000000"/>
          <w:szCs w:val="21"/>
          <w:highlight w:val="none"/>
        </w:rPr>
        <w:t xml:space="preserve">分包3：红细胞处理仪</w:t>
      </w:r>
      <w:r>
        <w:rPr>
          <w:color w:val="000000"/>
          <w:highlight w:val="none"/>
        </w:rPr>
        <w:tab/>
      </w:r>
      <w:r>
        <w:rPr>
          <w:color w:val="000000"/>
          <w:highlight w:val="none"/>
        </w:rPr>
        <w:fldChar w:fldCharType="begin"/>
      </w:r>
      <w:r>
        <w:rPr>
          <w:color w:val="000000"/>
          <w:highlight w:val="none"/>
        </w:rPr>
        <w:instrText xml:space="preserve"> PAGEREF _Toc19099 \h </w:instrText>
      </w:r>
      <w:r>
        <w:rPr>
          <w:color w:val="000000"/>
          <w:highlight w:val="none"/>
        </w:rPr>
        <w:fldChar w:fldCharType="separate"/>
      </w:r>
      <w:r>
        <w:rPr>
          <w:color w:val="000000"/>
          <w:highlight w:val="none"/>
        </w:rPr>
        <w:t xml:space="preserve">32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3"/>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_Toc24948 </w:instrText>
      </w:r>
      <w:r>
        <w:rPr>
          <w:bCs/>
          <w:color w:val="000000"/>
          <w:highlight w:val="none"/>
        </w:rPr>
        <w:fldChar w:fldCharType="separate"/>
      </w:r>
      <w:r>
        <w:rPr>
          <w:color w:val="000000"/>
          <w:szCs w:val="28"/>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_Toc24948 \h </w:instrText>
      </w:r>
      <w:r>
        <w:rPr>
          <w:color w:val="000000"/>
          <w:highlight w:val="none"/>
        </w:rPr>
        <w:fldChar w:fldCharType="separate"/>
      </w:r>
      <w:r>
        <w:rPr>
          <w:color w:val="000000"/>
          <w:highlight w:val="none"/>
        </w:rPr>
        <w:t xml:space="preserve">37</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3"/>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_Toc3382 </w:instrText>
      </w:r>
      <w:r>
        <w:rPr>
          <w:bCs/>
          <w:color w:val="000000"/>
          <w:highlight w:val="none"/>
        </w:rPr>
        <w:fldChar w:fldCharType="separate"/>
      </w:r>
      <w:r>
        <w:rPr>
          <w:color w:val="000000"/>
          <w:szCs w:val="28"/>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_Toc3382 \h </w:instrText>
      </w:r>
      <w:r>
        <w:rPr>
          <w:color w:val="000000"/>
          <w:highlight w:val="none"/>
        </w:rPr>
        <w:fldChar w:fldCharType="separate"/>
      </w:r>
      <w:r>
        <w:rPr>
          <w:color w:val="000000"/>
          <w:highlight w:val="none"/>
        </w:rPr>
        <w:t xml:space="preserve">47</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_Toc18876 </w:instrText>
      </w:r>
      <w:r>
        <w:rPr>
          <w:bCs/>
          <w:color w:val="000000"/>
          <w:highlight w:val="none"/>
        </w:rPr>
        <w:fldChar w:fldCharType="separate"/>
      </w:r>
      <w:r>
        <w:rPr>
          <w:color w:val="000000"/>
          <w:szCs w:val="24"/>
          <w:highlight w:val="none"/>
        </w:rPr>
        <w:t xml:space="preserve">资格审查索引表</w:t>
      </w:r>
      <w:r>
        <w:rPr>
          <w:color w:val="000000"/>
          <w:highlight w:val="none"/>
        </w:rPr>
        <w:tab/>
      </w:r>
      <w:r>
        <w:rPr>
          <w:color w:val="000000"/>
          <w:highlight w:val="none"/>
        </w:rPr>
        <w:fldChar w:fldCharType="begin"/>
      </w:r>
      <w:r>
        <w:rPr>
          <w:color w:val="000000"/>
          <w:highlight w:val="none"/>
        </w:rPr>
        <w:instrText xml:space="preserve"> PAGEREF _Toc18876 \h </w:instrText>
      </w:r>
      <w:r>
        <w:rPr>
          <w:color w:val="000000"/>
          <w:highlight w:val="none"/>
        </w:rPr>
        <w:fldChar w:fldCharType="separate"/>
      </w:r>
      <w:r>
        <w:rPr>
          <w:color w:val="000000"/>
          <w:highlight w:val="none"/>
        </w:rPr>
        <w:t xml:space="preserve">48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_Toc25274 </w:instrText>
      </w:r>
      <w:r>
        <w:rPr>
          <w:bCs/>
          <w:color w:val="000000"/>
          <w:highlight w:val="none"/>
        </w:rPr>
        <w:fldChar w:fldCharType="separate"/>
      </w:r>
      <w:r>
        <w:rPr>
          <w:color w:val="000000"/>
          <w:szCs w:val="24"/>
          <w:highlight w:val="none"/>
        </w:rPr>
        <w:t xml:space="preserve">评审索引表</w:t>
      </w:r>
      <w:r>
        <w:rPr>
          <w:color w:val="000000"/>
          <w:highlight w:val="none"/>
        </w:rPr>
        <w:tab/>
      </w:r>
      <w:r>
        <w:rPr>
          <w:color w:val="000000"/>
          <w:highlight w:val="none"/>
        </w:rPr>
        <w:fldChar w:fldCharType="begin"/>
      </w:r>
      <w:r>
        <w:rPr>
          <w:color w:val="000000"/>
          <w:highlight w:val="none"/>
        </w:rPr>
        <w:instrText xml:space="preserve"> PAGEREF _Toc25274 \h </w:instrText>
      </w:r>
      <w:r>
        <w:rPr>
          <w:color w:val="000000"/>
          <w:highlight w:val="none"/>
        </w:rPr>
        <w:fldChar w:fldCharType="separate"/>
      </w:r>
      <w:r>
        <w:rPr>
          <w:color w:val="000000"/>
          <w:highlight w:val="none"/>
        </w:rPr>
        <w:t xml:space="preserve">49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_Toc16960 </w:instrText>
      </w:r>
      <w:r>
        <w:rPr>
          <w:bCs/>
          <w:color w:val="000000"/>
          <w:highlight w:val="none"/>
        </w:rPr>
        <w:fldChar w:fldCharType="separate"/>
      </w:r>
      <w:r>
        <w:rPr>
          <w:bCs/>
          <w:color w:val="000000"/>
          <w:highlight w:val="none"/>
        </w:rPr>
        <w:t xml:space="preserve">附件一 投标函格式</w:t>
      </w:r>
      <w:r>
        <w:rPr>
          <w:color w:val="000000"/>
          <w:highlight w:val="none"/>
        </w:rPr>
        <w:tab/>
      </w:r>
      <w:r>
        <w:rPr>
          <w:color w:val="000000"/>
          <w:highlight w:val="none"/>
        </w:rPr>
        <w:fldChar w:fldCharType="begin"/>
      </w:r>
      <w:r>
        <w:rPr>
          <w:color w:val="000000"/>
          <w:highlight w:val="none"/>
        </w:rPr>
        <w:instrText xml:space="preserve"> PAGEREF _Toc16960 \h </w:instrText>
      </w:r>
      <w:r>
        <w:rPr>
          <w:color w:val="000000"/>
          <w:highlight w:val="none"/>
        </w:rPr>
        <w:fldChar w:fldCharType="separate"/>
      </w:r>
      <w:r>
        <w:rPr>
          <w:color w:val="000000"/>
          <w:highlight w:val="none"/>
        </w:rPr>
        <w:t xml:space="preserve">50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_Toc8603 </w:instrText>
      </w:r>
      <w:r>
        <w:rPr>
          <w:bCs/>
          <w:color w:val="000000"/>
          <w:highlight w:val="none"/>
        </w:rPr>
        <w:fldChar w:fldCharType="separate"/>
      </w:r>
      <w:r>
        <w:rPr>
          <w:bCs/>
          <w:color w:val="000000"/>
          <w:szCs w:val="22"/>
          <w:highlight w:val="none"/>
        </w:rPr>
        <w:t xml:space="preserve">附件二 开标一览表</w:t>
      </w:r>
      <w:r>
        <w:rPr>
          <w:color w:val="000000"/>
          <w:highlight w:val="none"/>
        </w:rPr>
        <w:tab/>
      </w:r>
      <w:r>
        <w:rPr>
          <w:color w:val="000000"/>
          <w:highlight w:val="none"/>
        </w:rPr>
        <w:fldChar w:fldCharType="begin"/>
      </w:r>
      <w:r>
        <w:rPr>
          <w:color w:val="000000"/>
          <w:highlight w:val="none"/>
        </w:rPr>
        <w:instrText xml:space="preserve"> PAGEREF _Toc8603 \h </w:instrText>
      </w:r>
      <w:r>
        <w:rPr>
          <w:color w:val="000000"/>
          <w:highlight w:val="none"/>
        </w:rPr>
        <w:fldChar w:fldCharType="separate"/>
      </w:r>
      <w:r>
        <w:rPr>
          <w:color w:val="000000"/>
          <w:highlight w:val="none"/>
        </w:rPr>
        <w:t xml:space="preserve">51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_Toc20848 </w:instrText>
      </w:r>
      <w:r>
        <w:rPr>
          <w:bCs/>
          <w:color w:val="000000"/>
          <w:highlight w:val="none"/>
        </w:rPr>
        <w:fldChar w:fldCharType="separate"/>
      </w:r>
      <w:r>
        <w:rPr>
          <w:bCs/>
          <w:color w:val="000000"/>
          <w:szCs w:val="22"/>
          <w:highlight w:val="none"/>
        </w:rPr>
        <w:t xml:space="preserve">附件三 分项报价表</w:t>
      </w:r>
      <w:r>
        <w:rPr>
          <w:color w:val="000000"/>
          <w:highlight w:val="none"/>
        </w:rPr>
        <w:tab/>
      </w:r>
      <w:r>
        <w:rPr>
          <w:color w:val="000000"/>
          <w:highlight w:val="none"/>
        </w:rPr>
        <w:fldChar w:fldCharType="begin"/>
      </w:r>
      <w:r>
        <w:rPr>
          <w:color w:val="000000"/>
          <w:highlight w:val="none"/>
        </w:rPr>
        <w:instrText xml:space="preserve"> PAGEREF _Toc20848 \h </w:instrText>
      </w:r>
      <w:r>
        <w:rPr>
          <w:color w:val="000000"/>
          <w:highlight w:val="none"/>
        </w:rPr>
        <w:fldChar w:fldCharType="separate"/>
      </w:r>
      <w:r>
        <w:rPr>
          <w:color w:val="000000"/>
          <w:highlight w:val="none"/>
        </w:rPr>
        <w:t xml:space="preserve">52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_Toc16689 </w:instrText>
      </w:r>
      <w:r>
        <w:rPr>
          <w:bCs/>
          <w:color w:val="000000"/>
          <w:highlight w:val="none"/>
        </w:rPr>
        <w:fldChar w:fldCharType="separate"/>
      </w:r>
      <w:r>
        <w:rPr>
          <w:bCs/>
          <w:color w:val="000000"/>
          <w:szCs w:val="22"/>
          <w:highlight w:val="none"/>
        </w:rPr>
        <w:t xml:space="preserve">附件四 商务条款偏离表</w:t>
      </w:r>
      <w:r>
        <w:rPr>
          <w:color w:val="000000"/>
          <w:highlight w:val="none"/>
        </w:rPr>
        <w:tab/>
      </w:r>
      <w:r>
        <w:rPr>
          <w:color w:val="000000"/>
          <w:highlight w:val="none"/>
        </w:rPr>
        <w:fldChar w:fldCharType="begin"/>
      </w:r>
      <w:r>
        <w:rPr>
          <w:color w:val="000000"/>
          <w:highlight w:val="none"/>
        </w:rPr>
        <w:instrText xml:space="preserve"> PAGEREF _Toc16689 \h </w:instrText>
      </w:r>
      <w:r>
        <w:rPr>
          <w:color w:val="000000"/>
          <w:highlight w:val="none"/>
        </w:rPr>
        <w:fldChar w:fldCharType="separate"/>
      </w:r>
      <w:r>
        <w:rPr>
          <w:color w:val="000000"/>
          <w:highlight w:val="none"/>
        </w:rPr>
        <w:t xml:space="preserve">53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_Toc31071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五</w:t>
      </w:r>
      <w:r>
        <w:rPr>
          <w:bCs/>
          <w:color w:val="000000"/>
          <w:szCs w:val="22"/>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_Toc31071 \h </w:instrText>
      </w:r>
      <w:r>
        <w:rPr>
          <w:color w:val="000000"/>
          <w:highlight w:val="none"/>
        </w:rPr>
        <w:fldChar w:fldCharType="separate"/>
      </w:r>
      <w:r>
        <w:rPr>
          <w:color w:val="000000"/>
          <w:highlight w:val="none"/>
        </w:rPr>
        <w:t xml:space="preserve">54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_Toc27377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六</w:t>
      </w:r>
      <w:r>
        <w:rPr>
          <w:bCs/>
          <w:color w:val="000000"/>
          <w:szCs w:val="22"/>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_Toc27377 \h </w:instrText>
      </w:r>
      <w:r>
        <w:rPr>
          <w:color w:val="000000"/>
          <w:highlight w:val="none"/>
        </w:rPr>
        <w:fldChar w:fldCharType="separate"/>
      </w:r>
      <w:r>
        <w:rPr>
          <w:color w:val="000000"/>
          <w:highlight w:val="none"/>
        </w:rPr>
        <w:t xml:space="preserve">55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_Toc30360 </w:instrText>
      </w:r>
      <w:r>
        <w:rPr>
          <w:bCs/>
          <w:color w:val="000000"/>
          <w:highlight w:val="none"/>
        </w:rPr>
        <w:fldChar w:fldCharType="separate"/>
      </w:r>
      <w:r>
        <w:rPr>
          <w:rFonts w:hint="eastAsia"/>
          <w:color w:val="000000"/>
          <w:szCs w:val="30"/>
          <w:highlight w:val="none"/>
          <w:lang w:bidi="ar"/>
        </w:rPr>
        <w:t xml:space="preserve">（一） </w:t>
      </w:r>
      <w:r>
        <w:rPr>
          <w:bCs/>
          <w:color w:val="000000"/>
          <w:szCs w:val="21"/>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_Toc30360 \h </w:instrText>
      </w:r>
      <w:r>
        <w:rPr>
          <w:color w:val="000000"/>
          <w:highlight w:val="none"/>
        </w:rPr>
        <w:fldChar w:fldCharType="separate"/>
      </w:r>
      <w:r>
        <w:rPr>
          <w:color w:val="000000"/>
          <w:highlight w:val="none"/>
        </w:rPr>
        <w:t xml:space="preserve">55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_Toc26237 </w:instrText>
      </w:r>
      <w:r>
        <w:rPr>
          <w:bCs/>
          <w:color w:val="000000"/>
          <w:highlight w:val="none"/>
        </w:rPr>
        <w:fldChar w:fldCharType="separate"/>
      </w:r>
      <w:r>
        <w:rPr>
          <w:bCs/>
          <w:color w:val="000000"/>
          <w:szCs w:val="21"/>
          <w:highlight w:val="none"/>
        </w:rPr>
        <w:t xml:space="preserve">（二）残疾人福利性单位声明函</w:t>
      </w:r>
      <w:r>
        <w:rPr>
          <w:color w:val="000000"/>
          <w:highlight w:val="none"/>
        </w:rPr>
        <w:tab/>
      </w:r>
      <w:r>
        <w:rPr>
          <w:color w:val="000000"/>
          <w:highlight w:val="none"/>
        </w:rPr>
        <w:fldChar w:fldCharType="begin"/>
      </w:r>
      <w:r>
        <w:rPr>
          <w:color w:val="000000"/>
          <w:highlight w:val="none"/>
        </w:rPr>
        <w:instrText xml:space="preserve"> PAGEREF _Toc26237 \h </w:instrText>
      </w:r>
      <w:r>
        <w:rPr>
          <w:color w:val="000000"/>
          <w:highlight w:val="none"/>
        </w:rPr>
        <w:fldChar w:fldCharType="separate"/>
      </w:r>
      <w:r>
        <w:rPr>
          <w:color w:val="000000"/>
          <w:highlight w:val="none"/>
        </w:rPr>
        <w:t xml:space="preserve">57</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_Toc621 </w:instrText>
      </w:r>
      <w:r>
        <w:rPr>
          <w:bCs/>
          <w:color w:val="000000"/>
          <w:highlight w:val="none"/>
        </w:rPr>
        <w:fldChar w:fldCharType="separate"/>
      </w:r>
      <w:r>
        <w:rPr>
          <w:bCs/>
          <w:color w:val="000000"/>
          <w:szCs w:val="21"/>
          <w:highlight w:val="none"/>
        </w:rPr>
        <w:t xml:space="preserve">（三）采购本国产品的支持政策</w:t>
      </w:r>
      <w:r>
        <w:rPr>
          <w:color w:val="000000"/>
          <w:highlight w:val="none"/>
        </w:rPr>
        <w:tab/>
      </w:r>
      <w:r>
        <w:rPr>
          <w:color w:val="000000"/>
          <w:highlight w:val="none"/>
        </w:rPr>
        <w:fldChar w:fldCharType="begin"/>
      </w:r>
      <w:r>
        <w:rPr>
          <w:color w:val="000000"/>
          <w:highlight w:val="none"/>
        </w:rPr>
        <w:instrText xml:space="preserve"> PAGEREF _Toc621 \h </w:instrText>
      </w:r>
      <w:r>
        <w:rPr>
          <w:color w:val="000000"/>
          <w:highlight w:val="none"/>
        </w:rPr>
        <w:fldChar w:fldCharType="separate"/>
      </w:r>
      <w:r>
        <w:rPr>
          <w:color w:val="000000"/>
          <w:highlight w:val="none"/>
        </w:rPr>
        <w:t xml:space="preserve">58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_Toc16179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_Toc16179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_Toc7376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供应商情况告知表</w:t>
      </w:r>
      <w:r>
        <w:rPr>
          <w:bCs/>
          <w:color w:val="000000"/>
          <w:szCs w:val="22"/>
          <w:highlight w:val="none"/>
        </w:rPr>
        <w:t xml:space="preserve">—附表</w:t>
      </w:r>
      <w:r>
        <w:rPr>
          <w:color w:val="000000"/>
          <w:highlight w:val="none"/>
        </w:rPr>
        <w:tab/>
      </w:r>
      <w:r>
        <w:rPr>
          <w:color w:val="000000"/>
          <w:highlight w:val="none"/>
        </w:rPr>
        <w:fldChar w:fldCharType="begin"/>
      </w:r>
      <w:r>
        <w:rPr>
          <w:color w:val="000000"/>
          <w:highlight w:val="none"/>
        </w:rPr>
        <w:instrText xml:space="preserve"> PAGEREF _Toc7376 \h </w:instrText>
      </w:r>
      <w:r>
        <w:rPr>
          <w:color w:val="000000"/>
          <w:highlight w:val="none"/>
        </w:rPr>
        <w:fldChar w:fldCharType="separate"/>
      </w:r>
      <w:r>
        <w:rPr>
          <w:color w:val="000000"/>
          <w:highlight w:val="none"/>
        </w:rPr>
        <w:t xml:space="preserve">60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_Toc14107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八</w:t>
      </w:r>
      <w:r>
        <w:rPr>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_Toc14107 \h </w:instrText>
      </w:r>
      <w:r>
        <w:rPr>
          <w:color w:val="000000"/>
          <w:highlight w:val="none"/>
        </w:rPr>
        <w:fldChar w:fldCharType="separate"/>
      </w:r>
      <w:r>
        <w:rPr>
          <w:color w:val="000000"/>
          <w:highlight w:val="none"/>
        </w:rPr>
        <w:t xml:space="preserve">63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_Toc16898 </w:instrText>
      </w:r>
      <w:r>
        <w:rPr>
          <w:bCs/>
          <w:color w:val="000000"/>
          <w:highlight w:val="none"/>
        </w:rPr>
        <w:fldChar w:fldCharType="separate"/>
      </w:r>
      <w:r>
        <w:rPr>
          <w:bCs/>
          <w:color w:val="000000"/>
          <w:szCs w:val="21"/>
          <w:highlight w:val="none"/>
          <w:lang w:val="zh-CN"/>
        </w:rPr>
        <w:t xml:space="preserve">1、法人或其他组织的营业执照等证明文件（复印件加盖公章）</w:t>
      </w:r>
      <w:r>
        <w:rPr>
          <w:color w:val="000000"/>
          <w:highlight w:val="none"/>
        </w:rPr>
        <w:tab/>
      </w:r>
      <w:r>
        <w:rPr>
          <w:color w:val="000000"/>
          <w:highlight w:val="none"/>
        </w:rPr>
        <w:fldChar w:fldCharType="begin"/>
      </w:r>
      <w:r>
        <w:rPr>
          <w:color w:val="000000"/>
          <w:highlight w:val="none"/>
        </w:rPr>
        <w:instrText xml:space="preserve"> PAGEREF _Toc16898 \h </w:instrText>
      </w:r>
      <w:r>
        <w:rPr>
          <w:color w:val="000000"/>
          <w:highlight w:val="none"/>
        </w:rPr>
        <w:fldChar w:fldCharType="separate"/>
      </w:r>
      <w:r>
        <w:rPr>
          <w:color w:val="000000"/>
          <w:highlight w:val="none"/>
        </w:rPr>
        <w:t xml:space="preserve">63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_Toc31337 </w:instrText>
      </w:r>
      <w:r>
        <w:rPr>
          <w:bCs/>
          <w:color w:val="000000"/>
          <w:highlight w:val="none"/>
        </w:rPr>
        <w:fldChar w:fldCharType="separate"/>
      </w:r>
      <w:r>
        <w:rPr>
          <w:bCs/>
          <w:color w:val="000000"/>
          <w:szCs w:val="21"/>
          <w:highlight w:val="none"/>
          <w:lang w:val="zh-CN"/>
        </w:rPr>
        <w:t xml:space="preserve">2、法人代表授权书</w:t>
      </w:r>
      <w:r>
        <w:rPr>
          <w:color w:val="000000"/>
          <w:highlight w:val="none"/>
        </w:rPr>
        <w:tab/>
      </w:r>
      <w:r>
        <w:rPr>
          <w:color w:val="000000"/>
          <w:highlight w:val="none"/>
        </w:rPr>
        <w:fldChar w:fldCharType="begin"/>
      </w:r>
      <w:r>
        <w:rPr>
          <w:color w:val="000000"/>
          <w:highlight w:val="none"/>
        </w:rPr>
        <w:instrText xml:space="preserve"> PAGEREF _Toc31337 \h </w:instrText>
      </w:r>
      <w:r>
        <w:rPr>
          <w:color w:val="000000"/>
          <w:highlight w:val="none"/>
        </w:rPr>
        <w:fldChar w:fldCharType="separate"/>
      </w:r>
      <w:r>
        <w:rPr>
          <w:color w:val="000000"/>
          <w:highlight w:val="none"/>
        </w:rPr>
        <w:t xml:space="preserve">64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_Toc21138 </w:instrText>
      </w:r>
      <w:r>
        <w:rPr>
          <w:bCs/>
          <w:color w:val="000000"/>
          <w:highlight w:val="none"/>
        </w:rPr>
        <w:fldChar w:fldCharType="separate"/>
      </w:r>
      <w:r>
        <w:rPr>
          <w:bCs/>
          <w:color w:val="000000"/>
          <w:szCs w:val="21"/>
          <w:highlight w:val="none"/>
        </w:rPr>
        <w:t xml:space="preserve">3</w:t>
      </w:r>
      <w:r>
        <w:rPr>
          <w:bCs/>
          <w:color w:val="000000"/>
          <w:szCs w:val="21"/>
          <w:highlight w:val="none"/>
          <w:lang w:val="zh-CN"/>
        </w:rPr>
        <w:t xml:space="preserve">、制造商授权书（如需）</w:t>
      </w:r>
      <w:r>
        <w:rPr>
          <w:color w:val="000000"/>
          <w:highlight w:val="none"/>
        </w:rPr>
        <w:tab/>
      </w:r>
      <w:r>
        <w:rPr>
          <w:color w:val="000000"/>
          <w:highlight w:val="none"/>
        </w:rPr>
        <w:fldChar w:fldCharType="begin"/>
      </w:r>
      <w:r>
        <w:rPr>
          <w:color w:val="000000"/>
          <w:highlight w:val="none"/>
        </w:rPr>
        <w:instrText xml:space="preserve"> PAGEREF _Toc21138 \h </w:instrText>
      </w:r>
      <w:r>
        <w:rPr>
          <w:color w:val="000000"/>
          <w:highlight w:val="none"/>
        </w:rPr>
        <w:fldChar w:fldCharType="separate"/>
      </w:r>
      <w:r>
        <w:rPr>
          <w:color w:val="000000"/>
          <w:highlight w:val="none"/>
        </w:rPr>
        <w:t xml:space="preserve">65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_Toc24557 </w:instrText>
      </w:r>
      <w:r>
        <w:rPr>
          <w:bCs/>
          <w:color w:val="000000"/>
          <w:highlight w:val="none"/>
        </w:rPr>
        <w:fldChar w:fldCharType="separate"/>
      </w:r>
      <w:r>
        <w:rPr>
          <w:bCs/>
          <w:color w:val="000000"/>
          <w:szCs w:val="21"/>
          <w:highlight w:val="none"/>
        </w:rPr>
        <w:t xml:space="preserve">4</w:t>
      </w:r>
      <w:r>
        <w:rPr>
          <w:bCs/>
          <w:color w:val="000000"/>
          <w:szCs w:val="21"/>
          <w:highlight w:val="none"/>
          <w:lang w:val="zh-CN"/>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_Toc24557 \h </w:instrText>
      </w:r>
      <w:r>
        <w:rPr>
          <w:color w:val="000000"/>
          <w:highlight w:val="none"/>
        </w:rPr>
        <w:fldChar w:fldCharType="separate"/>
      </w:r>
      <w:r>
        <w:rPr>
          <w:color w:val="000000"/>
          <w:highlight w:val="none"/>
        </w:rPr>
        <w:t xml:space="preserve">66</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_Toc26758 </w:instrText>
      </w:r>
      <w:r>
        <w:rPr>
          <w:bCs/>
          <w:color w:val="000000"/>
          <w:highlight w:val="none"/>
        </w:rPr>
        <w:fldChar w:fldCharType="separate"/>
      </w:r>
      <w:r>
        <w:rPr>
          <w:bCs/>
          <w:color w:val="000000"/>
          <w:szCs w:val="21"/>
          <w:highlight w:val="none"/>
        </w:rPr>
        <w:t xml:space="preserve">5、</w:t>
      </w:r>
      <w:r>
        <w:rPr>
          <w:bCs/>
          <w:color w:val="000000"/>
          <w:szCs w:val="21"/>
          <w:highlight w:val="none"/>
          <w:lang w:val="zh-CN"/>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_Toc26758 \h </w:instrText>
      </w:r>
      <w:r>
        <w:rPr>
          <w:color w:val="000000"/>
          <w:highlight w:val="none"/>
        </w:rPr>
        <w:fldChar w:fldCharType="separate"/>
      </w:r>
      <w:r>
        <w:rPr>
          <w:color w:val="000000"/>
          <w:highlight w:val="none"/>
        </w:rPr>
        <w:t xml:space="preserve">67</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_Toc9769 </w:instrText>
      </w:r>
      <w:r>
        <w:rPr>
          <w:bCs/>
          <w:color w:val="000000"/>
          <w:highlight w:val="none"/>
        </w:rPr>
        <w:fldChar w:fldCharType="separate"/>
      </w:r>
      <w:r>
        <w:rPr>
          <w:bCs/>
          <w:color w:val="000000"/>
          <w:szCs w:val="21"/>
          <w:highlight w:val="none"/>
        </w:rPr>
        <w:t xml:space="preserve">6、参加政府采购活动近三年内（成立时间不足三年的、自成立时间起），在经营活动中没有重大违法记录</w:t>
      </w:r>
      <w:r>
        <w:rPr>
          <w:color w:val="000000"/>
          <w:highlight w:val="none"/>
        </w:rPr>
        <w:tab/>
      </w:r>
      <w:r>
        <w:rPr>
          <w:color w:val="000000"/>
          <w:highlight w:val="none"/>
        </w:rPr>
        <w:fldChar w:fldCharType="begin"/>
      </w:r>
      <w:r>
        <w:rPr>
          <w:color w:val="000000"/>
          <w:highlight w:val="none"/>
        </w:rPr>
        <w:instrText xml:space="preserve"> PAGEREF _Toc9769 \h </w:instrText>
      </w:r>
      <w:r>
        <w:rPr>
          <w:color w:val="000000"/>
          <w:highlight w:val="none"/>
        </w:rPr>
        <w:fldChar w:fldCharType="separate"/>
      </w:r>
      <w:r>
        <w:rPr>
          <w:color w:val="000000"/>
          <w:highlight w:val="none"/>
        </w:rPr>
        <w:t xml:space="preserve">68</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_Toc27305 </w:instrText>
      </w:r>
      <w:r>
        <w:rPr>
          <w:bCs/>
          <w:color w:val="000000"/>
          <w:highlight w:val="none"/>
        </w:rPr>
        <w:fldChar w:fldCharType="separate"/>
      </w:r>
      <w:r>
        <w:rPr>
          <w:bCs/>
          <w:color w:val="000000"/>
          <w:szCs w:val="21"/>
          <w:highlight w:val="none"/>
        </w:rPr>
        <w:t xml:space="preserve">7、依法缴纳税收的记录</w:t>
      </w:r>
      <w:r>
        <w:rPr>
          <w:color w:val="000000"/>
          <w:highlight w:val="none"/>
        </w:rPr>
        <w:tab/>
      </w:r>
      <w:r>
        <w:rPr>
          <w:color w:val="000000"/>
          <w:highlight w:val="none"/>
        </w:rPr>
        <w:fldChar w:fldCharType="begin"/>
      </w:r>
      <w:r>
        <w:rPr>
          <w:color w:val="000000"/>
          <w:highlight w:val="none"/>
        </w:rPr>
        <w:instrText xml:space="preserve"> PAGEREF _Toc27305 \h </w:instrText>
      </w:r>
      <w:r>
        <w:rPr>
          <w:color w:val="000000"/>
          <w:highlight w:val="none"/>
        </w:rPr>
        <w:fldChar w:fldCharType="separate"/>
      </w:r>
      <w:r>
        <w:rPr>
          <w:color w:val="000000"/>
          <w:highlight w:val="none"/>
        </w:rPr>
        <w:t xml:space="preserve">69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_Toc23008 </w:instrText>
      </w:r>
      <w:r>
        <w:rPr>
          <w:bCs/>
          <w:color w:val="000000"/>
          <w:highlight w:val="none"/>
        </w:rPr>
        <w:fldChar w:fldCharType="separate"/>
      </w:r>
      <w:r>
        <w:rPr>
          <w:bCs/>
          <w:color w:val="000000"/>
          <w:szCs w:val="21"/>
          <w:highlight w:val="none"/>
        </w:rPr>
        <w:t xml:space="preserve">8、依法缴纳社会保障资金的记录</w:t>
      </w:r>
      <w:r>
        <w:rPr>
          <w:color w:val="000000"/>
          <w:highlight w:val="none"/>
        </w:rPr>
        <w:tab/>
      </w:r>
      <w:r>
        <w:rPr>
          <w:color w:val="000000"/>
          <w:highlight w:val="none"/>
        </w:rPr>
        <w:fldChar w:fldCharType="begin"/>
      </w:r>
      <w:r>
        <w:rPr>
          <w:color w:val="000000"/>
          <w:highlight w:val="none"/>
        </w:rPr>
        <w:instrText xml:space="preserve"> PAGEREF _Toc23008 \h </w:instrText>
      </w:r>
      <w:r>
        <w:rPr>
          <w:color w:val="000000"/>
          <w:highlight w:val="none"/>
        </w:rPr>
        <w:fldChar w:fldCharType="separate"/>
      </w:r>
      <w:r>
        <w:rPr>
          <w:color w:val="000000"/>
          <w:highlight w:val="none"/>
        </w:rPr>
        <w:t xml:space="preserve">70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_Toc30535 </w:instrText>
      </w:r>
      <w:r>
        <w:rPr>
          <w:bCs/>
          <w:color w:val="000000"/>
          <w:highlight w:val="none"/>
        </w:rPr>
        <w:fldChar w:fldCharType="separate"/>
      </w:r>
      <w:r>
        <w:rPr>
          <w:bCs/>
          <w:color w:val="000000"/>
          <w:szCs w:val="21"/>
          <w:highlight w:val="none"/>
        </w:rPr>
        <w:t xml:space="preserve">9、本项目不接受联合体投标，中标后不允许分包、转包。</w:t>
      </w:r>
      <w:r>
        <w:rPr>
          <w:color w:val="000000"/>
          <w:highlight w:val="none"/>
        </w:rPr>
        <w:tab/>
      </w:r>
      <w:r>
        <w:rPr>
          <w:color w:val="000000"/>
          <w:highlight w:val="none"/>
        </w:rPr>
        <w:fldChar w:fldCharType="begin"/>
      </w:r>
      <w:r>
        <w:rPr>
          <w:color w:val="000000"/>
          <w:highlight w:val="none"/>
        </w:rPr>
        <w:instrText xml:space="preserve"> PAGEREF _Toc30535 \h </w:instrText>
      </w:r>
      <w:r>
        <w:rPr>
          <w:color w:val="000000"/>
          <w:highlight w:val="none"/>
        </w:rPr>
        <w:fldChar w:fldCharType="separate"/>
      </w:r>
      <w:r>
        <w:rPr>
          <w:color w:val="000000"/>
          <w:highlight w:val="none"/>
        </w:rPr>
        <w:t xml:space="preserve">71</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_Toc14942 </w:instrText>
      </w:r>
      <w:r>
        <w:rPr>
          <w:bCs/>
          <w:color w:val="000000"/>
          <w:highlight w:val="none"/>
        </w:rPr>
        <w:fldChar w:fldCharType="separate"/>
      </w:r>
      <w:r>
        <w:rPr>
          <w:bCs/>
          <w:color w:val="000000"/>
          <w:szCs w:val="21"/>
          <w:highlight w:val="none"/>
        </w:rPr>
        <w:t xml:space="preserve">10、1）投标人为医疗器械经营企业的，须根据投标产品的类别，提供投标人的《医疗器械经营许可证》或者《二类医疗器械经营备案凭证》（复印件加盖公章）；</w:t>
      </w:r>
      <w:r>
        <w:rPr>
          <w:color w:val="000000"/>
          <w:highlight w:val="none"/>
        </w:rPr>
        <w:tab/>
      </w:r>
      <w:r>
        <w:rPr>
          <w:color w:val="000000"/>
          <w:highlight w:val="none"/>
        </w:rPr>
        <w:fldChar w:fldCharType="begin"/>
      </w:r>
      <w:r>
        <w:rPr>
          <w:color w:val="000000"/>
          <w:highlight w:val="none"/>
        </w:rPr>
        <w:instrText xml:space="preserve"> PAGEREF _Toc14942 \h </w:instrText>
      </w:r>
      <w:r>
        <w:rPr>
          <w:color w:val="000000"/>
          <w:highlight w:val="none"/>
        </w:rPr>
        <w:fldChar w:fldCharType="separate"/>
      </w:r>
      <w:r>
        <w:rPr>
          <w:color w:val="000000"/>
          <w:highlight w:val="none"/>
        </w:rPr>
        <w:t xml:space="preserve">72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_Toc18920 </w:instrText>
      </w:r>
      <w:r>
        <w:rPr>
          <w:bCs/>
          <w:color w:val="000000"/>
          <w:highlight w:val="none"/>
        </w:rPr>
        <w:fldChar w:fldCharType="separate"/>
      </w:r>
      <w:r>
        <w:rPr>
          <w:bCs/>
          <w:color w:val="000000"/>
          <w:szCs w:val="21"/>
          <w:highlight w:val="none"/>
        </w:rPr>
        <w:t xml:space="preserve">2）医疗器械生产企业投标本企业产品的，须提供《医疗器械生产许可证》（复印件加盖公章）</w:t>
      </w:r>
      <w:r>
        <w:rPr>
          <w:color w:val="000000"/>
          <w:highlight w:val="none"/>
        </w:rPr>
        <w:tab/>
      </w:r>
      <w:r>
        <w:rPr>
          <w:color w:val="000000"/>
          <w:highlight w:val="none"/>
        </w:rPr>
        <w:fldChar w:fldCharType="begin"/>
      </w:r>
      <w:r>
        <w:rPr>
          <w:color w:val="000000"/>
          <w:highlight w:val="none"/>
        </w:rPr>
        <w:instrText xml:space="preserve"> PAGEREF _Toc18920 \h </w:instrText>
      </w:r>
      <w:r>
        <w:rPr>
          <w:color w:val="000000"/>
          <w:highlight w:val="none"/>
        </w:rPr>
        <w:fldChar w:fldCharType="separate"/>
      </w:r>
      <w:r>
        <w:rPr>
          <w:color w:val="000000"/>
          <w:highlight w:val="none"/>
        </w:rPr>
        <w:t xml:space="preserve">72</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_Toc20684 </w:instrText>
      </w:r>
      <w:r>
        <w:rPr>
          <w:bCs/>
          <w:color w:val="000000"/>
          <w:highlight w:val="none"/>
        </w:rPr>
        <w:fldChar w:fldCharType="separate"/>
      </w:r>
      <w:r>
        <w:rPr>
          <w:bCs/>
          <w:color w:val="000000"/>
          <w:szCs w:val="21"/>
          <w:highlight w:val="none"/>
        </w:rPr>
        <w:t xml:space="preserve">11、</w:t>
      </w:r>
      <w:r>
        <w:rPr>
          <w:color w:val="000000"/>
          <w:szCs w:val="21"/>
          <w:highlight w:val="none"/>
        </w:rPr>
        <w:t xml:space="preserve">提供产品医疗器械注册证复印件加盖公章。</w:t>
      </w:r>
      <w:r>
        <w:rPr>
          <w:color w:val="000000"/>
          <w:highlight w:val="none"/>
        </w:rPr>
        <w:tab/>
      </w:r>
      <w:r>
        <w:rPr>
          <w:color w:val="000000"/>
          <w:highlight w:val="none"/>
        </w:rPr>
        <w:fldChar w:fldCharType="begin"/>
      </w:r>
      <w:r>
        <w:rPr>
          <w:color w:val="000000"/>
          <w:highlight w:val="none"/>
        </w:rPr>
        <w:instrText xml:space="preserve"> PAGEREF _Toc20684 \h </w:instrText>
      </w:r>
      <w:r>
        <w:rPr>
          <w:color w:val="000000"/>
          <w:highlight w:val="none"/>
        </w:rPr>
        <w:fldChar w:fldCharType="separate"/>
      </w:r>
      <w:r>
        <w:rPr>
          <w:color w:val="000000"/>
          <w:highlight w:val="none"/>
        </w:rPr>
        <w:t xml:space="preserve">73</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_Toc7112 </w:instrText>
      </w:r>
      <w:r>
        <w:rPr>
          <w:bCs/>
          <w:color w:val="000000"/>
          <w:highlight w:val="none"/>
        </w:rPr>
        <w:fldChar w:fldCharType="separate"/>
      </w:r>
      <w:r>
        <w:rPr>
          <w:bCs/>
          <w:color w:val="000000"/>
          <w:szCs w:val="21"/>
          <w:highlight w:val="none"/>
        </w:rPr>
        <w:t xml:space="preserve">12、符合招标文件第一章“拒绝下述供应商参加本次采购活动的情形”中第 1）条的声明或证明材料（加盖单位公章）</w:t>
      </w:r>
      <w:r>
        <w:rPr>
          <w:color w:val="000000"/>
          <w:highlight w:val="none"/>
        </w:rPr>
        <w:tab/>
      </w:r>
      <w:r>
        <w:rPr>
          <w:color w:val="000000"/>
          <w:highlight w:val="none"/>
        </w:rPr>
        <w:fldChar w:fldCharType="begin"/>
      </w:r>
      <w:r>
        <w:rPr>
          <w:color w:val="000000"/>
          <w:highlight w:val="none"/>
        </w:rPr>
        <w:instrText xml:space="preserve"> PAGEREF _Toc7112 \h </w:instrText>
      </w:r>
      <w:r>
        <w:rPr>
          <w:color w:val="000000"/>
          <w:highlight w:val="none"/>
        </w:rPr>
        <w:fldChar w:fldCharType="separate"/>
      </w:r>
      <w:r>
        <w:rPr>
          <w:color w:val="000000"/>
          <w:highlight w:val="none"/>
        </w:rPr>
        <w:t xml:space="preserve">74</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90"/>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_Toc23368 </w:instrText>
      </w:r>
      <w:r>
        <w:rPr>
          <w:bCs/>
          <w:color w:val="000000"/>
          <w:highlight w:val="none"/>
        </w:rPr>
        <w:fldChar w:fldCharType="separate"/>
      </w:r>
      <w:r>
        <w:rPr>
          <w:bCs/>
          <w:color w:val="000000"/>
          <w:szCs w:val="21"/>
          <w:highlight w:val="none"/>
        </w:rPr>
        <w:t xml:space="preserve">13、符合招标文件第一章“拒绝下述供应商参加本次采购活动的情形”中第 2）条的声明（加盖单位公章）</w:t>
      </w:r>
      <w:r>
        <w:rPr>
          <w:color w:val="000000"/>
          <w:highlight w:val="none"/>
        </w:rPr>
        <w:tab/>
      </w:r>
      <w:r>
        <w:rPr>
          <w:color w:val="000000"/>
          <w:highlight w:val="none"/>
        </w:rPr>
        <w:fldChar w:fldCharType="begin"/>
      </w:r>
      <w:r>
        <w:rPr>
          <w:color w:val="000000"/>
          <w:highlight w:val="none"/>
        </w:rPr>
        <w:instrText xml:space="preserve"> PAGEREF _Toc23368 \h </w:instrText>
      </w:r>
      <w:r>
        <w:rPr>
          <w:color w:val="000000"/>
          <w:highlight w:val="none"/>
        </w:rPr>
        <w:fldChar w:fldCharType="separate"/>
      </w:r>
      <w:r>
        <w:rPr>
          <w:color w:val="000000"/>
          <w:highlight w:val="none"/>
        </w:rPr>
        <w:t xml:space="preserve">75</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_Toc15643 </w:instrText>
      </w:r>
      <w:r>
        <w:rPr>
          <w:bCs/>
          <w:color w:val="000000"/>
          <w:highlight w:val="none"/>
        </w:rPr>
        <w:fldChar w:fldCharType="separate"/>
      </w:r>
      <w:r>
        <w:rPr>
          <w:bCs/>
          <w:color w:val="000000"/>
          <w:szCs w:val="21"/>
          <w:highlight w:val="none"/>
          <w:lang w:bidi="ar"/>
        </w:rPr>
        <w:t xml:space="preserve">附件：</w:t>
      </w:r>
      <w:r>
        <w:rPr>
          <w:color w:val="000000"/>
          <w:szCs w:val="22"/>
          <w:highlight w:val="none"/>
        </w:rPr>
        <w:t xml:space="preserve">《南京市政府采购供应商信用记录表暨信用承诺书》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_Toc15643 \h </w:instrText>
      </w:r>
      <w:r>
        <w:rPr>
          <w:color w:val="000000"/>
          <w:highlight w:val="none"/>
        </w:rPr>
        <w:fldChar w:fldCharType="separate"/>
      </w:r>
      <w:r>
        <w:rPr>
          <w:color w:val="000000"/>
          <w:highlight w:val="none"/>
        </w:rPr>
        <w:t xml:space="preserve">76</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_Toc29084 </w:instrText>
      </w:r>
      <w:r>
        <w:rPr>
          <w:bCs/>
          <w:color w:val="000000"/>
          <w:highlight w:val="none"/>
        </w:rPr>
        <w:fldChar w:fldCharType="separate"/>
      </w:r>
      <w:r>
        <w:rPr>
          <w:color w:val="000000"/>
          <w:highlight w:val="none"/>
        </w:rPr>
        <w:t xml:space="preserve">附件</w:t>
      </w:r>
      <w:r>
        <w:rPr>
          <w:rFonts w:hint="eastAsia"/>
          <w:color w:val="000000"/>
          <w:highlight w:val="none"/>
        </w:rPr>
        <w:t xml:space="preserve">九</w:t>
      </w:r>
      <w:r>
        <w:rPr>
          <w:color w:val="000000"/>
          <w:highlight w:val="none"/>
        </w:rPr>
        <w:t xml:space="preserve"> 其他相关文件</w:t>
      </w:r>
      <w:r>
        <w:rPr>
          <w:color w:val="000000"/>
          <w:highlight w:val="none"/>
        </w:rPr>
        <w:tab/>
      </w:r>
      <w:r>
        <w:rPr>
          <w:color w:val="000000"/>
          <w:highlight w:val="none"/>
        </w:rPr>
        <w:fldChar w:fldCharType="begin"/>
      </w:r>
      <w:r>
        <w:rPr>
          <w:color w:val="000000"/>
          <w:highlight w:val="none"/>
        </w:rPr>
        <w:instrText xml:space="preserve"> PAGEREF _Toc29084 \h </w:instrText>
      </w:r>
      <w:r>
        <w:rPr>
          <w:color w:val="000000"/>
          <w:highlight w:val="none"/>
        </w:rPr>
        <w:fldChar w:fldCharType="separate"/>
      </w:r>
      <w:r>
        <w:rPr>
          <w:color w:val="000000"/>
          <w:highlight w:val="none"/>
        </w:rPr>
        <w:t xml:space="preserve">79</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207"/>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_Toc21853 </w:instrText>
      </w:r>
      <w:r>
        <w:rPr>
          <w:bCs/>
          <w:color w:val="000000"/>
          <w:highlight w:val="none"/>
        </w:rPr>
        <w:fldChar w:fldCharType="separate"/>
      </w:r>
      <w:r>
        <w:rPr>
          <w:bCs/>
          <w:color w:val="000000"/>
          <w:highlight w:val="none"/>
          <w:lang w:val="zh-CN"/>
        </w:rPr>
        <w:t xml:space="preserve">附件</w:t>
      </w:r>
      <w:r>
        <w:rPr>
          <w:rFonts w:hint="eastAsia"/>
          <w:bCs/>
          <w:color w:val="000000"/>
          <w:highlight w:val="none"/>
        </w:rPr>
        <w:t xml:space="preserve">十</w:t>
      </w:r>
      <w:r>
        <w:rPr>
          <w:bCs/>
          <w:color w:val="000000"/>
          <w:highlight w:val="none"/>
          <w:lang w:val="zh-CN"/>
        </w:rPr>
        <w:t xml:space="preserve">  投标货物报告</w:t>
      </w:r>
      <w:r>
        <w:rPr>
          <w:color w:val="000000"/>
          <w:highlight w:val="none"/>
        </w:rPr>
        <w:tab/>
      </w:r>
      <w:r>
        <w:rPr>
          <w:color w:val="000000"/>
          <w:highlight w:val="none"/>
        </w:rPr>
        <w:fldChar w:fldCharType="begin"/>
      </w:r>
      <w:r>
        <w:rPr>
          <w:color w:val="000000"/>
          <w:highlight w:val="none"/>
        </w:rPr>
        <w:instrText xml:space="preserve"> PAGEREF _Toc21853 \h </w:instrText>
      </w:r>
      <w:r>
        <w:rPr>
          <w:color w:val="000000"/>
          <w:highlight w:val="none"/>
        </w:rPr>
        <w:fldChar w:fldCharType="separate"/>
      </w:r>
      <w:r>
        <w:rPr>
          <w:color w:val="000000"/>
          <w:highlight w:val="none"/>
        </w:rPr>
        <w:t xml:space="preserve">80</w:t>
      </w:r>
      <w:r>
        <w:rPr>
          <w:color w:val="000000"/>
          <w:highlight w:val="none"/>
        </w:rPr>
        <w:fldChar w:fldCharType="end"/>
      </w:r>
      <w:r>
        <w:rPr>
          <w:bCs/>
          <w:color w:val="000000"/>
          <w:highlight w:val="none"/>
        </w:rPr>
        <w:fldChar w:fldCharType="end"/>
      </w:r>
      <w:r>
        <w:rPr>
          <w:color w:val="000000"/>
          <w:highlight w:val="none"/>
        </w:rPr>
      </w:r>
      <w:r>
        <w:rPr>
          <w:highlight w:val="none"/>
        </w:rPr>
      </w:r>
    </w:p>
    <w:p>
      <w:pPr>
        <w:pStyle w:val="1168"/>
        <w:spacing w:line="440" w:lineRule="exact"/>
        <w:rPr>
          <w:color w:val="000000"/>
          <w:sz w:val="28"/>
          <w:szCs w:val="28"/>
          <w:highlight w:val="none"/>
        </w:rPr>
      </w:pPr>
      <w:r>
        <w:rPr>
          <w:bCs/>
          <w:color w:val="000000"/>
          <w:highlight w:val="none"/>
        </w:rPr>
        <w:fldChar w:fldCharType="end"/>
      </w:r>
      <w:r>
        <w:rPr>
          <w:color w:val="000000"/>
          <w:sz w:val="28"/>
          <w:szCs w:val="28"/>
          <w:highlight w:val="none"/>
        </w:rPr>
      </w:r>
      <w:r>
        <w:rPr>
          <w:highlight w:val="none"/>
        </w:rPr>
      </w:r>
    </w:p>
    <w:p>
      <w:pPr>
        <w:pStyle w:val="1168"/>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rPr>
          <w:highlight w:val="none"/>
        </w:rPr>
      </w:r>
    </w:p>
    <w:p>
      <w:pPr>
        <w:pStyle w:val="1168"/>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7767"/>
      <w:r>
        <w:rPr>
          <w:highlight w:val="none"/>
        </w:rPr>
      </w:r>
      <w:bookmarkStart w:id="1" w:name="_Toc4196"/>
      <w:r>
        <w:rPr>
          <w:b/>
          <w:color w:val="000000"/>
          <w:sz w:val="28"/>
          <w:szCs w:val="28"/>
          <w:highlight w:val="none"/>
        </w:rPr>
        <w:t xml:space="preserve">招标公告</w:t>
      </w:r>
      <w:bookmarkEnd w:id="0"/>
      <w:r>
        <w:rPr>
          <w:highlight w:val="none"/>
        </w:rPr>
      </w:r>
      <w:bookmarkEnd w:id="1"/>
      <w:r>
        <w:rPr>
          <w:b/>
          <w:color w:val="000000"/>
          <w:sz w:val="28"/>
          <w:szCs w:val="28"/>
          <w:highlight w:val="none"/>
        </w:rPr>
      </w:r>
      <w:r>
        <w:rPr>
          <w:highlight w:val="none"/>
        </w:rPr>
      </w:r>
    </w:p>
    <w:p>
      <w:pPr>
        <w:pStyle w:val="1168"/>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rPr>
          <w:highlight w:val="none"/>
        </w:rPr>
      </w:r>
    </w:p>
    <w:p>
      <w:pPr>
        <w:pStyle w:val="1168"/>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bCs/>
          <w:color w:val="000000"/>
          <w:szCs w:val="21"/>
          <w:highlight w:val="none"/>
          <w:u w:val="single"/>
        </w:rPr>
        <w:t xml:space="preserve">南京红十字血液中心平板速冻机等设备</w:t>
      </w:r>
      <w:r>
        <w:rPr>
          <w:bCs/>
          <w:color w:val="000000"/>
          <w:szCs w:val="21"/>
          <w:highlight w:val="none"/>
        </w:rPr>
        <w:t xml:space="preserve">招标项目的潜在投标人</w:t>
      </w:r>
      <w:r>
        <w:rPr>
          <w:color w:val="000000"/>
          <w:szCs w:val="21"/>
          <w:highlight w:val="none"/>
        </w:rPr>
        <w:t xml:space="preserve">应在</w:t>
      </w:r>
      <w:r>
        <w:rPr>
          <w:color w:val="000000"/>
          <w:szCs w:val="21"/>
          <w:highlight w:val="none"/>
          <w:u w:val="single"/>
        </w:rPr>
        <w:t xml:space="preserve">“苏采云”系统内免费下载</w:t>
      </w:r>
      <w:r>
        <w:rPr>
          <w:color w:val="000000"/>
          <w:szCs w:val="21"/>
          <w:highlight w:val="none"/>
        </w:rPr>
        <w:t xml:space="preserve">招标文件</w:t>
      </w:r>
      <w:r>
        <w:rPr>
          <w:bCs/>
          <w:color w:val="000000"/>
          <w:szCs w:val="21"/>
          <w:highlight w:val="none"/>
        </w:rPr>
        <w:t xml:space="preserve">，并于</w:t>
      </w:r>
      <w:r>
        <w:rPr>
          <w:color w:val="000000"/>
          <w:szCs w:val="21"/>
          <w:highlight w:val="none"/>
          <w:u w:val="single"/>
        </w:rPr>
        <w:t xml:space="preserve">202</w:t>
      </w:r>
      <w:r>
        <w:rPr>
          <w:rFonts w:hint="eastAsia"/>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8</w:t>
      </w:r>
      <w:r>
        <w:rPr>
          <w:bCs/>
          <w:color w:val="000000"/>
          <w:szCs w:val="21"/>
          <w:highlight w:val="none"/>
          <w:u w:val="single"/>
        </w:rPr>
        <w:t xml:space="preserve">月</w:t>
      </w:r>
      <w:r>
        <w:rPr>
          <w:rFonts w:hint="eastAsia"/>
          <w:bCs/>
          <w:color w:val="000000"/>
          <w:szCs w:val="21"/>
          <w:highlight w:val="none"/>
          <w:u w:val="single"/>
          <w:lang w:val="en-US" w:eastAsia="zh-CN"/>
        </w:rPr>
        <w:t xml:space="preserve">10</w:t>
      </w:r>
      <w:r>
        <w:rPr>
          <w:bCs/>
          <w:color w:val="000000"/>
          <w:szCs w:val="21"/>
          <w:highlight w:val="none"/>
          <w:u w:val="single"/>
        </w:rPr>
        <w:t xml:space="preserve">日</w:t>
      </w:r>
      <w:r>
        <w:rPr>
          <w:rFonts w:hint="eastAsia"/>
          <w:bCs/>
          <w:color w:val="000000"/>
          <w:szCs w:val="21"/>
          <w:highlight w:val="none"/>
          <w:u w:val="single"/>
          <w:lang w:val="en-US" w:eastAsia="zh-CN"/>
        </w:rPr>
        <w:t xml:space="preserve">9</w:t>
      </w:r>
      <w:r>
        <w:rPr>
          <w:bCs/>
          <w:color w:val="000000"/>
          <w:szCs w:val="21"/>
          <w:highlight w:val="none"/>
          <w:u w:val="single"/>
        </w:rPr>
        <w:t xml:space="preserve">点</w:t>
      </w:r>
      <w:r>
        <w:rPr>
          <w:rFonts w:hint="eastAsia"/>
          <w:bCs/>
          <w:color w:val="000000"/>
          <w:szCs w:val="21"/>
          <w:highlight w:val="none"/>
          <w:u w:val="single"/>
          <w:lang w:val="en-US" w:eastAsia="zh-CN"/>
        </w:rPr>
        <w:t xml:space="preserve">3</w:t>
      </w:r>
      <w:r>
        <w:rPr>
          <w:bCs/>
          <w:color w:val="000000"/>
          <w:szCs w:val="21"/>
          <w:highlight w:val="none"/>
          <w:u w:val="single"/>
        </w:rPr>
        <w:t xml:space="preserve">0分</w:t>
      </w:r>
      <w:r>
        <w:rPr>
          <w:bCs/>
          <w:color w:val="000000"/>
          <w:szCs w:val="21"/>
          <w:highlight w:val="none"/>
        </w:rPr>
        <w:t xml:space="preserve">（北京时间）前递交投标文件。</w:t>
      </w:r>
      <w:r>
        <w:rPr>
          <w:bCs/>
          <w:color w:val="000000"/>
          <w:szCs w:val="21"/>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2" w:name="_Toc27101"/>
      <w:r>
        <w:rPr>
          <w:highlight w:val="none"/>
        </w:rPr>
      </w:r>
      <w:bookmarkStart w:id="3" w:name="_Toc35393621"/>
      <w:r>
        <w:rPr>
          <w:highlight w:val="none"/>
        </w:rPr>
      </w:r>
      <w:bookmarkStart w:id="4" w:name="_Toc35393790"/>
      <w:r>
        <w:rPr>
          <w:highlight w:val="none"/>
        </w:rPr>
      </w:r>
      <w:bookmarkStart w:id="5" w:name="_Toc28359002"/>
      <w:r>
        <w:rPr>
          <w:highlight w:val="none"/>
        </w:rPr>
      </w:r>
      <w:bookmarkStart w:id="6" w:name="_Toc28359079"/>
      <w:r>
        <w:rPr>
          <w:highlight w:val="none"/>
        </w:rPr>
      </w:r>
      <w:bookmarkStart w:id="7" w:name="_Toc9478"/>
      <w:r>
        <w:rPr>
          <w:highlight w:val="none"/>
        </w:rPr>
      </w:r>
      <w:bookmarkStart w:id="8" w:name="_Hlk24379207"/>
      <w:r>
        <w:rPr>
          <w:rFonts w:ascii="Times New Roman" w:hAnsi="Times New Roman" w:eastAsia="宋体"/>
          <w:color w:val="000000"/>
          <w:sz w:val="21"/>
          <w:szCs w:val="21"/>
          <w:highlight w:val="none"/>
        </w:rPr>
        <w:t xml:space="preserve">一、项目基本情况</w:t>
      </w:r>
      <w:bookmarkEnd w:id="2"/>
      <w:r>
        <w:rPr>
          <w:highlight w:val="none"/>
        </w:rPr>
      </w:r>
      <w:bookmarkEnd w:id="3"/>
      <w:r>
        <w:rPr>
          <w:highlight w:val="none"/>
        </w:rPr>
      </w:r>
      <w:bookmarkEnd w:id="4"/>
      <w:r>
        <w:rPr>
          <w:highlight w:val="none"/>
        </w:rPr>
      </w:r>
      <w:bookmarkEnd w:id="5"/>
      <w:r>
        <w:rPr>
          <w:highlight w:val="none"/>
        </w:rPr>
      </w:r>
      <w:bookmarkEnd w:id="6"/>
      <w:r>
        <w:rPr>
          <w:highlight w:val="none"/>
        </w:rPr>
      </w:r>
      <w:bookmarkEnd w:id="7"/>
      <w:r>
        <w:rPr>
          <w:rFonts w:ascii="Times New Roman" w:hAnsi="Times New Roman" w:eastAsia="宋体"/>
          <w:color w:val="000000"/>
          <w:sz w:val="21"/>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1.项目编号：JSZC-320000-SMDY-G2026-0020（2640SUMEC/ZWHD2049）</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2.项目名称：南京红十字血液中心平板速冻机等设备</w:t>
      </w:r>
      <w:r>
        <w:rPr>
          <w:color w:val="000000"/>
          <w:szCs w:val="21"/>
          <w:highlight w:val="none"/>
        </w:rPr>
      </w:r>
      <w:r>
        <w:rPr>
          <w:highlight w:val="none"/>
        </w:rPr>
      </w:r>
    </w:p>
    <w:p>
      <w:pPr>
        <w:pStyle w:val="1168"/>
        <w:ind w:firstLine="420"/>
        <w:spacing w:line="360" w:lineRule="auto"/>
        <w:rPr>
          <w:rFonts w:hint="eastAsia" w:eastAsia="宋体"/>
          <w:color w:val="000000"/>
          <w:szCs w:val="21"/>
          <w:highlight w:val="none"/>
        </w:rPr>
      </w:pPr>
      <w:r>
        <w:rPr>
          <w:color w:val="000000"/>
          <w:szCs w:val="21"/>
          <w:highlight w:val="none"/>
        </w:rPr>
        <w:t xml:space="preserve">3.预算金额：人民币308万元，超过对应的预算金额作无效投标处理。</w:t>
      </w:r>
      <w:r>
        <w:rPr>
          <w:rFonts w:hint="eastAsia"/>
          <w:color w:val="000000"/>
          <w:szCs w:val="21"/>
          <w:highlight w:val="none"/>
          <w:lang w:val="en-US" w:eastAsia="zh-CN"/>
        </w:rPr>
        <w:t xml:space="preserve"> </w:t>
      </w:r>
      <w:r>
        <w:rPr>
          <w:rFonts w:hint="eastAsia" w:eastAsia="宋体"/>
          <w:color w:val="000000"/>
          <w:szCs w:val="21"/>
          <w:highlight w:val="none"/>
          <w:lang w:val="en-US" w:eastAsia="zh-CN"/>
        </w:rPr>
      </w:r>
      <w:r>
        <w:rPr>
          <w:highlight w:val="none"/>
        </w:rPr>
      </w:r>
    </w:p>
    <w:p>
      <w:pPr>
        <w:pStyle w:val="1168"/>
        <w:ind w:firstLine="420"/>
        <w:spacing w:line="360" w:lineRule="auto"/>
        <w:rPr>
          <w:color w:val="000000"/>
          <w:szCs w:val="21"/>
          <w:highlight w:val="none"/>
        </w:rPr>
      </w:pPr>
      <w:r>
        <w:rPr>
          <w:color w:val="000000"/>
          <w:szCs w:val="21"/>
          <w:highlight w:val="none"/>
        </w:rPr>
        <w:t xml:space="preserve">4.最高限价：/</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5.采购需求：具体详见招标文件第四章招标技术规格及要求。</w:t>
      </w:r>
      <w:r>
        <w:rPr>
          <w:color w:val="000000"/>
          <w:szCs w:val="21"/>
          <w:highlight w:val="none"/>
        </w:rPr>
      </w:r>
      <w:r>
        <w:rPr>
          <w:highlight w:val="none"/>
        </w:rP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162"/>
        <w:gridCol w:w="1336"/>
        <w:gridCol w:w="3090"/>
        <w:gridCol w:w="2026"/>
      </w:tblGrid>
      <w:tr>
        <w:trPr>
          <w:trHeight w:val="600"/>
        </w:trPr>
        <w:tc>
          <w:tcPr>
            <w:tcW w:w="495" w:type="dxa"/>
            <w:vAlign w:val="center"/>
            <w:textDirection w:val="lrTb"/>
            <w:noWrap w:val="false"/>
          </w:tcPr>
          <w:p>
            <w:pPr>
              <w:pStyle w:val="1168"/>
              <w:ind w:right="-107"/>
              <w:jc w:val="center"/>
              <w:spacing w:line="460" w:lineRule="exact"/>
              <w:tabs>
                <w:tab w:val="left" w:pos="4788" w:leader="none"/>
              </w:tabs>
              <w:rPr>
                <w:b/>
                <w:color w:val="000000"/>
                <w:szCs w:val="21"/>
                <w:highlight w:val="none"/>
              </w:rPr>
            </w:pPr>
            <w:r>
              <w:rPr>
                <w:highlight w:val="none"/>
              </w:rPr>
            </w:r>
            <w:bookmarkEnd w:id="8"/>
            <w:r>
              <w:rPr>
                <w:b/>
                <w:color w:val="000000"/>
                <w:szCs w:val="21"/>
                <w:highlight w:val="none"/>
              </w:rPr>
              <w:t xml:space="preserve">分包号</w:t>
            </w:r>
            <w:r>
              <w:rPr>
                <w:b/>
                <w:color w:val="000000"/>
                <w:szCs w:val="21"/>
                <w:highlight w:val="none"/>
              </w:rPr>
            </w:r>
            <w:r>
              <w:rPr>
                <w:highlight w:val="none"/>
              </w:rPr>
            </w:r>
          </w:p>
        </w:tc>
        <w:tc>
          <w:tcPr>
            <w:tcW w:w="1130" w:type="dxa"/>
            <w:vAlign w:val="center"/>
            <w:textDirection w:val="lrTb"/>
            <w:noWrap w:val="false"/>
          </w:tcPr>
          <w:p>
            <w:pPr>
              <w:pStyle w:val="1168"/>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rPr>
                <w:highlight w:val="none"/>
              </w:rPr>
            </w:r>
          </w:p>
        </w:tc>
        <w:tc>
          <w:tcPr>
            <w:tcW w:w="698" w:type="dxa"/>
            <w:vAlign w:val="center"/>
            <w:textDirection w:val="lrTb"/>
            <w:noWrap w:val="false"/>
          </w:tcPr>
          <w:p>
            <w:pPr>
              <w:pStyle w:val="1168"/>
              <w:ind w:right="-107"/>
              <w:jc w:val="center"/>
              <w:spacing w:line="460" w:lineRule="exact"/>
              <w:tabs>
                <w:tab w:val="left" w:pos="4788" w:leader="none"/>
              </w:tabs>
              <w:rPr>
                <w:b/>
                <w:color w:val="000000"/>
                <w:szCs w:val="21"/>
                <w:highlight w:val="none"/>
              </w:rPr>
            </w:pPr>
            <w:r>
              <w:rPr>
                <w:b/>
                <w:color w:val="000000"/>
                <w:szCs w:val="21"/>
                <w:highlight w:val="none"/>
              </w:rPr>
              <w:t xml:space="preserve">数量（套）</w:t>
            </w:r>
            <w:r>
              <w:rPr>
                <w:b/>
                <w:color w:val="000000"/>
                <w:szCs w:val="21"/>
                <w:highlight w:val="none"/>
              </w:rPr>
            </w:r>
            <w:r>
              <w:rPr>
                <w:highlight w:val="none"/>
              </w:rPr>
            </w:r>
          </w:p>
        </w:tc>
        <w:tc>
          <w:tcPr>
            <w:tcW w:w="1615" w:type="dxa"/>
            <w:vAlign w:val="center"/>
            <w:textDirection w:val="lrTb"/>
            <w:noWrap w:val="false"/>
          </w:tcPr>
          <w:p>
            <w:pPr>
              <w:pStyle w:val="1168"/>
              <w:jc w:val="center"/>
              <w:spacing w:line="460" w:lineRule="exact"/>
              <w:tabs>
                <w:tab w:val="left" w:pos="4788" w:leader="none"/>
              </w:tabs>
              <w:rPr>
                <w:b/>
                <w:color w:val="000000"/>
                <w:szCs w:val="21"/>
                <w:highlight w:val="none"/>
              </w:rPr>
            </w:pPr>
            <w:r>
              <w:rPr>
                <w:b/>
                <w:color w:val="000000"/>
                <w:szCs w:val="21"/>
                <w:highlight w:val="none"/>
              </w:rPr>
              <w:t xml:space="preserve">项目预算金额（万元/人民币）</w:t>
            </w:r>
            <w:r>
              <w:rPr>
                <w:b/>
                <w:color w:val="000000"/>
                <w:szCs w:val="21"/>
                <w:highlight w:val="none"/>
              </w:rPr>
            </w:r>
            <w:r>
              <w:rPr>
                <w:highlight w:val="none"/>
              </w:rPr>
            </w:r>
          </w:p>
        </w:tc>
        <w:tc>
          <w:tcPr>
            <w:tcW w:w="1059" w:type="dxa"/>
            <w:vAlign w:val="center"/>
            <w:textDirection w:val="lrTb"/>
            <w:noWrap w:val="false"/>
          </w:tcPr>
          <w:p>
            <w:pPr>
              <w:pStyle w:val="1168"/>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rPr>
                <w:highlight w:val="none"/>
              </w:rPr>
            </w:r>
          </w:p>
        </w:tc>
      </w:tr>
      <w:tr>
        <w:trPr>
          <w:trHeight w:val="687"/>
        </w:trPr>
        <w:tc>
          <w:tcPr>
            <w:tcW w:w="495" w:type="dxa"/>
            <w:vAlign w:val="center"/>
            <w:textDirection w:val="lrTb"/>
            <w:noWrap w:val="false"/>
          </w:tcPr>
          <w:p>
            <w:pPr>
              <w:pStyle w:val="1168"/>
              <w:jc w:val="center"/>
              <w:rPr>
                <w:color w:val="000000"/>
                <w:szCs w:val="21"/>
                <w:highlight w:val="none"/>
              </w:rPr>
            </w:pPr>
            <w:r>
              <w:rPr>
                <w:color w:val="000000"/>
                <w:szCs w:val="21"/>
                <w:highlight w:val="none"/>
              </w:rPr>
              <w:t xml:space="preserve">1</w:t>
            </w:r>
            <w:r>
              <w:rPr>
                <w:color w:val="000000"/>
                <w:szCs w:val="21"/>
                <w:highlight w:val="none"/>
              </w:rPr>
            </w:r>
            <w:r>
              <w:rPr>
                <w:highlight w:val="none"/>
              </w:rPr>
            </w:r>
          </w:p>
        </w:tc>
        <w:tc>
          <w:tcPr>
            <w:tcW w:w="1130" w:type="dxa"/>
            <w:vAlign w:val="center"/>
            <w:textDirection w:val="lrTb"/>
            <w:noWrap w:val="false"/>
          </w:tcPr>
          <w:p>
            <w:pPr>
              <w:pStyle w:val="1168"/>
              <w:jc w:val="center"/>
              <w:rPr>
                <w:color w:val="000000"/>
                <w:szCs w:val="21"/>
                <w:highlight w:val="none"/>
              </w:rPr>
            </w:pPr>
            <w:r>
              <w:rPr>
                <w:color w:val="000000"/>
                <w:highlight w:val="none"/>
              </w:rPr>
              <w:t xml:space="preserve">平板速冻机</w:t>
            </w:r>
            <w:r>
              <w:rPr>
                <w:color w:val="000000"/>
                <w:szCs w:val="21"/>
                <w:highlight w:val="none"/>
                <w:lang w:val="zh-CN"/>
              </w:rPr>
            </w:r>
            <w:r>
              <w:rPr>
                <w:highlight w:val="none"/>
              </w:rPr>
            </w:r>
          </w:p>
        </w:tc>
        <w:tc>
          <w:tcPr>
            <w:tcW w:w="698"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1</w:t>
            </w:r>
            <w:r>
              <w:rPr>
                <w:color w:val="000000"/>
                <w:szCs w:val="21"/>
                <w:highlight w:val="none"/>
                <w:lang w:val="zh-CN"/>
              </w:rPr>
            </w:r>
            <w:r>
              <w:rPr>
                <w:highlight w:val="none"/>
              </w:rPr>
            </w:r>
          </w:p>
        </w:tc>
        <w:tc>
          <w:tcPr>
            <w:tcW w:w="1615"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120</w:t>
            </w:r>
            <w:r>
              <w:rPr>
                <w:color w:val="000000"/>
                <w:szCs w:val="21"/>
                <w:highlight w:val="none"/>
              </w:rPr>
            </w:r>
            <w:r>
              <w:rPr>
                <w:highlight w:val="none"/>
              </w:rPr>
            </w:r>
          </w:p>
        </w:tc>
        <w:tc>
          <w:tcPr>
            <w:tcW w:w="1059"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r>
      <w:tr>
        <w:trPr>
          <w:trHeight w:val="687"/>
        </w:trPr>
        <w:tc>
          <w:tcPr>
            <w:tcW w:w="495" w:type="dxa"/>
            <w:vAlign w:val="center"/>
            <w:textDirection w:val="lrTb"/>
            <w:noWrap w:val="false"/>
          </w:tcPr>
          <w:p>
            <w:pPr>
              <w:pStyle w:val="1168"/>
              <w:jc w:val="center"/>
              <w:rPr>
                <w:color w:val="000000"/>
                <w:szCs w:val="21"/>
                <w:highlight w:val="none"/>
              </w:rPr>
            </w:pPr>
            <w:r>
              <w:rPr>
                <w:color w:val="000000"/>
                <w:szCs w:val="21"/>
                <w:highlight w:val="none"/>
              </w:rPr>
              <w:t xml:space="preserve">2</w:t>
            </w:r>
            <w:r>
              <w:rPr>
                <w:color w:val="000000"/>
                <w:szCs w:val="21"/>
                <w:highlight w:val="none"/>
              </w:rPr>
            </w:r>
            <w:r>
              <w:rPr>
                <w:highlight w:val="none"/>
              </w:rPr>
            </w:r>
          </w:p>
        </w:tc>
        <w:tc>
          <w:tcPr>
            <w:tcW w:w="1130" w:type="dxa"/>
            <w:vAlign w:val="center"/>
            <w:textDirection w:val="lrTb"/>
            <w:noWrap w:val="false"/>
          </w:tcPr>
          <w:p>
            <w:pPr>
              <w:pStyle w:val="1168"/>
              <w:jc w:val="center"/>
              <w:rPr>
                <w:color w:val="000000"/>
                <w:szCs w:val="21"/>
                <w:highlight w:val="none"/>
              </w:rPr>
            </w:pPr>
            <w:r>
              <w:rPr>
                <w:color w:val="000000"/>
                <w:szCs w:val="21"/>
                <w:highlight w:val="none"/>
              </w:rPr>
              <w:t xml:space="preserve">大容量冷冻离心机</w:t>
            </w:r>
            <w:r>
              <w:rPr>
                <w:color w:val="000000"/>
                <w:szCs w:val="21"/>
                <w:highlight w:val="none"/>
              </w:rPr>
            </w:r>
            <w:r>
              <w:rPr>
                <w:highlight w:val="none"/>
              </w:rPr>
            </w:r>
          </w:p>
        </w:tc>
        <w:tc>
          <w:tcPr>
            <w:tcW w:w="698"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2</w:t>
            </w:r>
            <w:r>
              <w:rPr>
                <w:color w:val="000000"/>
                <w:szCs w:val="21"/>
                <w:highlight w:val="none"/>
                <w:lang w:val="zh-CN"/>
              </w:rPr>
            </w:r>
            <w:r>
              <w:rPr>
                <w:highlight w:val="none"/>
              </w:rPr>
            </w:r>
          </w:p>
        </w:tc>
        <w:tc>
          <w:tcPr>
            <w:tcW w:w="1615"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140</w:t>
            </w:r>
            <w:r>
              <w:rPr>
                <w:color w:val="000000"/>
                <w:szCs w:val="21"/>
                <w:highlight w:val="none"/>
              </w:rPr>
            </w:r>
            <w:r>
              <w:rPr>
                <w:highlight w:val="none"/>
              </w:rPr>
            </w:r>
          </w:p>
        </w:tc>
        <w:tc>
          <w:tcPr>
            <w:tcW w:w="1059"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r>
      <w:tr>
        <w:trPr>
          <w:trHeight w:val="687"/>
        </w:trPr>
        <w:tc>
          <w:tcPr>
            <w:tcW w:w="495" w:type="dxa"/>
            <w:vAlign w:val="center"/>
            <w:textDirection w:val="lrTb"/>
            <w:noWrap w:val="false"/>
          </w:tcPr>
          <w:p>
            <w:pPr>
              <w:pStyle w:val="1168"/>
              <w:jc w:val="center"/>
              <w:rPr>
                <w:color w:val="000000"/>
                <w:szCs w:val="21"/>
                <w:highlight w:val="none"/>
              </w:rPr>
            </w:pPr>
            <w:r>
              <w:rPr>
                <w:color w:val="000000"/>
                <w:szCs w:val="21"/>
                <w:highlight w:val="none"/>
              </w:rPr>
              <w:t xml:space="preserve">3</w:t>
            </w:r>
            <w:r>
              <w:rPr>
                <w:color w:val="000000"/>
                <w:szCs w:val="21"/>
                <w:highlight w:val="none"/>
              </w:rPr>
            </w:r>
            <w:r>
              <w:rPr>
                <w:highlight w:val="none"/>
              </w:rPr>
            </w:r>
          </w:p>
        </w:tc>
        <w:tc>
          <w:tcPr>
            <w:tcW w:w="1130" w:type="dxa"/>
            <w:vAlign w:val="center"/>
            <w:textDirection w:val="lrTb"/>
            <w:noWrap w:val="false"/>
          </w:tcPr>
          <w:p>
            <w:pPr>
              <w:pStyle w:val="1168"/>
              <w:jc w:val="center"/>
              <w:rPr>
                <w:color w:val="000000"/>
                <w:szCs w:val="21"/>
                <w:highlight w:val="none"/>
              </w:rPr>
            </w:pPr>
            <w:r>
              <w:rPr>
                <w:color w:val="000000"/>
                <w:szCs w:val="21"/>
                <w:highlight w:val="none"/>
              </w:rPr>
              <w:t xml:space="preserve">红细胞处理仪</w:t>
            </w:r>
            <w:r>
              <w:rPr>
                <w:color w:val="000000"/>
                <w:szCs w:val="21"/>
                <w:highlight w:val="none"/>
              </w:rPr>
            </w:r>
            <w:r>
              <w:rPr>
                <w:highlight w:val="none"/>
              </w:rPr>
            </w:r>
          </w:p>
        </w:tc>
        <w:tc>
          <w:tcPr>
            <w:tcW w:w="698"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1</w:t>
            </w:r>
            <w:r>
              <w:rPr>
                <w:color w:val="000000"/>
                <w:szCs w:val="21"/>
                <w:highlight w:val="none"/>
                <w:lang w:val="zh-CN"/>
              </w:rPr>
            </w:r>
            <w:r>
              <w:rPr>
                <w:highlight w:val="none"/>
              </w:rPr>
            </w:r>
          </w:p>
        </w:tc>
        <w:tc>
          <w:tcPr>
            <w:tcW w:w="1615"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48</w:t>
            </w:r>
            <w:r>
              <w:rPr>
                <w:color w:val="000000"/>
                <w:szCs w:val="21"/>
                <w:highlight w:val="none"/>
              </w:rPr>
            </w:r>
            <w:r>
              <w:rPr>
                <w:highlight w:val="none"/>
              </w:rPr>
            </w:r>
          </w:p>
        </w:tc>
        <w:tc>
          <w:tcPr>
            <w:tcW w:w="1059"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r>
    </w:tbl>
    <w:p>
      <w:pPr>
        <w:pStyle w:val="1168"/>
        <w:ind w:firstLine="420"/>
        <w:spacing w:line="360" w:lineRule="auto"/>
        <w:rPr>
          <w:color w:val="000000"/>
          <w:szCs w:val="21"/>
          <w:highlight w:val="none"/>
        </w:rPr>
      </w:pPr>
      <w:r>
        <w:rPr>
          <w:color w:val="000000"/>
          <w:szCs w:val="21"/>
          <w:highlight w:val="none"/>
        </w:rPr>
        <w:t xml:space="preserve">6.合同履行期限：</w:t>
      </w:r>
      <w:r>
        <w:rPr>
          <w:b/>
          <w:bCs/>
          <w:color w:val="000000"/>
          <w:szCs w:val="21"/>
          <w:highlight w:val="none"/>
          <w:lang w:val="zh-CN"/>
        </w:rPr>
        <w:t xml:space="preserve">合同生效后</w:t>
      </w:r>
      <w:r>
        <w:rPr>
          <w:rFonts w:hint="eastAsia"/>
          <w:b/>
          <w:bCs/>
          <w:color w:val="000000"/>
          <w:szCs w:val="21"/>
          <w:highlight w:val="none"/>
        </w:rPr>
        <w:t xml:space="preserve">60天</w:t>
      </w:r>
      <w:r>
        <w:rPr>
          <w:b/>
          <w:bCs/>
          <w:color w:val="000000"/>
          <w:szCs w:val="21"/>
          <w:highlight w:val="none"/>
          <w:lang w:val="zh-CN"/>
        </w:rPr>
        <w:t xml:space="preserve">内</w:t>
      </w:r>
      <w:r>
        <w:rPr>
          <w:rFonts w:hint="eastAsia"/>
          <w:b/>
          <w:bCs/>
          <w:color w:val="000000"/>
          <w:szCs w:val="21"/>
          <w:highlight w:val="none"/>
        </w:rPr>
        <w:t xml:space="preserve">供货并安装完毕</w:t>
      </w:r>
      <w:r>
        <w:rPr>
          <w:color w:val="000000"/>
          <w:szCs w:val="21"/>
          <w:highlight w:val="none"/>
        </w:rPr>
        <w:t xml:space="preserve">。</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9" w:name="_Toc28359003"/>
      <w:r>
        <w:rPr>
          <w:highlight w:val="none"/>
        </w:rPr>
      </w:r>
      <w:bookmarkStart w:id="10" w:name="_Toc35393791"/>
      <w:r>
        <w:rPr>
          <w:highlight w:val="none"/>
        </w:rPr>
      </w:r>
      <w:bookmarkStart w:id="11" w:name="_Toc23262"/>
      <w:r>
        <w:rPr>
          <w:highlight w:val="none"/>
        </w:rPr>
      </w:r>
      <w:bookmarkStart w:id="12" w:name="_Toc35393622"/>
      <w:r>
        <w:rPr>
          <w:highlight w:val="none"/>
        </w:rPr>
      </w:r>
      <w:bookmarkStart w:id="13" w:name="_Toc7946"/>
      <w:r>
        <w:rPr>
          <w:highlight w:val="none"/>
        </w:rPr>
      </w:r>
      <w:bookmarkStart w:id="14" w:name="_Toc28359080"/>
      <w:r>
        <w:rPr>
          <w:rFonts w:ascii="Times New Roman" w:hAnsi="Times New Roman" w:eastAsia="宋体"/>
          <w:color w:val="000000"/>
          <w:sz w:val="21"/>
          <w:szCs w:val="21"/>
          <w:highlight w:val="none"/>
        </w:rPr>
        <w:t xml:space="preserve">二、申请人的资格要求：</w:t>
      </w:r>
      <w:bookmarkEnd w:id="9"/>
      <w:r>
        <w:rPr>
          <w:highlight w:val="none"/>
        </w:rPr>
      </w:r>
      <w:bookmarkEnd w:id="10"/>
      <w:r>
        <w:rPr>
          <w:highlight w:val="none"/>
        </w:rPr>
      </w:r>
      <w:bookmarkEnd w:id="11"/>
      <w:r>
        <w:rPr>
          <w:highlight w:val="none"/>
        </w:rPr>
      </w:r>
      <w:bookmarkEnd w:id="12"/>
      <w:r>
        <w:rPr>
          <w:highlight w:val="none"/>
        </w:rPr>
      </w:r>
      <w:bookmarkEnd w:id="13"/>
      <w:r>
        <w:rPr>
          <w:highlight w:val="none"/>
        </w:rPr>
      </w:r>
      <w:bookmarkEnd w:id="14"/>
      <w:r>
        <w:rPr>
          <w:rFonts w:ascii="Times New Roman" w:hAnsi="Times New Roman" w:eastAsia="宋体"/>
          <w:color w:val="000000"/>
          <w:sz w:val="21"/>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（1）具有独立承担民事责任的能力，提供法人或其他组织的营业执照等证明文件，复印件加盖公章；</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（2）法人代表授权书（原件）及法定代表人、授权代表身份证复印件（如果是法定代表人直接参与投标的可以不提供授权书）；</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（3）具有良好的商业信誉和健全的财务会计制度，提供距开标时间六个月内任意一月份的财务状况报告（</w:t>
      </w:r>
      <w:r>
        <w:rPr>
          <w:b/>
          <w:bCs/>
          <w:color w:val="000000"/>
          <w:szCs w:val="21"/>
          <w:highlight w:val="non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（4）具有履行合同所必需的设备和专业技术能力（根据项目需求提供履行合同所必需的设备和专业技术能力的证明材料或相关加盖公章的承诺函，承诺函自行编写）；</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（6）有依法缴纳税收的良好记录，提供距开标时间六个月内任意一月份的纳税（企业代缴的个人所得税除外）凭据复印件加盖公章（依法免税的应提供相应文件说明）；</w:t>
      </w:r>
      <w:r>
        <w:rPr>
          <w:color w:val="000000"/>
          <w:szCs w:val="21"/>
          <w:highlight w:val="none"/>
        </w:rPr>
      </w:r>
      <w:r>
        <w:rPr>
          <w:highlight w:val="none"/>
        </w:rPr>
      </w:r>
    </w:p>
    <w:p>
      <w:pPr>
        <w:pStyle w:val="1168"/>
        <w:ind w:firstLine="420"/>
        <w:spacing w:line="360" w:lineRule="auto"/>
        <w:shd w:val="clear" w:color="auto" w:fill="ffffff"/>
        <w:widowControl/>
        <w:rPr>
          <w:color w:val="000000"/>
          <w:szCs w:val="22"/>
          <w:highlight w:val="none"/>
        </w:rPr>
      </w:pPr>
      <w:r>
        <w:rPr>
          <w:color w:val="000000"/>
          <w:szCs w:val="21"/>
          <w:highlight w:val="none"/>
        </w:rPr>
        <w:t xml:space="preserve">（7）有依法缴纳社会保障资金的良好记录，提供距开标时间六个月内任意一月份的依法缴纳社会保障资金的凭据复印件加盖公章</w:t>
      </w:r>
      <w:r>
        <w:rPr>
          <w:color w:val="000000"/>
          <w:szCs w:val="22"/>
          <w:highlight w:val="none"/>
        </w:rPr>
        <w:t xml:space="preserve">；</w:t>
      </w:r>
      <w:r>
        <w:rPr>
          <w:color w:val="000000"/>
          <w:szCs w:val="22"/>
          <w:highlight w:val="none"/>
        </w:rPr>
      </w:r>
      <w:r>
        <w:rPr>
          <w:highlight w:val="none"/>
        </w:rPr>
      </w:r>
    </w:p>
    <w:p>
      <w:pPr>
        <w:pStyle w:val="1168"/>
        <w:ind w:firstLine="420"/>
        <w:spacing w:line="360" w:lineRule="auto"/>
        <w:shd w:val="clear" w:color="auto" w:fill="ffffff"/>
        <w:widowControl/>
        <w:rPr>
          <w:rFonts w:hint="eastAsia"/>
          <w:color w:val="000000"/>
          <w:szCs w:val="21"/>
          <w:highlight w:val="none"/>
        </w:rPr>
      </w:pPr>
      <w:r>
        <w:rPr>
          <w:color w:val="000000"/>
          <w:szCs w:val="22"/>
          <w:highlight w:val="none"/>
        </w:rPr>
        <w:t xml:space="preserve">（8）</w:t>
      </w:r>
      <w:bookmarkStart w:id="15" w:name="_Hlk228366085"/>
      <w:r>
        <w:rPr>
          <w:b/>
          <w:bCs/>
          <w:color w:val="000000"/>
          <w:szCs w:val="21"/>
          <w:highlight w:val="none"/>
        </w:rPr>
        <w:t xml:space="preserve">本项目</w:t>
      </w:r>
      <w:r>
        <w:rPr>
          <w:rFonts w:hint="eastAsia"/>
          <w:b/>
          <w:bCs/>
          <w:color w:val="000000"/>
          <w:szCs w:val="21"/>
          <w:highlight w:val="none"/>
          <w:lang w:val="en-US" w:eastAsia="zh-CN"/>
        </w:rPr>
        <w:t xml:space="preserve">不</w:t>
      </w:r>
      <w:r>
        <w:rPr>
          <w:b/>
          <w:bCs/>
          <w:color w:val="000000"/>
          <w:szCs w:val="21"/>
          <w:highlight w:val="none"/>
        </w:rPr>
        <w:t xml:space="preserve">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rFonts w:hint="eastAsia"/>
          <w:color w:val="000000"/>
          <w:szCs w:val="21"/>
          <w:highlight w:val="none"/>
        </w:rPr>
        <w:t xml:space="preserve">；</w:t>
      </w:r>
      <w:r>
        <w:rPr>
          <w:rFonts w:hint="eastAsia"/>
          <w:color w:val="000000"/>
          <w:szCs w:val="21"/>
          <w:highlight w:val="none"/>
        </w:rPr>
      </w:r>
      <w:r>
        <w:rPr>
          <w:highlight w:val="none"/>
        </w:rPr>
      </w:r>
    </w:p>
    <w:p>
      <w:pPr>
        <w:pStyle w:val="1168"/>
        <w:ind w:firstLine="420"/>
        <w:spacing w:line="360" w:lineRule="auto"/>
        <w:rPr>
          <w:color w:val="000000"/>
          <w:szCs w:val="21"/>
          <w:highlight w:val="none"/>
        </w:rPr>
      </w:pPr>
      <w:r>
        <w:rPr>
          <w:highlight w:val="none"/>
        </w:rPr>
      </w:r>
      <w:bookmarkEnd w:id="15"/>
      <w:r>
        <w:rPr>
          <w:highlight w:val="none"/>
        </w:rPr>
      </w:r>
      <w:bookmarkStart w:id="16" w:name="_Toc28359081"/>
      <w:r>
        <w:rPr>
          <w:highlight w:val="none"/>
        </w:rPr>
      </w:r>
      <w:bookmarkStart w:id="17" w:name="_Toc28359004"/>
      <w:r>
        <w:rPr>
          <w:color w:val="000000"/>
          <w:szCs w:val="21"/>
          <w:highlight w:val="none"/>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（1）供应商被列入严重失信主体名单；</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（3）其他法律、行政法规规定的不适用信用承诺的情形。</w:t>
      </w:r>
      <w:r>
        <w:rPr>
          <w:color w:val="000000"/>
          <w:szCs w:val="21"/>
          <w:highlight w:val="none"/>
        </w:rPr>
      </w:r>
      <w:r>
        <w:rPr>
          <w:highlight w:val="none"/>
        </w:rPr>
      </w:r>
    </w:p>
    <w:p>
      <w:pPr>
        <w:pStyle w:val="1168"/>
        <w:ind w:firstLine="420"/>
        <w:spacing w:line="360" w:lineRule="auto"/>
        <w:shd w:val="clear" w:color="auto" w:fill="ffffff"/>
        <w:widowControl/>
        <w:rPr>
          <w:color w:val="000000"/>
          <w:szCs w:val="21"/>
          <w:highlight w:val="none"/>
        </w:rPr>
      </w:pPr>
      <w:r>
        <w:rPr>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rPr>
          <w:highlight w:val="none"/>
        </w:rPr>
      </w:r>
    </w:p>
    <w:p>
      <w:pPr>
        <w:pStyle w:val="1168"/>
        <w:ind w:firstLine="420"/>
        <w:spacing w:line="360" w:lineRule="auto"/>
        <w:shd w:val="clear" w:color="auto" w:fill="ffffff"/>
        <w:widowControl/>
        <w:rPr>
          <w:color w:val="000000"/>
          <w:szCs w:val="22"/>
          <w:highlight w:val="none"/>
        </w:rPr>
      </w:pPr>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rPr>
          <w:highlight w:val="none"/>
        </w:rPr>
      </w:r>
    </w:p>
    <w:p>
      <w:pPr>
        <w:pStyle w:val="1168"/>
        <w:ind w:firstLine="284"/>
        <w:spacing w:line="360" w:lineRule="auto"/>
        <w:widowControl/>
        <w:rPr>
          <w:b/>
          <w:bCs/>
          <w:color w:val="000000"/>
          <w:highlight w:val="none"/>
        </w:rPr>
      </w:pPr>
      <w:r>
        <w:rPr>
          <w:rFonts w:hint="eastAsia"/>
          <w:color w:val="000000"/>
          <w:szCs w:val="22"/>
          <w:highlight w:val="none"/>
        </w:rPr>
        <w:t xml:space="preserve">(</w:t>
      </w:r>
      <w:r>
        <w:rPr>
          <w:color w:val="000000"/>
          <w:szCs w:val="22"/>
          <w:highlight w:val="none"/>
        </w:rPr>
        <w:t xml:space="preserve">1）</w:t>
      </w:r>
      <w:r>
        <w:rPr>
          <w:b/>
          <w:bCs/>
          <w:color w:val="000000"/>
          <w:highlight w:val="none"/>
        </w:rPr>
        <w:t xml:space="preserve">如根据国家相关政策规定，属于医疗器械监督管理的设备，需具备以下特定资格：</w:t>
      </w:r>
      <w:r>
        <w:rPr>
          <w:b/>
          <w:bCs/>
          <w:color w:val="000000"/>
          <w:highlight w:val="none"/>
        </w:rPr>
      </w:r>
      <w:r>
        <w:rPr>
          <w:highlight w:val="none"/>
        </w:rPr>
      </w:r>
    </w:p>
    <w:p>
      <w:pPr>
        <w:pStyle w:val="1168"/>
        <w:ind w:firstLine="284"/>
        <w:spacing w:line="360" w:lineRule="auto"/>
        <w:widowControl/>
        <w:rPr>
          <w:b/>
          <w:bCs/>
          <w:color w:val="000000"/>
          <w:highlight w:val="none"/>
        </w:rPr>
      </w:pPr>
      <w:r>
        <w:rPr>
          <w:b/>
          <w:bCs/>
          <w:color w:val="000000"/>
          <w:highlight w:val="none"/>
        </w:rPr>
        <w:t xml:space="preserve">①投标人须提供有效的医疗器械产品注册证或产品备案凭证，投标时需提供复印件加盖公章；</w:t>
      </w:r>
      <w:r>
        <w:rPr>
          <w:b/>
          <w:bCs/>
          <w:color w:val="000000"/>
          <w:highlight w:val="none"/>
        </w:rPr>
      </w:r>
      <w:r>
        <w:rPr>
          <w:highlight w:val="none"/>
        </w:rPr>
      </w:r>
    </w:p>
    <w:p>
      <w:pPr>
        <w:pStyle w:val="1168"/>
        <w:ind w:firstLine="284"/>
        <w:spacing w:line="360" w:lineRule="auto"/>
        <w:widowControl/>
        <w:rPr>
          <w:b/>
          <w:bCs/>
          <w:color w:val="000000"/>
          <w:highlight w:val="none"/>
        </w:rPr>
      </w:pPr>
      <w:r>
        <w:rPr>
          <w:b/>
          <w:bCs/>
          <w:color w:val="000000"/>
          <w:highlight w:val="none"/>
        </w:rPr>
        <w:t xml:space="preserve">②若投标供应商为代理商，须具有有效的《医疗器械经营许可证》或医疗器械经营备案凭证，投标时需提供复印件加盖公章；</w:t>
      </w:r>
      <w:r>
        <w:rPr>
          <w:b/>
          <w:bCs/>
          <w:color w:val="000000"/>
          <w:highlight w:val="none"/>
        </w:rPr>
      </w:r>
      <w:r>
        <w:rPr>
          <w:highlight w:val="none"/>
        </w:rPr>
      </w:r>
    </w:p>
    <w:p>
      <w:pPr>
        <w:pStyle w:val="1168"/>
        <w:ind w:firstLine="422"/>
        <w:spacing w:line="360" w:lineRule="auto"/>
        <w:rPr>
          <w:color w:val="000000"/>
          <w:szCs w:val="22"/>
          <w:highlight w:val="none"/>
        </w:rPr>
      </w:pPr>
      <w:r>
        <w:rPr>
          <w:b/>
          <w:bCs/>
          <w:color w:val="000000"/>
          <w:highlight w:val="none"/>
        </w:rPr>
        <w:t xml:space="preserve">③若投标供应商为生产商，须具有有效的《医疗器械生产许可证》或生产备案凭证（医疗器械生产许可证如有医疗器械生产产品登记表的须一并提供），投标时需提供复印件加盖公章。</w:t>
      </w:r>
      <w:r>
        <w:rPr>
          <w:color w:val="000000"/>
          <w:szCs w:val="22"/>
          <w:highlight w:val="none"/>
        </w:rPr>
      </w:r>
      <w:r>
        <w:rPr>
          <w:highlight w:val="none"/>
        </w:rPr>
      </w:r>
    </w:p>
    <w:p>
      <w:pPr>
        <w:pStyle w:val="1168"/>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rPr>
          <w:highlight w:val="none"/>
        </w:rPr>
      </w:r>
    </w:p>
    <w:p>
      <w:pPr>
        <w:pStyle w:val="1224"/>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递交投标文件截止之日24时前</w:t>
      </w:r>
      <w:r>
        <w:rPr>
          <w:color w:val="000000"/>
          <w:highlight w:val="none"/>
        </w:rPr>
        <w:t xml:space="preserve">的信用记录并保存。</w:t>
      </w:r>
      <w:r>
        <w:rPr>
          <w:color w:val="000000"/>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18" w:name="_Toc4680"/>
      <w:r>
        <w:rPr>
          <w:highlight w:val="none"/>
        </w:rPr>
      </w:r>
      <w:bookmarkStart w:id="19" w:name="_Toc31913"/>
      <w:r>
        <w:rPr>
          <w:highlight w:val="none"/>
        </w:rPr>
      </w:r>
      <w:bookmarkStart w:id="20" w:name="_Toc35393623"/>
      <w:r>
        <w:rPr>
          <w:highlight w:val="none"/>
        </w:rPr>
      </w:r>
      <w:bookmarkStart w:id="21" w:name="_Toc35393792"/>
      <w:r>
        <w:rPr>
          <w:rFonts w:ascii="Times New Roman" w:hAnsi="Times New Roman" w:eastAsia="宋体"/>
          <w:color w:val="000000"/>
          <w:sz w:val="21"/>
          <w:szCs w:val="21"/>
          <w:highlight w:val="none"/>
        </w:rPr>
        <w:t xml:space="preserve">三、获取招标文件</w:t>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rFonts w:ascii="Times New Roman" w:hAnsi="Times New Roman" w:eastAsia="宋体"/>
          <w:color w:val="000000"/>
          <w:sz w:val="21"/>
          <w:szCs w:val="21"/>
          <w:highlight w:val="none"/>
        </w:rPr>
      </w:r>
      <w:r>
        <w:rPr>
          <w:highlight w:val="none"/>
        </w:rPr>
      </w:r>
    </w:p>
    <w:p>
      <w:pPr>
        <w:pStyle w:val="1168"/>
        <w:ind w:firstLine="540"/>
        <w:spacing w:line="360" w:lineRule="auto"/>
        <w:rPr>
          <w:color w:val="000000"/>
          <w:szCs w:val="21"/>
          <w:highlight w:val="none"/>
        </w:rPr>
      </w:pPr>
      <w:r>
        <w:rPr>
          <w:color w:val="000000"/>
          <w:szCs w:val="21"/>
          <w:highlight w:val="none"/>
        </w:rPr>
        <w:t xml:space="preserve">1.截止时间：自公告发布之日起5个工作日。</w:t>
      </w:r>
      <w:r>
        <w:rPr>
          <w:color w:val="000000"/>
          <w:szCs w:val="21"/>
          <w:highlight w:val="none"/>
        </w:rPr>
      </w:r>
      <w:r>
        <w:rPr>
          <w:highlight w:val="none"/>
        </w:rPr>
      </w:r>
    </w:p>
    <w:p>
      <w:pPr>
        <w:pStyle w:val="1168"/>
        <w:ind w:firstLine="540"/>
        <w:spacing w:line="360" w:lineRule="auto"/>
        <w:rPr>
          <w:color w:val="000000"/>
          <w:szCs w:val="21"/>
          <w:highlight w:val="none"/>
          <w:u w:val="single"/>
        </w:rPr>
      </w:pPr>
      <w:r>
        <w:rPr>
          <w:color w:val="000000"/>
          <w:szCs w:val="21"/>
          <w:highlight w:val="none"/>
        </w:rPr>
        <w:t xml:space="preserve">2.地点：“苏采云”系统内免费下载（投标人必须在苏采云系统中获取采购文件，方能参与政府采购项目）</w:t>
      </w:r>
      <w:r>
        <w:rPr>
          <w:color w:val="000000"/>
          <w:szCs w:val="21"/>
          <w:highlight w:val="none"/>
          <w:u w:val="single"/>
        </w:rPr>
      </w:r>
      <w:r>
        <w:rPr>
          <w:highlight w:val="none"/>
        </w:rPr>
      </w:r>
    </w:p>
    <w:p>
      <w:pPr>
        <w:pStyle w:val="1168"/>
        <w:ind w:firstLine="540"/>
        <w:spacing w:line="360" w:lineRule="auto"/>
        <w:rPr>
          <w:color w:val="000000"/>
          <w:szCs w:val="21"/>
          <w:highlight w:val="none"/>
          <w:u w:val="single"/>
        </w:rPr>
      </w:pPr>
      <w:r>
        <w:rPr>
          <w:color w:val="000000"/>
          <w:szCs w:val="21"/>
          <w:highlight w:val="none"/>
        </w:rPr>
        <w:t xml:space="preserve">3.方式：苏采云系统注册登记成功后系统内免费下载</w:t>
      </w:r>
      <w:r>
        <w:rPr>
          <w:color w:val="000000"/>
          <w:szCs w:val="21"/>
          <w:highlight w:val="none"/>
          <w:u w:val="single"/>
        </w:rPr>
      </w:r>
      <w:r>
        <w:rPr>
          <w:highlight w:val="none"/>
        </w:rPr>
      </w:r>
    </w:p>
    <w:p>
      <w:pPr>
        <w:pStyle w:val="1168"/>
        <w:ind w:firstLine="540"/>
        <w:spacing w:line="360" w:lineRule="auto"/>
        <w:rPr>
          <w:color w:val="000000"/>
          <w:szCs w:val="21"/>
          <w:highlight w:val="none"/>
        </w:rPr>
      </w:pPr>
      <w:r>
        <w:rPr>
          <w:color w:val="000000"/>
          <w:szCs w:val="21"/>
          <w:highlight w:val="none"/>
        </w:rPr>
        <w:t xml:space="preserve">4.文件售价：0元。</w:t>
      </w:r>
      <w:r>
        <w:rPr>
          <w:color w:val="000000"/>
          <w:szCs w:val="21"/>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22" w:name="_Toc28359005"/>
      <w:r>
        <w:rPr>
          <w:highlight w:val="none"/>
        </w:rPr>
      </w:r>
      <w:bookmarkStart w:id="23" w:name="_Toc28359082"/>
      <w:r>
        <w:rPr>
          <w:highlight w:val="none"/>
        </w:rPr>
      </w:r>
      <w:bookmarkStart w:id="24" w:name="_Toc35393624"/>
      <w:r>
        <w:rPr>
          <w:highlight w:val="none"/>
        </w:rPr>
      </w:r>
      <w:bookmarkStart w:id="25" w:name="_Toc5128"/>
      <w:r>
        <w:rPr>
          <w:highlight w:val="none"/>
        </w:rPr>
      </w:r>
      <w:bookmarkStart w:id="26" w:name="_Toc35393793"/>
      <w:r>
        <w:rPr>
          <w:highlight w:val="none"/>
        </w:rPr>
      </w:r>
      <w:bookmarkStart w:id="27" w:name="_Toc1188"/>
      <w:r>
        <w:rPr>
          <w:rFonts w:ascii="Times New Roman" w:hAnsi="Times New Roman" w:eastAsia="宋体"/>
          <w:color w:val="000000"/>
          <w:sz w:val="21"/>
          <w:szCs w:val="21"/>
          <w:highlight w:val="none"/>
        </w:rPr>
        <w:t xml:space="preserve">四、提交投标文件</w:t>
      </w:r>
      <w:bookmarkEnd w:id="22"/>
      <w:r>
        <w:rPr>
          <w:highlight w:val="none"/>
        </w:rPr>
      </w:r>
      <w:bookmarkEnd w:id="23"/>
      <w:r>
        <w:rPr>
          <w:rFonts w:ascii="Times New Roman" w:hAnsi="Times New Roman" w:eastAsia="宋体"/>
          <w:color w:val="000000"/>
          <w:sz w:val="21"/>
          <w:szCs w:val="21"/>
          <w:highlight w:val="none"/>
        </w:rPr>
        <w:t xml:space="preserve">截止时间、开标时间和地点</w:t>
      </w:r>
      <w:bookmarkEnd w:id="24"/>
      <w:r>
        <w:rPr>
          <w:highlight w:val="none"/>
        </w:rPr>
      </w:r>
      <w:bookmarkEnd w:id="25"/>
      <w:r>
        <w:rPr>
          <w:highlight w:val="none"/>
        </w:rPr>
      </w:r>
      <w:bookmarkEnd w:id="26"/>
      <w:r>
        <w:rPr>
          <w:highlight w:val="none"/>
        </w:rPr>
      </w:r>
      <w:bookmarkEnd w:id="27"/>
      <w:r>
        <w:rPr>
          <w:rFonts w:ascii="Times New Roman" w:hAnsi="Times New Roman" w:eastAsia="宋体"/>
          <w:color w:val="000000"/>
          <w:sz w:val="21"/>
          <w:szCs w:val="21"/>
          <w:highlight w:val="none"/>
        </w:rPr>
      </w:r>
      <w:r>
        <w:rPr>
          <w:highlight w:val="none"/>
        </w:rPr>
      </w:r>
    </w:p>
    <w:p>
      <w:pPr>
        <w:pStyle w:val="1168"/>
        <w:ind w:firstLine="420"/>
        <w:spacing w:line="360" w:lineRule="auto"/>
        <w:rPr>
          <w:color w:val="000000"/>
          <w:szCs w:val="21"/>
          <w:highlight w:val="none"/>
        </w:rPr>
      </w:pPr>
      <w:r>
        <w:rPr>
          <w:color w:val="000000"/>
          <w:highlight w:val="none"/>
        </w:rPr>
        <w:t xml:space="preserve">提交投标文件开始时间：</w:t>
      </w:r>
      <w:r>
        <w:rPr>
          <w:color w:val="000000"/>
          <w:szCs w:val="21"/>
          <w:highlight w:val="none"/>
        </w:rPr>
        <w:t xml:space="preserve">202</w:t>
      </w:r>
      <w:r>
        <w:rPr>
          <w:rFonts w:hint="eastAsia"/>
          <w:color w:val="000000"/>
          <w:szCs w:val="21"/>
          <w:highlight w:val="none"/>
        </w:rPr>
        <w:t xml:space="preserve">6</w:t>
      </w:r>
      <w:r>
        <w:rPr>
          <w:color w:val="000000"/>
          <w:szCs w:val="21"/>
          <w:highlight w:val="none"/>
        </w:rPr>
        <w:t xml:space="preserve">年</w:t>
      </w:r>
      <w:r>
        <w:rPr>
          <w:rFonts w:hint="eastAsia"/>
          <w:color w:val="000000"/>
          <w:szCs w:val="21"/>
          <w:highlight w:val="none"/>
          <w:lang w:val="en-US" w:eastAsia="zh-CN"/>
        </w:rPr>
        <w:t xml:space="preserve">8</w:t>
      </w:r>
      <w:r>
        <w:rPr>
          <w:color w:val="000000"/>
          <w:szCs w:val="21"/>
          <w:highlight w:val="none"/>
        </w:rPr>
        <w:t xml:space="preserve">月</w:t>
      </w:r>
      <w:r>
        <w:rPr>
          <w:rFonts w:hint="eastAsia"/>
          <w:color w:val="000000"/>
          <w:szCs w:val="21"/>
          <w:highlight w:val="none"/>
          <w:lang w:val="en-US" w:eastAsia="zh-CN"/>
        </w:rPr>
        <w:t xml:space="preserve">10</w:t>
      </w:r>
      <w:r>
        <w:rPr>
          <w:color w:val="000000"/>
          <w:szCs w:val="21"/>
          <w:highlight w:val="none"/>
        </w:rPr>
        <w:t xml:space="preserve">日</w:t>
      </w:r>
      <w:r>
        <w:rPr>
          <w:rFonts w:hint="eastAsia"/>
          <w:color w:val="000000"/>
          <w:szCs w:val="21"/>
          <w:highlight w:val="none"/>
          <w:lang w:val="en-US" w:eastAsia="zh-CN"/>
        </w:rPr>
        <w:t xml:space="preserve">9</w:t>
      </w:r>
      <w:r>
        <w:rPr>
          <w:color w:val="000000"/>
          <w:szCs w:val="21"/>
          <w:highlight w:val="none"/>
        </w:rPr>
        <w:t xml:space="preserve">点</w:t>
      </w:r>
      <w:r>
        <w:rPr>
          <w:rFonts w:hint="eastAsia"/>
          <w:color w:val="000000"/>
          <w:szCs w:val="21"/>
          <w:highlight w:val="none"/>
          <w:lang w:val="en-US" w:eastAsia="zh-CN"/>
        </w:rPr>
        <w:t xml:space="preserve">0</w:t>
      </w:r>
      <w:r>
        <w:rPr>
          <w:color w:val="000000"/>
          <w:szCs w:val="21"/>
          <w:highlight w:val="none"/>
        </w:rPr>
        <w:t xml:space="preserve">0分（北京时间）</w:t>
      </w:r>
      <w:r>
        <w:rPr>
          <w:color w:val="000000"/>
          <w:szCs w:val="21"/>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提交投标文件截止时间、开标时间：202</w:t>
      </w:r>
      <w:r>
        <w:rPr>
          <w:rFonts w:hint="eastAsia"/>
          <w:color w:val="000000"/>
          <w:szCs w:val="21"/>
          <w:highlight w:val="none"/>
        </w:rPr>
        <w:t xml:space="preserve">6</w:t>
      </w:r>
      <w:r>
        <w:rPr>
          <w:color w:val="000000"/>
          <w:szCs w:val="21"/>
          <w:highlight w:val="none"/>
        </w:rPr>
        <w:t xml:space="preserve">年</w:t>
      </w:r>
      <w:r>
        <w:rPr>
          <w:rFonts w:hint="eastAsia"/>
          <w:color w:val="000000"/>
          <w:szCs w:val="21"/>
          <w:highlight w:val="none"/>
          <w:lang w:val="en-US" w:eastAsia="zh-CN"/>
        </w:rPr>
        <w:t xml:space="preserve">8</w:t>
      </w:r>
      <w:r>
        <w:rPr>
          <w:color w:val="000000"/>
          <w:szCs w:val="21"/>
          <w:highlight w:val="none"/>
        </w:rPr>
        <w:t xml:space="preserve">月</w:t>
      </w:r>
      <w:r>
        <w:rPr>
          <w:rFonts w:hint="eastAsia"/>
          <w:color w:val="000000"/>
          <w:szCs w:val="21"/>
          <w:highlight w:val="none"/>
          <w:lang w:val="en-US" w:eastAsia="zh-CN"/>
        </w:rPr>
        <w:t xml:space="preserve">10</w:t>
      </w:r>
      <w:r>
        <w:rPr>
          <w:color w:val="000000"/>
          <w:szCs w:val="21"/>
          <w:highlight w:val="none"/>
        </w:rPr>
        <w:t xml:space="preserve">日</w:t>
      </w:r>
      <w:r>
        <w:rPr>
          <w:rFonts w:hint="eastAsia"/>
          <w:color w:val="000000"/>
          <w:szCs w:val="21"/>
          <w:highlight w:val="none"/>
          <w:lang w:val="en-US" w:eastAsia="zh-CN"/>
        </w:rPr>
        <w:t xml:space="preserve">9</w:t>
      </w:r>
      <w:r>
        <w:rPr>
          <w:color w:val="000000"/>
          <w:szCs w:val="21"/>
          <w:highlight w:val="none"/>
        </w:rPr>
        <w:t xml:space="preserve">点</w:t>
      </w:r>
      <w:r>
        <w:rPr>
          <w:rFonts w:hint="eastAsia"/>
          <w:color w:val="000000"/>
          <w:szCs w:val="21"/>
          <w:highlight w:val="none"/>
          <w:lang w:val="en-US" w:eastAsia="zh-CN"/>
        </w:rPr>
        <w:t xml:space="preserve">3</w:t>
      </w:r>
      <w:r>
        <w:rPr>
          <w:color w:val="000000"/>
          <w:szCs w:val="21"/>
          <w:highlight w:val="none"/>
        </w:rPr>
        <w:t xml:space="preserve">0分</w:t>
      </w:r>
      <w:r>
        <w:rPr>
          <w:color w:val="000000"/>
          <w:highlight w:val="none"/>
        </w:rPr>
        <w:t xml:space="preserve">（北京时间）</w:t>
      </w:r>
      <w:r>
        <w:rPr>
          <w:color w:val="000000"/>
          <w:highlight w:val="none"/>
        </w:rPr>
      </w:r>
      <w:r>
        <w:rPr>
          <w:highlight w:val="none"/>
        </w:rPr>
      </w:r>
    </w:p>
    <w:p>
      <w:pPr>
        <w:pStyle w:val="1168"/>
        <w:ind w:firstLine="420"/>
        <w:spacing w:line="360" w:lineRule="auto"/>
        <w:rPr>
          <w:color w:val="000000"/>
          <w:highlight w:val="none"/>
        </w:rPr>
      </w:pPr>
      <w:r>
        <w:rPr>
          <w:highlight w:val="none"/>
        </w:rPr>
      </w:r>
      <w:bookmarkStart w:id="28" w:name="_Toc1571"/>
      <w:r>
        <w:rPr>
          <w:highlight w:val="none"/>
        </w:rPr>
      </w:r>
      <w:bookmarkStart w:id="29" w:name="_Toc28359084"/>
      <w:r>
        <w:rPr>
          <w:highlight w:val="none"/>
        </w:rPr>
      </w:r>
      <w:bookmarkStart w:id="30" w:name="_Toc35393794"/>
      <w:r>
        <w:rPr>
          <w:highlight w:val="none"/>
        </w:rPr>
      </w:r>
      <w:bookmarkStart w:id="31" w:name="_Toc35393625"/>
      <w:r>
        <w:rPr>
          <w:highlight w:val="none"/>
        </w:rPr>
      </w:r>
      <w:bookmarkStart w:id="32" w:name="_Toc28359007"/>
      <w:r>
        <w:rPr>
          <w:color w:val="000000"/>
          <w:highlight w:val="none"/>
        </w:rPr>
        <w:t xml:space="preserve">地点：“苏采云”系统（网址： http://jszfcg.jsczt.cn/）“开标大厅”</w:t>
      </w:r>
      <w:r>
        <w:rPr>
          <w:color w:val="000000"/>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33" w:name="_Toc14709"/>
      <w:r>
        <w:rPr>
          <w:rFonts w:ascii="Times New Roman" w:hAnsi="Times New Roman" w:eastAsia="宋体"/>
          <w:color w:val="000000"/>
          <w:sz w:val="21"/>
          <w:szCs w:val="21"/>
          <w:highlight w:val="none"/>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rFonts w:ascii="Times New Roman" w:hAnsi="Times New Roman" w:eastAsia="宋体"/>
          <w:color w:val="000000"/>
          <w:sz w:val="21"/>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34" w:name="_Toc27738"/>
      <w:r>
        <w:rPr>
          <w:highlight w:val="none"/>
        </w:rPr>
      </w:r>
      <w:bookmarkStart w:id="35" w:name="_Toc35393626"/>
      <w:r>
        <w:rPr>
          <w:highlight w:val="none"/>
        </w:rPr>
      </w:r>
      <w:bookmarkStart w:id="36" w:name="_Toc13896"/>
      <w:r>
        <w:rPr>
          <w:highlight w:val="none"/>
        </w:rPr>
      </w:r>
      <w:bookmarkStart w:id="37" w:name="_Toc35393795"/>
      <w:r>
        <w:rPr>
          <w:rFonts w:ascii="Times New Roman" w:hAnsi="Times New Roman" w:eastAsia="宋体"/>
          <w:color w:val="000000"/>
          <w:sz w:val="21"/>
          <w:szCs w:val="21"/>
          <w:highlight w:val="none"/>
        </w:rPr>
        <w:t xml:space="preserve">六、其他补充事宜</w:t>
      </w:r>
      <w:bookmarkEnd w:id="34"/>
      <w:r>
        <w:rPr>
          <w:highlight w:val="none"/>
        </w:rPr>
      </w:r>
      <w:bookmarkEnd w:id="35"/>
      <w:r>
        <w:rPr>
          <w:highlight w:val="none"/>
        </w:rPr>
      </w:r>
      <w:bookmarkEnd w:id="36"/>
      <w:r>
        <w:rPr>
          <w:highlight w:val="none"/>
        </w:rPr>
      </w:r>
      <w:bookmarkEnd w:id="37"/>
      <w:r>
        <w:rPr>
          <w:rFonts w:ascii="Times New Roman" w:hAnsi="Times New Roman" w:eastAsia="宋体"/>
          <w:color w:val="000000"/>
          <w:sz w:val="21"/>
          <w:szCs w:val="21"/>
          <w:highlight w:val="none"/>
        </w:rPr>
      </w:r>
      <w:r>
        <w:rPr>
          <w:highlight w:val="none"/>
        </w:rPr>
      </w:r>
    </w:p>
    <w:p>
      <w:pPr>
        <w:pStyle w:val="1168"/>
        <w:ind w:firstLine="420"/>
        <w:spacing w:line="360" w:lineRule="auto"/>
        <w:rPr>
          <w:color w:val="000000"/>
          <w:szCs w:val="22"/>
          <w:highlight w:val="none"/>
        </w:rPr>
      </w:pPr>
      <w:r>
        <w:rPr>
          <w:highlight w:val="none"/>
        </w:rPr>
      </w:r>
      <w:bookmarkStart w:id="38" w:name="_Toc35393627"/>
      <w:r>
        <w:rPr>
          <w:highlight w:val="none"/>
        </w:rPr>
      </w:r>
      <w:bookmarkStart w:id="39" w:name="_Toc28359085"/>
      <w:r>
        <w:rPr>
          <w:highlight w:val="none"/>
        </w:rPr>
      </w:r>
      <w:bookmarkStart w:id="40" w:name="_Toc28359008"/>
      <w:r>
        <w:rPr>
          <w:highlight w:val="none"/>
        </w:rPr>
      </w:r>
      <w:bookmarkStart w:id="41" w:name="_Toc35393796"/>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2.潜在供应商访问电子招标响应交易平台的网络地址和方法：</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3.潜在供应商访问“苏采云”系统的网络地址和方法：“苏采云”系统的网址：http://jszfcg.jsczt.cn/。</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4.“CA数字证书”的获取：</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响应供应商需办理“CA 数字证书”，CA办理指南及“苏采云”操作手册可至江苏省政府采购网―办事指南-资料下载中心下载。</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5.采购文件（后缀名为“.kedt”）、供应商操作手册及政府采购客户端工具可通过“苏采云”系统--已报名项目--报名详情页面内相应链接进行下载。</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6.采购人或采购代理机构将数据电文形式的采购文件加载至“苏采云”系统，供潜在供应商下载或者查阅。</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注：如潜在供应商未按上述要求操作，将自行承担所产生的风险。</w:t>
      </w:r>
      <w:r>
        <w:rPr>
          <w:color w:val="000000"/>
          <w:szCs w:val="22"/>
          <w:highlight w:val="none"/>
        </w:rPr>
      </w:r>
      <w:r>
        <w:rPr>
          <w:highlight w:val="none"/>
        </w:rPr>
      </w:r>
    </w:p>
    <w:p>
      <w:pPr>
        <w:pStyle w:val="1168"/>
        <w:ind w:firstLine="540"/>
        <w:spacing w:line="360" w:lineRule="auto"/>
        <w:rPr>
          <w:color w:val="000000"/>
          <w:szCs w:val="22"/>
          <w:highlight w:val="none"/>
        </w:rPr>
      </w:pPr>
      <w:r>
        <w:rPr>
          <w:color w:val="000000"/>
          <w:szCs w:val="22"/>
          <w:highlight w:val="none"/>
        </w:rPr>
        <w:t xml:space="preserve">8.项目开标活动模式：不见面远程开标模式，供应商在各自地点通过不见面交易系统参加开标会。</w:t>
      </w:r>
      <w:r>
        <w:rPr>
          <w:color w:val="000000"/>
          <w:szCs w:val="22"/>
          <w:highlight w:val="none"/>
        </w:rPr>
      </w:r>
      <w:r>
        <w:rPr>
          <w:highlight w:val="none"/>
        </w:rPr>
      </w:r>
    </w:p>
    <w:p>
      <w:pPr>
        <w:pStyle w:val="1168"/>
        <w:ind w:firstLine="540"/>
        <w:spacing w:line="360" w:lineRule="auto"/>
        <w:rPr>
          <w:color w:val="000000"/>
          <w:highlight w:val="none"/>
        </w:rPr>
      </w:pPr>
      <w:r>
        <w:rPr>
          <w:color w:val="000000"/>
          <w:szCs w:val="22"/>
          <w:highlight w:val="none"/>
        </w:rPr>
        <w:t xml:space="preserve">9.投标文件的解密：开标当天各供应商及时登录不见面开标大厅，投标文件递交截止时间后，采购人将在系统内公布供应商名单，然后</w:t>
      </w:r>
      <w:r>
        <w:rPr>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highlight w:val="none"/>
        </w:rPr>
      </w:r>
      <w:r>
        <w:rPr>
          <w:highlight w:val="none"/>
        </w:rPr>
      </w:r>
    </w:p>
    <w:p>
      <w:pPr>
        <w:pStyle w:val="1168"/>
        <w:ind w:firstLine="420"/>
        <w:spacing w:line="360" w:lineRule="auto"/>
        <w:rPr>
          <w:color w:val="000000"/>
          <w:szCs w:val="21"/>
          <w:highlight w:val="none"/>
        </w:rPr>
      </w:pPr>
      <w:r>
        <w:rPr>
          <w:rFonts w:hint="eastAsia"/>
          <w:color w:val="000000"/>
          <w:szCs w:val="21"/>
          <w:highlight w:val="none"/>
        </w:rPr>
        <w:t xml:space="preserve">10.</w:t>
      </w:r>
      <w:r>
        <w:rPr>
          <w:color w:val="000000"/>
          <w:szCs w:val="21"/>
          <w:highlight w:val="none"/>
        </w:rPr>
        <w:t xml:space="preserve">供应商诚信档案管理</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 供应商申请网上注册的，应当按以下程序进行： </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   （1）登陆“信用南京”或“南京公共采购信息网”网站，点击“政府采购供应商诚信档案”图标，在弹出的用户登录界面，点击“新用户注册”；</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color w:val="000000"/>
          <w:szCs w:val="21"/>
          <w:highlight w:val="none"/>
        </w:rPr>
      </w:r>
      <w:r>
        <w:rPr>
          <w:highlight w:val="none"/>
        </w:rPr>
      </w:r>
    </w:p>
    <w:p>
      <w:pPr>
        <w:pStyle w:val="1168"/>
        <w:ind w:firstLine="540"/>
        <w:spacing w:line="360" w:lineRule="auto"/>
        <w:rPr>
          <w:color w:val="000000"/>
          <w:szCs w:val="22"/>
          <w:highlight w:val="none"/>
        </w:rPr>
      </w:pPr>
      <w:r>
        <w:rPr>
          <w:color w:val="000000"/>
          <w:szCs w:val="21"/>
          <w:highlight w:val="none"/>
        </w:rPr>
        <w:t xml:space="preserve">南京市政府采购供应商诚信档案管理系统客服电话：025-52718366；供应商可就用户注册与打印“南京市政府采购供应商信用记录表”等事宜进行咨询。</w:t>
      </w:r>
      <w:r>
        <w:rPr>
          <w:color w:val="000000"/>
          <w:szCs w:val="22"/>
          <w:highlight w:val="none"/>
        </w:rPr>
      </w:r>
      <w:r>
        <w:rPr>
          <w:highlight w:val="none"/>
        </w:rPr>
      </w:r>
    </w:p>
    <w:p>
      <w:pPr>
        <w:pStyle w:val="1170"/>
        <w:spacing w:before="0" w:after="0" w:line="360" w:lineRule="auto"/>
        <w:rPr>
          <w:rFonts w:ascii="Times New Roman" w:hAnsi="Times New Roman" w:eastAsia="宋体"/>
          <w:color w:val="000000"/>
          <w:sz w:val="21"/>
          <w:szCs w:val="21"/>
          <w:highlight w:val="none"/>
        </w:rPr>
      </w:pPr>
      <w:r>
        <w:rPr>
          <w:highlight w:val="none"/>
        </w:rPr>
      </w:r>
      <w:bookmarkStart w:id="42" w:name="_Toc5258"/>
      <w:r>
        <w:rPr>
          <w:highlight w:val="none"/>
        </w:rPr>
      </w:r>
      <w:bookmarkStart w:id="43" w:name="_Toc28969"/>
      <w:r>
        <w:rPr>
          <w:rFonts w:ascii="Times New Roman" w:hAnsi="Times New Roman" w:eastAsia="宋体"/>
          <w:color w:val="000000"/>
          <w:sz w:val="21"/>
          <w:szCs w:val="21"/>
          <w:highlight w:val="none"/>
        </w:rPr>
        <w:t xml:space="preserve">七、对本次招标提出询问，请按以下方式联系。</w:t>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rFonts w:ascii="Times New Roman" w:hAnsi="Times New Roman" w:eastAsia="宋体"/>
          <w:color w:val="000000"/>
          <w:sz w:val="21"/>
          <w:szCs w:val="21"/>
          <w:highlight w:val="none"/>
        </w:rPr>
      </w:r>
      <w:r>
        <w:rPr>
          <w:highlight w:val="none"/>
        </w:rPr>
      </w:r>
    </w:p>
    <w:p>
      <w:pPr>
        <w:pStyle w:val="1168"/>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rPr>
          <w:highlight w:val="none"/>
        </w:rPr>
      </w:r>
    </w:p>
    <w:p>
      <w:pPr>
        <w:pStyle w:val="1168"/>
        <w:ind w:left="1041" w:hanging="262"/>
        <w:jc w:val="left"/>
        <w:spacing w:line="360" w:lineRule="auto"/>
        <w:rPr>
          <w:color w:val="000000"/>
          <w:szCs w:val="21"/>
          <w:highlight w:val="none"/>
        </w:rPr>
      </w:pPr>
      <w:r>
        <w:rPr>
          <w:color w:val="000000"/>
          <w:szCs w:val="21"/>
          <w:highlight w:val="none"/>
        </w:rPr>
        <w:t xml:space="preserve">名 称：南京红十字血液中心</w:t>
      </w:r>
      <w:r>
        <w:rPr>
          <w:color w:val="000000"/>
          <w:szCs w:val="21"/>
          <w:highlight w:val="none"/>
        </w:rPr>
      </w:r>
      <w:r>
        <w:rPr>
          <w:highlight w:val="none"/>
        </w:rPr>
      </w:r>
    </w:p>
    <w:p>
      <w:pPr>
        <w:pStyle w:val="1168"/>
        <w:ind w:left="1041" w:hanging="262"/>
        <w:jc w:val="left"/>
        <w:spacing w:line="360" w:lineRule="auto"/>
        <w:rPr>
          <w:color w:val="000000"/>
          <w:szCs w:val="21"/>
          <w:highlight w:val="none"/>
        </w:rPr>
      </w:pPr>
      <w:r>
        <w:rPr>
          <w:color w:val="000000"/>
          <w:szCs w:val="21"/>
          <w:highlight w:val="none"/>
        </w:rPr>
        <w:t xml:space="preserve">地址：南京市鼓楼区紫竹林3号</w:t>
      </w:r>
      <w:r>
        <w:rPr>
          <w:color w:val="000000"/>
          <w:szCs w:val="21"/>
          <w:highlight w:val="none"/>
        </w:rPr>
      </w:r>
      <w:r>
        <w:rPr>
          <w:highlight w:val="none"/>
        </w:rPr>
      </w:r>
    </w:p>
    <w:p>
      <w:pPr>
        <w:pStyle w:val="1168"/>
        <w:ind w:left="1041" w:hanging="262"/>
        <w:jc w:val="left"/>
        <w:spacing w:line="360" w:lineRule="auto"/>
        <w:rPr>
          <w:color w:val="000000"/>
          <w:highlight w:val="none"/>
        </w:rPr>
      </w:pPr>
      <w:r>
        <w:rPr>
          <w:color w:val="000000"/>
          <w:szCs w:val="21"/>
          <w:highlight w:val="none"/>
        </w:rPr>
        <w:t xml:space="preserve">联系方式：</w:t>
      </w:r>
      <w:bookmarkStart w:id="44" w:name="_Hlk101191260"/>
      <w:r>
        <w:rPr>
          <w:highlight w:val="none"/>
        </w:rPr>
      </w:r>
      <w:bookmarkStart w:id="45" w:name="_Toc28359009"/>
      <w:r>
        <w:rPr>
          <w:highlight w:val="none"/>
        </w:rPr>
      </w:r>
      <w:bookmarkStart w:id="46" w:name="_Toc28359086"/>
      <w:r>
        <w:rPr>
          <w:color w:val="000000"/>
          <w:szCs w:val="21"/>
          <w:highlight w:val="none"/>
        </w:rPr>
        <w:t xml:space="preserve">于</w:t>
      </w:r>
      <w:bookmarkEnd w:id="44"/>
      <w:r>
        <w:rPr>
          <w:color w:val="000000"/>
          <w:szCs w:val="21"/>
          <w:highlight w:val="none"/>
        </w:rPr>
        <w:t xml:space="preserve">老师025-83774121</w:t>
      </w:r>
      <w:r>
        <w:rPr>
          <w:color w:val="000000"/>
          <w:highlight w:val="none"/>
        </w:rPr>
      </w:r>
      <w:r>
        <w:rPr>
          <w:highlight w:val="none"/>
        </w:rPr>
      </w:r>
    </w:p>
    <w:p>
      <w:pPr>
        <w:pStyle w:val="1168"/>
        <w:ind w:firstLine="630"/>
        <w:jc w:val="left"/>
        <w:spacing w:line="360" w:lineRule="auto"/>
        <w:rPr>
          <w:color w:val="000000"/>
          <w:szCs w:val="21"/>
          <w:highlight w:val="none"/>
        </w:rPr>
      </w:pPr>
      <w:r>
        <w:rPr>
          <w:color w:val="000000"/>
          <w:szCs w:val="21"/>
          <w:highlight w:val="none"/>
        </w:rPr>
        <w:t xml:space="preserve">2.采购代理机构信息</w:t>
      </w:r>
      <w:bookmarkEnd w:id="45"/>
      <w:r>
        <w:rPr>
          <w:highlight w:val="none"/>
        </w:rPr>
      </w:r>
      <w:bookmarkEnd w:id="46"/>
      <w:r>
        <w:rPr>
          <w:color w:val="000000"/>
          <w:szCs w:val="21"/>
          <w:highlight w:val="none"/>
        </w:rPr>
      </w:r>
      <w:r>
        <w:rPr>
          <w:highlight w:val="none"/>
        </w:rPr>
      </w:r>
    </w:p>
    <w:p>
      <w:pPr>
        <w:pStyle w:val="1168"/>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rPr>
          <w:highlight w:val="none"/>
        </w:rPr>
      </w:r>
    </w:p>
    <w:p>
      <w:pPr>
        <w:pStyle w:val="1168"/>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rPr>
          <w:highlight w:val="none"/>
        </w:rPr>
      </w:r>
    </w:p>
    <w:p>
      <w:pPr>
        <w:pStyle w:val="1168"/>
        <w:ind w:firstLine="840"/>
        <w:spacing w:line="360" w:lineRule="auto"/>
        <w:rPr>
          <w:color w:val="000000"/>
          <w:szCs w:val="21"/>
          <w:highlight w:val="none"/>
        </w:rPr>
      </w:pPr>
      <w:r>
        <w:rPr>
          <w:color w:val="000000"/>
          <w:szCs w:val="21"/>
          <w:highlight w:val="none"/>
        </w:rPr>
        <w:t xml:space="preserve">联系方式：</w:t>
      </w:r>
      <w:bookmarkStart w:id="47" w:name="_Toc28359087"/>
      <w:r>
        <w:rPr>
          <w:highlight w:val="none"/>
        </w:rPr>
      </w:r>
      <w:bookmarkStart w:id="48" w:name="_Toc28359010"/>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朱琳025-84532546、黄丹025-84531274</w:t>
      </w:r>
      <w:r>
        <w:rPr>
          <w:color w:val="000000"/>
          <w:szCs w:val="21"/>
          <w:highlight w:val="none"/>
        </w:rPr>
      </w:r>
      <w:r>
        <w:rPr>
          <w:highlight w:val="none"/>
        </w:rPr>
      </w:r>
    </w:p>
    <w:p>
      <w:pPr>
        <w:pStyle w:val="1168"/>
        <w:ind w:firstLine="630"/>
        <w:spacing w:line="360" w:lineRule="auto"/>
        <w:rPr>
          <w:color w:val="000000"/>
          <w:szCs w:val="21"/>
          <w:highlight w:val="none"/>
          <w:u w:val="single"/>
        </w:rPr>
      </w:pPr>
      <w:r>
        <w:rPr>
          <w:color w:val="000000"/>
          <w:szCs w:val="21"/>
          <w:highlight w:val="none"/>
        </w:rPr>
        <w:t xml:space="preserve">3.项目联系方式</w:t>
      </w:r>
      <w:bookmarkEnd w:id="47"/>
      <w:r>
        <w:rPr>
          <w:highlight w:val="none"/>
        </w:rPr>
      </w:r>
      <w:bookmarkEnd w:id="48"/>
      <w:r>
        <w:rPr>
          <w:color w:val="000000"/>
          <w:szCs w:val="21"/>
          <w:highlight w:val="none"/>
          <w:u w:val="single"/>
        </w:rPr>
      </w:r>
      <w:r>
        <w:rPr>
          <w:highlight w:val="none"/>
        </w:rPr>
      </w:r>
    </w:p>
    <w:p>
      <w:pPr>
        <w:pStyle w:val="1191"/>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        电　话：025-84532546</w:t>
      </w:r>
      <w:r>
        <w:rPr>
          <w:color w:val="000000"/>
          <w:szCs w:val="21"/>
          <w:highlight w:val="none"/>
        </w:rPr>
      </w:r>
      <w:r>
        <w:rPr>
          <w:highlight w:val="none"/>
        </w:rPr>
      </w:r>
    </w:p>
    <w:p>
      <w:pPr>
        <w:pStyle w:val="1184"/>
        <w:rPr>
          <w:rFonts w:ascii="Times New Roman"/>
          <w:color w:val="000000"/>
          <w:szCs w:val="21"/>
          <w:highlight w:val="none"/>
        </w:rPr>
      </w:pPr>
      <w:r>
        <w:rPr>
          <w:rFonts w:ascii="Times New Roman"/>
          <w:color w:val="000000"/>
          <w:szCs w:val="21"/>
          <w:highlight w:val="none"/>
        </w:rPr>
      </w:r>
      <w:r>
        <w:rPr>
          <w:highlight w:val="none"/>
        </w:rPr>
      </w:r>
    </w:p>
    <w:p>
      <w:pPr>
        <w:pStyle w:val="1168"/>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rPr>
          <w:highlight w:val="none"/>
        </w:rPr>
      </w:r>
    </w:p>
    <w:p>
      <w:pPr>
        <w:pStyle w:val="1168"/>
        <w:jc w:val="center"/>
        <w:spacing w:line="440" w:lineRule="exact"/>
        <w:rPr>
          <w:b/>
          <w:color w:val="000000"/>
          <w:sz w:val="28"/>
          <w:szCs w:val="28"/>
          <w:highlight w:val="none"/>
        </w:rPr>
        <w:outlineLvl w:val="0"/>
      </w:pPr>
      <w:r>
        <w:rPr>
          <w:highlight w:val="none"/>
        </w:rPr>
      </w:r>
      <w:bookmarkStart w:id="49" w:name="_Toc28996"/>
      <w:r>
        <w:rPr>
          <w:highlight w:val="none"/>
        </w:rPr>
      </w:r>
      <w:bookmarkStart w:id="50" w:name="_Toc25319"/>
      <w:r>
        <w:rPr>
          <w:highlight w:val="none"/>
        </w:rPr>
      </w:r>
      <w:bookmarkStart w:id="51" w:name="_Toc4696385"/>
      <w:r>
        <w:rPr>
          <w:b/>
          <w:color w:val="000000"/>
          <w:sz w:val="28"/>
          <w:szCs w:val="28"/>
          <w:highlight w:val="none"/>
        </w:rPr>
        <w:t xml:space="preserve">第二章 投标人须知</w:t>
      </w:r>
      <w:bookmarkEnd w:id="49"/>
      <w:r>
        <w:rPr>
          <w:highlight w:val="none"/>
        </w:rPr>
      </w:r>
      <w:bookmarkEnd w:id="50"/>
      <w:r>
        <w:rPr>
          <w:highlight w:val="none"/>
        </w:rPr>
      </w:r>
      <w:bookmarkEnd w:id="51"/>
      <w:r>
        <w:rPr>
          <w:b/>
          <w:color w:val="000000"/>
          <w:sz w:val="28"/>
          <w:szCs w:val="28"/>
          <w:highlight w:val="none"/>
        </w:rPr>
      </w:r>
      <w:r>
        <w:rPr>
          <w:highlight w:val="none"/>
        </w:rPr>
      </w:r>
    </w:p>
    <w:p>
      <w:pPr>
        <w:pStyle w:val="1168"/>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rPr>
          <w:highlight w:val="none"/>
        </w:rP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68"/>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rPr>
                <w:highlight w:val="none"/>
              </w:rPr>
            </w:r>
          </w:p>
        </w:tc>
        <w:tc>
          <w:tcPr>
            <w:tcW w:w="8928" w:type="dxa"/>
            <w:vAlign w:val="center"/>
            <w:textDirection w:val="lrTb"/>
            <w:noWrap w:val="false"/>
          </w:tcPr>
          <w:p>
            <w:pPr>
              <w:pStyle w:val="1168"/>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rPr>
                <w:highlight w:val="none"/>
              </w:rPr>
            </w:r>
          </w:p>
        </w:tc>
      </w:tr>
      <w:tr>
        <w:trPr>
          <w:trHeight w:val="240"/>
        </w:trPr>
        <w:tc>
          <w:tcPr>
            <w:tcW w:w="819" w:type="dxa"/>
            <w:vAlign w:val="center"/>
            <w:textDirection w:val="lrTb"/>
            <w:noWrap w:val="false"/>
          </w:tcPr>
          <w:p>
            <w:pPr>
              <w:pStyle w:val="1168"/>
              <w:jc w:val="center"/>
              <w:spacing w:line="440" w:lineRule="exact"/>
              <w:rPr>
                <w:b/>
                <w:color w:val="000000"/>
                <w:sz w:val="24"/>
                <w:highlight w:val="none"/>
              </w:rPr>
            </w:pPr>
            <w:r>
              <w:rPr>
                <w:b/>
                <w:color w:val="000000"/>
                <w:sz w:val="24"/>
                <w:highlight w:val="none"/>
              </w:rPr>
              <w:t xml:space="preserve">1</w:t>
            </w:r>
            <w:r>
              <w:rPr>
                <w:b/>
                <w:color w:val="000000"/>
                <w:sz w:val="24"/>
                <w:highlight w:val="none"/>
              </w:rPr>
            </w:r>
            <w:r>
              <w:rPr>
                <w:highlight w:val="none"/>
              </w:rPr>
            </w:r>
          </w:p>
        </w:tc>
        <w:tc>
          <w:tcPr>
            <w:tcW w:w="8928" w:type="dxa"/>
            <w:vAlign w:val="center"/>
            <w:textDirection w:val="lrTb"/>
            <w:noWrap w:val="false"/>
          </w:tcPr>
          <w:p>
            <w:pPr>
              <w:pStyle w:val="121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采购人：南京红十字血液中心</w:t>
            </w:r>
            <w:r>
              <w:rPr>
                <w:rFonts w:ascii="Times New Roman" w:hAnsi="Times New Roman" w:eastAsia="宋体"/>
                <w:color w:val="000000"/>
                <w:sz w:val="21"/>
                <w:szCs w:val="21"/>
                <w:highlight w:val="none"/>
              </w:rPr>
            </w:r>
            <w:r>
              <w:rPr>
                <w:highlight w:val="none"/>
              </w:rPr>
            </w:r>
          </w:p>
          <w:p>
            <w:pPr>
              <w:pStyle w:val="121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联系人：于老师 025-83774121</w:t>
            </w:r>
            <w:r>
              <w:rPr>
                <w:rFonts w:ascii="Times New Roman" w:hAnsi="Times New Roman" w:eastAsia="宋体"/>
                <w:color w:val="000000"/>
                <w:sz w:val="21"/>
                <w:szCs w:val="21"/>
                <w:highlight w:val="none"/>
              </w:rPr>
            </w:r>
            <w:r>
              <w:rPr>
                <w:highlight w:val="none"/>
              </w:rPr>
            </w:r>
          </w:p>
          <w:p>
            <w:pPr>
              <w:pStyle w:val="1210"/>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地址：南京市鼓楼区紫竹林3号</w:t>
            </w:r>
            <w:r>
              <w:rPr>
                <w:rFonts w:ascii="Times New Roman" w:hAnsi="Times New Roman" w:eastAsia="宋体"/>
                <w:b/>
                <w:color w:val="000000"/>
                <w:highlight w:val="none"/>
              </w:rPr>
            </w:r>
            <w:r>
              <w:rPr>
                <w:highlight w:val="none"/>
              </w:rPr>
            </w:r>
          </w:p>
        </w:tc>
      </w:tr>
      <w:tr>
        <w:trPr>
          <w:trHeight w:val="240"/>
        </w:trPr>
        <w:tc>
          <w:tcPr>
            <w:tcW w:w="819" w:type="dxa"/>
            <w:vAlign w:val="center"/>
            <w:textDirection w:val="lrTb"/>
            <w:noWrap w:val="false"/>
          </w:tcPr>
          <w:p>
            <w:pPr>
              <w:pStyle w:val="1168"/>
              <w:jc w:val="center"/>
              <w:spacing w:line="440" w:lineRule="exact"/>
              <w:rPr>
                <w:b/>
                <w:color w:val="000000"/>
                <w:sz w:val="24"/>
                <w:highlight w:val="none"/>
              </w:rPr>
            </w:pPr>
            <w:r>
              <w:rPr>
                <w:b/>
                <w:color w:val="000000"/>
                <w:sz w:val="24"/>
                <w:highlight w:val="none"/>
              </w:rPr>
              <w:t xml:space="preserve">2</w:t>
            </w:r>
            <w:r>
              <w:rPr>
                <w:b/>
                <w:color w:val="000000"/>
                <w:sz w:val="24"/>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联系人：朱琳025-84532546、黄丹025-84531274</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rPr>
                <w:highlight w:val="none"/>
              </w:rPr>
            </w:r>
          </w:p>
        </w:tc>
      </w:tr>
      <w:tr>
        <w:trPr>
          <w:trHeight w:val="240"/>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color w:val="000000"/>
                <w:szCs w:val="21"/>
                <w:highlight w:val="none"/>
              </w:rPr>
              <w:t xml:space="preserve">项目名称：</w:t>
            </w:r>
            <w:r>
              <w:rPr>
                <w:color w:val="000000"/>
                <w:szCs w:val="21"/>
                <w:highlight w:val="none"/>
              </w:rPr>
              <w:t xml:space="preserve">南京红十字血液中心平板速冻机等设备</w:t>
            </w:r>
            <w:r>
              <w:rPr>
                <w:color w:val="000000"/>
                <w:szCs w:val="21"/>
                <w:highlight w:val="none"/>
              </w:rPr>
            </w:r>
            <w:r>
              <w:rPr>
                <w:highlight w:val="none"/>
              </w:rPr>
            </w:r>
          </w:p>
          <w:p>
            <w:pPr>
              <w:pStyle w:val="1168"/>
              <w:spacing w:line="440" w:lineRule="exact"/>
              <w:shd w:val="clear" w:color="auto" w:fill="ffffff"/>
              <w:widowControl/>
              <w:rPr>
                <w:b/>
                <w:color w:val="000000"/>
                <w:szCs w:val="21"/>
                <w:highlight w:val="none"/>
              </w:rPr>
            </w:pPr>
            <w:r>
              <w:rPr>
                <w:color w:val="000000"/>
                <w:szCs w:val="21"/>
                <w:highlight w:val="none"/>
              </w:rPr>
              <w:t xml:space="preserve">项目编号：</w:t>
            </w:r>
            <w:r>
              <w:rPr>
                <w:color w:val="000000"/>
                <w:szCs w:val="21"/>
                <w:highlight w:val="none"/>
              </w:rPr>
              <w:t xml:space="preserve">JSZC-320000-SMDY-G2026-0020（2640SUMEC/ZWHD2049）</w:t>
            </w:r>
            <w:r>
              <w:rPr>
                <w:b/>
                <w:color w:val="000000"/>
                <w:szCs w:val="21"/>
                <w:highlight w:val="none"/>
              </w:rPr>
            </w:r>
            <w:r>
              <w:rPr>
                <w:highlight w:val="none"/>
              </w:rPr>
            </w:r>
          </w:p>
        </w:tc>
      </w:tr>
      <w:tr>
        <w:trPr>
          <w:trHeight w:val="240"/>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rPr>
                <w:highlight w:val="none"/>
              </w:rPr>
            </w:r>
          </w:p>
        </w:tc>
      </w:tr>
      <w:tr>
        <w:trPr>
          <w:trHeight w:val="240"/>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rPr>
                <w:highlight w:val="none"/>
              </w:rPr>
            </w:r>
          </w:p>
        </w:tc>
      </w:tr>
      <w:tr>
        <w:trPr>
          <w:trHeight w:val="559"/>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rPr>
                <w:highlight w:val="none"/>
              </w:rPr>
            </w:r>
          </w:p>
        </w:tc>
      </w:tr>
      <w:tr>
        <w:trPr>
          <w:trHeight w:val="559"/>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7</w:t>
            </w:r>
            <w:r>
              <w:rPr>
                <w:b/>
                <w:color w:val="000000"/>
                <w:szCs w:val="21"/>
                <w:highlight w:val="none"/>
              </w:rPr>
            </w:r>
            <w:r>
              <w:rPr>
                <w:highlight w:val="none"/>
              </w:rPr>
            </w:r>
          </w:p>
        </w:tc>
        <w:tc>
          <w:tcPr>
            <w:tcW w:w="8928" w:type="dxa"/>
            <w:vAlign w:val="center"/>
            <w:textDirection w:val="lrTb"/>
            <w:noWrap w:val="false"/>
          </w:tcPr>
          <w:p>
            <w:pPr>
              <w:pStyle w:val="1168"/>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rPr>
                <w:highlight w:val="none"/>
              </w:rPr>
            </w:r>
          </w:p>
        </w:tc>
      </w:tr>
      <w:tr>
        <w:trPr>
          <w:trHeight w:val="390"/>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8</w:t>
            </w:r>
            <w:r>
              <w:rPr>
                <w:b/>
                <w:color w:val="000000"/>
                <w:szCs w:val="21"/>
                <w:highlight w:val="none"/>
              </w:rPr>
            </w:r>
            <w:r>
              <w:rPr>
                <w:highlight w:val="none"/>
              </w:rPr>
            </w:r>
          </w:p>
        </w:tc>
        <w:tc>
          <w:tcPr>
            <w:tcW w:w="8928" w:type="dxa"/>
            <w:vAlign w:val="center"/>
            <w:textDirection w:val="lrTb"/>
            <w:noWrap w:val="false"/>
          </w:tcPr>
          <w:p>
            <w:pPr>
              <w:pStyle w:val="1168"/>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rPr>
                <w:highlight w:val="none"/>
              </w:rPr>
            </w:r>
          </w:p>
          <w:p>
            <w:pPr>
              <w:pStyle w:val="1168"/>
              <w:spacing w:line="460" w:lineRule="exact"/>
              <w:rPr>
                <w:color w:val="000000"/>
                <w:szCs w:val="21"/>
                <w:highlight w:val="none"/>
              </w:rPr>
            </w:pPr>
            <w:r>
              <w:rPr>
                <w:color w:val="000000"/>
                <w:highlight w:val="none"/>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color w:val="000000"/>
                <w:szCs w:val="21"/>
                <w:highlight w:val="none"/>
              </w:rPr>
            </w:r>
            <w:r>
              <w:rPr>
                <w:highlight w:val="none"/>
              </w:rPr>
            </w:r>
          </w:p>
        </w:tc>
      </w:tr>
      <w:tr>
        <w:trPr>
          <w:trHeight w:val="1179"/>
        </w:trPr>
        <w:tc>
          <w:tcPr>
            <w:tcW w:w="819" w:type="dxa"/>
            <w:vAlign w:val="center"/>
            <w:textDirection w:val="lrTb"/>
            <w:noWrap w:val="false"/>
          </w:tcPr>
          <w:p>
            <w:pPr>
              <w:pStyle w:val="1168"/>
              <w:jc w:val="center"/>
              <w:spacing w:line="440" w:lineRule="exact"/>
              <w:rPr>
                <w:b/>
                <w:color w:val="000000"/>
                <w:szCs w:val="21"/>
                <w:highlight w:val="none"/>
              </w:rPr>
            </w:pPr>
            <w:r>
              <w:rPr>
                <w:b/>
                <w:color w:val="000000"/>
                <w:szCs w:val="21"/>
                <w:highlight w:val="none"/>
              </w:rPr>
              <w:t xml:space="preserve">9</w:t>
            </w:r>
            <w:r>
              <w:rPr>
                <w:b/>
                <w:color w:val="000000"/>
                <w:szCs w:val="21"/>
                <w:highlight w:val="none"/>
              </w:rPr>
            </w:r>
            <w:r>
              <w:rPr>
                <w:highlight w:val="none"/>
              </w:rPr>
            </w:r>
          </w:p>
        </w:tc>
        <w:tc>
          <w:tcPr>
            <w:tcW w:w="8928" w:type="dxa"/>
            <w:vAlign w:val="center"/>
            <w:textDirection w:val="lrTb"/>
            <w:noWrap w:val="false"/>
          </w:tcPr>
          <w:p>
            <w:pPr>
              <w:pStyle w:val="1210"/>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rPr>
                <w:highlight w:val="none"/>
              </w:rPr>
            </w:r>
          </w:p>
          <w:p>
            <w:pPr>
              <w:pStyle w:val="1168"/>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rPr>
                <w:highlight w:val="none"/>
              </w:rPr>
            </w:r>
          </w:p>
        </w:tc>
      </w:tr>
      <w:tr>
        <w:trPr>
          <w:trHeight w:val="564"/>
        </w:trPr>
        <w:tc>
          <w:tcPr>
            <w:tcW w:w="819" w:type="dxa"/>
            <w:vAlign w:val="center"/>
            <w:textDirection w:val="lrTb"/>
            <w:noWrap w:val="false"/>
          </w:tcPr>
          <w:p>
            <w:pPr>
              <w:pStyle w:val="1168"/>
              <w:jc w:val="center"/>
              <w:spacing w:line="440" w:lineRule="exact"/>
              <w:shd w:val="clear" w:color="auto" w:fill="ffffff"/>
              <w:widowControl/>
              <w:rPr>
                <w:color w:val="000000"/>
                <w:szCs w:val="21"/>
                <w:highlight w:val="none"/>
              </w:rPr>
            </w:pPr>
            <w:r>
              <w:rPr>
                <w:color w:val="000000"/>
                <w:szCs w:val="21"/>
                <w:highlight w:val="none"/>
              </w:rPr>
              <w:t xml:space="preserve">10</w:t>
            </w:r>
            <w:r>
              <w:rPr>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rPr>
                <w:highlight w:val="none"/>
              </w:rPr>
            </w:r>
          </w:p>
          <w:p>
            <w:pPr>
              <w:pStyle w:val="1168"/>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rPr>
                <w:highlight w:val="none"/>
              </w:rPr>
            </w:r>
          </w:p>
        </w:tc>
      </w:tr>
      <w:tr>
        <w:trPr>
          <w:trHeight w:val="564"/>
        </w:trPr>
        <w:tc>
          <w:tcPr>
            <w:tcW w:w="819" w:type="dxa"/>
            <w:vAlign w:val="center"/>
            <w:textDirection w:val="lrTb"/>
            <w:noWrap w:val="false"/>
          </w:tcPr>
          <w:p>
            <w:pPr>
              <w:pStyle w:val="1168"/>
              <w:jc w:val="center"/>
              <w:spacing w:line="440" w:lineRule="exact"/>
              <w:shd w:val="clear" w:color="auto" w:fill="ffffff"/>
              <w:widowControl/>
              <w:rPr>
                <w:color w:val="000000"/>
                <w:szCs w:val="21"/>
                <w:highlight w:val="none"/>
              </w:rPr>
            </w:pPr>
            <w:r>
              <w:rPr>
                <w:color w:val="000000"/>
                <w:szCs w:val="21"/>
                <w:highlight w:val="none"/>
              </w:rPr>
              <w:t xml:space="preserve">11</w:t>
            </w:r>
            <w:r>
              <w:rPr>
                <w:color w:val="000000"/>
                <w:szCs w:val="21"/>
                <w:highlight w:val="none"/>
              </w:rPr>
            </w:r>
            <w:r>
              <w:rPr>
                <w:highlight w:val="none"/>
              </w:rPr>
            </w:r>
          </w:p>
        </w:tc>
        <w:tc>
          <w:tcPr>
            <w:tcW w:w="8928" w:type="dxa"/>
            <w:vAlign w:val="center"/>
            <w:textDirection w:val="lrTb"/>
            <w:noWrap w:val="false"/>
          </w:tcPr>
          <w:p>
            <w:pPr>
              <w:pStyle w:val="1168"/>
              <w:jc w:val="left"/>
              <w:spacing w:line="440" w:lineRule="exact"/>
              <w:rPr>
                <w:b/>
                <w:bCs/>
                <w:color w:val="000000"/>
                <w:highlight w:val="none"/>
              </w:rPr>
            </w:pPr>
            <w:r>
              <w:rPr>
                <w:b/>
                <w:bCs/>
                <w:color w:val="000000"/>
                <w:highlight w:val="none"/>
              </w:rPr>
              <w:t xml:space="preserve">核心产品：</w:t>
            </w:r>
            <w:r>
              <w:rPr>
                <w:b/>
                <w:bCs/>
                <w:color w:val="000000"/>
                <w:highlight w:val="none"/>
              </w:rPr>
            </w:r>
            <w:r>
              <w:rPr>
                <w:highlight w:val="none"/>
              </w:rPr>
            </w:r>
          </w:p>
          <w:p>
            <w:pPr>
              <w:pStyle w:val="1168"/>
              <w:jc w:val="left"/>
              <w:spacing w:line="440" w:lineRule="exact"/>
              <w:rPr>
                <w:b/>
                <w:bCs/>
                <w:color w:val="000000"/>
                <w:highlight w:val="none"/>
              </w:rPr>
            </w:pPr>
            <w:r>
              <w:rPr>
                <w:b/>
                <w:bCs/>
                <w:color w:val="000000"/>
                <w:highlight w:val="none"/>
              </w:rPr>
              <w:t xml:space="preserve">本项目为单一产品采购项目，故不设置核心产品。</w:t>
            </w:r>
            <w:r>
              <w:rPr>
                <w:b/>
                <w:bCs/>
                <w:color w:val="000000"/>
                <w:highlight w:val="none"/>
              </w:rPr>
            </w:r>
            <w:r>
              <w:rPr>
                <w:highlight w:val="none"/>
              </w:rPr>
            </w:r>
          </w:p>
          <w:p>
            <w:pPr>
              <w:pStyle w:val="1168"/>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rPr>
                <w:highlight w:val="none"/>
              </w:rPr>
            </w:r>
          </w:p>
        </w:tc>
      </w:tr>
      <w:tr>
        <w:trPr>
          <w:trHeight w:val="564"/>
        </w:trPr>
        <w:tc>
          <w:tcPr>
            <w:tcW w:w="819" w:type="dxa"/>
            <w:vAlign w:val="center"/>
            <w:textDirection w:val="lrTb"/>
            <w:noWrap w:val="false"/>
          </w:tcPr>
          <w:p>
            <w:pPr>
              <w:pStyle w:val="1168"/>
              <w:jc w:val="center"/>
              <w:spacing w:line="440" w:lineRule="exact"/>
              <w:shd w:val="clear" w:color="auto" w:fill="ffffff"/>
              <w:widowControl/>
              <w:rPr>
                <w:color w:val="000000"/>
                <w:szCs w:val="21"/>
                <w:highlight w:val="none"/>
              </w:rPr>
            </w:pPr>
            <w:r>
              <w:rPr>
                <w:color w:val="000000"/>
                <w:szCs w:val="21"/>
                <w:highlight w:val="none"/>
              </w:rPr>
              <w:t xml:space="preserve">12</w:t>
            </w:r>
            <w:r>
              <w:rPr>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rPr>
                <w:highlight w:val="none"/>
              </w:rPr>
            </w:r>
          </w:p>
        </w:tc>
      </w:tr>
      <w:tr>
        <w:trPr>
          <w:trHeight w:val="564"/>
        </w:trPr>
        <w:tc>
          <w:tcPr>
            <w:tcW w:w="819" w:type="dxa"/>
            <w:vAlign w:val="center"/>
            <w:textDirection w:val="lrTb"/>
            <w:noWrap w:val="false"/>
          </w:tcPr>
          <w:p>
            <w:pPr>
              <w:pStyle w:val="1168"/>
              <w:jc w:val="center"/>
              <w:spacing w:line="360" w:lineRule="auto"/>
              <w:shd w:val="clear" w:color="auto" w:fill="ffffff"/>
              <w:widowControl/>
              <w:rPr>
                <w:color w:val="000000"/>
                <w:szCs w:val="21"/>
                <w:highlight w:val="none"/>
              </w:rPr>
            </w:pPr>
            <w:r>
              <w:rPr>
                <w:color w:val="000000"/>
                <w:szCs w:val="21"/>
                <w:highlight w:val="none"/>
              </w:rPr>
              <w:t xml:space="preserve">13</w:t>
            </w:r>
            <w:r>
              <w:rPr>
                <w:color w:val="000000"/>
                <w:szCs w:val="21"/>
                <w:highlight w:val="none"/>
              </w:rPr>
            </w:r>
            <w:r>
              <w:rPr>
                <w:highlight w:val="none"/>
              </w:rPr>
            </w:r>
          </w:p>
        </w:tc>
        <w:tc>
          <w:tcPr>
            <w:tcW w:w="8928" w:type="dxa"/>
            <w:vAlign w:val="center"/>
            <w:textDirection w:val="lrTb"/>
            <w:noWrap w:val="false"/>
          </w:tcPr>
          <w:p>
            <w:pPr>
              <w:pStyle w:val="1168"/>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rFonts w:hint="eastAsia"/>
                <w:color w:val="000000"/>
                <w:szCs w:val="21"/>
                <w:highlight w:val="none"/>
              </w:rPr>
              <w:t xml:space="preserve">采购人</w:t>
            </w:r>
            <w:r>
              <w:rPr>
                <w:color w:val="000000"/>
                <w:szCs w:val="21"/>
                <w:highlight w:val="none"/>
              </w:rPr>
              <w:t xml:space="preserve">按照《国家计委关于印发&lt;招标代理服务收费管理暂行办法&gt;的通知》（计价格[2002] 1980号）文件规定的标准费率× 70 %</w:t>
            </w:r>
            <w:r>
              <w:rPr>
                <w:rFonts w:hint="eastAsia"/>
                <w:color w:val="000000"/>
                <w:highlight w:val="none"/>
              </w:rPr>
              <w:t xml:space="preserve">向招标代理支付代理服务费</w:t>
            </w:r>
            <w:r>
              <w:rPr>
                <w:color w:val="000000"/>
                <w:szCs w:val="21"/>
                <w:highlight w:val="none"/>
              </w:rPr>
              <w:t xml:space="preserve">，单个项目保底代理费为人民币贰仟</w:t>
            </w:r>
            <w:r>
              <w:rPr>
                <w:rFonts w:hint="eastAsia"/>
                <w:color w:val="000000"/>
                <w:szCs w:val="21"/>
                <w:highlight w:val="none"/>
              </w:rPr>
              <w:t xml:space="preserve">伍</w:t>
            </w:r>
            <w:r>
              <w:rPr>
                <w:color w:val="000000"/>
                <w:szCs w:val="21"/>
                <w:highlight w:val="none"/>
              </w:rPr>
              <w:t xml:space="preserve">佰元（¥2500.00），招标代理服务费一次付清</w:t>
            </w:r>
            <w:r>
              <w:rPr>
                <w:bCs/>
                <w:color w:val="000000"/>
                <w:highlight w:val="none"/>
              </w:rPr>
              <w:t xml:space="preserve">。</w:t>
            </w:r>
            <w:r>
              <w:rPr>
                <w:color w:val="000000"/>
                <w:szCs w:val="21"/>
                <w:highlight w:val="none"/>
              </w:rPr>
              <w:br w:type="textWrapping" w:clear="all"/>
            </w:r>
            <w:r>
              <w:rPr>
                <w:color w:val="000000"/>
                <w:szCs w:val="21"/>
                <w:highlight w:val="none"/>
              </w:rPr>
              <w:t xml:space="preserve">收款信息：</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rPr>
                <w:highlight w:val="none"/>
              </w:rPr>
            </w:r>
          </w:p>
        </w:tc>
      </w:tr>
      <w:tr>
        <w:trPr>
          <w:trHeight w:val="564"/>
        </w:trPr>
        <w:tc>
          <w:tcPr>
            <w:tcW w:w="819" w:type="dxa"/>
            <w:vAlign w:val="center"/>
            <w:textDirection w:val="lrTb"/>
            <w:noWrap w:val="false"/>
          </w:tcPr>
          <w:p>
            <w:pPr>
              <w:pStyle w:val="1168"/>
              <w:jc w:val="center"/>
              <w:keepLines/>
              <w:spacing w:line="440" w:lineRule="exact"/>
              <w:shd w:val="clear" w:color="auto" w:fill="ffffff"/>
              <w:rPr>
                <w:color w:val="000000"/>
                <w:szCs w:val="21"/>
                <w:highlight w:val="none"/>
              </w:rPr>
            </w:pPr>
            <w:r>
              <w:rPr>
                <w:color w:val="000000"/>
                <w:szCs w:val="21"/>
                <w:highlight w:val="none"/>
              </w:rPr>
              <w:t xml:space="preserve">14</w:t>
            </w:r>
            <w:r>
              <w:rPr>
                <w:color w:val="000000"/>
                <w:szCs w:val="21"/>
                <w:highlight w:val="none"/>
              </w:rPr>
            </w:r>
            <w:r>
              <w:rPr>
                <w:highlight w:val="none"/>
              </w:rPr>
            </w:r>
          </w:p>
        </w:tc>
        <w:tc>
          <w:tcPr>
            <w:tcW w:w="8928" w:type="dxa"/>
            <w:vAlign w:val="center"/>
            <w:textDirection w:val="lrTb"/>
            <w:noWrap w:val="false"/>
          </w:tcPr>
          <w:p>
            <w:pPr>
              <w:pStyle w:val="1168"/>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rPr>
                <w:highlight w:val="none"/>
              </w:rPr>
            </w:r>
          </w:p>
          <w:p>
            <w:pPr>
              <w:pStyle w:val="1168"/>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rPr>
                <w:highlight w:val="none"/>
              </w:rPr>
            </w:r>
          </w:p>
          <w:p>
            <w:pPr>
              <w:pStyle w:val="1168"/>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rPr>
                <w:highlight w:val="none"/>
              </w:rPr>
            </w:r>
          </w:p>
          <w:p>
            <w:pPr>
              <w:pStyle w:val="1168"/>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rPr>
                <w:highlight w:val="none"/>
              </w:rPr>
            </w:r>
          </w:p>
        </w:tc>
      </w:tr>
      <w:tr>
        <w:trPr>
          <w:trHeight w:val="1174"/>
        </w:trPr>
        <w:tc>
          <w:tcPr>
            <w:tcW w:w="819" w:type="dxa"/>
            <w:vAlign w:val="center"/>
            <w:textDirection w:val="lrTb"/>
            <w:noWrap w:val="false"/>
          </w:tcPr>
          <w:p>
            <w:pPr>
              <w:pStyle w:val="1168"/>
              <w:jc w:val="center"/>
              <w:spacing w:line="440" w:lineRule="exact"/>
              <w:shd w:val="clear" w:color="auto" w:fill="ffffff"/>
              <w:widowControl/>
              <w:rPr>
                <w:color w:val="000000"/>
                <w:szCs w:val="21"/>
                <w:highlight w:val="none"/>
              </w:rPr>
            </w:pPr>
            <w:r>
              <w:rPr>
                <w:color w:val="000000"/>
                <w:szCs w:val="21"/>
                <w:highlight w:val="none"/>
              </w:rPr>
              <w:t xml:space="preserve">15</w:t>
            </w:r>
            <w:r>
              <w:rPr>
                <w:color w:val="000000"/>
                <w:szCs w:val="21"/>
                <w:highlight w:val="none"/>
              </w:rPr>
            </w:r>
            <w:r>
              <w:rPr>
                <w:highlight w:val="none"/>
              </w:rPr>
            </w:r>
          </w:p>
        </w:tc>
        <w:tc>
          <w:tcPr>
            <w:tcW w:w="8928" w:type="dxa"/>
            <w:vAlign w:val="center"/>
            <w:textDirection w:val="lrTb"/>
            <w:noWrap w:val="false"/>
          </w:tcPr>
          <w:p>
            <w:pPr>
              <w:pStyle w:val="1168"/>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rPr>
                <w:highlight w:val="none"/>
              </w:rPr>
            </w:r>
          </w:p>
        </w:tc>
      </w:tr>
    </w:tbl>
    <w:p>
      <w:pPr>
        <w:pStyle w:val="1168"/>
        <w:spacing w:line="440" w:lineRule="exact"/>
        <w:shd w:val="clear" w:color="auto" w:fill="ffffff"/>
        <w:widowControl/>
        <w:rPr>
          <w:color w:val="000000"/>
          <w:sz w:val="24"/>
          <w:highlight w:val="none"/>
        </w:rPr>
        <w:outlineLvl w:val="1"/>
      </w:pPr>
      <w:r>
        <w:rPr>
          <w:highlight w:val="none"/>
        </w:rPr>
      </w:r>
      <w:bookmarkStart w:id="52" w:name="_Toc19726"/>
      <w:r>
        <w:rPr>
          <w:highlight w:val="none"/>
        </w:rPr>
      </w:r>
      <w:bookmarkStart w:id="53" w:name="_Toc4696386"/>
      <w:r>
        <w:rPr>
          <w:b/>
          <w:bCs/>
          <w:color w:val="000000"/>
          <w:sz w:val="24"/>
          <w:highlight w:val="none"/>
        </w:rPr>
        <w:t xml:space="preserve"> </w:t>
      </w:r>
      <w:bookmarkStart w:id="54" w:name="_Toc17214"/>
      <w:r>
        <w:rPr>
          <w:b/>
          <w:bCs/>
          <w:color w:val="000000"/>
          <w:sz w:val="24"/>
          <w:highlight w:val="none"/>
        </w:rPr>
        <w:t xml:space="preserve">一、总 则</w:t>
      </w:r>
      <w:bookmarkEnd w:id="52"/>
      <w:r>
        <w:rPr>
          <w:highlight w:val="none"/>
        </w:rPr>
      </w:r>
      <w:bookmarkEnd w:id="53"/>
      <w:r>
        <w:rPr>
          <w:highlight w:val="none"/>
        </w:rPr>
      </w:r>
      <w:bookmarkEnd w:id="54"/>
      <w:r>
        <w:rPr>
          <w:color w:val="000000"/>
          <w:sz w:val="24"/>
          <w:highlight w:val="none"/>
        </w:rPr>
      </w:r>
      <w:r>
        <w:rPr>
          <w:highlight w:val="none"/>
        </w:rPr>
      </w:r>
    </w:p>
    <w:p>
      <w:pPr>
        <w:pStyle w:val="1168"/>
        <w:ind w:firstLine="420"/>
        <w:spacing w:line="360" w:lineRule="auto"/>
        <w:rPr>
          <w:b/>
          <w:color w:val="000000"/>
          <w:szCs w:val="21"/>
          <w:highlight w:val="none"/>
        </w:rPr>
        <w:outlineLvl w:val="2"/>
      </w:pPr>
      <w:r>
        <w:rPr>
          <w:highlight w:val="none"/>
        </w:rPr>
      </w:r>
      <w:bookmarkStart w:id="55" w:name="_Toc3951"/>
      <w:r>
        <w:rPr>
          <w:highlight w:val="none"/>
        </w:rPr>
      </w:r>
      <w:bookmarkStart w:id="56" w:name="_Toc27509"/>
      <w:r>
        <w:rPr>
          <w:highlight w:val="none"/>
        </w:rPr>
      </w:r>
      <w:bookmarkStart w:id="57" w:name="_Toc4696387"/>
      <w:r>
        <w:rPr>
          <w:highlight w:val="none"/>
        </w:rPr>
      </w:r>
      <w:bookmarkStart w:id="58" w:name="_Toc458694821"/>
      <w:r>
        <w:rPr>
          <w:highlight w:val="none"/>
        </w:rPr>
      </w:r>
      <w:bookmarkStart w:id="59" w:name="_Toc16938520"/>
      <w:r>
        <w:rPr>
          <w:highlight w:val="none"/>
        </w:rPr>
      </w:r>
      <w:bookmarkStart w:id="60" w:name="_Toc20823276"/>
      <w:r>
        <w:rPr>
          <w:highlight w:val="none"/>
        </w:rPr>
      </w:r>
      <w:bookmarkStart w:id="61" w:name="_Toc513029204"/>
      <w:r>
        <w:rPr>
          <w:highlight w:val="none"/>
        </w:rPr>
      </w:r>
      <w:bookmarkStart w:id="62" w:name="_Toc24947"/>
      <w:r>
        <w:rPr>
          <w:b/>
          <w:bCs/>
          <w:color w:val="000000"/>
          <w:szCs w:val="21"/>
          <w:highlight w:val="none"/>
          <w:lang w:val="zh-CN"/>
        </w:rPr>
        <w:t xml:space="preserve">1.</w:t>
      </w:r>
      <w:r>
        <w:rPr>
          <w:b/>
          <w:color w:val="000000"/>
          <w:szCs w:val="21"/>
          <w:highlight w:val="none"/>
          <w:lang w:val="zh-CN"/>
        </w:rPr>
        <w:t xml:space="preserve">适用法律</w:t>
      </w:r>
      <w:bookmarkEnd w:id="55"/>
      <w:r>
        <w:rPr>
          <w:highlight w:val="none"/>
        </w:rPr>
      </w:r>
      <w:bookmarkEnd w:id="56"/>
      <w:r>
        <w:rPr>
          <w:highlight w:val="none"/>
        </w:rPr>
      </w:r>
      <w:bookmarkEnd w:id="57"/>
      <w:r>
        <w:rPr>
          <w:b/>
          <w:color w:val="000000"/>
          <w:szCs w:val="21"/>
          <w:highlight w:val="none"/>
          <w:lang w:val="zh-CN"/>
        </w:rPr>
      </w:r>
      <w:r>
        <w:rPr>
          <w:highlight w:val="none"/>
        </w:rPr>
      </w:r>
    </w:p>
    <w:p>
      <w:pPr>
        <w:pStyle w:val="1168"/>
        <w:ind w:firstLine="420"/>
        <w:spacing w:line="360" w:lineRule="auto"/>
        <w:rPr>
          <w:color w:val="000000"/>
          <w:szCs w:val="21"/>
          <w:highlight w:val="none"/>
        </w:rPr>
      </w:pPr>
      <w:r>
        <w:rPr>
          <w:color w:val="000000"/>
          <w:szCs w:val="21"/>
          <w:highlight w:val="none"/>
          <w:lang w:val="zh-CN"/>
        </w:rPr>
        <w:t xml:space="preserve">1.1 《中华人民共和国政府采购法》《中华人民共和国政府采购法实施条例》《政府采购货物和服务招标投标管理办法》等有关法律、规章和规定等。</w:t>
      </w:r>
      <w:r>
        <w:rPr>
          <w:color w:val="000000"/>
          <w:szCs w:val="21"/>
          <w:highlight w:val="none"/>
          <w:lang w:val="zh-CN"/>
        </w:rPr>
      </w:r>
      <w:r>
        <w:rPr>
          <w:highlight w:val="none"/>
        </w:rPr>
      </w:r>
    </w:p>
    <w:p>
      <w:pPr>
        <w:pStyle w:val="1168"/>
        <w:ind w:firstLine="420"/>
        <w:spacing w:line="360" w:lineRule="auto"/>
        <w:rPr>
          <w:b/>
          <w:color w:val="000000"/>
          <w:szCs w:val="21"/>
          <w:highlight w:val="none"/>
        </w:rPr>
        <w:outlineLvl w:val="2"/>
      </w:pPr>
      <w:r>
        <w:rPr>
          <w:highlight w:val="none"/>
        </w:rPr>
      </w:r>
      <w:bookmarkStart w:id="63" w:name="_Toc10994"/>
      <w:r>
        <w:rPr>
          <w:highlight w:val="none"/>
        </w:rPr>
      </w:r>
      <w:bookmarkStart w:id="64" w:name="_Toc6479"/>
      <w:r>
        <w:rPr>
          <w:highlight w:val="none"/>
        </w:rPr>
      </w:r>
      <w:bookmarkStart w:id="65" w:name="_Toc4696388"/>
      <w:r>
        <w:rPr>
          <w:b/>
          <w:bCs/>
          <w:color w:val="000000"/>
          <w:szCs w:val="21"/>
          <w:highlight w:val="none"/>
          <w:lang w:val="zh-CN"/>
        </w:rPr>
        <w:t xml:space="preserve">2.</w:t>
      </w:r>
      <w:r>
        <w:rPr>
          <w:b/>
          <w:color w:val="000000"/>
          <w:szCs w:val="21"/>
          <w:highlight w:val="none"/>
          <w:lang w:val="zh-CN"/>
        </w:rPr>
        <w:t xml:space="preserve">定义</w:t>
      </w:r>
      <w:bookmarkEnd w:id="63"/>
      <w:r>
        <w:rPr>
          <w:highlight w:val="none"/>
        </w:rPr>
      </w:r>
      <w:bookmarkEnd w:id="64"/>
      <w:r>
        <w:rPr>
          <w:highlight w:val="none"/>
        </w:rPr>
      </w:r>
      <w:bookmarkEnd w:id="65"/>
      <w:r>
        <w:rPr>
          <w:b/>
          <w:color w:val="000000"/>
          <w:szCs w:val="21"/>
          <w:highlight w:val="none"/>
          <w:lang w:val="zh-CN"/>
        </w:rPr>
      </w:r>
      <w:r>
        <w:rPr>
          <w:highlight w:val="none"/>
        </w:rPr>
      </w:r>
    </w:p>
    <w:p>
      <w:pPr>
        <w:pStyle w:val="1168"/>
        <w:ind w:firstLine="420"/>
        <w:spacing w:line="440" w:lineRule="exact"/>
        <w:rPr>
          <w:bCs/>
          <w:color w:val="000000"/>
          <w:highlight w:val="none"/>
        </w:rPr>
      </w:pPr>
      <w:r>
        <w:rPr>
          <w:highlight w:val="none"/>
        </w:rPr>
      </w:r>
      <w:bookmarkEnd w:id="58"/>
      <w:r>
        <w:rPr>
          <w:highlight w:val="none"/>
        </w:rPr>
      </w:r>
      <w:bookmarkEnd w:id="59"/>
      <w:r>
        <w:rPr>
          <w:highlight w:val="none"/>
        </w:rPr>
      </w:r>
      <w:bookmarkEnd w:id="60"/>
      <w:r>
        <w:rPr>
          <w:highlight w:val="none"/>
        </w:rPr>
      </w:r>
      <w:bookmarkEnd w:id="61"/>
      <w:r>
        <w:rPr>
          <w:highlight w:val="none"/>
        </w:rPr>
      </w:r>
      <w:bookmarkEnd w:id="62"/>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南京红十字血液中心</w:t>
      </w:r>
      <w:r>
        <w:rPr>
          <w:bCs/>
          <w:color w:val="000000"/>
          <w:highlight w:val="none"/>
        </w:rPr>
        <w:t xml:space="preserve">；投标人（亦称供应商）系指参加投标竞争并满足招标文件资格要求规定的法人、其他组织或者自然人。</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rPr>
          <w:highlight w:val="none"/>
        </w:rPr>
      </w:r>
    </w:p>
    <w:p>
      <w:pPr>
        <w:pStyle w:val="1168"/>
        <w:ind w:firstLine="422"/>
        <w:spacing w:line="360" w:lineRule="auto"/>
        <w:rPr>
          <w:b/>
          <w:color w:val="000000"/>
          <w:highlight w:val="none"/>
        </w:rPr>
        <w:outlineLvl w:val="2"/>
      </w:pPr>
      <w:r>
        <w:rPr>
          <w:highlight w:val="none"/>
        </w:rPr>
      </w:r>
      <w:bookmarkStart w:id="66" w:name="_Toc21937"/>
      <w:r>
        <w:rPr>
          <w:b/>
          <w:color w:val="000000"/>
          <w:highlight w:val="none"/>
        </w:rPr>
        <w:t xml:space="preserve">3.政策功能</w:t>
      </w:r>
      <w:bookmarkEnd w:id="66"/>
      <w:r>
        <w:rPr>
          <w:b/>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rPr>
          <w:highlight w:val="none"/>
        </w:rPr>
      </w:r>
    </w:p>
    <w:p>
      <w:pPr>
        <w:pStyle w:val="1168"/>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rPr>
          <w:highlight w:val="none"/>
        </w:rPr>
      </w:r>
    </w:p>
    <w:p>
      <w:pPr>
        <w:pStyle w:val="1168"/>
        <w:ind w:firstLine="420"/>
        <w:spacing w:line="360" w:lineRule="auto"/>
        <w:rPr>
          <w:bCs/>
          <w:color w:val="000000"/>
          <w:highlight w:val="none"/>
        </w:rPr>
      </w:pPr>
      <w:r>
        <w:rPr>
          <w:color w:val="000000"/>
          <w:szCs w:val="21"/>
          <w:highlight w:val="none"/>
          <w:lang w:val="zh-CN"/>
        </w:rPr>
        <w:t xml:space="preserve">具体内容详见第三章 评标标准。</w:t>
      </w:r>
      <w:r>
        <w:rPr>
          <w:bCs/>
          <w:color w:val="000000"/>
          <w:highlight w:val="none"/>
        </w:rPr>
      </w:r>
      <w:r>
        <w:rPr>
          <w:highlight w:val="none"/>
        </w:rPr>
      </w:r>
    </w:p>
    <w:p>
      <w:pPr>
        <w:pStyle w:val="1168"/>
        <w:ind w:firstLine="420"/>
        <w:spacing w:line="360" w:lineRule="auto"/>
        <w:rPr>
          <w:b/>
          <w:color w:val="000000"/>
          <w:szCs w:val="21"/>
          <w:highlight w:val="none"/>
        </w:rPr>
        <w:outlineLvl w:val="2"/>
      </w:pPr>
      <w:r>
        <w:rPr>
          <w:highlight w:val="none"/>
        </w:rPr>
      </w:r>
      <w:bookmarkStart w:id="67" w:name="_Toc462564067"/>
      <w:r>
        <w:rPr>
          <w:highlight w:val="none"/>
        </w:rPr>
      </w:r>
      <w:bookmarkStart w:id="68" w:name="_Toc20823279"/>
      <w:r>
        <w:rPr>
          <w:highlight w:val="none"/>
        </w:rPr>
      </w:r>
      <w:bookmarkStart w:id="69" w:name="_Toc17711"/>
      <w:r>
        <w:rPr>
          <w:highlight w:val="none"/>
        </w:rPr>
      </w:r>
      <w:bookmarkStart w:id="70" w:name="_Toc513029207"/>
      <w:r>
        <w:rPr>
          <w:highlight w:val="none"/>
        </w:rPr>
      </w:r>
      <w:bookmarkStart w:id="71" w:name="_Toc4696390"/>
      <w:r>
        <w:rPr>
          <w:highlight w:val="none"/>
        </w:rPr>
      </w:r>
      <w:bookmarkStart w:id="72" w:name="_Toc25193"/>
      <w:r>
        <w:rPr>
          <w:highlight w:val="none"/>
        </w:rPr>
      </w:r>
      <w:bookmarkStart w:id="73" w:name="_Toc4759"/>
      <w:r>
        <w:rPr>
          <w:highlight w:val="none"/>
        </w:rPr>
      </w:r>
      <w:bookmarkStart w:id="74" w:name="_Toc16938523"/>
      <w:r>
        <w:rPr>
          <w:b/>
          <w:bCs/>
          <w:color w:val="000000"/>
          <w:szCs w:val="21"/>
          <w:highlight w:val="none"/>
          <w:lang w:val="zh-CN"/>
        </w:rPr>
        <w:t xml:space="preserve">4.</w:t>
      </w:r>
      <w:r>
        <w:rPr>
          <w:b/>
          <w:color w:val="000000"/>
          <w:szCs w:val="21"/>
          <w:highlight w:val="none"/>
          <w:lang w:val="zh-CN"/>
        </w:rPr>
        <w:t xml:space="preserve">投标费用</w:t>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b/>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rPr>
          <w:highlight w:val="none"/>
        </w:rPr>
      </w:r>
    </w:p>
    <w:p>
      <w:pPr>
        <w:pStyle w:val="1168"/>
        <w:ind w:firstLine="420"/>
        <w:spacing w:line="360" w:lineRule="auto"/>
        <w:rPr>
          <w:b/>
          <w:color w:val="000000"/>
          <w:szCs w:val="21"/>
          <w:highlight w:val="none"/>
        </w:rPr>
        <w:outlineLvl w:val="2"/>
      </w:pPr>
      <w:r>
        <w:rPr>
          <w:highlight w:val="none"/>
        </w:rPr>
      </w:r>
      <w:bookmarkStart w:id="75" w:name="_Toc31643"/>
      <w:r>
        <w:rPr>
          <w:highlight w:val="none"/>
        </w:rPr>
      </w:r>
      <w:bookmarkStart w:id="76" w:name="_Toc344"/>
      <w:r>
        <w:rPr>
          <w:highlight w:val="none"/>
        </w:rPr>
      </w:r>
      <w:bookmarkStart w:id="77" w:name="_Toc4696391"/>
      <w:r>
        <w:rPr>
          <w:b/>
          <w:bCs/>
          <w:color w:val="000000"/>
          <w:szCs w:val="21"/>
          <w:highlight w:val="none"/>
          <w:lang w:val="zh-CN"/>
        </w:rPr>
        <w:t xml:space="preserve">5.</w:t>
      </w:r>
      <w:r>
        <w:rPr>
          <w:b/>
          <w:color w:val="000000"/>
          <w:szCs w:val="21"/>
          <w:highlight w:val="none"/>
          <w:lang w:val="zh-CN"/>
        </w:rPr>
        <w:t xml:space="preserve">招标文件的约束力</w:t>
      </w:r>
      <w:bookmarkEnd w:id="75"/>
      <w:r>
        <w:rPr>
          <w:highlight w:val="none"/>
        </w:rPr>
      </w:r>
      <w:bookmarkEnd w:id="76"/>
      <w:r>
        <w:rPr>
          <w:highlight w:val="none"/>
        </w:rPr>
      </w:r>
      <w:bookmarkEnd w:id="77"/>
      <w:r>
        <w:rPr>
          <w:b/>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rPr>
          <w:highlight w:val="none"/>
        </w:rPr>
      </w:r>
    </w:p>
    <w:p>
      <w:pPr>
        <w:pStyle w:val="1168"/>
        <w:ind w:firstLine="420"/>
        <w:spacing w:line="440" w:lineRule="exact"/>
        <w:shd w:val="clear" w:color="auto" w:fill="ffffff"/>
        <w:widowControl/>
        <w:rPr>
          <w:b/>
          <w:bCs/>
          <w:color w:val="000000"/>
          <w:sz w:val="24"/>
          <w:highlight w:val="none"/>
        </w:rPr>
        <w:outlineLvl w:val="1"/>
      </w:pPr>
      <w:r>
        <w:rPr>
          <w:highlight w:val="none"/>
        </w:rPr>
      </w:r>
      <w:bookmarkStart w:id="78" w:name="_Toc20823281"/>
      <w:r>
        <w:rPr>
          <w:highlight w:val="none"/>
        </w:rPr>
      </w:r>
      <w:bookmarkStart w:id="79" w:name="_Toc513029209"/>
      <w:r>
        <w:rPr>
          <w:highlight w:val="none"/>
        </w:rPr>
      </w:r>
      <w:bookmarkStart w:id="80" w:name="_Toc15035"/>
      <w:r>
        <w:rPr>
          <w:highlight w:val="none"/>
        </w:rPr>
      </w:r>
      <w:bookmarkStart w:id="81" w:name="_Toc120614215"/>
      <w:r>
        <w:rPr>
          <w:highlight w:val="none"/>
        </w:rPr>
      </w:r>
      <w:bookmarkStart w:id="82" w:name="_Toc8997"/>
      <w:r>
        <w:rPr>
          <w:highlight w:val="none"/>
        </w:rPr>
      </w:r>
      <w:bookmarkStart w:id="83" w:name="_Toc4696392"/>
      <w:r>
        <w:rPr>
          <w:highlight w:val="none"/>
        </w:rPr>
      </w:r>
      <w:bookmarkStart w:id="84" w:name="_Toc16938525"/>
      <w:r>
        <w:rPr>
          <w:b/>
          <w:bCs/>
          <w:color w:val="000000"/>
          <w:sz w:val="24"/>
          <w:highlight w:val="none"/>
        </w:rPr>
        <w:t xml:space="preserve">二、招标文件</w:t>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b/>
          <w:bCs/>
          <w:color w:val="000000"/>
          <w:sz w:val="24"/>
          <w:highlight w:val="none"/>
        </w:rPr>
      </w:r>
      <w:r>
        <w:rPr>
          <w:highlight w:val="none"/>
        </w:rPr>
      </w:r>
    </w:p>
    <w:p>
      <w:pPr>
        <w:pStyle w:val="1168"/>
        <w:ind w:firstLine="420"/>
        <w:spacing w:line="360" w:lineRule="auto"/>
        <w:rPr>
          <w:b/>
          <w:color w:val="000000"/>
          <w:szCs w:val="21"/>
          <w:highlight w:val="none"/>
        </w:rPr>
        <w:outlineLvl w:val="2"/>
      </w:pPr>
      <w:r>
        <w:rPr>
          <w:highlight w:val="none"/>
        </w:rPr>
      </w:r>
      <w:bookmarkStart w:id="85" w:name="_Toc20823282"/>
      <w:r>
        <w:rPr>
          <w:highlight w:val="none"/>
        </w:rPr>
      </w:r>
      <w:bookmarkStart w:id="86" w:name="_Toc513029210"/>
      <w:r>
        <w:rPr>
          <w:highlight w:val="none"/>
        </w:rPr>
      </w:r>
      <w:bookmarkStart w:id="87" w:name="_Toc16938526"/>
      <w:r>
        <w:rPr>
          <w:highlight w:val="none"/>
        </w:rPr>
      </w:r>
      <w:bookmarkStart w:id="88" w:name="_Toc31631"/>
      <w:r>
        <w:rPr>
          <w:highlight w:val="none"/>
        </w:rPr>
      </w:r>
      <w:bookmarkStart w:id="89" w:name="_Toc4696393"/>
      <w:r>
        <w:rPr>
          <w:highlight w:val="none"/>
        </w:rPr>
      </w:r>
      <w:bookmarkStart w:id="90" w:name="_Toc32663"/>
      <w:r>
        <w:rPr>
          <w:b/>
          <w:bCs/>
          <w:color w:val="000000"/>
          <w:szCs w:val="21"/>
          <w:highlight w:val="none"/>
          <w:lang w:val="zh-CN"/>
        </w:rPr>
        <w:t xml:space="preserve">6.</w:t>
      </w:r>
      <w:r>
        <w:rPr>
          <w:b/>
          <w:color w:val="000000"/>
          <w:szCs w:val="21"/>
          <w:highlight w:val="none"/>
          <w:lang w:val="zh-CN"/>
        </w:rPr>
        <w:t xml:space="preserve">招标文件构成</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bookmarkEnd w:id="90"/>
      <w:r>
        <w:rPr>
          <w:b/>
          <w:color w:val="000000"/>
          <w:szCs w:val="21"/>
          <w:highlight w:val="none"/>
          <w:lang w:val="zh-CN"/>
        </w:rPr>
      </w:r>
      <w:r>
        <w:rPr>
          <w:highlight w:val="none"/>
        </w:rPr>
      </w:r>
    </w:p>
    <w:p>
      <w:pPr>
        <w:pStyle w:val="1168"/>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rPr>
          <w:highlight w:val="none"/>
        </w:rPr>
      </w:r>
    </w:p>
    <w:p>
      <w:pPr>
        <w:pStyle w:val="1168"/>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91" w:name="_Toc14415"/>
      <w:r>
        <w:rPr>
          <w:highlight w:val="none"/>
        </w:rPr>
      </w:r>
      <w:bookmarkStart w:id="92" w:name="_Toc11205"/>
      <w:r>
        <w:rPr>
          <w:highlight w:val="none"/>
        </w:rPr>
      </w:r>
      <w:bookmarkStart w:id="93" w:name="_Toc4696394"/>
      <w:r>
        <w:rPr>
          <w:rFonts w:ascii="Times New Roman" w:eastAsia="宋体"/>
          <w:b/>
          <w:bCs/>
          <w:color w:val="000000"/>
          <w:sz w:val="21"/>
          <w:szCs w:val="21"/>
          <w:highlight w:val="none"/>
        </w:rPr>
        <w:t xml:space="preserve">7.招标文件的澄清、补充或修改</w:t>
      </w:r>
      <w:bookmarkEnd w:id="91"/>
      <w:r>
        <w:rPr>
          <w:highlight w:val="none"/>
        </w:rPr>
      </w:r>
      <w:bookmarkEnd w:id="92"/>
      <w:r>
        <w:rPr>
          <w:highlight w:val="none"/>
        </w:rPr>
      </w:r>
      <w:bookmarkEnd w:id="93"/>
      <w:r>
        <w:rPr>
          <w:rFonts w:ascii="Times New Roman" w:eastAsia="宋体"/>
          <w:b/>
          <w:bCs/>
          <w:color w:val="000000"/>
          <w:sz w:val="21"/>
          <w:szCs w:val="21"/>
          <w:highlight w:val="none"/>
        </w:rPr>
      </w:r>
      <w:r>
        <w:rPr>
          <w:highlight w:val="none"/>
        </w:rPr>
      </w:r>
    </w:p>
    <w:p>
      <w:pPr>
        <w:pStyle w:val="1168"/>
        <w:ind w:firstLine="441"/>
        <w:spacing w:line="440" w:lineRule="exact"/>
        <w:rPr>
          <w:color w:val="000000"/>
          <w:highlight w:val="none"/>
        </w:rPr>
      </w:pPr>
      <w:r>
        <w:rPr>
          <w:highlight w:val="none"/>
        </w:rPr>
      </w:r>
      <w:bookmarkStart w:id="94"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rPr>
          <w:highlight w:val="none"/>
        </w:rPr>
      </w:r>
    </w:p>
    <w:p>
      <w:pPr>
        <w:pStyle w:val="1168"/>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rPr>
          <w:highlight w:val="none"/>
        </w:rPr>
      </w:r>
    </w:p>
    <w:p>
      <w:pPr>
        <w:pStyle w:val="1168"/>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rPr>
          <w:highlight w:val="none"/>
        </w:rPr>
      </w:r>
    </w:p>
    <w:p>
      <w:pPr>
        <w:pStyle w:val="1168"/>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rPr>
          <w:highlight w:val="none"/>
        </w:rPr>
      </w:r>
    </w:p>
    <w:p>
      <w:pPr>
        <w:pStyle w:val="1168"/>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rPr>
          <w:highlight w:val="none"/>
        </w:rPr>
      </w:r>
    </w:p>
    <w:p>
      <w:pPr>
        <w:pStyle w:val="1168"/>
        <w:ind w:firstLine="420"/>
        <w:spacing w:line="440" w:lineRule="exact"/>
        <w:shd w:val="clear" w:color="auto" w:fill="ffffff"/>
        <w:widowControl/>
        <w:rPr>
          <w:b/>
          <w:bCs/>
          <w:color w:val="000000"/>
          <w:sz w:val="24"/>
          <w:highlight w:val="none"/>
        </w:rPr>
        <w:outlineLvl w:val="1"/>
      </w:pPr>
      <w:r>
        <w:rPr>
          <w:highlight w:val="none"/>
        </w:rPr>
      </w:r>
      <w:bookmarkStart w:id="95" w:name="_Toc4696395"/>
      <w:r>
        <w:rPr>
          <w:highlight w:val="none"/>
        </w:rPr>
      </w:r>
      <w:bookmarkStart w:id="96" w:name="_Toc29344"/>
      <w:r>
        <w:rPr>
          <w:b/>
          <w:bCs/>
          <w:color w:val="000000"/>
          <w:sz w:val="24"/>
          <w:highlight w:val="none"/>
        </w:rPr>
        <w:t xml:space="preserve">三、投标文件的编制</w:t>
      </w:r>
      <w:bookmarkEnd w:id="94"/>
      <w:r>
        <w:rPr>
          <w:highlight w:val="none"/>
        </w:rPr>
      </w:r>
      <w:bookmarkEnd w:id="95"/>
      <w:r>
        <w:rPr>
          <w:highlight w:val="none"/>
        </w:rPr>
      </w:r>
      <w:bookmarkEnd w:id="96"/>
      <w:r>
        <w:rPr>
          <w:b/>
          <w:bCs/>
          <w:color w:val="000000"/>
          <w:sz w:val="24"/>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97" w:name="_Toc28127"/>
      <w:r>
        <w:rPr>
          <w:highlight w:val="none"/>
        </w:rPr>
      </w:r>
      <w:bookmarkStart w:id="98" w:name="_Toc4696396"/>
      <w:r>
        <w:rPr>
          <w:highlight w:val="none"/>
        </w:rPr>
      </w:r>
      <w:bookmarkStart w:id="99" w:name="_Toc19466"/>
      <w:r>
        <w:rPr>
          <w:rFonts w:ascii="Times New Roman" w:eastAsia="宋体"/>
          <w:b/>
          <w:bCs/>
          <w:color w:val="000000"/>
          <w:sz w:val="21"/>
          <w:szCs w:val="21"/>
          <w:highlight w:val="none"/>
        </w:rPr>
        <w:t xml:space="preserve">8.</w:t>
      </w:r>
      <w:bookmarkEnd w:id="97"/>
      <w:r>
        <w:rPr>
          <w:rFonts w:ascii="Times New Roman" w:eastAsia="宋体"/>
          <w:b/>
          <w:bCs/>
          <w:color w:val="000000"/>
          <w:sz w:val="21"/>
          <w:szCs w:val="21"/>
          <w:highlight w:val="none"/>
        </w:rPr>
        <w:t xml:space="preserve">投标文件的语言、计量单位、货币</w:t>
      </w:r>
      <w:bookmarkEnd w:id="98"/>
      <w:r>
        <w:rPr>
          <w:highlight w:val="none"/>
        </w:rPr>
      </w:r>
      <w:bookmarkEnd w:id="99"/>
      <w:r>
        <w:rPr>
          <w:rFonts w:ascii="Times New Roman" w:eastAsia="宋体"/>
          <w:b/>
          <w:bCs/>
          <w:color w:val="000000"/>
          <w:sz w:val="21"/>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highlight w:val="none"/>
        </w:rPr>
      </w:r>
      <w:bookmarkStart w:id="100"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rPr>
          <w:highlight w:val="none"/>
        </w:rPr>
      </w:r>
    </w:p>
    <w:p>
      <w:pPr>
        <w:pStyle w:val="1168"/>
        <w:ind w:firstLine="420"/>
        <w:spacing w:line="360" w:lineRule="auto"/>
        <w:rPr>
          <w:b/>
          <w:color w:val="000000"/>
          <w:szCs w:val="21"/>
          <w:highlight w:val="none"/>
        </w:rPr>
        <w:outlineLvl w:val="2"/>
      </w:pPr>
      <w:r>
        <w:rPr>
          <w:highlight w:val="none"/>
        </w:rPr>
      </w:r>
      <w:bookmarkStart w:id="101" w:name="_Toc30894"/>
      <w:r>
        <w:rPr>
          <w:highlight w:val="none"/>
        </w:rPr>
      </w:r>
      <w:bookmarkStart w:id="102" w:name="_Toc4696397"/>
      <w:r>
        <w:rPr>
          <w:highlight w:val="none"/>
        </w:rPr>
      </w:r>
      <w:bookmarkStart w:id="103" w:name="_Toc17734"/>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101"/>
      <w:r>
        <w:rPr>
          <w:highlight w:val="none"/>
        </w:rPr>
      </w:r>
      <w:bookmarkEnd w:id="102"/>
      <w:r>
        <w:rPr>
          <w:highlight w:val="none"/>
        </w:rPr>
      </w:r>
      <w:bookmarkEnd w:id="103"/>
      <w:r>
        <w:rPr>
          <w:b/>
          <w:color w:val="000000"/>
          <w:szCs w:val="21"/>
          <w:highlight w:val="none"/>
          <w:lang w:val="zh-CN"/>
        </w:rPr>
      </w:r>
      <w:r>
        <w:rPr>
          <w:highlight w:val="none"/>
        </w:rPr>
      </w:r>
    </w:p>
    <w:p>
      <w:pPr>
        <w:pStyle w:val="1168"/>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rPr>
          <w:highlight w:val="none"/>
        </w:rPr>
      </w:r>
    </w:p>
    <w:p>
      <w:pPr>
        <w:pStyle w:val="1168"/>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color w:val="000000"/>
          <w:sz w:val="21"/>
          <w:szCs w:val="21"/>
          <w:highlight w:val="none"/>
        </w:rPr>
      </w:pPr>
      <w:r>
        <w:rPr>
          <w:highlight w:val="none"/>
        </w:rPr>
      </w:r>
      <w:bookmarkEnd w:id="100"/>
      <w:r>
        <w:rPr>
          <w:highlight w:val="none"/>
        </w:rPr>
      </w:r>
      <w:bookmarkStart w:id="104" w:name="_Toc22790"/>
      <w:r>
        <w:rPr>
          <w:highlight w:val="none"/>
        </w:rPr>
      </w:r>
      <w:bookmarkStart w:id="105" w:name="_Toc23258"/>
      <w:r>
        <w:rPr>
          <w:highlight w:val="none"/>
        </w:rPr>
      </w:r>
      <w:bookmarkStart w:id="106" w:name="_Toc4696398"/>
      <w:r>
        <w:rPr>
          <w:highlight w:val="none"/>
        </w:rPr>
      </w:r>
      <w:bookmarkStart w:id="107" w:name="_Toc12595"/>
      <w:r>
        <w:rPr>
          <w:highlight w:val="none"/>
        </w:rPr>
      </w:r>
      <w:bookmarkStart w:id="108" w:name="_Toc4696399"/>
      <w:r>
        <w:rPr>
          <w:rFonts w:ascii="Times New Roman" w:eastAsia="宋体"/>
          <w:b/>
          <w:bCs/>
          <w:color w:val="000000"/>
          <w:sz w:val="21"/>
          <w:szCs w:val="21"/>
          <w:highlight w:val="none"/>
        </w:rPr>
        <w:t xml:space="preserve">10.投标文件的</w:t>
      </w:r>
      <w:bookmarkEnd w:id="104"/>
      <w:r>
        <w:rPr>
          <w:rFonts w:ascii="Times New Roman" w:eastAsia="宋体"/>
          <w:b/>
          <w:bCs/>
          <w:color w:val="000000"/>
          <w:sz w:val="21"/>
          <w:szCs w:val="21"/>
          <w:highlight w:val="none"/>
        </w:rPr>
        <w:t xml:space="preserve">组成</w:t>
      </w:r>
      <w:bookmarkEnd w:id="105"/>
      <w:r>
        <w:rPr>
          <w:highlight w:val="none"/>
        </w:rPr>
      </w:r>
      <w:bookmarkEnd w:id="106"/>
      <w:r>
        <w:rPr>
          <w:rFonts w:ascii="Times New Roman" w:eastAsia="宋体"/>
          <w:color w:val="000000"/>
          <w:sz w:val="21"/>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rPr>
          <w:highlight w:val="none"/>
        </w:rPr>
      </w:r>
    </w:p>
    <w:p>
      <w:pPr>
        <w:pStyle w:val="1168"/>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rPr>
          <w:highlight w:val="none"/>
        </w:rPr>
      </w:r>
    </w:p>
    <w:p>
      <w:pPr>
        <w:pStyle w:val="1168"/>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rPr>
          <w:highlight w:val="none"/>
        </w:rPr>
      </w:r>
    </w:p>
    <w:p>
      <w:pPr>
        <w:pStyle w:val="1168"/>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rPr>
          <w:highlight w:val="none"/>
        </w:rPr>
      </w:r>
    </w:p>
    <w:p>
      <w:pPr>
        <w:pStyle w:val="1168"/>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rPr>
          <w:highlight w:val="none"/>
        </w:rPr>
      </w:r>
    </w:p>
    <w:p>
      <w:pPr>
        <w:pStyle w:val="1168"/>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09" w:name="_Toc8507"/>
      <w:r>
        <w:rPr>
          <w:rFonts w:ascii="Times New Roman" w:eastAsia="宋体"/>
          <w:b/>
          <w:bCs/>
          <w:color w:val="000000"/>
          <w:sz w:val="21"/>
          <w:szCs w:val="21"/>
          <w:highlight w:val="none"/>
        </w:rPr>
        <w:t xml:space="preserve">11.投标保证金</w:t>
      </w:r>
      <w:bookmarkEnd w:id="107"/>
      <w:r>
        <w:rPr>
          <w:highlight w:val="none"/>
        </w:rPr>
      </w:r>
      <w:bookmarkEnd w:id="108"/>
      <w:r>
        <w:rPr>
          <w:highlight w:val="none"/>
        </w:rPr>
      </w:r>
      <w:bookmarkEnd w:id="109"/>
      <w:r>
        <w:rPr>
          <w:rFonts w:ascii="Times New Roman" w:eastAsia="宋体"/>
          <w:b/>
          <w:bCs/>
          <w:color w:val="000000"/>
          <w:sz w:val="21"/>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highlight w:val="none"/>
        </w:rPr>
      </w:r>
      <w:bookmarkStart w:id="110"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rPr>
          <w:highlight w:val="none"/>
        </w:rPr>
      </w:r>
    </w:p>
    <w:p>
      <w:pPr>
        <w:pStyle w:val="1168"/>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11" w:name="_Toc22509"/>
      <w:r>
        <w:rPr>
          <w:highlight w:val="none"/>
        </w:rPr>
      </w:r>
      <w:bookmarkStart w:id="112" w:name="_Toc4696400"/>
      <w:r>
        <w:rPr>
          <w:rFonts w:ascii="Times New Roman" w:eastAsia="宋体"/>
          <w:b/>
          <w:bCs/>
          <w:color w:val="000000"/>
          <w:sz w:val="21"/>
          <w:szCs w:val="21"/>
          <w:highlight w:val="none"/>
        </w:rPr>
        <w:t xml:space="preserve">12.投标文件的有效期</w:t>
      </w:r>
      <w:bookmarkEnd w:id="110"/>
      <w:r>
        <w:rPr>
          <w:highlight w:val="none"/>
        </w:rPr>
      </w:r>
      <w:bookmarkEnd w:id="111"/>
      <w:r>
        <w:rPr>
          <w:highlight w:val="none"/>
        </w:rPr>
      </w:r>
      <w:bookmarkEnd w:id="112"/>
      <w:r>
        <w:rPr>
          <w:rFonts w:ascii="Times New Roman" w:eastAsia="宋体"/>
          <w:b/>
          <w:bCs/>
          <w:color w:val="000000"/>
          <w:sz w:val="21"/>
          <w:szCs w:val="21"/>
          <w:highlight w:val="none"/>
        </w:rPr>
      </w:r>
      <w:r>
        <w:rPr>
          <w:highlight w:val="none"/>
        </w:rPr>
      </w:r>
    </w:p>
    <w:p>
      <w:pPr>
        <w:pStyle w:val="1168"/>
        <w:ind w:firstLine="420"/>
        <w:jc w:val="left"/>
        <w:spacing w:line="440" w:lineRule="exact"/>
        <w:rPr>
          <w:bCs/>
          <w:color w:val="000000"/>
          <w:highlight w:val="none"/>
        </w:rPr>
      </w:pPr>
      <w:r>
        <w:rPr>
          <w:highlight w:val="none"/>
        </w:rPr>
      </w:r>
      <w:bookmarkStart w:id="113" w:name="_Toc6811"/>
      <w:r>
        <w:rPr>
          <w:bCs/>
          <w:color w:val="000000"/>
          <w:highlight w:val="none"/>
        </w:rPr>
        <w:t xml:space="preserve">12.1自开标之日起90天内，投标文件应保持有效，有效期短于此规定的投标文件将视为无效。</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14" w:name="_Toc30918"/>
      <w:r>
        <w:rPr>
          <w:highlight w:val="none"/>
        </w:rPr>
      </w:r>
      <w:bookmarkStart w:id="115" w:name="_Toc4696401"/>
      <w:r>
        <w:rPr>
          <w:rFonts w:ascii="Times New Roman" w:eastAsia="宋体"/>
          <w:b/>
          <w:bCs/>
          <w:color w:val="000000"/>
          <w:sz w:val="21"/>
          <w:szCs w:val="21"/>
          <w:highlight w:val="none"/>
        </w:rPr>
        <w:t xml:space="preserve">13.投标文件的签署及其形式</w:t>
      </w:r>
      <w:bookmarkEnd w:id="113"/>
      <w:r>
        <w:rPr>
          <w:highlight w:val="none"/>
        </w:rPr>
      </w:r>
      <w:bookmarkEnd w:id="114"/>
      <w:r>
        <w:rPr>
          <w:highlight w:val="none"/>
        </w:rPr>
      </w:r>
      <w:bookmarkEnd w:id="115"/>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highlight w:val="none"/>
        </w:rPr>
      </w:r>
      <w:bookmarkStart w:id="116" w:name="_Toc27455"/>
      <w:r>
        <w:rPr>
          <w:bCs/>
          <w:color w:val="000000"/>
          <w:highlight w:val="none"/>
        </w:rPr>
        <w:t xml:space="preserve">13.1投标文件的正本应用打印机或不褪色墨水书写，且经法定代表人或授权代表签署。</w:t>
      </w:r>
      <w:r>
        <w:rPr>
          <w:color w:val="000000"/>
          <w:sz w:val="24"/>
          <w:highlight w:val="none"/>
        </w:rPr>
        <w:t xml:space="preserve"> </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13.2投标文件应字迹清楚、内容齐全、不得涂改或增删。如有修改和增删，必须有供应商公章或法定代表人或其授权代表签字。因投标文件字迹潦草或表达不清所引起的不利后果由供应商承担。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rPr>
          <w:highlight w:val="none"/>
        </w:rPr>
      </w:r>
    </w:p>
    <w:p>
      <w:pPr>
        <w:pStyle w:val="1168"/>
        <w:ind w:firstLine="420"/>
        <w:spacing w:line="440" w:lineRule="exact"/>
        <w:shd w:val="clear" w:color="auto" w:fill="ffffff"/>
        <w:widowControl/>
        <w:rPr>
          <w:color w:val="000000"/>
          <w:szCs w:val="21"/>
          <w:highlight w:val="none"/>
        </w:rPr>
      </w:pPr>
      <w:r>
        <w:rPr>
          <w:bCs/>
          <w:color w:val="000000"/>
          <w:highlight w:val="none"/>
        </w:rPr>
        <w:t xml:space="preserve">13.3</w:t>
      </w:r>
      <w:r>
        <w:rPr>
          <w:color w:val="000000"/>
          <w:szCs w:val="21"/>
          <w:highlight w:val="none"/>
        </w:rPr>
        <w:t xml:space="preserve">供应商应按照招标文件所规定的内容顺序，</w:t>
      </w:r>
      <w:r>
        <w:rPr>
          <w:b/>
          <w:bCs/>
          <w:color w:val="000000"/>
          <w:szCs w:val="21"/>
          <w:highlight w:val="none"/>
        </w:rPr>
        <w:t xml:space="preserve">编制目录，逐页编码</w:t>
      </w:r>
      <w:r>
        <w:rPr>
          <w:color w:val="000000"/>
          <w:szCs w:val="21"/>
          <w:highlight w:val="none"/>
        </w:rPr>
        <w:t xml:space="preserve">。由于编排混乱导致投标文件被误读或查找不到，责任由供应商承担。</w:t>
      </w:r>
      <w:r>
        <w:rPr>
          <w:color w:val="000000"/>
          <w:szCs w:val="21"/>
          <w:highlight w:val="none"/>
        </w:rPr>
      </w:r>
      <w:r>
        <w:rPr>
          <w:highlight w:val="none"/>
        </w:rPr>
      </w:r>
    </w:p>
    <w:p>
      <w:pPr>
        <w:pStyle w:val="1168"/>
        <w:ind w:firstLine="420"/>
        <w:spacing w:line="440" w:lineRule="exact"/>
        <w:shd w:val="clear" w:color="auto" w:fill="ffffff"/>
        <w:widowControl/>
        <w:rPr>
          <w:b/>
          <w:bCs/>
          <w:color w:val="000000"/>
          <w:sz w:val="24"/>
          <w:highlight w:val="none"/>
        </w:rPr>
        <w:outlineLvl w:val="1"/>
      </w:pPr>
      <w:r>
        <w:rPr>
          <w:highlight w:val="none"/>
        </w:rPr>
      </w:r>
      <w:bookmarkStart w:id="117" w:name="_Toc24607"/>
      <w:r>
        <w:rPr>
          <w:highlight w:val="none"/>
        </w:rPr>
      </w:r>
      <w:bookmarkStart w:id="118" w:name="_Toc4696402"/>
      <w:r>
        <w:rPr>
          <w:b/>
          <w:bCs/>
          <w:color w:val="000000"/>
          <w:sz w:val="24"/>
          <w:highlight w:val="none"/>
        </w:rPr>
        <w:t xml:space="preserve">四、投标文件的递交</w:t>
      </w:r>
      <w:bookmarkEnd w:id="116"/>
      <w:r>
        <w:rPr>
          <w:highlight w:val="none"/>
        </w:rPr>
      </w:r>
      <w:bookmarkEnd w:id="117"/>
      <w:r>
        <w:rPr>
          <w:highlight w:val="none"/>
        </w:rPr>
      </w:r>
      <w:bookmarkEnd w:id="118"/>
      <w:r>
        <w:rPr>
          <w:b/>
          <w:bCs/>
          <w:color w:val="000000"/>
          <w:sz w:val="24"/>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19" w:name="_Toc4696403"/>
      <w:r>
        <w:rPr>
          <w:highlight w:val="none"/>
        </w:rPr>
      </w:r>
      <w:bookmarkStart w:id="120" w:name="_Toc16983"/>
      <w:r>
        <w:rPr>
          <w:highlight w:val="none"/>
        </w:rPr>
      </w:r>
      <w:bookmarkStart w:id="121" w:name="_Toc14201"/>
      <w:r>
        <w:rPr>
          <w:rFonts w:ascii="Times New Roman" w:eastAsia="宋体"/>
          <w:b/>
          <w:bCs/>
          <w:color w:val="000000"/>
          <w:sz w:val="21"/>
          <w:szCs w:val="21"/>
          <w:highlight w:val="none"/>
        </w:rPr>
        <w:t xml:space="preserve">14.投标文件的密封及标记</w:t>
      </w:r>
      <w:bookmarkEnd w:id="119"/>
      <w:r>
        <w:rPr>
          <w:highlight w:val="none"/>
        </w:rPr>
      </w:r>
      <w:bookmarkEnd w:id="120"/>
      <w:r>
        <w:rPr>
          <w:highlight w:val="none"/>
        </w:rPr>
      </w:r>
      <w:bookmarkEnd w:id="121"/>
      <w:r>
        <w:rPr>
          <w:rFonts w:ascii="Times New Roman" w:eastAsia="宋体"/>
          <w:b/>
          <w:bCs/>
          <w:color w:val="000000"/>
          <w:sz w:val="21"/>
          <w:szCs w:val="21"/>
          <w:highlight w:val="none"/>
        </w:rPr>
      </w:r>
      <w:r>
        <w:rPr>
          <w:highlight w:val="none"/>
        </w:rPr>
      </w:r>
    </w:p>
    <w:p>
      <w:pPr>
        <w:pStyle w:val="1168"/>
        <w:ind w:firstLine="420"/>
        <w:spacing w:line="440" w:lineRule="exact"/>
        <w:rPr>
          <w:b/>
          <w:color w:val="000000"/>
          <w:sz w:val="30"/>
          <w:highlight w:val="none"/>
        </w:rPr>
      </w:pPr>
      <w:r>
        <w:rPr>
          <w:highlight w:val="none"/>
        </w:rPr>
      </w:r>
      <w:bookmarkStart w:id="122" w:name="_Toc21766"/>
      <w:r>
        <w:rPr>
          <w:bCs/>
          <w:color w:val="000000"/>
          <w:szCs w:val="22"/>
          <w:highlight w:val="none"/>
        </w:rPr>
        <w:t xml:space="preserve">14.1电子投标文件的递交：投标人应当按照《操作手册》规定，在投标截止时间前制作并上传电子投标文件</w:t>
      </w:r>
      <w:r>
        <w:rPr>
          <w:bCs/>
          <w:color w:val="000000"/>
          <w:highlight w:val="none"/>
        </w:rPr>
        <w:t xml:space="preserve">。</w:t>
      </w:r>
      <w:r>
        <w:rPr>
          <w:b/>
          <w:color w:val="000000"/>
          <w:sz w:val="28"/>
          <w:szCs w:val="28"/>
          <w:highlight w:val="none"/>
        </w:rPr>
        <w:t xml:space="preserve"> </w:t>
      </w:r>
      <w:r>
        <w:rPr>
          <w:b/>
          <w:color w:val="000000"/>
          <w:sz w:val="30"/>
          <w:highlight w:val="none"/>
        </w:rPr>
      </w:r>
      <w:r>
        <w:rPr>
          <w:highlight w:val="none"/>
        </w:rPr>
      </w:r>
    </w:p>
    <w:p>
      <w:pPr>
        <w:pStyle w:val="1168"/>
        <w:ind w:firstLine="420"/>
        <w:spacing w:line="440" w:lineRule="exact"/>
        <w:rPr>
          <w:bCs/>
          <w:color w:val="000000"/>
          <w:highlight w:val="none"/>
        </w:rPr>
      </w:pPr>
      <w:r>
        <w:rPr>
          <w:bCs/>
          <w:color w:val="000000"/>
          <w:szCs w:val="22"/>
          <w:highlight w:val="none"/>
        </w:rPr>
        <w:t xml:space="preserve">14.2 投标文件的解密：开标当天各供应商及时登录不见面开标大厅，投标文件递交截止时间后，采购人将在系统内公布供应商名单，然后</w:t>
      </w:r>
      <w:r>
        <w:rPr>
          <w:bCs/>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bCs/>
          <w:color w:val="000000"/>
          <w:highlight w:val="none"/>
        </w:rPr>
        <w:t xml:space="preserve">。</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23" w:name="_Toc4696404"/>
      <w:r>
        <w:rPr>
          <w:highlight w:val="none"/>
        </w:rPr>
      </w:r>
      <w:bookmarkStart w:id="124" w:name="_Toc12570"/>
      <w:r>
        <w:rPr>
          <w:rFonts w:ascii="Times New Roman" w:eastAsia="宋体"/>
          <w:b/>
          <w:bCs/>
          <w:color w:val="000000"/>
          <w:sz w:val="21"/>
          <w:szCs w:val="21"/>
          <w:highlight w:val="none"/>
        </w:rPr>
        <w:t xml:space="preserve">15.投标的截止日期</w:t>
      </w:r>
      <w:bookmarkEnd w:id="122"/>
      <w:r>
        <w:rPr>
          <w:highlight w:val="none"/>
        </w:rPr>
      </w:r>
      <w:bookmarkEnd w:id="123"/>
      <w:r>
        <w:rPr>
          <w:highlight w:val="none"/>
        </w:rPr>
      </w:r>
      <w:bookmarkEnd w:id="124"/>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highlight w:val="none"/>
        </w:rPr>
      </w:r>
      <w:bookmarkStart w:id="125" w:name="_Toc32673"/>
      <w:r>
        <w:rPr>
          <w:bCs/>
          <w:color w:val="000000"/>
          <w:highlight w:val="none"/>
        </w:rPr>
        <w:t xml:space="preserve">15.1 投标人上传电子投标文件的时间不得迟于招标公告中规定的投标截止时间。</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投标人应充分考虑到网络环境、网络带宽等风险因素，如因投标人自身原因造成的电子投标文件上传不成功的做无效投标处理。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15.2 采购人可以按照规定，通过修改招标文件酌情延长投标截止时间，在此情况下，投标人的所有权利和义务以及投标人受制的截止时间均应以延长后新的截止时间为准。</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25"/>
      <w:r>
        <w:rPr>
          <w:highlight w:val="none"/>
        </w:rPr>
      </w:r>
      <w:bookmarkStart w:id="126" w:name="_Toc10963"/>
      <w:r>
        <w:rPr>
          <w:highlight w:val="none"/>
        </w:rPr>
      </w:r>
      <w:bookmarkStart w:id="127" w:name="_Toc4696405"/>
      <w:r>
        <w:rPr>
          <w:highlight w:val="none"/>
        </w:rPr>
      </w:r>
      <w:bookmarkStart w:id="128" w:name="_Toc14422"/>
      <w:r>
        <w:rPr>
          <w:highlight w:val="none"/>
        </w:rPr>
      </w:r>
      <w:bookmarkStart w:id="129" w:name="_Toc18944"/>
      <w:r>
        <w:rPr>
          <w:highlight w:val="none"/>
        </w:rPr>
      </w:r>
      <w:bookmarkStart w:id="130" w:name="_Toc6201"/>
      <w:r>
        <w:rPr>
          <w:rFonts w:ascii="Times New Roman" w:eastAsia="宋体"/>
          <w:b/>
          <w:bCs/>
          <w:color w:val="000000"/>
          <w:sz w:val="21"/>
          <w:szCs w:val="21"/>
          <w:highlight w:val="none"/>
        </w:rPr>
        <w:t xml:space="preserve">16.</w:t>
      </w:r>
      <w:bookmarkEnd w:id="126"/>
      <w:r>
        <w:rPr>
          <w:highlight w:val="none"/>
        </w:rPr>
      </w:r>
      <w:bookmarkEnd w:id="127"/>
      <w:r>
        <w:rPr>
          <w:highlight w:val="none"/>
        </w:rPr>
      </w:r>
      <w:bookmarkEnd w:id="128"/>
      <w:r>
        <w:rPr>
          <w:rFonts w:ascii="Times New Roman" w:eastAsia="宋体"/>
          <w:b/>
          <w:bCs/>
          <w:color w:val="000000"/>
          <w:sz w:val="21"/>
          <w:szCs w:val="21"/>
          <w:highlight w:val="none"/>
        </w:rPr>
        <w:t xml:space="preserve">投标文件的拒收</w:t>
      </w:r>
      <w:bookmarkEnd w:id="129"/>
      <w:r>
        <w:rPr>
          <w:rFonts w:ascii="Times New Roman" w:eastAsia="宋体"/>
          <w:b/>
          <w:bCs/>
          <w:color w:val="000000"/>
          <w:sz w:val="21"/>
          <w:szCs w:val="21"/>
          <w:highlight w:val="none"/>
        </w:rPr>
      </w:r>
      <w:r>
        <w:rPr>
          <w:highlight w:val="none"/>
        </w:rPr>
      </w:r>
    </w:p>
    <w:p>
      <w:pPr>
        <w:pStyle w:val="1168"/>
        <w:spacing w:line="440" w:lineRule="exact"/>
        <w:rPr>
          <w:bCs/>
          <w:color w:val="000000"/>
          <w:highlight w:val="none"/>
        </w:rPr>
      </w:pPr>
      <w:r>
        <w:rPr>
          <w:bCs/>
          <w:color w:val="000000"/>
          <w:highlight w:val="none"/>
        </w:rPr>
        <w:t xml:space="preserve">    采购人拒绝接收在其规定的投标截止时间后上传的任何投标文件。</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30"/>
      <w:r>
        <w:rPr>
          <w:highlight w:val="none"/>
        </w:rPr>
      </w:r>
      <w:bookmarkStart w:id="131" w:name="_Toc27692"/>
      <w:r>
        <w:rPr>
          <w:highlight w:val="none"/>
        </w:rPr>
      </w:r>
      <w:bookmarkStart w:id="132" w:name="_Toc32211"/>
      <w:r>
        <w:rPr>
          <w:highlight w:val="none"/>
        </w:rPr>
      </w:r>
      <w:bookmarkStart w:id="133" w:name="_Toc8045"/>
      <w:r>
        <w:rPr>
          <w:highlight w:val="none"/>
        </w:rPr>
      </w:r>
      <w:bookmarkStart w:id="134" w:name="_Toc4696406"/>
      <w:r>
        <w:rPr>
          <w:highlight w:val="none"/>
        </w:rPr>
      </w:r>
      <w:bookmarkStart w:id="135" w:name="_Toc20823301"/>
      <w:r>
        <w:rPr>
          <w:highlight w:val="none"/>
        </w:rPr>
      </w:r>
      <w:bookmarkStart w:id="136" w:name="_Toc120614218"/>
      <w:r>
        <w:rPr>
          <w:highlight w:val="none"/>
        </w:rPr>
      </w:r>
      <w:bookmarkStart w:id="137" w:name="_Toc24233"/>
      <w:r>
        <w:rPr>
          <w:highlight w:val="none"/>
        </w:rPr>
      </w:r>
      <w:bookmarkStart w:id="138" w:name="_Toc16938545"/>
      <w:r>
        <w:rPr>
          <w:highlight w:val="none"/>
        </w:rPr>
      </w:r>
      <w:bookmarkStart w:id="139" w:name="_Toc513029229"/>
      <w:r>
        <w:rPr>
          <w:rFonts w:ascii="Times New Roman" w:eastAsia="宋体"/>
          <w:b/>
          <w:bCs/>
          <w:color w:val="000000"/>
          <w:sz w:val="21"/>
          <w:szCs w:val="21"/>
          <w:highlight w:val="none"/>
        </w:rPr>
        <w:t xml:space="preserve">17.投标文件的修改或撤回</w:t>
      </w:r>
      <w:bookmarkEnd w:id="131"/>
      <w:r>
        <w:rPr>
          <w:highlight w:val="none"/>
        </w:rPr>
      </w:r>
      <w:bookmarkEnd w:id="132"/>
      <w:r>
        <w:rPr>
          <w:highlight w:val="none"/>
        </w:rPr>
      </w:r>
      <w:bookmarkEnd w:id="133"/>
      <w:r>
        <w:rPr>
          <w:highlight w:val="none"/>
        </w:rPr>
      </w:r>
      <w:bookmarkEnd w:id="134"/>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17.1 投标文件的撤回</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17.1.1 电子投标文件的撤回</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投标人可在投标截止时间前，撤回其电子投标文件，具体操作方法见《操作手册》。</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17.1.2 投标人撤回电子投标文件，则认为其不再参与本项目投标活动。</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17.2 投标文件的修改</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17.2.1投标人可在投标截止时间前，对其电子投标文件进行修改，具体操作方法见《操作手册》。</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17.2.2 在投标截止时间之后，投标人不得对其电子投标文件作任何修改。</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17.3 在投标截止时间至招标文件中规定的投标有效期满之间的这段时间内，投标人不得撤回其投标。</w:t>
      </w:r>
      <w:r>
        <w:rPr>
          <w:bCs/>
          <w:color w:val="000000"/>
          <w:highlight w:val="none"/>
        </w:rPr>
      </w:r>
      <w:r>
        <w:rPr>
          <w:highlight w:val="none"/>
        </w:rPr>
      </w:r>
    </w:p>
    <w:p>
      <w:pPr>
        <w:pStyle w:val="1168"/>
        <w:ind w:firstLine="420"/>
        <w:spacing w:line="440" w:lineRule="exact"/>
        <w:shd w:val="clear" w:color="auto" w:fill="ffffff"/>
        <w:widowControl/>
        <w:rPr>
          <w:b/>
          <w:bCs/>
          <w:color w:val="000000"/>
          <w:sz w:val="24"/>
          <w:highlight w:val="none"/>
        </w:rPr>
        <w:outlineLvl w:val="1"/>
      </w:pPr>
      <w:r>
        <w:rPr>
          <w:highlight w:val="none"/>
        </w:rPr>
      </w:r>
      <w:bookmarkStart w:id="140" w:name="_Toc4024"/>
      <w:r>
        <w:rPr>
          <w:highlight w:val="none"/>
        </w:rPr>
      </w:r>
      <w:bookmarkStart w:id="141" w:name="_Toc4696407"/>
      <w:r>
        <w:rPr>
          <w:b/>
          <w:bCs/>
          <w:color w:val="000000"/>
          <w:sz w:val="24"/>
          <w:highlight w:val="none"/>
        </w:rPr>
        <w:t xml:space="preserve">五、开标与评标</w:t>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b/>
          <w:bCs/>
          <w:color w:val="000000"/>
          <w:sz w:val="24"/>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42" w:name="_Toc13829"/>
      <w:r>
        <w:rPr>
          <w:highlight w:val="none"/>
        </w:rPr>
      </w:r>
      <w:bookmarkStart w:id="143" w:name="_Toc4696408"/>
      <w:r>
        <w:rPr>
          <w:highlight w:val="none"/>
        </w:rPr>
      </w:r>
      <w:bookmarkStart w:id="144" w:name="_Toc14931"/>
      <w:r>
        <w:rPr>
          <w:highlight w:val="none"/>
        </w:rPr>
      </w:r>
      <w:bookmarkStart w:id="145" w:name="_Toc3679"/>
      <w:r>
        <w:rPr>
          <w:highlight w:val="none"/>
        </w:rPr>
      </w:r>
      <w:bookmarkStart w:id="146" w:name="_Toc15345"/>
      <w:r>
        <w:rPr>
          <w:highlight w:val="none"/>
        </w:rPr>
      </w:r>
      <w:bookmarkStart w:id="147" w:name="OLE_LINK3"/>
      <w:r>
        <w:rPr>
          <w:highlight w:val="none"/>
        </w:rPr>
      </w:r>
      <w:bookmarkStart w:id="148" w:name="OLE_LINK7"/>
      <w:r>
        <w:rPr>
          <w:highlight w:val="none"/>
        </w:rPr>
      </w:r>
      <w:bookmarkStart w:id="149" w:name="_Toc6944"/>
      <w:r>
        <w:rPr>
          <w:rFonts w:ascii="Times New Roman" w:eastAsia="宋体"/>
          <w:b/>
          <w:bCs/>
          <w:color w:val="000000"/>
          <w:sz w:val="21"/>
          <w:szCs w:val="21"/>
          <w:highlight w:val="none"/>
        </w:rPr>
        <w:t xml:space="preserve">18.开标</w:t>
      </w:r>
      <w:bookmarkEnd w:id="142"/>
      <w:r>
        <w:rPr>
          <w:highlight w:val="none"/>
        </w:rPr>
      </w:r>
      <w:bookmarkEnd w:id="143"/>
      <w:r>
        <w:rPr>
          <w:highlight w:val="none"/>
        </w:rPr>
      </w:r>
      <w:bookmarkEnd w:id="144"/>
      <w:r>
        <w:rPr>
          <w:highlight w:val="none"/>
        </w:rPr>
      </w:r>
      <w:bookmarkEnd w:id="145"/>
      <w:r>
        <w:rPr>
          <w:highlight w:val="none"/>
        </w:rPr>
      </w:r>
      <w:bookmarkEnd w:id="146"/>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highlight w:val="none"/>
        </w:rPr>
      </w:r>
      <w:bookmarkEnd w:id="147"/>
      <w:r>
        <w:rPr>
          <w:highlight w:val="none"/>
        </w:rPr>
      </w:r>
      <w:bookmarkEnd w:id="148"/>
      <w:r>
        <w:rPr>
          <w:bCs/>
          <w:color w:val="000000"/>
          <w:highlight w:val="none"/>
        </w:rPr>
        <w:t xml:space="preserve">18.1采购人将在招标公告中规定的时间和地点组织公开开标。投标人应当按照《操作手册》规定，参加开标活动和在苏采云系统规定的时间内对投标文件进行解密。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18.2开标仪式由采购人组织。苏采云系统将自动对项目进行开标，并宣布各投标人名称和投标价格。</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18.3投标人在开标过程中涉及到的投标文件解密、开标结果确认等工作，应按照《操作手册》规定执行。</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18.4投标人如果对开标过程和开标记录有疑义，应当根据《操作手册》规定提出，如 苏采云系统中《开标记录表》宣布后5分钟内未提出的，视同认可开标结果。</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49"/>
      <w:r>
        <w:rPr>
          <w:highlight w:val="none"/>
        </w:rPr>
      </w:r>
      <w:bookmarkStart w:id="150" w:name="_Toc4696409"/>
      <w:r>
        <w:rPr>
          <w:highlight w:val="none"/>
        </w:rPr>
      </w:r>
      <w:bookmarkStart w:id="151" w:name="_Toc8318"/>
      <w:r>
        <w:rPr>
          <w:highlight w:val="none"/>
        </w:rPr>
      </w:r>
      <w:bookmarkStart w:id="152" w:name="_Toc513029231"/>
      <w:r>
        <w:rPr>
          <w:highlight w:val="none"/>
        </w:rPr>
      </w:r>
      <w:bookmarkStart w:id="153" w:name="_Toc16938547"/>
      <w:r>
        <w:rPr>
          <w:highlight w:val="none"/>
        </w:rPr>
      </w:r>
      <w:bookmarkStart w:id="154" w:name="_Toc29284"/>
      <w:r>
        <w:rPr>
          <w:highlight w:val="none"/>
        </w:rPr>
      </w:r>
      <w:bookmarkStart w:id="155" w:name="_Toc20823303"/>
      <w:r>
        <w:rPr>
          <w:rFonts w:ascii="Times New Roman" w:eastAsia="宋体"/>
          <w:b/>
          <w:bCs/>
          <w:color w:val="000000"/>
          <w:sz w:val="21"/>
          <w:szCs w:val="21"/>
          <w:highlight w:val="none"/>
        </w:rPr>
        <w:t xml:space="preserve">19.评标组织</w:t>
      </w:r>
      <w:bookmarkEnd w:id="150"/>
      <w:r>
        <w:rPr>
          <w:highlight w:val="none"/>
        </w:rPr>
      </w:r>
      <w:bookmarkEnd w:id="151"/>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52"/>
      <w:r>
        <w:rPr>
          <w:highlight w:val="none"/>
        </w:rPr>
      </w:r>
      <w:bookmarkEnd w:id="153"/>
      <w:r>
        <w:rPr>
          <w:highlight w:val="none"/>
        </w:rPr>
      </w:r>
      <w:bookmarkEnd w:id="154"/>
      <w:r>
        <w:rPr>
          <w:highlight w:val="none"/>
        </w:rPr>
      </w:r>
      <w:bookmarkEnd w:id="155"/>
      <w:r>
        <w:rPr>
          <w:highlight w:val="none"/>
        </w:rPr>
      </w:r>
      <w:bookmarkStart w:id="156" w:name="_Toc21772"/>
      <w:r>
        <w:rPr>
          <w:highlight w:val="none"/>
        </w:rPr>
      </w:r>
      <w:bookmarkStart w:id="157" w:name="_Toc862"/>
      <w:r>
        <w:rPr>
          <w:highlight w:val="none"/>
        </w:rPr>
      </w:r>
      <w:bookmarkStart w:id="158" w:name="_Toc29364"/>
      <w:r>
        <w:rPr>
          <w:highlight w:val="none"/>
        </w:rPr>
      </w:r>
      <w:bookmarkStart w:id="159" w:name="_Toc4696410"/>
      <w:r>
        <w:rPr>
          <w:highlight w:val="none"/>
        </w:rPr>
      </w:r>
      <w:bookmarkStart w:id="160" w:name="_Toc16496"/>
      <w:r>
        <w:rPr>
          <w:rFonts w:ascii="Times New Roman" w:eastAsia="宋体"/>
          <w:b/>
          <w:bCs/>
          <w:color w:val="000000"/>
          <w:sz w:val="21"/>
          <w:szCs w:val="21"/>
          <w:highlight w:val="none"/>
        </w:rPr>
        <w:t xml:space="preserve">20.</w:t>
      </w:r>
      <w:bookmarkEnd w:id="156"/>
      <w:r>
        <w:rPr>
          <w:highlight w:val="none"/>
        </w:rPr>
      </w:r>
      <w:bookmarkEnd w:id="157"/>
      <w:r>
        <w:rPr>
          <w:rFonts w:ascii="Times New Roman" w:eastAsia="宋体"/>
          <w:b/>
          <w:bCs/>
          <w:color w:val="000000"/>
          <w:sz w:val="21"/>
          <w:szCs w:val="21"/>
          <w:highlight w:val="none"/>
        </w:rPr>
        <w:t xml:space="preserve">对投标文件的资格性审查和符合性审查</w:t>
      </w:r>
      <w:bookmarkEnd w:id="158"/>
      <w:r>
        <w:rPr>
          <w:highlight w:val="none"/>
        </w:rPr>
      </w:r>
      <w:bookmarkEnd w:id="159"/>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符合性检查：依据招标文件的规定，从投标文件的有效性（签署情况等）、完整性和对招标文件的响应程度（是否存在重大负偏离等）进行审查，以确定是否对招标文件的实质性要求作出响应。</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20.3未实质性响应招标文件要求的将视为无效投标，供应商不得通过修正或撤销不符合要求的偏离从而使其投标成为实质性响应。如发现下列情况之一的，将视为无效投标：</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（2）投标有效期不足的；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（3）不同供应商的投标文件由同一单位或者个人编制；</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（4）不同供应商委托同一单位或者个人办理投标事宜；</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（5）不同供应商的投标文件载明的项目管理成员或者联系人员为同一人；</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（6）不同供应商的投标文件异常一致或者投标报价呈规律性差异；</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（7）不同供应商的投标文件相互混装；</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（8）不同供应商的投标保证金从同一单位或者个人的账户转出；</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（9）报价超过招标文件中规定的项目预算或者最高限价的；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（10）投标文件含有采购人不能接受的附加条件的；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（11）不同供应商的法定代表人或委托代理人有夫妻、直系血亲关系的；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（12）不同供应商的负责人为同一人或者存在控股、管理关系的；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rPr>
          <w:highlight w:val="none"/>
        </w:rPr>
      </w:r>
    </w:p>
    <w:p>
      <w:pPr>
        <w:pStyle w:val="1168"/>
        <w:ind w:firstLine="422"/>
        <w:spacing w:line="440" w:lineRule="exact"/>
        <w:rPr>
          <w:b/>
          <w:color w:val="000000"/>
          <w:highlight w:val="none"/>
        </w:rPr>
      </w:pPr>
      <w:r>
        <w:rPr>
          <w:b/>
          <w:color w:val="000000"/>
          <w:highlight w:val="none"/>
        </w:rPr>
        <w:t xml:space="preserve">20.4评标委员会在初审中，对明显的文字和算术错误的修正原则如下：</w:t>
      </w:r>
      <w:r>
        <w:rPr>
          <w:b/>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（1）《开标一览表》（报价表）内容与投标文件中相应内容不一致的，以《开标一览表》（报价表）为准；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rPr>
          <w:highlight w:val="none"/>
        </w:rPr>
      </w:r>
    </w:p>
    <w:p>
      <w:pPr>
        <w:pStyle w:val="1168"/>
        <w:ind w:firstLine="422"/>
        <w:spacing w:line="440" w:lineRule="exact"/>
        <w:rPr>
          <w:b/>
          <w:color w:val="000000"/>
          <w:szCs w:val="21"/>
          <w:highlight w:val="none"/>
        </w:rPr>
      </w:pPr>
      <w:r>
        <w:rPr>
          <w:b/>
          <w:color w:val="000000"/>
          <w:highlight w:val="none"/>
        </w:rPr>
        <w:t xml:space="preserve">20.5</w:t>
      </w:r>
      <w:r>
        <w:rPr>
          <w:b/>
          <w:color w:val="000000"/>
          <w:szCs w:val="21"/>
          <w:highlight w:val="none"/>
        </w:rPr>
        <w:t xml:space="preserve">招标文件中标注“★”的内容为实质性要求，有一项不符合的，作无效投标处理；标注</w:t>
      </w:r>
      <w:r>
        <w:rPr>
          <w:b/>
          <w:bCs/>
          <w:color w:val="000000"/>
          <w:szCs w:val="21"/>
          <w:highlight w:val="none"/>
        </w:rPr>
        <w:t xml:space="preserve">“▲”</w:t>
      </w:r>
      <w:r>
        <w:rPr>
          <w:b/>
          <w:color w:val="000000"/>
          <w:szCs w:val="21"/>
          <w:highlight w:val="none"/>
        </w:rPr>
        <w:t xml:space="preserve">的为重要参数；供应商必须在投标文件内提供技术支持资料（具体以第三章评标标准要求为准）</w:t>
      </w:r>
      <w:r>
        <w:rPr>
          <w:b/>
          <w:color w:val="000000"/>
          <w:szCs w:val="21"/>
          <w:highlight w:val="none"/>
        </w:rPr>
        <w:t xml:space="preserve">。</w:t>
      </w:r>
      <w:r>
        <w:rPr>
          <w:b/>
          <w:color w:val="000000"/>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20.6</w:t>
      </w:r>
      <w:r>
        <w:rPr>
          <w:bCs/>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bCs/>
          <w:color w:val="000000"/>
          <w:highlight w:val="none"/>
        </w:rPr>
        <w:t xml:space="preserve">。</w:t>
      </w:r>
      <w:r>
        <w:rPr>
          <w:bCs/>
          <w:color w:val="000000"/>
          <w:highlight w:val="none"/>
        </w:rPr>
      </w:r>
      <w:r>
        <w:rPr>
          <w:highlight w:val="none"/>
        </w:rPr>
      </w:r>
    </w:p>
    <w:p>
      <w:pPr>
        <w:pStyle w:val="1168"/>
        <w:ind w:firstLine="422"/>
        <w:spacing w:line="440" w:lineRule="exact"/>
        <w:rPr>
          <w:b/>
          <w:color w:val="000000"/>
          <w:szCs w:val="21"/>
          <w:highlight w:val="none"/>
        </w:rPr>
      </w:pPr>
      <w:r>
        <w:rPr>
          <w:highlight w:val="none"/>
        </w:rPr>
      </w:r>
      <w:bookmarkEnd w:id="160"/>
      <w:r>
        <w:rPr>
          <w:highlight w:val="none"/>
        </w:rPr>
      </w:r>
      <w:bookmarkStart w:id="161" w:name="_Toc4696411"/>
      <w:r>
        <w:rPr>
          <w:highlight w:val="none"/>
        </w:rPr>
      </w:r>
      <w:bookmarkStart w:id="162" w:name="_Toc13685"/>
      <w:r>
        <w:rPr>
          <w:b/>
          <w:bCs/>
          <w:color w:val="000000"/>
          <w:szCs w:val="21"/>
          <w:highlight w:val="none"/>
        </w:rPr>
        <w:t xml:space="preserve">20.7</w:t>
      </w:r>
      <w:r>
        <w:rPr>
          <w:b/>
          <w:color w:val="000000"/>
          <w:szCs w:val="21"/>
          <w:highlight w:val="none"/>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b/>
          <w:color w:val="000000"/>
          <w:szCs w:val="21"/>
          <w:highlight w:val="none"/>
        </w:rPr>
      </w:r>
      <w:r>
        <w:rPr>
          <w:highlight w:val="none"/>
        </w:rPr>
      </w:r>
    </w:p>
    <w:p>
      <w:pPr>
        <w:pStyle w:val="1168"/>
        <w:ind w:firstLine="422"/>
        <w:spacing w:line="440" w:lineRule="exact"/>
        <w:rPr>
          <w:b/>
          <w:color w:val="000000"/>
          <w:szCs w:val="21"/>
          <w:highlight w:val="none"/>
        </w:rPr>
      </w:pPr>
      <w:r>
        <w:rPr>
          <w:b/>
          <w:color w:val="000000"/>
          <w:szCs w:val="21"/>
          <w:highlight w:val="none"/>
        </w:rPr>
        <w:t xml:space="preserve">（1）响应报价低于全部通过符合性审查供应商响应报价平均值50%的，即响应报价&lt;全部通过符合性审查供应商响应报价平均值×50%；</w:t>
      </w:r>
      <w:r>
        <w:rPr>
          <w:b/>
          <w:color w:val="000000"/>
          <w:szCs w:val="21"/>
          <w:highlight w:val="none"/>
        </w:rPr>
      </w:r>
      <w:r>
        <w:rPr>
          <w:highlight w:val="none"/>
        </w:rPr>
      </w:r>
    </w:p>
    <w:p>
      <w:pPr>
        <w:pStyle w:val="1168"/>
        <w:ind w:firstLine="422"/>
        <w:spacing w:line="440" w:lineRule="exact"/>
        <w:rPr>
          <w:b/>
          <w:color w:val="000000"/>
          <w:szCs w:val="21"/>
          <w:highlight w:val="none"/>
        </w:rPr>
      </w:pPr>
      <w:r>
        <w:rPr>
          <w:b/>
          <w:color w:val="000000"/>
          <w:szCs w:val="21"/>
          <w:highlight w:val="none"/>
        </w:rPr>
        <w:t xml:space="preserve">（2）响应报价低于通过符合性审查的次低报价供应商响应报价50%的，即响应报价&lt;通过符合性审查的次低报价供应商响应报价×50%；</w:t>
      </w:r>
      <w:r>
        <w:rPr>
          <w:b/>
          <w:color w:val="000000"/>
          <w:szCs w:val="21"/>
          <w:highlight w:val="none"/>
        </w:rPr>
      </w:r>
      <w:r>
        <w:rPr>
          <w:highlight w:val="none"/>
        </w:rPr>
      </w:r>
    </w:p>
    <w:p>
      <w:pPr>
        <w:pStyle w:val="1168"/>
        <w:ind w:firstLine="422"/>
        <w:spacing w:line="440" w:lineRule="exact"/>
        <w:rPr>
          <w:b/>
          <w:color w:val="000000"/>
          <w:szCs w:val="21"/>
          <w:highlight w:val="none"/>
        </w:rPr>
      </w:pPr>
      <w:r>
        <w:rPr>
          <w:b/>
          <w:color w:val="000000"/>
          <w:szCs w:val="21"/>
          <w:highlight w:val="none"/>
        </w:rPr>
        <w:t xml:space="preserve">（3）响应报价低于采购项目最高限价45%的，即响应报价&lt;采购项目最高限价×45%（属于该情形，且供应商已随响应文件一并提交相关书面说明及必要的证明材料的，在评审现场可不再重复提交）；</w:t>
      </w:r>
      <w:r>
        <w:rPr>
          <w:b/>
          <w:color w:val="000000"/>
          <w:szCs w:val="21"/>
          <w:highlight w:val="none"/>
        </w:rPr>
      </w:r>
      <w:r>
        <w:rPr>
          <w:highlight w:val="none"/>
        </w:rPr>
      </w:r>
    </w:p>
    <w:p>
      <w:pPr>
        <w:pStyle w:val="1168"/>
        <w:ind w:firstLine="422"/>
        <w:spacing w:line="440" w:lineRule="exact"/>
        <w:tabs>
          <w:tab w:val="left" w:pos="480" w:leader="none"/>
        </w:tabs>
        <w:rPr>
          <w:b/>
          <w:color w:val="000000"/>
          <w:szCs w:val="21"/>
          <w:highlight w:val="none"/>
        </w:rPr>
      </w:pPr>
      <w:r>
        <w:rPr>
          <w:b/>
          <w:color w:val="000000"/>
          <w:szCs w:val="21"/>
          <w:highlight w:val="none"/>
        </w:rPr>
        <w:t xml:space="preserve">（4）评审委员会基于专业判断，认为供应商报价过低，有可能影响产品质量或者不能诚信履约的其他情形。</w:t>
      </w:r>
      <w:r>
        <w:rPr>
          <w:b/>
          <w:color w:val="000000"/>
          <w:szCs w:val="21"/>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63" w:name="_Toc2528"/>
      <w:r>
        <w:rPr>
          <w:rFonts w:ascii="Times New Roman" w:eastAsia="宋体"/>
          <w:b/>
          <w:bCs/>
          <w:color w:val="000000"/>
          <w:sz w:val="21"/>
          <w:szCs w:val="21"/>
          <w:highlight w:val="none"/>
        </w:rPr>
        <w:t xml:space="preserve">21.投标文件的澄清</w:t>
      </w:r>
      <w:bookmarkEnd w:id="161"/>
      <w:r>
        <w:rPr>
          <w:highlight w:val="none"/>
        </w:rPr>
      </w:r>
      <w:bookmarkEnd w:id="163"/>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21.4供应商澄清、说明或者补正不得超出投标文件的范围或者改变投标文件的实质性内容。供应商拒不按照要求对投标文件进行澄清、说明或者补正的，视其放弃该项权利。</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64" w:name="_Toc4696412"/>
      <w:r>
        <w:rPr>
          <w:highlight w:val="none"/>
        </w:rPr>
      </w:r>
      <w:bookmarkStart w:id="165" w:name="_Toc1827"/>
      <w:r>
        <w:rPr>
          <w:rFonts w:ascii="Times New Roman" w:eastAsia="宋体"/>
          <w:b/>
          <w:bCs/>
          <w:color w:val="000000"/>
          <w:sz w:val="21"/>
          <w:szCs w:val="21"/>
          <w:highlight w:val="none"/>
        </w:rPr>
        <w:t xml:space="preserve">22.对投标文件的详细评审</w:t>
      </w:r>
      <w:bookmarkEnd w:id="164"/>
      <w:r>
        <w:rPr>
          <w:highlight w:val="none"/>
        </w:rPr>
      </w:r>
      <w:bookmarkEnd w:id="165"/>
      <w:r>
        <w:rPr>
          <w:rFonts w:ascii="Times New Roman" w:eastAsia="宋体"/>
          <w:b/>
          <w:bCs/>
          <w:color w:val="000000"/>
          <w:sz w:val="21"/>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22.3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bCs/>
          <w:color w:val="000000"/>
          <w:szCs w:val="21"/>
          <w:highlight w:val="none"/>
        </w:rPr>
      </w:r>
      <w:r>
        <w:rPr>
          <w:highlight w:val="none"/>
        </w:rPr>
      </w:r>
    </w:p>
    <w:p>
      <w:pPr>
        <w:pStyle w:val="1168"/>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62"/>
      <w:r>
        <w:rPr>
          <w:highlight w:val="none"/>
        </w:rPr>
      </w:r>
      <w:bookmarkStart w:id="166" w:name="_Toc28875"/>
      <w:r>
        <w:rPr>
          <w:highlight w:val="none"/>
        </w:rPr>
      </w:r>
      <w:bookmarkStart w:id="167" w:name="_Toc12358"/>
      <w:r>
        <w:rPr>
          <w:highlight w:val="none"/>
        </w:rPr>
      </w:r>
      <w:bookmarkStart w:id="168" w:name="_Toc4696413"/>
      <w:r>
        <w:rPr>
          <w:highlight w:val="none"/>
        </w:rPr>
      </w:r>
      <w:bookmarkStart w:id="169" w:name="_Toc17011"/>
      <w:r>
        <w:rPr>
          <w:highlight w:val="none"/>
        </w:rPr>
      </w:r>
      <w:bookmarkStart w:id="170" w:name="_Toc26838"/>
      <w:r>
        <w:rPr>
          <w:rFonts w:ascii="Times New Roman" w:eastAsia="宋体"/>
          <w:b/>
          <w:bCs/>
          <w:color w:val="000000"/>
          <w:sz w:val="21"/>
          <w:szCs w:val="21"/>
          <w:highlight w:val="none"/>
        </w:rPr>
        <w:t xml:space="preserve">23.评标过程的保密与公正</w:t>
      </w:r>
      <w:bookmarkEnd w:id="166"/>
      <w:r>
        <w:rPr>
          <w:highlight w:val="none"/>
        </w:rPr>
      </w:r>
      <w:bookmarkEnd w:id="167"/>
      <w:r>
        <w:rPr>
          <w:highlight w:val="none"/>
        </w:rPr>
      </w:r>
      <w:bookmarkEnd w:id="168"/>
      <w:r>
        <w:rPr>
          <w:highlight w:val="none"/>
        </w:rPr>
      </w:r>
      <w:bookmarkEnd w:id="169"/>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highlight w:val="none"/>
        </w:rPr>
      </w:r>
      <w:bookmarkEnd w:id="170"/>
      <w:r>
        <w:rPr>
          <w:highlight w:val="none"/>
        </w:rPr>
      </w:r>
      <w:bookmarkStart w:id="171" w:name="_Toc30824"/>
      <w:r>
        <w:rPr>
          <w:highlight w:val="none"/>
        </w:rPr>
      </w:r>
      <w:bookmarkStart w:id="172" w:name="_Toc26041"/>
      <w:r>
        <w:rPr>
          <w:highlight w:val="none"/>
        </w:rPr>
      </w:r>
      <w:bookmarkStart w:id="173"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rPr>
          <w:highlight w:val="none"/>
        </w:rPr>
      </w:r>
    </w:p>
    <w:p>
      <w:pPr>
        <w:pStyle w:val="1168"/>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rPr>
          <w:highlight w:val="none"/>
        </w:rPr>
      </w:r>
    </w:p>
    <w:p>
      <w:pPr>
        <w:pStyle w:val="1168"/>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rPr>
          <w:highlight w:val="none"/>
        </w:rPr>
      </w:r>
    </w:p>
    <w:p>
      <w:pPr>
        <w:pStyle w:val="1168"/>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74" w:name="_Toc17645"/>
      <w:r>
        <w:rPr>
          <w:highlight w:val="none"/>
        </w:rPr>
      </w:r>
      <w:bookmarkStart w:id="175" w:name="_Toc4696414"/>
      <w:r>
        <w:rPr>
          <w:rFonts w:ascii="Times New Roman" w:eastAsia="宋体"/>
          <w:b/>
          <w:bCs/>
          <w:color w:val="000000"/>
          <w:sz w:val="21"/>
          <w:szCs w:val="21"/>
          <w:highlight w:val="none"/>
        </w:rPr>
        <w:t xml:space="preserve">24.无效投标条款和废标条款</w:t>
      </w:r>
      <w:bookmarkEnd w:id="171"/>
      <w:r>
        <w:rPr>
          <w:highlight w:val="none"/>
        </w:rPr>
      </w:r>
      <w:bookmarkEnd w:id="172"/>
      <w:r>
        <w:rPr>
          <w:highlight w:val="none"/>
        </w:rPr>
      </w:r>
      <w:bookmarkEnd w:id="174"/>
      <w:r>
        <w:rPr>
          <w:highlight w:val="none"/>
        </w:rPr>
      </w:r>
      <w:bookmarkEnd w:id="175"/>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24.1无效投标条款</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（2）供应商在苏采云系统规定的时间内未成功解密电子投标文件的。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（3）未按照招标文件规定要求签署、加盖CA电子公章的；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（4）供应商在报价时采用选择性报价；</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（5）供应商不具备招标文件中规定资格要求的；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（6）供应商的报价超过了采购预算的；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（7）未通过符合性检查的；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（8）不符合招标文件中规定的其他实质性要求和条件的；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（9）其他法律、法规及本招标文件规定的属无效投标的情形。</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24.2废标条款：</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（5）因苏采云系统故障原因造成开标不成功的。</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76" w:name="_Toc4696415"/>
      <w:r>
        <w:rPr>
          <w:highlight w:val="none"/>
        </w:rPr>
      </w:r>
      <w:bookmarkStart w:id="177" w:name="_Toc30516"/>
      <w:r>
        <w:rPr>
          <w:rFonts w:ascii="Times New Roman" w:eastAsia="宋体"/>
          <w:b/>
          <w:bCs/>
          <w:color w:val="000000"/>
          <w:sz w:val="21"/>
          <w:szCs w:val="21"/>
          <w:highlight w:val="none"/>
        </w:rPr>
        <w:t xml:space="preserve">25.投标截止时间结束参加投标的供应商不足三家的处理</w:t>
      </w:r>
      <w:bookmarkEnd w:id="176"/>
      <w:r>
        <w:rPr>
          <w:highlight w:val="none"/>
        </w:rPr>
      </w:r>
      <w:bookmarkEnd w:id="177"/>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rPr>
          <w:highlight w:val="none"/>
        </w:rPr>
      </w:r>
    </w:p>
    <w:p>
      <w:pPr>
        <w:pStyle w:val="1168"/>
        <w:ind w:firstLine="420"/>
        <w:spacing w:line="440" w:lineRule="exact"/>
        <w:shd w:val="clear" w:color="auto" w:fill="ffffff"/>
        <w:widowControl/>
        <w:rPr>
          <w:b/>
          <w:bCs/>
          <w:color w:val="000000"/>
          <w:sz w:val="24"/>
          <w:highlight w:val="none"/>
        </w:rPr>
        <w:outlineLvl w:val="1"/>
      </w:pPr>
      <w:r>
        <w:rPr>
          <w:highlight w:val="none"/>
        </w:rPr>
      </w:r>
      <w:bookmarkStart w:id="178" w:name="_Toc4696416"/>
      <w:r>
        <w:rPr>
          <w:highlight w:val="none"/>
        </w:rPr>
      </w:r>
      <w:bookmarkStart w:id="179" w:name="_Toc28271"/>
      <w:r>
        <w:rPr>
          <w:b/>
          <w:bCs/>
          <w:color w:val="000000"/>
          <w:sz w:val="24"/>
          <w:highlight w:val="none"/>
        </w:rPr>
        <w:t xml:space="preserve">六、授标</w:t>
      </w:r>
      <w:bookmarkEnd w:id="173"/>
      <w:r>
        <w:rPr>
          <w:highlight w:val="none"/>
        </w:rPr>
      </w:r>
      <w:bookmarkEnd w:id="178"/>
      <w:r>
        <w:rPr>
          <w:highlight w:val="none"/>
        </w:rPr>
      </w:r>
      <w:bookmarkEnd w:id="179"/>
      <w:r>
        <w:rPr>
          <w:b/>
          <w:bCs/>
          <w:color w:val="000000"/>
          <w:sz w:val="24"/>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180" w:name="_Toc28693"/>
      <w:r>
        <w:rPr>
          <w:highlight w:val="none"/>
        </w:rPr>
      </w:r>
      <w:bookmarkStart w:id="181" w:name="_Toc4696417"/>
      <w:r>
        <w:rPr>
          <w:highlight w:val="none"/>
        </w:rPr>
      </w:r>
      <w:bookmarkStart w:id="182" w:name="_Toc27899"/>
      <w:r>
        <w:rPr>
          <w:rFonts w:ascii="Times New Roman" w:eastAsia="宋体"/>
          <w:b/>
          <w:bCs/>
          <w:color w:val="000000"/>
          <w:sz w:val="21"/>
          <w:szCs w:val="21"/>
          <w:highlight w:val="none"/>
        </w:rPr>
        <w:t xml:space="preserve">26.确定中标</w:t>
      </w:r>
      <w:bookmarkEnd w:id="180"/>
      <w:r>
        <w:rPr>
          <w:rFonts w:ascii="Times New Roman" w:eastAsia="宋体"/>
          <w:b/>
          <w:bCs/>
          <w:color w:val="000000"/>
          <w:sz w:val="21"/>
          <w:szCs w:val="21"/>
          <w:highlight w:val="none"/>
        </w:rPr>
        <w:t xml:space="preserve">供应商</w:t>
      </w:r>
      <w:bookmarkEnd w:id="181"/>
      <w:r>
        <w:rPr>
          <w:highlight w:val="none"/>
        </w:rPr>
      </w:r>
      <w:bookmarkEnd w:id="182"/>
      <w:r>
        <w:rPr>
          <w:rFonts w:ascii="Times New Roman" w:eastAsia="宋体"/>
          <w:b/>
          <w:bCs/>
          <w:color w:val="000000"/>
          <w:sz w:val="21"/>
          <w:szCs w:val="21"/>
          <w:highlight w:val="none"/>
        </w:rPr>
      </w:r>
      <w:r>
        <w:rPr>
          <w:highlight w:val="none"/>
        </w:rPr>
      </w:r>
    </w:p>
    <w:p>
      <w:pPr>
        <w:pStyle w:val="1168"/>
        <w:ind w:firstLine="420"/>
        <w:spacing w:line="440" w:lineRule="exact"/>
        <w:rPr>
          <w:color w:val="000000"/>
          <w:highlight w:val="none"/>
        </w:rPr>
      </w:pPr>
      <w:r>
        <w:rPr>
          <w:highlight w:val="none"/>
        </w:rPr>
      </w:r>
      <w:bookmarkStart w:id="183"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rPr>
          <w:highlight w:val="none"/>
        </w:rPr>
      </w:r>
    </w:p>
    <w:p>
      <w:pPr>
        <w:pStyle w:val="1168"/>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83"/>
      <w:r>
        <w:rPr>
          <w:highlight w:val="none"/>
        </w:rPr>
      </w:r>
      <w:bookmarkStart w:id="184" w:name="_Toc19713"/>
      <w:r>
        <w:rPr>
          <w:highlight w:val="none"/>
        </w:rPr>
      </w:r>
      <w:bookmarkStart w:id="185" w:name="_Toc21169"/>
      <w:r>
        <w:rPr>
          <w:highlight w:val="none"/>
        </w:rPr>
      </w:r>
      <w:bookmarkStart w:id="186" w:name="_Toc4696418"/>
      <w:r>
        <w:rPr>
          <w:highlight w:val="none"/>
        </w:rPr>
      </w:r>
      <w:bookmarkStart w:id="187" w:name="_Toc22863"/>
      <w:r>
        <w:rPr>
          <w:highlight w:val="none"/>
        </w:rPr>
      </w:r>
      <w:bookmarkStart w:id="188" w:name="_Toc32182"/>
      <w:r>
        <w:rPr>
          <w:highlight w:val="none"/>
        </w:rPr>
      </w:r>
      <w:bookmarkStart w:id="189" w:name="_Toc4684"/>
      <w:r>
        <w:rPr>
          <w:rFonts w:ascii="Times New Roman" w:eastAsia="宋体"/>
          <w:b/>
          <w:bCs/>
          <w:color w:val="000000"/>
          <w:sz w:val="21"/>
          <w:szCs w:val="21"/>
          <w:highlight w:val="none"/>
        </w:rPr>
        <w:t xml:space="preserve">27.中标的通知</w:t>
      </w:r>
      <w:bookmarkEnd w:id="184"/>
      <w:r>
        <w:rPr>
          <w:highlight w:val="none"/>
        </w:rPr>
      </w:r>
      <w:bookmarkEnd w:id="185"/>
      <w:r>
        <w:rPr>
          <w:highlight w:val="none"/>
        </w:rPr>
      </w:r>
      <w:bookmarkEnd w:id="186"/>
      <w:r>
        <w:rPr>
          <w:highlight w:val="none"/>
        </w:rPr>
      </w:r>
      <w:bookmarkEnd w:id="187"/>
      <w:r>
        <w:rPr>
          <w:highlight w:val="none"/>
        </w:rPr>
      </w:r>
      <w:bookmarkEnd w:id="188"/>
      <w:r>
        <w:rPr>
          <w:rFonts w:ascii="Times New Roman" w:eastAsia="宋体"/>
          <w:b/>
          <w:bCs/>
          <w:color w:val="000000"/>
          <w:sz w:val="21"/>
          <w:szCs w:val="21"/>
          <w:highlight w:val="none"/>
        </w:rPr>
      </w:r>
      <w:r>
        <w:rPr>
          <w:highlight w:val="none"/>
        </w:rPr>
      </w:r>
    </w:p>
    <w:p>
      <w:pPr>
        <w:pStyle w:val="1168"/>
        <w:ind w:firstLine="420"/>
        <w:spacing w:line="440" w:lineRule="exact"/>
        <w:rPr>
          <w:bCs/>
          <w:color w:val="000000"/>
          <w:highlight w:val="none"/>
        </w:rPr>
      </w:pPr>
      <w:r>
        <w:rPr>
          <w:bCs/>
          <w:color w:val="000000"/>
          <w:highlight w:val="none"/>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27.2中标通知书将是合同的一个组成部分。对采购人和中标人均具有法律效力。中标通知书发出后，采购人改变中标结果的，或者中标人放弃中标项目的，应当依法承担法律责任。</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4"/>
          <w:highlight w:val="none"/>
        </w:rPr>
      </w:pPr>
      <w:r>
        <w:rPr>
          <w:highlight w:val="none"/>
        </w:rPr>
      </w:r>
      <w:bookmarkEnd w:id="189"/>
      <w:r>
        <w:rPr>
          <w:highlight w:val="none"/>
        </w:rPr>
      </w:r>
      <w:bookmarkStart w:id="190" w:name="_Toc4696419"/>
      <w:r>
        <w:rPr>
          <w:highlight w:val="none"/>
        </w:rPr>
      </w:r>
      <w:bookmarkStart w:id="191" w:name="_Toc2049"/>
      <w:r>
        <w:rPr>
          <w:highlight w:val="none"/>
        </w:rPr>
      </w:r>
      <w:bookmarkStart w:id="192" w:name="_Toc24155"/>
      <w:r>
        <w:rPr>
          <w:highlight w:val="none"/>
        </w:rPr>
      </w:r>
      <w:bookmarkStart w:id="193" w:name="_Toc15484"/>
      <w:r>
        <w:rPr>
          <w:highlight w:val="none"/>
        </w:rPr>
      </w:r>
      <w:bookmarkStart w:id="194" w:name="_Toc24788"/>
      <w:r>
        <w:rPr>
          <w:rFonts w:ascii="Times New Roman" w:eastAsia="宋体"/>
          <w:b/>
          <w:bCs/>
          <w:color w:val="000000"/>
          <w:sz w:val="21"/>
          <w:szCs w:val="21"/>
          <w:highlight w:val="none"/>
        </w:rPr>
        <w:t xml:space="preserve">28.签订合同</w:t>
      </w:r>
      <w:bookmarkEnd w:id="190"/>
      <w:r>
        <w:rPr>
          <w:highlight w:val="none"/>
        </w:rPr>
      </w:r>
      <w:bookmarkEnd w:id="191"/>
      <w:r>
        <w:rPr>
          <w:highlight w:val="none"/>
        </w:rPr>
      </w:r>
      <w:bookmarkEnd w:id="192"/>
      <w:r>
        <w:rPr>
          <w:highlight w:val="none"/>
        </w:rPr>
      </w:r>
      <w:bookmarkEnd w:id="193"/>
      <w:r>
        <w:rPr>
          <w:rFonts w:ascii="Times New Roman" w:eastAsia="宋体"/>
          <w:b/>
          <w:bCs/>
          <w:color w:val="000000"/>
          <w:sz w:val="24"/>
          <w:highlight w:val="none"/>
        </w:rPr>
      </w:r>
      <w:r>
        <w:rPr>
          <w:highlight w:val="none"/>
        </w:rPr>
      </w:r>
    </w:p>
    <w:p>
      <w:pPr>
        <w:pStyle w:val="1168"/>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rPr>
          <w:highlight w:val="none"/>
        </w:rPr>
      </w:r>
    </w:p>
    <w:p>
      <w:pPr>
        <w:pStyle w:val="1168"/>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End w:id="194"/>
      <w:r>
        <w:rPr>
          <w:highlight w:val="none"/>
        </w:rPr>
      </w:r>
      <w:bookmarkStart w:id="195" w:name="_Toc22298"/>
      <w:r>
        <w:rPr>
          <w:highlight w:val="none"/>
        </w:rPr>
      </w:r>
      <w:bookmarkStart w:id="196" w:name="_Toc15509"/>
      <w:r>
        <w:rPr>
          <w:highlight w:val="none"/>
        </w:rPr>
      </w:r>
      <w:bookmarkStart w:id="197" w:name="_Toc4696420"/>
      <w:r>
        <w:rPr>
          <w:highlight w:val="none"/>
        </w:rPr>
      </w:r>
      <w:bookmarkStart w:id="198" w:name="_Toc11086"/>
      <w:r>
        <w:rPr>
          <w:highlight w:val="none"/>
        </w:rPr>
      </w:r>
      <w:bookmarkStart w:id="199" w:name="_Toc20112"/>
      <w:r>
        <w:rPr>
          <w:rFonts w:ascii="Times New Roman" w:eastAsia="宋体"/>
          <w:b/>
          <w:bCs/>
          <w:color w:val="000000"/>
          <w:sz w:val="21"/>
          <w:szCs w:val="21"/>
          <w:highlight w:val="none"/>
        </w:rPr>
        <w:t xml:space="preserve">29.</w:t>
      </w:r>
      <w:bookmarkEnd w:id="195"/>
      <w:r>
        <w:rPr>
          <w:rFonts w:ascii="Times New Roman" w:eastAsia="宋体"/>
          <w:b/>
          <w:bCs/>
          <w:color w:val="000000"/>
          <w:sz w:val="21"/>
          <w:szCs w:val="21"/>
          <w:highlight w:val="none"/>
        </w:rPr>
        <w:t xml:space="preserve">招标代理服务费</w:t>
      </w:r>
      <w:bookmarkEnd w:id="196"/>
      <w:r>
        <w:rPr>
          <w:highlight w:val="none"/>
        </w:rPr>
      </w:r>
      <w:bookmarkEnd w:id="197"/>
      <w:r>
        <w:rPr>
          <w:highlight w:val="none"/>
        </w:rPr>
      </w:r>
      <w:bookmarkEnd w:id="198"/>
      <w:r>
        <w:rPr>
          <w:rFonts w:ascii="Times New Roman" w:eastAsia="宋体"/>
          <w:b/>
          <w:bCs/>
          <w:color w:val="000000"/>
          <w:sz w:val="21"/>
          <w:szCs w:val="21"/>
          <w:highlight w:val="none"/>
        </w:rPr>
      </w:r>
      <w:r>
        <w:rPr>
          <w:highlight w:val="none"/>
        </w:rPr>
      </w:r>
    </w:p>
    <w:p>
      <w:pPr>
        <w:pStyle w:val="1168"/>
        <w:ind w:firstLine="420"/>
        <w:spacing w:line="440" w:lineRule="exact"/>
        <w:shd w:val="clear" w:color="auto" w:fill="ffffff"/>
        <w:widowControl/>
        <w:rPr>
          <w:bCs/>
          <w:color w:val="000000"/>
          <w:highlight w:val="none"/>
        </w:rPr>
      </w:pPr>
      <w:r>
        <w:rPr>
          <w:highlight w:val="none"/>
        </w:rPr>
      </w:r>
      <w:bookmarkStart w:id="200" w:name="_Toc4696421"/>
      <w:r>
        <w:rPr>
          <w:bCs/>
          <w:color w:val="000000"/>
          <w:highlight w:val="none"/>
        </w:rPr>
        <w:t xml:space="preserve">详见投标人须知前附表。</w:t>
      </w:r>
      <w:r>
        <w:rPr>
          <w:bCs/>
          <w:color w:val="000000"/>
          <w:highlight w:val="none"/>
        </w:rPr>
      </w:r>
      <w:r>
        <w:rPr>
          <w:highlight w:val="none"/>
        </w:rPr>
      </w:r>
    </w:p>
    <w:p>
      <w:pPr>
        <w:pStyle w:val="1168"/>
        <w:ind w:firstLine="241"/>
        <w:spacing w:line="440" w:lineRule="exact"/>
        <w:shd w:val="clear" w:color="auto" w:fill="ffffff"/>
        <w:widowControl/>
        <w:rPr>
          <w:b/>
          <w:bCs/>
          <w:color w:val="000000"/>
          <w:sz w:val="24"/>
          <w:highlight w:val="none"/>
        </w:rPr>
        <w:outlineLvl w:val="1"/>
      </w:pPr>
      <w:r>
        <w:rPr>
          <w:highlight w:val="none"/>
        </w:rPr>
      </w:r>
      <w:bookmarkStart w:id="201" w:name="_Toc16803"/>
      <w:r>
        <w:rPr>
          <w:b/>
          <w:bCs/>
          <w:color w:val="000000"/>
          <w:sz w:val="24"/>
          <w:highlight w:val="none"/>
        </w:rPr>
        <w:t xml:space="preserve">七、质疑</w:t>
      </w:r>
      <w:bookmarkEnd w:id="199"/>
      <w:r>
        <w:rPr>
          <w:highlight w:val="none"/>
        </w:rPr>
      </w:r>
      <w:bookmarkEnd w:id="200"/>
      <w:r>
        <w:rPr>
          <w:highlight w:val="none"/>
        </w:rPr>
      </w:r>
      <w:bookmarkEnd w:id="201"/>
      <w:r>
        <w:rPr>
          <w:b/>
          <w:bCs/>
          <w:color w:val="000000"/>
          <w:sz w:val="24"/>
          <w:highlight w:val="none"/>
        </w:rPr>
      </w:r>
      <w:r>
        <w:rPr>
          <w:highlight w:val="none"/>
        </w:rPr>
      </w:r>
    </w:p>
    <w:p>
      <w:pPr>
        <w:pStyle w:val="1171"/>
        <w:ind w:left="0" w:firstLine="422"/>
        <w:jc w:val="both"/>
        <w:spacing w:line="440" w:lineRule="exact"/>
        <w:tabs>
          <w:tab w:val="left" w:pos="480" w:leader="none"/>
        </w:tabs>
        <w:rPr>
          <w:rFonts w:ascii="Times New Roman" w:eastAsia="宋体"/>
          <w:b/>
          <w:bCs/>
          <w:color w:val="000000"/>
          <w:sz w:val="21"/>
          <w:szCs w:val="21"/>
          <w:highlight w:val="none"/>
        </w:rPr>
      </w:pPr>
      <w:r>
        <w:rPr>
          <w:highlight w:val="none"/>
        </w:rPr>
      </w:r>
      <w:bookmarkStart w:id="202" w:name="_Toc19917"/>
      <w:r>
        <w:rPr>
          <w:highlight w:val="none"/>
        </w:rPr>
      </w:r>
      <w:bookmarkStart w:id="203" w:name="_Toc29529"/>
      <w:r>
        <w:rPr>
          <w:highlight w:val="none"/>
        </w:rPr>
      </w:r>
      <w:bookmarkStart w:id="204" w:name="_Toc16085"/>
      <w:r>
        <w:rPr>
          <w:highlight w:val="none"/>
        </w:rPr>
      </w:r>
      <w:bookmarkStart w:id="205" w:name="_Toc4696422"/>
      <w:r>
        <w:rPr>
          <w:highlight w:val="none"/>
        </w:rPr>
      </w:r>
      <w:bookmarkStart w:id="206" w:name="_Toc4806"/>
      <w:r>
        <w:rPr>
          <w:rFonts w:ascii="Times New Roman" w:eastAsia="宋体"/>
          <w:b/>
          <w:bCs/>
          <w:color w:val="000000"/>
          <w:sz w:val="21"/>
          <w:szCs w:val="21"/>
          <w:highlight w:val="none"/>
        </w:rPr>
        <w:t xml:space="preserve">30、质疑</w:t>
      </w:r>
      <w:bookmarkEnd w:id="202"/>
      <w:r>
        <w:rPr>
          <w:highlight w:val="none"/>
        </w:rPr>
      </w:r>
      <w:bookmarkEnd w:id="203"/>
      <w:r>
        <w:rPr>
          <w:highlight w:val="none"/>
        </w:rPr>
      </w:r>
      <w:bookmarkEnd w:id="204"/>
      <w:r>
        <w:rPr>
          <w:highlight w:val="none"/>
        </w:rPr>
      </w:r>
      <w:bookmarkEnd w:id="205"/>
      <w:r>
        <w:rPr>
          <w:highlight w:val="none"/>
        </w:rPr>
      </w:r>
      <w:bookmarkEnd w:id="206"/>
      <w:r>
        <w:rPr>
          <w:rFonts w:ascii="Times New Roman" w:eastAsia="宋体"/>
          <w:b/>
          <w:bCs/>
          <w:color w:val="000000"/>
          <w:sz w:val="21"/>
          <w:szCs w:val="21"/>
          <w:highlight w:val="none"/>
        </w:rPr>
      </w:r>
      <w:r>
        <w:rPr>
          <w:highlight w:val="none"/>
        </w:rPr>
      </w:r>
    </w:p>
    <w:p>
      <w:pPr>
        <w:pStyle w:val="1168"/>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rPr>
          <w:highlight w:val="none"/>
        </w:rPr>
      </w:r>
    </w:p>
    <w:p>
      <w:pPr>
        <w:pStyle w:val="1168"/>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rPr>
          <w:highlight w:val="none"/>
        </w:rPr>
      </w:r>
    </w:p>
    <w:p>
      <w:pPr>
        <w:pStyle w:val="1168"/>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rPr>
          <w:highlight w:val="none"/>
        </w:rPr>
      </w:r>
    </w:p>
    <w:p>
      <w:pPr>
        <w:pStyle w:val="1168"/>
        <w:ind w:firstLine="420"/>
        <w:spacing w:line="360" w:lineRule="auto"/>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rPr>
          <w:highlight w:val="none"/>
        </w:rPr>
      </w:r>
    </w:p>
    <w:p>
      <w:pPr>
        <w:pStyle w:val="1168"/>
        <w:ind w:firstLine="241"/>
        <w:spacing w:line="440" w:lineRule="exact"/>
        <w:shd w:val="clear" w:color="auto" w:fill="ffffff"/>
        <w:widowControl/>
        <w:rPr>
          <w:b/>
          <w:bCs/>
          <w:color w:val="000000"/>
          <w:sz w:val="24"/>
          <w:highlight w:val="none"/>
        </w:rPr>
        <w:outlineLvl w:val="1"/>
      </w:pPr>
      <w:r>
        <w:rPr>
          <w:highlight w:val="none"/>
        </w:rPr>
      </w:r>
      <w:bookmarkStart w:id="207" w:name="_Toc32743"/>
      <w:r>
        <w:rPr>
          <w:b/>
          <w:bCs/>
          <w:color w:val="000000"/>
          <w:sz w:val="24"/>
          <w:highlight w:val="none"/>
        </w:rPr>
        <w:t xml:space="preserve">八、政府采购履约资金扶持政策</w:t>
      </w:r>
      <w:bookmarkEnd w:id="207"/>
      <w:r>
        <w:rPr>
          <w:b/>
          <w:bCs/>
          <w:color w:val="000000"/>
          <w:sz w:val="24"/>
          <w:highlight w:val="none"/>
        </w:rPr>
      </w:r>
      <w:r>
        <w:rPr>
          <w:highlight w:val="none"/>
        </w:rPr>
      </w:r>
    </w:p>
    <w:p>
      <w:pPr>
        <w:pStyle w:val="1168"/>
        <w:ind w:firstLine="420"/>
        <w:spacing w:line="440" w:lineRule="exact"/>
        <w:rPr>
          <w:bCs/>
          <w:color w:val="000000"/>
          <w:highlight w:val="none"/>
        </w:rPr>
      </w:pPr>
      <w:r>
        <w:rPr>
          <w:bCs/>
          <w:color w:val="000000"/>
          <w:szCs w:val="21"/>
          <w:highlight w:val="none"/>
        </w:rPr>
        <w:t xml:space="preserve">中标人可凭政府采购合同办理融资贷款，详情请见江苏政府采购网“政采贷”专栏。</w:t>
      </w:r>
      <w:r>
        <w:rPr>
          <w:bCs/>
          <w:color w:val="000000"/>
          <w:highlight w:val="none"/>
        </w:rPr>
      </w:r>
      <w:r>
        <w:rPr>
          <w:highlight w:val="none"/>
        </w:rPr>
      </w:r>
    </w:p>
    <w:p>
      <w:pPr>
        <w:pStyle w:val="1168"/>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8" w:name="_Toc4696423"/>
      <w:r>
        <w:rPr>
          <w:highlight w:val="none"/>
        </w:rPr>
      </w:r>
      <w:bookmarkStart w:id="209" w:name="_Toc27"/>
      <w:r>
        <w:rPr>
          <w:b/>
          <w:color w:val="000000"/>
          <w:sz w:val="28"/>
          <w:szCs w:val="28"/>
          <w:highlight w:val="none"/>
        </w:rPr>
        <w:t xml:space="preserve">第三章 评标标准</w:t>
      </w:r>
      <w:bookmarkEnd w:id="208"/>
      <w:r>
        <w:rPr>
          <w:highlight w:val="none"/>
        </w:rPr>
      </w:r>
      <w:bookmarkEnd w:id="209"/>
      <w:r>
        <w:rPr>
          <w:b/>
          <w:color w:val="000000"/>
          <w:szCs w:val="21"/>
          <w:highlight w:val="none"/>
        </w:rPr>
      </w:r>
      <w:r>
        <w:rPr>
          <w:highlight w:val="none"/>
        </w:rPr>
      </w:r>
    </w:p>
    <w:p>
      <w:pPr>
        <w:pStyle w:val="1168"/>
        <w:ind w:left="632" w:hanging="632"/>
        <w:spacing w:line="360" w:lineRule="auto"/>
        <w:widowControl/>
        <w:rPr>
          <w:b/>
          <w:bCs/>
          <w:color w:val="000000"/>
          <w:szCs w:val="21"/>
          <w:highlight w:val="none"/>
        </w:rPr>
      </w:pPr>
      <w:r>
        <w:rPr>
          <w:highlight w:val="none"/>
        </w:rPr>
      </w:r>
      <w:bookmarkStart w:id="210" w:name="_Toc521839351"/>
      <w:r>
        <w:rPr>
          <w:highlight w:val="none"/>
        </w:rPr>
      </w:r>
      <w:bookmarkEnd w:id="210"/>
      <w:r>
        <w:rPr>
          <w:highlight w:val="none"/>
        </w:rPr>
      </w:r>
      <w:bookmarkStart w:id="211" w:name="_Toc25032666"/>
      <w:r>
        <w:rPr>
          <w:highlight w:val="none"/>
        </w:rPr>
      </w:r>
      <w:bookmarkEnd w:id="211"/>
      <w:r>
        <w:rPr>
          <w:highlight w:val="none"/>
        </w:rPr>
      </w:r>
      <w:bookmarkStart w:id="212" w:name="_Hlk297273538"/>
      <w:r>
        <w:rPr>
          <w:highlight w:val="none"/>
        </w:rPr>
      </w:r>
      <w:bookmarkEnd w:id="212"/>
      <w:r>
        <w:rPr>
          <w:highlight w:val="none"/>
        </w:rPr>
      </w:r>
      <w:bookmarkStart w:id="213" w:name="_Toc163629751"/>
      <w:r>
        <w:rPr>
          <w:highlight w:val="none"/>
        </w:rPr>
      </w:r>
      <w:bookmarkEnd w:id="213"/>
      <w:r>
        <w:rPr>
          <w:highlight w:val="none"/>
        </w:rPr>
      </w:r>
      <w:bookmarkStart w:id="214" w:name="_Toc522347554"/>
      <w:r>
        <w:rPr>
          <w:highlight w:val="none"/>
        </w:rPr>
      </w:r>
      <w:bookmarkEnd w:id="214"/>
      <w:r>
        <w:rPr>
          <w:highlight w:val="none"/>
        </w:rPr>
      </w:r>
      <w:bookmarkStart w:id="215" w:name="_Toc142623417"/>
      <w:r>
        <w:rPr>
          <w:highlight w:val="none"/>
        </w:rPr>
      </w:r>
      <w:bookmarkEnd w:id="215"/>
      <w:r>
        <w:rPr>
          <w:highlight w:val="none"/>
        </w:rPr>
      </w:r>
      <w:bookmarkStart w:id="216" w:name="_Toc189726853"/>
      <w:r>
        <w:rPr>
          <w:highlight w:val="none"/>
        </w:rPr>
      </w:r>
      <w:bookmarkEnd w:id="216"/>
      <w:r>
        <w:rPr>
          <w:b/>
          <w:bCs/>
          <w:color w:val="000000"/>
          <w:szCs w:val="21"/>
          <w:highlight w:val="none"/>
        </w:rPr>
        <w:t xml:space="preserve">（一）评标方法</w:t>
      </w:r>
      <w:r>
        <w:rPr>
          <w:b/>
          <w:bCs/>
          <w:color w:val="000000"/>
          <w:szCs w:val="21"/>
          <w:highlight w:val="none"/>
        </w:rPr>
      </w:r>
      <w:r>
        <w:rPr>
          <w:highlight w:val="none"/>
        </w:rPr>
      </w:r>
    </w:p>
    <w:p>
      <w:pPr>
        <w:pStyle w:val="1168"/>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rPr>
          <w:highlight w:val="none"/>
        </w:rPr>
      </w:r>
    </w:p>
    <w:p>
      <w:pPr>
        <w:pStyle w:val="1168"/>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rPr>
          <w:highlight w:val="none"/>
        </w:rPr>
      </w:r>
    </w:p>
    <w:p>
      <w:pPr>
        <w:pStyle w:val="1168"/>
        <w:ind w:firstLine="211"/>
        <w:spacing w:line="360" w:lineRule="auto"/>
        <w:rPr>
          <w:color w:val="000000"/>
          <w:szCs w:val="21"/>
          <w:highlight w:val="none"/>
        </w:rPr>
      </w:pPr>
      <w:r>
        <w:rPr>
          <w:b/>
          <w:bCs/>
          <w:color w:val="000000"/>
          <w:highlight w:val="none"/>
        </w:rPr>
        <w:t xml:space="preserve">1.</w:t>
      </w:r>
      <w:r>
        <w:rPr>
          <w:b/>
          <w:bCs/>
          <w:color w:val="000000"/>
          <w:szCs w:val="21"/>
          <w:highlight w:val="none"/>
        </w:rPr>
        <w:t xml:space="preserve">国家政策导向</w:t>
      </w:r>
      <w:r>
        <w:rPr>
          <w:color w:val="000000"/>
          <w:szCs w:val="21"/>
          <w:highlight w:val="none"/>
        </w:rPr>
      </w:r>
      <w:r>
        <w:rPr>
          <w:highlight w:val="none"/>
        </w:rPr>
      </w:r>
    </w:p>
    <w:p>
      <w:pPr>
        <w:pStyle w:val="1269"/>
        <w:ind w:firstLine="422"/>
        <w:spacing w:line="360" w:lineRule="auto"/>
        <w:rPr>
          <w:color w:val="000000"/>
          <w:szCs w:val="21"/>
          <w:highlight w:val="none"/>
        </w:rPr>
      </w:pPr>
      <w:r>
        <w:rPr>
          <w:b/>
          <w:bCs/>
          <w:color w:val="000000"/>
          <w:szCs w:val="21"/>
          <w:highlight w:val="none"/>
        </w:rPr>
        <w:t xml:space="preserve">（1）促进小微企业发展政策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rPr>
          <w:highlight w:val="none"/>
        </w:rPr>
      </w:r>
    </w:p>
    <w:p>
      <w:pPr>
        <w:pStyle w:val="1269"/>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rPr>
          <w:highlight w:val="none"/>
        </w:rPr>
      </w:r>
    </w:p>
    <w:p>
      <w:pPr>
        <w:pStyle w:val="1168"/>
        <w:ind w:firstLine="422"/>
        <w:spacing w:line="360" w:lineRule="auto"/>
        <w:rPr>
          <w:color w:val="000000"/>
          <w:szCs w:val="21"/>
          <w:highlight w:val="none"/>
        </w:rPr>
      </w:pPr>
      <w:r>
        <w:rPr>
          <w:b/>
          <w:bCs/>
          <w:color w:val="000000"/>
          <w:szCs w:val="21"/>
          <w:highlight w:val="none"/>
        </w:rPr>
        <w:t xml:space="preserve">（2）监狱企业扶持政策：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rPr>
          <w:highlight w:val="none"/>
        </w:rPr>
      </w:r>
    </w:p>
    <w:p>
      <w:pPr>
        <w:pStyle w:val="1168"/>
        <w:ind w:firstLine="422"/>
        <w:spacing w:line="360" w:lineRule="auto"/>
        <w:rPr>
          <w:color w:val="000000"/>
          <w:szCs w:val="21"/>
          <w:highlight w:val="none"/>
        </w:rPr>
      </w:pPr>
      <w:r>
        <w:rPr>
          <w:b/>
          <w:bCs/>
          <w:color w:val="000000"/>
          <w:szCs w:val="21"/>
          <w:highlight w:val="none"/>
        </w:rPr>
        <w:t xml:space="preserve">（3）残疾人福利性单位扶持政策：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rPr>
          <w:highlight w:val="none"/>
        </w:rPr>
      </w:r>
    </w:p>
    <w:p>
      <w:pPr>
        <w:pStyle w:val="1168"/>
        <w:ind w:firstLine="422"/>
        <w:spacing w:line="360" w:lineRule="auto"/>
        <w:rPr>
          <w:color w:val="000000"/>
          <w:szCs w:val="21"/>
          <w:highlight w:val="none"/>
        </w:rPr>
      </w:pPr>
      <w:r>
        <w:rPr>
          <w:b/>
          <w:bCs/>
          <w:color w:val="000000"/>
          <w:szCs w:val="21"/>
          <w:highlight w:val="none"/>
        </w:rPr>
        <w:t xml:space="preserve">（4）乡村产业振兴支持政策：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rPr>
          <w:highlight w:val="none"/>
        </w:rPr>
      </w:r>
    </w:p>
    <w:p>
      <w:pPr>
        <w:pStyle w:val="1168"/>
        <w:ind w:firstLine="422"/>
        <w:spacing w:line="360" w:lineRule="auto"/>
        <w:rPr>
          <w:color w:val="000000"/>
          <w:szCs w:val="21"/>
          <w:highlight w:val="none"/>
        </w:rPr>
      </w:pPr>
      <w:r>
        <w:rPr>
          <w:b/>
          <w:bCs/>
          <w:color w:val="000000"/>
          <w:szCs w:val="21"/>
          <w:highlight w:val="none"/>
        </w:rPr>
        <w:t xml:space="preserve">（5）采购本国产品的支持政策：</w:t>
      </w:r>
      <w:r>
        <w:rPr>
          <w:color w:val="000000"/>
          <w:szCs w:val="21"/>
          <w:highlight w:val="none"/>
        </w:rPr>
      </w:r>
      <w:r>
        <w:rPr>
          <w:highlight w:val="none"/>
        </w:rPr>
      </w:r>
    </w:p>
    <w:p>
      <w:pPr>
        <w:pStyle w:val="1168"/>
        <w:ind w:firstLine="422"/>
        <w:spacing w:line="360" w:lineRule="auto"/>
        <w:rPr>
          <w:color w:val="000000"/>
          <w:szCs w:val="21"/>
          <w:highlight w:val="none"/>
        </w:rPr>
      </w:pPr>
      <w:r>
        <w:rPr>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color w:val="000000"/>
          <w:szCs w:val="21"/>
          <w:highlight w:val="none"/>
        </w:rPr>
      </w:r>
      <w:r>
        <w:rPr>
          <w:highlight w:val="none"/>
        </w:rPr>
      </w:r>
    </w:p>
    <w:p>
      <w:pPr>
        <w:pStyle w:val="1168"/>
        <w:ind w:firstLine="422"/>
        <w:spacing w:line="360" w:lineRule="auto"/>
        <w:rPr>
          <w:color w:val="000000"/>
          <w:szCs w:val="21"/>
          <w:highlight w:val="none"/>
        </w:rPr>
      </w:pPr>
      <w:r>
        <w:rPr>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highlight w:val="none"/>
        </w:rPr>
      </w:r>
      <w:r>
        <w:rPr>
          <w:highlight w:val="none"/>
        </w:rPr>
      </w:r>
    </w:p>
    <w:p>
      <w:pPr>
        <w:pStyle w:val="1168"/>
        <w:ind w:firstLine="422"/>
        <w:spacing w:line="360" w:lineRule="auto"/>
        <w:rPr>
          <w:color w:val="000000"/>
          <w:szCs w:val="21"/>
          <w:highlight w:val="none"/>
        </w:rPr>
      </w:pPr>
      <w:r>
        <w:rPr>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highlight w:val="none"/>
        </w:rPr>
      </w:r>
      <w:r>
        <w:rPr>
          <w:highlight w:val="none"/>
        </w:rPr>
      </w:r>
    </w:p>
    <w:p>
      <w:pPr>
        <w:pStyle w:val="1168"/>
        <w:ind w:firstLine="422"/>
        <w:spacing w:line="360" w:lineRule="auto"/>
        <w:rPr>
          <w:color w:val="000000"/>
          <w:szCs w:val="21"/>
          <w:highlight w:val="none"/>
        </w:rPr>
      </w:pPr>
      <w:r>
        <w:rPr>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highlight w:val="none"/>
        </w:rPr>
      </w:r>
      <w:r>
        <w:rPr>
          <w:highlight w:val="none"/>
        </w:rPr>
      </w:r>
    </w:p>
    <w:p>
      <w:pPr>
        <w:pStyle w:val="1168"/>
        <w:ind w:firstLine="420"/>
        <w:spacing w:line="360" w:lineRule="auto"/>
        <w:rPr>
          <w:color w:val="000000"/>
          <w:szCs w:val="22"/>
          <w:highlight w:val="none"/>
        </w:rPr>
      </w:pPr>
      <w:r>
        <w:rPr>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rPr>
          <w:highlight w:val="none"/>
        </w:rPr>
      </w:r>
    </w:p>
    <w:p>
      <w:pPr>
        <w:pStyle w:val="1224"/>
        <w:ind w:firstLine="0"/>
        <w:rPr>
          <w:color w:val="000000"/>
          <w:szCs w:val="21"/>
          <w:highlight w:val="none"/>
        </w:rPr>
      </w:pPr>
      <w:r>
        <w:rPr>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rPr>
          <w:highlight w:val="none"/>
        </w:rPr>
      </w:r>
    </w:p>
    <w:p>
      <w:pPr>
        <w:pStyle w:val="1224"/>
        <w:rPr>
          <w:color w:val="000000"/>
          <w:szCs w:val="21"/>
          <w:highlight w:val="none"/>
        </w:rPr>
      </w:pPr>
      <w:r>
        <w:rPr>
          <w:color w:val="000000"/>
          <w:szCs w:val="21"/>
          <w:highlight w:val="none"/>
        </w:rPr>
        <w:t xml:space="preserve">具体打分方法如下：</w:t>
      </w:r>
      <w:r>
        <w:rPr>
          <w:color w:val="000000"/>
          <w:szCs w:val="21"/>
          <w:highlight w:val="none"/>
        </w:rPr>
      </w:r>
      <w:r>
        <w:rPr>
          <w:highlight w:val="none"/>
        </w:rPr>
      </w:r>
    </w:p>
    <w:p>
      <w:pPr>
        <w:pStyle w:val="1224"/>
        <w:ind w:firstLine="0"/>
        <w:rPr>
          <w:color w:val="000000"/>
          <w:szCs w:val="21"/>
          <w:highlight w:val="none"/>
        </w:rPr>
        <w:outlineLvl w:val="1"/>
      </w:pPr>
      <w:r>
        <w:rPr>
          <w:highlight w:val="none"/>
        </w:rPr>
      </w:r>
      <w:bookmarkStart w:id="217" w:name="_Toc11564"/>
      <w:r>
        <w:rPr>
          <w:rFonts w:hint="eastAsia"/>
          <w:color w:val="000000"/>
          <w:szCs w:val="21"/>
          <w:highlight w:val="none"/>
        </w:rPr>
        <w:t xml:space="preserve">分包1：</w:t>
      </w:r>
      <w:bookmarkEnd w:id="217"/>
      <w:r>
        <w:rPr>
          <w:color w:val="000000"/>
          <w:szCs w:val="21"/>
          <w:highlight w:val="none"/>
        </w:rPr>
      </w:r>
      <w:r>
        <w:rPr>
          <w:highlight w:val="none"/>
        </w:rP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rPr>
                <w:highlight w:val="none"/>
              </w:rPr>
            </w:r>
          </w:p>
        </w:tc>
        <w:tc>
          <w:tcPr>
            <w:tcW w:w="380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分值</w:t>
            </w:r>
            <w:r>
              <w:rPr>
                <w:b/>
                <w:color w:val="000000"/>
                <w:szCs w:val="21"/>
                <w:highlight w:val="none"/>
              </w:rPr>
            </w:r>
            <w:r>
              <w:rPr>
                <w:highlight w:val="none"/>
              </w:rPr>
            </w:r>
          </w:p>
        </w:tc>
      </w:tr>
      <w:tr>
        <w:trPr>
          <w:trHeight w:val="925"/>
        </w:trPr>
        <w:tc>
          <w:tcPr>
            <w:tcW w:w="308"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价格</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30</w:t>
            </w:r>
            <w:r>
              <w:rPr>
                <w:bCs/>
                <w:color w:val="000000"/>
                <w:szCs w:val="21"/>
                <w:highlight w:val="none"/>
              </w:rPr>
            </w:r>
            <w:r>
              <w:rPr>
                <w:highlight w:val="none"/>
              </w:rPr>
            </w:r>
          </w:p>
        </w:tc>
      </w:tr>
      <w:tr>
        <w:trPr>
          <w:trHeight w:val="66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技术响应</w:t>
            </w:r>
            <w:r>
              <w:rPr>
                <w:bCs/>
                <w:color w:val="000000"/>
                <w:szCs w:val="21"/>
                <w:highlight w:val="none"/>
              </w:rPr>
            </w:r>
            <w:r>
              <w:rPr>
                <w:highlight w:val="none"/>
              </w:rPr>
            </w:r>
          </w:p>
        </w:tc>
        <w:tc>
          <w:tcPr>
            <w:tcW w:w="3806" w:type="dxa"/>
            <w:vAlign w:val="center"/>
            <w:textDirection w:val="lrTb"/>
            <w:noWrap w:val="false"/>
          </w:tcPr>
          <w:p>
            <w:pPr>
              <w:pStyle w:val="1168"/>
              <w:jc w:val="left"/>
              <w:spacing w:line="360" w:lineRule="auto"/>
              <w:widowControl/>
              <w:rPr>
                <w:color w:val="000000"/>
                <w:szCs w:val="21"/>
                <w:highlight w:val="none"/>
              </w:rPr>
            </w:pPr>
            <w:r>
              <w:rPr>
                <w:color w:val="000000"/>
                <w:szCs w:val="21"/>
                <w:highlight w:val="none"/>
              </w:rPr>
              <w:t xml:space="preserve">设备技术参数全部满足招标要求的得满分30分；招标文件中标注“★”的内容为实质性要求，有一项不符合的，作无效投标处理；标注“▲”的内容为重要参数，每有一项负偏离扣</w:t>
            </w:r>
            <w:r>
              <w:rPr>
                <w:rFonts w:hint="eastAsia"/>
                <w:color w:val="000000"/>
                <w:szCs w:val="21"/>
                <w:highlight w:val="none"/>
              </w:rPr>
              <w:t xml:space="preserve">4</w:t>
            </w:r>
            <w:r>
              <w:rPr>
                <w:color w:val="000000"/>
                <w:szCs w:val="21"/>
                <w:highlight w:val="none"/>
              </w:rPr>
              <w:t xml:space="preserve">分，其他非重要参数负偏离的，则每项扣</w:t>
            </w:r>
            <w:r>
              <w:rPr>
                <w:rFonts w:hint="eastAsia"/>
                <w:color w:val="000000"/>
                <w:szCs w:val="21"/>
                <w:highlight w:val="none"/>
              </w:rPr>
              <w:t xml:space="preserve">1</w:t>
            </w:r>
            <w:r>
              <w:rPr>
                <w:color w:val="000000"/>
                <w:szCs w:val="21"/>
                <w:highlight w:val="none"/>
              </w:rPr>
              <w:t xml:space="preserve">分，扣完为止。</w:t>
            </w:r>
            <w:r>
              <w:rPr>
                <w:color w:val="000000"/>
                <w:szCs w:val="21"/>
                <w:highlight w:val="none"/>
              </w:rPr>
            </w:r>
            <w:r>
              <w:rPr>
                <w:highlight w:val="none"/>
              </w:rPr>
            </w:r>
          </w:p>
          <w:p>
            <w:pPr>
              <w:pStyle w:val="1168"/>
              <w:spacing w:line="360" w:lineRule="auto"/>
              <w:rPr>
                <w:bCs/>
                <w:color w:val="000000"/>
                <w:szCs w:val="21"/>
                <w:highlight w:val="none"/>
              </w:rPr>
            </w:pPr>
            <w:r>
              <w:rPr>
                <w:color w:val="000000"/>
                <w:szCs w:val="21"/>
                <w:highlight w:val="none"/>
              </w:rPr>
              <w:t xml:space="preserve">注：①凡标有最低一级序号的指标项即为一项技术条款，无论是否隶属于上一级编号；②采购文件中标注“▲”和“★”的条款均须在响应文件内提供技术支持资料（如白皮书、彩页、手册、检测报告、承诺函等），并在评审索引表中详细标明所在响应文件中的页码和位置。未提供技术支持资料的，评审时不予认可。</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30</w:t>
            </w:r>
            <w:r>
              <w:rPr>
                <w:bCs/>
                <w:color w:val="000000"/>
                <w:szCs w:val="21"/>
                <w:highlight w:val="none"/>
              </w:rPr>
            </w:r>
            <w:r>
              <w:rPr>
                <w:highlight w:val="none"/>
              </w:rPr>
            </w:r>
          </w:p>
        </w:tc>
      </w:tr>
      <w:tr>
        <w:trPr>
          <w:trHeight w:val="66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spacing w:line="360" w:lineRule="auto"/>
              <w:rPr>
                <w:bCs/>
                <w:color w:val="000000"/>
                <w:szCs w:val="21"/>
                <w:highlight w:val="none"/>
              </w:rPr>
            </w:pPr>
            <w:r>
              <w:rPr>
                <w:bCs/>
                <w:color w:val="000000"/>
                <w:highlight w:val="none"/>
              </w:rPr>
              <w:t xml:space="preserve">供应商提供的</w:t>
            </w:r>
            <w:r>
              <w:rPr>
                <w:rFonts w:ascii="宋体" w:hAnsi="宋体"/>
                <w:bCs/>
                <w:color w:val="000000"/>
                <w:highlight w:val="none"/>
              </w:rPr>
              <w:t xml:space="preserve">产</w:t>
            </w:r>
            <w:r>
              <w:rPr>
                <w:rFonts w:ascii="宋体" w:hAnsi="宋体"/>
                <w:bCs/>
                <w:color w:val="000000"/>
                <w:szCs w:val="21"/>
                <w:highlight w:val="none"/>
              </w:rPr>
              <w:t xml:space="preserve">品</w:t>
            </w:r>
            <w:r>
              <w:rPr>
                <w:rFonts w:hint="eastAsia" w:ascii="宋体" w:hAnsi="宋体" w:cs="仿宋"/>
                <w:color w:val="000000"/>
                <w:szCs w:val="21"/>
                <w:highlight w:val="none"/>
                <w:lang w:bidi="ar"/>
              </w:rPr>
              <w:t xml:space="preserve">选型、规格、设计的科学性、合理性、材质选用、制造工艺水平好</w:t>
            </w:r>
            <w:r>
              <w:rPr>
                <w:rFonts w:ascii="宋体" w:hAnsi="宋体"/>
                <w:bCs/>
                <w:color w:val="000000"/>
                <w:szCs w:val="21"/>
                <w:highlight w:val="none"/>
              </w:rPr>
              <w:t xml:space="preserve">，</w:t>
            </w:r>
            <w:r>
              <w:rPr>
                <w:rFonts w:hint="eastAsia" w:ascii="宋体" w:hAnsi="宋体" w:cs="仿宋"/>
                <w:color w:val="000000"/>
                <w:szCs w:val="21"/>
                <w:highlight w:val="none"/>
                <w:lang w:bidi="ar"/>
              </w:rPr>
              <w:t xml:space="preserve">且与项目需求的吻合度高</w:t>
            </w:r>
            <w:r>
              <w:rPr>
                <w:rFonts w:ascii="宋体" w:hAnsi="宋体"/>
                <w:bCs/>
                <w:color w:val="000000"/>
                <w:szCs w:val="21"/>
                <w:highlight w:val="none"/>
              </w:rPr>
              <w:t xml:space="preserve">得</w:t>
            </w:r>
            <w:r>
              <w:rPr>
                <w:rFonts w:ascii="宋体" w:hAnsi="宋体"/>
                <w:bCs/>
                <w:color w:val="000000"/>
                <w:szCs w:val="21"/>
                <w:highlight w:val="none"/>
              </w:rPr>
              <w:t xml:space="preserve">8</w:t>
            </w:r>
            <w:r>
              <w:rPr>
                <w:rFonts w:ascii="宋体" w:hAnsi="宋体"/>
                <w:bCs/>
                <w:color w:val="000000"/>
                <w:szCs w:val="21"/>
                <w:highlight w:val="none"/>
              </w:rPr>
              <w:t xml:space="preserve">分；</w:t>
            </w:r>
            <w:r>
              <w:rPr>
                <w:rFonts w:hint="eastAsia" w:ascii="宋体" w:hAnsi="宋体" w:cs="仿宋"/>
                <w:color w:val="000000"/>
                <w:szCs w:val="21"/>
                <w:highlight w:val="none"/>
                <w:lang w:bidi="ar"/>
              </w:rPr>
              <w:t xml:space="preserve">选型较好、规格、设计的较为科学合理，制造工艺水平较好，且与项目需求的吻合度较好</w:t>
            </w:r>
            <w:r>
              <w:rPr>
                <w:rFonts w:ascii="宋体" w:hAnsi="宋体"/>
                <w:bCs/>
                <w:color w:val="000000"/>
                <w:szCs w:val="21"/>
                <w:highlight w:val="none"/>
              </w:rPr>
              <w:t xml:space="preserve">得</w:t>
            </w:r>
            <w:r>
              <w:rPr>
                <w:rFonts w:hint="eastAsia" w:ascii="宋体" w:hAnsi="宋体"/>
                <w:bCs/>
                <w:color w:val="000000"/>
                <w:szCs w:val="21"/>
                <w:highlight w:val="none"/>
              </w:rPr>
              <w:t xml:space="preserve">5</w:t>
            </w:r>
            <w:r>
              <w:rPr>
                <w:rFonts w:ascii="宋体" w:hAnsi="宋体"/>
                <w:bCs/>
                <w:color w:val="000000"/>
                <w:szCs w:val="21"/>
                <w:highlight w:val="none"/>
              </w:rPr>
              <w:t xml:space="preserve">分；</w:t>
            </w:r>
            <w:r>
              <w:rPr>
                <w:rFonts w:hint="eastAsia" w:ascii="宋体" w:hAnsi="宋体" w:cs="仿宋"/>
                <w:color w:val="000000"/>
                <w:szCs w:val="21"/>
                <w:highlight w:val="none"/>
                <w:lang w:bidi="ar"/>
              </w:rPr>
              <w:t xml:space="preserve">产品选型一般、规格、设计的一般合理，制造工艺水平一般且与项目需求的吻合度一般</w:t>
            </w:r>
            <w:r>
              <w:rPr>
                <w:rFonts w:ascii="宋体" w:hAnsi="宋体"/>
                <w:bCs/>
                <w:color w:val="000000"/>
                <w:szCs w:val="21"/>
                <w:highlight w:val="none"/>
              </w:rPr>
              <w:t xml:space="preserve">得</w:t>
            </w:r>
            <w:r>
              <w:rPr>
                <w:rFonts w:hint="eastAsia" w:ascii="宋体" w:hAnsi="宋体"/>
                <w:bCs/>
                <w:color w:val="000000"/>
                <w:szCs w:val="21"/>
                <w:highlight w:val="none"/>
              </w:rPr>
              <w:t xml:space="preserve">2</w:t>
            </w:r>
            <w:r>
              <w:rPr>
                <w:rFonts w:ascii="宋体" w:hAnsi="宋体"/>
                <w:bCs/>
                <w:color w:val="000000"/>
                <w:szCs w:val="21"/>
                <w:highlight w:val="none"/>
              </w:rPr>
              <w:t xml:space="preserve">分；未提供不得</w:t>
            </w:r>
            <w:r>
              <w:rPr>
                <w:rFonts w:ascii="宋体" w:hAnsi="宋体"/>
                <w:bCs/>
                <w:color w:val="000000"/>
                <w:highlight w:val="none"/>
              </w:rPr>
              <w:t xml:space="preserve">分</w:t>
            </w:r>
            <w:r>
              <w:rPr>
                <w:bCs/>
                <w:color w:val="000000"/>
                <w:highlight w:val="none"/>
              </w:rPr>
              <w:t xml:space="preserve">。</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8</w:t>
            </w:r>
            <w:r>
              <w:rPr>
                <w:bCs/>
                <w:color w:val="000000"/>
                <w:szCs w:val="21"/>
                <w:highlight w:val="none"/>
              </w:rPr>
            </w:r>
            <w:r>
              <w:rPr>
                <w:highlight w:val="none"/>
              </w:rPr>
            </w:r>
          </w:p>
        </w:tc>
      </w:tr>
      <w:tr>
        <w:trPr>
          <w:trHeight w:val="29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3</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实施方案</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根据</w:t>
            </w:r>
            <w:r>
              <w:rPr>
                <w:bCs/>
                <w:color w:val="000000"/>
                <w:highlight w:val="none"/>
              </w:rPr>
              <w:t xml:space="preserve">供应商</w:t>
            </w:r>
            <w:r>
              <w:rPr>
                <w:bCs/>
                <w:color w:val="000000"/>
                <w:szCs w:val="21"/>
                <w:highlight w:val="none"/>
              </w:rPr>
              <w:t xml:space="preserve">提供的项目实施方案，包括但不限于</w:t>
            </w:r>
            <w:r>
              <w:rPr>
                <w:bCs/>
                <w:color w:val="000000"/>
                <w:szCs w:val="21"/>
                <w:highlight w:val="none"/>
              </w:rPr>
              <w:t xml:space="preserve">质量保证措施、</w:t>
            </w:r>
            <w:r>
              <w:rPr>
                <w:bCs/>
                <w:color w:val="000000"/>
                <w:szCs w:val="21"/>
                <w:highlight w:val="none"/>
              </w:rPr>
              <w:t xml:space="preserve">安装调试、试运行、测试、培训、</w:t>
            </w:r>
            <w:r>
              <w:rPr>
                <w:rFonts w:hint="eastAsia"/>
                <w:bCs/>
                <w:color w:val="000000"/>
                <w:szCs w:val="21"/>
                <w:highlight w:val="none"/>
              </w:rPr>
              <w:t xml:space="preserve">系统对接、</w:t>
            </w:r>
            <w:r>
              <w:rPr>
                <w:bCs/>
                <w:color w:val="000000"/>
                <w:szCs w:val="21"/>
                <w:highlight w:val="none"/>
              </w:rPr>
              <w:t xml:space="preserve">组织部署、技术方案、人员配置、时间进度安排的合理性、科学性等进行比较评分</w:t>
            </w:r>
            <w:r>
              <w:rPr>
                <w:rFonts w:hint="eastAsia"/>
                <w:bCs/>
                <w:color w:val="000000"/>
                <w:szCs w:val="21"/>
                <w:highlight w:val="none"/>
              </w:rPr>
              <w:t xml:space="preserve">，</w:t>
            </w:r>
            <w:r>
              <w:rPr>
                <w:bCs/>
                <w:color w:val="000000"/>
                <w:szCs w:val="21"/>
                <w:highlight w:val="none"/>
              </w:rPr>
              <w:t xml:space="preserve">实施方案完善、可操作性强得7分；实施方案略有瑕疵、具有可操作性得4分，实施方案较差，可操作性较差得1分，不提供不得分。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rPr>
                <w:highlight w:val="none"/>
              </w:rPr>
            </w:r>
          </w:p>
        </w:tc>
      </w:tr>
      <w:tr>
        <w:trPr>
          <w:trHeight w:val="1454"/>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售后服务</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根据</w:t>
            </w:r>
            <w:r>
              <w:rPr>
                <w:bCs/>
                <w:color w:val="000000"/>
                <w:highlight w:val="none"/>
              </w:rPr>
              <w:t xml:space="preserve">供应商</w:t>
            </w:r>
            <w:r>
              <w:rPr>
                <w:bCs/>
                <w:color w:val="000000"/>
                <w:szCs w:val="21"/>
                <w:highlight w:val="none"/>
              </w:rPr>
              <w:t xml:space="preserve">针对本项目的售后服务方案（如服务体系、服务内容、服务承诺、故障解决方案、专业技术人员保障、质保期满后的售后服务范围和收费情况</w:t>
            </w:r>
            <w:r>
              <w:rPr>
                <w:rFonts w:hint="eastAsia" w:ascii="宋体" w:hAnsi="宋体" w:cs="宋体"/>
                <w:color w:val="000000"/>
                <w:highlight w:val="none"/>
              </w:rPr>
              <w:t xml:space="preserve">及其他供应商可提供的优惠条件等</w:t>
            </w:r>
            <w:r>
              <w:rPr>
                <w:bCs/>
                <w:color w:val="000000"/>
                <w:szCs w:val="21"/>
                <w:highlight w:val="none"/>
              </w:rPr>
              <w:t xml:space="preserve">等）综合评分。</w:t>
            </w:r>
            <w:r>
              <w:rPr>
                <w:bCs/>
                <w:color w:val="000000"/>
                <w:szCs w:val="21"/>
                <w:highlight w:val="none"/>
              </w:rPr>
            </w:r>
            <w:r>
              <w:rPr>
                <w:highlight w:val="none"/>
              </w:rPr>
            </w:r>
          </w:p>
          <w:p>
            <w:pPr>
              <w:pStyle w:val="1168"/>
              <w:jc w:val="left"/>
              <w:spacing w:line="360" w:lineRule="auto"/>
              <w:widowControl/>
              <w:rPr>
                <w:bCs/>
                <w:color w:val="000000"/>
                <w:szCs w:val="21"/>
                <w:highlight w:val="none"/>
              </w:rPr>
            </w:pPr>
            <w:r>
              <w:rPr>
                <w:bCs/>
                <w:color w:val="000000"/>
                <w:szCs w:val="21"/>
                <w:highlight w:val="none"/>
              </w:rPr>
              <w:t xml:space="preserve">售后服务方案科学详细、可行性、合理性强，得7分；售后服务方案比较科学、比较详细、可行性合理性较强，得4分；售后服务方案不够科学、不够详细、可行性合理性一般，得1分；未提供的不得分。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rPr>
                <w:highlight w:val="none"/>
              </w:rPr>
            </w:r>
          </w:p>
        </w:tc>
      </w:tr>
      <w:tr>
        <w:trPr>
          <w:trHeight w:val="1219"/>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jc w:val="left"/>
              <w:spacing w:line="360" w:lineRule="auto"/>
              <w:widowControl/>
              <w:rPr>
                <w:bCs/>
                <w:color w:val="000000"/>
                <w:highlight w:val="none"/>
              </w:rPr>
            </w:pPr>
            <w:r>
              <w:rPr>
                <w:color w:val="000000"/>
                <w:szCs w:val="21"/>
                <w:highlight w:val="none"/>
                <w:lang w:val="zh-TW"/>
              </w:rPr>
              <w:t xml:space="preserve">根据</w:t>
            </w:r>
            <w:r>
              <w:rPr>
                <w:bCs/>
                <w:color w:val="000000"/>
                <w:highlight w:val="none"/>
              </w:rPr>
              <w:t xml:space="preserve">供应商</w:t>
            </w:r>
            <w:r>
              <w:rPr>
                <w:color w:val="000000"/>
                <w:szCs w:val="21"/>
                <w:highlight w:val="none"/>
                <w:lang w:val="zh-TW"/>
              </w:rPr>
              <w:t xml:space="preserve">提供的培训方案、培训时间、培训内容进行评审：培训方案详细、完善、合理得</w:t>
            </w:r>
            <w:r>
              <w:rPr>
                <w:color w:val="000000"/>
                <w:szCs w:val="21"/>
                <w:highlight w:val="none"/>
              </w:rPr>
              <w:t xml:space="preserve">5</w:t>
            </w:r>
            <w:r>
              <w:rPr>
                <w:color w:val="000000"/>
                <w:szCs w:val="21"/>
                <w:highlight w:val="none"/>
                <w:lang w:val="zh-TW"/>
              </w:rPr>
              <w:t xml:space="preserve">分；培训方案较完善、尚有改进空间得</w:t>
            </w:r>
            <w:r>
              <w:rPr>
                <w:color w:val="000000"/>
                <w:szCs w:val="21"/>
                <w:highlight w:val="none"/>
              </w:rPr>
              <w:t xml:space="preserve">3</w:t>
            </w:r>
            <w:r>
              <w:rPr>
                <w:color w:val="000000"/>
                <w:szCs w:val="21"/>
                <w:highlight w:val="none"/>
                <w:lang w:val="zh-TW"/>
              </w:rPr>
              <w:t xml:space="preserve">分；培训方案仅满足项目基本需求得1分；未提供或基本不满足得0分。</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1210"/>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4.3</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jc w:val="left"/>
              <w:spacing w:line="360" w:lineRule="auto"/>
              <w:widowControl/>
              <w:rPr>
                <w:bCs/>
                <w:color w:val="000000"/>
                <w:highlight w:val="none"/>
              </w:rPr>
            </w:pPr>
            <w:r>
              <w:rPr>
                <w:bCs/>
                <w:color w:val="000000"/>
                <w:szCs w:val="21"/>
                <w:highlight w:val="none"/>
              </w:rPr>
              <w:t xml:space="preserve">项目整体及所有设备满足招标文件免费质保期要求的不得分；在此基础上免费质保每增加1年加1分，本项最高得2分。需提供售后服务承诺书（若投标文件中出现前后不一致的情况，以最低免费质保期作为评分依据）。</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w:t>
            </w:r>
            <w:r>
              <w:rPr>
                <w:bCs/>
                <w:color w:val="000000"/>
                <w:szCs w:val="21"/>
                <w:highlight w:val="none"/>
              </w:rPr>
            </w:r>
            <w:r>
              <w:rPr>
                <w:highlight w:val="none"/>
              </w:rPr>
            </w:r>
          </w:p>
        </w:tc>
      </w:tr>
      <w:tr>
        <w:trPr>
          <w:trHeight w:val="1210"/>
        </w:trPr>
        <w:tc>
          <w:tcPr>
            <w:tcW w:w="308" w:type="dxa"/>
            <w:vAlign w:val="center"/>
            <w:textDirection w:val="lrTb"/>
            <w:noWrap w:val="false"/>
          </w:tcPr>
          <w:p>
            <w:pPr>
              <w:pStyle w:val="1168"/>
              <w:jc w:val="center"/>
              <w:spacing w:line="360" w:lineRule="auto"/>
              <w:rPr>
                <w:bCs/>
                <w:color w:val="000000"/>
                <w:szCs w:val="21"/>
                <w:highlight w:val="none"/>
              </w:rPr>
            </w:pPr>
            <w:r>
              <w:rPr>
                <w:rFonts w:hint="eastAsia"/>
                <w:bCs/>
                <w:color w:val="000000"/>
                <w:szCs w:val="21"/>
                <w:highlight w:val="none"/>
              </w:rPr>
              <w:t xml:space="preserve">5</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rFonts w:hint="eastAsia"/>
                <w:color w:val="000000"/>
                <w:highlight w:val="none"/>
              </w:rPr>
              <w:t xml:space="preserve">应急方案</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rFonts w:hint="eastAsia"/>
                <w:color w:val="000000"/>
                <w:highlight w:val="none"/>
              </w:rPr>
            </w:pPr>
            <w:r>
              <w:rPr>
                <w:rFonts w:hint="eastAsia"/>
                <w:color w:val="000000"/>
                <w:highlight w:val="none"/>
              </w:rPr>
              <w:t xml:space="preserve">根据</w:t>
            </w:r>
            <w:r>
              <w:rPr>
                <w:bCs/>
                <w:color w:val="000000"/>
                <w:highlight w:val="none"/>
              </w:rPr>
              <w:t xml:space="preserve">供应商</w:t>
            </w:r>
            <w:r>
              <w:rPr>
                <w:rFonts w:hint="eastAsia"/>
                <w:color w:val="000000"/>
                <w:highlight w:val="none"/>
              </w:rPr>
              <w:t xml:space="preserve">提供符合采购方情况的应急保障方案和风险管理方案。</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color w:val="000000"/>
                <w:highlight w:val="none"/>
              </w:rPr>
              <w:t xml:space="preserve">5</w:t>
            </w:r>
            <w:r>
              <w:rPr>
                <w:rFonts w:hint="eastAsia"/>
                <w:color w:val="000000"/>
                <w:highlight w:val="none"/>
              </w:rPr>
              <w:t xml:space="preserve">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color w:val="000000"/>
                <w:highlight w:val="none"/>
              </w:rPr>
              <w:t xml:space="preserve">3</w:t>
            </w:r>
            <w:r>
              <w:rPr>
                <w:rFonts w:hint="eastAsia"/>
                <w:color w:val="000000"/>
                <w:highlight w:val="none"/>
              </w:rPr>
              <w:t xml:space="preserve">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应急处理方案略有缺陷经后期优化后可以符合采购需求的得1分；</w:t>
            </w:r>
            <w:r>
              <w:rPr>
                <w:rFonts w:hint="eastAsia"/>
                <w:color w:val="000000"/>
                <w:highlight w:val="none"/>
              </w:rPr>
            </w:r>
            <w:r>
              <w:rPr>
                <w:highlight w:val="none"/>
              </w:rPr>
            </w:r>
          </w:p>
          <w:p>
            <w:pPr>
              <w:pStyle w:val="1168"/>
              <w:jc w:val="left"/>
              <w:spacing w:line="360" w:lineRule="auto"/>
              <w:widowControl/>
              <w:rPr>
                <w:bCs/>
                <w:color w:val="000000"/>
                <w:szCs w:val="21"/>
                <w:highlight w:val="none"/>
              </w:rPr>
            </w:pPr>
            <w:r>
              <w:rPr>
                <w:rFonts w:hint="eastAsia"/>
                <w:color w:val="000000"/>
                <w:highlight w:val="none"/>
              </w:rPr>
              <w:t xml:space="preserve">未提供方案，或方案内容与本项目无关的不得分。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836"/>
        </w:trPr>
        <w:tc>
          <w:tcPr>
            <w:tcW w:w="308" w:type="dxa"/>
            <w:vAlign w:val="center"/>
            <w:textDirection w:val="lrTb"/>
            <w:noWrap w:val="false"/>
          </w:tcPr>
          <w:p>
            <w:pPr>
              <w:pStyle w:val="1168"/>
              <w:jc w:val="center"/>
              <w:spacing w:line="360" w:lineRule="auto"/>
              <w:rPr>
                <w:bCs/>
                <w:color w:val="000000"/>
                <w:szCs w:val="21"/>
                <w:highlight w:val="none"/>
              </w:rPr>
            </w:pPr>
            <w:r>
              <w:rPr>
                <w:rFonts w:hint="eastAsia"/>
                <w:bCs/>
                <w:color w:val="000000"/>
                <w:szCs w:val="21"/>
                <w:highlight w:val="none"/>
              </w:rPr>
              <w:t xml:space="preserve">6</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业绩</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highlight w:val="none"/>
              </w:rPr>
            </w:pPr>
            <w:r>
              <w:rPr>
                <w:bCs/>
                <w:color w:val="000000"/>
                <w:szCs w:val="21"/>
                <w:highlight w:val="none"/>
              </w:rPr>
              <w:t xml:space="preserve">2023</w:t>
            </w:r>
            <w:r>
              <w:rPr>
                <w:bCs/>
                <w:color w:val="000000"/>
                <w:highlight w:val="none"/>
              </w:rPr>
              <w:t xml:space="preserve">年</w:t>
            </w:r>
            <w:r>
              <w:rPr>
                <w:bCs/>
                <w:color w:val="000000"/>
                <w:szCs w:val="21"/>
                <w:highlight w:val="none"/>
              </w:rPr>
              <w:t xml:space="preserve">1</w:t>
            </w:r>
            <w:r>
              <w:rPr>
                <w:bCs/>
                <w:color w:val="000000"/>
                <w:highlight w:val="none"/>
              </w:rPr>
              <w:t xml:space="preserve">月</w:t>
            </w:r>
            <w:r>
              <w:rPr>
                <w:bCs/>
                <w:color w:val="000000"/>
                <w:szCs w:val="21"/>
                <w:highlight w:val="none"/>
              </w:rPr>
              <w:t xml:space="preserve">1</w:t>
            </w:r>
            <w:r>
              <w:rPr>
                <w:bCs/>
                <w:color w:val="000000"/>
                <w:highlight w:val="none"/>
              </w:rPr>
              <w:t xml:space="preserve">日（以合同签订时间为准）</w:t>
            </w:r>
            <w:r>
              <w:rPr>
                <w:color w:val="000000"/>
                <w:szCs w:val="21"/>
                <w:highlight w:val="none"/>
              </w:rPr>
              <w:t xml:space="preserve">至今，供应商或制造商</w:t>
            </w:r>
            <w:r>
              <w:rPr>
                <w:rFonts w:hint="eastAsia"/>
                <w:color w:val="000000"/>
                <w:szCs w:val="21"/>
                <w:highlight w:val="none"/>
              </w:rPr>
              <w:t xml:space="preserve">销售同型号</w:t>
            </w:r>
            <w:r>
              <w:rPr>
                <w:rFonts w:hint="eastAsia"/>
                <w:color w:val="000000"/>
                <w:highlight w:val="none"/>
              </w:rPr>
              <w:t xml:space="preserve">投标产品的业绩</w:t>
            </w:r>
            <w:r>
              <w:rPr>
                <w:bCs/>
                <w:color w:val="000000"/>
                <w:highlight w:val="none"/>
              </w:rPr>
              <w:t xml:space="preserve">，每提供一份得1分，最高5分。提供合同</w:t>
            </w:r>
            <w:r>
              <w:rPr>
                <w:rFonts w:hint="eastAsia"/>
                <w:bCs/>
                <w:color w:val="000000"/>
                <w:highlight w:val="none"/>
              </w:rPr>
              <w:t xml:space="preserve">和中标通知书</w:t>
            </w:r>
            <w:r>
              <w:rPr>
                <w:bCs/>
                <w:color w:val="000000"/>
                <w:highlight w:val="none"/>
              </w:rPr>
              <w:t xml:space="preserve">复印件并加盖公章</w:t>
            </w:r>
            <w:r>
              <w:rPr>
                <w:rFonts w:hint="eastAsia"/>
                <w:bCs/>
                <w:color w:val="000000"/>
                <w:highlight w:val="none"/>
              </w:rPr>
              <w:t xml:space="preserve">，</w:t>
            </w:r>
            <w:r>
              <w:rPr>
                <w:rFonts w:hint="eastAsia"/>
                <w:color w:val="000000"/>
                <w:szCs w:val="21"/>
                <w:highlight w:val="none"/>
              </w:rPr>
              <w:t xml:space="preserve">且必须含有标的物以及开具时间，否则不得分。如果中标通知书和供货合同未体现标的物内容或字样，并且评委也无法推断的，不得分。中标后，投标人提供中标通知书和合同原件供采购单位复核，如若与投标文件不相符，视为提供虚假材料谋取中标，终止合同。</w:t>
            </w:r>
            <w:r>
              <w:rPr>
                <w:bCs/>
                <w:color w:val="000000"/>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488"/>
        </w:trPr>
        <w:tc>
          <w:tcPr>
            <w:tcW w:w="308" w:type="dxa"/>
            <w:vAlign w:val="center"/>
            <w:textDirection w:val="lrTb"/>
            <w:noWrap w:val="false"/>
          </w:tcPr>
          <w:p>
            <w:pPr>
              <w:pStyle w:val="1168"/>
              <w:jc w:val="center"/>
              <w:spacing w:line="360" w:lineRule="auto"/>
              <w:rPr>
                <w:bCs/>
                <w:color w:val="000000"/>
                <w:szCs w:val="21"/>
                <w:highlight w:val="none"/>
              </w:rPr>
            </w:pPr>
            <w:r>
              <w:rPr>
                <w:rFonts w:hint="eastAsia"/>
                <w:bCs/>
                <w:color w:val="000000"/>
                <w:szCs w:val="21"/>
                <w:highlight w:val="none"/>
              </w:rPr>
              <w:t xml:space="preserve">7</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国家政策导向</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bCs/>
                <w:color w:val="000000"/>
                <w:szCs w:val="21"/>
                <w:highlight w:val="none"/>
              </w:rPr>
            </w:r>
            <w:r>
              <w:rPr>
                <w:highlight w:val="none"/>
              </w:rPr>
            </w:r>
          </w:p>
          <w:p>
            <w:pPr>
              <w:pStyle w:val="1168"/>
              <w:spacing w:line="360" w:lineRule="auto"/>
              <w:rPr>
                <w:bCs/>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r>
    </w:tbl>
    <w:p>
      <w:pPr>
        <w:pStyle w:val="1224"/>
        <w:ind w:firstLine="0"/>
        <w:rPr>
          <w:color w:val="000000"/>
          <w:szCs w:val="21"/>
          <w:highlight w:val="none"/>
        </w:rPr>
        <w:outlineLvl w:val="1"/>
      </w:pPr>
      <w:r>
        <w:rPr>
          <w:highlight w:val="none"/>
        </w:rPr>
      </w:r>
      <w:bookmarkStart w:id="218" w:name="_Toc20385"/>
      <w:r>
        <w:rPr>
          <w:rFonts w:hint="eastAsia"/>
          <w:color w:val="000000"/>
          <w:szCs w:val="21"/>
          <w:highlight w:val="none"/>
        </w:rPr>
        <w:t xml:space="preserve">分包2：</w:t>
      </w:r>
      <w:bookmarkEnd w:id="218"/>
      <w:r>
        <w:rPr>
          <w:color w:val="000000"/>
          <w:szCs w:val="21"/>
          <w:highlight w:val="none"/>
        </w:rPr>
      </w:r>
      <w:r>
        <w:rPr>
          <w:highlight w:val="none"/>
        </w:rP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rPr>
                <w:highlight w:val="none"/>
              </w:rPr>
            </w:r>
          </w:p>
        </w:tc>
        <w:tc>
          <w:tcPr>
            <w:tcW w:w="380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分值</w:t>
            </w:r>
            <w:r>
              <w:rPr>
                <w:b/>
                <w:color w:val="000000"/>
                <w:szCs w:val="21"/>
                <w:highlight w:val="none"/>
              </w:rPr>
            </w:r>
            <w:r>
              <w:rPr>
                <w:highlight w:val="none"/>
              </w:rPr>
            </w:r>
          </w:p>
        </w:tc>
      </w:tr>
      <w:tr>
        <w:trPr>
          <w:trHeight w:val="925"/>
        </w:trPr>
        <w:tc>
          <w:tcPr>
            <w:tcW w:w="308"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价格</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30</w:t>
            </w:r>
            <w:r>
              <w:rPr>
                <w:bCs/>
                <w:color w:val="000000"/>
                <w:szCs w:val="21"/>
                <w:highlight w:val="none"/>
              </w:rPr>
            </w:r>
            <w:r>
              <w:rPr>
                <w:highlight w:val="none"/>
              </w:rPr>
            </w:r>
          </w:p>
        </w:tc>
      </w:tr>
      <w:tr>
        <w:trPr>
          <w:trHeight w:val="66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技术响应</w:t>
            </w:r>
            <w:r>
              <w:rPr>
                <w:bCs/>
                <w:color w:val="000000"/>
                <w:szCs w:val="21"/>
                <w:highlight w:val="none"/>
              </w:rPr>
            </w:r>
            <w:r>
              <w:rPr>
                <w:highlight w:val="none"/>
              </w:rPr>
            </w:r>
          </w:p>
        </w:tc>
        <w:tc>
          <w:tcPr>
            <w:tcW w:w="3806" w:type="dxa"/>
            <w:vAlign w:val="center"/>
            <w:textDirection w:val="lrTb"/>
            <w:noWrap w:val="false"/>
          </w:tcPr>
          <w:p>
            <w:pPr>
              <w:pStyle w:val="1168"/>
              <w:jc w:val="left"/>
              <w:spacing w:line="360" w:lineRule="auto"/>
              <w:widowControl/>
              <w:rPr>
                <w:color w:val="000000"/>
                <w:szCs w:val="21"/>
                <w:highlight w:val="none"/>
              </w:rPr>
            </w:pPr>
            <w:r>
              <w:rPr>
                <w:color w:val="000000"/>
                <w:szCs w:val="21"/>
                <w:highlight w:val="none"/>
              </w:rPr>
              <w:t xml:space="preserve">设备技术参数全部满足招标要求的得满分3</w:t>
            </w:r>
            <w:r>
              <w:rPr>
                <w:rFonts w:hint="eastAsia"/>
                <w:color w:val="000000"/>
                <w:szCs w:val="21"/>
                <w:highlight w:val="none"/>
              </w:rPr>
              <w:t xml:space="preserve">3</w:t>
            </w:r>
            <w:r>
              <w:rPr>
                <w:color w:val="000000"/>
                <w:szCs w:val="21"/>
                <w:highlight w:val="none"/>
              </w:rPr>
              <w:t xml:space="preserve">分；招标文件中标注“★”的内容为实质性要求，有一项不符合的，作无效投标处理；标注“▲”的内容为重要参数，每有一项负偏离扣</w:t>
            </w:r>
            <w:r>
              <w:rPr>
                <w:rFonts w:hint="eastAsia"/>
                <w:color w:val="000000"/>
                <w:szCs w:val="21"/>
                <w:highlight w:val="none"/>
              </w:rPr>
              <w:t xml:space="preserve">3</w:t>
            </w:r>
            <w:r>
              <w:rPr>
                <w:color w:val="000000"/>
                <w:szCs w:val="21"/>
                <w:highlight w:val="none"/>
              </w:rPr>
              <w:t xml:space="preserve">分，其他非重要参数负偏离的，则每项扣</w:t>
            </w:r>
            <w:r>
              <w:rPr>
                <w:rFonts w:hint="eastAsia"/>
                <w:color w:val="000000"/>
                <w:szCs w:val="21"/>
                <w:highlight w:val="none"/>
              </w:rPr>
              <w:t xml:space="preserve">1</w:t>
            </w:r>
            <w:r>
              <w:rPr>
                <w:color w:val="000000"/>
                <w:szCs w:val="21"/>
                <w:highlight w:val="none"/>
              </w:rPr>
              <w:t xml:space="preserve">分，扣完为止。</w:t>
            </w:r>
            <w:r>
              <w:rPr>
                <w:color w:val="000000"/>
                <w:szCs w:val="21"/>
                <w:highlight w:val="none"/>
              </w:rPr>
            </w:r>
            <w:r>
              <w:rPr>
                <w:highlight w:val="none"/>
              </w:rPr>
            </w:r>
          </w:p>
          <w:p>
            <w:pPr>
              <w:pStyle w:val="1168"/>
              <w:spacing w:line="360" w:lineRule="auto"/>
              <w:rPr>
                <w:bCs/>
                <w:color w:val="000000"/>
                <w:szCs w:val="21"/>
                <w:highlight w:val="none"/>
              </w:rPr>
            </w:pPr>
            <w:r>
              <w:rPr>
                <w:color w:val="000000"/>
                <w:szCs w:val="21"/>
                <w:highlight w:val="none"/>
              </w:rPr>
              <w:t xml:space="preserve">注：①凡标有最低一级序号的指标项即为一项技术条款，无论是否隶属于上一级编号；②采购文件中标注“▲”和“★”的条款均须在响应文件内提供技术支持资料（如白皮书、彩页、手册、检测报告、承诺函等），并在评审索引表中详细标明所在响应文件中的页码和位置。未提供技术支持资料的，评审时不予认可。</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rFonts w:hint="eastAsia"/>
                <w:bCs/>
                <w:color w:val="000000"/>
                <w:szCs w:val="21"/>
                <w:highlight w:val="none"/>
              </w:rPr>
            </w:pPr>
            <w:r>
              <w:rPr>
                <w:bCs/>
                <w:color w:val="000000"/>
                <w:szCs w:val="21"/>
                <w:highlight w:val="none"/>
              </w:rPr>
              <w:t xml:space="preserve">3</w:t>
            </w:r>
            <w:r>
              <w:rPr>
                <w:rFonts w:hint="eastAsia"/>
                <w:bCs/>
                <w:color w:val="000000"/>
                <w:szCs w:val="21"/>
                <w:highlight w:val="none"/>
              </w:rPr>
              <w:t xml:space="preserve">3</w:t>
            </w:r>
            <w:r>
              <w:rPr>
                <w:rFonts w:hint="eastAsia"/>
                <w:bCs/>
                <w:color w:val="000000"/>
                <w:szCs w:val="21"/>
                <w:highlight w:val="none"/>
              </w:rPr>
            </w:r>
            <w:r>
              <w:rPr>
                <w:highlight w:val="none"/>
              </w:rPr>
            </w:r>
          </w:p>
        </w:tc>
      </w:tr>
      <w:tr>
        <w:trPr>
          <w:trHeight w:val="66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spacing w:line="360" w:lineRule="auto"/>
              <w:rPr>
                <w:bCs/>
                <w:color w:val="000000"/>
                <w:szCs w:val="21"/>
                <w:highlight w:val="none"/>
              </w:rPr>
            </w:pPr>
            <w:r>
              <w:rPr>
                <w:bCs/>
                <w:color w:val="000000"/>
                <w:highlight w:val="none"/>
              </w:rPr>
              <w:t xml:space="preserve">供应商提供的</w:t>
            </w:r>
            <w:r>
              <w:rPr>
                <w:rFonts w:ascii="宋体" w:hAnsi="宋体"/>
                <w:bCs/>
                <w:color w:val="000000"/>
                <w:highlight w:val="none"/>
              </w:rPr>
              <w:t xml:space="preserve">产</w:t>
            </w:r>
            <w:r>
              <w:rPr>
                <w:rFonts w:ascii="宋体" w:hAnsi="宋体"/>
                <w:bCs/>
                <w:color w:val="000000"/>
                <w:szCs w:val="21"/>
                <w:highlight w:val="none"/>
              </w:rPr>
              <w:t xml:space="preserve">品</w:t>
            </w:r>
            <w:r>
              <w:rPr>
                <w:rFonts w:hint="eastAsia" w:ascii="宋体" w:hAnsi="宋体" w:cs="仿宋"/>
                <w:color w:val="000000"/>
                <w:szCs w:val="21"/>
                <w:highlight w:val="none"/>
                <w:lang w:bidi="ar"/>
              </w:rPr>
              <w:t xml:space="preserve">选型、规格、设计的科学性、合理性、材质选用、制造工艺水平好</w:t>
            </w:r>
            <w:r>
              <w:rPr>
                <w:rFonts w:ascii="宋体" w:hAnsi="宋体"/>
                <w:bCs/>
                <w:color w:val="000000"/>
                <w:szCs w:val="21"/>
                <w:highlight w:val="none"/>
              </w:rPr>
              <w:t xml:space="preserve">，</w:t>
            </w:r>
            <w:r>
              <w:rPr>
                <w:rFonts w:hint="eastAsia" w:ascii="宋体" w:hAnsi="宋体" w:cs="仿宋"/>
                <w:color w:val="000000"/>
                <w:szCs w:val="21"/>
                <w:highlight w:val="none"/>
                <w:lang w:bidi="ar"/>
              </w:rPr>
              <w:t xml:space="preserve">且与项目需求的吻合度高</w:t>
            </w:r>
            <w:r>
              <w:rPr>
                <w:rFonts w:ascii="宋体" w:hAnsi="宋体"/>
                <w:bCs/>
                <w:color w:val="000000"/>
                <w:szCs w:val="21"/>
                <w:highlight w:val="none"/>
              </w:rPr>
              <w:t xml:space="preserve">得</w:t>
            </w:r>
            <w:r>
              <w:rPr>
                <w:rFonts w:ascii="宋体" w:hAnsi="宋体"/>
                <w:bCs/>
                <w:color w:val="000000"/>
                <w:szCs w:val="21"/>
                <w:highlight w:val="none"/>
              </w:rPr>
              <w:t xml:space="preserve">7</w:t>
            </w:r>
            <w:r>
              <w:rPr>
                <w:rFonts w:ascii="宋体" w:hAnsi="宋体"/>
                <w:bCs/>
                <w:color w:val="000000"/>
                <w:szCs w:val="21"/>
                <w:highlight w:val="none"/>
              </w:rPr>
              <w:t xml:space="preserve">分；</w:t>
            </w:r>
            <w:r>
              <w:rPr>
                <w:rFonts w:hint="eastAsia" w:ascii="宋体" w:hAnsi="宋体" w:cs="仿宋"/>
                <w:color w:val="000000"/>
                <w:szCs w:val="21"/>
                <w:highlight w:val="none"/>
                <w:lang w:bidi="ar"/>
              </w:rPr>
              <w:t xml:space="preserve">选型较好、规格、设计的较为科学合理，制造工艺水平较好，且与项目需求的吻合度较好</w:t>
            </w:r>
            <w:r>
              <w:rPr>
                <w:rFonts w:ascii="宋体" w:hAnsi="宋体"/>
                <w:bCs/>
                <w:color w:val="000000"/>
                <w:szCs w:val="21"/>
                <w:highlight w:val="none"/>
              </w:rPr>
              <w:t xml:space="preserve">得4分；</w:t>
            </w:r>
            <w:r>
              <w:rPr>
                <w:rFonts w:hint="eastAsia" w:ascii="宋体" w:hAnsi="宋体" w:cs="仿宋"/>
                <w:color w:val="000000"/>
                <w:szCs w:val="21"/>
                <w:highlight w:val="none"/>
                <w:lang w:bidi="ar"/>
              </w:rPr>
              <w:t xml:space="preserve">产品选型一般、规格、设计的一般合理，制造工艺水平一般且与项目需求的吻合度一般</w:t>
            </w:r>
            <w:r>
              <w:rPr>
                <w:rFonts w:ascii="宋体" w:hAnsi="宋体"/>
                <w:bCs/>
                <w:color w:val="000000"/>
                <w:szCs w:val="21"/>
                <w:highlight w:val="none"/>
              </w:rPr>
              <w:t xml:space="preserve">得1分；未提供不得</w:t>
            </w:r>
            <w:r>
              <w:rPr>
                <w:rFonts w:ascii="宋体" w:hAnsi="宋体"/>
                <w:bCs/>
                <w:color w:val="000000"/>
                <w:highlight w:val="none"/>
              </w:rPr>
              <w:t xml:space="preserve">分</w:t>
            </w:r>
            <w:r>
              <w:rPr>
                <w:bCs/>
                <w:color w:val="000000"/>
                <w:highlight w:val="none"/>
              </w:rPr>
              <w:t xml:space="preserve">。</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rFonts w:hint="eastAsia"/>
                <w:bCs/>
                <w:color w:val="000000"/>
                <w:szCs w:val="21"/>
                <w:highlight w:val="none"/>
              </w:rPr>
            </w:pPr>
            <w:r>
              <w:rPr>
                <w:rFonts w:hint="eastAsia"/>
                <w:bCs/>
                <w:color w:val="000000"/>
                <w:szCs w:val="21"/>
                <w:highlight w:val="none"/>
              </w:rPr>
              <w:t xml:space="preserve">7</w:t>
            </w:r>
            <w:r>
              <w:rPr>
                <w:rFonts w:hint="eastAsia"/>
                <w:bCs/>
                <w:color w:val="000000"/>
                <w:szCs w:val="21"/>
                <w:highlight w:val="none"/>
              </w:rPr>
            </w:r>
            <w:r>
              <w:rPr>
                <w:highlight w:val="none"/>
              </w:rPr>
            </w:r>
          </w:p>
        </w:tc>
      </w:tr>
      <w:tr>
        <w:trPr>
          <w:trHeight w:val="297"/>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3</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实施方案</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rFonts w:ascii="宋体" w:hAnsi="宋体"/>
                <w:color w:val="000000"/>
                <w:highlight w:val="none"/>
              </w:rPr>
            </w:pPr>
            <w:r>
              <w:rPr>
                <w:bCs/>
                <w:color w:val="000000"/>
                <w:szCs w:val="21"/>
                <w:highlight w:val="none"/>
              </w:rPr>
              <w:t xml:space="preserve">根据</w:t>
            </w:r>
            <w:r>
              <w:rPr>
                <w:bCs/>
                <w:color w:val="000000"/>
                <w:highlight w:val="none"/>
              </w:rPr>
              <w:t xml:space="preserve">供应商</w:t>
            </w:r>
            <w:r>
              <w:rPr>
                <w:bCs/>
                <w:color w:val="000000"/>
                <w:szCs w:val="21"/>
                <w:highlight w:val="none"/>
              </w:rPr>
              <w:t xml:space="preserve">提供的项目实施方案，包括但不限于</w:t>
            </w:r>
            <w:r>
              <w:rPr>
                <w:bCs/>
                <w:color w:val="000000"/>
                <w:szCs w:val="21"/>
                <w:highlight w:val="none"/>
              </w:rPr>
              <w:t xml:space="preserve">质量保证措施、</w:t>
            </w:r>
            <w:r>
              <w:rPr>
                <w:bCs/>
                <w:color w:val="000000"/>
                <w:szCs w:val="21"/>
                <w:highlight w:val="none"/>
              </w:rPr>
              <w:t xml:space="preserve">安装调试、试运行、测试、培训、</w:t>
            </w:r>
            <w:r>
              <w:rPr>
                <w:rFonts w:hint="eastAsia"/>
                <w:bCs/>
                <w:color w:val="000000"/>
                <w:szCs w:val="21"/>
                <w:highlight w:val="none"/>
              </w:rPr>
              <w:t xml:space="preserve">系统对接、</w:t>
            </w:r>
            <w:r>
              <w:rPr>
                <w:bCs/>
                <w:color w:val="000000"/>
                <w:szCs w:val="21"/>
                <w:highlight w:val="none"/>
              </w:rPr>
              <w:t xml:space="preserve">组织部署、技术方案、人员配置、时间进度安排的合理性、科学性等进行比较评分</w:t>
            </w:r>
            <w:r>
              <w:rPr>
                <w:rFonts w:hint="eastAsia"/>
                <w:bCs/>
                <w:color w:val="000000"/>
                <w:szCs w:val="21"/>
                <w:highlight w:val="none"/>
              </w:rPr>
              <w:t xml:space="preserve">，</w:t>
            </w:r>
            <w:r>
              <w:rPr>
                <w:rFonts w:ascii="宋体" w:hAnsi="宋体"/>
                <w:color w:val="000000"/>
                <w:highlight w:val="none"/>
              </w:rPr>
              <w:t xml:space="preserve"> </w:t>
            </w:r>
            <w:r>
              <w:rPr>
                <w:rFonts w:ascii="宋体" w:hAnsi="宋体"/>
                <w:color w:val="000000"/>
                <w:highlight w:val="none"/>
              </w:rPr>
            </w:r>
            <w:r>
              <w:rPr>
                <w:highlight w:val="none"/>
              </w:rPr>
            </w:r>
          </w:p>
          <w:p>
            <w:pPr>
              <w:pStyle w:val="1168"/>
              <w:spacing w:line="360" w:lineRule="auto"/>
              <w:rPr>
                <w:bCs/>
                <w:color w:val="000000"/>
                <w:szCs w:val="21"/>
                <w:highlight w:val="none"/>
              </w:rPr>
            </w:pPr>
            <w:r>
              <w:rPr>
                <w:bCs/>
                <w:color w:val="000000"/>
                <w:szCs w:val="21"/>
                <w:highlight w:val="none"/>
              </w:rPr>
              <w:t xml:space="preserve">实施方案完善、可操作性强得6分；实施方案略有瑕疵、具有可操作性得4分，实施方案较差，可操作性较差得2分，不提供不得分。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rPr>
                <w:highlight w:val="none"/>
              </w:rPr>
            </w:r>
          </w:p>
        </w:tc>
      </w:tr>
      <w:tr>
        <w:trPr>
          <w:trHeight w:val="1454"/>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售后服务</w:t>
            </w:r>
            <w:r>
              <w:rPr>
                <w:bCs/>
                <w:color w:val="000000"/>
                <w:szCs w:val="21"/>
                <w:highlight w:val="none"/>
              </w:rPr>
            </w:r>
            <w:r>
              <w:rPr>
                <w:highlight w:val="none"/>
              </w:rPr>
            </w:r>
          </w:p>
        </w:tc>
        <w:tc>
          <w:tcPr>
            <w:tcW w:w="3806" w:type="dxa"/>
            <w:vAlign w:val="center"/>
            <w:textDirection w:val="lrTb"/>
            <w:noWrap w:val="false"/>
          </w:tcPr>
          <w:p>
            <w:pPr>
              <w:pStyle w:val="1168"/>
              <w:jc w:val="left"/>
              <w:spacing w:line="360" w:lineRule="auto"/>
              <w:widowControl/>
              <w:rPr>
                <w:bCs/>
                <w:color w:val="000000"/>
                <w:szCs w:val="21"/>
                <w:highlight w:val="none"/>
              </w:rPr>
            </w:pPr>
            <w:r>
              <w:rPr>
                <w:bCs/>
                <w:color w:val="000000"/>
                <w:szCs w:val="21"/>
                <w:highlight w:val="none"/>
              </w:rPr>
              <w:t xml:space="preserve">根据供应商针对本项目的售后服务方案（如服务体系、服务内容、服务承诺、故障解决方案、专业技术人员保障、质保期满后的售后服务范围和收费情况</w:t>
            </w:r>
            <w:r>
              <w:rPr>
                <w:rFonts w:hint="eastAsia" w:ascii="宋体" w:hAnsi="宋体" w:cs="宋体"/>
                <w:color w:val="000000"/>
                <w:highlight w:val="none"/>
              </w:rPr>
              <w:t xml:space="preserve">及其他供应商可提供的优惠条件等</w:t>
            </w:r>
            <w:r>
              <w:rPr>
                <w:bCs/>
                <w:color w:val="000000"/>
                <w:szCs w:val="21"/>
                <w:highlight w:val="none"/>
              </w:rPr>
              <w:t xml:space="preserve">等）综合评分。</w:t>
            </w:r>
            <w:r>
              <w:rPr>
                <w:bCs/>
                <w:color w:val="000000"/>
                <w:szCs w:val="21"/>
                <w:highlight w:val="none"/>
              </w:rPr>
            </w:r>
            <w:r>
              <w:rPr>
                <w:highlight w:val="none"/>
              </w:rPr>
            </w:r>
          </w:p>
          <w:p>
            <w:pPr>
              <w:pStyle w:val="1168"/>
              <w:jc w:val="left"/>
              <w:spacing w:line="360" w:lineRule="auto"/>
              <w:widowControl/>
              <w:rPr>
                <w:bCs/>
                <w:color w:val="000000"/>
                <w:szCs w:val="21"/>
                <w:highlight w:val="none"/>
              </w:rPr>
            </w:pPr>
            <w:r>
              <w:rPr>
                <w:bCs/>
                <w:color w:val="000000"/>
                <w:szCs w:val="21"/>
                <w:highlight w:val="none"/>
              </w:rPr>
              <w:t xml:space="preserve">售后服务方案科学详细、可行性、合理性强，得6分；售后服务方案比较科学、比较详细、可行性合理性较强，得4分；售后服务方案不够科学、不够详细、可行性合理性一般，得2分；未提供的不得分。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rPr>
                <w:highlight w:val="none"/>
              </w:rPr>
            </w:r>
          </w:p>
        </w:tc>
      </w:tr>
      <w:tr>
        <w:trPr>
          <w:trHeight w:val="1219"/>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jc w:val="left"/>
              <w:spacing w:line="360" w:lineRule="auto"/>
              <w:widowControl/>
              <w:rPr>
                <w:bCs/>
                <w:color w:val="000000"/>
                <w:highlight w:val="none"/>
              </w:rPr>
            </w:pPr>
            <w:r>
              <w:rPr>
                <w:color w:val="000000"/>
                <w:szCs w:val="21"/>
                <w:highlight w:val="none"/>
                <w:lang w:val="zh-TW"/>
              </w:rPr>
              <w:t xml:space="preserve">根据</w:t>
            </w:r>
            <w:r>
              <w:rPr>
                <w:bCs/>
                <w:color w:val="000000"/>
                <w:highlight w:val="none"/>
              </w:rPr>
              <w:t xml:space="preserve">供应商</w:t>
            </w:r>
            <w:r>
              <w:rPr>
                <w:color w:val="000000"/>
                <w:szCs w:val="21"/>
                <w:highlight w:val="none"/>
                <w:lang w:val="zh-TW"/>
              </w:rPr>
              <w:t xml:space="preserve">提供的培训方案、培训时间、培训内容进行评审：培训方案详细、完善、合理得</w:t>
            </w:r>
            <w:r>
              <w:rPr>
                <w:color w:val="000000"/>
                <w:szCs w:val="21"/>
                <w:highlight w:val="none"/>
              </w:rPr>
              <w:t xml:space="preserve">5</w:t>
            </w:r>
            <w:r>
              <w:rPr>
                <w:color w:val="000000"/>
                <w:szCs w:val="21"/>
                <w:highlight w:val="none"/>
                <w:lang w:val="zh-TW"/>
              </w:rPr>
              <w:t xml:space="preserve">分；培训方案较完善、尚有改进空间得</w:t>
            </w:r>
            <w:r>
              <w:rPr>
                <w:color w:val="000000"/>
                <w:szCs w:val="21"/>
                <w:highlight w:val="none"/>
              </w:rPr>
              <w:t xml:space="preserve">3</w:t>
            </w:r>
            <w:r>
              <w:rPr>
                <w:color w:val="000000"/>
                <w:szCs w:val="21"/>
                <w:highlight w:val="none"/>
                <w:lang w:val="zh-TW"/>
              </w:rPr>
              <w:t xml:space="preserve">分；培训方案仅满足项目基本需求得1分；未提供或基本不满足得0分。</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1210"/>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4.3</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8"/>
              <w:jc w:val="left"/>
              <w:spacing w:line="360" w:lineRule="auto"/>
              <w:widowControl/>
              <w:rPr>
                <w:bCs/>
                <w:color w:val="000000"/>
                <w:highlight w:val="none"/>
              </w:rPr>
            </w:pPr>
            <w:r>
              <w:rPr>
                <w:bCs/>
                <w:color w:val="000000"/>
                <w:szCs w:val="21"/>
                <w:highlight w:val="none"/>
              </w:rPr>
              <w:t xml:space="preserve">项目整体及所有设备满足招标文件免费质保期要求的不得分；在此基础上免费质保每增加1年加1分，本项最高得</w:t>
            </w:r>
            <w:r>
              <w:rPr>
                <w:rFonts w:hint="eastAsia"/>
                <w:bCs/>
                <w:color w:val="000000"/>
                <w:szCs w:val="21"/>
                <w:highlight w:val="none"/>
              </w:rPr>
              <w:t xml:space="preserve">3</w:t>
            </w:r>
            <w:r>
              <w:rPr>
                <w:bCs/>
                <w:color w:val="000000"/>
                <w:szCs w:val="21"/>
                <w:highlight w:val="none"/>
              </w:rPr>
              <w:t xml:space="preserve">分。需提供售后服务承诺书（若投标文件中出现前后不一致的情况，以最低免费质保期作为评分依据）。</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rFonts w:hint="eastAsia"/>
                <w:bCs/>
                <w:color w:val="000000"/>
                <w:szCs w:val="21"/>
                <w:highlight w:val="none"/>
              </w:rPr>
            </w:pPr>
            <w:r>
              <w:rPr>
                <w:rFonts w:hint="eastAsia"/>
                <w:bCs/>
                <w:color w:val="000000"/>
                <w:szCs w:val="21"/>
                <w:highlight w:val="none"/>
              </w:rPr>
              <w:t xml:space="preserve">3</w:t>
            </w:r>
            <w:r>
              <w:rPr>
                <w:rFonts w:hint="eastAsia"/>
                <w:bCs/>
                <w:color w:val="000000"/>
                <w:szCs w:val="21"/>
                <w:highlight w:val="none"/>
              </w:rPr>
            </w:r>
            <w:r>
              <w:rPr>
                <w:highlight w:val="none"/>
              </w:rPr>
            </w:r>
          </w:p>
        </w:tc>
      </w:tr>
      <w:tr>
        <w:trPr>
          <w:trHeight w:val="836"/>
        </w:trPr>
        <w:tc>
          <w:tcPr>
            <w:tcW w:w="308" w:type="dxa"/>
            <w:vAlign w:val="center"/>
            <w:textDirection w:val="lrTb"/>
            <w:noWrap w:val="false"/>
          </w:tcPr>
          <w:p>
            <w:pPr>
              <w:pStyle w:val="1168"/>
              <w:jc w:val="center"/>
              <w:spacing w:line="360" w:lineRule="auto"/>
              <w:rPr>
                <w:bCs/>
                <w:color w:val="000000"/>
                <w:szCs w:val="21"/>
                <w:highlight w:val="none"/>
              </w:rPr>
            </w:pPr>
            <w:r>
              <w:rPr>
                <w:rFonts w:hint="eastAsia"/>
                <w:bCs/>
                <w:color w:val="000000"/>
                <w:szCs w:val="21"/>
                <w:highlight w:val="none"/>
              </w:rPr>
              <w:t xml:space="preserve">5</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rFonts w:hint="eastAsia"/>
                <w:color w:val="000000"/>
                <w:highlight w:val="none"/>
              </w:rPr>
              <w:t xml:space="preserve">应急方案</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rFonts w:hint="eastAsia"/>
                <w:color w:val="000000"/>
                <w:highlight w:val="none"/>
              </w:rPr>
            </w:pPr>
            <w:r>
              <w:rPr>
                <w:rFonts w:hint="eastAsia"/>
                <w:color w:val="000000"/>
                <w:highlight w:val="none"/>
              </w:rPr>
              <w:t xml:space="preserve">根据</w:t>
            </w:r>
            <w:r>
              <w:rPr>
                <w:bCs/>
                <w:color w:val="000000"/>
                <w:highlight w:val="none"/>
              </w:rPr>
              <w:t xml:space="preserve">供应商</w:t>
            </w:r>
            <w:r>
              <w:rPr>
                <w:rFonts w:hint="eastAsia"/>
                <w:color w:val="000000"/>
                <w:highlight w:val="none"/>
              </w:rPr>
              <w:t xml:space="preserve">提供符合采购方情况的应急保障方案和风险管理方案。</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color w:val="000000"/>
                <w:highlight w:val="none"/>
              </w:rPr>
              <w:t xml:space="preserve">4</w:t>
            </w:r>
            <w:r>
              <w:rPr>
                <w:rFonts w:hint="eastAsia"/>
                <w:color w:val="000000"/>
                <w:highlight w:val="none"/>
              </w:rPr>
              <w:t xml:space="preserve">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color w:val="000000"/>
                <w:highlight w:val="none"/>
              </w:rPr>
              <w:t xml:space="preserve">2</w:t>
            </w:r>
            <w:r>
              <w:rPr>
                <w:rFonts w:hint="eastAsia"/>
                <w:color w:val="000000"/>
                <w:highlight w:val="none"/>
              </w:rPr>
              <w:t xml:space="preserve">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应急处理方案略有缺陷经后期优化后可以符合采购需求的得1分；</w:t>
            </w:r>
            <w:r>
              <w:rPr>
                <w:rFonts w:hint="eastAsia"/>
                <w:color w:val="000000"/>
                <w:highlight w:val="none"/>
              </w:rPr>
            </w:r>
            <w:r>
              <w:rPr>
                <w:highlight w:val="none"/>
              </w:rPr>
            </w:r>
          </w:p>
          <w:p>
            <w:pPr>
              <w:pStyle w:val="1168"/>
              <w:spacing w:line="360" w:lineRule="auto"/>
              <w:rPr>
                <w:bCs/>
                <w:color w:val="000000"/>
                <w:szCs w:val="21"/>
                <w:highlight w:val="none"/>
              </w:rPr>
            </w:pPr>
            <w:r>
              <w:rPr>
                <w:rFonts w:hint="eastAsia"/>
                <w:color w:val="000000"/>
                <w:highlight w:val="none"/>
              </w:rPr>
              <w:t xml:space="preserve">未提供方案，或方案内容与本项目无关的不得分。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rFonts w:hint="eastAsia"/>
                <w:bCs/>
                <w:color w:val="000000"/>
                <w:szCs w:val="21"/>
                <w:highlight w:val="none"/>
              </w:rPr>
              <w:t xml:space="preserve">4</w:t>
            </w:r>
            <w:r>
              <w:rPr>
                <w:bCs/>
                <w:color w:val="000000"/>
                <w:szCs w:val="21"/>
                <w:highlight w:val="none"/>
              </w:rPr>
            </w:r>
            <w:r>
              <w:rPr>
                <w:highlight w:val="none"/>
              </w:rPr>
            </w:r>
          </w:p>
        </w:tc>
      </w:tr>
      <w:tr>
        <w:trPr>
          <w:trHeight w:val="514"/>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业绩</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highlight w:val="none"/>
              </w:rPr>
            </w:pPr>
            <w:r>
              <w:rPr>
                <w:bCs/>
                <w:color w:val="000000"/>
                <w:szCs w:val="21"/>
                <w:highlight w:val="none"/>
              </w:rPr>
              <w:t xml:space="preserve">2023</w:t>
            </w:r>
            <w:r>
              <w:rPr>
                <w:bCs/>
                <w:color w:val="000000"/>
                <w:highlight w:val="none"/>
              </w:rPr>
              <w:t xml:space="preserve">年</w:t>
            </w:r>
            <w:r>
              <w:rPr>
                <w:bCs/>
                <w:color w:val="000000"/>
                <w:szCs w:val="21"/>
                <w:highlight w:val="none"/>
              </w:rPr>
              <w:t xml:space="preserve">1</w:t>
            </w:r>
            <w:r>
              <w:rPr>
                <w:bCs/>
                <w:color w:val="000000"/>
                <w:highlight w:val="none"/>
              </w:rPr>
              <w:t xml:space="preserve">月</w:t>
            </w:r>
            <w:r>
              <w:rPr>
                <w:bCs/>
                <w:color w:val="000000"/>
                <w:szCs w:val="21"/>
                <w:highlight w:val="none"/>
              </w:rPr>
              <w:t xml:space="preserve">1</w:t>
            </w:r>
            <w:r>
              <w:rPr>
                <w:bCs/>
                <w:color w:val="000000"/>
                <w:highlight w:val="none"/>
              </w:rPr>
              <w:t xml:space="preserve">日（以合同签订时间为准）</w:t>
            </w:r>
            <w:r>
              <w:rPr>
                <w:color w:val="000000"/>
                <w:szCs w:val="21"/>
                <w:highlight w:val="none"/>
              </w:rPr>
              <w:t xml:space="preserve">至今，供应商或制造商</w:t>
            </w:r>
            <w:r>
              <w:rPr>
                <w:rFonts w:hint="eastAsia"/>
                <w:color w:val="000000"/>
                <w:szCs w:val="21"/>
                <w:highlight w:val="none"/>
              </w:rPr>
              <w:t xml:space="preserve">销售同型号</w:t>
            </w:r>
            <w:r>
              <w:rPr>
                <w:rFonts w:hint="eastAsia"/>
                <w:color w:val="000000"/>
                <w:highlight w:val="none"/>
              </w:rPr>
              <w:t xml:space="preserve">投标产品的业绩</w:t>
            </w:r>
            <w:r>
              <w:rPr>
                <w:bCs/>
                <w:color w:val="000000"/>
                <w:highlight w:val="none"/>
              </w:rPr>
              <w:t xml:space="preserve">，每提供一份得1分，最高5分。提供合同</w:t>
            </w:r>
            <w:r>
              <w:rPr>
                <w:rFonts w:hint="eastAsia"/>
                <w:bCs/>
                <w:color w:val="000000"/>
                <w:highlight w:val="none"/>
              </w:rPr>
              <w:t xml:space="preserve">和中标通知书</w:t>
            </w:r>
            <w:r>
              <w:rPr>
                <w:bCs/>
                <w:color w:val="000000"/>
                <w:highlight w:val="none"/>
              </w:rPr>
              <w:t xml:space="preserve">复印件</w:t>
            </w:r>
            <w:r>
              <w:rPr>
                <w:rFonts w:hint="eastAsia"/>
                <w:bCs/>
                <w:color w:val="000000"/>
                <w:highlight w:val="none"/>
              </w:rPr>
              <w:t xml:space="preserve">以及用户签章的验收单</w:t>
            </w:r>
            <w:r>
              <w:rPr>
                <w:bCs/>
                <w:color w:val="000000"/>
                <w:highlight w:val="none"/>
              </w:rPr>
              <w:t xml:space="preserve">并加盖公章</w:t>
            </w:r>
            <w:r>
              <w:rPr>
                <w:rFonts w:hint="eastAsia"/>
                <w:bCs/>
                <w:color w:val="000000"/>
                <w:highlight w:val="none"/>
              </w:rPr>
              <w:t xml:space="preserve">，</w:t>
            </w:r>
            <w:r>
              <w:rPr>
                <w:rFonts w:hint="eastAsia"/>
                <w:color w:val="000000"/>
                <w:szCs w:val="21"/>
                <w:highlight w:val="none"/>
              </w:rPr>
              <w:t xml:space="preserve">且必须含有标的物以及开具时间，否则不得分。如果中标通知书、供货合同和验收单未体现标的物内容或字样，并且评委也无法推断的，不得分。中标后，投标人提供中标通知书、合同原件和用户签章的验收单供采购单位复核，如若与投标文件不相符，视为提供虚假材料谋取中标，终止合同。</w:t>
            </w:r>
            <w:r>
              <w:rPr>
                <w:bCs/>
                <w:color w:val="000000"/>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488"/>
        </w:trPr>
        <w:tc>
          <w:tcPr>
            <w:tcW w:w="308"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国家政策导向</w:t>
            </w:r>
            <w:r>
              <w:rPr>
                <w:bCs/>
                <w:color w:val="000000"/>
                <w:szCs w:val="21"/>
                <w:highlight w:val="none"/>
              </w:rPr>
            </w:r>
            <w:r>
              <w:rPr>
                <w:highlight w:val="none"/>
              </w:rPr>
            </w:r>
          </w:p>
        </w:tc>
        <w:tc>
          <w:tcPr>
            <w:tcW w:w="3806"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bCs/>
                <w:color w:val="000000"/>
                <w:szCs w:val="21"/>
                <w:highlight w:val="none"/>
              </w:rPr>
            </w:r>
            <w:r>
              <w:rPr>
                <w:highlight w:val="none"/>
              </w:rPr>
            </w:r>
          </w:p>
          <w:p>
            <w:pPr>
              <w:pStyle w:val="1168"/>
              <w:spacing w:line="360" w:lineRule="auto"/>
              <w:rPr>
                <w:bCs/>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r>
    </w:tbl>
    <w:p>
      <w:pPr>
        <w:pStyle w:val="1224"/>
        <w:ind w:firstLine="0"/>
        <w:rPr>
          <w:color w:val="000000"/>
          <w:szCs w:val="21"/>
          <w:highlight w:val="none"/>
        </w:rPr>
        <w:outlineLvl w:val="1"/>
      </w:pPr>
      <w:r>
        <w:rPr>
          <w:highlight w:val="none"/>
        </w:rPr>
      </w:r>
      <w:bookmarkStart w:id="219" w:name="_Toc4919"/>
      <w:r>
        <w:rPr>
          <w:rFonts w:hint="eastAsia"/>
          <w:color w:val="000000"/>
          <w:szCs w:val="21"/>
          <w:highlight w:val="none"/>
        </w:rPr>
        <w:t xml:space="preserve">分包3：</w:t>
      </w:r>
      <w:bookmarkEnd w:id="219"/>
      <w:r>
        <w:rPr>
          <w:color w:val="000000"/>
          <w:szCs w:val="21"/>
          <w:highlight w:val="none"/>
        </w:rPr>
      </w:r>
      <w:r>
        <w:rPr>
          <w:highlight w:val="none"/>
        </w:rP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163"/>
        <w:gridCol w:w="7890"/>
        <w:gridCol w:w="670"/>
      </w:tblGrid>
      <w:tr>
        <w:trPr>
          <w:trHeight w:val="284"/>
          <w:tblHeader/>
        </w:trPr>
        <w:tc>
          <w:tcPr>
            <w:tcW w:w="307"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rPr>
                <w:highlight w:val="none"/>
              </w:rPr>
            </w:r>
          </w:p>
        </w:tc>
        <w:tc>
          <w:tcPr>
            <w:tcW w:w="3807"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分值</w:t>
            </w:r>
            <w:r>
              <w:rPr>
                <w:b/>
                <w:color w:val="000000"/>
                <w:szCs w:val="21"/>
                <w:highlight w:val="none"/>
              </w:rPr>
            </w:r>
            <w:r>
              <w:rPr>
                <w:highlight w:val="none"/>
              </w:rPr>
            </w:r>
          </w:p>
        </w:tc>
      </w:tr>
      <w:tr>
        <w:trPr>
          <w:trHeight w:val="925"/>
        </w:trPr>
        <w:tc>
          <w:tcPr>
            <w:tcW w:w="307"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价格</w:t>
            </w:r>
            <w:r>
              <w:rPr>
                <w:bCs/>
                <w:color w:val="000000"/>
                <w:szCs w:val="21"/>
                <w:highlight w:val="none"/>
              </w:rPr>
            </w:r>
            <w:r>
              <w:rPr>
                <w:highlight w:val="none"/>
              </w:rPr>
            </w:r>
          </w:p>
        </w:tc>
        <w:tc>
          <w:tcPr>
            <w:tcW w:w="3807"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30</w:t>
            </w:r>
            <w:r>
              <w:rPr>
                <w:bCs/>
                <w:color w:val="000000"/>
                <w:szCs w:val="21"/>
                <w:highlight w:val="none"/>
              </w:rPr>
            </w:r>
            <w:r>
              <w:rPr>
                <w:highlight w:val="none"/>
              </w:rPr>
            </w:r>
          </w:p>
        </w:tc>
      </w:tr>
      <w:tr>
        <w:trPr>
          <w:trHeight w:val="667"/>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技术响应</w:t>
            </w:r>
            <w:r>
              <w:rPr>
                <w:bCs/>
                <w:color w:val="000000"/>
                <w:szCs w:val="21"/>
                <w:highlight w:val="none"/>
              </w:rPr>
            </w:r>
            <w:r>
              <w:rPr>
                <w:highlight w:val="none"/>
              </w:rPr>
            </w:r>
          </w:p>
        </w:tc>
        <w:tc>
          <w:tcPr>
            <w:tcW w:w="3807" w:type="dxa"/>
            <w:vAlign w:val="center"/>
            <w:textDirection w:val="lrTb"/>
            <w:noWrap w:val="false"/>
          </w:tcPr>
          <w:p>
            <w:pPr>
              <w:pStyle w:val="1168"/>
              <w:jc w:val="left"/>
              <w:spacing w:line="360" w:lineRule="auto"/>
              <w:widowControl/>
              <w:rPr>
                <w:color w:val="000000"/>
                <w:szCs w:val="21"/>
                <w:highlight w:val="none"/>
              </w:rPr>
            </w:pPr>
            <w:r>
              <w:rPr>
                <w:color w:val="000000"/>
                <w:szCs w:val="21"/>
                <w:highlight w:val="none"/>
              </w:rPr>
              <w:t xml:space="preserve">设备技术参数全部满足招标要求的得满分30分；招标文件中标注“★”的内容为实质性要求，有一项不符合的，作无效投标处理；标注“▲”的内容为重要参数，每有一项负偏离扣</w:t>
            </w:r>
            <w:r>
              <w:rPr>
                <w:rFonts w:hint="eastAsia"/>
                <w:color w:val="000000"/>
                <w:szCs w:val="21"/>
                <w:highlight w:val="none"/>
              </w:rPr>
              <w:t xml:space="preserve">4</w:t>
            </w:r>
            <w:r>
              <w:rPr>
                <w:color w:val="000000"/>
                <w:szCs w:val="21"/>
                <w:highlight w:val="none"/>
              </w:rPr>
              <w:t xml:space="preserve">分，其他非重要参数负偏离的，则每项扣</w:t>
            </w:r>
            <w:r>
              <w:rPr>
                <w:rFonts w:hint="eastAsia"/>
                <w:color w:val="000000"/>
                <w:szCs w:val="21"/>
                <w:highlight w:val="none"/>
              </w:rPr>
              <w:t xml:space="preserve">1.5</w:t>
            </w:r>
            <w:r>
              <w:rPr>
                <w:color w:val="000000"/>
                <w:szCs w:val="21"/>
                <w:highlight w:val="none"/>
              </w:rPr>
              <w:t xml:space="preserve">分，扣完为止。</w:t>
            </w:r>
            <w:r>
              <w:rPr>
                <w:color w:val="000000"/>
                <w:szCs w:val="21"/>
                <w:highlight w:val="none"/>
              </w:rPr>
            </w:r>
            <w:r>
              <w:rPr>
                <w:highlight w:val="none"/>
              </w:rPr>
            </w:r>
          </w:p>
          <w:p>
            <w:pPr>
              <w:pStyle w:val="1168"/>
              <w:spacing w:line="360" w:lineRule="auto"/>
              <w:rPr>
                <w:bCs/>
                <w:color w:val="000000"/>
                <w:szCs w:val="21"/>
                <w:highlight w:val="none"/>
              </w:rPr>
            </w:pPr>
            <w:r>
              <w:rPr>
                <w:color w:val="000000"/>
                <w:szCs w:val="21"/>
                <w:highlight w:val="none"/>
              </w:rPr>
              <w:t xml:space="preserve">注：①凡标有最低一级序号的指标项即为一项技术条款，无论是否隶属于上一级编号；②采购文件中标注“▲”和“★”的条款均须在响应文件内提供技术支持资料（如白皮书、彩页、手册、检测报告、承诺函等），并在评审索引表中详细标明所在响应文件中的页码和位置。未提供技术支持资料的，评审时不予认可。</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30</w:t>
            </w:r>
            <w:r>
              <w:rPr>
                <w:bCs/>
                <w:color w:val="000000"/>
                <w:szCs w:val="21"/>
                <w:highlight w:val="none"/>
              </w:rPr>
            </w:r>
            <w:r>
              <w:rPr>
                <w:highlight w:val="none"/>
              </w:rPr>
            </w:r>
          </w:p>
        </w:tc>
      </w:tr>
      <w:tr>
        <w:trPr>
          <w:trHeight w:val="667"/>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2.2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7" w:type="dxa"/>
            <w:vAlign w:val="center"/>
            <w:textDirection w:val="lrTb"/>
            <w:noWrap w:val="false"/>
          </w:tcPr>
          <w:p>
            <w:pPr>
              <w:pStyle w:val="1168"/>
              <w:spacing w:line="360" w:lineRule="auto"/>
              <w:rPr>
                <w:bCs/>
                <w:color w:val="000000"/>
                <w:szCs w:val="21"/>
                <w:highlight w:val="none"/>
              </w:rPr>
            </w:pPr>
            <w:r>
              <w:rPr>
                <w:bCs/>
                <w:color w:val="000000"/>
                <w:highlight w:val="none"/>
              </w:rPr>
              <w:t xml:space="preserve">供应商提供的</w:t>
            </w:r>
            <w:r>
              <w:rPr>
                <w:rFonts w:ascii="宋体" w:hAnsi="宋体"/>
                <w:bCs/>
                <w:color w:val="000000"/>
                <w:highlight w:val="none"/>
              </w:rPr>
              <w:t xml:space="preserve">产</w:t>
            </w:r>
            <w:r>
              <w:rPr>
                <w:rFonts w:ascii="宋体" w:hAnsi="宋体"/>
                <w:bCs/>
                <w:color w:val="000000"/>
                <w:szCs w:val="21"/>
                <w:highlight w:val="none"/>
              </w:rPr>
              <w:t xml:space="preserve">品</w:t>
            </w:r>
            <w:r>
              <w:rPr>
                <w:rFonts w:hint="eastAsia" w:ascii="宋体" w:hAnsi="宋体" w:cs="仿宋"/>
                <w:color w:val="000000"/>
                <w:szCs w:val="21"/>
                <w:highlight w:val="none"/>
                <w:lang w:bidi="ar"/>
              </w:rPr>
              <w:t xml:space="preserve">选型、规格、设计的科学性、合理性、材质选用、制造工艺水平好</w:t>
            </w:r>
            <w:r>
              <w:rPr>
                <w:rFonts w:ascii="宋体" w:hAnsi="宋体"/>
                <w:bCs/>
                <w:color w:val="000000"/>
                <w:szCs w:val="21"/>
                <w:highlight w:val="none"/>
              </w:rPr>
              <w:t xml:space="preserve">，</w:t>
            </w:r>
            <w:r>
              <w:rPr>
                <w:rFonts w:hint="eastAsia" w:ascii="宋体" w:hAnsi="宋体" w:cs="仿宋"/>
                <w:color w:val="000000"/>
                <w:szCs w:val="21"/>
                <w:highlight w:val="none"/>
                <w:lang w:bidi="ar"/>
              </w:rPr>
              <w:t xml:space="preserve">且与项目需求的吻合度高</w:t>
            </w:r>
            <w:r>
              <w:rPr>
                <w:rFonts w:ascii="宋体" w:hAnsi="宋体"/>
                <w:bCs/>
                <w:color w:val="000000"/>
                <w:szCs w:val="21"/>
                <w:highlight w:val="none"/>
              </w:rPr>
              <w:t xml:space="preserve">得</w:t>
            </w:r>
            <w:r>
              <w:rPr>
                <w:rFonts w:ascii="宋体" w:hAnsi="宋体"/>
                <w:bCs/>
                <w:color w:val="000000"/>
                <w:szCs w:val="21"/>
                <w:highlight w:val="none"/>
              </w:rPr>
              <w:t xml:space="preserve">8</w:t>
            </w:r>
            <w:r>
              <w:rPr>
                <w:rFonts w:ascii="宋体" w:hAnsi="宋体"/>
                <w:bCs/>
                <w:color w:val="000000"/>
                <w:szCs w:val="21"/>
                <w:highlight w:val="none"/>
              </w:rPr>
              <w:t xml:space="preserve">分；</w:t>
            </w:r>
            <w:r>
              <w:rPr>
                <w:rFonts w:hint="eastAsia" w:ascii="宋体" w:hAnsi="宋体" w:cs="仿宋"/>
                <w:color w:val="000000"/>
                <w:szCs w:val="21"/>
                <w:highlight w:val="none"/>
                <w:lang w:bidi="ar"/>
              </w:rPr>
              <w:t xml:space="preserve">选型较好、规格、设计的较为科学合理，制造工艺水平较好，且与项目需求的吻合度较好</w:t>
            </w:r>
            <w:r>
              <w:rPr>
                <w:rFonts w:ascii="宋体" w:hAnsi="宋体"/>
                <w:bCs/>
                <w:color w:val="000000"/>
                <w:szCs w:val="21"/>
                <w:highlight w:val="none"/>
              </w:rPr>
              <w:t xml:space="preserve">得</w:t>
            </w:r>
            <w:r>
              <w:rPr>
                <w:rFonts w:hint="eastAsia" w:ascii="宋体" w:hAnsi="宋体"/>
                <w:bCs/>
                <w:color w:val="000000"/>
                <w:szCs w:val="21"/>
                <w:highlight w:val="none"/>
              </w:rPr>
              <w:t xml:space="preserve">5</w:t>
            </w:r>
            <w:r>
              <w:rPr>
                <w:rFonts w:ascii="宋体" w:hAnsi="宋体"/>
                <w:bCs/>
                <w:color w:val="000000"/>
                <w:szCs w:val="21"/>
                <w:highlight w:val="none"/>
              </w:rPr>
              <w:t xml:space="preserve">分；</w:t>
            </w:r>
            <w:r>
              <w:rPr>
                <w:rFonts w:hint="eastAsia" w:ascii="宋体" w:hAnsi="宋体" w:cs="仿宋"/>
                <w:color w:val="000000"/>
                <w:szCs w:val="21"/>
                <w:highlight w:val="none"/>
                <w:lang w:bidi="ar"/>
              </w:rPr>
              <w:t xml:space="preserve">产品选型一般、规格、设计的一般合理，制造工艺水平一般且与项目需求的吻合度一般</w:t>
            </w:r>
            <w:r>
              <w:rPr>
                <w:rFonts w:ascii="宋体" w:hAnsi="宋体"/>
                <w:bCs/>
                <w:color w:val="000000"/>
                <w:szCs w:val="21"/>
                <w:highlight w:val="none"/>
              </w:rPr>
              <w:t xml:space="preserve">得</w:t>
            </w:r>
            <w:r>
              <w:rPr>
                <w:rFonts w:hint="eastAsia" w:ascii="宋体" w:hAnsi="宋体"/>
                <w:bCs/>
                <w:color w:val="000000"/>
                <w:szCs w:val="21"/>
                <w:highlight w:val="none"/>
              </w:rPr>
              <w:t xml:space="preserve">2</w:t>
            </w:r>
            <w:r>
              <w:rPr>
                <w:rFonts w:ascii="宋体" w:hAnsi="宋体"/>
                <w:bCs/>
                <w:color w:val="000000"/>
                <w:szCs w:val="21"/>
                <w:highlight w:val="none"/>
              </w:rPr>
              <w:t xml:space="preserve">分；未提供不得</w:t>
            </w:r>
            <w:r>
              <w:rPr>
                <w:rFonts w:ascii="宋体" w:hAnsi="宋体"/>
                <w:bCs/>
                <w:color w:val="000000"/>
                <w:highlight w:val="none"/>
              </w:rPr>
              <w:t xml:space="preserve">分</w:t>
            </w:r>
            <w:r>
              <w:rPr>
                <w:bCs/>
                <w:color w:val="000000"/>
                <w:highlight w:val="none"/>
              </w:rPr>
              <w:t xml:space="preserve">。</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8</w:t>
            </w:r>
            <w:r>
              <w:rPr>
                <w:bCs/>
                <w:color w:val="000000"/>
                <w:szCs w:val="21"/>
                <w:highlight w:val="none"/>
              </w:rPr>
            </w:r>
            <w:r>
              <w:rPr>
                <w:highlight w:val="none"/>
              </w:rPr>
            </w:r>
          </w:p>
        </w:tc>
      </w:tr>
      <w:tr>
        <w:trPr>
          <w:trHeight w:val="297"/>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3</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实施方案</w:t>
            </w:r>
            <w:r>
              <w:rPr>
                <w:bCs/>
                <w:color w:val="000000"/>
                <w:szCs w:val="21"/>
                <w:highlight w:val="none"/>
              </w:rPr>
            </w:r>
            <w:r>
              <w:rPr>
                <w:highlight w:val="none"/>
              </w:rPr>
            </w:r>
          </w:p>
        </w:tc>
        <w:tc>
          <w:tcPr>
            <w:tcW w:w="3807" w:type="dxa"/>
            <w:vAlign w:val="center"/>
            <w:textDirection w:val="lrTb"/>
            <w:noWrap w:val="false"/>
          </w:tcPr>
          <w:p>
            <w:pPr>
              <w:pStyle w:val="1168"/>
              <w:spacing w:line="360" w:lineRule="auto"/>
              <w:rPr>
                <w:rFonts w:hint="eastAsia" w:ascii="宋体" w:hAnsi="宋体"/>
                <w:color w:val="000000"/>
                <w:highlight w:val="none"/>
              </w:rPr>
            </w:pPr>
            <w:r>
              <w:rPr>
                <w:bCs/>
                <w:color w:val="000000"/>
                <w:szCs w:val="21"/>
                <w:highlight w:val="none"/>
              </w:rPr>
              <w:t xml:space="preserve">根据投标人提供的项目实施方案，包括但不限于</w:t>
            </w:r>
            <w:r>
              <w:rPr>
                <w:bCs/>
                <w:color w:val="000000"/>
                <w:szCs w:val="21"/>
                <w:highlight w:val="none"/>
              </w:rPr>
              <w:t xml:space="preserve">质量保证措施、</w:t>
            </w:r>
            <w:r>
              <w:rPr>
                <w:bCs/>
                <w:color w:val="000000"/>
                <w:szCs w:val="21"/>
                <w:highlight w:val="none"/>
              </w:rPr>
              <w:t xml:space="preserve">安装调试、试运行、测试、培训、</w:t>
            </w:r>
            <w:r>
              <w:rPr>
                <w:bCs/>
                <w:color w:val="000000"/>
                <w:szCs w:val="21"/>
                <w:highlight w:val="none"/>
              </w:rPr>
              <w:t xml:space="preserve">组织部署、技术方案、人员配置、时间进度安排的合理性、科学性等进行比较评分</w:t>
            </w:r>
            <w:r>
              <w:rPr>
                <w:rFonts w:hint="eastAsia"/>
                <w:bCs/>
                <w:color w:val="000000"/>
                <w:szCs w:val="21"/>
                <w:highlight w:val="none"/>
              </w:rPr>
              <w:t xml:space="preserve">，</w:t>
            </w:r>
            <w:r>
              <w:rPr>
                <w:rFonts w:hint="eastAsia" w:ascii="宋体" w:hAnsi="宋体"/>
                <w:color w:val="000000"/>
                <w:highlight w:val="none"/>
              </w:rPr>
            </w:r>
            <w:r>
              <w:rPr>
                <w:highlight w:val="none"/>
              </w:rPr>
            </w:r>
          </w:p>
          <w:p>
            <w:pPr>
              <w:pStyle w:val="1168"/>
              <w:spacing w:line="360" w:lineRule="auto"/>
              <w:rPr>
                <w:bCs/>
                <w:color w:val="000000"/>
                <w:szCs w:val="21"/>
                <w:highlight w:val="none"/>
              </w:rPr>
            </w:pPr>
            <w:r>
              <w:rPr>
                <w:bCs/>
                <w:color w:val="000000"/>
                <w:szCs w:val="21"/>
                <w:highlight w:val="none"/>
              </w:rPr>
              <w:t xml:space="preserve">实施方案完善、可操作性强得7分；实施方案略有瑕疵、具有可操作性得4分，实施方案较差，可操作性较差得1分，不提供不得分。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rFonts w:hint="eastAsia"/>
                <w:bCs/>
                <w:color w:val="000000"/>
                <w:szCs w:val="21"/>
                <w:highlight w:val="none"/>
              </w:rPr>
            </w:pPr>
            <w:r>
              <w:rPr>
                <w:bCs/>
                <w:color w:val="000000"/>
                <w:szCs w:val="21"/>
                <w:highlight w:val="none"/>
              </w:rPr>
              <w:t xml:space="preserve">7</w:t>
            </w:r>
            <w:r>
              <w:rPr>
                <w:rFonts w:hint="eastAsia"/>
                <w:bCs/>
                <w:color w:val="000000"/>
                <w:szCs w:val="21"/>
                <w:highlight w:val="none"/>
              </w:rPr>
            </w:r>
            <w:r>
              <w:rPr>
                <w:highlight w:val="none"/>
              </w:rPr>
            </w:r>
          </w:p>
        </w:tc>
      </w:tr>
      <w:tr>
        <w:trPr>
          <w:trHeight w:val="426"/>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4.1</w:t>
            </w:r>
            <w:r>
              <w:rPr>
                <w:bCs/>
                <w:color w:val="000000"/>
                <w:szCs w:val="21"/>
                <w:highlight w:val="none"/>
              </w:rPr>
            </w:r>
            <w:r>
              <w:rPr>
                <w:highlight w:val="none"/>
              </w:rPr>
            </w:r>
          </w:p>
        </w:tc>
        <w:tc>
          <w:tcPr>
            <w:tcW w:w="561" w:type="dxa"/>
            <w:vAlign w:val="center"/>
            <w:vMerge w:val="restart"/>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售后服务</w:t>
            </w:r>
            <w:r>
              <w:rPr>
                <w:bCs/>
                <w:color w:val="000000"/>
                <w:szCs w:val="21"/>
                <w:highlight w:val="none"/>
              </w:rPr>
            </w:r>
            <w:r>
              <w:rPr>
                <w:highlight w:val="none"/>
              </w:rPr>
            </w:r>
          </w:p>
        </w:tc>
        <w:tc>
          <w:tcPr>
            <w:tcW w:w="3807" w:type="dxa"/>
            <w:vAlign w:val="center"/>
            <w:textDirection w:val="lrTb"/>
            <w:noWrap w:val="false"/>
          </w:tcPr>
          <w:p>
            <w:pPr>
              <w:pStyle w:val="1168"/>
              <w:jc w:val="left"/>
              <w:spacing w:line="360" w:lineRule="auto"/>
              <w:widowControl/>
              <w:rPr>
                <w:bCs/>
                <w:color w:val="000000"/>
                <w:szCs w:val="21"/>
                <w:highlight w:val="none"/>
              </w:rPr>
            </w:pPr>
            <w:r>
              <w:rPr>
                <w:bCs/>
                <w:color w:val="000000"/>
                <w:szCs w:val="21"/>
                <w:highlight w:val="none"/>
              </w:rPr>
              <w:t xml:space="preserve">根据供应商针对本项目的售后服务方案（如服务体系、服务内容、服务承诺、故障解决方案</w:t>
            </w:r>
            <w:r>
              <w:rPr>
                <w:rFonts w:hint="eastAsia"/>
                <w:bCs/>
                <w:color w:val="000000"/>
                <w:szCs w:val="21"/>
                <w:highlight w:val="none"/>
              </w:rPr>
              <w:t xml:space="preserve">、</w:t>
            </w:r>
            <w:r>
              <w:rPr>
                <w:bCs/>
                <w:color w:val="000000"/>
                <w:szCs w:val="21"/>
                <w:highlight w:val="none"/>
              </w:rPr>
              <w:t xml:space="preserve">专业技术人员保障、质保期满后的售后服务范围和收费情况</w:t>
            </w:r>
            <w:r>
              <w:rPr>
                <w:rFonts w:hint="eastAsia" w:ascii="宋体" w:hAnsi="宋体" w:cs="宋体"/>
                <w:color w:val="000000"/>
                <w:highlight w:val="none"/>
              </w:rPr>
              <w:t xml:space="preserve">及其他供应商可提供的优惠条件等</w:t>
            </w:r>
            <w:r>
              <w:rPr>
                <w:bCs/>
                <w:color w:val="000000"/>
                <w:szCs w:val="21"/>
                <w:highlight w:val="none"/>
              </w:rPr>
              <w:t xml:space="preserve">等）综合评分。</w:t>
            </w:r>
            <w:r>
              <w:rPr>
                <w:bCs/>
                <w:color w:val="000000"/>
                <w:szCs w:val="21"/>
                <w:highlight w:val="none"/>
              </w:rPr>
            </w:r>
            <w:r>
              <w:rPr>
                <w:highlight w:val="none"/>
              </w:rPr>
            </w:r>
          </w:p>
          <w:p>
            <w:pPr>
              <w:pStyle w:val="1168"/>
              <w:jc w:val="left"/>
              <w:spacing w:line="360" w:lineRule="auto"/>
              <w:widowControl/>
              <w:rPr>
                <w:bCs/>
                <w:color w:val="000000"/>
                <w:szCs w:val="21"/>
                <w:highlight w:val="none"/>
              </w:rPr>
            </w:pPr>
            <w:r>
              <w:rPr>
                <w:bCs/>
                <w:color w:val="000000"/>
                <w:szCs w:val="21"/>
                <w:highlight w:val="none"/>
              </w:rPr>
              <w:t xml:space="preserve">售后服务方案科学详细、可行性、合理性强，得7分；售后服务方案比较科学、比较详细、可行性合理性较强，得4分；售后服务方案不够科学、不够详细、可行性合理性一般，得1分；未提供的不得分。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rPr>
                <w:highlight w:val="none"/>
              </w:rPr>
            </w:r>
          </w:p>
        </w:tc>
      </w:tr>
      <w:tr>
        <w:trPr>
          <w:trHeight w:val="1219"/>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4.2</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7" w:type="dxa"/>
            <w:vAlign w:val="center"/>
            <w:textDirection w:val="lrTb"/>
            <w:noWrap w:val="false"/>
          </w:tcPr>
          <w:p>
            <w:pPr>
              <w:pStyle w:val="1168"/>
              <w:jc w:val="left"/>
              <w:spacing w:line="360" w:lineRule="auto"/>
              <w:widowControl/>
              <w:rPr>
                <w:bCs/>
                <w:color w:val="000000"/>
                <w:highlight w:val="none"/>
              </w:rPr>
            </w:pPr>
            <w:r>
              <w:rPr>
                <w:color w:val="000000"/>
                <w:szCs w:val="21"/>
                <w:highlight w:val="none"/>
                <w:lang w:val="zh-TW"/>
              </w:rPr>
              <w:t xml:space="preserve">根据</w:t>
            </w:r>
            <w:r>
              <w:rPr>
                <w:bCs/>
                <w:color w:val="000000"/>
                <w:szCs w:val="21"/>
                <w:highlight w:val="none"/>
              </w:rPr>
              <w:t xml:space="preserve">供应商</w:t>
            </w:r>
            <w:r>
              <w:rPr>
                <w:color w:val="000000"/>
                <w:szCs w:val="21"/>
                <w:highlight w:val="none"/>
                <w:lang w:val="zh-TW"/>
              </w:rPr>
              <w:t xml:space="preserve">提供的培训方案、培训时间、培训内容进行评审：培训方案详细、完善、合理得</w:t>
            </w:r>
            <w:r>
              <w:rPr>
                <w:color w:val="000000"/>
                <w:szCs w:val="21"/>
                <w:highlight w:val="none"/>
              </w:rPr>
              <w:t xml:space="preserve">5</w:t>
            </w:r>
            <w:r>
              <w:rPr>
                <w:color w:val="000000"/>
                <w:szCs w:val="21"/>
                <w:highlight w:val="none"/>
                <w:lang w:val="zh-TW"/>
              </w:rPr>
              <w:t xml:space="preserve">分；培训方案较完善、尚有改进空间得</w:t>
            </w:r>
            <w:r>
              <w:rPr>
                <w:color w:val="000000"/>
                <w:szCs w:val="21"/>
                <w:highlight w:val="none"/>
              </w:rPr>
              <w:t xml:space="preserve">3</w:t>
            </w:r>
            <w:r>
              <w:rPr>
                <w:color w:val="000000"/>
                <w:szCs w:val="21"/>
                <w:highlight w:val="none"/>
                <w:lang w:val="zh-TW"/>
              </w:rPr>
              <w:t xml:space="preserve">分；培训方案仅满足项目基本需求得1分；未提供或基本不满足得0分。</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1210"/>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4.3</w:t>
            </w:r>
            <w:r>
              <w:rPr>
                <w:bCs/>
                <w:color w:val="000000"/>
                <w:szCs w:val="21"/>
                <w:highlight w:val="none"/>
              </w:rPr>
            </w:r>
            <w:r>
              <w:rPr>
                <w:highlight w:val="none"/>
              </w:rPr>
            </w:r>
          </w:p>
        </w:tc>
        <w:tc>
          <w:tcPr>
            <w:tcW w:w="561" w:type="dxa"/>
            <w:vAlign w:val="center"/>
            <w:vMerge w:val="continue"/>
            <w:textDirection w:val="lrTb"/>
            <w:noWrap w:val="false"/>
          </w:tcPr>
          <w:p>
            <w:pPr>
              <w:pStyle w:val="1168"/>
              <w:jc w:val="center"/>
              <w:spacing w:line="360" w:lineRule="auto"/>
              <w:rPr>
                <w:bCs/>
                <w:color w:val="000000"/>
                <w:szCs w:val="21"/>
                <w:highlight w:val="none"/>
              </w:rPr>
            </w:pPr>
            <w:r>
              <w:rPr>
                <w:bCs/>
                <w:color w:val="000000"/>
                <w:szCs w:val="21"/>
                <w:highlight w:val="none"/>
              </w:rPr>
            </w:r>
            <w:r/>
          </w:p>
        </w:tc>
        <w:tc>
          <w:tcPr>
            <w:tcW w:w="3807" w:type="dxa"/>
            <w:vAlign w:val="center"/>
            <w:textDirection w:val="lrTb"/>
            <w:noWrap w:val="false"/>
          </w:tcPr>
          <w:p>
            <w:pPr>
              <w:pStyle w:val="1168"/>
              <w:jc w:val="left"/>
              <w:spacing w:line="360" w:lineRule="auto"/>
              <w:widowControl/>
              <w:rPr>
                <w:bCs/>
                <w:color w:val="000000"/>
                <w:highlight w:val="none"/>
              </w:rPr>
            </w:pPr>
            <w:r>
              <w:rPr>
                <w:bCs/>
                <w:color w:val="000000"/>
                <w:szCs w:val="21"/>
                <w:highlight w:val="none"/>
              </w:rPr>
              <w:t xml:space="preserve">项目整体及所有设备满足招标文件免费质保期要求的不得分；在此基础上免费质保每增加1年加1分，本项最高得</w:t>
            </w:r>
            <w:r>
              <w:rPr>
                <w:rFonts w:hint="eastAsia"/>
                <w:bCs/>
                <w:color w:val="000000"/>
                <w:szCs w:val="21"/>
                <w:highlight w:val="none"/>
              </w:rPr>
              <w:t xml:space="preserve">2</w:t>
            </w:r>
            <w:r>
              <w:rPr>
                <w:bCs/>
                <w:color w:val="000000"/>
                <w:szCs w:val="21"/>
                <w:highlight w:val="none"/>
              </w:rPr>
              <w:t xml:space="preserve">分。需提供售后服务承诺书（若投标文件中出现前后不一致的情况，以最低免费质保期作为评分依据）。</w:t>
            </w:r>
            <w:r>
              <w:rPr>
                <w:bCs/>
                <w:color w:val="000000"/>
                <w:highlight w:val="none"/>
              </w:rPr>
            </w:r>
            <w:r>
              <w:rPr>
                <w:highlight w:val="none"/>
              </w:rPr>
            </w:r>
          </w:p>
        </w:tc>
        <w:tc>
          <w:tcPr>
            <w:tcW w:w="323" w:type="dxa"/>
            <w:vAlign w:val="center"/>
            <w:textDirection w:val="lrTb"/>
            <w:noWrap w:val="false"/>
          </w:tcPr>
          <w:p>
            <w:pPr>
              <w:pStyle w:val="1168"/>
              <w:jc w:val="center"/>
              <w:spacing w:line="360" w:lineRule="auto"/>
              <w:rPr>
                <w:rFonts w:hint="eastAsia"/>
                <w:bCs/>
                <w:color w:val="000000"/>
                <w:szCs w:val="21"/>
                <w:highlight w:val="none"/>
              </w:rPr>
            </w:pPr>
            <w:r>
              <w:rPr>
                <w:rFonts w:hint="eastAsia"/>
                <w:bCs/>
                <w:color w:val="000000"/>
                <w:szCs w:val="21"/>
                <w:highlight w:val="none"/>
              </w:rPr>
              <w:t xml:space="preserve">2</w:t>
            </w:r>
            <w:r>
              <w:rPr>
                <w:rFonts w:hint="eastAsia"/>
                <w:bCs/>
                <w:color w:val="000000"/>
                <w:szCs w:val="21"/>
                <w:highlight w:val="none"/>
              </w:rPr>
            </w:r>
            <w:r>
              <w:rPr>
                <w:highlight w:val="none"/>
              </w:rPr>
            </w:r>
          </w:p>
        </w:tc>
      </w:tr>
      <w:tr>
        <w:trPr>
          <w:trHeight w:val="836"/>
        </w:trPr>
        <w:tc>
          <w:tcPr>
            <w:tcW w:w="307" w:type="dxa"/>
            <w:vAlign w:val="center"/>
            <w:textDirection w:val="lrTb"/>
            <w:noWrap w:val="false"/>
          </w:tcPr>
          <w:p>
            <w:pPr>
              <w:pStyle w:val="1168"/>
              <w:jc w:val="center"/>
              <w:spacing w:line="360" w:lineRule="auto"/>
              <w:rPr>
                <w:bCs/>
                <w:color w:val="000000"/>
                <w:szCs w:val="21"/>
                <w:highlight w:val="none"/>
              </w:rPr>
            </w:pPr>
            <w:r>
              <w:rPr>
                <w:rFonts w:hint="eastAsia"/>
                <w:bCs/>
                <w:color w:val="000000"/>
                <w:szCs w:val="21"/>
                <w:highlight w:val="none"/>
              </w:rPr>
              <w:t xml:space="preserve">5</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rFonts w:hint="eastAsia"/>
                <w:color w:val="000000"/>
                <w:highlight w:val="none"/>
              </w:rPr>
              <w:t xml:space="preserve">应急方案</w:t>
            </w:r>
            <w:r>
              <w:rPr>
                <w:bCs/>
                <w:color w:val="000000"/>
                <w:szCs w:val="21"/>
                <w:highlight w:val="none"/>
              </w:rPr>
            </w:r>
            <w:r>
              <w:rPr>
                <w:highlight w:val="none"/>
              </w:rPr>
            </w:r>
          </w:p>
        </w:tc>
        <w:tc>
          <w:tcPr>
            <w:tcW w:w="3807" w:type="dxa"/>
            <w:vAlign w:val="center"/>
            <w:textDirection w:val="lrTb"/>
            <w:noWrap w:val="false"/>
          </w:tcPr>
          <w:p>
            <w:pPr>
              <w:pStyle w:val="1168"/>
              <w:spacing w:line="360" w:lineRule="auto"/>
              <w:rPr>
                <w:rFonts w:hint="eastAsia"/>
                <w:color w:val="000000"/>
                <w:highlight w:val="none"/>
              </w:rPr>
            </w:pPr>
            <w:r>
              <w:rPr>
                <w:rFonts w:hint="eastAsia"/>
                <w:color w:val="000000"/>
                <w:highlight w:val="none"/>
              </w:rPr>
              <w:t xml:space="preserve">根据</w:t>
            </w:r>
            <w:r>
              <w:rPr>
                <w:bCs/>
                <w:color w:val="000000"/>
                <w:szCs w:val="21"/>
                <w:highlight w:val="none"/>
              </w:rPr>
              <w:t xml:space="preserve">供应商</w:t>
            </w:r>
            <w:r>
              <w:rPr>
                <w:rFonts w:hint="eastAsia"/>
                <w:color w:val="000000"/>
                <w:highlight w:val="none"/>
              </w:rPr>
              <w:t xml:space="preserve">提供符合采购方情况的应急保障方案和风险管理方案。</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color w:val="000000"/>
                <w:highlight w:val="none"/>
              </w:rPr>
              <w:t xml:space="preserve">5</w:t>
            </w:r>
            <w:r>
              <w:rPr>
                <w:rFonts w:hint="eastAsia"/>
                <w:color w:val="000000"/>
                <w:highlight w:val="none"/>
              </w:rPr>
              <w:t xml:space="preserve">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方案合理可行，响应时间可行，应急处理措施可行，与采购人配合的对应措施可行，满足采购需求的得3分；</w:t>
            </w:r>
            <w:r>
              <w:rPr>
                <w:rFonts w:hint="eastAsia"/>
                <w:color w:val="000000"/>
                <w:highlight w:val="none"/>
              </w:rPr>
            </w:r>
            <w:r>
              <w:rPr>
                <w:highlight w:val="none"/>
              </w:rPr>
            </w:r>
          </w:p>
          <w:p>
            <w:pPr>
              <w:pStyle w:val="1168"/>
              <w:spacing w:line="360" w:lineRule="auto"/>
              <w:rPr>
                <w:rFonts w:hint="eastAsia"/>
                <w:color w:val="000000"/>
                <w:highlight w:val="none"/>
              </w:rPr>
            </w:pPr>
            <w:r>
              <w:rPr>
                <w:rFonts w:hint="eastAsia"/>
                <w:color w:val="000000"/>
                <w:highlight w:val="none"/>
              </w:rPr>
              <w:t xml:space="preserve">应急处理方案略有缺陷经后期优化后可以符合采购需求的得1分；</w:t>
            </w:r>
            <w:r>
              <w:rPr>
                <w:rFonts w:hint="eastAsia"/>
                <w:color w:val="000000"/>
                <w:highlight w:val="none"/>
              </w:rPr>
            </w:r>
            <w:r>
              <w:rPr>
                <w:highlight w:val="none"/>
              </w:rPr>
            </w:r>
          </w:p>
          <w:p>
            <w:pPr>
              <w:pStyle w:val="1168"/>
              <w:spacing w:line="360" w:lineRule="auto"/>
              <w:rPr>
                <w:bCs/>
                <w:color w:val="000000"/>
                <w:szCs w:val="21"/>
                <w:highlight w:val="none"/>
              </w:rPr>
            </w:pPr>
            <w:r>
              <w:rPr>
                <w:rFonts w:hint="eastAsia"/>
                <w:color w:val="000000"/>
                <w:highlight w:val="none"/>
              </w:rPr>
              <w:t xml:space="preserve">未提供方案，或方案内容与本项目无关的不得分。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rFonts w:hint="eastAsia"/>
                <w:bCs/>
                <w:color w:val="000000"/>
                <w:szCs w:val="21"/>
                <w:highlight w:val="none"/>
              </w:rPr>
              <w:t xml:space="preserve">5</w:t>
            </w:r>
            <w:r>
              <w:rPr>
                <w:bCs/>
                <w:color w:val="000000"/>
                <w:szCs w:val="21"/>
                <w:highlight w:val="none"/>
              </w:rPr>
            </w:r>
            <w:r>
              <w:rPr>
                <w:highlight w:val="none"/>
              </w:rPr>
            </w:r>
          </w:p>
        </w:tc>
      </w:tr>
      <w:tr>
        <w:trPr>
          <w:trHeight w:val="372"/>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业绩</w:t>
            </w:r>
            <w:r>
              <w:rPr>
                <w:bCs/>
                <w:color w:val="000000"/>
                <w:szCs w:val="21"/>
                <w:highlight w:val="none"/>
              </w:rPr>
            </w:r>
            <w:r>
              <w:rPr>
                <w:highlight w:val="none"/>
              </w:rPr>
            </w:r>
          </w:p>
        </w:tc>
        <w:tc>
          <w:tcPr>
            <w:tcW w:w="3807" w:type="dxa"/>
            <w:vAlign w:val="center"/>
            <w:textDirection w:val="lrTb"/>
            <w:noWrap w:val="false"/>
          </w:tcPr>
          <w:p>
            <w:pPr>
              <w:pStyle w:val="1168"/>
              <w:spacing w:line="360" w:lineRule="auto"/>
              <w:rPr>
                <w:bCs/>
                <w:color w:val="000000"/>
                <w:highlight w:val="none"/>
              </w:rPr>
            </w:pPr>
            <w:r>
              <w:rPr>
                <w:bCs/>
                <w:color w:val="000000"/>
                <w:szCs w:val="21"/>
                <w:highlight w:val="none"/>
              </w:rPr>
              <w:t xml:space="preserve">2023</w:t>
            </w:r>
            <w:r>
              <w:rPr>
                <w:bCs/>
                <w:color w:val="000000"/>
                <w:highlight w:val="none"/>
              </w:rPr>
              <w:t xml:space="preserve">年</w:t>
            </w:r>
            <w:r>
              <w:rPr>
                <w:bCs/>
                <w:color w:val="000000"/>
                <w:szCs w:val="21"/>
                <w:highlight w:val="none"/>
              </w:rPr>
              <w:t xml:space="preserve">1</w:t>
            </w:r>
            <w:r>
              <w:rPr>
                <w:bCs/>
                <w:color w:val="000000"/>
                <w:highlight w:val="none"/>
              </w:rPr>
              <w:t xml:space="preserve">月</w:t>
            </w:r>
            <w:r>
              <w:rPr>
                <w:bCs/>
                <w:color w:val="000000"/>
                <w:szCs w:val="21"/>
                <w:highlight w:val="none"/>
              </w:rPr>
              <w:t xml:space="preserve">1</w:t>
            </w:r>
            <w:r>
              <w:rPr>
                <w:bCs/>
                <w:color w:val="000000"/>
                <w:highlight w:val="none"/>
              </w:rPr>
              <w:t xml:space="preserve">日（以合同签订时间为准）</w:t>
            </w:r>
            <w:r>
              <w:rPr>
                <w:color w:val="000000"/>
                <w:szCs w:val="21"/>
                <w:highlight w:val="none"/>
              </w:rPr>
              <w:t xml:space="preserve">至今，供应商或制造商</w:t>
            </w:r>
            <w:r>
              <w:rPr>
                <w:rFonts w:hint="eastAsia"/>
                <w:color w:val="000000"/>
                <w:szCs w:val="21"/>
                <w:highlight w:val="none"/>
              </w:rPr>
              <w:t xml:space="preserve">销售同型号</w:t>
            </w:r>
            <w:r>
              <w:rPr>
                <w:rFonts w:hint="eastAsia"/>
                <w:color w:val="000000"/>
                <w:highlight w:val="none"/>
              </w:rPr>
              <w:t xml:space="preserve">投标产品的业绩</w:t>
            </w:r>
            <w:r>
              <w:rPr>
                <w:bCs/>
                <w:color w:val="000000"/>
                <w:highlight w:val="none"/>
              </w:rPr>
              <w:t xml:space="preserve">，每提供一份得1分，最高5分。提供</w:t>
            </w:r>
            <w:r>
              <w:rPr>
                <w:rFonts w:hint="eastAsia"/>
                <w:bCs/>
                <w:color w:val="000000"/>
                <w:highlight w:val="none"/>
              </w:rPr>
              <w:t xml:space="preserve">供货</w:t>
            </w:r>
            <w:r>
              <w:rPr>
                <w:bCs/>
                <w:color w:val="000000"/>
                <w:highlight w:val="none"/>
              </w:rPr>
              <w:t xml:space="preserve">合同</w:t>
            </w:r>
            <w:r>
              <w:rPr>
                <w:rFonts w:hint="eastAsia"/>
                <w:bCs/>
                <w:color w:val="000000"/>
                <w:highlight w:val="none"/>
              </w:rPr>
              <w:t xml:space="preserve">和</w:t>
            </w:r>
            <w:r>
              <w:rPr>
                <w:rFonts w:hint="eastAsia"/>
                <w:color w:val="000000"/>
                <w:szCs w:val="21"/>
                <w:highlight w:val="none"/>
              </w:rPr>
              <w:t xml:space="preserve">中标通知书</w:t>
            </w:r>
            <w:r>
              <w:rPr>
                <w:bCs/>
                <w:color w:val="000000"/>
                <w:highlight w:val="none"/>
              </w:rPr>
              <w:t xml:space="preserve">复印件并加盖公章</w:t>
            </w:r>
            <w:r>
              <w:rPr>
                <w:rFonts w:hint="eastAsia"/>
                <w:bCs/>
                <w:color w:val="000000"/>
                <w:highlight w:val="none"/>
              </w:rPr>
              <w:t xml:space="preserve">，</w:t>
            </w:r>
            <w:r>
              <w:rPr>
                <w:rFonts w:hint="eastAsia"/>
                <w:color w:val="000000"/>
                <w:szCs w:val="21"/>
                <w:highlight w:val="none"/>
              </w:rPr>
              <w:t xml:space="preserve">且必须含有标的物以及开具时间，否则不得分。如果中标通知书和供货合同未体现标的物内容或字样，并且评委也无法推断的，不得分。中标后，投标人提供中标通知书和合同原件供采购单位复核，如若与投标文件不相符，视为提供虚假材料谋取中标，终止合同。</w:t>
            </w:r>
            <w:r>
              <w:rPr>
                <w:bCs/>
                <w:color w:val="000000"/>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5</w:t>
            </w:r>
            <w:r>
              <w:rPr>
                <w:bCs/>
                <w:color w:val="000000"/>
                <w:szCs w:val="21"/>
                <w:highlight w:val="none"/>
              </w:rPr>
            </w:r>
            <w:r>
              <w:rPr>
                <w:highlight w:val="none"/>
              </w:rPr>
            </w:r>
          </w:p>
        </w:tc>
      </w:tr>
      <w:tr>
        <w:trPr>
          <w:trHeight w:val="488"/>
        </w:trPr>
        <w:tc>
          <w:tcPr>
            <w:tcW w:w="307"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rPr>
                <w:highlight w:val="none"/>
              </w:rPr>
            </w:r>
          </w:p>
        </w:tc>
        <w:tc>
          <w:tcPr>
            <w:tcW w:w="561" w:type="dxa"/>
            <w:vAlign w:val="center"/>
            <w:textDirection w:val="lrTb"/>
            <w:noWrap w:val="false"/>
          </w:tcPr>
          <w:p>
            <w:pPr>
              <w:pStyle w:val="1168"/>
              <w:jc w:val="center"/>
              <w:spacing w:line="360" w:lineRule="auto"/>
              <w:rPr>
                <w:bCs/>
                <w:color w:val="000000"/>
                <w:szCs w:val="21"/>
                <w:highlight w:val="none"/>
              </w:rPr>
            </w:pPr>
            <w:r>
              <w:rPr>
                <w:bCs/>
                <w:color w:val="000000"/>
                <w:szCs w:val="21"/>
                <w:highlight w:val="none"/>
              </w:rPr>
              <w:t xml:space="preserve">国家政策导向</w:t>
            </w:r>
            <w:r>
              <w:rPr>
                <w:bCs/>
                <w:color w:val="000000"/>
                <w:szCs w:val="21"/>
                <w:highlight w:val="none"/>
              </w:rPr>
            </w:r>
            <w:r>
              <w:rPr>
                <w:highlight w:val="none"/>
              </w:rPr>
            </w:r>
          </w:p>
        </w:tc>
        <w:tc>
          <w:tcPr>
            <w:tcW w:w="3807"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bCs/>
                <w:color w:val="000000"/>
                <w:szCs w:val="21"/>
                <w:highlight w:val="none"/>
              </w:rPr>
            </w:r>
            <w:r>
              <w:rPr>
                <w:highlight w:val="none"/>
              </w:rPr>
            </w:r>
          </w:p>
          <w:p>
            <w:pPr>
              <w:pStyle w:val="1168"/>
              <w:spacing w:line="360" w:lineRule="auto"/>
              <w:rPr>
                <w:bCs/>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bCs/>
                <w:color w:val="000000"/>
                <w:szCs w:val="21"/>
                <w:highlight w:val="none"/>
              </w:rPr>
            </w:r>
            <w:r>
              <w:rPr>
                <w:highlight w:val="none"/>
              </w:rPr>
            </w:r>
          </w:p>
        </w:tc>
        <w:tc>
          <w:tcPr>
            <w:tcW w:w="323" w:type="dxa"/>
            <w:vAlign w:val="center"/>
            <w:textDirection w:val="lrTb"/>
            <w:noWrap w:val="false"/>
          </w:tcPr>
          <w:p>
            <w:pPr>
              <w:pStyle w:val="1168"/>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rPr>
                <w:highlight w:val="none"/>
              </w:rPr>
            </w:r>
          </w:p>
        </w:tc>
      </w:tr>
    </w:tbl>
    <w:p>
      <w:pPr>
        <w:pStyle w:val="1168"/>
        <w:jc w:val="left"/>
        <w:widowControl/>
        <w:rPr>
          <w:color w:val="000000"/>
          <w:szCs w:val="22"/>
          <w:highlight w:val="none"/>
        </w:rPr>
      </w:pPr>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rPr>
          <w:highlight w:val="none"/>
        </w:rPr>
      </w:r>
    </w:p>
    <w:p>
      <w:pPr>
        <w:pStyle w:val="1168"/>
        <w:jc w:val="center"/>
        <w:spacing w:line="360" w:lineRule="auto"/>
        <w:rPr>
          <w:b/>
          <w:color w:val="000000"/>
          <w:sz w:val="28"/>
          <w:szCs w:val="28"/>
          <w:highlight w:val="none"/>
        </w:rPr>
        <w:outlineLvl w:val="0"/>
      </w:pPr>
      <w:r>
        <w:rPr>
          <w:highlight w:val="none"/>
        </w:rPr>
      </w:r>
      <w:bookmarkStart w:id="220" w:name="_Toc4696424"/>
      <w:r>
        <w:rPr>
          <w:b/>
          <w:color w:val="000000"/>
          <w:sz w:val="28"/>
          <w:szCs w:val="28"/>
          <w:highlight w:val="none"/>
        </w:rPr>
        <w:br w:type="page" w:clear="all"/>
      </w:r>
      <w:bookmarkStart w:id="221" w:name="_Toc4040"/>
      <w:r>
        <w:rPr>
          <w:b/>
          <w:color w:val="000000"/>
          <w:sz w:val="28"/>
          <w:szCs w:val="28"/>
          <w:highlight w:val="none"/>
        </w:rPr>
        <w:t xml:space="preserve">第四章 招标技术规格及要求</w:t>
      </w:r>
      <w:bookmarkEnd w:id="220"/>
      <w:r>
        <w:rPr>
          <w:highlight w:val="none"/>
        </w:rPr>
      </w:r>
      <w:bookmarkEnd w:id="221"/>
      <w:r>
        <w:rPr>
          <w:b/>
          <w:color w:val="000000"/>
          <w:sz w:val="28"/>
          <w:szCs w:val="28"/>
          <w:highlight w:val="none"/>
        </w:rPr>
      </w:r>
      <w:r>
        <w:rPr>
          <w:highlight w:val="none"/>
        </w:rPr>
      </w:r>
    </w:p>
    <w:p>
      <w:pPr>
        <w:pStyle w:val="1168"/>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rPr>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041"/>
        <w:gridCol w:w="783"/>
        <w:gridCol w:w="2189"/>
        <w:gridCol w:w="1817"/>
        <w:gridCol w:w="1229"/>
        <w:gridCol w:w="1004"/>
      </w:tblGrid>
      <w:tr>
        <w:trPr>
          <w:trHeight w:val="1125"/>
        </w:trPr>
        <w:tc>
          <w:tcPr>
            <w:tcW w:w="401" w:type="dxa"/>
            <w:vAlign w:val="center"/>
            <w:textDirection w:val="lrTb"/>
            <w:noWrap w:val="false"/>
          </w:tcPr>
          <w:p>
            <w:pPr>
              <w:pStyle w:val="1168"/>
              <w:ind w:right="-107"/>
              <w:spacing w:line="460" w:lineRule="exact"/>
              <w:tabs>
                <w:tab w:val="left" w:pos="4788" w:leader="none"/>
              </w:tabs>
              <w:rPr>
                <w:b/>
                <w:color w:val="000000"/>
                <w:szCs w:val="21"/>
                <w:highlight w:val="none"/>
              </w:rPr>
            </w:pPr>
            <w:r>
              <w:rPr>
                <w:highlight w:val="none"/>
              </w:rPr>
            </w:r>
            <w:bookmarkStart w:id="222" w:name="_Toc2516"/>
            <w:r>
              <w:rPr>
                <w:b/>
                <w:color w:val="000000"/>
                <w:szCs w:val="21"/>
                <w:highlight w:val="none"/>
              </w:rPr>
              <w:t xml:space="preserve">分包号</w:t>
            </w:r>
            <w:r>
              <w:rPr>
                <w:b/>
                <w:color w:val="000000"/>
                <w:szCs w:val="21"/>
                <w:highlight w:val="none"/>
              </w:rPr>
            </w:r>
            <w:r>
              <w:rPr>
                <w:highlight w:val="none"/>
              </w:rPr>
            </w:r>
          </w:p>
        </w:tc>
        <w:tc>
          <w:tcPr>
            <w:tcW w:w="1035" w:type="dxa"/>
            <w:vAlign w:val="center"/>
            <w:textDirection w:val="lrTb"/>
            <w:noWrap w:val="false"/>
          </w:tcPr>
          <w:p>
            <w:pPr>
              <w:pStyle w:val="1168"/>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rPr>
                <w:highlight w:val="none"/>
              </w:rPr>
            </w:r>
          </w:p>
        </w:tc>
        <w:tc>
          <w:tcPr>
            <w:tcW w:w="397" w:type="dxa"/>
            <w:vAlign w:val="center"/>
            <w:textDirection w:val="lrTb"/>
            <w:noWrap w:val="false"/>
          </w:tcPr>
          <w:p>
            <w:pPr>
              <w:pStyle w:val="1168"/>
              <w:ind w:right="-107"/>
              <w:jc w:val="center"/>
              <w:spacing w:line="460" w:lineRule="exact"/>
              <w:tabs>
                <w:tab w:val="left" w:pos="4788" w:leader="none"/>
              </w:tabs>
              <w:rPr>
                <w:b/>
                <w:color w:val="000000"/>
                <w:szCs w:val="21"/>
                <w:highlight w:val="none"/>
              </w:rPr>
            </w:pPr>
            <w:r>
              <w:rPr>
                <w:b/>
                <w:color w:val="000000"/>
                <w:szCs w:val="21"/>
                <w:highlight w:val="none"/>
              </w:rPr>
              <w:t xml:space="preserve">数量（套）</w:t>
            </w:r>
            <w:r>
              <w:rPr>
                <w:b/>
                <w:color w:val="000000"/>
                <w:szCs w:val="21"/>
                <w:highlight w:val="none"/>
              </w:rPr>
            </w:r>
            <w:r>
              <w:rPr>
                <w:highlight w:val="none"/>
              </w:rPr>
            </w:r>
          </w:p>
        </w:tc>
        <w:tc>
          <w:tcPr>
            <w:tcW w:w="1110" w:type="dxa"/>
            <w:vAlign w:val="center"/>
            <w:textDirection w:val="lrTb"/>
            <w:noWrap w:val="false"/>
          </w:tcPr>
          <w:p>
            <w:pPr>
              <w:pStyle w:val="1168"/>
              <w:jc w:val="center"/>
              <w:spacing w:line="460" w:lineRule="exact"/>
              <w:tabs>
                <w:tab w:val="left" w:pos="4788" w:leader="none"/>
              </w:tabs>
              <w:rPr>
                <w:b/>
                <w:color w:val="000000"/>
                <w:szCs w:val="21"/>
                <w:highlight w:val="none"/>
              </w:rPr>
            </w:pPr>
            <w:r>
              <w:rPr>
                <w:color w:val="000000"/>
                <w:szCs w:val="21"/>
                <w:highlight w:val="none"/>
              </w:rPr>
              <w:t xml:space="preserve">★</w:t>
            </w:r>
            <w:r>
              <w:rPr>
                <w:b/>
                <w:color w:val="000000"/>
                <w:szCs w:val="21"/>
                <w:highlight w:val="none"/>
              </w:rPr>
              <w:t xml:space="preserve">合同履行期限</w:t>
            </w:r>
            <w:r>
              <w:rPr>
                <w:b/>
                <w:color w:val="000000"/>
                <w:szCs w:val="21"/>
                <w:highlight w:val="none"/>
              </w:rPr>
            </w:r>
            <w:r>
              <w:rPr>
                <w:highlight w:val="none"/>
              </w:rPr>
            </w:r>
          </w:p>
        </w:tc>
        <w:tc>
          <w:tcPr>
            <w:tcW w:w="921" w:type="dxa"/>
            <w:vAlign w:val="center"/>
            <w:textDirection w:val="lrTb"/>
            <w:noWrap w:val="false"/>
          </w:tcPr>
          <w:p>
            <w:pPr>
              <w:pStyle w:val="1168"/>
              <w:jc w:val="center"/>
              <w:spacing w:line="460" w:lineRule="exact"/>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rPr>
                <w:highlight w:val="none"/>
              </w:rPr>
            </w:r>
          </w:p>
          <w:p>
            <w:pPr>
              <w:pStyle w:val="1168"/>
              <w:jc w:val="center"/>
              <w:spacing w:line="460" w:lineRule="exact"/>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rPr>
                <w:highlight w:val="none"/>
              </w:rPr>
            </w:r>
          </w:p>
        </w:tc>
        <w:tc>
          <w:tcPr>
            <w:tcW w:w="623" w:type="dxa"/>
            <w:vAlign w:val="center"/>
            <w:textDirection w:val="lrTb"/>
            <w:noWrap w:val="false"/>
          </w:tcPr>
          <w:p>
            <w:pPr>
              <w:pStyle w:val="1168"/>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rPr>
                <w:highlight w:val="none"/>
              </w:rPr>
            </w:r>
          </w:p>
        </w:tc>
        <w:tc>
          <w:tcPr>
            <w:tcW w:w="509" w:type="dxa"/>
            <w:vAlign w:val="center"/>
            <w:textDirection w:val="lrTb"/>
            <w:noWrap w:val="false"/>
          </w:tcPr>
          <w:p>
            <w:pPr>
              <w:pStyle w:val="1168"/>
              <w:jc w:val="center"/>
              <w:spacing w:line="460" w:lineRule="exact"/>
              <w:tabs>
                <w:tab w:val="left" w:pos="4788" w:leader="none"/>
              </w:tabs>
              <w:rPr>
                <w:b/>
                <w:color w:val="000000"/>
                <w:szCs w:val="21"/>
                <w:highlight w:val="none"/>
              </w:rPr>
            </w:pPr>
            <w:r>
              <w:rPr>
                <w:b/>
                <w:color w:val="000000"/>
                <w:szCs w:val="21"/>
                <w:highlight w:val="none"/>
              </w:rPr>
              <w:t xml:space="preserve">免费质保期</w:t>
            </w:r>
            <w:r>
              <w:rPr>
                <w:b/>
                <w:color w:val="000000"/>
                <w:szCs w:val="21"/>
                <w:highlight w:val="none"/>
              </w:rPr>
            </w:r>
            <w:r>
              <w:rPr>
                <w:highlight w:val="none"/>
              </w:rPr>
            </w:r>
          </w:p>
        </w:tc>
      </w:tr>
      <w:tr>
        <w:trPr>
          <w:trHeight w:val="467"/>
        </w:trPr>
        <w:tc>
          <w:tcPr>
            <w:tcW w:w="401" w:type="dxa"/>
            <w:vAlign w:val="center"/>
            <w:textDirection w:val="lrTb"/>
            <w:noWrap w:val="false"/>
          </w:tcPr>
          <w:p>
            <w:pPr>
              <w:pStyle w:val="1168"/>
              <w:jc w:val="center"/>
              <w:rPr>
                <w:color w:val="000000"/>
                <w:szCs w:val="21"/>
                <w:highlight w:val="none"/>
              </w:rPr>
            </w:pPr>
            <w:r>
              <w:rPr>
                <w:color w:val="000000"/>
                <w:szCs w:val="21"/>
                <w:highlight w:val="none"/>
              </w:rPr>
              <w:t xml:space="preserve">1</w:t>
            </w:r>
            <w:r>
              <w:rPr>
                <w:color w:val="000000"/>
                <w:szCs w:val="21"/>
                <w:highlight w:val="none"/>
              </w:rPr>
            </w:r>
            <w:r>
              <w:rPr>
                <w:highlight w:val="none"/>
              </w:rPr>
            </w:r>
          </w:p>
        </w:tc>
        <w:tc>
          <w:tcPr>
            <w:tcW w:w="1035" w:type="dxa"/>
            <w:vAlign w:val="center"/>
            <w:textDirection w:val="lrTb"/>
            <w:noWrap w:val="false"/>
          </w:tcPr>
          <w:p>
            <w:pPr>
              <w:pStyle w:val="1168"/>
              <w:jc w:val="center"/>
              <w:rPr>
                <w:color w:val="000000"/>
                <w:szCs w:val="21"/>
                <w:highlight w:val="none"/>
              </w:rPr>
            </w:pPr>
            <w:r>
              <w:rPr>
                <w:color w:val="000000"/>
                <w:highlight w:val="none"/>
              </w:rPr>
              <w:t xml:space="preserve">平板速冻机</w:t>
            </w:r>
            <w:r>
              <w:rPr>
                <w:color w:val="000000"/>
                <w:szCs w:val="21"/>
                <w:highlight w:val="none"/>
                <w:lang w:val="zh-CN"/>
              </w:rPr>
            </w:r>
            <w:r>
              <w:rPr>
                <w:highlight w:val="none"/>
              </w:rPr>
            </w:r>
          </w:p>
        </w:tc>
        <w:tc>
          <w:tcPr>
            <w:tcW w:w="397"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1</w:t>
            </w:r>
            <w:r>
              <w:rPr>
                <w:color w:val="000000"/>
                <w:szCs w:val="21"/>
                <w:highlight w:val="none"/>
                <w:lang w:val="zh-CN"/>
              </w:rPr>
            </w:r>
            <w:r>
              <w:rPr>
                <w:highlight w:val="none"/>
              </w:rPr>
            </w:r>
          </w:p>
        </w:tc>
        <w:tc>
          <w:tcPr>
            <w:tcW w:w="1110" w:type="dxa"/>
            <w:vAlign w:val="center"/>
            <w:vMerge w:val="restart"/>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合同</w:t>
            </w:r>
            <w:r>
              <w:rPr>
                <w:rFonts w:hint="eastAsia"/>
                <w:color w:val="000000"/>
                <w:szCs w:val="21"/>
                <w:highlight w:val="none"/>
              </w:rPr>
              <w:t xml:space="preserve">签订</w:t>
            </w:r>
            <w:r>
              <w:rPr>
                <w:color w:val="000000"/>
                <w:szCs w:val="21"/>
                <w:highlight w:val="none"/>
                <w:lang w:val="zh-CN"/>
              </w:rPr>
              <w:t xml:space="preserve">后</w:t>
            </w:r>
            <w:r>
              <w:rPr>
                <w:rFonts w:hint="eastAsia"/>
                <w:color w:val="000000"/>
                <w:szCs w:val="21"/>
                <w:highlight w:val="none"/>
              </w:rPr>
              <w:t xml:space="preserve">60天</w:t>
            </w:r>
            <w:r>
              <w:rPr>
                <w:color w:val="000000"/>
                <w:szCs w:val="21"/>
                <w:highlight w:val="none"/>
                <w:lang w:val="zh-CN"/>
              </w:rPr>
              <w:t xml:space="preserve">内</w:t>
            </w:r>
            <w:r>
              <w:rPr>
                <w:rFonts w:hint="eastAsia"/>
                <w:color w:val="000000"/>
                <w:szCs w:val="21"/>
                <w:highlight w:val="none"/>
              </w:rPr>
              <w:t xml:space="preserve">供货安装完毕</w:t>
            </w:r>
            <w:r>
              <w:rPr>
                <w:color w:val="000000"/>
                <w:szCs w:val="21"/>
                <w:highlight w:val="none"/>
              </w:rPr>
            </w:r>
            <w:r>
              <w:rPr>
                <w:highlight w:val="none"/>
              </w:rPr>
            </w:r>
          </w:p>
        </w:tc>
        <w:tc>
          <w:tcPr>
            <w:tcW w:w="921"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120</w:t>
            </w:r>
            <w:r>
              <w:rPr>
                <w:color w:val="000000"/>
                <w:szCs w:val="21"/>
                <w:highlight w:val="none"/>
              </w:rPr>
            </w:r>
            <w:r>
              <w:rPr>
                <w:highlight w:val="none"/>
              </w:rPr>
            </w:r>
          </w:p>
        </w:tc>
        <w:tc>
          <w:tcPr>
            <w:tcW w:w="623"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c>
          <w:tcPr>
            <w:tcW w:w="509"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1年</w:t>
            </w:r>
            <w:r>
              <w:rPr>
                <w:color w:val="000000"/>
                <w:szCs w:val="21"/>
                <w:highlight w:val="none"/>
              </w:rPr>
            </w:r>
            <w:r>
              <w:rPr>
                <w:highlight w:val="none"/>
              </w:rPr>
            </w:r>
          </w:p>
        </w:tc>
      </w:tr>
      <w:tr>
        <w:trPr>
          <w:trHeight w:val="527"/>
        </w:trPr>
        <w:tc>
          <w:tcPr>
            <w:tcW w:w="401" w:type="dxa"/>
            <w:vAlign w:val="center"/>
            <w:textDirection w:val="lrTb"/>
            <w:noWrap w:val="false"/>
          </w:tcPr>
          <w:p>
            <w:pPr>
              <w:pStyle w:val="1168"/>
              <w:jc w:val="center"/>
              <w:rPr>
                <w:color w:val="000000"/>
                <w:szCs w:val="21"/>
                <w:highlight w:val="none"/>
              </w:rPr>
            </w:pPr>
            <w:r>
              <w:rPr>
                <w:color w:val="000000"/>
                <w:szCs w:val="21"/>
                <w:highlight w:val="none"/>
              </w:rPr>
              <w:t xml:space="preserve">2</w:t>
            </w:r>
            <w:r>
              <w:rPr>
                <w:color w:val="000000"/>
                <w:szCs w:val="21"/>
                <w:highlight w:val="none"/>
              </w:rPr>
            </w:r>
            <w:r>
              <w:rPr>
                <w:highlight w:val="none"/>
              </w:rPr>
            </w:r>
          </w:p>
        </w:tc>
        <w:tc>
          <w:tcPr>
            <w:tcW w:w="1035" w:type="dxa"/>
            <w:vAlign w:val="center"/>
            <w:textDirection w:val="lrTb"/>
            <w:noWrap w:val="false"/>
          </w:tcPr>
          <w:p>
            <w:pPr>
              <w:pStyle w:val="1168"/>
              <w:jc w:val="center"/>
              <w:rPr>
                <w:color w:val="000000"/>
                <w:szCs w:val="21"/>
                <w:highlight w:val="none"/>
              </w:rPr>
            </w:pPr>
            <w:r>
              <w:rPr>
                <w:color w:val="000000"/>
                <w:szCs w:val="21"/>
                <w:highlight w:val="none"/>
              </w:rPr>
              <w:t xml:space="preserve">大容量冷冻离心机</w:t>
            </w:r>
            <w:r>
              <w:rPr>
                <w:color w:val="000000"/>
                <w:szCs w:val="21"/>
                <w:highlight w:val="none"/>
              </w:rPr>
            </w:r>
            <w:r>
              <w:rPr>
                <w:highlight w:val="none"/>
              </w:rPr>
            </w:r>
          </w:p>
        </w:tc>
        <w:tc>
          <w:tcPr>
            <w:tcW w:w="397"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2</w:t>
            </w:r>
            <w:r>
              <w:rPr>
                <w:color w:val="000000"/>
                <w:szCs w:val="21"/>
                <w:highlight w:val="none"/>
                <w:lang w:val="zh-CN"/>
              </w:rPr>
            </w:r>
            <w:r>
              <w:rPr>
                <w:highlight w:val="none"/>
              </w:rPr>
            </w:r>
          </w:p>
        </w:tc>
        <w:tc>
          <w:tcPr>
            <w:tcW w:w="1110" w:type="dxa"/>
            <w:vAlign w:val="center"/>
            <w:vMerge w:val="continue"/>
            <w:textDirection w:val="lrTb"/>
            <w:noWrap w:val="false"/>
          </w:tcPr>
          <w:p>
            <w:pPr>
              <w:pStyle w:val="1168"/>
              <w:jc w:val="center"/>
              <w:tabs>
                <w:tab w:val="left" w:pos="4788" w:leader="none"/>
              </w:tabs>
              <w:rPr>
                <w:color w:val="000000"/>
                <w:szCs w:val="21"/>
                <w:highlight w:val="none"/>
                <w:lang w:val="zh-CN"/>
              </w:rPr>
            </w:pPr>
            <w:r>
              <w:rPr>
                <w:color w:val="000000"/>
                <w:szCs w:val="21"/>
                <w:highlight w:val="none"/>
                <w:lang w:val="zh-CN"/>
              </w:rPr>
            </w:r>
            <w:r/>
          </w:p>
        </w:tc>
        <w:tc>
          <w:tcPr>
            <w:tcW w:w="921"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140</w:t>
            </w:r>
            <w:r>
              <w:rPr>
                <w:color w:val="000000"/>
                <w:szCs w:val="21"/>
                <w:highlight w:val="none"/>
              </w:rPr>
            </w:r>
            <w:r>
              <w:rPr>
                <w:highlight w:val="none"/>
              </w:rPr>
            </w:r>
          </w:p>
        </w:tc>
        <w:tc>
          <w:tcPr>
            <w:tcW w:w="623"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c>
          <w:tcPr>
            <w:tcW w:w="509" w:type="dxa"/>
            <w:vAlign w:val="center"/>
            <w:textDirection w:val="lrTb"/>
            <w:noWrap w:val="false"/>
          </w:tcPr>
          <w:p>
            <w:pPr>
              <w:pStyle w:val="1168"/>
              <w:jc w:val="center"/>
              <w:tabs>
                <w:tab w:val="left" w:pos="4788" w:leader="none"/>
              </w:tabs>
              <w:rPr>
                <w:color w:val="000000"/>
                <w:szCs w:val="21"/>
                <w:highlight w:val="none"/>
              </w:rPr>
            </w:pPr>
            <w:r>
              <w:rPr>
                <w:rFonts w:hint="eastAsia"/>
                <w:color w:val="000000"/>
                <w:szCs w:val="21"/>
                <w:highlight w:val="none"/>
              </w:rPr>
              <w:t xml:space="preserve">3</w:t>
            </w:r>
            <w:r>
              <w:rPr>
                <w:color w:val="000000"/>
                <w:szCs w:val="21"/>
                <w:highlight w:val="none"/>
              </w:rPr>
              <w:t xml:space="preserve">年</w:t>
            </w:r>
            <w:r>
              <w:rPr>
                <w:color w:val="000000"/>
                <w:szCs w:val="21"/>
                <w:highlight w:val="none"/>
              </w:rPr>
            </w:r>
            <w:r>
              <w:rPr>
                <w:highlight w:val="none"/>
              </w:rPr>
            </w:r>
          </w:p>
        </w:tc>
      </w:tr>
      <w:tr>
        <w:trPr>
          <w:trHeight w:val="522"/>
        </w:trPr>
        <w:tc>
          <w:tcPr>
            <w:tcW w:w="401" w:type="dxa"/>
            <w:vAlign w:val="center"/>
            <w:textDirection w:val="lrTb"/>
            <w:noWrap w:val="false"/>
          </w:tcPr>
          <w:p>
            <w:pPr>
              <w:pStyle w:val="1168"/>
              <w:jc w:val="center"/>
              <w:rPr>
                <w:color w:val="000000"/>
                <w:szCs w:val="21"/>
                <w:highlight w:val="none"/>
              </w:rPr>
            </w:pPr>
            <w:r>
              <w:rPr>
                <w:color w:val="000000"/>
                <w:szCs w:val="21"/>
                <w:highlight w:val="none"/>
              </w:rPr>
              <w:t xml:space="preserve">3</w:t>
            </w:r>
            <w:r>
              <w:rPr>
                <w:color w:val="000000"/>
                <w:szCs w:val="21"/>
                <w:highlight w:val="none"/>
              </w:rPr>
            </w:r>
            <w:r>
              <w:rPr>
                <w:highlight w:val="none"/>
              </w:rPr>
            </w:r>
          </w:p>
        </w:tc>
        <w:tc>
          <w:tcPr>
            <w:tcW w:w="1035" w:type="dxa"/>
            <w:vAlign w:val="center"/>
            <w:textDirection w:val="lrTb"/>
            <w:noWrap w:val="false"/>
          </w:tcPr>
          <w:p>
            <w:pPr>
              <w:pStyle w:val="1168"/>
              <w:jc w:val="center"/>
              <w:rPr>
                <w:color w:val="000000"/>
                <w:szCs w:val="21"/>
                <w:highlight w:val="none"/>
              </w:rPr>
            </w:pPr>
            <w:r>
              <w:rPr>
                <w:color w:val="000000"/>
                <w:szCs w:val="21"/>
                <w:highlight w:val="none"/>
              </w:rPr>
              <w:t xml:space="preserve">红细胞处理仪</w:t>
            </w:r>
            <w:r>
              <w:rPr>
                <w:color w:val="000000"/>
                <w:szCs w:val="21"/>
                <w:highlight w:val="none"/>
              </w:rPr>
            </w:r>
            <w:r>
              <w:rPr>
                <w:highlight w:val="none"/>
              </w:rPr>
            </w:r>
          </w:p>
        </w:tc>
        <w:tc>
          <w:tcPr>
            <w:tcW w:w="397"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lang w:val="zh-CN"/>
              </w:rPr>
              <w:t xml:space="preserve">1</w:t>
            </w:r>
            <w:r>
              <w:rPr>
                <w:color w:val="000000"/>
                <w:szCs w:val="21"/>
                <w:highlight w:val="none"/>
                <w:lang w:val="zh-CN"/>
              </w:rPr>
            </w:r>
            <w:r>
              <w:rPr>
                <w:highlight w:val="none"/>
              </w:rPr>
            </w:r>
          </w:p>
        </w:tc>
        <w:tc>
          <w:tcPr>
            <w:tcW w:w="1110" w:type="dxa"/>
            <w:vAlign w:val="center"/>
            <w:vMerge w:val="continue"/>
            <w:textDirection w:val="lrTb"/>
            <w:noWrap w:val="false"/>
          </w:tcPr>
          <w:p>
            <w:pPr>
              <w:pStyle w:val="1168"/>
              <w:jc w:val="center"/>
              <w:tabs>
                <w:tab w:val="left" w:pos="4788" w:leader="none"/>
              </w:tabs>
              <w:rPr>
                <w:color w:val="000000"/>
                <w:szCs w:val="21"/>
                <w:highlight w:val="none"/>
                <w:lang w:val="zh-CN"/>
              </w:rPr>
            </w:pPr>
            <w:r>
              <w:rPr>
                <w:color w:val="000000"/>
                <w:szCs w:val="21"/>
                <w:highlight w:val="none"/>
                <w:lang w:val="zh-CN"/>
              </w:rPr>
            </w:r>
            <w:r/>
          </w:p>
        </w:tc>
        <w:tc>
          <w:tcPr>
            <w:tcW w:w="921" w:type="dxa"/>
            <w:vAlign w:val="center"/>
            <w:textDirection w:val="lrTb"/>
            <w:noWrap w:val="false"/>
          </w:tcPr>
          <w:p>
            <w:pPr>
              <w:pStyle w:val="1168"/>
              <w:jc w:val="center"/>
              <w:widowControl/>
              <w:rPr>
                <w:color w:val="000000"/>
                <w:szCs w:val="21"/>
                <w:highlight w:val="none"/>
              </w:rPr>
            </w:pPr>
            <w:r>
              <w:rPr>
                <w:color w:val="000000"/>
                <w:szCs w:val="21"/>
                <w:highlight w:val="none"/>
              </w:rPr>
              <w:t xml:space="preserve">48</w:t>
            </w:r>
            <w:r>
              <w:rPr>
                <w:color w:val="000000"/>
                <w:szCs w:val="21"/>
                <w:highlight w:val="none"/>
              </w:rPr>
            </w:r>
            <w:r>
              <w:rPr>
                <w:highlight w:val="none"/>
              </w:rPr>
            </w:r>
          </w:p>
        </w:tc>
        <w:tc>
          <w:tcPr>
            <w:tcW w:w="623"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rPr>
                <w:highlight w:val="none"/>
              </w:rPr>
            </w:r>
          </w:p>
        </w:tc>
        <w:tc>
          <w:tcPr>
            <w:tcW w:w="509" w:type="dxa"/>
            <w:vAlign w:val="center"/>
            <w:textDirection w:val="lrTb"/>
            <w:noWrap w:val="false"/>
          </w:tcPr>
          <w:p>
            <w:pPr>
              <w:pStyle w:val="1168"/>
              <w:jc w:val="center"/>
              <w:tabs>
                <w:tab w:val="left" w:pos="4788" w:leader="none"/>
              </w:tabs>
              <w:rPr>
                <w:color w:val="000000"/>
                <w:szCs w:val="21"/>
                <w:highlight w:val="none"/>
              </w:rPr>
            </w:pPr>
            <w:r>
              <w:rPr>
                <w:color w:val="000000"/>
                <w:szCs w:val="21"/>
                <w:highlight w:val="none"/>
              </w:rPr>
              <w:t xml:space="preserve">1年</w:t>
            </w:r>
            <w:r>
              <w:rPr>
                <w:color w:val="000000"/>
                <w:szCs w:val="21"/>
                <w:highlight w:val="none"/>
              </w:rPr>
            </w:r>
            <w:r>
              <w:rPr>
                <w:highlight w:val="none"/>
              </w:rPr>
            </w:r>
          </w:p>
        </w:tc>
      </w:tr>
    </w:tbl>
    <w:p>
      <w:pPr>
        <w:pStyle w:val="1168"/>
        <w:spacing w:line="360" w:lineRule="auto"/>
        <w:rPr>
          <w:color w:val="000000"/>
          <w:highlight w:val="none"/>
        </w:rPr>
      </w:pPr>
      <w:r>
        <w:rPr>
          <w:color w:val="000000"/>
          <w:highlight w:val="none"/>
        </w:rPr>
        <w:t xml:space="preserve">二、</w:t>
      </w:r>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highlight w:val="none"/>
        </w:rPr>
      </w:r>
      <w:r>
        <w:rPr>
          <w:highlight w:val="none"/>
        </w:rPr>
      </w:r>
    </w:p>
    <w:p>
      <w:pPr>
        <w:pStyle w:val="1168"/>
        <w:spacing w:line="360" w:lineRule="auto"/>
        <w:rPr>
          <w:b/>
          <w:bCs/>
          <w:color w:val="000000"/>
          <w:szCs w:val="21"/>
          <w:highlight w:val="none"/>
        </w:rPr>
        <w:outlineLvl w:val="1"/>
      </w:pPr>
      <w:r>
        <w:rPr>
          <w:highlight w:val="none"/>
        </w:rPr>
      </w:r>
      <w:bookmarkStart w:id="223" w:name="_Toc11148"/>
      <w:r>
        <w:rPr>
          <w:highlight w:val="none"/>
        </w:rPr>
      </w:r>
      <w:bookmarkStart w:id="224" w:name="_Toc30258"/>
      <w:r>
        <w:rPr>
          <w:highlight w:val="none"/>
        </w:rPr>
      </w:r>
      <w:bookmarkStart w:id="225" w:name="_Hlk226470308"/>
      <w:r>
        <w:rPr>
          <w:highlight w:val="none"/>
        </w:rPr>
      </w:r>
      <w:bookmarkStart w:id="226" w:name="_Toc31716"/>
      <w:r>
        <w:rPr>
          <w:b/>
          <w:bCs/>
          <w:color w:val="000000"/>
          <w:szCs w:val="21"/>
          <w:highlight w:val="none"/>
        </w:rPr>
        <w:t xml:space="preserve">分包1：平板速冻机</w:t>
      </w:r>
      <w:bookmarkEnd w:id="223"/>
      <w:r>
        <w:rPr>
          <w:highlight w:val="none"/>
        </w:rPr>
      </w:r>
      <w:bookmarkEnd w:id="224"/>
      <w:r>
        <w:rPr>
          <w:highlight w:val="none"/>
        </w:rPr>
      </w:r>
      <w:bookmarkEnd w:id="226"/>
      <w:r>
        <w:rPr>
          <w:b/>
          <w:bCs/>
          <w:color w:val="000000"/>
          <w:szCs w:val="21"/>
          <w:highlight w:val="none"/>
        </w:rPr>
      </w:r>
      <w:r>
        <w:rPr>
          <w:highlight w:val="none"/>
        </w:rPr>
      </w:r>
    </w:p>
    <w:p>
      <w:pPr>
        <w:pStyle w:val="1168"/>
        <w:ind w:firstLine="420"/>
        <w:spacing w:line="360" w:lineRule="auto"/>
        <w:rPr>
          <w:rFonts w:hint="eastAsia"/>
          <w:color w:val="000000"/>
          <w:szCs w:val="21"/>
          <w:highlight w:val="none"/>
        </w:rPr>
      </w:pPr>
      <w:r>
        <w:rPr>
          <w:highlight w:val="none"/>
        </w:rPr>
      </w:r>
      <w:bookmarkEnd w:id="225"/>
      <w:r>
        <w:rPr>
          <w:rFonts w:hint="eastAsia"/>
          <w:color w:val="000000"/>
          <w:szCs w:val="21"/>
          <w:highlight w:val="none"/>
        </w:rPr>
        <w:t xml:space="preserve">1、制冷方式：采用高性能平板接触式，上下冷板需有独立的制冷系统，血浆袋置于上下冷板之间以达到快速冷冻；上冷板固定，下冷板上下动。</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▲2、设备制式：要求设备有上下两个速冻仓，对应两台独立的外置压缩机外机机组；且每个速冻仓均可独立实现对血浆速冻操作，互不影响。</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3、设计与安装方式：分体机设计安装，要求压缩机冷凝器与主机分离，压缩机及冷凝系统安装在室外；室外压缩机必须有外壳保护及良好的散热装置，以保障内置的冷凝器、压缩机在极高或极低温度条件下正常工作，有效降低故障率。</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4、冷板运动控制：为保证冷板运动距离有精度保证，运动方式由电机控制，不接受气动控制；，冷板运动行程≥200mm，具有压力感应装置，确保血浆速冻时血浆袋不被冷板压破；</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▲5、冷板温度：速冻机空载运行时上下冷板温度≤-65℃；（须提供第三方检验报告）</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6、速冻要求：单批次速冻满载运行时（80袋200ml血浆袋）时，血袋中心温度降至-30℃，所需时间≤30min（提供第三方检验报告）；</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▲7、标准容量：冷板尺寸面积（指单个冷板接触血袋的实际传热面积）：≥1100（mm）×630（mm），单批次最小冻结量≥ 80袋（200ml）/次；</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8、报警功能：速冻机上下冷板具有温度探测功能，上下冷板温度均匀性≤±1℃；当上下冷板温度均匀性大于1℃时，设备有报警提示。（提供第三方检验报告）</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9、压缩机：要求双级压缩机，采用环保制冷剂</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10、质控方式：需采用模拟血浆质控袋方式，模拟血浆质控袋内置温控探头能探测模拟血浆质控袋核心温度，以确保血浆速冻结果的准确性和真实性。（提供第三方检验报告）</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11、</w:t>
      </w:r>
      <w:r>
        <w:rPr>
          <w:rFonts w:hint="eastAsia"/>
          <w:color w:val="000000"/>
          <w:highlight w:val="none"/>
        </w:rPr>
        <w:t xml:space="preserve">冷板质量：要求冷板为304或316不锈钢材质，不变形，抗腐蚀，降温传导快、均匀。</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12、要求前面仓门开放取放血浆，其他三面通过箱体封闭，防止速冻仓进入空气过多产生结霜粘袋现象。</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13、除霜方式：要求除霜无需待机，可随时启动除霜功能，除霜时间≤ 8分钟，状态在显示屏中实时显示。</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14、数据溯源：要求所有数据可溯源，速冻时的模拟血浆袋核心温度及上、下冷板的温度能在设备触摸屏上即时动态显示；（提供实景照片佐证）</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15、显示屏与存储：可实时监控并记录冷板温度变化，储存历史数据，并能随时查阅。仪器内置≥8寸彩色触摸显示屏，可实时显示温度曲线、血袋条码等信息；内置≥128G存储容量以长期保存原始数据，并免费开放信息化端口,有信息化管理软件，所有数据可溯源。</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▲16、采用热传导软垫技术：热传导软垫上下层膜为安全环保的树脂材料，软垫腔体内需填充有预定量的冷媒，冷媒在-80℃环境温度环境下不会冻结结冰，确保速冻血浆袋受力受冷均匀；（提供第三方检验报告）</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17、制冷压缩机自动保护：具备高压过高、低压过低等保护功能。</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18、自动暂存：在血浆速冻完成后，程序控制冷板温度自动切换至低温贮存血浆，贮存温度≤-30℃。</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19、箱体散热：速冻机主机面板选用ABS面板（非金属面板），室外机须具有良好的通风设计，保证内置的冷凝器、压缩机等快速散热，有效降低故障率；</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18、配置专用推车：配置专用推车和托盘；推车面板为内凹弧型设计，符合人体工程学，便于推盘取放操作；推车面板工作面有万向球便于托盘灵活移动。</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19、操作高度：速冻机上速冻仓离地高度130cm±5cm，下速冻仓离地高度90cm±5cm，符合人体工程学便于托盘进出仓操作。</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20、防夹手：红外线感应防夹手功能，冷冻仓关闭过程中遇身体任何部位进入冷冻仓冷板立即停止运动，提升设备安全性，降低操作风险。</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22、应急开门：当速冻机在速冻血浆过程中突发断电导致仓门无法开启时，可通过接入外部电源（需适配速冻机电源接口）实现应急供电。外部电源接入后，仓门将自动开启，确保血浆能及时取出，避免因供电恢复延迟导致的血浆滞留风险。</w:t>
      </w:r>
      <w:r>
        <w:rPr>
          <w:rFonts w:hint="eastAsia"/>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hint="eastAsia"/>
          <w:color w:val="000000"/>
          <w:szCs w:val="21"/>
          <w:highlight w:val="none"/>
        </w:rPr>
        <w:t xml:space="preserve">23、两套制冷控制方式：设备支持实体按键与显示屏双套控制系统，分别用于制冷和融霜操作。</w:t>
      </w:r>
      <w:r>
        <w:rPr>
          <w:rFonts w:hint="eastAsia"/>
          <w:color w:val="000000"/>
          <w:szCs w:val="21"/>
          <w:highlight w:val="none"/>
        </w:rPr>
      </w:r>
      <w:r>
        <w:rPr>
          <w:highlight w:val="none"/>
        </w:rPr>
      </w:r>
    </w:p>
    <w:p>
      <w:pPr>
        <w:pStyle w:val="1168"/>
        <w:ind w:firstLine="420"/>
        <w:spacing w:line="360" w:lineRule="auto"/>
        <w:rPr>
          <w:color w:val="000000"/>
          <w:szCs w:val="21"/>
          <w:highlight w:val="none"/>
        </w:rPr>
      </w:pPr>
      <w:r>
        <w:rPr>
          <w:rFonts w:hint="eastAsia"/>
          <w:color w:val="000000"/>
          <w:szCs w:val="21"/>
          <w:highlight w:val="none"/>
        </w:rPr>
        <w:t xml:space="preserve">24、功率和环保要求：设备整机功率≤ 12000VA，需提供产品铭牌为证；室内噪音≤ 50dB。</w:t>
      </w:r>
      <w:r>
        <w:rPr>
          <w:color w:val="000000"/>
          <w:szCs w:val="21"/>
          <w:highlight w:val="none"/>
        </w:rPr>
      </w:r>
      <w:r>
        <w:rPr>
          <w:highlight w:val="none"/>
        </w:rPr>
      </w:r>
    </w:p>
    <w:p>
      <w:pPr>
        <w:pStyle w:val="1168"/>
        <w:ind w:firstLine="420"/>
        <w:spacing w:line="360" w:lineRule="auto"/>
        <w:rPr>
          <w:rFonts w:hint="eastAsia"/>
          <w:color w:val="000000"/>
          <w:szCs w:val="21"/>
          <w:highlight w:val="none"/>
        </w:rPr>
      </w:pPr>
      <w:r>
        <w:rPr>
          <w:highlight w:val="none"/>
        </w:rPr>
      </w:r>
      <w:bookmarkStart w:id="227" w:name="OLE_LINK5"/>
      <w:r>
        <w:rPr>
          <w:rFonts w:ascii="Segoe UI Symbol" w:hAnsi="Segoe UI Symbol" w:cs="Segoe UI Symbol"/>
          <w:color w:val="000000"/>
          <w:szCs w:val="21"/>
          <w:highlight w:val="none"/>
        </w:rPr>
        <w:t xml:space="preserve">★</w:t>
      </w:r>
      <w:r>
        <w:rPr>
          <w:rFonts w:hint="eastAsia"/>
          <w:color w:val="000000"/>
          <w:szCs w:val="21"/>
          <w:highlight w:val="none"/>
        </w:rPr>
        <w:t xml:space="preserve">25</w:t>
      </w:r>
      <w:bookmarkEnd w:id="227"/>
      <w:r>
        <w:rPr>
          <w:rFonts w:hint="eastAsia"/>
          <w:color w:val="000000"/>
          <w:szCs w:val="21"/>
          <w:highlight w:val="none"/>
        </w:rPr>
        <w:t xml:space="preserve">、</w:t>
      </w:r>
      <w:bookmarkStart w:id="228" w:name="OLE_LINK4"/>
      <w:r>
        <w:rPr>
          <w:rFonts w:hint="eastAsia"/>
          <w:color w:val="000000"/>
          <w:szCs w:val="21"/>
          <w:highlight w:val="none"/>
        </w:rPr>
        <w:t xml:space="preserve">软件对接：能与采购人现使用的血站业务系统信息对接（血液成分综合管理平台，中标方支付对接费用），提供系统对接承诺函并加盖公章。</w:t>
      </w:r>
      <w:r>
        <w:rPr>
          <w:rFonts w:hint="eastAsia"/>
          <w:color w:val="000000"/>
          <w:szCs w:val="21"/>
          <w:highlight w:val="none"/>
        </w:rPr>
      </w:r>
      <w:r>
        <w:rPr>
          <w:highlight w:val="none"/>
        </w:rPr>
      </w:r>
    </w:p>
    <w:p>
      <w:pPr>
        <w:pStyle w:val="1168"/>
        <w:spacing w:line="360" w:lineRule="auto"/>
        <w:rPr>
          <w:color w:val="000000"/>
          <w:szCs w:val="21"/>
          <w:highlight w:val="none"/>
        </w:rPr>
      </w:pPr>
      <w:r>
        <w:rPr>
          <w:highlight w:val="none"/>
        </w:rPr>
      </w:r>
      <w:bookmarkEnd w:id="228"/>
      <w:r>
        <w:rPr>
          <w:color w:val="000000"/>
          <w:szCs w:val="21"/>
          <w:highlight w:val="none"/>
        </w:rPr>
      </w:r>
      <w:r>
        <w:rPr>
          <w:highlight w:val="none"/>
        </w:rPr>
      </w:r>
    </w:p>
    <w:p>
      <w:pPr>
        <w:pStyle w:val="1168"/>
        <w:spacing w:line="360" w:lineRule="auto"/>
        <w:rPr>
          <w:b/>
          <w:bCs/>
          <w:color w:val="000000"/>
          <w:szCs w:val="21"/>
          <w:highlight w:val="none"/>
        </w:rPr>
        <w:outlineLvl w:val="1"/>
      </w:pPr>
      <w:r>
        <w:rPr>
          <w:highlight w:val="none"/>
        </w:rPr>
      </w:r>
      <w:bookmarkStart w:id="229" w:name="_Toc11658"/>
      <w:r>
        <w:rPr>
          <w:highlight w:val="none"/>
        </w:rPr>
      </w:r>
      <w:bookmarkStart w:id="230" w:name="_Toc10341"/>
      <w:r>
        <w:rPr>
          <w:highlight w:val="none"/>
        </w:rPr>
      </w:r>
      <w:bookmarkStart w:id="231" w:name="_Toc26569"/>
      <w:r>
        <w:rPr>
          <w:b/>
          <w:bCs/>
          <w:color w:val="000000"/>
          <w:szCs w:val="21"/>
          <w:highlight w:val="none"/>
        </w:rPr>
        <w:t xml:space="preserve">分包2：大容量冷冻离心机</w:t>
      </w:r>
      <w:bookmarkEnd w:id="229"/>
      <w:r>
        <w:rPr>
          <w:highlight w:val="none"/>
        </w:rPr>
      </w:r>
      <w:bookmarkEnd w:id="230"/>
      <w:r>
        <w:rPr>
          <w:highlight w:val="none"/>
        </w:rPr>
      </w:r>
      <w:bookmarkEnd w:id="231"/>
      <w:r>
        <w:rPr>
          <w:b/>
          <w:bCs/>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highlight w:val="none"/>
        </w:rPr>
      </w:r>
      <w:bookmarkStart w:id="232" w:name="_Hlk227948531"/>
      <w:r>
        <w:rPr>
          <w:rFonts w:ascii="Segoe UI Symbol" w:hAnsi="Segoe UI Symbol" w:cs="Segoe UI Symbol"/>
          <w:color w:val="000000"/>
          <w:szCs w:val="21"/>
          <w:highlight w:val="none"/>
        </w:rPr>
        <w:t xml:space="preserve">★</w:t>
      </w:r>
      <w:r>
        <w:rPr>
          <w:rFonts w:hint="eastAsia" w:ascii="宋体" w:hAnsi="宋体" w:cs="宋体"/>
          <w:color w:val="000000"/>
          <w:szCs w:val="21"/>
          <w:highlight w:val="none"/>
        </w:rPr>
        <w:t xml:space="preserve">1、 用于血站血液离心制备，满载最大容量：2000ml x 8个；400ml血袋x 16袋；200ml血袋x 32袋；</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ascii="Segoe UI Symbol" w:hAnsi="Segoe UI Symbol" w:cs="Segoe UI Symbol"/>
          <w:color w:val="000000"/>
          <w:szCs w:val="21"/>
          <w:highlight w:val="none"/>
        </w:rPr>
        <w:t xml:space="preserve">★</w:t>
      </w:r>
      <w:r>
        <w:rPr>
          <w:rFonts w:hint="eastAsia" w:ascii="宋体" w:hAnsi="宋体" w:cs="宋体"/>
          <w:color w:val="000000"/>
          <w:szCs w:val="21"/>
          <w:highlight w:val="none"/>
        </w:rPr>
        <w:t xml:space="preserve">2、最高转速：8挂杯水平转子 ≥4000rpm，最大离心力：水平转子≥5650xg ；</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3、机器满载最高转速相对偏差≤0.05%（提供带CMA标识的检测报告复印件并加盖公章）；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▲4、最高转速最大载荷下，整机噪音≤ 61</w:t>
      </w:r>
      <w:r>
        <w:rPr>
          <w:rFonts w:hint="eastAsia" w:ascii="宋体" w:hAnsi="宋体" w:cs="宋体"/>
          <w:color w:val="000000"/>
          <w:szCs w:val="21"/>
          <w:highlight w:val="none"/>
        </w:rPr>
        <w:t xml:space="preserve">dB</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A</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5、离心机盖与转头盖一体化设计，一键启动机盖与转头盖连体升降，全面无死角防压手设计（含锁扣位置），盖板遇阻力自动停止并反弹上升至起始位；</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6、机器满负载离心时转速从0上升到4000rpm所需时间≤3分钟。（提供带CMA标识的检测报告复印件并加盖公章）；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▲7、预温速度：温度从常温（≥21℃）降至4℃不超过9分钟；</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8、最高转速运转可保持4℃，温度波动偏差不大于±0.9℃。（提供带CMA标识的检测报告复印件并加盖公章）；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▲9.为保证血液一次成浆效果，设备最高转速及对应最大载荷下运转平稳，机器振幅≤0.004mm。（提供带CMA标识的检测报告复印件并加盖公章）；</w:t>
      </w:r>
      <w:r>
        <w:rPr>
          <w:rFonts w:hint="eastAsia" w:ascii="宋体" w:hAnsi="宋体" w:cs="宋体"/>
          <w:color w:val="000000"/>
          <w:szCs w:val="21"/>
          <w:highlight w:val="none"/>
        </w:rPr>
      </w:r>
      <w:r>
        <w:rPr>
          <w:highlight w:val="none"/>
        </w:rPr>
      </w:r>
    </w:p>
    <w:p>
      <w:pPr>
        <w:pStyle w:val="1168"/>
        <w:ind w:firstLine="21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10.离心机转子风罩高强度铝合金加工一体成型，厚度3mm±0.2mm，确保10年有效期内不开裂、不变形且安全有效。（提供带CMA标识的检测报告复印件并加盖公章）；</w:t>
      </w:r>
      <w:r>
        <w:rPr>
          <w:rFonts w:ascii="宋体" w:hAnsi="宋体" w:cs="宋体"/>
          <w:color w:val="000000"/>
          <w:szCs w:val="21"/>
          <w:highlight w:val="none"/>
        </w:rPr>
      </w:r>
      <w:r>
        <w:rPr>
          <w:highlight w:val="none"/>
        </w:rPr>
      </w:r>
    </w:p>
    <w:p>
      <w:pPr>
        <w:pStyle w:val="1168"/>
        <w:numPr>
          <w:ilvl w:val="0"/>
          <w:numId w:val="3"/>
        </w:numPr>
        <w:ind w:firstLine="420"/>
        <w:jc w:val="left"/>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机器采用中文系统：可进行自定义界面设置，离心程序可中文编辑名称，方便‌持续的机器性能优化与更新；</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数字定时装置相对偏差不大于±0.01%（提供带CMA标识的检测报告复印件并加盖公章）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13.供货时</w:t>
      </w:r>
      <w:r>
        <w:rPr>
          <w:rFonts w:hint="eastAsia"/>
          <w:color w:val="000000"/>
          <w:highlight w:val="none"/>
        </w:rPr>
        <w:t xml:space="preserve">提供</w:t>
      </w:r>
      <w:r>
        <w:rPr>
          <w:rFonts w:hint="eastAsia" w:ascii="宋体" w:hAnsi="宋体" w:cs="宋体"/>
          <w:color w:val="000000"/>
          <w:szCs w:val="21"/>
          <w:highlight w:val="none"/>
        </w:rPr>
        <w:t xml:space="preserve">带CMA标识的整机检测报告</w:t>
      </w:r>
      <w:r>
        <w:rPr>
          <w:rFonts w:hint="eastAsia"/>
          <w:color w:val="000000"/>
          <w:highlight w:val="none"/>
        </w:rPr>
        <w:t xml:space="preserve">原件及检测公司资质复印件备查，投标时提供盖章承诺函</w:t>
      </w:r>
      <w:r>
        <w:rPr>
          <w:rFonts w:ascii="宋体" w:hAnsi="宋体" w:cs="宋体"/>
          <w:color w:val="000000"/>
          <w:szCs w:val="21"/>
          <w:highlight w:val="none"/>
        </w:rPr>
        <w:t xml:space="preserve">；</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14.最高转速及对应最大载荷下，转速稳定精度≤0.01%（提供带CMA标识的检测报告复印件并加盖公章）；</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可通过手机APP实现远程控制离心机的启动和终止，支持远程预冷（提供佐证材料）；</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16.具有至少四级用户权限管理功能，离心机倒计时开始时间可选，提示音音量可调；</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17、具备上位机系统，可通过wifi及蓝牙手机及PC端连接，数据与血站现有管理软件联网，实现信息监控。（提供与血站成功联网的案例证明）；</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18、离心套杯内壁经磨砂面处理，方便取放血袋，标配</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套离心套杯；</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19、机器屏幕内置</w:t>
      </w:r>
      <w:r>
        <w:rPr>
          <w:rFonts w:ascii="宋体" w:hAnsi="宋体" w:cs="宋体"/>
          <w:color w:val="000000"/>
          <w:szCs w:val="21"/>
          <w:highlight w:val="none"/>
        </w:rPr>
        <w:t xml:space="preserve">语音播报系统、</w:t>
      </w:r>
      <w:r>
        <w:rPr>
          <w:rFonts w:hint="eastAsia" w:ascii="宋体" w:hAnsi="宋体" w:cs="宋体"/>
          <w:color w:val="000000"/>
          <w:szCs w:val="21"/>
          <w:highlight w:val="none"/>
        </w:rPr>
        <w:t xml:space="preserve">操作培训视频及操作手册，方便操作人员直接在设备屏幕上播放观看，培训视频内容至少包括安装转头，离心程序设定，装袋方法教程；操作手册内容包括正确装载方法，安装转头，开关机械紧急门锁，维修及保养；</w:t>
      </w:r>
      <w:r>
        <w:rPr>
          <w:rFonts w:hint="eastAsia" w:ascii="宋体" w:hAnsi="宋体" w:cs="宋体"/>
          <w:color w:val="000000"/>
          <w:szCs w:val="21"/>
          <w:highlight w:val="none"/>
        </w:rPr>
      </w:r>
      <w:r>
        <w:rPr>
          <w:highlight w:val="none"/>
        </w:rPr>
      </w:r>
    </w:p>
    <w:p>
      <w:pPr>
        <w:pStyle w:val="116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20、主机上方具有≥5色颜色指示灯，不同颜色显示设备运行状态；</w:t>
      </w:r>
      <w:r>
        <w:rPr>
          <w:rFonts w:hint="eastAsia" w:ascii="宋体" w:hAnsi="宋体" w:cs="宋体"/>
          <w:color w:val="000000"/>
          <w:szCs w:val="21"/>
          <w:highlight w:val="none"/>
        </w:rPr>
      </w:r>
      <w:r>
        <w:rPr>
          <w:highlight w:val="none"/>
        </w:rPr>
      </w:r>
    </w:p>
    <w:p>
      <w:pPr>
        <w:pStyle w:val="124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21、离心数据审计追踪：通过扫取人员、设备、血袋二维码，记录对应编号血袋离心过程的参数；至少支持pdf、xlsx（加密不可修改）2种导出格式，数据可以保持10年以上；</w:t>
      </w:r>
      <w:r>
        <w:rPr>
          <w:rFonts w:hint="eastAsia" w:ascii="宋体" w:hAnsi="宋体" w:cs="宋体"/>
          <w:color w:val="000000"/>
          <w:szCs w:val="21"/>
          <w:highlight w:val="none"/>
        </w:rPr>
      </w:r>
      <w:r>
        <w:rPr>
          <w:highlight w:val="none"/>
        </w:rPr>
      </w:r>
    </w:p>
    <w:p>
      <w:pPr>
        <w:pStyle w:val="1184"/>
        <w:ind w:firstLine="420"/>
        <w:jc w:val="left"/>
        <w:spacing w:before="68"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22、污染净化模块：采用臭氧和365nm紫外协同作用，5分钟去除仪器腔体污染，无残留，免冲洗；</w:t>
      </w:r>
      <w:r>
        <w:rPr>
          <w:rFonts w:hint="eastAsia" w:hAnsi="宋体" w:cs="宋体"/>
          <w:color w:val="000000"/>
          <w:sz w:val="21"/>
          <w:szCs w:val="21"/>
          <w:highlight w:val="none"/>
        </w:rPr>
      </w:r>
      <w:r>
        <w:rPr>
          <w:highlight w:val="none"/>
        </w:rPr>
      </w:r>
    </w:p>
    <w:p>
      <w:pPr>
        <w:pStyle w:val="1184"/>
        <w:ind w:firstLine="420"/>
        <w:jc w:val="left"/>
        <w:spacing w:before="68"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23、设备可实现成分科血液离心一次成浆制备（提供满足实现一次成浆的离心程序及经实际用户签章的佐证材料）；</w:t>
      </w:r>
      <w:r>
        <w:rPr>
          <w:rFonts w:hint="eastAsia" w:hAnsi="宋体" w:cs="宋体"/>
          <w:color w:val="000000"/>
          <w:sz w:val="21"/>
          <w:szCs w:val="21"/>
          <w:highlight w:val="none"/>
        </w:rPr>
      </w:r>
      <w:r>
        <w:rPr>
          <w:highlight w:val="none"/>
        </w:rPr>
      </w:r>
    </w:p>
    <w:p>
      <w:pPr>
        <w:pStyle w:val="1184"/>
        <w:ind w:firstLine="420"/>
        <w:jc w:val="left"/>
        <w:spacing w:before="68"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24、整机重量（含转子及离心杯）≤ 520kg，整机尺寸（长x宽x高）≤ 950x850x1000 mm，安装电压380V；</w:t>
      </w:r>
      <w:r>
        <w:rPr>
          <w:rFonts w:hint="eastAsia" w:hAnsi="宋体" w:cs="宋体"/>
          <w:color w:val="000000"/>
          <w:sz w:val="21"/>
          <w:szCs w:val="21"/>
          <w:highlight w:val="none"/>
        </w:rPr>
      </w:r>
      <w:r>
        <w:rPr>
          <w:highlight w:val="none"/>
        </w:rPr>
      </w:r>
    </w:p>
    <w:p>
      <w:pPr>
        <w:pStyle w:val="116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25、整机使用寿命≥10年，关键零部件使用寿命≥10年；</w:t>
      </w:r>
      <w:r>
        <w:rPr>
          <w:rFonts w:hint="eastAsia" w:ascii="宋体" w:hAnsi="宋体" w:cs="宋体"/>
          <w:color w:val="000000"/>
          <w:szCs w:val="21"/>
          <w:highlight w:val="none"/>
        </w:rPr>
      </w:r>
      <w:r>
        <w:rPr>
          <w:highlight w:val="none"/>
        </w:rPr>
      </w:r>
    </w:p>
    <w:p>
      <w:pPr>
        <w:pStyle w:val="1168"/>
        <w:ind w:firstLine="420"/>
        <w:spacing w:line="360" w:lineRule="auto"/>
        <w:rPr>
          <w:rFonts w:hint="eastAsia"/>
          <w:color w:val="000000"/>
          <w:szCs w:val="21"/>
          <w:highlight w:val="none"/>
        </w:rPr>
      </w:pPr>
      <w:r>
        <w:rPr>
          <w:rFonts w:ascii="Segoe UI Symbol" w:hAnsi="Segoe UI Symbol" w:cs="Segoe UI Symbol"/>
          <w:color w:val="000000"/>
          <w:szCs w:val="21"/>
          <w:highlight w:val="none"/>
        </w:rPr>
        <w:t xml:space="preserve">★</w:t>
      </w:r>
      <w:bookmarkEnd w:id="232"/>
      <w:r>
        <w:rPr>
          <w:rFonts w:hint="eastAsia"/>
          <w:color w:val="000000"/>
          <w:szCs w:val="21"/>
          <w:highlight w:val="none"/>
        </w:rPr>
        <w:t xml:space="preserve">2</w:t>
      </w:r>
      <w:r>
        <w:rPr>
          <w:color w:val="000000"/>
          <w:szCs w:val="21"/>
          <w:highlight w:val="none"/>
        </w:rPr>
        <w:t xml:space="preserve">6</w:t>
      </w:r>
      <w:r>
        <w:rPr>
          <w:rFonts w:hint="eastAsia"/>
          <w:color w:val="000000"/>
          <w:szCs w:val="21"/>
          <w:highlight w:val="none"/>
        </w:rPr>
        <w:t xml:space="preserve">、</w:t>
      </w:r>
      <w:bookmarkStart w:id="233" w:name="_Hlk227948448"/>
      <w:r>
        <w:rPr>
          <w:rFonts w:hint="eastAsia"/>
          <w:color w:val="000000"/>
          <w:szCs w:val="21"/>
          <w:highlight w:val="none"/>
        </w:rPr>
        <w:t xml:space="preserve">软件对接：能与采购人现使用的血站业务系统信息对接（血液成分综合管理平台，中标方支付对接费用），提供系统对接承诺函并加盖公章</w:t>
      </w:r>
      <w:bookmarkEnd w:id="233"/>
      <w:r>
        <w:rPr>
          <w:rFonts w:hint="eastAsia"/>
          <w:color w:val="000000"/>
          <w:szCs w:val="21"/>
          <w:highlight w:val="none"/>
        </w:rPr>
        <w:t xml:space="preserve">。</w:t>
      </w:r>
      <w:r>
        <w:rPr>
          <w:rFonts w:hint="eastAsia"/>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r>
      <w:r>
        <w:rPr>
          <w:highlight w:val="none"/>
        </w:rPr>
      </w:r>
    </w:p>
    <w:p>
      <w:pPr>
        <w:pStyle w:val="1168"/>
        <w:spacing w:line="360" w:lineRule="auto"/>
        <w:rPr>
          <w:b/>
          <w:bCs/>
          <w:color w:val="000000"/>
          <w:szCs w:val="21"/>
          <w:highlight w:val="none"/>
        </w:rPr>
        <w:outlineLvl w:val="1"/>
      </w:pPr>
      <w:r>
        <w:rPr>
          <w:highlight w:val="none"/>
        </w:rPr>
      </w:r>
      <w:bookmarkStart w:id="234" w:name="_Toc24516"/>
      <w:r>
        <w:rPr>
          <w:highlight w:val="none"/>
        </w:rPr>
      </w:r>
      <w:bookmarkStart w:id="235" w:name="_Toc6080"/>
      <w:r>
        <w:rPr>
          <w:highlight w:val="none"/>
        </w:rPr>
      </w:r>
      <w:bookmarkStart w:id="236" w:name="_Toc19099"/>
      <w:r>
        <w:rPr>
          <w:b/>
          <w:bCs/>
          <w:color w:val="000000"/>
          <w:szCs w:val="21"/>
          <w:highlight w:val="none"/>
        </w:rPr>
        <w:t xml:space="preserve">分包3：红细胞处理仪</w:t>
      </w:r>
      <w:bookmarkEnd w:id="234"/>
      <w:r>
        <w:rPr>
          <w:highlight w:val="none"/>
        </w:rPr>
      </w:r>
      <w:bookmarkEnd w:id="235"/>
      <w:r>
        <w:rPr>
          <w:highlight w:val="none"/>
        </w:rPr>
      </w:r>
      <w:bookmarkEnd w:id="236"/>
      <w:r>
        <w:rPr>
          <w:b/>
          <w:bCs/>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1、设备功能红细胞处理仪结合配套耗材，可以完成1U，1.5U，2U红细胞加甘油程序; 1U，1.5U，2U冰冻红细胞去甘油洗涤程序; 1U，1.5U，2U红细胞洗涤程序及自动添加红细胞保养液程序</w:t>
      </w:r>
      <w:r>
        <w:rPr>
          <w:rFonts w:hint="eastAsia"/>
          <w:color w:val="000000"/>
          <w:szCs w:val="21"/>
          <w:highlight w:val="none"/>
        </w:rPr>
        <w:t xml:space="preserve">；</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2、数据管理：可实现洗涤过程中所有制备数据的数据传输、统计、追溯和打印；</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3、多机联网：可实现多机联网，数据可并入血站业务管理系统；</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▲4、摇摆仪为360°静音柔性摇床，确保洗涤更均匀充分，避免溶血； </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5、洗涤去甘油后红细胞制品质量：达到国标《全血及成分血质量要求 》GB-18469-2012要求。</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6、红细胞处理时间：1)甘油化红细胞的时间：＜20分钟；2)去甘油化洗涤红细胞的时间：＜65分钟；3)洗涤红细胞：＜30分钟 ；</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▲7、自动化：内置1U、1.5U、2U红细胞洗涤处理程序，无需更换程序模块；操作人员可根据红细胞制备量一键选择对应程序，无须人工调节；2U去甘油处理，自动定容，成品容量满足国标。</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8、人机交互：</w:t>
      </w:r>
      <w:r>
        <w:rPr>
          <w:rFonts w:hint="eastAsia"/>
          <w:color w:val="000000"/>
          <w:szCs w:val="21"/>
          <w:highlight w:val="none"/>
        </w:rPr>
        <w:t xml:space="preserve">≥</w:t>
      </w:r>
      <w:r>
        <w:rPr>
          <w:color w:val="000000"/>
          <w:szCs w:val="21"/>
          <w:highlight w:val="none"/>
        </w:rPr>
        <w:t xml:space="preserve">10英寸宽屏彩色中文触摸屏，可实时全屏显示运行状态; 语音操作提示、故障及错误信息提示；</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9、权限管理：为确保红细胞产品质量，需输入管理人员才能修改参数；需输入操作人员密码才能操作设备；</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▲10、掉电数据恢复：在掉电或宕机状态下，重启后可实现数据恢复；</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11、安全监测系统: 具备完善的安全监测警报系统：离心室漏夜监测警报系统、 系统压力监测、管路内气泡监测；</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12、血液产品安全：配套带细菌滤器功能封闭的、无菌的一次性耗材完成加甘油和去甘油处理，杜绝污染；</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13、工作条件：环境温度＋10℃～＋30℃，相对湿度≤70%，无结露，工作大气压力  86kPa～106kPa；</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14、使用电源：～220V±22V，50Hz±1Hz；</w:t>
      </w:r>
      <w:r>
        <w:rPr>
          <w:color w:val="000000"/>
          <w:szCs w:val="21"/>
          <w:highlight w:val="none"/>
        </w:rPr>
      </w:r>
      <w:r>
        <w:rPr>
          <w:highlight w:val="none"/>
        </w:rPr>
      </w:r>
    </w:p>
    <w:p>
      <w:pPr>
        <w:pStyle w:val="1168"/>
        <w:ind w:firstLine="420"/>
        <w:jc w:val="left"/>
        <w:spacing w:line="360" w:lineRule="auto"/>
        <w:rPr>
          <w:b/>
          <w:bCs/>
          <w:color w:val="000000"/>
          <w:szCs w:val="21"/>
          <w:highlight w:val="none"/>
        </w:rPr>
      </w:pPr>
      <w:r>
        <w:rPr>
          <w:color w:val="000000"/>
          <w:szCs w:val="21"/>
          <w:highlight w:val="none"/>
        </w:rPr>
        <w:t xml:space="preserve">15、输入功率：小于500VA。</w:t>
      </w:r>
      <w:r>
        <w:rPr>
          <w:b/>
          <w:bCs/>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r>
      <w:r>
        <w:rPr>
          <w:highlight w:val="none"/>
        </w:rPr>
      </w:r>
    </w:p>
    <w:p>
      <w:pPr>
        <w:pStyle w:val="1245"/>
        <w:ind w:firstLine="0"/>
        <w:spacing w:line="360" w:lineRule="auto"/>
        <w:tabs>
          <w:tab w:val="left" w:pos="851" w:leader="none"/>
          <w:tab w:val="left" w:pos="1276" w:leader="none"/>
          <w:tab w:val="left" w:pos="1418" w:leader="none"/>
        </w:tabs>
        <w:rPr>
          <w:rFonts w:ascii="Times New Roman" w:hAnsi="Times New Roman"/>
          <w:b/>
          <w:bCs/>
          <w:color w:val="000000"/>
          <w:highlight w:val="none"/>
        </w:rPr>
      </w:pPr>
      <w:r>
        <w:rPr>
          <w:rFonts w:ascii="Times New Roman" w:hAnsi="Times New Roman"/>
          <w:b/>
          <w:bCs/>
          <w:color w:val="000000"/>
          <w:highlight w:val="none"/>
        </w:rPr>
        <w:t xml:space="preserve">三、★付款方式</w:t>
      </w:r>
      <w:r>
        <w:rPr>
          <w:rFonts w:ascii="Times New Roman" w:hAnsi="Times New Roman"/>
          <w:b/>
          <w:bCs/>
          <w:color w:val="000000"/>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highlight w:val="none"/>
        </w:rPr>
      </w:pPr>
      <w:r>
        <w:rPr>
          <w:highlight w:val="none"/>
        </w:rPr>
      </w:r>
      <w:bookmarkStart w:id="237" w:name="_Hlk101195961"/>
      <w:r>
        <w:rPr>
          <w:highlight w:val="none"/>
        </w:rPr>
      </w:r>
      <w:bookmarkStart w:id="238" w:name="_Hlk198051516"/>
      <w:r>
        <w:rPr>
          <w:rFonts w:ascii="Times New Roman" w:hAnsi="Times New Roman"/>
          <w:color w:val="000000"/>
          <w:highlight w:val="none"/>
        </w:rPr>
        <w:t xml:space="preserve">（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中标方负责。</w:t>
      </w:r>
      <w:r>
        <w:rPr>
          <w:rFonts w:ascii="Times New Roman" w:hAnsi="Times New Roman"/>
          <w:color w:val="000000"/>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highlight w:val="none"/>
        </w:rPr>
      </w:pPr>
      <w:r>
        <w:rPr>
          <w:rFonts w:ascii="Times New Roman" w:hAnsi="Times New Roman"/>
          <w:color w:val="000000"/>
          <w:highlight w:val="none"/>
        </w:rPr>
        <w:t xml:space="preserve">（2）付款条件：合同签署后，中标方按采购方质量和时间要求完成本项目规定所有内容，经采购方验收合格，采购方收到中标方开具的合法发票后支付合同总额的100%。</w:t>
      </w:r>
      <w:r>
        <w:rPr>
          <w:rFonts w:ascii="Times New Roman" w:hAnsi="Times New Roman"/>
          <w:color w:val="000000"/>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highlight w:val="none"/>
        </w:rPr>
      </w:pPr>
      <w:r>
        <w:rPr>
          <w:rFonts w:ascii="Times New Roman" w:hAnsi="Times New Roman"/>
          <w:color w:val="000000"/>
          <w:highlight w:val="none"/>
        </w:rPr>
        <w:t xml:space="preserve">（3）</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同意，如</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在本协议项下应支付违约金或赔偿</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经济损失，</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有权从上述未付款项中直接扣除。</w:t>
      </w:r>
      <w:r>
        <w:rPr>
          <w:rFonts w:ascii="Times New Roman" w:hAnsi="Times New Roman"/>
          <w:color w:val="000000"/>
          <w:highlight w:val="none"/>
          <w:lang w:val="zh-CN"/>
        </w:rPr>
      </w:r>
      <w:r>
        <w:rPr>
          <w:highlight w:val="none"/>
        </w:rPr>
      </w:r>
    </w:p>
    <w:p>
      <w:pPr>
        <w:pStyle w:val="1168"/>
        <w:spacing w:line="360" w:lineRule="auto"/>
        <w:rPr>
          <w:color w:val="000000"/>
          <w:highlight w:val="none"/>
        </w:rPr>
      </w:pPr>
      <w:r>
        <w:rPr>
          <w:highlight w:val="none"/>
        </w:rPr>
      </w:r>
      <w:bookmarkEnd w:id="238"/>
      <w:r>
        <w:rPr>
          <w:color w:val="000000"/>
          <w:highlight w:val="none"/>
        </w:rPr>
      </w:r>
      <w:r>
        <w:rPr>
          <w:highlight w:val="none"/>
        </w:rPr>
      </w:r>
    </w:p>
    <w:p>
      <w:pPr>
        <w:pStyle w:val="1168"/>
        <w:spacing w:line="360" w:lineRule="auto"/>
        <w:rPr>
          <w:b/>
          <w:bCs/>
          <w:color w:val="000000"/>
          <w:szCs w:val="21"/>
          <w:highlight w:val="none"/>
        </w:rPr>
      </w:pPr>
      <w:r>
        <w:rPr>
          <w:highlight w:val="none"/>
        </w:rPr>
      </w:r>
      <w:bookmarkEnd w:id="237"/>
      <w:r>
        <w:rPr>
          <w:b/>
          <w:bCs/>
          <w:color w:val="000000"/>
          <w:szCs w:val="21"/>
          <w:highlight w:val="none"/>
        </w:rPr>
        <w:t xml:space="preserve">四、 交货期及交货地点</w:t>
      </w:r>
      <w:r>
        <w:rPr>
          <w:b/>
          <w:bCs/>
          <w:color w:val="000000"/>
          <w:szCs w:val="21"/>
          <w:highlight w:val="none"/>
        </w:rPr>
      </w:r>
      <w:r>
        <w:rPr>
          <w:highlight w:val="none"/>
        </w:rPr>
      </w:r>
    </w:p>
    <w:p>
      <w:pPr>
        <w:pStyle w:val="1168"/>
        <w:ind w:firstLine="422"/>
        <w:jc w:val="left"/>
        <w:spacing w:line="360" w:lineRule="auto"/>
        <w:rPr>
          <w:color w:val="000000"/>
          <w:szCs w:val="21"/>
          <w:highlight w:val="none"/>
        </w:rPr>
      </w:pPr>
      <w:r>
        <w:rPr>
          <w:b/>
          <w:bCs/>
          <w:color w:val="000000"/>
          <w:szCs w:val="21"/>
          <w:highlight w:val="none"/>
        </w:rPr>
        <w:t xml:space="preserve">1、交货期：详见本章招标项目简要说明</w:t>
      </w:r>
      <w:r>
        <w:rPr>
          <w:color w:val="000000"/>
          <w:szCs w:val="21"/>
          <w:highlight w:val="none"/>
        </w:rPr>
        <w:t xml:space="preserve">。</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2、交货地点：</w:t>
      </w:r>
      <w:r>
        <w:rPr>
          <w:b/>
          <w:bCs/>
          <w:color w:val="000000"/>
          <w:szCs w:val="21"/>
          <w:highlight w:val="none"/>
        </w:rPr>
        <w:t xml:space="preserve">采购人</w:t>
      </w:r>
      <w:r>
        <w:rPr>
          <w:b/>
          <w:bCs/>
          <w:color w:val="000000"/>
          <w:szCs w:val="21"/>
          <w:highlight w:val="none"/>
          <w:shd w:val="clear" w:color="auto" w:fill="ffffff"/>
        </w:rPr>
        <w:t xml:space="preserve">指定地点</w:t>
      </w:r>
      <w:r>
        <w:rPr>
          <w:color w:val="000000"/>
          <w:szCs w:val="21"/>
          <w:highlight w:val="none"/>
        </w:rPr>
        <w:t xml:space="preserve">，</w:t>
      </w:r>
      <w:bookmarkStart w:id="239" w:name="_Hlk130989127"/>
      <w:r>
        <w:rPr>
          <w:color w:val="000000"/>
          <w:szCs w:val="21"/>
          <w:highlight w:val="none"/>
        </w:rPr>
        <w:t xml:space="preserve">由采购人组织验收，检验不合格或不符合质量要求。供应商应无条件更换符合要求的新品。如供应商不能或拒绝提供的，采购人有权要求供应商无条件退货并承担采购人的一切损失。</w:t>
      </w:r>
      <w:r>
        <w:rPr>
          <w:color w:val="000000"/>
          <w:szCs w:val="21"/>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szCs w:val="21"/>
          <w:highlight w:val="none"/>
        </w:rPr>
      </w:pPr>
      <w:r>
        <w:rPr>
          <w:highlight w:val="none"/>
        </w:rPr>
      </w:r>
      <w:bookmarkEnd w:id="239"/>
      <w:r>
        <w:rPr>
          <w:rFonts w:ascii="Times New Roman" w:hAnsi="Times New Roman"/>
          <w:color w:val="000000"/>
          <w:highlight w:val="none"/>
        </w:rPr>
        <w:t xml:space="preserve">3、包装和运输：</w:t>
      </w:r>
      <w:r>
        <w:rPr>
          <w:rFonts w:ascii="Times New Roman" w:hAnsi="Times New Roman"/>
          <w:color w:val="000000"/>
          <w:szCs w:val="21"/>
          <w:highlight w:val="none"/>
        </w:rPr>
      </w:r>
      <w:r>
        <w:rPr>
          <w:highlight w:val="none"/>
        </w:rPr>
      </w:r>
    </w:p>
    <w:p>
      <w:pPr>
        <w:pStyle w:val="1168"/>
        <w:numPr>
          <w:ilvl w:val="0"/>
          <w:numId w:val="4"/>
        </w:numPr>
        <w:ind w:firstLine="420"/>
        <w:spacing w:line="360" w:lineRule="auto"/>
        <w:rPr>
          <w:color w:val="000000"/>
          <w:szCs w:val="21"/>
          <w:highlight w:val="none"/>
        </w:rPr>
      </w:pPr>
      <w:r>
        <w:rPr>
          <w:rFonts w:hint="eastAsia" w:ascii="宋体" w:hAnsi="宋体" w:cs="宋体"/>
          <w:bCs/>
          <w:color w:val="000000"/>
          <w:highlight w:val="none"/>
        </w:rPr>
        <w:t xml:space="preserve">包装和运输：供应商提供的货物均应按采购文件、投标（响应）文件要求的包装材料、包装标准、包装方式进行包装，若采购文件、投标（响应）文件无特殊说明，</w:t>
      </w:r>
      <w:r>
        <w:rPr>
          <w:color w:val="000000"/>
          <w:highlight w:val="none"/>
        </w:rPr>
        <w:t xml:space="preserve">按</w:t>
      </w:r>
      <w:r>
        <w:rPr>
          <w:rFonts w:hint="eastAsia"/>
          <w:color w:val="000000"/>
          <w:highlight w:val="none"/>
        </w:rPr>
        <w:t xml:space="preserve">货物属性及运输方式的特点，对产品进行符合行业最佳实践的包装</w:t>
      </w:r>
      <w:r>
        <w:rPr>
          <w:color w:val="000000"/>
          <w:highlight w:val="none"/>
        </w:rPr>
        <w:t xml:space="preserve">。</w:t>
      </w:r>
      <w:r>
        <w:rPr>
          <w:rFonts w:hint="eastAsia" w:ascii="宋体" w:hAnsi="宋体" w:cs="宋体"/>
          <w:bCs/>
          <w:color w:val="000000"/>
          <w:highlight w:val="none"/>
        </w:rPr>
        <w:t xml:space="preserve">该包装应适应于远距离运输、防潮、防震、防锈和防野蛮装卸，以确保货物安全无损运抵上述交货地点。由于包装不善所引起的货物锈蚀、损坏和损失均由供应商承担。</w:t>
      </w:r>
      <w:r>
        <w:rPr>
          <w:color w:val="000000"/>
          <w:szCs w:val="21"/>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t xml:space="preserve">每一包装单元内应附详细的装箱单和质量合格凭证。</w:t>
      </w:r>
      <w:r>
        <w:rPr>
          <w:rFonts w:ascii="Times New Roman" w:hAnsi="Times New Roman"/>
          <w:color w:val="000000"/>
          <w:szCs w:val="21"/>
          <w:highlight w:val="none"/>
        </w:rPr>
      </w:r>
      <w:r>
        <w:rPr>
          <w:highlight w:val="none"/>
        </w:rPr>
      </w:r>
    </w:p>
    <w:p>
      <w:pPr>
        <w:pStyle w:val="1245"/>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r>
      <w:r>
        <w:rPr>
          <w:highlight w:val="none"/>
        </w:rPr>
      </w:r>
    </w:p>
    <w:p>
      <w:pPr>
        <w:pStyle w:val="1168"/>
        <w:spacing w:line="360" w:lineRule="auto"/>
        <w:rPr>
          <w:b/>
          <w:bCs/>
          <w:color w:val="000000"/>
          <w:szCs w:val="21"/>
          <w:highlight w:val="none"/>
        </w:rPr>
      </w:pPr>
      <w:r>
        <w:rPr>
          <w:b/>
          <w:bCs/>
          <w:color w:val="000000"/>
          <w:szCs w:val="21"/>
          <w:highlight w:val="none"/>
        </w:rPr>
        <w:t xml:space="preserve">五、安装、调试服务要求：</w:t>
      </w:r>
      <w:r>
        <w:rPr>
          <w:b/>
          <w:bCs/>
          <w:color w:val="000000"/>
          <w:szCs w:val="21"/>
          <w:highlight w:val="none"/>
        </w:rPr>
      </w:r>
      <w:r>
        <w:rPr>
          <w:highlight w:val="none"/>
        </w:rPr>
      </w:r>
    </w:p>
    <w:p>
      <w:pPr>
        <w:pStyle w:val="1168"/>
        <w:ind w:firstLine="420"/>
        <w:spacing w:line="360" w:lineRule="auto"/>
        <w:rPr>
          <w:color w:val="000000"/>
          <w:szCs w:val="21"/>
          <w:highlight w:val="none"/>
        </w:rPr>
      </w:pPr>
      <w:r>
        <w:rPr>
          <w:highlight w:val="none"/>
        </w:rPr>
      </w:r>
      <w:bookmarkStart w:id="240" w:name="_Hlk130282163"/>
      <w:r>
        <w:rPr>
          <w:highlight w:val="none"/>
        </w:rPr>
      </w:r>
      <w:bookmarkStart w:id="241" w:name="_Hlk130999466"/>
      <w:r>
        <w:rPr>
          <w:color w:val="000000"/>
          <w:szCs w:val="21"/>
          <w:highlight w:val="none"/>
        </w:rPr>
        <w:t xml:space="preserve">1、供应商负责提供免费规范、达标的安装、调试及培训工作。应有专业技术团队保障设备安装质量和售后服务质量。安装工作所需的仪器和专用工具由投标人自备。安装、调试、培训、</w:t>
      </w:r>
      <w:bookmarkStart w:id="242" w:name="_Hlk130999247"/>
      <w:r>
        <w:rPr>
          <w:color w:val="000000"/>
          <w:szCs w:val="21"/>
          <w:highlight w:val="none"/>
        </w:rPr>
        <w:t xml:space="preserve">系统对接、垃圾清理</w:t>
      </w:r>
      <w:bookmarkEnd w:id="242"/>
      <w:r>
        <w:rPr>
          <w:color w:val="000000"/>
          <w:szCs w:val="21"/>
          <w:highlight w:val="none"/>
        </w:rPr>
        <w:t xml:space="preserve">等费用均包含在投标总价中。</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2、</w:t>
      </w:r>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4、设备有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rPr>
          <w:highlight w:val="none"/>
        </w:rPr>
      </w:r>
    </w:p>
    <w:p>
      <w:pPr>
        <w:pStyle w:val="1168"/>
        <w:ind w:firstLine="420"/>
        <w:spacing w:line="360" w:lineRule="auto"/>
        <w:rPr>
          <w:color w:val="000000"/>
          <w:szCs w:val="21"/>
          <w:highlight w:val="none"/>
        </w:rPr>
      </w:pPr>
      <w:r>
        <w:rPr>
          <w:highlight w:val="none"/>
        </w:rPr>
      </w:r>
      <w:bookmarkEnd w:id="240"/>
      <w:r>
        <w:rPr>
          <w:color w:val="000000"/>
          <w:szCs w:val="21"/>
          <w:highlight w:val="none"/>
        </w:rPr>
        <w:t xml:space="preserve">5、供应商免费提供设备使用相关培训工作。应有专业技术人员对采购人指定人员进行现场培训，</w:t>
      </w:r>
      <w:r>
        <w:rPr>
          <w:rFonts w:hint="eastAsia"/>
          <w:color w:val="000000"/>
          <w:szCs w:val="21"/>
          <w:highlight w:val="none"/>
        </w:rPr>
        <w:t xml:space="preserve">培训费用包含在报价中</w:t>
      </w:r>
      <w:r>
        <w:rPr>
          <w:color w:val="000000"/>
          <w:szCs w:val="21"/>
          <w:highlight w:val="none"/>
        </w:rPr>
        <w:t xml:space="preserve">。培训的内容应包括但不限于：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内容，供应商出具培训记录单。培训地点主要在货物安装现场或由甲方安排。</w:t>
      </w:r>
      <w:r>
        <w:rPr>
          <w:color w:val="000000"/>
          <w:szCs w:val="21"/>
          <w:highlight w:val="none"/>
        </w:rPr>
      </w:r>
      <w:r>
        <w:rPr>
          <w:highlight w:val="none"/>
        </w:rPr>
      </w:r>
    </w:p>
    <w:p>
      <w:pPr>
        <w:pStyle w:val="1168"/>
        <w:spacing w:line="360" w:lineRule="auto"/>
        <w:rPr>
          <w:b/>
          <w:bCs/>
          <w:color w:val="000000"/>
          <w:szCs w:val="21"/>
          <w:highlight w:val="none"/>
        </w:rPr>
      </w:pPr>
      <w:r>
        <w:rPr>
          <w:highlight w:val="none"/>
        </w:rPr>
      </w:r>
      <w:bookmarkEnd w:id="241"/>
      <w:r>
        <w:rPr>
          <w:b/>
          <w:bCs/>
          <w:color w:val="000000"/>
          <w:szCs w:val="21"/>
          <w:highlight w:val="none"/>
        </w:rPr>
        <w:t xml:space="preserve">六、 售后服务要求</w:t>
      </w:r>
      <w:r>
        <w:rPr>
          <w:b/>
          <w:bCs/>
          <w:color w:val="000000"/>
          <w:szCs w:val="21"/>
          <w:highlight w:val="none"/>
        </w:rPr>
      </w:r>
      <w:r>
        <w:rPr>
          <w:highlight w:val="none"/>
        </w:rPr>
      </w:r>
    </w:p>
    <w:p>
      <w:pPr>
        <w:pStyle w:val="1168"/>
        <w:ind w:firstLine="420"/>
        <w:jc w:val="left"/>
        <w:spacing w:line="360" w:lineRule="auto"/>
        <w:rPr>
          <w:b/>
          <w:bCs/>
          <w:color w:val="000000"/>
          <w:szCs w:val="21"/>
          <w:highlight w:val="none"/>
        </w:rPr>
      </w:pPr>
      <w:r>
        <w:rPr>
          <w:bCs/>
          <w:color w:val="000000"/>
          <w:szCs w:val="21"/>
          <w:highlight w:val="none"/>
        </w:rPr>
        <w:t xml:space="preserve">1、</w:t>
      </w:r>
      <w:bookmarkStart w:id="243" w:name="_Hlk198051634"/>
      <w:r>
        <w:rPr>
          <w:bCs/>
          <w:color w:val="000000"/>
          <w:szCs w:val="21"/>
          <w:highlight w:val="none"/>
        </w:rPr>
        <w:t xml:space="preserve">质保期：</w:t>
      </w:r>
      <w:r>
        <w:rPr>
          <w:color w:val="000000"/>
          <w:highlight w:val="none"/>
        </w:rPr>
        <w:t xml:space="preserve">设备整体（包含配套设备和配件）质保期</w:t>
      </w:r>
      <w:r>
        <w:rPr>
          <w:b/>
          <w:color w:val="000000"/>
          <w:szCs w:val="21"/>
          <w:highlight w:val="none"/>
        </w:rPr>
        <w:t xml:space="preserve">详见本章项目概况。</w:t>
      </w:r>
      <w:bookmarkStart w:id="244" w:name="_Hlk197957919"/>
      <w:r>
        <w:rPr>
          <w:b/>
          <w:bCs/>
          <w:color w:val="000000"/>
          <w:szCs w:val="21"/>
          <w:highlight w:val="none"/>
        </w:rPr>
        <w:t xml:space="preserve">提供售后服务方案并</w:t>
      </w:r>
      <w:r>
        <w:rPr>
          <w:b/>
          <w:bCs/>
          <w:color w:val="000000"/>
          <w:highlight w:val="none"/>
        </w:rPr>
        <w:t xml:space="preserve">承诺中标后提供制造商或总代</w:t>
      </w:r>
      <w:r>
        <w:rPr>
          <w:b/>
          <w:bCs/>
          <w:color w:val="000000"/>
          <w:szCs w:val="21"/>
          <w:highlight w:val="none"/>
        </w:rPr>
        <w:t xml:space="preserve">出具的针对本项目售后服务承诺书（原件）</w:t>
      </w:r>
      <w:r>
        <w:rPr>
          <w:b/>
          <w:bCs/>
          <w:color w:val="000000"/>
          <w:highlight w:val="none"/>
        </w:rPr>
        <w:t xml:space="preserve">。</w:t>
      </w:r>
      <w:r>
        <w:rPr>
          <w:b/>
          <w:bCs/>
          <w:color w:val="000000"/>
          <w:szCs w:val="21"/>
          <w:highlight w:val="none"/>
        </w:rPr>
      </w:r>
      <w:r>
        <w:rPr>
          <w:highlight w:val="none"/>
        </w:rPr>
      </w:r>
    </w:p>
    <w:p>
      <w:pPr>
        <w:pStyle w:val="1168"/>
        <w:ind w:firstLine="420"/>
        <w:spacing w:line="360" w:lineRule="auto"/>
        <w:rPr>
          <w:color w:val="000000"/>
          <w:szCs w:val="21"/>
          <w:highlight w:val="none"/>
        </w:rPr>
      </w:pPr>
      <w:r>
        <w:rPr>
          <w:highlight w:val="none"/>
        </w:rPr>
      </w:r>
      <w:bookmarkEnd w:id="243"/>
      <w:r>
        <w:rPr>
          <w:highlight w:val="none"/>
        </w:rPr>
      </w:r>
      <w:bookmarkEnd w:id="244"/>
      <w:r>
        <w:rPr>
          <w:rFonts w:ascii="宋体" w:hAnsi="宋体" w:cs="宋体"/>
          <w:bCs/>
          <w:color w:val="000000"/>
          <w:highlight w:val="none"/>
        </w:rPr>
        <w:t xml:space="preserve">质保期自项目验收合格之日起开始计算</w:t>
      </w:r>
      <w:r>
        <w:rPr>
          <w:rFonts w:hint="eastAsia" w:ascii="宋体" w:hAnsi="宋体" w:cs="宋体"/>
          <w:bCs/>
          <w:color w:val="000000"/>
          <w:highlight w:val="none"/>
        </w:rPr>
        <w:t xml:space="preserve">。</w:t>
      </w:r>
      <w:r>
        <w:rPr>
          <w:rFonts w:hint="eastAsia"/>
          <w:color w:val="000000"/>
          <w:szCs w:val="21"/>
          <w:highlight w:val="none"/>
        </w:rPr>
        <w:t xml:space="preserve">在质量保证期内，货物出现运行故障的，</w:t>
      </w:r>
      <w:r>
        <w:rPr>
          <w:rFonts w:hint="eastAsia" w:ascii="宋体" w:hAnsi="宋体" w:cs="宋体"/>
          <w:bCs/>
          <w:color w:val="000000"/>
          <w:highlight w:val="none"/>
        </w:rPr>
        <w:t xml:space="preserve">供应商</w:t>
      </w:r>
      <w:r>
        <w:rPr>
          <w:rFonts w:hint="eastAsia"/>
          <w:color w:val="000000"/>
          <w:szCs w:val="21"/>
          <w:highlight w:val="none"/>
        </w:rPr>
        <w:t xml:space="preserve">应在收到采购人通知后无条件提供保修服务，因此发生一切费用</w:t>
      </w:r>
      <w:r>
        <w:rPr>
          <w:bCs/>
          <w:color w:val="000000"/>
          <w:szCs w:val="21"/>
          <w:highlight w:val="none"/>
        </w:rPr>
        <w:t xml:space="preserve">（包括人工费、差旅费、备件费、部件更换、全部的保养、维修、维护、更换和技术支持等所有费用）</w:t>
      </w:r>
      <w:r>
        <w:rPr>
          <w:rFonts w:hint="eastAsia"/>
          <w:color w:val="000000"/>
          <w:szCs w:val="21"/>
          <w:highlight w:val="none"/>
        </w:rPr>
        <w:t xml:space="preserve">由</w:t>
      </w:r>
      <w:r>
        <w:rPr>
          <w:rFonts w:hint="eastAsia" w:ascii="宋体" w:hAnsi="宋体" w:cs="宋体"/>
          <w:bCs/>
          <w:color w:val="000000"/>
          <w:highlight w:val="none"/>
        </w:rPr>
        <w:t xml:space="preserve">供应商</w:t>
      </w:r>
      <w:r>
        <w:rPr>
          <w:rFonts w:hint="eastAsia"/>
          <w:color w:val="000000"/>
          <w:szCs w:val="21"/>
          <w:highlight w:val="none"/>
        </w:rPr>
        <w:t xml:space="preserve">承担</w:t>
      </w:r>
      <w:r>
        <w:rPr>
          <w:color w:val="000000"/>
          <w:szCs w:val="21"/>
          <w:highlight w:val="none"/>
        </w:rPr>
        <w:t xml:space="preserve">，</w:t>
      </w:r>
      <w:r>
        <w:rPr>
          <w:rFonts w:hint="eastAsia"/>
          <w:color w:val="000000"/>
          <w:szCs w:val="21"/>
          <w:highlight w:val="none"/>
        </w:rPr>
        <w:t xml:space="preserve">且乙方应</w:t>
      </w:r>
      <w:r>
        <w:rPr>
          <w:bCs/>
          <w:color w:val="000000"/>
          <w:szCs w:val="21"/>
          <w:highlight w:val="none"/>
        </w:rPr>
        <w:t xml:space="preserve">每年</w:t>
      </w:r>
      <w:r>
        <w:rPr>
          <w:color w:val="000000"/>
          <w:szCs w:val="21"/>
          <w:highlight w:val="none"/>
        </w:rPr>
        <w:t xml:space="preserve">提供不少于1次的免费现场</w:t>
      </w:r>
      <w:r>
        <w:rPr>
          <w:rFonts w:hint="eastAsia" w:ascii="宋体" w:hAnsi="宋体" w:cs="宋体"/>
          <w:color w:val="000000"/>
          <w:szCs w:val="21"/>
          <w:highlight w:val="none"/>
        </w:rPr>
        <w:t xml:space="preserve">预防性维护和安全风险排查</w:t>
      </w:r>
      <w:r>
        <w:rPr>
          <w:color w:val="000000"/>
          <w:highlight w:val="none"/>
        </w:rPr>
        <w:t xml:space="preserve">服务并出具服务报告。</w:t>
      </w:r>
      <w:r>
        <w:rPr>
          <w:rFonts w:hint="eastAsia"/>
          <w:color w:val="000000"/>
          <w:highlight w:val="none"/>
        </w:rPr>
        <w:t xml:space="preserve">供应商每年免费提供一次性能校验，出具校验报告，相关费用包含在总价中</w:t>
      </w:r>
      <w:r>
        <w:rPr>
          <w:rFonts w:hint="eastAsia" w:ascii="宋体" w:hAnsi="宋体" w:cs="宋体"/>
          <w:color w:val="000000"/>
          <w:szCs w:val="21"/>
          <w:highlight w:val="none"/>
        </w:rPr>
        <w:t xml:space="preserve">。</w:t>
      </w:r>
      <w:r>
        <w:rPr>
          <w:bCs/>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 xml:space="preserve">如该等出现运行故障的货物，经</w:t>
      </w:r>
      <w:r>
        <w:rPr>
          <w:rFonts w:hint="eastAsia" w:ascii="宋体" w:hAnsi="宋体" w:cs="宋体"/>
          <w:bCs/>
          <w:color w:val="000000"/>
          <w:highlight w:val="none"/>
        </w:rPr>
        <w:t xml:space="preserve">供应商</w:t>
      </w:r>
      <w:r>
        <w:rPr>
          <w:rFonts w:hint="eastAsia"/>
          <w:color w:val="000000"/>
          <w:szCs w:val="21"/>
          <w:highlight w:val="none"/>
        </w:rPr>
        <w:t xml:space="preserve">维修后仍无法正常投入使用，</w:t>
      </w:r>
      <w:r>
        <w:rPr>
          <w:rFonts w:hint="eastAsia" w:ascii="宋体" w:hAnsi="宋体" w:cs="宋体"/>
          <w:bCs/>
          <w:color w:val="000000"/>
          <w:highlight w:val="none"/>
        </w:rPr>
        <w:t xml:space="preserve">供应商</w:t>
      </w:r>
      <w:r>
        <w:rPr>
          <w:rFonts w:hint="eastAsia"/>
          <w:color w:val="000000"/>
          <w:szCs w:val="21"/>
          <w:highlight w:val="none"/>
        </w:rPr>
        <w:t xml:space="preserve">应当立即无条件更换同款型号的新货物，由此产生的一切费用由</w:t>
      </w:r>
      <w:r>
        <w:rPr>
          <w:rFonts w:hint="eastAsia" w:ascii="宋体" w:hAnsi="宋体" w:cs="宋体"/>
          <w:bCs/>
          <w:color w:val="000000"/>
          <w:highlight w:val="none"/>
        </w:rPr>
        <w:t xml:space="preserve">供应商</w:t>
      </w:r>
      <w:r>
        <w:rPr>
          <w:rFonts w:hint="eastAsia"/>
          <w:color w:val="000000"/>
          <w:szCs w:val="21"/>
          <w:highlight w:val="none"/>
        </w:rPr>
        <w:t xml:space="preserve">承担，因此造成</w:t>
      </w:r>
      <w:r>
        <w:rPr>
          <w:rFonts w:hint="eastAsia" w:ascii="宋体" w:hAnsi="宋体" w:cs="宋体"/>
          <w:bCs/>
          <w:color w:val="000000"/>
          <w:highlight w:val="none"/>
        </w:rPr>
        <w:t xml:space="preserve">采购人</w:t>
      </w:r>
      <w:r>
        <w:rPr>
          <w:rFonts w:hint="eastAsia"/>
          <w:color w:val="000000"/>
          <w:szCs w:val="21"/>
          <w:highlight w:val="none"/>
        </w:rPr>
        <w:t xml:space="preserve">无法如期将货物投入使用的，</w:t>
      </w:r>
      <w:r>
        <w:rPr>
          <w:rFonts w:hint="eastAsia" w:ascii="宋体" w:hAnsi="宋体" w:cs="宋体"/>
          <w:bCs/>
          <w:color w:val="000000"/>
          <w:highlight w:val="none"/>
        </w:rPr>
        <w:t xml:space="preserve">供应商</w:t>
      </w:r>
      <w:r>
        <w:rPr>
          <w:rFonts w:hint="eastAsia"/>
          <w:color w:val="000000"/>
          <w:szCs w:val="21"/>
          <w:highlight w:val="none"/>
        </w:rPr>
        <w:t xml:space="preserve">还应当赔偿</w:t>
      </w:r>
      <w:r>
        <w:rPr>
          <w:rFonts w:hint="eastAsia" w:ascii="宋体" w:hAnsi="宋体" w:cs="宋体"/>
          <w:bCs/>
          <w:color w:val="000000"/>
          <w:highlight w:val="none"/>
        </w:rPr>
        <w:t xml:space="preserve">采购人</w:t>
      </w:r>
      <w:r>
        <w:rPr>
          <w:rFonts w:hint="eastAsia"/>
          <w:color w:val="000000"/>
          <w:szCs w:val="21"/>
          <w:highlight w:val="none"/>
        </w:rPr>
        <w:t xml:space="preserve">损失。</w:t>
      </w:r>
      <w:r>
        <w:rPr>
          <w:color w:val="000000"/>
          <w:szCs w:val="21"/>
          <w:highlight w:val="none"/>
        </w:rPr>
      </w:r>
      <w:r>
        <w:rPr>
          <w:highlight w:val="none"/>
        </w:rPr>
      </w:r>
    </w:p>
    <w:p>
      <w:pPr>
        <w:pStyle w:val="1168"/>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 xml:space="preserve">支持</w:t>
      </w:r>
      <w:r>
        <w:rPr>
          <w:rFonts w:ascii="宋体" w:hAnsi="宋体" w:cs="宋体"/>
          <w:color w:val="000000"/>
          <w:szCs w:val="21"/>
          <w:highlight w:val="none"/>
        </w:rPr>
        <w:t xml:space="preserve">，全天候受理故障报修</w:t>
      </w:r>
      <w:r>
        <w:rPr>
          <w:rFonts w:hint="eastAsia"/>
          <w:color w:val="000000"/>
          <w:szCs w:val="21"/>
          <w:highlight w:val="none"/>
        </w:rPr>
        <w:t xml:space="preserve">，有针对采购人的应急保障方案。</w:t>
      </w:r>
      <w:r>
        <w:rPr>
          <w:rFonts w:hint="eastAsia" w:ascii="宋体" w:hAnsi="宋体" w:cs="宋体"/>
          <w:bCs/>
          <w:color w:val="000000"/>
          <w:highlight w:val="none"/>
        </w:rPr>
        <w:t xml:space="preserve">在接到采购人设备报修通知后，响应时间不超过</w:t>
      </w:r>
      <w:r>
        <w:rPr>
          <w:rFonts w:ascii="宋体" w:hAnsi="宋体" w:cs="宋体"/>
          <w:bCs/>
          <w:color w:val="000000"/>
          <w:highlight w:val="none"/>
        </w:rPr>
        <w:t xml:space="preserve">2</w:t>
      </w:r>
      <w:r>
        <w:rPr>
          <w:rFonts w:hint="eastAsia" w:ascii="宋体" w:hAnsi="宋体" w:cs="宋体"/>
          <w:bCs/>
          <w:color w:val="000000"/>
          <w:highlight w:val="none"/>
        </w:rPr>
        <w:t xml:space="preserve">小时，查找原因，提出解决方案，若设备需要进行现场维修，</w:t>
      </w:r>
      <w:bookmarkStart w:id="245" w:name="_Hlk198115646"/>
      <w:r>
        <w:rPr>
          <w:rFonts w:hint="eastAsia" w:ascii="宋体" w:hAnsi="宋体" w:cs="宋体"/>
          <w:color w:val="000000"/>
          <w:szCs w:val="21"/>
          <w:highlight w:val="none"/>
        </w:rPr>
        <w:t xml:space="preserve">当发生</w:t>
      </w:r>
      <w:r>
        <w:rPr>
          <w:rFonts w:hint="eastAsia"/>
          <w:color w:val="000000"/>
          <w:highlight w:val="none"/>
        </w:rPr>
        <w:t xml:space="preserve">设备关键部件或系统故障</w:t>
      </w:r>
      <w:r>
        <w:rPr>
          <w:rFonts w:hint="eastAsia" w:ascii="宋体" w:hAnsi="宋体" w:cs="宋体"/>
          <w:color w:val="000000"/>
          <w:highlight w:val="none"/>
        </w:rPr>
        <w:t xml:space="preserve">时</w:t>
      </w:r>
      <w:r>
        <w:rPr>
          <w:rFonts w:hint="eastAsia"/>
          <w:color w:val="000000"/>
          <w:highlight w:val="none"/>
        </w:rPr>
        <w:t xml:space="preserve">，</w:t>
      </w:r>
      <w:r>
        <w:rPr>
          <w:rFonts w:hint="eastAsia" w:ascii="宋体" w:hAnsi="宋体" w:cs="宋体"/>
          <w:bCs/>
          <w:color w:val="000000"/>
          <w:highlight w:val="none"/>
        </w:rPr>
        <w:t xml:space="preserve">供应商必须提供应急故障维修，工程师</w:t>
      </w:r>
      <w:r>
        <w:rPr>
          <w:rFonts w:hint="eastAsia"/>
          <w:color w:val="000000"/>
          <w:highlight w:val="none"/>
        </w:rPr>
        <w:t xml:space="preserve">应不超过</w:t>
      </w:r>
      <w:r>
        <w:rPr>
          <w:color w:val="000000"/>
          <w:highlight w:val="none"/>
        </w:rPr>
        <w:t xml:space="preserve">12</w:t>
      </w:r>
      <w:r>
        <w:rPr>
          <w:rFonts w:hint="eastAsia"/>
          <w:color w:val="000000"/>
          <w:highlight w:val="none"/>
        </w:rPr>
        <w:t xml:space="preserve">小时修复故障，</w:t>
      </w:r>
      <w:r>
        <w:rPr>
          <w:rFonts w:hint="eastAsia" w:ascii="宋体" w:hAnsi="宋体" w:cs="宋体"/>
          <w:color w:val="000000"/>
          <w:highlight w:val="none"/>
        </w:rPr>
        <w:t xml:space="preserve">如为</w:t>
      </w:r>
      <w:r>
        <w:rPr>
          <w:rFonts w:hint="eastAsia"/>
          <w:color w:val="000000"/>
          <w:highlight w:val="none"/>
        </w:rPr>
        <w:t xml:space="preserve">一般故障</w:t>
      </w:r>
      <w:r>
        <w:rPr>
          <w:color w:val="000000"/>
          <w:highlight w:val="none"/>
        </w:rPr>
        <w:t xml:space="preserve">，</w:t>
      </w:r>
      <w:bookmarkEnd w:id="245"/>
      <w:r>
        <w:rPr>
          <w:rFonts w:hint="eastAsia" w:ascii="宋体" w:hAnsi="宋体" w:cs="宋体"/>
          <w:bCs/>
          <w:color w:val="000000"/>
          <w:highlight w:val="none"/>
        </w:rPr>
        <w:t xml:space="preserve">工程师应</w:t>
      </w:r>
      <w:r>
        <w:rPr>
          <w:rFonts w:hint="eastAsia"/>
          <w:color w:val="000000"/>
          <w:highlight w:val="none"/>
        </w:rPr>
        <w:t xml:space="preserve">不超过</w:t>
      </w:r>
      <w:r>
        <w:rPr>
          <w:rFonts w:ascii="宋体" w:hAnsi="宋体" w:cs="宋体"/>
          <w:bCs/>
          <w:color w:val="000000"/>
          <w:highlight w:val="none"/>
        </w:rPr>
        <w:t xml:space="preserve">24</w:t>
      </w:r>
      <w:r>
        <w:rPr>
          <w:rFonts w:hint="eastAsia" w:ascii="宋体" w:hAnsi="宋体" w:cs="宋体"/>
          <w:bCs/>
          <w:color w:val="000000"/>
          <w:highlight w:val="none"/>
        </w:rPr>
        <w:t xml:space="preserve">小时到达现场，</w:t>
      </w:r>
      <w:r>
        <w:rPr>
          <w:rFonts w:hint="eastAsia"/>
          <w:color w:val="000000"/>
          <w:highlight w:val="none"/>
        </w:rPr>
        <w:t xml:space="preserve">不超过</w:t>
      </w:r>
      <w:r>
        <w:rPr>
          <w:rFonts w:ascii="宋体" w:hAnsi="宋体" w:cs="宋体"/>
          <w:bCs/>
          <w:color w:val="000000"/>
          <w:highlight w:val="none"/>
        </w:rPr>
        <w:t xml:space="preserve">48</w:t>
      </w:r>
      <w:r>
        <w:rPr>
          <w:rFonts w:hint="eastAsia" w:ascii="宋体" w:hAnsi="宋体" w:cs="宋体"/>
          <w:bCs/>
          <w:color w:val="000000"/>
          <w:highlight w:val="none"/>
        </w:rPr>
        <w:t xml:space="preserve">小时修复或免费提供备用机，否则采购人可自行采取必要的措施，由此产生的风险和费用由供应商承担。如有特殊情况，供应商应立即电话通知采购人不能响应的原因，在获得采购人同意后，才可推迟响应时间。</w:t>
      </w:r>
      <w:r>
        <w:rPr>
          <w:rFonts w:ascii="宋体" w:hAnsi="宋体" w:cs="宋体"/>
          <w:bCs/>
          <w:color w:val="000000"/>
          <w:highlight w:val="none"/>
        </w:rPr>
      </w:r>
      <w:r>
        <w:rPr>
          <w:highlight w:val="none"/>
        </w:rPr>
      </w:r>
    </w:p>
    <w:p>
      <w:pPr>
        <w:pStyle w:val="1168"/>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r>
        <w:rPr>
          <w:rFonts w:ascii="宋体" w:hAnsi="宋体" w:cs="宋体"/>
          <w:bCs/>
          <w:color w:val="000000"/>
          <w:highlight w:val="none"/>
        </w:rPr>
      </w:r>
      <w:r>
        <w:rPr>
          <w:highlight w:val="none"/>
        </w:rPr>
      </w:r>
    </w:p>
    <w:p>
      <w:pPr>
        <w:pStyle w:val="1168"/>
        <w:ind w:firstLine="420"/>
        <w:jc w:val="left"/>
        <w:spacing w:line="360" w:lineRule="auto"/>
        <w:rPr>
          <w:bCs/>
          <w:color w:val="000000"/>
          <w:szCs w:val="21"/>
          <w:highlight w:val="none"/>
        </w:rPr>
      </w:pPr>
      <w:r>
        <w:rPr>
          <w:rFonts w:hint="eastAsia" w:ascii="宋体" w:hAnsi="宋体" w:cs="宋体"/>
          <w:bCs/>
          <w:color w:val="000000"/>
          <w:highlight w:val="none"/>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Cs/>
          <w:color w:val="000000"/>
          <w:szCs w:val="21"/>
          <w:highlight w:val="none"/>
        </w:rPr>
      </w:r>
      <w:r>
        <w:rPr>
          <w:highlight w:val="none"/>
        </w:rPr>
      </w:r>
    </w:p>
    <w:p>
      <w:pPr>
        <w:pStyle w:val="1168"/>
        <w:ind w:firstLine="420"/>
        <w:spacing w:line="360" w:lineRule="auto"/>
        <w:rPr>
          <w:color w:val="000000"/>
          <w:highlight w:val="none"/>
        </w:rPr>
      </w:pPr>
      <w:r>
        <w:rPr>
          <w:highlight w:val="none"/>
        </w:rPr>
      </w:r>
      <w:bookmarkStart w:id="246" w:name="_Hlk198051803"/>
      <w:r>
        <w:rPr>
          <w:rFonts w:hint="eastAsia"/>
          <w:color w:val="000000"/>
          <w:highlight w:val="none"/>
        </w:rPr>
        <w:t xml:space="preserve">5、</w:t>
      </w:r>
      <w:bookmarkStart w:id="247" w:name="_Hlk233975558"/>
      <w:r>
        <w:rPr>
          <w:highlight w:val="none"/>
        </w:rPr>
      </w:r>
      <w:bookmarkStart w:id="248" w:name="_Hlk233975013"/>
      <w:r>
        <w:rPr>
          <w:rFonts w:hint="eastAsia"/>
          <w:color w:val="000000"/>
          <w:highlight w:val="none"/>
        </w:rPr>
        <w:t xml:space="preserve">售后服务方案：投标人须提供售后服务方案，</w:t>
      </w:r>
      <w:r>
        <w:rPr>
          <w:rFonts w:hint="eastAsia" w:ascii="宋体" w:hAnsi="宋体"/>
          <w:color w:val="000000"/>
          <w:highlight w:val="none"/>
        </w:rPr>
        <w:t xml:space="preserve">售后服务机制、服务架构、响应时间等，以上要素完备齐全且适用于本项目并有利于所述方案具体落地实施操作。</w:t>
      </w:r>
      <w:r>
        <w:rPr>
          <w:rFonts w:hint="eastAsia"/>
          <w:color w:val="000000"/>
          <w:highlight w:val="none"/>
        </w:rPr>
        <w:t xml:space="preserve">内容包括但不限于：</w:t>
      </w:r>
      <w:r>
        <w:rPr>
          <w:rFonts w:hint="eastAsia" w:ascii="宋体" w:hAnsi="宋体"/>
          <w:color w:val="000000"/>
          <w:highlight w:val="none"/>
        </w:rPr>
        <w:t xml:space="preserve">有明确的售后服务范围，售后服务人员配备齐全；提供明确的响应电话，</w:t>
      </w:r>
      <w:r>
        <w:rPr>
          <w:rFonts w:hint="eastAsia" w:ascii="宋体" w:hAnsi="宋体"/>
          <w:color w:val="000000"/>
          <w:highlight w:val="none"/>
          <w:lang w:bidi="ar"/>
        </w:rPr>
        <w:t xml:space="preserve">响应时效</w:t>
      </w:r>
      <w:r>
        <w:rPr>
          <w:rFonts w:hint="eastAsia" w:ascii="宋体" w:hAnsi="宋体"/>
          <w:color w:val="000000"/>
          <w:highlight w:val="none"/>
        </w:rPr>
        <w:t xml:space="preserve">、到达现场时间，有明确的</w:t>
      </w:r>
      <w:r>
        <w:rPr>
          <w:rFonts w:hint="eastAsia" w:ascii="宋体" w:hAnsi="宋体"/>
          <w:color w:val="000000"/>
          <w:highlight w:val="none"/>
          <w:lang w:bidi="ar"/>
        </w:rPr>
        <w:t xml:space="preserve">故障处理时间</w:t>
      </w:r>
      <w:r>
        <w:rPr>
          <w:rFonts w:hint="eastAsia" w:ascii="宋体" w:hAnsi="宋体"/>
          <w:color w:val="000000"/>
          <w:highlight w:val="none"/>
        </w:rPr>
        <w:t xml:space="preserve">，并提供备用设备供临时使用；有</w:t>
      </w:r>
      <w:r>
        <w:rPr>
          <w:rFonts w:hint="eastAsia" w:ascii="宋体" w:hAnsi="宋体"/>
          <w:color w:val="000000"/>
          <w:highlight w:val="none"/>
          <w:lang w:bidi="ar"/>
        </w:rPr>
        <w:t xml:space="preserve">额外免费延保服务，免费上门巡检服务；有备品备件供应服务；质保期满后维修、维保、校准等各项服务优惠情况等</w:t>
      </w:r>
      <w:r>
        <w:rPr>
          <w:rFonts w:hint="eastAsia" w:ascii="宋体" w:hAnsi="宋体"/>
          <w:color w:val="000000"/>
          <w:highlight w:val="none"/>
        </w:rPr>
        <w:t xml:space="preserve">。</w:t>
      </w:r>
      <w:bookmarkEnd w:id="247"/>
      <w:r>
        <w:rPr>
          <w:color w:val="000000"/>
          <w:highlight w:val="none"/>
        </w:rPr>
      </w:r>
      <w:r>
        <w:rPr>
          <w:highlight w:val="none"/>
        </w:rPr>
      </w:r>
    </w:p>
    <w:p>
      <w:pPr>
        <w:pStyle w:val="1168"/>
        <w:ind w:firstLine="420"/>
        <w:spacing w:line="360" w:lineRule="auto"/>
        <w:rPr>
          <w:color w:val="000000"/>
          <w:highlight w:val="none"/>
        </w:rPr>
      </w:pPr>
      <w:r>
        <w:rPr>
          <w:rFonts w:hint="eastAsia"/>
          <w:color w:val="000000"/>
          <w:highlight w:val="none"/>
        </w:rPr>
        <w:t xml:space="preserve">6、</w:t>
      </w:r>
      <w:bookmarkStart w:id="249" w:name="_Hlk233975575"/>
      <w:r>
        <w:rPr>
          <w:rFonts w:hint="eastAsia"/>
          <w:color w:val="000000"/>
          <w:highlight w:val="none"/>
        </w:rPr>
        <w:t xml:space="preserve">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bookmarkEnd w:id="249"/>
      <w:r>
        <w:rPr>
          <w:color w:val="000000"/>
          <w:highlight w:val="none"/>
        </w:rPr>
      </w:r>
      <w:r>
        <w:rPr>
          <w:highlight w:val="none"/>
        </w:rPr>
      </w:r>
    </w:p>
    <w:p>
      <w:pPr>
        <w:pStyle w:val="1168"/>
        <w:ind w:firstLine="420"/>
        <w:spacing w:line="360" w:lineRule="auto"/>
        <w:rPr>
          <w:color w:val="000000"/>
          <w:highlight w:val="none"/>
        </w:rPr>
      </w:pPr>
      <w:r>
        <w:rPr>
          <w:color w:val="000000"/>
          <w:highlight w:val="none"/>
        </w:rPr>
        <w:t xml:space="preserve">7</w:t>
      </w:r>
      <w:r>
        <w:rPr>
          <w:rFonts w:hint="eastAsia"/>
          <w:color w:val="000000"/>
          <w:highlight w:val="none"/>
        </w:rPr>
        <w:t xml:space="preserve">、供应商须提供质保期满后设备维修保养服务、校准服务及易损零配件报价，包含年度维保服务费、维修服务费、校准服务费以及易损零配件单价，</w:t>
      </w:r>
      <w:bookmarkStart w:id="250" w:name="_Hlk233888144"/>
      <w:r>
        <w:rPr>
          <w:rFonts w:hint="eastAsia"/>
          <w:color w:val="000000"/>
          <w:highlight w:val="none"/>
        </w:rPr>
        <w:t xml:space="preserve">格式自拟并加盖投标人公章</w:t>
      </w:r>
      <w:r>
        <w:rPr>
          <w:color w:val="000000"/>
          <w:highlight w:val="none"/>
        </w:rPr>
        <w:t xml:space="preserve">。</w:t>
      </w:r>
      <w:bookmarkEnd w:id="250"/>
      <w:r>
        <w:rPr>
          <w:color w:val="000000"/>
          <w:highlight w:val="none"/>
        </w:rPr>
      </w:r>
      <w:r>
        <w:rPr>
          <w:highlight w:val="none"/>
        </w:rPr>
      </w:r>
    </w:p>
    <w:p>
      <w:pPr>
        <w:pStyle w:val="1168"/>
        <w:ind w:firstLine="420"/>
        <w:spacing w:line="360" w:lineRule="auto"/>
        <w:rPr>
          <w:color w:val="000000"/>
          <w:highlight w:val="none"/>
        </w:rPr>
      </w:pPr>
      <w:r>
        <w:rPr>
          <w:highlight w:val="none"/>
        </w:rPr>
      </w:r>
      <w:bookmarkEnd w:id="248"/>
      <w:r>
        <w:rPr>
          <w:color w:val="000000"/>
          <w:highlight w:val="none"/>
        </w:rPr>
        <w:t xml:space="preserve">8</w:t>
      </w:r>
      <w:r>
        <w:rPr>
          <w:rFonts w:hint="eastAsia"/>
          <w:color w:val="000000"/>
          <w:highlight w:val="none"/>
        </w:rPr>
        <w:t xml:space="preserve">、供应商须提供设备所有配套专用试剂、耗材及其他用品等相关材料（如有），须提供名称、规格型号、单价、是否纳入江苏省或南京市试剂耗材集中采购平台等信息。</w:t>
      </w:r>
      <w:bookmarkStart w:id="251" w:name="_Hlk233888120"/>
      <w:r>
        <w:rPr>
          <w:rFonts w:hint="eastAsia"/>
          <w:color w:val="000000"/>
          <w:highlight w:val="none"/>
        </w:rPr>
        <w:t xml:space="preserve">格式自拟并</w:t>
      </w:r>
      <w:bookmarkEnd w:id="251"/>
      <w:r>
        <w:rPr>
          <w:rFonts w:hint="eastAsia"/>
          <w:color w:val="000000"/>
          <w:highlight w:val="none"/>
        </w:rPr>
        <w:t xml:space="preserve">加盖投标人公章。</w:t>
      </w:r>
      <w:r>
        <w:rPr>
          <w:color w:val="000000"/>
          <w:highlight w:val="none"/>
        </w:rPr>
      </w:r>
      <w:r>
        <w:rPr>
          <w:highlight w:val="none"/>
        </w:rPr>
      </w:r>
    </w:p>
    <w:p>
      <w:pPr>
        <w:pStyle w:val="1168"/>
        <w:ind w:firstLine="422"/>
        <w:spacing w:line="360" w:lineRule="auto"/>
        <w:rPr>
          <w:b/>
          <w:bCs/>
          <w:color w:val="000000"/>
          <w:highlight w:val="none"/>
        </w:rPr>
      </w:pPr>
      <w:r>
        <w:rPr>
          <w:rFonts w:hint="eastAsia"/>
          <w:b/>
          <w:bCs/>
          <w:color w:val="000000"/>
          <w:highlight w:val="none"/>
        </w:rPr>
        <w:t xml:space="preserve">七、验收要求：</w:t>
      </w:r>
      <w:r>
        <w:rPr>
          <w:b/>
          <w:bCs/>
          <w:color w:val="000000"/>
          <w:highlight w:val="none"/>
        </w:rPr>
      </w:r>
      <w:r>
        <w:rPr>
          <w:highlight w:val="none"/>
        </w:rPr>
      </w:r>
    </w:p>
    <w:p>
      <w:pPr>
        <w:pStyle w:val="1168"/>
        <w:ind w:firstLine="420"/>
        <w:spacing w:line="360" w:lineRule="auto"/>
        <w:rPr>
          <w:color w:val="000000"/>
          <w:highlight w:val="none"/>
        </w:rPr>
      </w:pPr>
      <w:r>
        <w:rPr>
          <w:rFonts w:hint="eastAsia"/>
          <w:color w:val="000000"/>
          <w:highlight w:val="none"/>
        </w:rPr>
        <w:t xml:space="preserve">1、</w:t>
      </w:r>
      <w:r>
        <w:rPr>
          <w:color w:val="000000"/>
          <w:highlight w:val="none"/>
        </w:rPr>
        <w:t xml:space="preserve">设备安装、调试、验收：</w:t>
      </w:r>
      <w:bookmarkStart w:id="252" w:name="_Hlk129865242"/>
      <w:r>
        <w:rPr>
          <w:color w:val="000000"/>
          <w:highlight w:val="none"/>
        </w:rPr>
        <w:t xml:space="preserve">供应商提供的货物（含配件）应是全新的、未使用过的</w:t>
      </w:r>
      <w:r>
        <w:rPr>
          <w:rFonts w:hint="eastAsia"/>
          <w:color w:val="000000"/>
          <w:highlight w:val="none"/>
        </w:rPr>
        <w:t xml:space="preserve">、制造商出厂</w:t>
      </w:r>
      <w:r>
        <w:rPr>
          <w:color w:val="000000"/>
          <w:highlight w:val="none"/>
        </w:rPr>
        <w:t xml:space="preserve">原装合格正品，</w:t>
      </w:r>
      <w:r>
        <w:rPr>
          <w:rFonts w:hint="eastAsia"/>
          <w:color w:val="000000"/>
          <w:highlight w:val="none"/>
        </w:rPr>
        <w:t xml:space="preserve">各项技术指标完全符合国家有关质量检测、环保标准及产品出厂标准。</w:t>
      </w:r>
      <w:r>
        <w:rPr>
          <w:color w:val="000000"/>
          <w:highlight w:val="none"/>
        </w:rPr>
        <w:t xml:space="preserve">供应商</w:t>
      </w:r>
      <w:r>
        <w:rPr>
          <w:rFonts w:hint="eastAsia"/>
          <w:color w:val="000000"/>
          <w:highlight w:val="none"/>
        </w:rPr>
        <w:t xml:space="preserve">应</w:t>
      </w:r>
      <w:r>
        <w:rPr>
          <w:color w:val="000000"/>
          <w:highlight w:val="none"/>
        </w:rPr>
        <w:t xml:space="preserve">保证所提供货物的开箱合格率为100%，外观和内在质量都不得有任何问题，</w:t>
      </w:r>
      <w:bookmarkEnd w:id="252"/>
      <w:r>
        <w:rPr>
          <w:color w:val="000000"/>
          <w:highlight w:val="none"/>
        </w:rPr>
        <w:t xml:space="preserve">应当完全符合招标（采购）文件规定、投标（响应）文件所承诺的数量和规格要求。</w:t>
      </w:r>
      <w:bookmarkStart w:id="253" w:name="_Hlk129865272"/>
      <w:r>
        <w:rPr>
          <w:color w:val="000000"/>
          <w:highlight w:val="none"/>
        </w:rPr>
        <w:t xml:space="preserve">供方提供的货物不符合招标（采购）文件、投标（响应）文件和合同规定的</w:t>
      </w:r>
      <w:r>
        <w:rPr>
          <w:rFonts w:hint="eastAsia"/>
          <w:color w:val="000000"/>
          <w:highlight w:val="none"/>
        </w:rPr>
        <w:t xml:space="preserve">或有任何质量问题</w:t>
      </w:r>
      <w:r>
        <w:rPr>
          <w:color w:val="000000"/>
          <w:highlight w:val="none"/>
        </w:rPr>
        <w:t xml:space="preserve">，</w:t>
      </w:r>
      <w:bookmarkEnd w:id="253"/>
      <w:r>
        <w:rPr>
          <w:rFonts w:hint="eastAsia"/>
          <w:color w:val="000000"/>
          <w:highlight w:val="none"/>
        </w:rPr>
        <w:t xml:space="preserve">采购人</w:t>
      </w:r>
      <w:r>
        <w:rPr>
          <w:color w:val="000000"/>
          <w:highlight w:val="none"/>
        </w:rPr>
        <w:t xml:space="preserve">有权拒收货物，供应商</w:t>
      </w:r>
      <w:r>
        <w:rPr>
          <w:rFonts w:hint="eastAsia"/>
          <w:color w:val="000000"/>
          <w:highlight w:val="none"/>
        </w:rPr>
        <w:t xml:space="preserve">应无条件换货物并承担因此产生的所有运输费用，并承担相应逾期责任</w:t>
      </w:r>
      <w:r>
        <w:rPr>
          <w:color w:val="000000"/>
          <w:highlight w:val="none"/>
        </w:rPr>
        <w:t xml:space="preserve">。造成</w:t>
      </w:r>
      <w:r>
        <w:rPr>
          <w:rFonts w:hint="eastAsia"/>
          <w:color w:val="000000"/>
          <w:highlight w:val="none"/>
        </w:rPr>
        <w:t xml:space="preserve">采购人</w:t>
      </w:r>
      <w:r>
        <w:rPr>
          <w:color w:val="000000"/>
          <w:highlight w:val="none"/>
        </w:rPr>
        <w:t xml:space="preserve">损失的，供应商应当承担赔偿责任。</w:t>
      </w:r>
      <w:r>
        <w:rPr>
          <w:color w:val="000000"/>
          <w:highlight w:val="none"/>
        </w:rPr>
      </w:r>
      <w:r>
        <w:rPr>
          <w:highlight w:val="none"/>
        </w:rPr>
      </w:r>
    </w:p>
    <w:p>
      <w:pPr>
        <w:pStyle w:val="1168"/>
        <w:ind w:firstLine="560"/>
        <w:jc w:val="left"/>
        <w:spacing w:line="360" w:lineRule="auto"/>
        <w:rPr>
          <w:color w:val="000000"/>
          <w:szCs w:val="21"/>
          <w:highlight w:val="none"/>
        </w:rPr>
      </w:pPr>
      <w:r>
        <w:rPr>
          <w:rFonts w:hint="eastAsia"/>
          <w:color w:val="000000"/>
          <w:highlight w:val="none"/>
        </w:rPr>
        <w:t xml:space="preserve">2、验收标准依照</w:t>
      </w:r>
      <w:r>
        <w:rPr>
          <w:color w:val="000000"/>
          <w:highlight w:val="none"/>
        </w:rPr>
        <w:t xml:space="preserve">招标（采购）文件规定、投标（响应）文件所承诺</w:t>
      </w:r>
      <w:r>
        <w:rPr>
          <w:rFonts w:hint="eastAsia" w:ascii="宋体" w:hAnsi="宋体" w:cs="宋体"/>
          <w:color w:val="000000"/>
          <w:szCs w:val="21"/>
          <w:highlight w:val="none"/>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rPr>
          <w:highlight w:val="none"/>
        </w:rPr>
      </w:r>
    </w:p>
    <w:p>
      <w:pPr>
        <w:pStyle w:val="1168"/>
        <w:ind w:firstLine="560"/>
        <w:spacing w:line="360" w:lineRule="auto"/>
        <w:rPr>
          <w:color w:val="000000"/>
          <w:szCs w:val="21"/>
          <w:highlight w:val="none"/>
        </w:rPr>
      </w:pPr>
      <w:r>
        <w:rPr>
          <w:rFonts w:hint="eastAsia" w:ascii="宋体" w:hAnsi="宋体" w:cs="宋体"/>
          <w:color w:val="000000"/>
          <w:szCs w:val="21"/>
          <w:highlight w:val="none"/>
        </w:rPr>
        <w:t xml:space="preserve">货物和系统调试验收的标准：按行业通行标准、厂方出厂标准和</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投标文</w:t>
      </w:r>
      <w:r>
        <w:rPr>
          <w:color w:val="000000"/>
          <w:szCs w:val="21"/>
          <w:highlight w:val="none"/>
        </w:rPr>
        <w:t xml:space="preserve">件的承诺。</w:t>
      </w:r>
      <w:r>
        <w:rPr>
          <w:color w:val="000000"/>
          <w:szCs w:val="21"/>
          <w:highlight w:val="none"/>
        </w:rPr>
      </w:r>
      <w:r>
        <w:rPr>
          <w:highlight w:val="none"/>
        </w:rPr>
      </w:r>
    </w:p>
    <w:p>
      <w:pPr>
        <w:pStyle w:val="1168"/>
        <w:ind w:firstLine="525"/>
        <w:jc w:val="left"/>
        <w:spacing w:line="360" w:lineRule="auto"/>
        <w:rPr>
          <w:color w:val="000000"/>
          <w:szCs w:val="21"/>
          <w:highlight w:val="none"/>
        </w:rPr>
      </w:pPr>
      <w:r>
        <w:rPr>
          <w:color w:val="000000"/>
          <w:szCs w:val="21"/>
          <w:highlight w:val="none"/>
        </w:rPr>
        <w:t xml:space="preserve">3、</w:t>
      </w:r>
      <w:r>
        <w:rPr>
          <w:rFonts w:ascii="宋体" w:hAnsi="宋体" w:cs="宋体"/>
          <w:bCs/>
          <w:color w:val="000000"/>
          <w:highlight w:val="none"/>
        </w:rPr>
        <w:t xml:space="preserve">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 xml:space="preserve">，</w:t>
      </w:r>
      <w:r>
        <w:rPr>
          <w:rFonts w:ascii="宋体" w:hAnsi="宋体" w:cs="宋体"/>
          <w:bCs/>
          <w:color w:val="000000"/>
          <w:highlight w:val="none"/>
        </w:rPr>
        <w:t xml:space="preserve">如发生破损、缺件等问题，供方应及时解决。</w:t>
      </w:r>
      <w:r>
        <w:rPr>
          <w:color w:val="000000"/>
          <w:szCs w:val="21"/>
          <w:highlight w:val="none"/>
        </w:rPr>
      </w:r>
      <w:r>
        <w:rPr>
          <w:highlight w:val="none"/>
        </w:rPr>
      </w:r>
    </w:p>
    <w:p>
      <w:pPr>
        <w:pStyle w:val="1168"/>
        <w:ind w:firstLine="525"/>
        <w:jc w:val="left"/>
        <w:spacing w:line="360" w:lineRule="auto"/>
        <w:rPr>
          <w:color w:val="000000"/>
          <w:szCs w:val="21"/>
          <w:highlight w:val="none"/>
        </w:rPr>
      </w:pPr>
      <w:r>
        <w:rPr>
          <w:color w:val="000000"/>
          <w:szCs w:val="21"/>
          <w:highlight w:val="none"/>
        </w:rPr>
        <w:t xml:space="preserve">4、</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应保证产品合格书、技术性能检测报告、货物的装箱清单、用户手册、原厂保修卡、随机资料及配件、随机工具等资料齐全。</w:t>
      </w:r>
      <w:bookmarkStart w:id="254" w:name="_Hlk129864696"/>
      <w:r>
        <w:rPr>
          <w:rFonts w:hint="eastAsia" w:ascii="宋体" w:hAnsi="宋体" w:cs="宋体"/>
          <w:color w:val="000000"/>
          <w:szCs w:val="21"/>
          <w:highlight w:val="none"/>
        </w:rPr>
        <w:t xml:space="preserve">进口设备还需提供进口报关单。</w:t>
      </w:r>
      <w:bookmarkEnd w:id="254"/>
      <w:r>
        <w:rPr>
          <w:rFonts w:ascii="宋体" w:hAnsi="宋体" w:cs="宋体"/>
          <w:bCs/>
          <w:color w:val="000000"/>
          <w:highlight w:val="none"/>
        </w:rPr>
        <w:t xml:space="preserve">供应商</w:t>
      </w:r>
      <w:r>
        <w:rPr>
          <w:rFonts w:hint="eastAsia" w:ascii="宋体" w:hAnsi="宋体" w:cs="宋体"/>
          <w:color w:val="000000"/>
          <w:szCs w:val="21"/>
          <w:highlight w:val="none"/>
        </w:rPr>
        <w:t xml:space="preserve">不能完整交付货物及本款规定的单证和工具的，视为未按合同约定交货，</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负责补齐，因此导致逾期交付的，由</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承担相关的违约责任。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5、</w:t>
      </w:r>
      <w:r>
        <w:rPr>
          <w:color w:val="000000"/>
          <w:highlight w:val="none"/>
        </w:rPr>
        <w:t xml:space="preserve">供应商负责在货物到达采购人交货地点或者指定地点</w:t>
      </w:r>
      <w:r>
        <w:rPr>
          <w:rFonts w:hint="eastAsia"/>
          <w:color w:val="000000"/>
          <w:highlight w:val="none"/>
        </w:rPr>
        <w:t xml:space="preserve">三个工作</w:t>
      </w:r>
      <w:r>
        <w:rPr>
          <w:color w:val="000000"/>
          <w:highlight w:val="none"/>
        </w:rPr>
        <w:t xml:space="preserve">日内到</w:t>
      </w:r>
      <w:r>
        <w:rPr>
          <w:rFonts w:hint="eastAsia"/>
          <w:color w:val="000000"/>
          <w:highlight w:val="none"/>
        </w:rPr>
        <w:t xml:space="preserve">采购人</w:t>
      </w:r>
      <w:r>
        <w:rPr>
          <w:color w:val="000000"/>
          <w:highlight w:val="none"/>
        </w:rPr>
        <w:t xml:space="preserve">现场</w:t>
      </w:r>
      <w:r>
        <w:rPr>
          <w:rFonts w:hint="eastAsia"/>
          <w:color w:val="000000"/>
          <w:highlight w:val="none"/>
        </w:rPr>
        <w:t xml:space="preserve">提供安装</w:t>
      </w:r>
      <w:r>
        <w:rPr>
          <w:color w:val="000000"/>
          <w:highlight w:val="none"/>
        </w:rPr>
        <w:t xml:space="preserve">调试服务，</w:t>
      </w:r>
      <w:bookmarkStart w:id="255" w:name="_Hlk233888613"/>
      <w:r>
        <w:rPr>
          <w:rFonts w:hint="eastAsia"/>
          <w:color w:val="000000"/>
          <w:highlight w:val="none"/>
        </w:rPr>
        <w:t xml:space="preserve">供应商应派技术人员配合采购人开展设备性能确认和验证等相关工作。</w:t>
      </w:r>
      <w:bookmarkEnd w:id="255"/>
      <w:r>
        <w:rPr>
          <w:color w:val="000000"/>
          <w:highlight w:val="none"/>
        </w:rPr>
        <w:t xml:space="preserve">采购人在调试过程中</w:t>
      </w:r>
      <w:r>
        <w:rPr>
          <w:rFonts w:hint="eastAsia"/>
          <w:color w:val="000000"/>
          <w:highlight w:val="none"/>
        </w:rPr>
        <w:t xml:space="preserve">发现</w:t>
      </w:r>
      <w:r>
        <w:rPr>
          <w:color w:val="000000"/>
          <w:highlight w:val="none"/>
        </w:rPr>
        <w:t xml:space="preserve">调试</w:t>
      </w:r>
      <w:r>
        <w:rPr>
          <w:rFonts w:hint="eastAsia"/>
          <w:color w:val="000000"/>
          <w:highlight w:val="none"/>
        </w:rPr>
        <w:t xml:space="preserve">结果或性能验证结果未达到</w:t>
      </w:r>
      <w:r>
        <w:rPr>
          <w:color w:val="000000"/>
          <w:highlight w:val="none"/>
        </w:rPr>
        <w:t xml:space="preserve">验收合格</w:t>
      </w:r>
      <w:r>
        <w:rPr>
          <w:rFonts w:hint="eastAsia"/>
          <w:color w:val="000000"/>
          <w:highlight w:val="none"/>
        </w:rPr>
        <w:t xml:space="preserve">标准，</w:t>
      </w:r>
      <w:r>
        <w:rPr>
          <w:color w:val="000000"/>
          <w:highlight w:val="none"/>
        </w:rPr>
        <w:t xml:space="preserve">则由采购人出具书面通知，并责令供应商限期整改</w:t>
      </w:r>
      <w:r>
        <w:rPr>
          <w:rFonts w:hint="eastAsia"/>
          <w:color w:val="000000"/>
          <w:highlight w:val="none"/>
        </w:rPr>
        <w:t xml:space="preserve">，供应商应无条件更换符合要求的新产品，</w:t>
      </w:r>
      <w:r>
        <w:rPr>
          <w:color w:val="000000"/>
          <w:highlight w:val="none"/>
        </w:rPr>
        <w:t xml:space="preserve">供应商应自收到采购人书面</w:t>
      </w:r>
      <w:r>
        <w:rPr>
          <w:rFonts w:hint="eastAsia"/>
          <w:color w:val="000000"/>
          <w:highlight w:val="none"/>
        </w:rPr>
        <w:t xml:space="preserve">通知</w:t>
      </w:r>
      <w:r>
        <w:rPr>
          <w:color w:val="000000"/>
          <w:highlight w:val="none"/>
        </w:rPr>
        <w:t xml:space="preserve">后</w:t>
      </w:r>
      <w:r>
        <w:rPr>
          <w:rFonts w:hint="eastAsia"/>
          <w:color w:val="000000"/>
          <w:highlight w:val="none"/>
        </w:rPr>
        <w:t xml:space="preserve">五个工作</w:t>
      </w:r>
      <w:r>
        <w:rPr>
          <w:color w:val="000000"/>
          <w:highlight w:val="none"/>
        </w:rPr>
        <w:t xml:space="preserve">日内及时予以解决</w:t>
      </w:r>
      <w:r>
        <w:rPr>
          <w:rFonts w:hint="eastAsia"/>
          <w:color w:val="000000"/>
          <w:highlight w:val="none"/>
        </w:rPr>
        <w:t xml:space="preserve">并承担相应费用</w:t>
      </w:r>
      <w:r>
        <w:rPr>
          <w:color w:val="000000"/>
          <w:highlight w:val="none"/>
        </w:rPr>
        <w:t xml:space="preserve">。</w:t>
      </w:r>
      <w:r>
        <w:rPr>
          <w:rFonts w:hint="eastAsia"/>
          <w:color w:val="000000"/>
          <w:highlight w:val="none"/>
        </w:rPr>
        <w:t xml:space="preserve">若供应商拒绝退换货，采购人有权拒绝支付货款，追究供应商的违约责任，供应商应承担由此给采购人造成的一切损失。</w:t>
      </w:r>
      <w:r>
        <w:rPr>
          <w:color w:val="000000"/>
          <w:szCs w:val="21"/>
          <w:highlight w:val="none"/>
        </w:rPr>
      </w:r>
      <w:r>
        <w:rPr>
          <w:highlight w:val="none"/>
        </w:rPr>
      </w:r>
    </w:p>
    <w:p>
      <w:pPr>
        <w:pStyle w:val="1168"/>
        <w:ind w:firstLine="525"/>
        <w:jc w:val="left"/>
        <w:spacing w:line="360" w:lineRule="auto"/>
        <w:rPr>
          <w:color w:val="000000"/>
          <w:szCs w:val="21"/>
          <w:highlight w:val="none"/>
        </w:rPr>
      </w:pPr>
      <w:r>
        <w:rPr>
          <w:color w:val="000000"/>
          <w:szCs w:val="21"/>
          <w:highlight w:val="none"/>
        </w:rPr>
        <w:t xml:space="preserve">6、</w:t>
      </w:r>
      <w:r>
        <w:rPr>
          <w:rFonts w:ascii="宋体" w:hAnsi="宋体" w:cs="宋体"/>
          <w:bCs/>
          <w:color w:val="000000"/>
          <w:highlight w:val="none"/>
        </w:rPr>
        <w:t xml:space="preserve">供应商</w:t>
      </w:r>
      <w:r>
        <w:rPr>
          <w:rFonts w:hint="eastAsia" w:ascii="宋体" w:hAnsi="宋体" w:cs="宋体"/>
          <w:bCs/>
          <w:color w:val="000000"/>
          <w:highlight w:val="none"/>
        </w:rPr>
        <w:t xml:space="preserve">在约定期限内</w:t>
      </w:r>
      <w:r>
        <w:rPr>
          <w:rFonts w:ascii="宋体" w:hAnsi="宋体" w:cs="宋体"/>
          <w:bCs/>
          <w:color w:val="000000"/>
          <w:highlight w:val="none"/>
        </w:rPr>
        <w:t xml:space="preserve">完成设备安装、调试、培训，</w:t>
      </w:r>
      <w:bookmarkStart w:id="256" w:name="_Hlk233888631"/>
      <w:r>
        <w:rPr>
          <w:rFonts w:hint="eastAsia"/>
          <w:color w:val="000000"/>
          <w:highlight w:val="none"/>
        </w:rPr>
        <w:t xml:space="preserve">经性能确认和验证合格，</w:t>
      </w:r>
      <w:bookmarkEnd w:id="256"/>
      <w:r>
        <w:rPr>
          <w:rFonts w:hint="eastAsia"/>
          <w:bCs/>
          <w:color w:val="000000"/>
          <w:highlight w:val="none"/>
        </w:rPr>
        <w:t xml:space="preserve">满足</w:t>
      </w:r>
      <w:r>
        <w:rPr>
          <w:rFonts w:ascii="宋体" w:hAnsi="宋体" w:cs="宋体"/>
          <w:bCs/>
          <w:color w:val="000000"/>
          <w:highlight w:val="none"/>
        </w:rPr>
        <w:t xml:space="preserve">正常使用要求并移交相关技术资料后，设备试运行30天，试用期间发生</w:t>
      </w:r>
      <w:r>
        <w:rPr>
          <w:rFonts w:hint="eastAsia" w:ascii="宋体" w:hAnsi="宋体" w:cs="宋体"/>
          <w:bCs/>
          <w:color w:val="000000"/>
          <w:highlight w:val="none"/>
        </w:rPr>
        <w:t xml:space="preserve">任何</w:t>
      </w:r>
      <w:r>
        <w:rPr>
          <w:rFonts w:ascii="宋体" w:hAnsi="宋体" w:cs="宋体"/>
          <w:bCs/>
          <w:color w:val="000000"/>
          <w:highlight w:val="none"/>
        </w:rPr>
        <w:t xml:space="preserve">质量问题，</w:t>
      </w:r>
      <w:r>
        <w:rPr>
          <w:rFonts w:hint="eastAsia" w:ascii="宋体" w:hAnsi="宋体" w:cs="宋体"/>
          <w:bCs/>
          <w:color w:val="000000"/>
          <w:highlight w:val="none"/>
        </w:rPr>
        <w:t xml:space="preserve">供应商应无条件</w:t>
      </w:r>
      <w:r>
        <w:rPr>
          <w:rFonts w:ascii="宋体" w:hAnsi="宋体" w:cs="宋体"/>
          <w:bCs/>
          <w:color w:val="000000"/>
          <w:highlight w:val="none"/>
        </w:rPr>
        <w:t xml:space="preserve">退换货</w:t>
      </w:r>
      <w:r>
        <w:rPr>
          <w:rFonts w:hint="eastAsia" w:ascii="宋体" w:hAnsi="宋体" w:cs="宋体"/>
          <w:bCs/>
          <w:color w:val="000000"/>
          <w:highlight w:val="none"/>
        </w:rPr>
        <w:t xml:space="preserve">，</w:t>
      </w:r>
      <w:r>
        <w:rPr>
          <w:rFonts w:ascii="宋体" w:hAnsi="宋体" w:cs="宋体"/>
          <w:bCs/>
          <w:color w:val="000000"/>
          <w:highlight w:val="none"/>
        </w:rPr>
        <w:t xml:space="preserve">试用期相应顺延。试运行结束无质量问题办理验收手续</w:t>
      </w:r>
      <w:r>
        <w:rPr>
          <w:rFonts w:hint="eastAsia" w:ascii="宋体" w:hAnsi="宋体" w:cs="宋体"/>
          <w:bCs/>
          <w:color w:val="000000"/>
          <w:highlight w:val="none"/>
        </w:rPr>
        <w:t xml:space="preserve">，由</w:t>
      </w:r>
      <w:r>
        <w:rPr>
          <w:rFonts w:ascii="宋体" w:hAnsi="宋体" w:cs="宋体"/>
          <w:bCs/>
          <w:color w:val="000000"/>
          <w:highlight w:val="none"/>
        </w:rPr>
        <w:t xml:space="preserve">采购人</w:t>
      </w:r>
      <w:r>
        <w:rPr>
          <w:rFonts w:hint="eastAsia" w:ascii="宋体" w:hAnsi="宋体" w:cs="宋体"/>
          <w:bCs/>
          <w:color w:val="000000"/>
          <w:highlight w:val="none"/>
        </w:rPr>
        <w:t xml:space="preserve">出具验收单</w:t>
      </w:r>
      <w:r>
        <w:rPr>
          <w:rFonts w:ascii="宋体" w:hAnsi="宋体" w:cs="宋体"/>
          <w:bCs/>
          <w:color w:val="000000"/>
          <w:highlight w:val="none"/>
        </w:rPr>
        <w:t xml:space="preserve">。</w:t>
      </w:r>
      <w:r>
        <w:rPr>
          <w:color w:val="000000"/>
          <w:szCs w:val="21"/>
          <w:highlight w:val="none"/>
        </w:rPr>
      </w:r>
      <w:r>
        <w:rPr>
          <w:highlight w:val="none"/>
        </w:rPr>
      </w:r>
    </w:p>
    <w:p>
      <w:pPr>
        <w:pStyle w:val="1168"/>
        <w:ind w:firstLine="560"/>
        <w:jc w:val="left"/>
        <w:spacing w:line="360" w:lineRule="auto"/>
        <w:rPr>
          <w:rFonts w:ascii="宋体" w:hAnsi="宋体" w:cs="宋体"/>
          <w:color w:val="000000"/>
          <w:szCs w:val="21"/>
          <w:highlight w:val="none"/>
        </w:rPr>
      </w:pPr>
      <w:r>
        <w:rPr>
          <w:color w:val="000000"/>
          <w:szCs w:val="21"/>
          <w:highlight w:val="none"/>
        </w:rPr>
        <w:t xml:space="preserve">7、</w:t>
      </w:r>
      <w:r>
        <w:rPr>
          <w:rFonts w:ascii="宋体" w:hAnsi="宋体" w:cs="宋体"/>
          <w:color w:val="000000"/>
          <w:szCs w:val="21"/>
          <w:highlight w:val="none"/>
        </w:rPr>
        <w:t xml:space="preserve">验收时间以验收单上签署的时间为准，验收结果以该项目验收单结论为准。在验收过程中发现</w:t>
      </w:r>
      <w:r>
        <w:rPr>
          <w:rFonts w:ascii="宋体" w:hAnsi="宋体" w:cs="宋体"/>
          <w:bCs/>
          <w:color w:val="000000"/>
          <w:highlight w:val="none"/>
        </w:rPr>
        <w:t xml:space="preserve">供应商</w:t>
      </w:r>
      <w:r>
        <w:rPr>
          <w:rFonts w:ascii="宋体" w:hAnsi="宋体" w:cs="宋体"/>
          <w:color w:val="000000"/>
          <w:szCs w:val="21"/>
          <w:highlight w:val="none"/>
        </w:rPr>
        <w:t xml:space="preserve">有违约问题，可暂缓资金结算，待违约问题解决后，方可办理资金结算事宜。</w:t>
      </w:r>
      <w:r>
        <w:rPr>
          <w:rFonts w:ascii="宋体" w:hAnsi="宋体" w:cs="宋体"/>
          <w:color w:val="000000"/>
          <w:szCs w:val="21"/>
          <w:highlight w:val="none"/>
        </w:rPr>
      </w:r>
      <w:r>
        <w:rPr>
          <w:highlight w:val="none"/>
        </w:rPr>
      </w:r>
    </w:p>
    <w:p>
      <w:pPr>
        <w:pStyle w:val="1168"/>
        <w:ind w:firstLine="422"/>
        <w:spacing w:line="360" w:lineRule="auto"/>
        <w:rPr>
          <w:b/>
          <w:bCs/>
          <w:color w:val="000000"/>
          <w:highlight w:val="none"/>
        </w:rPr>
      </w:pPr>
      <w:r>
        <w:rPr>
          <w:rFonts w:hint="eastAsia"/>
          <w:b/>
          <w:bCs/>
          <w:color w:val="000000"/>
          <w:highlight w:val="none"/>
        </w:rPr>
        <w:t xml:space="preserve">九、</w:t>
      </w:r>
      <w:r>
        <w:rPr>
          <w:b/>
          <w:bCs/>
          <w:color w:val="000000"/>
          <w:highlight w:val="none"/>
        </w:rPr>
        <w:t xml:space="preserve">质量保证</w:t>
      </w:r>
      <w:r>
        <w:rPr>
          <w:b/>
          <w:bCs/>
          <w:color w:val="000000"/>
          <w:highlight w:val="none"/>
        </w:rPr>
      </w:r>
      <w:r>
        <w:rPr>
          <w:highlight w:val="none"/>
        </w:rPr>
      </w:r>
    </w:p>
    <w:p>
      <w:pPr>
        <w:pStyle w:val="1168"/>
        <w:ind w:firstLine="420"/>
        <w:spacing w:line="360" w:lineRule="auto"/>
        <w:rPr>
          <w:color w:val="000000"/>
          <w:highlight w:val="none"/>
        </w:rPr>
      </w:pPr>
      <w:r>
        <w:rPr>
          <w:color w:val="000000"/>
          <w:highlight w:val="none"/>
        </w:rPr>
        <w:t xml:space="preserve">1、供应商所提供的货物型号、技术规格、技术参数</w:t>
      </w:r>
      <w:r>
        <w:rPr>
          <w:rFonts w:hint="eastAsia"/>
          <w:color w:val="000000"/>
          <w:highlight w:val="none"/>
        </w:rPr>
        <w:t xml:space="preserve">及性能</w:t>
      </w:r>
      <w:r>
        <w:rPr>
          <w:color w:val="000000"/>
          <w:highlight w:val="none"/>
        </w:rPr>
        <w:t xml:space="preserve">质量必须与采购文件、响应文件和承诺相一致。若技术性能无特殊说明，则按国家有关部门最新颁布的标准及规范为准。</w:t>
      </w:r>
      <w:r>
        <w:rPr>
          <w:color w:val="000000"/>
          <w:highlight w:val="none"/>
        </w:rPr>
      </w:r>
      <w:r>
        <w:rPr>
          <w:highlight w:val="none"/>
        </w:rPr>
      </w:r>
    </w:p>
    <w:p>
      <w:pPr>
        <w:pStyle w:val="1168"/>
        <w:ind w:firstLine="420"/>
        <w:spacing w:line="360" w:lineRule="auto"/>
        <w:rPr>
          <w:color w:val="000000"/>
          <w:highlight w:val="none"/>
        </w:rPr>
      </w:pPr>
      <w:r>
        <w:rPr>
          <w:color w:val="000000"/>
          <w:highlight w:val="none"/>
        </w:rPr>
        <w:t xml:space="preserve">2、供应商将货物送至采购人指定地点、安装调试完成并经最终验收合格视为交付。供应商应保证货物是全新、未使用过的</w:t>
      </w:r>
      <w:r>
        <w:rPr>
          <w:rFonts w:hint="eastAsia"/>
          <w:color w:val="000000"/>
          <w:highlight w:val="none"/>
        </w:rPr>
        <w:t xml:space="preserve">且为近一年内生产的</w:t>
      </w:r>
      <w:r>
        <w:rPr>
          <w:color w:val="000000"/>
          <w:highlight w:val="none"/>
        </w:rPr>
        <w:t xml:space="preserve">原装合格正品，并完全符合采购文件、响应文件和承诺规定的质量、规格和性能的要求。货物交付前由供应商承担货物损毁灭失的风险。</w:t>
      </w:r>
      <w:r>
        <w:rPr>
          <w:color w:val="000000"/>
          <w:highlight w:val="none"/>
        </w:rPr>
      </w:r>
      <w:r>
        <w:rPr>
          <w:highlight w:val="none"/>
        </w:rPr>
      </w:r>
    </w:p>
    <w:p>
      <w:pPr>
        <w:pStyle w:val="1168"/>
        <w:ind w:firstLine="420"/>
        <w:spacing w:line="360" w:lineRule="auto"/>
        <w:rPr>
          <w:color w:val="000000"/>
          <w:highlight w:val="none"/>
        </w:rPr>
      </w:pPr>
      <w:r>
        <w:rPr>
          <w:rFonts w:hint="eastAsia"/>
          <w:color w:val="000000"/>
          <w:highlight w:val="none"/>
        </w:rPr>
        <w:t xml:space="preserve">3、</w:t>
      </w:r>
      <w:bookmarkStart w:id="257" w:name="_Hlk233973014"/>
      <w:r>
        <w:rPr>
          <w:color w:val="000000"/>
          <w:highlight w:val="none"/>
        </w:rPr>
        <w:t xml:space="preserve">供应商应保证其提供的货物</w:t>
      </w:r>
      <w:r>
        <w:rPr>
          <w:rFonts w:hint="eastAsia"/>
          <w:color w:val="000000"/>
          <w:highlight w:val="none"/>
        </w:rPr>
        <w:t xml:space="preserve">及主要部件必须为成熟的产品，在其使用寿命内能提供备件、附件和耗材的供应。货物</w:t>
      </w:r>
      <w:r>
        <w:rPr>
          <w:color w:val="000000"/>
          <w:highlight w:val="none"/>
        </w:rPr>
        <w:t xml:space="preserve">在正确安装、正常使用和保养条件下，在其使用寿命内具有良好的性能。</w:t>
      </w:r>
      <w:bookmarkEnd w:id="257"/>
      <w:r>
        <w:rPr>
          <w:color w:val="000000"/>
          <w:highlight w:val="none"/>
        </w:rPr>
      </w:r>
      <w:r>
        <w:rPr>
          <w:highlight w:val="none"/>
        </w:rPr>
      </w:r>
    </w:p>
    <w:p>
      <w:pPr>
        <w:pStyle w:val="1168"/>
        <w:ind w:firstLine="420"/>
        <w:jc w:val="left"/>
        <w:spacing w:line="360" w:lineRule="auto"/>
        <w:rPr>
          <w:color w:val="000000"/>
          <w:highlight w:val="none"/>
        </w:rPr>
      </w:pPr>
      <w:r>
        <w:rPr>
          <w:rFonts w:hint="eastAsia"/>
          <w:color w:val="000000"/>
          <w:highlight w:val="none"/>
        </w:rPr>
        <w:t xml:space="preserve">4、</w:t>
      </w:r>
      <w:r>
        <w:rPr>
          <w:color w:val="000000"/>
          <w:highlight w:val="none"/>
        </w:rPr>
        <w:t xml:space="preserve">供应商应保证货物不存在已有的或可预见的权利负担，包括但不限于出租、抵押、留置权等有损于货物物权的其他权利。</w:t>
      </w:r>
      <w:r>
        <w:rPr>
          <w:color w:val="000000"/>
          <w:highlight w:val="none"/>
        </w:rPr>
      </w:r>
      <w:r>
        <w:rPr>
          <w:highlight w:val="none"/>
        </w:rPr>
      </w:r>
    </w:p>
    <w:p>
      <w:pPr>
        <w:pStyle w:val="1223"/>
        <w:rPr>
          <w:rFonts w:ascii="宋体" w:eastAsia="宋体"/>
          <w:b/>
          <w:bCs/>
          <w:color w:val="000000"/>
          <w:szCs w:val="24"/>
          <w:highlight w:val="none"/>
        </w:rPr>
      </w:pPr>
      <w:r>
        <w:rPr>
          <w:rFonts w:hint="eastAsia"/>
          <w:color w:val="000000"/>
          <w:highlight w:val="none"/>
        </w:rPr>
        <w:t xml:space="preserve">十、</w:t>
      </w:r>
      <w:r>
        <w:rPr>
          <w:rFonts w:hint="eastAsia" w:ascii="宋体" w:eastAsia="宋体"/>
          <w:b/>
          <w:bCs/>
          <w:color w:val="000000"/>
          <w:szCs w:val="24"/>
          <w:highlight w:val="none"/>
        </w:rPr>
        <w:t xml:space="preserve">实施要求</w:t>
      </w:r>
      <w:r>
        <w:rPr>
          <w:rFonts w:ascii="宋体" w:eastAsia="宋体"/>
          <w:b/>
          <w:bCs/>
          <w:color w:val="000000"/>
          <w:szCs w:val="24"/>
          <w:highlight w:val="none"/>
        </w:rPr>
      </w:r>
      <w:r>
        <w:rPr>
          <w:highlight w:val="none"/>
        </w:rPr>
      </w:r>
    </w:p>
    <w:p>
      <w:pPr>
        <w:pStyle w:val="1168"/>
        <w:ind w:firstLine="420"/>
        <w:spacing w:line="360" w:lineRule="auto"/>
        <w:rPr>
          <w:color w:val="000000"/>
          <w:highlight w:val="none"/>
        </w:rPr>
      </w:pPr>
      <w:r>
        <w:rPr>
          <w:rFonts w:hint="eastAsia"/>
          <w:color w:val="000000"/>
          <w:highlight w:val="none"/>
        </w:rPr>
        <w:t xml:space="preserve">1、供应商中标后与采购人签订合同前须验证成交产品的功能、技术要求、产品检测报告及业绩合同原件等投标资料，如发现与采购要求偏离太大或发现成交供应商虚假应标，采购人有权取消其成交资格，并记入不良信用记录。</w:t>
      </w:r>
      <w:r>
        <w:rPr>
          <w:color w:val="000000"/>
          <w:highlight w:val="none"/>
        </w:rPr>
      </w:r>
      <w:r>
        <w:rPr>
          <w:highlight w:val="none"/>
        </w:rPr>
      </w:r>
    </w:p>
    <w:p>
      <w:pPr>
        <w:pStyle w:val="1168"/>
        <w:ind w:firstLine="420"/>
        <w:spacing w:line="360" w:lineRule="auto"/>
        <w:rPr>
          <w:color w:val="000000"/>
          <w:highlight w:val="none"/>
        </w:rPr>
      </w:pPr>
      <w:r>
        <w:rPr>
          <w:highlight w:val="none"/>
        </w:rPr>
      </w:r>
      <w:bookmarkEnd w:id="246"/>
      <w:r>
        <w:rPr>
          <w:highlight w:val="none"/>
        </w:rPr>
      </w:r>
      <w:bookmarkStart w:id="258" w:name="_Hlk233975502"/>
      <w:r>
        <w:rPr>
          <w:highlight w:val="none"/>
        </w:rPr>
      </w:r>
      <w:bookmarkStart w:id="259" w:name="_Toc4696425"/>
      <w:r>
        <w:rPr>
          <w:highlight w:val="none"/>
        </w:rPr>
      </w:r>
      <w:bookmarkStart w:id="260" w:name="_Toc24948"/>
      <w:r>
        <w:rPr>
          <w:rFonts w:hint="eastAsia"/>
          <w:color w:val="000000"/>
          <w:highlight w:val="none"/>
        </w:rPr>
        <w:t xml:space="preserve">2、</w:t>
      </w:r>
      <w:bookmarkStart w:id="261" w:name="_Hlk233976713"/>
      <w:r>
        <w:rPr>
          <w:rFonts w:hint="eastAsia"/>
          <w:color w:val="000000"/>
          <w:highlight w:val="none"/>
        </w:rPr>
        <w:t xml:space="preserve">实施方案：投标人须</w:t>
      </w:r>
      <w:r>
        <w:rPr>
          <w:color w:val="000000"/>
          <w:highlight w:val="none"/>
        </w:rPr>
        <w:t xml:space="preserve">根据实施项目供货计划、安装工期安排、安装技术人员配备、现场安装流程、安装质量要求、项目验收方案等编制方案。</w:t>
      </w:r>
      <w:r>
        <w:rPr>
          <w:rFonts w:hint="eastAsia"/>
          <w:color w:val="000000"/>
          <w:highlight w:val="none"/>
        </w:rPr>
        <w:t xml:space="preserve">方案</w:t>
      </w:r>
      <w:r>
        <w:rPr>
          <w:color w:val="000000"/>
          <w:highlight w:val="none"/>
        </w:rPr>
        <w:t xml:space="preserve">内容</w:t>
      </w:r>
      <w:r>
        <w:rPr>
          <w:rFonts w:hint="eastAsia"/>
          <w:color w:val="000000"/>
          <w:highlight w:val="none"/>
        </w:rPr>
        <w:t xml:space="preserve">包括但不限于</w:t>
      </w:r>
      <w:r>
        <w:rPr>
          <w:color w:val="000000"/>
          <w:highlight w:val="none"/>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 xml:space="preserve">系统对接方案和数据安全保障措施；</w:t>
      </w:r>
      <w:r>
        <w:rPr>
          <w:color w:val="000000"/>
          <w:highlight w:val="none"/>
        </w:rPr>
        <w:t xml:space="preserve">安全保证措施（施工安全机构设置、</w:t>
      </w:r>
      <w:r>
        <w:rPr>
          <w:rFonts w:hint="eastAsia"/>
          <w:color w:val="000000"/>
          <w:highlight w:val="none"/>
        </w:rPr>
        <w:t xml:space="preserve">现场安全管理、</w:t>
      </w:r>
      <w:r>
        <w:rPr>
          <w:color w:val="000000"/>
          <w:highlight w:val="none"/>
        </w:rPr>
        <w:t xml:space="preserve">安全防护措施等）；质量保证措施（质量控制目标、质量控制方法等）</w:t>
      </w:r>
      <w:r>
        <w:rPr>
          <w:rFonts w:hint="eastAsia"/>
          <w:color w:val="000000"/>
          <w:highlight w:val="none"/>
        </w:rPr>
        <w:t xml:space="preserve">、</w:t>
      </w:r>
      <w:r>
        <w:rPr>
          <w:rFonts w:hint="eastAsia" w:ascii="宋体" w:hAnsi="宋体"/>
          <w:color w:val="000000"/>
          <w:highlight w:val="none"/>
        </w:rPr>
        <w:t xml:space="preserve">货物出现质量问题时的响应和处理方案；货物验收安排，指定专人配合进行性能验证和验收，含验收资料准备、现场演示、问题整改闭环机制等；</w:t>
      </w:r>
      <w:r>
        <w:rPr>
          <w:rFonts w:hint="eastAsia"/>
          <w:color w:val="000000"/>
          <w:highlight w:val="none"/>
        </w:rPr>
        <w:t xml:space="preserve">售后服务</w:t>
      </w:r>
      <w:r>
        <w:rPr>
          <w:color w:val="000000"/>
          <w:highlight w:val="none"/>
        </w:rPr>
        <w:t xml:space="preserve">。各工作环节衔接紧凑、要点要求细致全面，配置人员专业有匹配度，响应完成招标文件要求。</w:t>
      </w:r>
      <w:bookmarkEnd w:id="261"/>
      <w:r>
        <w:rPr>
          <w:color w:val="000000"/>
          <w:highlight w:val="none"/>
        </w:rPr>
      </w:r>
      <w:r>
        <w:rPr>
          <w:highlight w:val="none"/>
        </w:rPr>
      </w:r>
    </w:p>
    <w:p>
      <w:pPr>
        <w:pStyle w:val="1168"/>
        <w:ind w:firstLine="420"/>
        <w:spacing w:line="360" w:lineRule="auto"/>
        <w:rPr>
          <w:color w:val="000000"/>
          <w:highlight w:val="none"/>
        </w:rPr>
      </w:pPr>
      <w:r>
        <w:rPr>
          <w:highlight w:val="none"/>
        </w:rPr>
      </w:r>
      <w:bookmarkEnd w:id="258"/>
      <w:r>
        <w:rPr>
          <w:color w:val="000000"/>
          <w:highlight w:val="none"/>
        </w:rPr>
        <w:br w:type="page" w:clear="all"/>
      </w:r>
      <w:r>
        <w:rPr>
          <w:color w:val="000000"/>
          <w:highlight w:val="none"/>
        </w:rPr>
      </w:r>
      <w:r>
        <w:rPr>
          <w:highlight w:val="none"/>
        </w:rPr>
      </w:r>
    </w:p>
    <w:p>
      <w:pPr>
        <w:pStyle w:val="1168"/>
        <w:jc w:val="center"/>
        <w:spacing w:line="360" w:lineRule="auto"/>
        <w:rPr>
          <w:b/>
          <w:color w:val="000000"/>
          <w:sz w:val="28"/>
          <w:szCs w:val="28"/>
          <w:highlight w:val="none"/>
        </w:rPr>
        <w:outlineLvl w:val="0"/>
      </w:pPr>
      <w:r>
        <w:rPr>
          <w:b/>
          <w:color w:val="000000"/>
          <w:sz w:val="28"/>
          <w:szCs w:val="28"/>
          <w:highlight w:val="none"/>
        </w:rPr>
        <w:t xml:space="preserve">第五章 </w:t>
      </w:r>
      <w:bookmarkEnd w:id="222"/>
      <w:r>
        <w:rPr>
          <w:b/>
          <w:color w:val="000000"/>
          <w:sz w:val="28"/>
          <w:szCs w:val="28"/>
          <w:highlight w:val="none"/>
        </w:rPr>
        <w:t xml:space="preserve">拟签订的合同文本</w:t>
      </w:r>
      <w:bookmarkEnd w:id="259"/>
      <w:r>
        <w:rPr>
          <w:highlight w:val="none"/>
        </w:rPr>
      </w:r>
      <w:bookmarkEnd w:id="260"/>
      <w:r>
        <w:rPr>
          <w:b/>
          <w:color w:val="000000"/>
          <w:sz w:val="28"/>
          <w:szCs w:val="28"/>
          <w:highlight w:val="none"/>
        </w:rPr>
      </w:r>
      <w:r>
        <w:rPr>
          <w:highlight w:val="none"/>
        </w:rPr>
      </w:r>
    </w:p>
    <w:p>
      <w:pPr>
        <w:pStyle w:val="1168"/>
        <w:jc w:val="center"/>
        <w:spacing w:line="440" w:lineRule="exact"/>
        <w:rPr>
          <w:b/>
          <w:color w:val="000000"/>
          <w:sz w:val="28"/>
          <w:szCs w:val="28"/>
          <w:highlight w:val="none"/>
        </w:rPr>
      </w:pPr>
      <w:r>
        <w:rPr>
          <w:highlight w:val="none"/>
        </w:rPr>
      </w:r>
      <w:bookmarkStart w:id="262" w:name="_Toc6085"/>
      <w:r>
        <w:rPr>
          <w:highlight w:val="none"/>
        </w:rPr>
      </w:r>
      <w:bookmarkStart w:id="263" w:name="_Toc19"/>
      <w:r>
        <w:rPr>
          <w:highlight w:val="none"/>
        </w:rPr>
      </w:r>
      <w:bookmarkStart w:id="264" w:name="_Toc4696426"/>
      <w:r>
        <w:rPr>
          <w:highlight w:val="none"/>
        </w:rPr>
      </w:r>
      <w:bookmarkStart w:id="265" w:name="_Toc11219"/>
      <w:r>
        <w:rPr>
          <w:b/>
          <w:color w:val="000000"/>
          <w:sz w:val="28"/>
          <w:szCs w:val="28"/>
          <w:highlight w:val="none"/>
        </w:rPr>
        <w:t xml:space="preserve">（参考格式，本合同内容条款在正式签署前可具体补充细化，仅作参考，最终合同以采购人法务审查通过的版本为准）</w:t>
      </w:r>
      <w:bookmarkEnd w:id="262"/>
      <w:r>
        <w:rPr>
          <w:b/>
          <w:color w:val="000000"/>
          <w:sz w:val="28"/>
          <w:szCs w:val="28"/>
          <w:highlight w:val="none"/>
        </w:rPr>
      </w:r>
      <w:r>
        <w:rPr>
          <w:highlight w:val="none"/>
        </w:rPr>
      </w:r>
    </w:p>
    <w:p>
      <w:pPr>
        <w:pStyle w:val="1168"/>
        <w:rPr>
          <w:b/>
          <w:color w:val="000000"/>
          <w:szCs w:val="21"/>
          <w:highlight w:val="none"/>
        </w:rPr>
      </w:pPr>
      <w:r>
        <w:rPr>
          <w:b/>
          <w:color w:val="000000"/>
          <w:szCs w:val="21"/>
          <w:highlight w:val="none"/>
        </w:rPr>
        <w:t xml:space="preserve">    </w:t>
      </w:r>
      <w:r>
        <w:rPr>
          <w:b/>
          <w:color w:val="000000"/>
          <w:szCs w:val="21"/>
          <w:highlight w:val="none"/>
        </w:rPr>
      </w:r>
      <w:r>
        <w:rPr>
          <w:highlight w:val="none"/>
        </w:rPr>
      </w:r>
    </w:p>
    <w:p>
      <w:pPr>
        <w:pStyle w:val="1168"/>
        <w:rPr>
          <w:b/>
          <w:color w:val="000000"/>
          <w:szCs w:val="21"/>
          <w:highlight w:val="none"/>
          <w:u w:val="single"/>
        </w:rPr>
      </w:pPr>
      <w:r>
        <w:rPr>
          <w:b/>
          <w:color w:val="000000"/>
          <w:szCs w:val="21"/>
          <w:highlight w:val="none"/>
        </w:rPr>
        <w:t xml:space="preserve"> </w:t>
      </w:r>
      <w:bookmarkStart w:id="266" w:name="_Hlk198052200"/>
      <w:r>
        <w:rPr>
          <w:b/>
          <w:color w:val="000000"/>
          <w:szCs w:val="21"/>
          <w:highlight w:val="none"/>
        </w:rPr>
        <w:t xml:space="preserve">合同编号：</w:t>
      </w:r>
      <w:r>
        <w:rPr>
          <w:b/>
          <w:color w:val="000000"/>
          <w:szCs w:val="21"/>
          <w:highlight w:val="none"/>
          <w:u w:val="single"/>
        </w:rPr>
        <w:t xml:space="preserve">             </w:t>
      </w:r>
      <w:r>
        <w:rPr>
          <w:b/>
          <w:color w:val="000000"/>
          <w:szCs w:val="21"/>
          <w:highlight w:val="none"/>
          <w:u w:val="single"/>
        </w:rPr>
      </w:r>
      <w:r>
        <w:rPr>
          <w:highlight w:val="none"/>
        </w:rPr>
      </w:r>
    </w:p>
    <w:p>
      <w:pPr>
        <w:pStyle w:val="1168"/>
        <w:jc w:val="center"/>
        <w:rPr>
          <w:b/>
          <w:color w:val="000000"/>
          <w:sz w:val="24"/>
          <w:highlight w:val="none"/>
        </w:rPr>
      </w:pPr>
      <w:r>
        <w:rPr>
          <w:b/>
          <w:color w:val="000000"/>
          <w:sz w:val="24"/>
          <w:highlight w:val="none"/>
          <w:u w:val="single"/>
        </w:rPr>
        <w:t xml:space="preserve">（采购人）（项目名称）</w:t>
      </w:r>
      <w:r>
        <w:rPr>
          <w:b/>
          <w:color w:val="000000"/>
          <w:sz w:val="24"/>
          <w:highlight w:val="none"/>
        </w:rPr>
        <w:t xml:space="preserve">采购合同</w:t>
      </w:r>
      <w:r>
        <w:rPr>
          <w:b/>
          <w:color w:val="000000"/>
          <w:sz w:val="24"/>
          <w:highlight w:val="none"/>
        </w:rPr>
      </w:r>
      <w:r>
        <w:rPr>
          <w:highlight w:val="none"/>
        </w:rPr>
      </w:r>
    </w:p>
    <w:p>
      <w:pPr>
        <w:pStyle w:val="1168"/>
        <w:jc w:val="center"/>
        <w:rPr>
          <w:b/>
          <w:color w:val="000000"/>
          <w:sz w:val="24"/>
          <w:highlight w:val="none"/>
        </w:rPr>
      </w:pPr>
      <w:r>
        <w:rPr>
          <w:b/>
          <w:color w:val="000000"/>
          <w:sz w:val="24"/>
          <w:highlight w:val="none"/>
        </w:rPr>
        <w:t xml:space="preserve">（货物类）</w:t>
      </w:r>
      <w:r>
        <w:rPr>
          <w:b/>
          <w:color w:val="000000"/>
          <w:sz w:val="24"/>
          <w:highlight w:val="none"/>
        </w:rPr>
      </w:r>
      <w:r>
        <w:rPr>
          <w:highlight w:val="none"/>
        </w:rPr>
      </w:r>
    </w:p>
    <w:p>
      <w:pPr>
        <w:pStyle w:val="1168"/>
        <w:jc w:val="center"/>
        <w:rPr>
          <w:color w:val="000000"/>
          <w:szCs w:val="21"/>
          <w:highlight w:val="none"/>
        </w:rPr>
      </w:pPr>
      <w:r>
        <w:rPr>
          <w:highlight w:val="none"/>
        </w:rPr>
      </w:r>
      <w:bookmarkStart w:id="267" w:name="_Hlk196398995"/>
      <w:r>
        <w:rPr>
          <w:color w:val="000000"/>
          <w:szCs w:val="21"/>
          <w:highlight w:val="none"/>
        </w:rPr>
        <w:t xml:space="preserve">    </w:t>
      </w:r>
      <w:r>
        <w:rPr>
          <w:color w:val="000000"/>
          <w:szCs w:val="21"/>
          <w:highlight w:val="none"/>
        </w:rPr>
      </w:r>
      <w:r>
        <w:rPr>
          <w:highlight w:val="none"/>
        </w:rPr>
      </w:r>
    </w:p>
    <w:p>
      <w:pPr>
        <w:pStyle w:val="1168"/>
        <w:jc w:val="left"/>
        <w:rPr>
          <w:color w:val="000000"/>
          <w:szCs w:val="21"/>
          <w:highlight w:val="none"/>
          <w:u w:val="single"/>
        </w:rPr>
      </w:pPr>
      <w:r>
        <w:rPr>
          <w:highlight w:val="none"/>
        </w:rPr>
      </w:r>
      <w:bookmarkEnd w:id="267"/>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rPr>
          <w:color w:val="000000"/>
          <w:szCs w:val="21"/>
          <w:highlight w:val="none"/>
          <w:u w:val="single"/>
        </w:rPr>
      </w:r>
      <w:r>
        <w:rPr>
          <w:highlight w:val="none"/>
        </w:rPr>
      </w:r>
    </w:p>
    <w:p>
      <w:pPr>
        <w:pStyle w:val="1168"/>
        <w:jc w:val="left"/>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rPr>
          <w:color w:val="000000"/>
          <w:szCs w:val="21"/>
          <w:highlight w:val="none"/>
          <w:u w:val="single"/>
        </w:rPr>
      </w:r>
      <w:r>
        <w:rPr>
          <w:highlight w:val="none"/>
        </w:rPr>
      </w:r>
    </w:p>
    <w:p>
      <w:pPr>
        <w:pStyle w:val="1168"/>
        <w:jc w:val="left"/>
        <w:rPr>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rPr>
          <w:color w:val="000000"/>
          <w:szCs w:val="21"/>
          <w:highlight w:val="none"/>
          <w:u w:val="single"/>
        </w:rPr>
      </w:r>
      <w:r>
        <w:rPr>
          <w:highlight w:val="none"/>
        </w:rPr>
      </w:r>
    </w:p>
    <w:p>
      <w:pPr>
        <w:pStyle w:val="1168"/>
        <w:jc w:val="left"/>
        <w:rPr>
          <w:b/>
          <w:color w:val="000000"/>
          <w:szCs w:val="21"/>
          <w:highlight w:val="none"/>
          <w:u w:val="single"/>
        </w:rPr>
      </w:pPr>
      <w:r>
        <w:rPr>
          <w:b/>
          <w:color w:val="000000"/>
          <w:szCs w:val="21"/>
          <w:highlight w:val="none"/>
        </w:rPr>
        <w:t xml:space="preserve">签订</w:t>
      </w:r>
      <w:r>
        <w:rPr>
          <w:rFonts w:hint="eastAsia"/>
          <w:b/>
          <w:color w:val="000000"/>
          <w:szCs w:val="21"/>
          <w:highlight w:val="none"/>
        </w:rPr>
        <w:t xml:space="preserve">地点</w:t>
      </w:r>
      <w:r>
        <w:rPr>
          <w:b/>
          <w:color w:val="000000"/>
          <w:szCs w:val="21"/>
          <w:highlight w:val="none"/>
        </w:rPr>
        <w:t xml:space="preserve">：</w:t>
      </w:r>
      <w:r>
        <w:rPr>
          <w:color w:val="000000"/>
          <w:szCs w:val="21"/>
          <w:highlight w:val="none"/>
          <w:u w:val="single"/>
        </w:rPr>
        <w:t xml:space="preserve">               </w:t>
      </w:r>
      <w:r>
        <w:rPr>
          <w:b/>
          <w:color w:val="000000"/>
          <w:szCs w:val="21"/>
          <w:highlight w:val="none"/>
          <w:u w:val="single"/>
        </w:rPr>
      </w:r>
      <w:r>
        <w:rPr>
          <w:highlight w:val="none"/>
        </w:rPr>
      </w:r>
    </w:p>
    <w:p>
      <w:pPr>
        <w:pStyle w:val="1168"/>
        <w:jc w:val="left"/>
        <w:rPr>
          <w:color w:val="000000"/>
          <w:szCs w:val="21"/>
          <w:highlight w:val="none"/>
        </w:rPr>
      </w:pP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鉴于：</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 甲方根据《中华人民共和国政府采购法》《</w:t>
      </w:r>
      <w:bookmarkStart w:id="268" w:name="OLE_LINK1"/>
      <w:r>
        <w:rPr>
          <w:color w:val="000000"/>
          <w:szCs w:val="21"/>
          <w:highlight w:val="none"/>
        </w:rPr>
        <w:t xml:space="preserve">中华人民共和国</w:t>
      </w:r>
      <w:bookmarkEnd w:id="268"/>
      <w:r>
        <w:rPr>
          <w:color w:val="000000"/>
          <w:szCs w:val="21"/>
          <w:highlight w:val="none"/>
        </w:rPr>
        <w:t xml:space="preserve">民法典》等法律法规，于[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]日，依法就[</w:t>
      </w:r>
      <w:r>
        <w:rPr>
          <w:color w:val="000000"/>
          <w:szCs w:val="21"/>
          <w:highlight w:val="none"/>
          <w:u w:val="single"/>
        </w:rPr>
        <w:t xml:space="preserve"> 请填入招投标/竞争性谈判的事项 </w:t>
      </w:r>
      <w:r>
        <w:rPr>
          <w:color w:val="000000"/>
          <w:szCs w:val="21"/>
          <w:highlight w:val="none"/>
        </w:rPr>
        <w:t xml:space="preserve">] 进行了招投标/竞争性谈判，乙方中标/入围。</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 甲、乙双方根据招投标文件/竞争性谈判文件，就[</w:t>
      </w:r>
      <w:r>
        <w:rPr>
          <w:color w:val="000000"/>
          <w:szCs w:val="21"/>
          <w:highlight w:val="none"/>
          <w:u w:val="single"/>
        </w:rPr>
        <w:t xml:space="preserve"> 请填入招投标/竞争性谈判的事项 </w:t>
      </w:r>
      <w:r>
        <w:rPr>
          <w:color w:val="000000"/>
          <w:szCs w:val="21"/>
          <w:highlight w:val="none"/>
        </w:rPr>
        <w:t xml:space="preserve">]事项达成本采购合同，以资双方共同遵照执行。</w:t>
      </w:r>
      <w:r>
        <w:rPr>
          <w:color w:val="000000"/>
          <w:szCs w:val="21"/>
          <w:highlight w:val="none"/>
        </w:rPr>
      </w:r>
      <w:r>
        <w:rPr>
          <w:highlight w:val="none"/>
        </w:rPr>
      </w:r>
    </w:p>
    <w:p>
      <w:pPr>
        <w:pStyle w:val="1168"/>
        <w:ind w:firstLine="560"/>
        <w:jc w:val="left"/>
        <w:spacing w:line="360" w:lineRule="auto"/>
        <w:rPr>
          <w:color w:val="000000"/>
          <w:szCs w:val="21"/>
          <w:highlight w:val="none"/>
        </w:rPr>
      </w:pPr>
      <w:r>
        <w:rPr>
          <w:b/>
          <w:color w:val="000000"/>
          <w:szCs w:val="21"/>
          <w:highlight w:val="none"/>
        </w:rPr>
        <w:t xml:space="preserve">第一条  合同签订依据</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 xml:space="preserve">]的《招投标文件》：</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（1）乙方提供的投标文件和投标报价表；（2）供货一览表；</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（3）交货地点一览表；                （4）技术规格响应表；</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（5）投标承诺；                      （6）服务承诺；</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本合同与上述招投标文件之间有冲突的，在不违反《中华人民共和国政府采购法》及其实施条例的范围内，以本合同为准。</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第二条  合同标的   </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rPr>
          <w:color w:val="000000"/>
          <w:szCs w:val="21"/>
          <w:highlight w:val="none"/>
        </w:rPr>
      </w:r>
      <w:r>
        <w:rPr>
          <w:highlight w:val="none"/>
        </w:rP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序号</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t xml:space="preserve">货物名称</w:t>
            </w: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t xml:space="preserve">商标品牌</w:t>
            </w: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t xml:space="preserve">规格型号</w:t>
            </w: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t xml:space="preserve">生产厂家</w:t>
            </w: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t xml:space="preserve">数量</w:t>
            </w:r>
            <w:r>
              <w:rPr>
                <w:color w:val="000000"/>
                <w:szCs w:val="21"/>
                <w:highlight w:val="none"/>
              </w:rPr>
            </w:r>
            <w:r>
              <w:rPr>
                <w:highlight w:val="none"/>
              </w:rPr>
            </w:r>
          </w:p>
          <w:p>
            <w:pPr>
              <w:pStyle w:val="1168"/>
              <w:jc w:val="center"/>
              <w:rPr>
                <w:color w:val="000000"/>
                <w:szCs w:val="21"/>
                <w:highlight w:val="none"/>
              </w:rPr>
            </w:pPr>
            <w:r>
              <w:rPr>
                <w:color w:val="000000"/>
                <w:szCs w:val="21"/>
                <w:highlight w:val="none"/>
              </w:rPr>
              <w:t xml:space="preserve">及单位</w:t>
            </w: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t xml:space="preserve">单价</w:t>
            </w:r>
            <w:r>
              <w:rPr>
                <w:color w:val="000000"/>
                <w:szCs w:val="21"/>
                <w:highlight w:val="none"/>
              </w:rPr>
            </w:r>
            <w:r>
              <w:rPr>
                <w:highlight w:val="none"/>
              </w:rPr>
            </w:r>
          </w:p>
          <w:p>
            <w:pPr>
              <w:pStyle w:val="1168"/>
              <w:jc w:val="center"/>
              <w:rPr>
                <w:color w:val="000000"/>
                <w:szCs w:val="21"/>
                <w:highlight w:val="none"/>
              </w:rPr>
            </w:pPr>
            <w:r>
              <w:rPr>
                <w:color w:val="000000"/>
                <w:szCs w:val="21"/>
                <w:highlight w:val="none"/>
              </w:rPr>
              <w:t xml:space="preserve">（元）</w:t>
            </w: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t xml:space="preserve">金额</w:t>
            </w:r>
            <w:r>
              <w:rPr>
                <w:color w:val="000000"/>
                <w:szCs w:val="21"/>
                <w:highlight w:val="none"/>
              </w:rPr>
            </w:r>
            <w:r>
              <w:rPr>
                <w:highlight w:val="none"/>
              </w:rPr>
            </w:r>
          </w:p>
          <w:p>
            <w:pPr>
              <w:pStyle w:val="1168"/>
              <w:jc w:val="center"/>
              <w:rPr>
                <w:color w:val="000000"/>
                <w:szCs w:val="21"/>
                <w:highlight w:val="none"/>
              </w:rPr>
            </w:pPr>
            <w:r>
              <w:rPr>
                <w:color w:val="000000"/>
                <w:szCs w:val="21"/>
                <w:highlight w:val="none"/>
              </w:rPr>
              <w:t xml:space="preserve">（元）</w:t>
            </w: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1</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2</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3</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4</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5</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tcW w:w="341" w:type="dxa"/>
            <w:vAlign w:val="center"/>
            <w:textDirection w:val="lrTb"/>
            <w:noWrap w:val="false"/>
          </w:tcPr>
          <w:p>
            <w:pPr>
              <w:pStyle w:val="1168"/>
              <w:jc w:val="center"/>
              <w:rPr>
                <w:color w:val="000000"/>
                <w:szCs w:val="21"/>
                <w:highlight w:val="none"/>
              </w:rPr>
            </w:pPr>
            <w:r>
              <w:rPr>
                <w:color w:val="000000"/>
                <w:szCs w:val="21"/>
                <w:highlight w:val="none"/>
              </w:rPr>
              <w:t xml:space="preserve">6</w:t>
            </w:r>
            <w:r>
              <w:rPr>
                <w:color w:val="000000"/>
                <w:szCs w:val="21"/>
                <w:highlight w:val="none"/>
              </w:rPr>
            </w:r>
            <w:r>
              <w:rPr>
                <w:highlight w:val="none"/>
              </w:rPr>
            </w:r>
          </w:p>
        </w:tc>
        <w:tc>
          <w:tcPr>
            <w:tcW w:w="664"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top"/>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5"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c>
          <w:tcPr>
            <w:tcW w:w="668" w:type="dxa"/>
            <w:vAlign w:val="center"/>
            <w:textDirection w:val="lrTb"/>
            <w:noWrap w:val="false"/>
          </w:tcPr>
          <w:p>
            <w:pPr>
              <w:pStyle w:val="1168"/>
              <w:jc w:val="center"/>
              <w:rPr>
                <w:color w:val="000000"/>
                <w:szCs w:val="21"/>
                <w:highlight w:val="none"/>
              </w:rPr>
            </w:pPr>
            <w:r>
              <w:rPr>
                <w:color w:val="000000"/>
                <w:szCs w:val="21"/>
                <w:highlight w:val="none"/>
              </w:rPr>
            </w:r>
            <w:r>
              <w:rPr>
                <w:highlight w:val="none"/>
              </w:rPr>
            </w:r>
          </w:p>
        </w:tc>
      </w:tr>
      <w:tr>
        <w:trPr>
          <w:cantSplit/>
          <w:trHeight w:val="465"/>
        </w:trPr>
        <w:tc>
          <w:tcPr>
            <w:gridSpan w:val="8"/>
            <w:tcW w:w="9982" w:type="dxa"/>
            <w:vAlign w:val="center"/>
            <w:textDirection w:val="lrTb"/>
            <w:noWrap w:val="false"/>
          </w:tcPr>
          <w:p>
            <w:pPr>
              <w:pStyle w:val="1168"/>
              <w:rPr>
                <w:color w:val="000000"/>
                <w:szCs w:val="21"/>
                <w:highlight w:val="none"/>
              </w:rPr>
            </w:pPr>
            <w:r>
              <w:rPr>
                <w:color w:val="000000"/>
                <w:szCs w:val="21"/>
                <w:highlight w:val="none"/>
              </w:rPr>
              <w:t xml:space="preserve">人民币合计金额（大写）（小写）</w:t>
            </w:r>
            <w:r>
              <w:rPr>
                <w:color w:val="000000"/>
                <w:szCs w:val="21"/>
                <w:highlight w:val="none"/>
              </w:rPr>
            </w:r>
            <w:r>
              <w:rPr>
                <w:highlight w:val="none"/>
              </w:rPr>
            </w:r>
          </w:p>
        </w:tc>
      </w:tr>
    </w:tbl>
    <w:p>
      <w:pPr>
        <w:pStyle w:val="1168"/>
        <w:ind w:firstLine="560"/>
        <w:jc w:val="left"/>
        <w:spacing w:line="360" w:lineRule="auto"/>
        <w:rPr>
          <w:b/>
          <w:color w:val="000000"/>
          <w:szCs w:val="21"/>
          <w:highlight w:val="none"/>
        </w:rPr>
      </w:pPr>
      <w:r>
        <w:rPr>
          <w:b/>
          <w:color w:val="000000"/>
          <w:szCs w:val="21"/>
          <w:highlight w:val="none"/>
        </w:rPr>
        <w:t xml:space="preserve">第三条  合同总价款    </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本合同项下货物总价款为人民币</w:t>
      </w:r>
      <w:r>
        <w:rPr>
          <w:b/>
          <w:color w:val="000000"/>
          <w:szCs w:val="21"/>
          <w:highlight w:val="none"/>
          <w:u w:val="single"/>
        </w:rPr>
        <w:t xml:space="preserve">         </w:t>
      </w:r>
      <w:r>
        <w:rPr>
          <w:color w:val="000000"/>
          <w:szCs w:val="21"/>
          <w:highlight w:val="none"/>
        </w:rPr>
        <w:t xml:space="preserve">元（大写</w:t>
      </w:r>
      <w:r>
        <w:rPr>
          <w:color w:val="000000"/>
          <w:szCs w:val="21"/>
          <w:highlight w:val="none"/>
          <w:u w:val="single"/>
        </w:rPr>
        <w:t xml:space="preserve">              </w:t>
      </w:r>
      <w:r>
        <w:rPr>
          <w:color w:val="000000"/>
          <w:szCs w:val="21"/>
          <w:highlight w:val="none"/>
        </w:rPr>
        <w:t xml:space="preserve">）（含税）；分项价款在“投标报价表”中有明确规定。</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第四条  权利保证</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w:t>
      </w:r>
      <w:r>
        <w:rPr>
          <w:color w:val="000000"/>
          <w:szCs w:val="21"/>
          <w:highlight w:val="none"/>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第五条  质量保证</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3、乙方应保证货物不存在已有的或可预见的权利负担，包括但不限于出租、抵押、留置权等有损于货物物权的其他权利。</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第六条  包装要求</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2、每一包装单元内应附详细的装箱单和质量合格凭证。</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第七条  交货和验收</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1、交货时间地点</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日，也可以甲方书面通知的具体时间为准。</w:t>
      </w:r>
      <w:r>
        <w:rPr>
          <w:color w:val="000000"/>
          <w:szCs w:val="21"/>
          <w:highlight w:val="none"/>
        </w:rPr>
      </w:r>
      <w:r>
        <w:rPr>
          <w:highlight w:val="none"/>
        </w:rPr>
      </w:r>
    </w:p>
    <w:p>
      <w:pPr>
        <w:pStyle w:val="1168"/>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 xml:space="preserve">（期间）前将货物交付甲方。</w:t>
      </w:r>
      <w:r>
        <w:rPr>
          <w:color w:val="000000"/>
          <w:szCs w:val="21"/>
          <w:highlight w:val="none"/>
          <w:u w:val="single"/>
        </w:rPr>
      </w:r>
      <w:r>
        <w:rPr>
          <w:highlight w:val="none"/>
        </w:rPr>
      </w:r>
    </w:p>
    <w:p>
      <w:pPr>
        <w:pStyle w:val="1168"/>
        <w:numPr>
          <w:ilvl w:val="0"/>
          <w:numId w:val="5"/>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color w:val="000000"/>
          <w:szCs w:val="21"/>
          <w:highlight w:val="none"/>
        </w:rPr>
        <w:t xml:space="preserve">。</w:t>
      </w:r>
      <w:r>
        <w:rPr>
          <w:color w:val="000000"/>
          <w:szCs w:val="21"/>
          <w:highlight w:val="none"/>
        </w:rPr>
      </w:r>
      <w:r>
        <w:rPr>
          <w:highlight w:val="none"/>
        </w:rPr>
      </w:r>
    </w:p>
    <w:p>
      <w:pPr>
        <w:pStyle w:val="1168"/>
        <w:numPr>
          <w:ilvl w:val="0"/>
          <w:numId w:val="5"/>
        </w:numPr>
        <w:ind w:firstLine="560"/>
        <w:jc w:val="left"/>
        <w:spacing w:line="360" w:lineRule="auto"/>
        <w:rPr>
          <w:color w:val="000000"/>
          <w:szCs w:val="21"/>
          <w:highlight w:val="none"/>
        </w:rPr>
      </w:pPr>
      <w:r>
        <w:rPr>
          <w:color w:val="000000"/>
          <w:szCs w:val="21"/>
          <w:highlight w:val="none"/>
        </w:rPr>
        <w:t xml:space="preserve">交货方式：</w:t>
      </w:r>
      <w:r>
        <w:rPr>
          <w:color w:val="000000"/>
          <w:szCs w:val="21"/>
          <w:highlight w:val="none"/>
          <w:u w:val="single"/>
        </w:rPr>
        <w:t xml:space="preserve">现场安装、                    </w:t>
      </w:r>
      <w:r>
        <w:rPr>
          <w:color w:val="000000"/>
          <w:szCs w:val="21"/>
          <w:highlight w:val="none"/>
        </w:rPr>
        <w:t xml:space="preserve">。</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2、验收标准</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color w:val="000000"/>
          <w:szCs w:val="21"/>
          <w:highlight w:val="none"/>
        </w:rPr>
      </w:r>
      <w:r>
        <w:rPr>
          <w:highlight w:val="none"/>
        </w:rPr>
      </w:r>
    </w:p>
    <w:p>
      <w:pPr>
        <w:pStyle w:val="1168"/>
        <w:ind w:firstLine="525"/>
        <w:jc w:val="left"/>
        <w:spacing w:line="360" w:lineRule="auto"/>
        <w:rPr>
          <w:color w:val="000000"/>
          <w:szCs w:val="21"/>
          <w:highlight w:val="none"/>
        </w:rPr>
      </w:pPr>
      <w:r>
        <w:rPr>
          <w:highlight w:val="none"/>
        </w:rPr>
      </w:r>
      <w:bookmarkStart w:id="269" w:name="_Hlk130909560"/>
      <w:r>
        <w:rPr>
          <w:color w:val="000000"/>
          <w:highlight w:val="none"/>
        </w:rPr>
        <w:t xml:space="preserve">4、</w:t>
      </w:r>
      <w:bookmarkStart w:id="270"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设备及附件是否全新、完整无损，产品合格书、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 xml:space="preserve">个工作日内，为甲方补供所缺的、清晰的、正确的资料，由此发生的一切费用由乙方承担，乙方应同时按照本协议第十三条承担相应逾期责任。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highlight w:val="none"/>
        </w:rPr>
      </w:r>
      <w:bookmarkEnd w:id="270"/>
      <w:r>
        <w:rPr>
          <w:color w:val="000000"/>
          <w:szCs w:val="21"/>
          <w:highlight w:val="none"/>
        </w:rPr>
        <w:t xml:space="preserve">5、乙方负责在货物到达甲方交货地点或者指定地点</w:t>
      </w:r>
      <w:r>
        <w:rPr>
          <w:color w:val="000000"/>
          <w:szCs w:val="21"/>
          <w:highlight w:val="none"/>
          <w:u w:val="single"/>
        </w:rPr>
        <w:t xml:space="preserve">____</w:t>
      </w:r>
      <w:r>
        <w:rPr>
          <w:color w:val="000000"/>
          <w:szCs w:val="21"/>
          <w:highlight w:val="none"/>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 xml:space="preserve">日内及时予以解决并承担相应费用。</w:t>
      </w:r>
      <w:r>
        <w:rPr>
          <w:color w:val="000000"/>
          <w:szCs w:val="21"/>
          <w:highlight w:val="none"/>
        </w:rPr>
      </w:r>
      <w:r>
        <w:rPr>
          <w:highlight w:val="none"/>
        </w:rPr>
      </w:r>
    </w:p>
    <w:p>
      <w:pPr>
        <w:pStyle w:val="1168"/>
        <w:ind w:firstLine="525"/>
        <w:jc w:val="left"/>
        <w:spacing w:line="360" w:lineRule="auto"/>
        <w:rPr>
          <w:color w:val="000000"/>
          <w:szCs w:val="21"/>
          <w:highlight w:val="none"/>
        </w:rPr>
      </w:pPr>
      <w:r>
        <w:rPr>
          <w:color w:val="000000"/>
          <w:szCs w:val="21"/>
          <w:highlight w:val="none"/>
        </w:rPr>
        <w:t xml:space="preserve">6、</w:t>
      </w:r>
      <w:bookmarkStart w:id="271" w:name="_Hlk129951325"/>
      <w:r>
        <w:rPr>
          <w:color w:val="000000"/>
          <w:szCs w:val="21"/>
          <w:highlight w:val="none"/>
        </w:rPr>
        <w:t xml:space="preserve">乙方完成设备安装、调试、培训，达到正常使用要求并移交相关技术资料后，设备试运行</w:t>
      </w:r>
      <w:r>
        <w:rPr>
          <w:color w:val="000000"/>
          <w:szCs w:val="21"/>
          <w:highlight w:val="none"/>
          <w:u w:val="single"/>
        </w:rPr>
        <w:t xml:space="preserve">____</w:t>
      </w:r>
      <w:r>
        <w:rPr>
          <w:color w:val="000000"/>
          <w:szCs w:val="21"/>
          <w:highlight w:val="none"/>
        </w:rPr>
        <w:t xml:space="preserve">天，试用期间发生质量问题，退换货或修复后试用期相应顺延。试运行结束无质量问题办理验收手续，由甲方出具验收单。</w:t>
      </w:r>
      <w:r>
        <w:rPr>
          <w:color w:val="000000"/>
          <w:szCs w:val="21"/>
          <w:highlight w:val="none"/>
        </w:rPr>
      </w:r>
      <w:r>
        <w:rPr>
          <w:highlight w:val="none"/>
        </w:rPr>
      </w:r>
    </w:p>
    <w:p>
      <w:pPr>
        <w:pStyle w:val="1168"/>
        <w:ind w:firstLine="560"/>
        <w:jc w:val="left"/>
        <w:spacing w:line="360" w:lineRule="auto"/>
        <w:rPr>
          <w:color w:val="000000"/>
          <w:szCs w:val="21"/>
          <w:highlight w:val="none"/>
        </w:rPr>
      </w:pPr>
      <w:r>
        <w:rPr>
          <w:highlight w:val="none"/>
        </w:rPr>
      </w:r>
      <w:bookmarkEnd w:id="271"/>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r>
        <w:rPr>
          <w:color w:val="000000"/>
          <w:szCs w:val="21"/>
          <w:highlight w:val="none"/>
        </w:rPr>
      </w:r>
      <w:r>
        <w:rPr>
          <w:highlight w:val="none"/>
        </w:rPr>
      </w:r>
    </w:p>
    <w:p>
      <w:pPr>
        <w:pStyle w:val="1168"/>
        <w:ind w:firstLine="560"/>
        <w:jc w:val="left"/>
        <w:spacing w:line="360" w:lineRule="auto"/>
        <w:rPr>
          <w:b/>
          <w:color w:val="000000"/>
          <w:szCs w:val="21"/>
          <w:highlight w:val="none"/>
        </w:rPr>
      </w:pPr>
      <w:r>
        <w:rPr>
          <w:highlight w:val="none"/>
        </w:rPr>
      </w:r>
      <w:bookmarkEnd w:id="269"/>
      <w:r>
        <w:rPr>
          <w:b/>
          <w:color w:val="000000"/>
          <w:szCs w:val="21"/>
          <w:highlight w:val="none"/>
        </w:rPr>
        <w:t xml:space="preserve">第八条 付款方式和期限</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1、本合同所有款项均以人民币支付，合同执行期间合同总价不变，该价格已经包含本合同第三条约定的所有费用。</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2、付款条件</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乙方要求付款应提交下列单证和文件：</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B、制造厂家出具的货物质量合格证书。</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C、甲方已收讫货物的验收凭证。</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D、甲方签发的验收合格文件。</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3、付款方式</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甲乙双方协商，选定的货物交货付款方式是</w:t>
      </w:r>
      <w:r>
        <w:rPr>
          <w:color w:val="000000"/>
          <w:szCs w:val="21"/>
          <w:highlight w:val="none"/>
          <w:u w:val="single"/>
        </w:rPr>
        <w:t xml:space="preserve">           </w:t>
      </w:r>
      <w:r>
        <w:rPr>
          <w:color w:val="000000"/>
          <w:szCs w:val="21"/>
          <w:highlight w:val="none"/>
        </w:rPr>
        <w:t xml:space="preserve">（必选择项）</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3.1一次性全部付款方式：</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全部货物交货并经验收合格后</w:t>
      </w:r>
      <w:r>
        <w:rPr>
          <w:color w:val="000000"/>
          <w:szCs w:val="21"/>
          <w:highlight w:val="none"/>
          <w:u w:val="single"/>
        </w:rPr>
        <w:t xml:space="preserve">___</w:t>
      </w:r>
      <w:r>
        <w:rPr>
          <w:color w:val="000000"/>
          <w:szCs w:val="21"/>
          <w:highlight w:val="none"/>
        </w:rPr>
        <w:t xml:space="preserve">日内，甲方凭乙方根据本条第2款提供的完整单据和文件向乙方一次性支付</w:t>
      </w:r>
      <w:r>
        <w:rPr>
          <w:color w:val="000000"/>
          <w:szCs w:val="21"/>
          <w:highlight w:val="none"/>
          <w:u w:val="single"/>
        </w:rPr>
        <w:t xml:space="preserve">____</w:t>
      </w:r>
      <w:r>
        <w:rPr>
          <w:color w:val="000000"/>
          <w:szCs w:val="21"/>
          <w:highlight w:val="none"/>
        </w:rPr>
        <w:t xml:space="preserve">的货物价款。</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3.2有尾款的付款方式：  </w:t>
      </w:r>
      <w:r>
        <w:rPr>
          <w:color w:val="000000"/>
          <w:szCs w:val="21"/>
          <w:highlight w:val="none"/>
        </w:rPr>
      </w:r>
      <w:r>
        <w:rPr>
          <w:highlight w:val="none"/>
        </w:rPr>
      </w:r>
    </w:p>
    <w:p>
      <w:pPr>
        <w:pStyle w:val="1168"/>
        <w:ind w:firstLine="420"/>
        <w:jc w:val="left"/>
        <w:spacing w:line="440" w:lineRule="exact"/>
        <w:rPr>
          <w:color w:val="000000"/>
          <w:szCs w:val="21"/>
          <w:highlight w:val="none"/>
        </w:rPr>
      </w:pPr>
      <w:r>
        <w:rPr>
          <w:highlight w:val="none"/>
        </w:rPr>
      </w:r>
      <w:bookmarkStart w:id="272" w:name="_Hlk101377252"/>
      <w:r>
        <w:rPr>
          <w:color w:val="000000"/>
          <w:szCs w:val="21"/>
          <w:highlight w:val="none"/>
        </w:rPr>
        <w:t xml:space="preserve">合同签署后，中标方按采购方质量和时间要求完成本项目规定所有内容，经采购方验收合格，采购方收到中标方开具的合法发票后</w:t>
      </w:r>
      <w:r>
        <w:rPr>
          <w:color w:val="000000"/>
          <w:szCs w:val="21"/>
          <w:highlight w:val="none"/>
          <w:u w:val="single"/>
        </w:rPr>
        <w:t xml:space="preserve">___</w:t>
      </w:r>
      <w:r>
        <w:rPr>
          <w:color w:val="000000"/>
          <w:szCs w:val="21"/>
          <w:highlight w:val="none"/>
        </w:rPr>
        <w:t xml:space="preserve">日内支付90%合同款，质保期满无质量问题付清余款。</w:t>
      </w:r>
      <w:bookmarkEnd w:id="272"/>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4、扣除/抵销</w:t>
      </w:r>
      <w:r>
        <w:rPr>
          <w:color w:val="000000"/>
          <w:szCs w:val="21"/>
          <w:highlight w:val="none"/>
        </w:rPr>
      </w:r>
      <w:r>
        <w:rPr>
          <w:highlight w:val="none"/>
        </w:rPr>
      </w:r>
    </w:p>
    <w:p>
      <w:pPr>
        <w:pStyle w:val="1168"/>
        <w:ind w:firstLine="420"/>
        <w:jc w:val="left"/>
        <w:spacing w:line="440" w:lineRule="exact"/>
        <w:rPr>
          <w:color w:val="000000"/>
          <w:szCs w:val="21"/>
          <w:highlight w:val="none"/>
        </w:rPr>
      </w:pPr>
      <w:r>
        <w:rPr>
          <w:color w:val="000000"/>
          <w:szCs w:val="21"/>
          <w:highlight w:val="none"/>
          <w:lang w:val="zh-CN"/>
        </w:rPr>
        <w:t xml:space="preserve">乙方同意，如乙方在本协议项下应支付违约金或赔偿甲方经济损失，甲方有权从上述未付款项中直接扣除。</w:t>
      </w:r>
      <w:r>
        <w:rPr>
          <w:color w:val="000000"/>
          <w:szCs w:val="21"/>
          <w:highlight w:val="none"/>
          <w:lang w:val="zh-CN"/>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第九条   履约保证金</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乙方在签订本合同之前，按合同总价款（_</w:t>
      </w:r>
      <w:r>
        <w:rPr>
          <w:color w:val="000000"/>
          <w:szCs w:val="21"/>
          <w:highlight w:val="none"/>
          <w:u w:val="single"/>
        </w:rPr>
        <w:t xml:space="preserve">_无</w:t>
      </w:r>
      <w:r>
        <w:rPr>
          <w:color w:val="000000"/>
          <w:szCs w:val="21"/>
          <w:highlight w:val="none"/>
        </w:rPr>
        <w:t xml:space="preserve">__）比例向甲方提交履约保证金。</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第十条  安装和培训</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1、甲方应提供必要安装条件（如场地、电源、水源等，产生费用由乙方承担）。</w:t>
      </w:r>
      <w:r>
        <w:rPr>
          <w:color w:val="000000"/>
          <w:szCs w:val="21"/>
          <w:highlight w:val="none"/>
        </w:rPr>
      </w:r>
      <w:r>
        <w:rPr>
          <w:highlight w:val="none"/>
        </w:rPr>
      </w:r>
    </w:p>
    <w:p>
      <w:pPr>
        <w:pStyle w:val="1168"/>
        <w:ind w:firstLine="525"/>
        <w:spacing w:line="360" w:lineRule="auto"/>
        <w:rPr>
          <w:color w:val="000000"/>
          <w:szCs w:val="21"/>
          <w:highlight w:val="none"/>
        </w:rPr>
      </w:pPr>
      <w:r>
        <w:rPr>
          <w:color w:val="000000"/>
          <w:szCs w:val="21"/>
          <w:highlight w:val="none"/>
        </w:rPr>
        <w:t xml:space="preserve">2、</w:t>
      </w:r>
      <w:bookmarkStart w:id="273"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73"/>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3、</w:t>
      </w:r>
      <w:bookmarkStart w:id="274"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rPr>
          <w:highlight w:val="none"/>
        </w:rPr>
      </w:r>
    </w:p>
    <w:p>
      <w:pPr>
        <w:pStyle w:val="1168"/>
        <w:ind w:firstLine="420"/>
        <w:spacing w:line="360" w:lineRule="auto"/>
        <w:rPr>
          <w:color w:val="000000"/>
          <w:szCs w:val="21"/>
          <w:highlight w:val="none"/>
        </w:rPr>
      </w:pPr>
      <w:r>
        <w:rPr>
          <w:highlight w:val="none"/>
        </w:rPr>
      </w:r>
      <w:bookmarkEnd w:id="274"/>
      <w:r>
        <w:rPr>
          <w:color w:val="000000"/>
          <w:szCs w:val="21"/>
          <w:highlight w:val="none"/>
        </w:rPr>
        <w:t xml:space="preserve">6、</w:t>
      </w:r>
      <w:bookmarkStart w:id="275" w:name="_Hlk130920582"/>
      <w:r>
        <w:rPr>
          <w:color w:val="000000"/>
          <w:szCs w:val="21"/>
          <w:highlight w:val="none"/>
        </w:rPr>
        <w:t xml:space="preserve">供应商免费提供设备使用相关培训工作。应有专业技术人员对采购人指定人员进行现场培训，</w:t>
      </w:r>
      <w:r>
        <w:rPr>
          <w:color w:val="000000"/>
          <w:szCs w:val="21"/>
          <w:highlight w:val="none"/>
        </w:rPr>
        <w:t xml:space="preserve">供应商应根据需要，提供详细的培训方案、计划、课程、人员及期限报采购方认可，费用已包括在合同金额中。培训的内容应包括但不限于：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内容，供应商出具培训记录单。如甲方未使用过同类型货物，乙方还需就货物的功能对甲方人员进行相应的技术培训，培训地点主要在货物安装现场或由甲方安排。</w:t>
      </w:r>
      <w:bookmarkEnd w:id="275"/>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第十一条 售后服务</w:t>
      </w:r>
      <w:r>
        <w:rPr>
          <w:b/>
          <w:color w:val="000000"/>
          <w:szCs w:val="21"/>
          <w:highlight w:val="none"/>
        </w:rPr>
      </w:r>
      <w:r>
        <w:rPr>
          <w:highlight w:val="none"/>
        </w:rPr>
      </w:r>
    </w:p>
    <w:p>
      <w:pPr>
        <w:pStyle w:val="1168"/>
        <w:ind w:firstLine="560"/>
        <w:jc w:val="left"/>
        <w:spacing w:line="360" w:lineRule="auto"/>
        <w:rPr>
          <w:color w:val="000000"/>
          <w:szCs w:val="21"/>
          <w:highlight w:val="none"/>
        </w:rPr>
      </w:pPr>
      <w:r>
        <w:rPr>
          <w:highlight w:val="none"/>
        </w:rPr>
      </w:r>
      <w:bookmarkStart w:id="276"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color w:val="000000"/>
          <w:highlight w:val="none"/>
        </w:rPr>
        <w:t xml:space="preserve">年，质保期自项目验收合格之日起开始计算。</w:t>
      </w:r>
      <w:r>
        <w:rPr>
          <w:color w:val="000000"/>
          <w:szCs w:val="21"/>
          <w:highlight w:val="none"/>
        </w:rPr>
        <w:t xml:space="preserve">在质量保证期内，货物出现运行故障的，乙方应在收到甲方通知后无条件提供保修服务，因此发生一切费用（包括但不限于人工费、差旅费、备件费、部件更换、</w:t>
      </w:r>
      <w:r>
        <w:rPr>
          <w:color w:val="000000"/>
          <w:highlight w:val="none"/>
        </w:rPr>
        <w:t xml:space="preserve">全部的保养、维修、维护、更换和技术支持</w:t>
      </w:r>
      <w:r>
        <w:rPr>
          <w:color w:val="000000"/>
          <w:szCs w:val="21"/>
          <w:highlight w:val="none"/>
        </w:rPr>
        <w:t xml:space="preserve">等所有费用）由乙方承担，</w:t>
      </w:r>
      <w:bookmarkStart w:id="277" w:name="_Hlk130920380"/>
      <w:r>
        <w:rPr>
          <w:color w:val="000000"/>
          <w:szCs w:val="21"/>
          <w:highlight w:val="none"/>
        </w:rPr>
        <w:t xml:space="preserve">且乙方应每年提供不少于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次</w:t>
      </w:r>
      <w:r>
        <w:rPr>
          <w:color w:val="000000"/>
          <w:highlight w:val="none"/>
        </w:rPr>
        <w:t xml:space="preserve">的免费现场</w:t>
      </w:r>
      <w:r>
        <w:rPr>
          <w:rFonts w:hint="eastAsia"/>
          <w:color w:val="000000"/>
          <w:highlight w:val="none"/>
        </w:rPr>
        <w:t xml:space="preserve">预防性维护</w:t>
      </w:r>
      <w:r>
        <w:rPr>
          <w:rFonts w:hint="eastAsia" w:ascii="宋体" w:hAnsi="宋体" w:cs="宋体"/>
          <w:color w:val="000000"/>
          <w:szCs w:val="21"/>
          <w:highlight w:val="none"/>
        </w:rPr>
        <w:t xml:space="preserve">和安全风险排查</w:t>
      </w:r>
      <w:r>
        <w:rPr>
          <w:color w:val="000000"/>
          <w:highlight w:val="none"/>
        </w:rPr>
        <w:t xml:space="preserve">服务并出具服务报告。</w:t>
      </w:r>
      <w:r>
        <w:rPr>
          <w:rFonts w:hint="eastAsia"/>
          <w:color w:val="000000"/>
          <w:highlight w:val="none"/>
        </w:rPr>
        <w:t xml:space="preserve">每年免费提供一次性能校验</w:t>
      </w:r>
      <w:r>
        <w:rPr>
          <w:color w:val="000000"/>
          <w:szCs w:val="21"/>
          <w:highlight w:val="none"/>
        </w:rPr>
        <w:t xml:space="preserve">，出具校验报告，相关费用包含在总价中。</w:t>
      </w:r>
      <w:bookmarkEnd w:id="277"/>
      <w:r>
        <w:rPr>
          <w:color w:val="000000"/>
          <w:szCs w:val="21"/>
          <w:highlight w:val="none"/>
        </w:rPr>
        <w:t xml:space="preserve">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 xml:space="preserve">天内仍无法正常投入使用，乙方应当立即无条件更换同款型号的新货物，由此产生的一切费用由乙方承担，因此造成甲方无法如期将货物投入使用的，乙方还应当赔偿甲方损失。</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w:t>
      </w:r>
      <w:r>
        <w:rPr>
          <w:color w:val="000000"/>
          <w:highlight w:val="none"/>
        </w:rPr>
        <w:t xml:space="preserve">在</w:t>
      </w:r>
      <w:r>
        <w:rPr>
          <w:rFonts w:hint="eastAsia"/>
          <w:color w:val="000000"/>
          <w:highlight w:val="none"/>
        </w:rPr>
        <w:t xml:space="preserve"> </w:t>
      </w:r>
      <w:r>
        <w:rPr>
          <w:rFonts w:hint="eastAsia"/>
          <w:color w:val="000000"/>
          <w:highlight w:val="none"/>
          <w:u w:val="single"/>
        </w:rPr>
        <w:t xml:space="preserve">       </w:t>
      </w:r>
      <w:r>
        <w:rPr>
          <w:color w:val="000000"/>
          <w:highlight w:val="none"/>
        </w:rPr>
        <w:t xml:space="preserve">小时内予以应答，查找原因，提出解决方案，若设备需要进行现场维修，</w:t>
      </w:r>
      <w:r>
        <w:rPr>
          <w:rFonts w:hint="eastAsia"/>
          <w:color w:val="000000"/>
          <w:highlight w:val="none"/>
        </w:rPr>
        <w:t xml:space="preserve">如发生设备关键部件或系统故障时，工程师应在</w:t>
      </w:r>
      <w:r>
        <w:rPr>
          <w:rFonts w:hint="eastAsia"/>
          <w:color w:val="000000"/>
          <w:highlight w:val="none"/>
          <w:u w:val="single"/>
        </w:rPr>
        <w:t xml:space="preserve">       </w:t>
      </w:r>
      <w:r>
        <w:rPr>
          <w:rFonts w:hint="eastAsia"/>
          <w:color w:val="000000"/>
          <w:highlight w:val="none"/>
        </w:rPr>
        <w:t xml:space="preserve">小时内修复，如为一般故障，</w:t>
      </w:r>
      <w:r>
        <w:rPr>
          <w:color w:val="000000"/>
          <w:highlight w:val="none"/>
        </w:rPr>
        <w:t xml:space="preserve">工程师须在</w:t>
      </w:r>
      <w:r>
        <w:rPr>
          <w:rFonts w:hint="eastAsia"/>
          <w:color w:val="000000"/>
          <w:highlight w:val="none"/>
          <w:u w:val="single"/>
        </w:rPr>
        <w:t xml:space="preserve">       </w:t>
      </w:r>
      <w:r>
        <w:rPr>
          <w:color w:val="000000"/>
          <w:highlight w:val="none"/>
        </w:rPr>
        <w:t xml:space="preserve">小时内到达现场，</w:t>
      </w:r>
      <w:r>
        <w:rPr>
          <w:rFonts w:hint="eastAsia"/>
          <w:color w:val="000000"/>
          <w:highlight w:val="none"/>
          <w:u w:val="single"/>
        </w:rPr>
        <w:t xml:space="preserve">       </w:t>
      </w:r>
      <w:r>
        <w:rPr>
          <w:color w:val="000000"/>
          <w:highlight w:val="none"/>
        </w:rPr>
        <w:t xml:space="preserve">小时内</w:t>
      </w:r>
      <w:r>
        <w:rPr>
          <w:rFonts w:hint="eastAsia"/>
          <w:color w:val="000000"/>
          <w:highlight w:val="none"/>
        </w:rPr>
        <w:t xml:space="preserve">修复或免费提供备用机，否则甲方可自行采取必要的措施，</w:t>
      </w:r>
      <w:r>
        <w:rPr>
          <w:color w:val="000000"/>
          <w:highlight w:val="none"/>
        </w:rPr>
        <w:t xml:space="preserve">由此产生的风险和费用由乙方承担。如有特殊情况，乙方应立即电话通知甲方不能响应的原因，在获得甲方同意后，才可推迟响应时间。</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rPr>
          <w:color w:val="000000"/>
          <w:szCs w:val="21"/>
          <w:highlight w:val="none"/>
        </w:rPr>
      </w:r>
      <w:r>
        <w:rPr>
          <w:highlight w:val="none"/>
        </w:rPr>
      </w:r>
    </w:p>
    <w:p>
      <w:pPr>
        <w:pStyle w:val="1245"/>
        <w:ind w:firstLine="630"/>
        <w:spacing w:line="360" w:lineRule="auto"/>
        <w:tabs>
          <w:tab w:val="left" w:pos="851" w:leader="none"/>
          <w:tab w:val="left" w:pos="1276" w:leader="none"/>
          <w:tab w:val="left" w:pos="1418" w:leader="none"/>
        </w:tabs>
        <w:rPr>
          <w:b/>
          <w:bCs/>
          <w:color w:val="000000"/>
          <w:szCs w:val="21"/>
          <w:highlight w:val="none"/>
        </w:rPr>
      </w:pPr>
      <w:r>
        <w:rPr>
          <w:color w:val="000000"/>
          <w:szCs w:val="21"/>
          <w:highlight w:val="none"/>
        </w:rPr>
        <w:t xml:space="preserve">5、</w:t>
      </w:r>
      <w:bookmarkStart w:id="278" w:name="_Hlk130920393"/>
      <w:r>
        <w:rPr>
          <w:color w:val="000000"/>
          <w:highlight w:val="none"/>
        </w:rPr>
        <w:t xml:space="preserve">质保期外供应商及设备生产厂家对本设备终身负责维修服务和技术支持。</w:t>
      </w:r>
      <w:r>
        <w:rPr>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color w:val="000000"/>
          <w:szCs w:val="21"/>
          <w:highlight w:val="none"/>
        </w:rPr>
      </w:r>
      <w:r>
        <w:rPr>
          <w:highlight w:val="none"/>
        </w:rPr>
      </w:r>
    </w:p>
    <w:p>
      <w:pPr>
        <w:pStyle w:val="1168"/>
        <w:ind w:firstLine="560"/>
        <w:jc w:val="left"/>
        <w:spacing w:line="360" w:lineRule="auto"/>
        <w:rPr>
          <w:b/>
          <w:color w:val="000000"/>
          <w:szCs w:val="21"/>
          <w:highlight w:val="none"/>
        </w:rPr>
      </w:pPr>
      <w:r>
        <w:rPr>
          <w:highlight w:val="none"/>
        </w:rPr>
      </w:r>
      <w:bookmarkEnd w:id="276"/>
      <w:r>
        <w:rPr>
          <w:highlight w:val="none"/>
        </w:rPr>
      </w:r>
      <w:bookmarkEnd w:id="278"/>
      <w:r>
        <w:rPr>
          <w:b/>
          <w:color w:val="000000"/>
          <w:szCs w:val="21"/>
          <w:highlight w:val="none"/>
        </w:rPr>
        <w:t xml:space="preserve">第十二条 合同的变更、终止与转让</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_____</w:t>
      </w:r>
      <w:r>
        <w:rPr>
          <w:color w:val="000000"/>
          <w:szCs w:val="21"/>
          <w:highlight w:val="none"/>
        </w:rPr>
        <w:t xml:space="preserve">工作日，甲方有权单方解除本合同。</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___ </w:t>
      </w:r>
      <w:r>
        <w:rPr>
          <w:color w:val="000000"/>
          <w:szCs w:val="21"/>
          <w:highlight w:val="none"/>
        </w:rPr>
        <w:t xml:space="preserve">次，仍然无法达到甲方要求，甲方有权单方解除本合同。</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5、乙方出现下列情形之一的，甲方有权经通知后解除本合同。乙方出现下列情形对甲方造成损失的，应赔偿因此给甲方造成的损失：</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（1）乙方恶意竞标、串通投标、拒绝履行合同义务，或甲方认为乙方存在有意扰乱采购秩序的其他行为；</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（2）乙方存在与甲方集中采购项目相关人员及履约考核人员或亲属发生不正当的经济往来、商业贿赂或商业欺诈等违法违规情况；</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（3）乙方存在经济纠纷、重大违约诉讼，乙方经营者或实际控制人涉及刑事诉讼，或甲方认为乙方存在可能影响其资信或可能危及其履约能力的其他情形；</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（4）乙方泄露甲方商业秘密；</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（5）乙方商业信誉出现问题，或在履约过程中出现责任事故、因质量问题或违约造成甲方损失的；</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（6）甲方认为乙方的后续服务难以满足甲方业务需要，或存在可能给甲方带来重大风险的其他事项；</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（7）甲方认为乙方发生财务危机或业务经营存在严重问题；</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（8）乙方被政府及有关部门查处、曝光或已经进入行业协会禁用名单；</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（9）乙方及其法定代表人被人民法院列入“失信被执行人名单”；</w:t>
      </w:r>
      <w:r>
        <w:rPr>
          <w:color w:val="000000"/>
          <w:szCs w:val="21"/>
          <w:highlight w:val="none"/>
        </w:rPr>
      </w:r>
      <w:r>
        <w:rPr>
          <w:highlight w:val="none"/>
        </w:rPr>
      </w:r>
    </w:p>
    <w:p>
      <w:pPr>
        <w:pStyle w:val="1168"/>
        <w:ind w:left="1" w:firstLine="420"/>
        <w:jc w:val="left"/>
        <w:spacing w:line="360" w:lineRule="auto"/>
        <w:rPr>
          <w:color w:val="000000"/>
          <w:szCs w:val="21"/>
          <w:highlight w:val="none"/>
        </w:rPr>
      </w:pPr>
      <w:r>
        <w:rPr>
          <w:color w:val="000000"/>
          <w:szCs w:val="21"/>
          <w:highlight w:val="none"/>
        </w:rPr>
        <w:t xml:space="preserve">（10）乙方存在其他违反本协议或其他违法违规行为。</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第十三条　违约责任</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____%</w:t>
      </w:r>
      <w:r>
        <w:rPr>
          <w:color w:val="000000"/>
          <w:szCs w:val="21"/>
          <w:highlight w:val="none"/>
        </w:rPr>
        <w:t xml:space="preserve">违约金。</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___%</w:t>
      </w:r>
      <w:r>
        <w:rPr>
          <w:color w:val="000000"/>
          <w:szCs w:val="21"/>
          <w:highlight w:val="none"/>
        </w:rPr>
        <w:t xml:space="preserve">计算，向乙方支付违约金，但累计滞纳金总额不超过欠款总额的</w:t>
      </w:r>
      <w:r>
        <w:rPr>
          <w:color w:val="000000"/>
          <w:szCs w:val="21"/>
          <w:highlight w:val="none"/>
          <w:u w:val="single"/>
        </w:rPr>
        <w:t xml:space="preserve">____%</w:t>
      </w:r>
      <w:r>
        <w:rPr>
          <w:color w:val="000000"/>
          <w:szCs w:val="21"/>
          <w:highlight w:val="none"/>
        </w:rPr>
        <w:t xml:space="preserve"> 。</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___%</w:t>
      </w:r>
      <w:r>
        <w:rPr>
          <w:color w:val="000000"/>
          <w:szCs w:val="21"/>
          <w:highlight w:val="none"/>
        </w:rPr>
        <w:t xml:space="preserve">向甲方支付违约金，不足一天按一天计，由乙方支付给甲方或由甲方从待付价款中直接扣除；逾期超过约定日期</w:t>
      </w:r>
      <w:r>
        <w:rPr>
          <w:color w:val="000000"/>
          <w:szCs w:val="21"/>
          <w:highlight w:val="none"/>
          <w:u w:val="single"/>
        </w:rPr>
        <w:t xml:space="preserve">___个</w:t>
      </w:r>
      <w:r>
        <w:rPr>
          <w:color w:val="000000"/>
          <w:szCs w:val="21"/>
          <w:highlight w:val="none"/>
        </w:rPr>
        <w:t xml:space="preserve">工作日不能交货的，甲方可解除本合同。合同的解除不影响甲方依据上述规定要求乙方支付违约金的权利，也不影响甲方要求乙方承担损害赔偿的权利。</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4、如乙方不能交付货物，甲方有权扣留全部履约保证金；同时乙方应向甲方支付合同总价</w:t>
      </w:r>
      <w:r>
        <w:rPr>
          <w:color w:val="000000"/>
          <w:szCs w:val="21"/>
          <w:highlight w:val="none"/>
          <w:u w:val="single"/>
        </w:rPr>
        <w:t xml:space="preserve">___%</w:t>
      </w:r>
      <w:r>
        <w:rPr>
          <w:color w:val="000000"/>
          <w:szCs w:val="21"/>
          <w:highlight w:val="none"/>
        </w:rPr>
        <w:t xml:space="preserve">的违约金。</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5、乙方因逾期交货或因其他违约行为导致甲方解除合同的，乙方除根据上述第3款支付逾期违约金外应另行应向甲方支付本合同约定总价款</w:t>
      </w:r>
      <w:r>
        <w:rPr>
          <w:color w:val="000000"/>
          <w:szCs w:val="21"/>
          <w:highlight w:val="none"/>
          <w:u w:val="single"/>
        </w:rPr>
        <w:t xml:space="preserve">____%</w:t>
      </w:r>
      <w:r>
        <w:rPr>
          <w:color w:val="000000"/>
          <w:szCs w:val="21"/>
          <w:highlight w:val="none"/>
        </w:rPr>
        <w:t xml:space="preserve">的违约金，如造成甲方损失超过违约金的，超出部分由乙方继续承担赔偿责任。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____%</w:t>
      </w:r>
      <w:r>
        <w:rPr>
          <w:color w:val="000000"/>
          <w:szCs w:val="21"/>
          <w:highlight w:val="none"/>
        </w:rPr>
        <w:t xml:space="preserve">向甲方支付违约金。乙方愿意更换货物但逾期交货的，按乙方逾期交货处理。乙方拒绝更换货物的，甲方可以单方面解除合同。</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color w:val="000000"/>
          <w:szCs w:val="21"/>
          <w:highlight w:val="none"/>
          <w:u w:val="single"/>
        </w:rPr>
        <w:t xml:space="preserve">___</w:t>
      </w:r>
      <w:r>
        <w:rPr>
          <w:color w:val="000000"/>
          <w:szCs w:val="21"/>
          <w:highlight w:val="none"/>
        </w:rPr>
        <w:t xml:space="preserve">%向甲方支付违约金，该违约金的支付不影响乙方应承担的其他违约责任。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9、乙方未按本合同的规定和“服务承诺”提供调试、安装和培训、售后服务的，应按合同总价款的</w:t>
      </w:r>
      <w:r>
        <w:rPr>
          <w:color w:val="000000"/>
          <w:szCs w:val="21"/>
          <w:highlight w:val="none"/>
          <w:u w:val="single"/>
        </w:rPr>
        <w:t xml:space="preserve">_ _</w:t>
      </w:r>
      <w:r>
        <w:rPr>
          <w:color w:val="000000"/>
          <w:szCs w:val="21"/>
          <w:highlight w:val="none"/>
        </w:rPr>
        <w:t xml:space="preserve">%向甲方承担违约责任。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10、乙方在承担上述5-9款一项或多项违约责任后，仍应继续履行合同规定的义务（甲方解除合同的除外）。甲方未能及时追究乙方的任何一项违约责任并不表明甲方放弃追究乙方该项或其他违约责任。</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rPr>
          <w:color w:val="000000"/>
          <w:szCs w:val="21"/>
          <w:highlight w:val="none"/>
        </w:rPr>
      </w:r>
      <w:r>
        <w:rPr>
          <w:highlight w:val="none"/>
        </w:rPr>
      </w:r>
    </w:p>
    <w:p>
      <w:pPr>
        <w:pStyle w:val="1184"/>
        <w:rPr>
          <w:rFonts w:ascii="Times New Roman"/>
          <w:color w:val="000000"/>
          <w:sz w:val="21"/>
          <w:szCs w:val="21"/>
          <w:highlight w:val="none"/>
        </w:rPr>
      </w:pPr>
      <w:r>
        <w:rPr>
          <w:rFonts w:ascii="Times New Roman"/>
          <w:color w:val="000000"/>
          <w:sz w:val="21"/>
          <w:szCs w:val="21"/>
          <w:highlight w:val="none"/>
        </w:rPr>
        <w:t xml:space="preserve">    12、货物送至甲方指定地点，安装调试并验收合格后视为交付。交付前，货物的毁损灭失风险由供应商承担；并付后，该风险由采购人承担。</w:t>
      </w:r>
      <w:r>
        <w:rPr>
          <w:rFonts w:ascii="Times New Roman"/>
          <w:color w:val="000000"/>
          <w:sz w:val="21"/>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第十四条 保密条款</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highlight w:val="none"/>
        </w:rPr>
        <w:fldChar w:fldCharType="begin"/>
      </w:r>
      <w:r>
        <w:rPr>
          <w:color w:val="000000"/>
          <w:highlight w:val="none"/>
        </w:rPr>
        <w:instrText xml:space="preserve"> HYPERLINK "http://www.xuexila.com/diannao/" </w:instrText>
      </w:r>
      <w:r>
        <w:rPr>
          <w:color w:val="00000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3、本条约定在本合同终止履行后两年内仍然有效。</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第十五条 不可抗力</w:t>
      </w:r>
      <w:r>
        <w:rPr>
          <w:b/>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第十六条  争议的解决</w:t>
      </w:r>
      <w:r>
        <w:rPr>
          <w:b/>
          <w:color w:val="000000"/>
          <w:szCs w:val="21"/>
          <w:highlight w:val="none"/>
        </w:rPr>
      </w:r>
      <w:r>
        <w:rPr>
          <w:highlight w:val="none"/>
        </w:rPr>
      </w:r>
    </w:p>
    <w:p>
      <w:pPr>
        <w:pStyle w:val="127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rPr>
          <w:color w:val="000000"/>
          <w:szCs w:val="21"/>
          <w:highlight w:val="none"/>
        </w:rPr>
      </w:r>
      <w:r>
        <w:rPr>
          <w:highlight w:val="none"/>
        </w:rPr>
      </w:r>
    </w:p>
    <w:p>
      <w:pPr>
        <w:pStyle w:val="1168"/>
        <w:ind w:firstLine="560"/>
        <w:jc w:val="left"/>
        <w:spacing w:line="360" w:lineRule="auto"/>
        <w:rPr>
          <w:b/>
          <w:color w:val="000000"/>
          <w:szCs w:val="21"/>
          <w:highlight w:val="none"/>
        </w:rPr>
      </w:pPr>
      <w:r>
        <w:rPr>
          <w:b/>
          <w:color w:val="000000"/>
          <w:szCs w:val="21"/>
          <w:highlight w:val="none"/>
        </w:rPr>
        <w:t xml:space="preserve">第十七条  合同生效及其他</w:t>
      </w:r>
      <w:r>
        <w:rPr>
          <w:b/>
          <w:color w:val="000000"/>
          <w:szCs w:val="21"/>
          <w:highlight w:val="none"/>
        </w:rPr>
      </w:r>
      <w:r>
        <w:rPr>
          <w:highlight w:val="none"/>
        </w:rPr>
      </w:r>
    </w:p>
    <w:p>
      <w:pPr>
        <w:pStyle w:val="127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rPr>
          <w:rFonts w:ascii="Times New Roman" w:hAnsi="Times New Roman"/>
          <w:color w:val="000000"/>
          <w:szCs w:val="21"/>
          <w:highlight w:val="none"/>
        </w:rPr>
      </w:r>
      <w:r>
        <w:rPr>
          <w:highlight w:val="none"/>
        </w:rPr>
      </w:r>
    </w:p>
    <w:p>
      <w:pPr>
        <w:pStyle w:val="127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rPr>
          <w:rFonts w:ascii="Times New Roman" w:hAnsi="Times New Roman"/>
          <w:color w:val="000000"/>
          <w:szCs w:val="21"/>
          <w:highlight w:val="none"/>
        </w:rPr>
      </w:r>
      <w:r>
        <w:rPr>
          <w:highlight w:val="none"/>
        </w:rPr>
      </w:r>
    </w:p>
    <w:p>
      <w:pPr>
        <w:pStyle w:val="127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rPr>
          <w:rFonts w:ascii="Times New Roman" w:hAnsi="Times New Roman"/>
          <w:color w:val="000000"/>
          <w:szCs w:val="21"/>
          <w:highlight w:val="none"/>
        </w:rPr>
      </w:r>
      <w:r>
        <w:rPr>
          <w:highlight w:val="none"/>
        </w:rPr>
      </w:r>
    </w:p>
    <w:p>
      <w:pPr>
        <w:pStyle w:val="1273"/>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rPr>
          <w:rFonts w:ascii="Times New Roman" w:hAnsi="Times New Roman"/>
          <w:color w:val="000000"/>
          <w:szCs w:val="21"/>
          <w:highlight w:val="none"/>
        </w:rPr>
      </w:r>
      <w:r>
        <w:rPr>
          <w:highlight w:val="none"/>
        </w:rP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4"/>
        <w:gridCol w:w="4928"/>
      </w:tblGrid>
      <w:tr>
        <w:trPr>
          <w:cantSplit/>
          <w:trHeight w:val="2475"/>
        </w:trPr>
        <w:tc>
          <w:tcPr>
            <w:tcW w:w="2499" w:type="dxa"/>
            <w:vAlign w:val="center"/>
            <w:textDirection w:val="lrTb"/>
            <w:noWrap w:val="false"/>
          </w:tcPr>
          <w:p>
            <w:pPr>
              <w:pStyle w:val="1168"/>
              <w:jc w:val="left"/>
              <w:spacing w:line="360" w:lineRule="auto"/>
              <w:rPr>
                <w:color w:val="000000"/>
                <w:szCs w:val="21"/>
                <w:highlight w:val="none"/>
              </w:rPr>
            </w:pPr>
            <w:r>
              <w:rPr>
                <w:highlight w:val="none"/>
              </w:rPr>
            </w:r>
            <w:bookmarkEnd w:id="266"/>
            <w:r>
              <w:rPr>
                <w:rFonts w:hint="eastAsia"/>
                <w:color w:val="000000"/>
                <w:szCs w:val="21"/>
                <w:highlight w:val="none"/>
              </w:rPr>
              <w:t xml:space="preserve">甲方（公章）</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rPr>
                <w:highlight w:val="none"/>
              </w:rPr>
            </w:r>
          </w:p>
        </w:tc>
        <w:tc>
          <w:tcPr>
            <w:tcW w:w="2501"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乙方（公章）</w:t>
            </w: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60"/>
              <w:jc w:val="left"/>
              <w:spacing w:line="360" w:lineRule="auto"/>
              <w:rPr>
                <w:color w:val="000000"/>
                <w:szCs w:val="21"/>
                <w:highlight w:val="none"/>
              </w:rPr>
            </w:pPr>
            <w:r>
              <w:rPr>
                <w:color w:val="000000"/>
                <w:szCs w:val="21"/>
                <w:highlight w:val="none"/>
              </w:rPr>
            </w:r>
            <w:r>
              <w:rPr>
                <w:highlight w:val="none"/>
              </w:rPr>
            </w:r>
          </w:p>
          <w:p>
            <w:pPr>
              <w:pStyle w:val="1168"/>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rPr>
                <w:highlight w:val="none"/>
              </w:rPr>
            </w:r>
          </w:p>
        </w:tc>
      </w:tr>
      <w:tr>
        <w:trPr>
          <w:cantSplit/>
          <w:trHeight w:val="1175"/>
        </w:trPr>
        <w:tc>
          <w:tcPr>
            <w:tcW w:w="2499" w:type="dxa"/>
            <w:vAlign w:val="center"/>
            <w:textDirection w:val="lrTb"/>
            <w:noWrap w:val="false"/>
          </w:tcPr>
          <w:p>
            <w:pPr>
              <w:pStyle w:val="1168"/>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rPr>
                <w:highlight w:val="none"/>
              </w:rPr>
            </w:r>
          </w:p>
          <w:p>
            <w:pPr>
              <w:pStyle w:val="1168"/>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rPr>
                <w:highlight w:val="none"/>
              </w:rPr>
            </w:r>
          </w:p>
        </w:tc>
        <w:tc>
          <w:tcPr>
            <w:tcW w:w="2501" w:type="dxa"/>
            <w:vAlign w:val="center"/>
            <w:textDirection w:val="lrTb"/>
            <w:noWrap w:val="false"/>
          </w:tcPr>
          <w:p>
            <w:pPr>
              <w:pStyle w:val="1168"/>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rPr>
                <w:highlight w:val="none"/>
              </w:rPr>
            </w:r>
          </w:p>
          <w:p>
            <w:pPr>
              <w:pStyle w:val="1168"/>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rPr>
                <w:highlight w:val="none"/>
              </w:rPr>
            </w:r>
          </w:p>
        </w:tc>
      </w:tr>
      <w:tr>
        <w:trPr>
          <w:cantSplit/>
          <w:trHeight w:val="1175"/>
        </w:trPr>
        <w:tc>
          <w:tcPr>
            <w:tcW w:w="2499"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rPr>
                <w:highlight w:val="none"/>
              </w:rPr>
            </w:r>
          </w:p>
        </w:tc>
        <w:tc>
          <w:tcPr>
            <w:tcW w:w="2501"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rPr>
                <w:highlight w:val="none"/>
              </w:rPr>
            </w:r>
          </w:p>
        </w:tc>
      </w:tr>
      <w:tr>
        <w:trPr>
          <w:cantSplit/>
          <w:trHeight w:val="1175"/>
        </w:trPr>
        <w:tc>
          <w:tcPr>
            <w:tcW w:w="2499"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统一社会信用代码：</w:t>
            </w:r>
            <w:r>
              <w:rPr>
                <w:color w:val="000000"/>
                <w:szCs w:val="21"/>
                <w:highlight w:val="none"/>
              </w:rPr>
            </w:r>
            <w:r>
              <w:rPr>
                <w:highlight w:val="none"/>
              </w:rPr>
            </w:r>
          </w:p>
        </w:tc>
        <w:tc>
          <w:tcPr>
            <w:tcW w:w="2501"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纳税人识别号：</w:t>
            </w:r>
            <w:r>
              <w:rPr>
                <w:color w:val="000000"/>
                <w:szCs w:val="21"/>
                <w:highlight w:val="none"/>
              </w:rPr>
            </w:r>
            <w:r>
              <w:rPr>
                <w:highlight w:val="none"/>
              </w:rPr>
            </w:r>
          </w:p>
        </w:tc>
      </w:tr>
      <w:tr>
        <w:trPr>
          <w:cantSplit/>
          <w:trHeight w:val="460"/>
        </w:trPr>
        <w:tc>
          <w:tcPr>
            <w:tcW w:w="2499" w:type="dxa"/>
            <w:vAlign w:val="center"/>
            <w:textDirection w:val="lrTb"/>
            <w:noWrap w:val="false"/>
          </w:tcPr>
          <w:p>
            <w:pPr>
              <w:pStyle w:val="1168"/>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rPr>
                <w:highlight w:val="none"/>
              </w:rPr>
            </w:r>
          </w:p>
        </w:tc>
        <w:tc>
          <w:tcPr>
            <w:tcW w:w="2501" w:type="dxa"/>
            <w:vAlign w:val="center"/>
            <w:textDirection w:val="lrTb"/>
            <w:noWrap w:val="false"/>
          </w:tcPr>
          <w:p>
            <w:pPr>
              <w:pStyle w:val="1168"/>
              <w:jc w:val="left"/>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rPr>
                <w:highlight w:val="none"/>
              </w:rPr>
            </w:r>
          </w:p>
        </w:tc>
      </w:tr>
    </w:tbl>
    <w:p>
      <w:pPr>
        <w:pStyle w:val="1168"/>
        <w:ind w:firstLine="315"/>
        <w:jc w:val="left"/>
        <w:spacing w:line="360" w:lineRule="auto"/>
        <w:rPr>
          <w:color w:val="000000"/>
          <w:szCs w:val="21"/>
          <w:highlight w:val="none"/>
        </w:rPr>
      </w:pPr>
      <w:r>
        <w:rPr>
          <w:color w:val="000000"/>
          <w:szCs w:val="21"/>
          <w:highlight w:val="none"/>
        </w:rPr>
      </w:r>
      <w:r>
        <w:rPr>
          <w:highlight w:val="none"/>
        </w:rPr>
      </w:r>
    </w:p>
    <w:p>
      <w:pPr>
        <w:pStyle w:val="1168"/>
        <w:jc w:val="center"/>
        <w:spacing w:line="360" w:lineRule="auto"/>
        <w:rPr>
          <w:b/>
          <w:color w:val="000000"/>
          <w:szCs w:val="21"/>
          <w:highlight w:val="none"/>
        </w:rPr>
        <w:sectPr>
          <w:footerReference w:type="default" r:id="rId15"/>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Cs w:val="21"/>
          <w:highlight w:val="none"/>
        </w:rPr>
      </w:r>
      <w:r>
        <w:rPr>
          <w:highlight w:val="none"/>
        </w:rPr>
      </w:r>
    </w:p>
    <w:p>
      <w:pPr>
        <w:pStyle w:val="1168"/>
        <w:jc w:val="center"/>
        <w:spacing w:line="600" w:lineRule="exact"/>
        <w:rPr>
          <w:rFonts w:eastAsia="方正小标宋_GBK"/>
          <w:color w:val="000000"/>
          <w:sz w:val="36"/>
          <w:szCs w:val="36"/>
          <w:highlight w:val="none"/>
        </w:rPr>
      </w:pPr>
      <w:r>
        <w:rPr>
          <w:rFonts w:eastAsia="方正小标宋_GBK"/>
          <w:color w:val="000000"/>
          <w:sz w:val="36"/>
          <w:szCs w:val="36"/>
          <w:highlight w:val="none"/>
        </w:rPr>
        <w:t xml:space="preserve">南京红十字血液中心廉洁诚信合同</w:t>
      </w:r>
      <w:r>
        <w:rPr>
          <w:rFonts w:eastAsia="方正小标宋_GBK"/>
          <w:color w:val="000000"/>
          <w:sz w:val="36"/>
          <w:szCs w:val="36"/>
          <w:highlight w:val="none"/>
        </w:rPr>
      </w:r>
      <w:r>
        <w:rPr>
          <w:highlight w:val="none"/>
        </w:rPr>
      </w:r>
    </w:p>
    <w:p>
      <w:pPr>
        <w:pStyle w:val="1168"/>
        <w:spacing w:line="600" w:lineRule="exact"/>
        <w:rPr>
          <w:color w:val="000000"/>
          <w:sz w:val="24"/>
          <w:szCs w:val="24"/>
          <w:highlight w:val="none"/>
        </w:rPr>
      </w:pPr>
      <w:r>
        <w:rPr>
          <w:color w:val="000000"/>
          <w:sz w:val="24"/>
          <w:szCs w:val="24"/>
          <w:highlight w:val="none"/>
        </w:rPr>
        <w:t xml:space="preserve">甲方：南京红十字血液中心</w:t>
      </w:r>
      <w:r>
        <w:rPr>
          <w:color w:val="000000"/>
          <w:sz w:val="24"/>
          <w:szCs w:val="24"/>
          <w:highlight w:val="none"/>
        </w:rPr>
      </w:r>
      <w:r>
        <w:rPr>
          <w:highlight w:val="none"/>
        </w:rPr>
      </w:r>
    </w:p>
    <w:p>
      <w:pPr>
        <w:pStyle w:val="1168"/>
        <w:spacing w:line="600" w:lineRule="exact"/>
        <w:rPr>
          <w:color w:val="000000"/>
          <w:sz w:val="24"/>
          <w:szCs w:val="24"/>
          <w:highlight w:val="none"/>
        </w:rPr>
      </w:pPr>
      <w:r>
        <w:rPr>
          <w:color w:val="000000"/>
          <w:sz w:val="24"/>
          <w:szCs w:val="24"/>
          <w:highlight w:val="none"/>
        </w:rPr>
        <w:t xml:space="preserve">乙方: </w:t>
      </w:r>
      <w:r>
        <w:rPr>
          <w:color w:val="000000"/>
          <w:sz w:val="24"/>
          <w:szCs w:val="24"/>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为进一步加强医疗卫生行风建设，规范南京红十字血液中心廉洁诚信行为，有效防范商业贿赂行为，营造公平交易、诚实守信的环境，经甲、乙双方协商，同意签订本合同，并共同遵守：</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一、甲乙双方按照《民法典》及南京市卫生系统相关要求签订廉洁诚信合同。</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三、严禁甲方工作人员利用任何途径和方式，为乙方提供信息，或为乙方提供便利。</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四、乙方不得以回扣、宴请等方式影响甲方工作人员，不得提供旅游、超标准支付食宿费用。</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五、乙方代表必须在工作时间到甲方指定地点联系商谈，不得借故到甲方相关领导、部门负责人及相关工作人员家中访谈并提供任何好处费。</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八、本合同作为主体合同的重要组成部分，与主体合同一并执行，具有同等的法律效力。</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九、本合同一式三份，甲、乙双方各执一份，甲方纪检监察部门（基层医疗卫生机构上报上级卫生计生行政部门）执一份，并从签订之日起生效。</w:t>
      </w:r>
      <w:r>
        <w:rPr>
          <w:color w:val="000000"/>
          <w:szCs w:val="21"/>
          <w:highlight w:val="none"/>
        </w:rPr>
      </w:r>
      <w:r>
        <w:rPr>
          <w:highlight w:val="none"/>
        </w:rPr>
      </w:r>
    </w:p>
    <w:p>
      <w:pPr>
        <w:pStyle w:val="1168"/>
        <w:spacing w:line="600" w:lineRule="exact"/>
        <w:rPr>
          <w:color w:val="000000"/>
          <w:szCs w:val="21"/>
          <w:highlight w:val="none"/>
        </w:rPr>
      </w:pPr>
      <w:r>
        <w:rPr>
          <w:color w:val="000000"/>
          <w:szCs w:val="21"/>
          <w:highlight w:val="none"/>
        </w:rPr>
      </w:r>
      <w:r>
        <w:rPr>
          <w:highlight w:val="none"/>
        </w:rPr>
      </w:r>
    </w:p>
    <w:p>
      <w:pPr>
        <w:pStyle w:val="1168"/>
        <w:ind w:firstLine="420"/>
        <w:spacing w:line="600" w:lineRule="exact"/>
        <w:rPr>
          <w:color w:val="000000"/>
          <w:szCs w:val="21"/>
          <w:highlight w:val="none"/>
        </w:rPr>
      </w:pPr>
      <w:r>
        <w:rPr>
          <w:color w:val="000000"/>
          <w:szCs w:val="21"/>
          <w:highlight w:val="none"/>
        </w:rPr>
        <w:t xml:space="preserve">甲方（盖章）：</w:t>
      </w:r>
      <w:r>
        <w:rPr>
          <w:color w:val="000000"/>
          <w:sz w:val="24"/>
          <w:szCs w:val="24"/>
          <w:highlight w:val="none"/>
        </w:rPr>
        <w:t xml:space="preserve">南京红十字血液中心</w:t>
      </w:r>
      <w:r>
        <w:rPr>
          <w:color w:val="000000"/>
          <w:szCs w:val="21"/>
          <w:highlight w:val="none"/>
        </w:rPr>
        <w:t xml:space="preserve">        乙方（盖章）： </w:t>
      </w:r>
      <w:r>
        <w:rPr>
          <w:color w:val="000000"/>
          <w:szCs w:val="21"/>
          <w:highlight w:val="none"/>
        </w:rPr>
      </w:r>
      <w:r>
        <w:rPr>
          <w:highlight w:val="none"/>
        </w:rPr>
      </w:r>
    </w:p>
    <w:p>
      <w:pPr>
        <w:pStyle w:val="1168"/>
        <w:ind w:left="3150" w:hanging="3150"/>
        <w:spacing w:line="600" w:lineRule="exact"/>
        <w:rPr>
          <w:color w:val="000000"/>
          <w:szCs w:val="21"/>
          <w:highlight w:val="none"/>
        </w:rPr>
      </w:pPr>
      <w:r>
        <w:rPr>
          <w:color w:val="000000"/>
          <w:szCs w:val="21"/>
          <w:highlight w:val="none"/>
        </w:rPr>
        <w:t xml:space="preserve">    甲方责任人：                              乙方责任人：</w:t>
      </w:r>
      <w:r>
        <w:rPr>
          <w:color w:val="000000"/>
          <w:szCs w:val="21"/>
          <w:highlight w:val="none"/>
        </w:rPr>
      </w:r>
      <w:r>
        <w:rPr>
          <w:highlight w:val="none"/>
        </w:rPr>
      </w:r>
    </w:p>
    <w:p>
      <w:pPr>
        <w:pStyle w:val="1168"/>
        <w:ind w:left="3150" w:hanging="2730"/>
        <w:spacing w:line="600" w:lineRule="exact"/>
        <w:rPr>
          <w:color w:val="000000"/>
          <w:szCs w:val="21"/>
          <w:highlight w:val="none"/>
        </w:rPr>
      </w:pPr>
      <w:r>
        <w:rPr>
          <w:color w:val="000000"/>
          <w:szCs w:val="21"/>
          <w:highlight w:val="none"/>
        </w:rPr>
        <w:t xml:space="preserve">日期：     年   月   日                    日期：     年   月   日</w:t>
      </w:r>
      <w:r>
        <w:rPr>
          <w:color w:val="000000"/>
          <w:szCs w:val="21"/>
          <w:highlight w:val="none"/>
        </w:rPr>
      </w:r>
      <w:r>
        <w:rPr>
          <w:highlight w:val="none"/>
        </w:rPr>
      </w:r>
    </w:p>
    <w:p>
      <w:pPr>
        <w:pStyle w:val="1168"/>
        <w:spacing w:line="360" w:lineRule="auto"/>
        <w:rPr>
          <w:b/>
          <w:color w:val="000000"/>
          <w:sz w:val="28"/>
          <w:szCs w:val="28"/>
          <w:highlight w:val="none"/>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rPr>
          <w:highlight w:val="none"/>
        </w:rPr>
      </w:r>
    </w:p>
    <w:p>
      <w:pPr>
        <w:pStyle w:val="1168"/>
        <w:jc w:val="center"/>
        <w:spacing w:line="440" w:lineRule="exact"/>
        <w:rPr>
          <w:b/>
          <w:color w:val="000000"/>
          <w:sz w:val="28"/>
          <w:szCs w:val="28"/>
          <w:highlight w:val="none"/>
        </w:rPr>
        <w:outlineLvl w:val="0"/>
      </w:pPr>
      <w:r>
        <w:rPr>
          <w:highlight w:val="none"/>
        </w:rPr>
      </w:r>
      <w:bookmarkStart w:id="279" w:name="_Toc3382"/>
      <w:r>
        <w:rPr>
          <w:b/>
          <w:color w:val="000000"/>
          <w:sz w:val="28"/>
          <w:szCs w:val="28"/>
          <w:highlight w:val="none"/>
        </w:rPr>
        <w:t xml:space="preserve">第六章 投标文件格式及附件</w:t>
      </w:r>
      <w:bookmarkEnd w:id="263"/>
      <w:r>
        <w:rPr>
          <w:highlight w:val="none"/>
        </w:rPr>
      </w:r>
      <w:bookmarkEnd w:id="264"/>
      <w:r>
        <w:rPr>
          <w:highlight w:val="none"/>
        </w:rPr>
      </w:r>
      <w:bookmarkEnd w:id="265"/>
      <w:r>
        <w:rPr>
          <w:highlight w:val="none"/>
        </w:rPr>
      </w:r>
      <w:bookmarkEnd w:id="279"/>
      <w:r>
        <w:rPr>
          <w:b/>
          <w:color w:val="000000"/>
          <w:sz w:val="28"/>
          <w:szCs w:val="28"/>
          <w:highlight w:val="none"/>
        </w:rPr>
      </w:r>
      <w:r>
        <w:rPr>
          <w:highlight w:val="none"/>
        </w:rPr>
      </w:r>
    </w:p>
    <w:p>
      <w:pPr>
        <w:pStyle w:val="1168"/>
        <w:spacing w:line="360" w:lineRule="auto"/>
        <w:rPr>
          <w:b/>
          <w:bCs/>
          <w:color w:val="000000"/>
          <w:szCs w:val="21"/>
          <w:highlight w:val="none"/>
        </w:rPr>
      </w:pPr>
      <w:r>
        <w:rPr>
          <w:highlight w:val="none"/>
        </w:rPr>
      </w:r>
      <w:bookmarkStart w:id="280" w:name="_Toc29373"/>
      <w:r>
        <w:rPr>
          <w:highlight w:val="none"/>
        </w:rPr>
      </w:r>
      <w:bookmarkStart w:id="281" w:name="_Toc4696427"/>
      <w:r>
        <w:rPr>
          <w:highlight w:val="none"/>
        </w:rPr>
      </w:r>
      <w:bookmarkStart w:id="282" w:name="_Toc496780634"/>
      <w:r>
        <w:rPr>
          <w:b/>
          <w:bCs/>
          <w:color w:val="000000"/>
          <w:szCs w:val="21"/>
          <w:highlight w:val="none"/>
        </w:rPr>
        <w:t xml:space="preserve">注：</w:t>
      </w:r>
      <w:r>
        <w:rPr>
          <w:b/>
          <w:bCs/>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1.本部分内容仅提供格式参考。 </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2.供应商应按照以下文件的要求格式、内容制作投标文件，并编制目录及页码，混乱的编排导致投标文件被误读或查找不到，后果由供应商承担。 </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3.所附表格中要求回答的全部问题和信息都必须正面回答。 </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4.供应商提交的材料不予退还。 </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5.全部文件应按投标人须知以及前附表中规定的语言和份数提交。 </w:t>
      </w:r>
      <w:r>
        <w:rPr>
          <w:color w:val="000000"/>
          <w:szCs w:val="21"/>
          <w:highlight w:val="none"/>
        </w:rPr>
      </w:r>
      <w:r>
        <w:rPr>
          <w:highlight w:val="none"/>
        </w:rPr>
      </w:r>
    </w:p>
    <w:p>
      <w:pPr>
        <w:pStyle w:val="1168"/>
        <w:jc w:val="left"/>
        <w:spacing w:line="440" w:lineRule="exact"/>
        <w:rPr>
          <w:color w:val="000000"/>
          <w:sz w:val="24"/>
          <w:highlight w:val="none"/>
        </w:rPr>
      </w:pPr>
      <w:r>
        <w:rPr>
          <w:color w:val="000000"/>
          <w:szCs w:val="21"/>
          <w:highlight w:val="none"/>
        </w:rPr>
        <w:t xml:space="preserve">6.投标文件应按照投标文件格式逐项填写，无相应内容可填的项应填写“无”“未测试”“没有相应指标”等明确的回答文字。</w:t>
      </w:r>
      <w:r>
        <w:rPr>
          <w:color w:val="000000"/>
          <w:sz w:val="24"/>
          <w:highlight w:val="none"/>
        </w:rPr>
      </w:r>
      <w:r>
        <w:rPr>
          <w:highlight w:val="none"/>
        </w:rPr>
      </w:r>
    </w:p>
    <w:p>
      <w:pPr>
        <w:pStyle w:val="1170"/>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rPr>
          <w:highlight w:val="none"/>
        </w:rPr>
      </w:r>
    </w:p>
    <w:p>
      <w:pPr>
        <w:pStyle w:val="1170"/>
        <w:jc w:val="center"/>
        <w:rPr>
          <w:rFonts w:ascii="Times New Roman" w:hAnsi="Times New Roman" w:eastAsia="宋体"/>
          <w:color w:val="000000"/>
          <w:szCs w:val="24"/>
          <w:highlight w:val="none"/>
        </w:rPr>
      </w:pPr>
      <w:r>
        <w:rPr>
          <w:highlight w:val="none"/>
        </w:rPr>
      </w:r>
      <w:bookmarkEnd w:id="280"/>
      <w:r>
        <w:rPr>
          <w:highlight w:val="none"/>
        </w:rPr>
      </w:r>
      <w:bookmarkEnd w:id="281"/>
      <w:r>
        <w:rPr>
          <w:highlight w:val="none"/>
        </w:rPr>
      </w:r>
      <w:bookmarkEnd w:id="282"/>
      <w:r>
        <w:rPr>
          <w:highlight w:val="none"/>
        </w:rPr>
      </w:r>
      <w:bookmarkStart w:id="283" w:name="_Toc5035"/>
      <w:r>
        <w:rPr>
          <w:highlight w:val="none"/>
        </w:rPr>
      </w:r>
      <w:bookmarkStart w:id="284" w:name="_Toc18876"/>
      <w:r>
        <w:rPr>
          <w:highlight w:val="none"/>
        </w:rPr>
      </w:r>
      <w:bookmarkStart w:id="285" w:name="_Toc4696428"/>
      <w:r>
        <w:rPr>
          <w:rFonts w:ascii="Times New Roman" w:hAnsi="Times New Roman" w:eastAsia="宋体"/>
          <w:color w:val="000000"/>
          <w:szCs w:val="24"/>
          <w:highlight w:val="none"/>
        </w:rPr>
        <w:t xml:space="preserve">资格审查索引表</w:t>
      </w:r>
      <w:bookmarkEnd w:id="283"/>
      <w:r>
        <w:rPr>
          <w:highlight w:val="none"/>
        </w:rPr>
      </w:r>
      <w:bookmarkEnd w:id="284"/>
      <w:r>
        <w:rPr>
          <w:rFonts w:ascii="Times New Roman" w:hAnsi="Times New Roman" w:eastAsia="宋体"/>
          <w:color w:val="000000"/>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tc>
          <w:tcPr>
            <w:gridSpan w:val="2"/>
            <w:tcW w:w="1726" w:type="dxa"/>
            <w:vAlign w:val="center"/>
            <w:textDirection w:val="lrTb"/>
            <w:noWrap w:val="false"/>
          </w:tcPr>
          <w:p>
            <w:pPr>
              <w:pStyle w:val="1168"/>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rPr>
                <w:highlight w:val="none"/>
              </w:rPr>
            </w:r>
          </w:p>
        </w:tc>
        <w:tc>
          <w:tcPr>
            <w:tcW w:w="6604" w:type="dxa"/>
            <w:vAlign w:val="top"/>
            <w:textDirection w:val="lrTb"/>
            <w:noWrap w:val="false"/>
          </w:tcPr>
          <w:p>
            <w:pPr>
              <w:pStyle w:val="1168"/>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rPr>
                <w:highlight w:val="none"/>
              </w:rPr>
            </w:r>
          </w:p>
        </w:tc>
        <w:tc>
          <w:tcPr>
            <w:tcW w:w="1524" w:type="dxa"/>
            <w:vAlign w:val="top"/>
            <w:textDirection w:val="lrTb"/>
            <w:noWrap w:val="false"/>
          </w:tcPr>
          <w:p>
            <w:pPr>
              <w:pStyle w:val="1168"/>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rPr>
                <w:highlight w:val="none"/>
              </w:rPr>
            </w:r>
          </w:p>
        </w:tc>
      </w:tr>
      <w:tr>
        <w:trPr/>
        <w:tc>
          <w:tcPr>
            <w:tcW w:w="422" w:type="dxa"/>
            <w:vAlign w:val="center"/>
            <w:textDirection w:val="lrTb"/>
            <w:noWrap w:val="false"/>
          </w:tcPr>
          <w:p>
            <w:pPr>
              <w:pStyle w:val="1168"/>
              <w:spacing w:line="360" w:lineRule="auto"/>
              <w:widowControl/>
              <w:rPr>
                <w:color w:val="000000"/>
                <w:sz w:val="24"/>
                <w:szCs w:val="24"/>
                <w:highlight w:val="none"/>
              </w:rPr>
            </w:pPr>
            <w:r>
              <w:rPr>
                <w:color w:val="000000"/>
                <w:sz w:val="24"/>
                <w:szCs w:val="24"/>
                <w:highlight w:val="none"/>
              </w:rPr>
            </w:r>
            <w:r>
              <w:rPr>
                <w:highlight w:val="none"/>
              </w:rPr>
            </w:r>
          </w:p>
        </w:tc>
        <w:tc>
          <w:tcPr>
            <w:tcW w:w="1304" w:type="dxa"/>
            <w:vAlign w:val="center"/>
            <w:textDirection w:val="lrTb"/>
            <w:noWrap w:val="false"/>
          </w:tcPr>
          <w:p>
            <w:pPr>
              <w:pStyle w:val="1168"/>
              <w:spacing w:line="360" w:lineRule="auto"/>
              <w:widowControl/>
              <w:rPr>
                <w:color w:val="000000"/>
                <w:sz w:val="24"/>
                <w:szCs w:val="24"/>
                <w:highlight w:val="none"/>
              </w:rPr>
            </w:pPr>
            <w:r>
              <w:rPr>
                <w:color w:val="000000"/>
                <w:sz w:val="24"/>
                <w:szCs w:val="24"/>
                <w:highlight w:val="none"/>
              </w:rPr>
            </w:r>
            <w:r>
              <w:rPr>
                <w:highlight w:val="none"/>
              </w:rPr>
            </w:r>
          </w:p>
        </w:tc>
        <w:tc>
          <w:tcPr>
            <w:tcW w:w="66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524" w:type="dxa"/>
            <w:vAlign w:val="top"/>
            <w:textDirection w:val="lrTb"/>
            <w:noWrap w:val="false"/>
          </w:tcPr>
          <w:p>
            <w:pPr>
              <w:pStyle w:val="1168"/>
              <w:ind w:left="613"/>
              <w:spacing w:line="360" w:lineRule="auto"/>
              <w:widowControl/>
              <w:tabs>
                <w:tab w:val="left" w:pos="403" w:leader="none"/>
              </w:tabs>
              <w:rPr>
                <w:color w:val="000000"/>
                <w:sz w:val="24"/>
                <w:szCs w:val="24"/>
                <w:highlight w:val="none"/>
              </w:rPr>
            </w:pPr>
            <w:r>
              <w:rPr>
                <w:color w:val="000000"/>
                <w:sz w:val="24"/>
                <w:szCs w:val="24"/>
                <w:highlight w:val="none"/>
              </w:rPr>
            </w:r>
            <w:r>
              <w:rPr>
                <w:highlight w:val="none"/>
              </w:rPr>
            </w:r>
          </w:p>
        </w:tc>
      </w:tr>
      <w:tr>
        <w:trPr>
          <w:trHeight w:val="611"/>
        </w:trPr>
        <w:tc>
          <w:tcPr>
            <w:tcW w:w="422"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3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66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524" w:type="dxa"/>
            <w:vAlign w:val="top"/>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r>
      <w:tr>
        <w:trPr>
          <w:trHeight w:val="651"/>
        </w:trPr>
        <w:tc>
          <w:tcPr>
            <w:tcW w:w="422"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3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66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524" w:type="dxa"/>
            <w:vAlign w:val="top"/>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r>
      <w:tr>
        <w:trPr>
          <w:trHeight w:val="651"/>
        </w:trPr>
        <w:tc>
          <w:tcPr>
            <w:tcW w:w="422"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3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66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524" w:type="dxa"/>
            <w:vAlign w:val="top"/>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r>
      <w:tr>
        <w:trPr>
          <w:trHeight w:val="511"/>
        </w:trPr>
        <w:tc>
          <w:tcPr>
            <w:tcW w:w="422"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3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6604" w:type="dxa"/>
            <w:vAlign w:val="center"/>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c>
          <w:tcPr>
            <w:tcW w:w="1524" w:type="dxa"/>
            <w:vAlign w:val="top"/>
            <w:textDirection w:val="lrTb"/>
            <w:noWrap w:val="false"/>
          </w:tcPr>
          <w:p>
            <w:pPr>
              <w:pStyle w:val="1168"/>
              <w:spacing w:line="360" w:lineRule="auto"/>
              <w:rPr>
                <w:color w:val="000000"/>
                <w:sz w:val="24"/>
                <w:szCs w:val="24"/>
                <w:highlight w:val="none"/>
              </w:rPr>
            </w:pPr>
            <w:r>
              <w:rPr>
                <w:color w:val="000000"/>
                <w:sz w:val="24"/>
                <w:szCs w:val="24"/>
                <w:highlight w:val="none"/>
              </w:rPr>
            </w:r>
            <w:r>
              <w:rPr>
                <w:highlight w:val="none"/>
              </w:rPr>
            </w:r>
          </w:p>
        </w:tc>
      </w:tr>
    </w:tbl>
    <w:p>
      <w:pPr>
        <w:pStyle w:val="116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rPr>
          <w:highlight w:val="none"/>
        </w:rPr>
      </w:r>
    </w:p>
    <w:p>
      <w:pPr>
        <w:pStyle w:val="1170"/>
        <w:jc w:val="center"/>
        <w:rPr>
          <w:rFonts w:ascii="Times New Roman" w:hAnsi="Times New Roman" w:eastAsia="宋体"/>
          <w:color w:val="000000"/>
          <w:szCs w:val="24"/>
          <w:highlight w:val="none"/>
        </w:rPr>
      </w:pPr>
      <w:r>
        <w:rPr>
          <w:highlight w:val="none"/>
        </w:rPr>
      </w:r>
      <w:bookmarkStart w:id="286" w:name="_Toc15249"/>
      <w:r>
        <w:rPr>
          <w:highlight w:val="none"/>
        </w:rPr>
      </w:r>
      <w:bookmarkStart w:id="287" w:name="_Toc25274"/>
      <w:r>
        <w:rPr>
          <w:rFonts w:ascii="Times New Roman" w:hAnsi="Times New Roman" w:eastAsia="宋体"/>
          <w:color w:val="000000"/>
          <w:szCs w:val="24"/>
          <w:highlight w:val="none"/>
        </w:rPr>
        <w:t xml:space="preserve">评审索引表</w:t>
      </w:r>
      <w:bookmarkEnd w:id="286"/>
      <w:r>
        <w:rPr>
          <w:highlight w:val="none"/>
        </w:rPr>
      </w:r>
      <w:bookmarkEnd w:id="287"/>
      <w:r>
        <w:rPr>
          <w:rFonts w:ascii="Times New Roman" w:hAnsi="Times New Roman" w:eastAsia="宋体"/>
          <w:color w:val="000000"/>
          <w:szCs w:val="24"/>
          <w:highlight w:val="none"/>
        </w:rPr>
      </w:r>
      <w:r>
        <w:rPr>
          <w:highlight w:val="none"/>
        </w:rP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rPr>
                <w:highlight w:val="none"/>
              </w:rPr>
            </w:r>
          </w:p>
        </w:tc>
        <w:tc>
          <w:tcPr>
            <w:tcW w:w="6872"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75"/>
        </w:trPr>
        <w:tc>
          <w:tcPr>
            <w:tcW w:w="766"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widowControl/>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168"/>
              <w:spacing w:line="360" w:lineRule="auto"/>
              <w:rPr>
                <w:color w:val="000000"/>
                <w:szCs w:val="21"/>
                <w:highlight w:val="none"/>
              </w:rPr>
            </w:pPr>
            <w:r>
              <w:rPr>
                <w:color w:val="000000"/>
                <w:szCs w:val="21"/>
                <w:highlight w:val="none"/>
              </w:rPr>
            </w:r>
            <w:r>
              <w:rPr>
                <w:highlight w:val="none"/>
              </w:rPr>
            </w:r>
          </w:p>
        </w:tc>
        <w:tc>
          <w:tcPr>
            <w:tcW w:w="1164" w:type="dxa"/>
            <w:vAlign w:val="center"/>
            <w:textDirection w:val="lrTb"/>
            <w:noWrap w:val="false"/>
          </w:tcPr>
          <w:p>
            <w:pPr>
              <w:pStyle w:val="1168"/>
              <w:jc w:val="center"/>
              <w:spacing w:line="360" w:lineRule="auto"/>
              <w:widowControl/>
              <w:rPr>
                <w:color w:val="000000"/>
                <w:szCs w:val="21"/>
                <w:highlight w:val="none"/>
              </w:rPr>
            </w:pPr>
            <w:r>
              <w:rPr>
                <w:color w:val="000000"/>
                <w:szCs w:val="21"/>
                <w:highlight w:val="none"/>
              </w:rPr>
            </w:r>
            <w:r>
              <w:rPr>
                <w:highlight w:val="none"/>
              </w:rPr>
            </w:r>
          </w:p>
        </w:tc>
      </w:tr>
      <w:tr>
        <w:trPr>
          <w:trHeight w:val="580"/>
        </w:trPr>
        <w:tc>
          <w:tcPr>
            <w:tcW w:w="766" w:type="dxa"/>
            <w:vAlign w:val="center"/>
            <w:textDirection w:val="lrTb"/>
            <w:noWrap w:val="false"/>
          </w:tcPr>
          <w:p>
            <w:pPr>
              <w:pStyle w:val="1168"/>
              <w:ind w:right="211"/>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215"/>
              <w:ind w:firstLine="0"/>
              <w:rPr>
                <w:rFonts w:ascii="Times New Roman"/>
                <w:color w:val="000000"/>
                <w:highlight w:val="none"/>
              </w:rPr>
            </w:pPr>
            <w:r>
              <w:rPr>
                <w:rFonts w:ascii="Times New Roman"/>
                <w:color w:val="000000"/>
                <w:highlight w:val="none"/>
              </w:rPr>
            </w:r>
            <w:r>
              <w:rPr>
                <w:highlight w:val="none"/>
              </w:rPr>
            </w:r>
          </w:p>
        </w:tc>
        <w:tc>
          <w:tcPr>
            <w:tcW w:w="1164" w:type="dxa"/>
            <w:vAlign w:val="center"/>
            <w:textDirection w:val="lrTb"/>
            <w:noWrap w:val="false"/>
          </w:tcPr>
          <w:p>
            <w:pPr>
              <w:pStyle w:val="1168"/>
              <w:jc w:val="center"/>
              <w:spacing w:line="360" w:lineRule="auto"/>
              <w:rPr>
                <w:color w:val="000000"/>
                <w:szCs w:val="21"/>
                <w:highlight w:val="none"/>
              </w:rPr>
            </w:pPr>
            <w:r>
              <w:rPr>
                <w:color w:val="000000"/>
                <w:szCs w:val="21"/>
                <w:highlight w:val="none"/>
              </w:rPr>
            </w:r>
            <w:r>
              <w:rPr>
                <w:highlight w:val="none"/>
              </w:rPr>
            </w:r>
          </w:p>
        </w:tc>
      </w:tr>
      <w:tr>
        <w:trPr>
          <w:trHeight w:val="580"/>
        </w:trPr>
        <w:tc>
          <w:tcPr>
            <w:tcW w:w="766" w:type="dxa"/>
            <w:vAlign w:val="center"/>
            <w:textDirection w:val="lrTb"/>
            <w:noWrap w:val="false"/>
          </w:tcPr>
          <w:p>
            <w:pPr>
              <w:pStyle w:val="1168"/>
              <w:ind w:right="211"/>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215"/>
              <w:ind w:firstLine="0"/>
              <w:rPr>
                <w:rFonts w:ascii="Times New Roman"/>
                <w:color w:val="000000"/>
                <w:highlight w:val="none"/>
              </w:rPr>
            </w:pPr>
            <w:r>
              <w:rPr>
                <w:rFonts w:ascii="Times New Roman"/>
                <w:color w:val="000000"/>
                <w:highlight w:val="none"/>
              </w:rPr>
            </w:r>
            <w:r>
              <w:rPr>
                <w:highlight w:val="none"/>
              </w:rPr>
            </w:r>
          </w:p>
        </w:tc>
        <w:tc>
          <w:tcPr>
            <w:tcW w:w="1164" w:type="dxa"/>
            <w:vAlign w:val="center"/>
            <w:textDirection w:val="lrTb"/>
            <w:noWrap w:val="false"/>
          </w:tcPr>
          <w:p>
            <w:pPr>
              <w:pStyle w:val="1168"/>
              <w:jc w:val="center"/>
              <w:spacing w:line="360" w:lineRule="auto"/>
              <w:rPr>
                <w:color w:val="000000"/>
                <w:szCs w:val="21"/>
                <w:highlight w:val="none"/>
              </w:rPr>
            </w:pPr>
            <w:r>
              <w:rPr>
                <w:color w:val="000000"/>
                <w:szCs w:val="21"/>
                <w:highlight w:val="none"/>
              </w:rPr>
            </w:r>
            <w:r>
              <w:rPr>
                <w:highlight w:val="none"/>
              </w:rPr>
            </w:r>
          </w:p>
        </w:tc>
      </w:tr>
      <w:tr>
        <w:trPr>
          <w:trHeight w:val="580"/>
        </w:trPr>
        <w:tc>
          <w:tcPr>
            <w:tcW w:w="766" w:type="dxa"/>
            <w:vAlign w:val="center"/>
            <w:textDirection w:val="lrTb"/>
            <w:noWrap w:val="false"/>
          </w:tcPr>
          <w:p>
            <w:pPr>
              <w:pStyle w:val="1168"/>
              <w:ind w:right="211"/>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215"/>
              <w:ind w:firstLine="0"/>
              <w:rPr>
                <w:rFonts w:ascii="Times New Roman"/>
                <w:color w:val="000000"/>
                <w:highlight w:val="none"/>
              </w:rPr>
            </w:pPr>
            <w:r>
              <w:rPr>
                <w:rFonts w:ascii="Times New Roman"/>
                <w:color w:val="000000"/>
                <w:highlight w:val="none"/>
              </w:rPr>
            </w:r>
            <w:r>
              <w:rPr>
                <w:highlight w:val="none"/>
              </w:rPr>
            </w:r>
          </w:p>
        </w:tc>
        <w:tc>
          <w:tcPr>
            <w:tcW w:w="1164" w:type="dxa"/>
            <w:vAlign w:val="center"/>
            <w:textDirection w:val="lrTb"/>
            <w:noWrap w:val="false"/>
          </w:tcPr>
          <w:p>
            <w:pPr>
              <w:pStyle w:val="1168"/>
              <w:jc w:val="center"/>
              <w:spacing w:line="360" w:lineRule="auto"/>
              <w:rPr>
                <w:color w:val="000000"/>
                <w:szCs w:val="21"/>
                <w:highlight w:val="none"/>
              </w:rPr>
            </w:pPr>
            <w:r>
              <w:rPr>
                <w:color w:val="000000"/>
                <w:szCs w:val="21"/>
                <w:highlight w:val="none"/>
              </w:rPr>
            </w:r>
            <w:r>
              <w:rPr>
                <w:highlight w:val="none"/>
              </w:rPr>
            </w:r>
          </w:p>
        </w:tc>
      </w:tr>
      <w:tr>
        <w:trPr>
          <w:trHeight w:val="580"/>
        </w:trPr>
        <w:tc>
          <w:tcPr>
            <w:tcW w:w="766" w:type="dxa"/>
            <w:vAlign w:val="center"/>
            <w:textDirection w:val="lrTb"/>
            <w:noWrap w:val="false"/>
          </w:tcPr>
          <w:p>
            <w:pPr>
              <w:pStyle w:val="1168"/>
              <w:ind w:right="211"/>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215"/>
              <w:ind w:firstLine="0"/>
              <w:rPr>
                <w:rFonts w:ascii="Times New Roman"/>
                <w:color w:val="000000"/>
                <w:highlight w:val="none"/>
              </w:rPr>
            </w:pPr>
            <w:r>
              <w:rPr>
                <w:rFonts w:ascii="Times New Roman"/>
                <w:color w:val="000000"/>
                <w:highlight w:val="none"/>
              </w:rPr>
            </w:r>
            <w:r>
              <w:rPr>
                <w:highlight w:val="none"/>
              </w:rPr>
            </w:r>
          </w:p>
        </w:tc>
        <w:tc>
          <w:tcPr>
            <w:tcW w:w="1164" w:type="dxa"/>
            <w:vAlign w:val="center"/>
            <w:textDirection w:val="lrTb"/>
            <w:noWrap w:val="false"/>
          </w:tcPr>
          <w:p>
            <w:pPr>
              <w:pStyle w:val="1168"/>
              <w:jc w:val="center"/>
              <w:spacing w:line="360" w:lineRule="auto"/>
              <w:rPr>
                <w:color w:val="000000"/>
                <w:szCs w:val="21"/>
                <w:highlight w:val="none"/>
              </w:rPr>
            </w:pPr>
            <w:r>
              <w:rPr>
                <w:color w:val="000000"/>
                <w:szCs w:val="21"/>
                <w:highlight w:val="none"/>
              </w:rPr>
            </w:r>
            <w:r>
              <w:rPr>
                <w:highlight w:val="none"/>
              </w:rPr>
            </w:r>
          </w:p>
        </w:tc>
      </w:tr>
      <w:tr>
        <w:trPr>
          <w:trHeight w:val="580"/>
        </w:trPr>
        <w:tc>
          <w:tcPr>
            <w:tcW w:w="766" w:type="dxa"/>
            <w:vAlign w:val="center"/>
            <w:textDirection w:val="lrTb"/>
            <w:noWrap w:val="false"/>
          </w:tcPr>
          <w:p>
            <w:pPr>
              <w:pStyle w:val="1168"/>
              <w:ind w:right="211"/>
              <w:jc w:val="center"/>
              <w:spacing w:line="360" w:lineRule="auto"/>
              <w:widowControl/>
              <w:rPr>
                <w:b/>
                <w:color w:val="000000"/>
                <w:szCs w:val="21"/>
                <w:highlight w:val="none"/>
              </w:rPr>
            </w:pPr>
            <w:r>
              <w:rPr>
                <w:b/>
                <w:color w:val="000000"/>
                <w:szCs w:val="21"/>
                <w:highlight w:val="none"/>
              </w:rPr>
            </w:r>
            <w:r>
              <w:rPr>
                <w:highlight w:val="none"/>
              </w:rPr>
            </w:r>
          </w:p>
        </w:tc>
        <w:tc>
          <w:tcPr>
            <w:tcW w:w="1539" w:type="dxa"/>
            <w:vAlign w:val="center"/>
            <w:textDirection w:val="lrTb"/>
            <w:noWrap w:val="false"/>
          </w:tcPr>
          <w:p>
            <w:pPr>
              <w:pStyle w:val="1168"/>
              <w:jc w:val="center"/>
              <w:spacing w:line="360" w:lineRule="auto"/>
              <w:rPr>
                <w:b/>
                <w:color w:val="000000"/>
                <w:szCs w:val="21"/>
                <w:highlight w:val="none"/>
              </w:rPr>
            </w:pPr>
            <w:r>
              <w:rPr>
                <w:b/>
                <w:color w:val="000000"/>
                <w:szCs w:val="21"/>
                <w:highlight w:val="none"/>
              </w:rPr>
            </w:r>
            <w:r>
              <w:rPr>
                <w:highlight w:val="none"/>
              </w:rPr>
            </w:r>
          </w:p>
        </w:tc>
        <w:tc>
          <w:tcPr>
            <w:tcW w:w="6872" w:type="dxa"/>
            <w:vAlign w:val="center"/>
            <w:textDirection w:val="lrTb"/>
            <w:noWrap w:val="false"/>
          </w:tcPr>
          <w:p>
            <w:pPr>
              <w:pStyle w:val="1215"/>
              <w:ind w:firstLine="0"/>
              <w:rPr>
                <w:rFonts w:ascii="Times New Roman"/>
                <w:color w:val="000000"/>
                <w:highlight w:val="none"/>
              </w:rPr>
            </w:pPr>
            <w:r>
              <w:rPr>
                <w:rFonts w:ascii="Times New Roman"/>
                <w:color w:val="000000"/>
                <w:highlight w:val="none"/>
              </w:rPr>
            </w:r>
            <w:r>
              <w:rPr>
                <w:highlight w:val="none"/>
              </w:rPr>
            </w:r>
          </w:p>
        </w:tc>
        <w:tc>
          <w:tcPr>
            <w:tcW w:w="1164" w:type="dxa"/>
            <w:vAlign w:val="center"/>
            <w:textDirection w:val="lrTb"/>
            <w:noWrap w:val="false"/>
          </w:tcPr>
          <w:p>
            <w:pPr>
              <w:pStyle w:val="1168"/>
              <w:jc w:val="center"/>
              <w:spacing w:line="360" w:lineRule="auto"/>
              <w:rPr>
                <w:color w:val="000000"/>
                <w:szCs w:val="21"/>
                <w:highlight w:val="none"/>
              </w:rPr>
            </w:pPr>
            <w:r>
              <w:rPr>
                <w:color w:val="000000"/>
                <w:szCs w:val="21"/>
                <w:highlight w:val="none"/>
              </w:rPr>
            </w:r>
            <w:r>
              <w:rPr>
                <w:highlight w:val="none"/>
              </w:rPr>
            </w:r>
          </w:p>
        </w:tc>
      </w:tr>
    </w:tbl>
    <w:p>
      <w:pPr>
        <w:pStyle w:val="1168"/>
        <w:spacing w:line="440" w:lineRule="exact"/>
        <w:rPr>
          <w:color w:val="000000"/>
          <w:szCs w:val="24"/>
          <w:highlight w:val="none"/>
        </w:rPr>
      </w:pPr>
      <w:r>
        <w:rPr>
          <w:color w:val="000000"/>
          <w:szCs w:val="24"/>
          <w:highlight w:val="none"/>
        </w:rPr>
        <w:br w:type="textWrapping" w:clear="all"/>
      </w:r>
      <w:r>
        <w:rPr>
          <w:color w:val="000000"/>
          <w:szCs w:val="24"/>
          <w:highlight w:val="none"/>
        </w:rPr>
      </w:r>
      <w:r>
        <w:rPr>
          <w:highlight w:val="none"/>
        </w:rPr>
      </w:r>
    </w:p>
    <w:p>
      <w:pPr>
        <w:pStyle w:val="1168"/>
        <w:spacing w:line="440" w:lineRule="exact"/>
        <w:rPr>
          <w:b/>
          <w:bCs/>
          <w:color w:val="000000"/>
          <w:sz w:val="24"/>
          <w:highlight w:val="none"/>
        </w:rPr>
        <w:outlineLvl w:val="1"/>
      </w:pPr>
      <w:r>
        <w:rPr>
          <w:color w:val="000000"/>
          <w:szCs w:val="24"/>
          <w:highlight w:val="none"/>
        </w:rPr>
        <w:br w:type="page" w:clear="all"/>
      </w:r>
      <w:bookmarkStart w:id="288" w:name="_Toc16960"/>
      <w:r>
        <w:rPr>
          <w:b/>
          <w:bCs/>
          <w:color w:val="000000"/>
          <w:sz w:val="24"/>
          <w:highlight w:val="none"/>
        </w:rPr>
        <w:t xml:space="preserve">附件一 投标函格式</w:t>
      </w:r>
      <w:bookmarkEnd w:id="285"/>
      <w:r>
        <w:rPr>
          <w:highlight w:val="none"/>
        </w:rPr>
      </w:r>
      <w:bookmarkEnd w:id="288"/>
      <w:r>
        <w:rPr>
          <w:b/>
          <w:bCs/>
          <w:color w:val="000000"/>
          <w:sz w:val="24"/>
          <w:highlight w:val="none"/>
        </w:rPr>
      </w:r>
      <w:r>
        <w:rPr>
          <w:highlight w:val="none"/>
        </w:rPr>
      </w:r>
    </w:p>
    <w:p>
      <w:pPr>
        <w:pStyle w:val="1168"/>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rPr>
          <w:highlight w:val="none"/>
        </w:rPr>
      </w:r>
    </w:p>
    <w:p>
      <w:pPr>
        <w:pStyle w:val="1168"/>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rPr>
          <w:highlight w:val="none"/>
        </w:rPr>
      </w:r>
    </w:p>
    <w:p>
      <w:pPr>
        <w:pStyle w:val="1168"/>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7．其它说明：</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rPr>
          <w:highlight w:val="none"/>
        </w:rPr>
      </w:r>
    </w:p>
    <w:p>
      <w:pPr>
        <w:pStyle w:val="1168"/>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rPr>
          <w:highlight w:val="none"/>
        </w:rPr>
      </w:r>
    </w:p>
    <w:p>
      <w:pPr>
        <w:pStyle w:val="1168"/>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rPr>
          <w:highlight w:val="none"/>
        </w:rPr>
      </w:r>
    </w:p>
    <w:p>
      <w:pPr>
        <w:pStyle w:val="1168"/>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rPr>
          <w:highlight w:val="none"/>
        </w:rPr>
      </w:r>
    </w:p>
    <w:p>
      <w:pPr>
        <w:pStyle w:val="1168"/>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rPr>
          <w:highlight w:val="none"/>
        </w:rPr>
      </w:r>
    </w:p>
    <w:p>
      <w:pPr>
        <w:pStyle w:val="116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rPr>
          <w:highlight w:val="none"/>
        </w:rPr>
      </w:r>
    </w:p>
    <w:p>
      <w:pPr>
        <w:pStyle w:val="1168"/>
        <w:spacing w:line="440" w:lineRule="exact"/>
        <w:rPr>
          <w:b/>
          <w:bCs/>
          <w:color w:val="000000"/>
          <w:sz w:val="24"/>
          <w:szCs w:val="22"/>
          <w:highlight w:val="none"/>
        </w:rPr>
        <w:outlineLvl w:val="1"/>
      </w:pPr>
      <w:r>
        <w:rPr>
          <w:highlight w:val="none"/>
        </w:rPr>
      </w:r>
      <w:bookmarkStart w:id="289" w:name="_Toc4696429"/>
      <w:r>
        <w:rPr>
          <w:highlight w:val="none"/>
        </w:rPr>
      </w:r>
      <w:bookmarkStart w:id="290" w:name="_Toc8603"/>
      <w:r>
        <w:rPr>
          <w:b/>
          <w:bCs/>
          <w:color w:val="000000"/>
          <w:sz w:val="24"/>
          <w:szCs w:val="22"/>
          <w:highlight w:val="none"/>
        </w:rPr>
        <w:t xml:space="preserve">附件二 开标一览表</w:t>
      </w:r>
      <w:bookmarkEnd w:id="289"/>
      <w:r>
        <w:rPr>
          <w:highlight w:val="none"/>
        </w:rPr>
      </w:r>
      <w:bookmarkEnd w:id="290"/>
      <w:r>
        <w:rPr>
          <w:b/>
          <w:bCs/>
          <w:color w:val="000000"/>
          <w:sz w:val="24"/>
          <w:szCs w:val="22"/>
          <w:highlight w:val="none"/>
        </w:rPr>
      </w:r>
      <w:r>
        <w:rPr>
          <w:highlight w:val="none"/>
        </w:rPr>
      </w:r>
    </w:p>
    <w:p>
      <w:pPr>
        <w:pStyle w:val="1168"/>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rPr>
          <w:highlight w:val="none"/>
        </w:rPr>
      </w:r>
    </w:p>
    <w:p>
      <w:pPr>
        <w:pStyle w:val="1168"/>
        <w:spacing w:line="440" w:lineRule="exact"/>
        <w:rPr>
          <w:color w:val="000000"/>
          <w:highlight w:val="none"/>
        </w:rPr>
      </w:pPr>
      <w:r>
        <w:rPr>
          <w:color w:val="000000"/>
          <w:highlight w:val="none"/>
        </w:rPr>
      </w:r>
      <w:r>
        <w:rPr>
          <w:highlight w:val="none"/>
        </w:rPr>
      </w:r>
    </w:p>
    <w:p>
      <w:pPr>
        <w:pStyle w:val="1168"/>
        <w:spacing w:after="156" w:line="440" w:lineRule="exact"/>
        <w:rPr>
          <w:color w:val="000000"/>
          <w:szCs w:val="21"/>
          <w:highlight w:val="none"/>
        </w:rPr>
      </w:pPr>
      <w:r>
        <w:rPr>
          <w:color w:val="000000"/>
          <w:szCs w:val="21"/>
          <w:highlight w:val="none"/>
        </w:rPr>
        <w:t xml:space="preserve">招标编号：JSZC-320000-SMDY-G2026-0020（2640SUMEC/ZWHD2049）                               </w:t>
      </w:r>
      <w:r>
        <w:rPr>
          <w:color w:val="000000"/>
          <w:szCs w:val="21"/>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68"/>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rPr>
                <w:highlight w:val="none"/>
              </w:rPr>
            </w:r>
          </w:p>
        </w:tc>
        <w:tc>
          <w:tcPr>
            <w:tcW w:w="6898" w:type="dxa"/>
            <w:vAlign w:val="center"/>
            <w:textDirection w:val="lrTb"/>
            <w:noWrap w:val="false"/>
          </w:tcPr>
          <w:p>
            <w:pPr>
              <w:pStyle w:val="1168"/>
              <w:ind w:firstLine="105"/>
              <w:spacing w:line="480" w:lineRule="exact"/>
              <w:rPr>
                <w:color w:val="000000"/>
                <w:szCs w:val="21"/>
                <w:highlight w:val="none"/>
              </w:rPr>
            </w:pPr>
            <w:r>
              <w:rPr>
                <w:color w:val="000000"/>
                <w:szCs w:val="21"/>
                <w:highlight w:val="none"/>
              </w:rPr>
            </w:r>
            <w:r>
              <w:rPr>
                <w:highlight w:val="none"/>
              </w:rPr>
            </w:r>
          </w:p>
        </w:tc>
      </w:tr>
      <w:tr>
        <w:trPr>
          <w:cantSplit/>
          <w:trHeight w:val="1280"/>
        </w:trPr>
        <w:tc>
          <w:tcPr>
            <w:tcW w:w="2485" w:type="dxa"/>
            <w:vAlign w:val="center"/>
            <w:textDirection w:val="lrTb"/>
            <w:noWrap w:val="false"/>
          </w:tcPr>
          <w:p>
            <w:pPr>
              <w:pStyle w:val="1168"/>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rPr>
                <w:highlight w:val="none"/>
              </w:rPr>
            </w:r>
          </w:p>
        </w:tc>
        <w:tc>
          <w:tcPr>
            <w:tcW w:w="6898" w:type="dxa"/>
            <w:vAlign w:val="center"/>
            <w:textDirection w:val="lrTb"/>
            <w:noWrap w:val="false"/>
          </w:tcPr>
          <w:p>
            <w:pPr>
              <w:pStyle w:val="1168"/>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rPr>
                <w:highlight w:val="none"/>
              </w:rPr>
            </w:r>
          </w:p>
        </w:tc>
      </w:tr>
      <w:tr>
        <w:trPr>
          <w:cantSplit/>
          <w:trHeight w:val="615"/>
        </w:trPr>
        <w:tc>
          <w:tcPr>
            <w:tcW w:w="2485" w:type="dxa"/>
            <w:vAlign w:val="center"/>
            <w:textDirection w:val="lrTb"/>
            <w:noWrap w:val="false"/>
          </w:tcPr>
          <w:p>
            <w:pPr>
              <w:pStyle w:val="1168"/>
              <w:jc w:val="center"/>
              <w:spacing w:line="480" w:lineRule="exact"/>
              <w:rPr>
                <w:color w:val="000000"/>
                <w:szCs w:val="21"/>
                <w:highlight w:val="none"/>
              </w:rPr>
            </w:pPr>
            <w:r>
              <w:rPr>
                <w:color w:val="000000"/>
                <w:szCs w:val="21"/>
                <w:highlight w:val="none"/>
              </w:rPr>
              <w:t xml:space="preserve">所投品牌和型号</w:t>
            </w:r>
            <w:r>
              <w:rPr>
                <w:color w:val="000000"/>
                <w:szCs w:val="21"/>
                <w:highlight w:val="none"/>
              </w:rPr>
            </w:r>
            <w:r>
              <w:rPr>
                <w:highlight w:val="none"/>
              </w:rPr>
            </w:r>
          </w:p>
        </w:tc>
        <w:tc>
          <w:tcPr>
            <w:tcW w:w="6898" w:type="dxa"/>
            <w:vAlign w:val="center"/>
            <w:textDirection w:val="lrTb"/>
            <w:noWrap w:val="false"/>
          </w:tcPr>
          <w:p>
            <w:pPr>
              <w:pStyle w:val="1168"/>
              <w:spacing w:line="480" w:lineRule="exact"/>
              <w:rPr>
                <w:color w:val="000000"/>
                <w:szCs w:val="21"/>
                <w:highlight w:val="none"/>
              </w:rPr>
            </w:pPr>
            <w:r>
              <w:rPr>
                <w:color w:val="000000"/>
                <w:szCs w:val="21"/>
                <w:highlight w:val="none"/>
              </w:rPr>
            </w:r>
            <w:r>
              <w:rPr>
                <w:highlight w:val="none"/>
              </w:rPr>
            </w:r>
          </w:p>
        </w:tc>
      </w:tr>
      <w:tr>
        <w:trPr>
          <w:cantSplit/>
          <w:trHeight w:val="389"/>
        </w:trPr>
        <w:tc>
          <w:tcPr>
            <w:tcW w:w="2485" w:type="dxa"/>
            <w:vAlign w:val="center"/>
            <w:textDirection w:val="lrTb"/>
            <w:noWrap w:val="false"/>
          </w:tcPr>
          <w:p>
            <w:pPr>
              <w:pStyle w:val="1168"/>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rPr>
                <w:highlight w:val="none"/>
              </w:rPr>
            </w:r>
          </w:p>
        </w:tc>
        <w:tc>
          <w:tcPr>
            <w:tcW w:w="6898" w:type="dxa"/>
            <w:vAlign w:val="center"/>
            <w:textDirection w:val="lrTb"/>
            <w:noWrap w:val="false"/>
          </w:tcPr>
          <w:p>
            <w:pPr>
              <w:pStyle w:val="1168"/>
              <w:ind w:firstLine="105"/>
              <w:spacing w:line="480" w:lineRule="exact"/>
              <w:rPr>
                <w:color w:val="000000"/>
                <w:szCs w:val="21"/>
                <w:highlight w:val="none"/>
              </w:rPr>
            </w:pPr>
            <w:r>
              <w:rPr>
                <w:color w:val="000000"/>
                <w:szCs w:val="21"/>
                <w:highlight w:val="none"/>
              </w:rPr>
            </w:r>
            <w:r>
              <w:rPr>
                <w:highlight w:val="none"/>
              </w:rPr>
            </w:r>
          </w:p>
        </w:tc>
      </w:tr>
      <w:tr>
        <w:trPr>
          <w:cantSplit/>
          <w:trHeight w:val="389"/>
        </w:trPr>
        <w:tc>
          <w:tcPr>
            <w:tcW w:w="2485" w:type="dxa"/>
            <w:vAlign w:val="top"/>
            <w:textDirection w:val="lrTb"/>
            <w:noWrap w:val="false"/>
          </w:tcPr>
          <w:p>
            <w:pPr>
              <w:pStyle w:val="1168"/>
              <w:jc w:val="center"/>
              <w:spacing w:line="480" w:lineRule="exact"/>
              <w:rPr>
                <w:color w:val="000000"/>
                <w:highlight w:val="none"/>
              </w:rPr>
            </w:pPr>
            <w:r>
              <w:rPr>
                <w:color w:val="000000"/>
                <w:highlight w:val="none"/>
              </w:rPr>
              <w:t xml:space="preserve">是否属于小微型企业</w:t>
            </w:r>
            <w:r>
              <w:rPr>
                <w:color w:val="000000"/>
                <w:highlight w:val="none"/>
              </w:rPr>
            </w:r>
            <w:r>
              <w:rPr>
                <w:highlight w:val="none"/>
              </w:rPr>
            </w:r>
          </w:p>
        </w:tc>
        <w:tc>
          <w:tcPr>
            <w:tcW w:w="6898" w:type="dxa"/>
            <w:vAlign w:val="top"/>
            <w:textDirection w:val="lrTb"/>
            <w:noWrap w:val="false"/>
          </w:tcPr>
          <w:p>
            <w:pPr>
              <w:pStyle w:val="1177"/>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rPr>
                <w:highlight w:val="none"/>
              </w:rPr>
            </w:r>
          </w:p>
        </w:tc>
      </w:tr>
      <w:tr>
        <w:trPr>
          <w:cantSplit/>
          <w:trHeight w:val="389"/>
        </w:trPr>
        <w:tc>
          <w:tcPr>
            <w:gridSpan w:val="2"/>
            <w:tcW w:w="9383" w:type="dxa"/>
            <w:vAlign w:val="top"/>
            <w:textDirection w:val="lrTb"/>
            <w:noWrap w:val="false"/>
          </w:tcPr>
          <w:p>
            <w:pPr>
              <w:pStyle w:val="1168"/>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rPr>
                <w:highlight w:val="none"/>
              </w:rPr>
            </w:r>
          </w:p>
        </w:tc>
      </w:tr>
    </w:tbl>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highlight w:val="none"/>
        </w:rPr>
      </w:r>
      <w:bookmarkStart w:id="291" w:name="_Toc4696430"/>
      <w:r>
        <w:rPr>
          <w:b/>
          <w:bCs/>
          <w:color w:val="000000"/>
          <w:sz w:val="24"/>
          <w:szCs w:val="22"/>
          <w:highlight w:val="none"/>
        </w:rPr>
      </w:r>
      <w:r>
        <w:rPr>
          <w:highlight w:val="none"/>
        </w:rPr>
      </w:r>
    </w:p>
    <w:p>
      <w:pPr>
        <w:pStyle w:val="1168"/>
        <w:spacing w:line="440" w:lineRule="exact"/>
        <w:rPr>
          <w:b/>
          <w:bCs/>
          <w:color w:val="000000"/>
          <w:sz w:val="24"/>
          <w:szCs w:val="22"/>
          <w:highlight w:val="none"/>
        </w:rPr>
        <w:outlineLvl w:val="1"/>
      </w:pPr>
      <w:r>
        <w:rPr>
          <w:highlight w:val="none"/>
        </w:rPr>
      </w:r>
      <w:bookmarkStart w:id="292" w:name="_Toc20848"/>
      <w:r>
        <w:rPr>
          <w:b/>
          <w:bCs/>
          <w:color w:val="000000"/>
          <w:sz w:val="24"/>
          <w:szCs w:val="22"/>
          <w:highlight w:val="none"/>
        </w:rPr>
        <w:t xml:space="preserve">附件三 分项报价表</w:t>
      </w:r>
      <w:bookmarkEnd w:id="292"/>
      <w:r>
        <w:rPr>
          <w:b/>
          <w:bCs/>
          <w:color w:val="000000"/>
          <w:sz w:val="24"/>
          <w:szCs w:val="22"/>
          <w:highlight w:val="none"/>
        </w:rPr>
      </w:r>
      <w:r>
        <w:rPr>
          <w:highlight w:val="none"/>
        </w:rPr>
      </w:r>
    </w:p>
    <w:p>
      <w:pPr>
        <w:pStyle w:val="1168"/>
        <w:spacing w:line="440" w:lineRule="exact"/>
        <w:rPr>
          <w:b/>
          <w:bCs/>
          <w:color w:val="000000"/>
          <w:sz w:val="24"/>
          <w:szCs w:val="22"/>
          <w:highlight w:val="none"/>
        </w:rPr>
      </w:pPr>
      <w:r>
        <w:rPr>
          <w:b/>
          <w:bCs/>
          <w:color w:val="000000"/>
          <w:sz w:val="24"/>
          <w:szCs w:val="22"/>
          <w:highlight w:val="none"/>
        </w:rPr>
      </w:r>
      <w:r>
        <w:rPr>
          <w:highlight w:val="none"/>
        </w:rPr>
      </w:r>
    </w:p>
    <w:p>
      <w:pPr>
        <w:pStyle w:val="1168"/>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rPr>
          <w:highlight w:val="none"/>
        </w:rPr>
      </w:r>
    </w:p>
    <w:p>
      <w:pPr>
        <w:pStyle w:val="1168"/>
        <w:spacing w:line="440" w:lineRule="exact"/>
        <w:rPr>
          <w:color w:val="000000"/>
          <w:highlight w:val="none"/>
        </w:rPr>
      </w:pPr>
      <w:r>
        <w:rPr>
          <w:color w:val="000000"/>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23"/>
        <w:gridCol w:w="1020"/>
        <w:gridCol w:w="1470"/>
        <w:gridCol w:w="1487"/>
        <w:gridCol w:w="988"/>
        <w:gridCol w:w="1459"/>
        <w:gridCol w:w="1460"/>
        <w:gridCol w:w="8"/>
      </w:tblGrid>
      <w:tr>
        <w:trPr>
          <w:gridAfter w:val="1"/>
        </w:trPr>
        <w:tc>
          <w:tcPr>
            <w:tcW w:w="738"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rPr>
                <w:highlight w:val="none"/>
              </w:rPr>
            </w:r>
          </w:p>
        </w:tc>
        <w:tc>
          <w:tcPr>
            <w:tcW w:w="1223"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名称</w:t>
            </w:r>
            <w:r>
              <w:rPr>
                <w:color w:val="000000"/>
                <w:szCs w:val="21"/>
                <w:highlight w:val="none"/>
              </w:rPr>
            </w:r>
            <w:r>
              <w:rPr>
                <w:highlight w:val="none"/>
              </w:rPr>
            </w:r>
          </w:p>
        </w:tc>
        <w:tc>
          <w:tcPr>
            <w:tcW w:w="1020"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rPr>
                <w:highlight w:val="none"/>
              </w:rPr>
            </w:r>
          </w:p>
        </w:tc>
        <w:tc>
          <w:tcPr>
            <w:tcW w:w="1470"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rPr>
                <w:highlight w:val="none"/>
              </w:rPr>
            </w:r>
          </w:p>
        </w:tc>
        <w:tc>
          <w:tcPr>
            <w:tcW w:w="1487"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rPr>
                <w:highlight w:val="none"/>
              </w:rPr>
            </w:r>
          </w:p>
          <w:p>
            <w:pPr>
              <w:pStyle w:val="1168"/>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rPr>
                <w:highlight w:val="none"/>
              </w:rPr>
            </w:r>
          </w:p>
        </w:tc>
        <w:tc>
          <w:tcPr>
            <w:tcW w:w="988"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rPr>
                <w:highlight w:val="none"/>
              </w:rPr>
            </w:r>
          </w:p>
        </w:tc>
        <w:tc>
          <w:tcPr>
            <w:tcW w:w="1459"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rPr>
                <w:highlight w:val="none"/>
              </w:rPr>
            </w:r>
          </w:p>
        </w:tc>
        <w:tc>
          <w:tcPr>
            <w:tcW w:w="1460" w:type="dxa"/>
            <w:vAlign w:val="center"/>
            <w:textDirection w:val="lrTb"/>
            <w:noWrap w:val="false"/>
          </w:tcPr>
          <w:p>
            <w:pPr>
              <w:pStyle w:val="1168"/>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1</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2</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3</w:t>
            </w:r>
            <w:r>
              <w:rPr>
                <w:color w:val="000000"/>
                <w:szCs w:val="21"/>
                <w:highlight w:val="none"/>
              </w:rPr>
            </w:r>
            <w:r>
              <w:rPr>
                <w:highlight w:val="none"/>
              </w:rPr>
            </w:r>
          </w:p>
        </w:tc>
        <w:tc>
          <w:tcPr>
            <w:tcW w:w="1223" w:type="dxa"/>
            <w:vAlign w:val="top"/>
            <w:textDirection w:val="lrTb"/>
            <w:noWrap w:val="false"/>
          </w:tcPr>
          <w:p>
            <w:pPr>
              <w:pStyle w:val="1168"/>
              <w:ind w:left="-827" w:firstLine="827"/>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4</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5</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6</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7</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gridAfter w:val="1"/>
        </w:trPr>
        <w:tc>
          <w:tcPr>
            <w:tcW w:w="738"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8</w:t>
            </w:r>
            <w:r>
              <w:rPr>
                <w:color w:val="000000"/>
                <w:szCs w:val="21"/>
                <w:highlight w:val="none"/>
              </w:rPr>
            </w:r>
            <w:r>
              <w:rPr>
                <w:highlight w:val="none"/>
              </w:rPr>
            </w:r>
          </w:p>
        </w:tc>
        <w:tc>
          <w:tcPr>
            <w:tcW w:w="122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02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7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87"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988"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5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46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gridSpan w:val="4"/>
            <w:tcW w:w="4451"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rPr>
                <w:highlight w:val="none"/>
              </w:rPr>
            </w:r>
          </w:p>
        </w:tc>
        <w:tc>
          <w:tcPr>
            <w:gridSpan w:val="5"/>
            <w:tcW w:w="5402"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gridSpan w:val="9"/>
            <w:tcW w:w="9853" w:type="dxa"/>
            <w:vAlign w:val="top"/>
            <w:textDirection w:val="lrTb"/>
            <w:noWrap w:val="false"/>
          </w:tcPr>
          <w:p>
            <w:pPr>
              <w:pStyle w:val="1168"/>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rPr>
                <w:highlight w:val="none"/>
              </w:rPr>
            </w:r>
          </w:p>
        </w:tc>
      </w:tr>
    </w:tbl>
    <w:p>
      <w:pPr>
        <w:pStyle w:val="1168"/>
        <w:jc w:val="center"/>
        <w:spacing w:line="300" w:lineRule="auto"/>
        <w:rPr>
          <w:b/>
          <w:color w:val="000000"/>
          <w:szCs w:val="21"/>
          <w:highlight w:val="none"/>
        </w:rPr>
      </w:pPr>
      <w:r>
        <w:rPr>
          <w:b/>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rPr>
          <w:highlight w:val="none"/>
        </w:rPr>
      </w:r>
    </w:p>
    <w:p>
      <w:pPr>
        <w:pStyle w:val="1168"/>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rPr>
          <w:highlight w:val="none"/>
        </w:rPr>
      </w:r>
    </w:p>
    <w:p>
      <w:pPr>
        <w:pStyle w:val="1168"/>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rPr>
          <w:highlight w:val="none"/>
        </w:rPr>
      </w:r>
    </w:p>
    <w:p>
      <w:pPr>
        <w:pStyle w:val="1168"/>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rPr>
          <w:highlight w:val="none"/>
        </w:rPr>
      </w:r>
    </w:p>
    <w:p>
      <w:pPr>
        <w:pStyle w:val="1168"/>
        <w:spacing w:line="440" w:lineRule="exact"/>
        <w:rPr>
          <w:b/>
          <w:bCs/>
          <w:color w:val="000000"/>
          <w:szCs w:val="21"/>
          <w:highlight w:val="none"/>
        </w:rPr>
      </w:pPr>
      <w:r>
        <w:rPr>
          <w:b/>
          <w:bCs/>
          <w:color w:val="000000"/>
          <w:szCs w:val="21"/>
          <w:highlight w:val="none"/>
        </w:rPr>
      </w:r>
      <w:r>
        <w:rPr>
          <w:highlight w:val="none"/>
        </w:rPr>
      </w:r>
    </w:p>
    <w:p>
      <w:pPr>
        <w:pStyle w:val="1168"/>
        <w:spacing w:line="440" w:lineRule="exact"/>
        <w:rPr>
          <w:b/>
          <w:bCs/>
          <w:color w:val="000000"/>
          <w:szCs w:val="21"/>
          <w:highlight w:val="none"/>
        </w:rPr>
      </w:pPr>
      <w:r>
        <w:rPr>
          <w:b/>
          <w:bCs/>
          <w:color w:val="000000"/>
          <w:szCs w:val="21"/>
          <w:highlight w:val="none"/>
        </w:rPr>
      </w:r>
      <w:r>
        <w:rPr>
          <w:highlight w:val="none"/>
        </w:rPr>
      </w:r>
    </w:p>
    <w:p>
      <w:pPr>
        <w:pStyle w:val="1168"/>
        <w:spacing w:line="440" w:lineRule="exact"/>
        <w:rPr>
          <w:b/>
          <w:bCs/>
          <w:color w:val="000000"/>
          <w:szCs w:val="21"/>
          <w:highlight w:val="none"/>
        </w:rPr>
      </w:pPr>
      <w:r>
        <w:rPr>
          <w:b/>
          <w:bCs/>
          <w:color w:val="000000"/>
          <w:szCs w:val="21"/>
          <w:highlight w:val="none"/>
        </w:rPr>
      </w:r>
      <w:r>
        <w:rPr>
          <w:highlight w:val="none"/>
        </w:rPr>
      </w:r>
    </w:p>
    <w:p>
      <w:pPr>
        <w:pStyle w:val="1168"/>
        <w:spacing w:after="156" w:line="440" w:lineRule="exact"/>
        <w:rPr>
          <w:b/>
          <w:bCs/>
          <w:color w:val="000000"/>
          <w:sz w:val="24"/>
          <w:szCs w:val="22"/>
          <w:highlight w:val="none"/>
        </w:rPr>
        <w:outlineLvl w:val="1"/>
      </w:pPr>
      <w:r>
        <w:rPr>
          <w:highlight w:val="none"/>
        </w:rPr>
      </w:r>
      <w:bookmarkStart w:id="293" w:name="_Toc13418"/>
      <w:r>
        <w:rPr>
          <w:rFonts w:eastAsia="仿宋"/>
          <w:color w:val="000000"/>
          <w:sz w:val="28"/>
          <w:szCs w:val="28"/>
          <w:highlight w:val="none"/>
        </w:rPr>
        <w:br w:type="page" w:clear="all"/>
      </w:r>
      <w:bookmarkStart w:id="294" w:name="_Toc16689"/>
      <w:r>
        <w:rPr>
          <w:b/>
          <w:bCs/>
          <w:color w:val="000000"/>
          <w:sz w:val="24"/>
          <w:szCs w:val="22"/>
          <w:highlight w:val="none"/>
        </w:rPr>
        <w:t xml:space="preserve">附件四 </w:t>
      </w:r>
      <w:bookmarkEnd w:id="293"/>
      <w:r>
        <w:rPr>
          <w:b/>
          <w:bCs/>
          <w:color w:val="000000"/>
          <w:sz w:val="24"/>
          <w:szCs w:val="22"/>
          <w:highlight w:val="none"/>
        </w:rPr>
        <w:t xml:space="preserve">商务条款偏离表</w:t>
      </w:r>
      <w:bookmarkEnd w:id="291"/>
      <w:r>
        <w:rPr>
          <w:highlight w:val="none"/>
        </w:rPr>
      </w:r>
      <w:bookmarkEnd w:id="294"/>
      <w:r>
        <w:rPr>
          <w:b/>
          <w:bCs/>
          <w:color w:val="000000"/>
          <w:sz w:val="24"/>
          <w:szCs w:val="22"/>
          <w:highlight w:val="none"/>
        </w:rPr>
      </w:r>
      <w:r>
        <w:rPr>
          <w:highlight w:val="none"/>
        </w:rP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68"/>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rPr>
                <w:highlight w:val="none"/>
              </w:rPr>
            </w:r>
          </w:p>
        </w:tc>
        <w:tc>
          <w:tcPr>
            <w:tcW w:w="1595" w:type="dxa"/>
            <w:vAlign w:val="top"/>
            <w:textDirection w:val="lrTb"/>
            <w:noWrap w:val="false"/>
          </w:tcPr>
          <w:p>
            <w:pPr>
              <w:pStyle w:val="1168"/>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rPr>
                <w:highlight w:val="none"/>
              </w:rPr>
            </w:r>
          </w:p>
        </w:tc>
        <w:tc>
          <w:tcPr>
            <w:tcW w:w="897" w:type="dxa"/>
            <w:vAlign w:val="top"/>
            <w:textDirection w:val="lrTb"/>
            <w:noWrap w:val="false"/>
          </w:tcPr>
          <w:p>
            <w:pPr>
              <w:pStyle w:val="1168"/>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rPr>
                <w:highlight w:val="none"/>
              </w:rPr>
            </w:r>
          </w:p>
        </w:tc>
        <w:tc>
          <w:tcPr>
            <w:tcW w:w="1551" w:type="dxa"/>
            <w:vAlign w:val="top"/>
            <w:textDirection w:val="lrTb"/>
            <w:noWrap w:val="false"/>
          </w:tcPr>
          <w:p>
            <w:pPr>
              <w:pStyle w:val="1168"/>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rPr>
                <w:highlight w:val="none"/>
              </w:rPr>
            </w:r>
          </w:p>
        </w:tc>
      </w:tr>
      <w:tr>
        <w:trPr>
          <w:trHeight w:val="469"/>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rPr>
                <w:highlight w:val="none"/>
              </w:rPr>
            </w:r>
          </w:p>
        </w:tc>
        <w:tc>
          <w:tcPr>
            <w:tcW w:w="897"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r>
      <w:tr>
        <w:trPr>
          <w:trHeight w:val="719"/>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rPr>
                <w:highlight w:val="none"/>
              </w:rPr>
            </w:r>
          </w:p>
        </w:tc>
        <w:tc>
          <w:tcPr>
            <w:tcW w:w="897"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r>
      <w:tr>
        <w:trPr>
          <w:trHeight w:val="540"/>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rPr>
                <w:highlight w:val="none"/>
              </w:rPr>
            </w:r>
          </w:p>
        </w:tc>
        <w:tc>
          <w:tcPr>
            <w:tcW w:w="897"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r>
      <w:tr>
        <w:trPr>
          <w:trHeight w:val="440"/>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color w:val="000000"/>
                <w:szCs w:val="21"/>
                <w:highlight w:val="none"/>
              </w:rPr>
              <w:t xml:space="preserve">……</w:t>
            </w:r>
            <w:r>
              <w:rPr>
                <w:color w:val="000000"/>
                <w:szCs w:val="21"/>
                <w:highlight w:val="none"/>
              </w:rPr>
            </w:r>
            <w:r>
              <w:rPr>
                <w:highlight w:val="none"/>
              </w:rPr>
            </w:r>
          </w:p>
        </w:tc>
        <w:tc>
          <w:tcPr>
            <w:tcW w:w="897"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r>
      <w:tr>
        <w:trPr>
          <w:trHeight w:val="460"/>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897"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ind w:left="43"/>
              <w:spacing w:before="156" w:line="440" w:lineRule="exact"/>
              <w:rPr>
                <w:color w:val="000000"/>
                <w:szCs w:val="21"/>
                <w:highlight w:val="none"/>
              </w:rPr>
            </w:pPr>
            <w:r>
              <w:rPr>
                <w:color w:val="000000"/>
                <w:szCs w:val="21"/>
                <w:highlight w:val="none"/>
              </w:rPr>
            </w:r>
            <w:r>
              <w:rPr>
                <w:highlight w:val="none"/>
              </w:rPr>
            </w:r>
          </w:p>
        </w:tc>
      </w:tr>
      <w:tr>
        <w:trPr>
          <w:trHeight w:val="820"/>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897"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r>
      <w:tr>
        <w:trPr>
          <w:trHeight w:val="340"/>
        </w:trPr>
        <w:tc>
          <w:tcPr>
            <w:tcW w:w="95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95"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897"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c>
          <w:tcPr>
            <w:tcW w:w="1551" w:type="dxa"/>
            <w:vAlign w:val="top"/>
            <w:textDirection w:val="lrTb"/>
            <w:noWrap w:val="false"/>
          </w:tcPr>
          <w:p>
            <w:pPr>
              <w:pStyle w:val="1168"/>
              <w:spacing w:before="156" w:line="440" w:lineRule="exact"/>
              <w:rPr>
                <w:color w:val="000000"/>
                <w:szCs w:val="21"/>
                <w:highlight w:val="none"/>
              </w:rPr>
            </w:pPr>
            <w:r>
              <w:rPr>
                <w:color w:val="000000"/>
                <w:szCs w:val="21"/>
                <w:highlight w:val="none"/>
              </w:rPr>
            </w:r>
            <w:r>
              <w:rPr>
                <w:highlight w:val="none"/>
              </w:rPr>
            </w:r>
          </w:p>
        </w:tc>
      </w:tr>
    </w:tbl>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rPr>
          <w:highlight w:val="none"/>
        </w:rPr>
      </w:r>
    </w:p>
    <w:p>
      <w:pPr>
        <w:pStyle w:val="1168"/>
        <w:numPr>
          <w:ilvl w:val="0"/>
          <w:numId w:val="6"/>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rPr>
          <w:highlight w:val="none"/>
        </w:rPr>
      </w:r>
    </w:p>
    <w:p>
      <w:pPr>
        <w:pStyle w:val="1168"/>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rPr>
          <w:highlight w:val="none"/>
        </w:rPr>
      </w:r>
    </w:p>
    <w:p>
      <w:pPr>
        <w:pStyle w:val="1168"/>
        <w:ind w:firstLine="5494"/>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ind w:right="-334"/>
        <w:spacing w:line="440" w:lineRule="exact"/>
        <w:rPr>
          <w:color w:val="000000"/>
          <w:sz w:val="24"/>
          <w:highlight w:val="none"/>
        </w:rPr>
      </w:pPr>
      <w:r>
        <w:rPr>
          <w:color w:val="000000"/>
          <w:sz w:val="24"/>
          <w:highlight w:val="none"/>
        </w:rPr>
      </w:r>
      <w:r>
        <w:rPr>
          <w:highlight w:val="none"/>
        </w:rPr>
      </w:r>
    </w:p>
    <w:p>
      <w:pPr>
        <w:pStyle w:val="1168"/>
        <w:ind w:right="-334"/>
        <w:spacing w:line="440" w:lineRule="exact"/>
        <w:rPr>
          <w:color w:val="000000"/>
          <w:sz w:val="24"/>
          <w:highlight w:val="none"/>
        </w:rPr>
      </w:pPr>
      <w:r>
        <w:rPr>
          <w:color w:val="000000"/>
          <w:sz w:val="24"/>
          <w:highlight w:val="none"/>
        </w:rPr>
      </w:r>
      <w:r>
        <w:rPr>
          <w:highlight w:val="none"/>
        </w:rPr>
      </w:r>
    </w:p>
    <w:p>
      <w:pPr>
        <w:pStyle w:val="1168"/>
        <w:ind w:right="-334"/>
        <w:spacing w:line="440" w:lineRule="exact"/>
        <w:rPr>
          <w:color w:val="000000"/>
          <w:sz w:val="24"/>
          <w:highlight w:val="none"/>
        </w:rPr>
      </w:pPr>
      <w:r>
        <w:rPr>
          <w:color w:val="000000"/>
          <w:sz w:val="24"/>
          <w:highlight w:val="none"/>
        </w:rPr>
      </w:r>
      <w:r>
        <w:rPr>
          <w:highlight w:val="none"/>
        </w:rPr>
      </w:r>
    </w:p>
    <w:p>
      <w:pPr>
        <w:pStyle w:val="1168"/>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rPr>
          <w:highlight w:val="none"/>
        </w:rPr>
      </w:r>
    </w:p>
    <w:p>
      <w:pPr>
        <w:pStyle w:val="1168"/>
        <w:spacing w:after="156" w:line="440" w:lineRule="exact"/>
        <w:rPr>
          <w:b/>
          <w:bCs/>
          <w:color w:val="000000"/>
          <w:sz w:val="24"/>
          <w:szCs w:val="22"/>
          <w:highlight w:val="none"/>
        </w:rPr>
        <w:outlineLvl w:val="1"/>
      </w:pPr>
      <w:r>
        <w:rPr>
          <w:highlight w:val="none"/>
        </w:rPr>
      </w:r>
      <w:bookmarkStart w:id="295" w:name="_Toc4696431"/>
      <w:r>
        <w:rPr>
          <w:highlight w:val="none"/>
        </w:rPr>
      </w:r>
      <w:bookmarkStart w:id="296" w:name="_Toc31071"/>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95"/>
      <w:r>
        <w:rPr>
          <w:highlight w:val="none"/>
        </w:rPr>
      </w:r>
      <w:bookmarkEnd w:id="296"/>
      <w:r>
        <w:rPr>
          <w:b/>
          <w:bCs/>
          <w:color w:val="000000"/>
          <w:sz w:val="24"/>
          <w:szCs w:val="22"/>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68"/>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rPr>
                <w:highlight w:val="none"/>
              </w:rPr>
            </w:r>
          </w:p>
        </w:tc>
        <w:tc>
          <w:tcPr>
            <w:gridSpan w:val="2"/>
            <w:tcW w:w="2977"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rPr>
                <w:highlight w:val="none"/>
              </w:rPr>
            </w:r>
          </w:p>
        </w:tc>
        <w:tc>
          <w:tcPr>
            <w:tcW w:w="1843"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rPr>
                <w:highlight w:val="none"/>
              </w:rPr>
            </w:r>
          </w:p>
        </w:tc>
        <w:tc>
          <w:tcPr>
            <w:tcW w:w="1700" w:type="dxa"/>
            <w:vAlign w:val="top"/>
            <w:vMerge w:val="restart"/>
            <w:textDirection w:val="lrTb"/>
            <w:noWrap w:val="false"/>
          </w:tcPr>
          <w:p>
            <w:pPr>
              <w:pStyle w:val="1168"/>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rPr>
                <w:highlight w:val="none"/>
              </w:rPr>
            </w:r>
          </w:p>
        </w:tc>
        <w:tc>
          <w:tcPr>
            <w:tcW w:w="2219" w:type="dxa"/>
            <w:vAlign w:val="top"/>
            <w:vMerge w:val="restart"/>
            <w:textDirection w:val="lrTb"/>
            <w:noWrap w:val="false"/>
          </w:tcPr>
          <w:p>
            <w:pPr>
              <w:pStyle w:val="1168"/>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rPr>
                <w:highlight w:val="none"/>
              </w:rPr>
            </w:r>
          </w:p>
        </w:tc>
      </w:tr>
      <w:tr>
        <w:trPr>
          <w:cantSplit/>
        </w:trPr>
        <w:tc>
          <w:tcPr>
            <w:tcW w:w="675" w:type="dxa"/>
            <w:vAlign w:val="center"/>
            <w:vMerge w:val="continue"/>
            <w:textDirection w:val="lrTb"/>
            <w:noWrap w:val="false"/>
          </w:tcPr>
          <w:p>
            <w:pPr>
              <w:pStyle w:val="1168"/>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rPr>
                <w:highlight w:val="none"/>
              </w:rPr>
            </w:r>
          </w:p>
        </w:tc>
        <w:tc>
          <w:tcPr>
            <w:tcW w:w="1843"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rPr>
                <w:highlight w:val="none"/>
              </w:rPr>
            </w:r>
          </w:p>
        </w:tc>
        <w:tc>
          <w:tcPr>
            <w:tcW w:w="1843" w:type="dxa"/>
            <w:vAlign w:val="top"/>
            <w:textDirection w:val="lrTb"/>
            <w:noWrap w:val="false"/>
          </w:tcPr>
          <w:p>
            <w:pPr>
              <w:pStyle w:val="1168"/>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rPr>
                <w:highlight w:val="none"/>
              </w:rPr>
            </w:r>
          </w:p>
        </w:tc>
        <w:tc>
          <w:tcPr>
            <w:tcW w:w="1700" w:type="dxa"/>
            <w:vAlign w:val="top"/>
            <w:vMerge w:val="continue"/>
            <w:textDirection w:val="lrTb"/>
            <w:noWrap w:val="false"/>
          </w:tcPr>
          <w:p>
            <w:pPr>
              <w:pStyle w:val="1168"/>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68"/>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r>
        <w:trPr/>
        <w:tc>
          <w:tcPr>
            <w:tcW w:w="675"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134"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843"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1700"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c>
          <w:tcPr>
            <w:tcW w:w="2219" w:type="dxa"/>
            <w:vAlign w:val="top"/>
            <w:textDirection w:val="lrTb"/>
            <w:noWrap w:val="false"/>
          </w:tcPr>
          <w:p>
            <w:pPr>
              <w:pStyle w:val="1168"/>
              <w:spacing w:line="440" w:lineRule="exact"/>
              <w:rPr>
                <w:color w:val="000000"/>
                <w:szCs w:val="21"/>
                <w:highlight w:val="none"/>
              </w:rPr>
            </w:pPr>
            <w:r>
              <w:rPr>
                <w:color w:val="000000"/>
                <w:szCs w:val="21"/>
                <w:highlight w:val="none"/>
              </w:rPr>
            </w:r>
            <w:r>
              <w:rPr>
                <w:highlight w:val="none"/>
              </w:rPr>
            </w:r>
          </w:p>
        </w:tc>
      </w:tr>
    </w:tbl>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rPr>
          <w:highlight w:val="none"/>
        </w:rPr>
      </w:r>
    </w:p>
    <w:p>
      <w:pPr>
        <w:pStyle w:val="1168"/>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rPr>
          <w:highlight w:val="none"/>
        </w:rPr>
      </w:r>
    </w:p>
    <w:p>
      <w:pPr>
        <w:pStyle w:val="1168"/>
        <w:spacing w:after="156" w:line="440" w:lineRule="exact"/>
        <w:rPr>
          <w:b/>
          <w:bCs/>
          <w:color w:val="000000"/>
          <w:sz w:val="24"/>
          <w:szCs w:val="22"/>
          <w:highlight w:val="none"/>
        </w:rPr>
        <w:outlineLvl w:val="1"/>
      </w:pPr>
      <w:r>
        <w:rPr>
          <w:highlight w:val="none"/>
        </w:rPr>
      </w:r>
      <w:bookmarkStart w:id="297" w:name="_Toc4696432"/>
      <w:r>
        <w:rPr>
          <w:b/>
          <w:bCs/>
          <w:color w:val="000000"/>
          <w:sz w:val="24"/>
          <w:szCs w:val="22"/>
          <w:highlight w:val="none"/>
        </w:rPr>
        <w:br w:type="page" w:clear="all"/>
      </w:r>
      <w:bookmarkEnd w:id="297"/>
      <w:r>
        <w:rPr>
          <w:highlight w:val="none"/>
        </w:rPr>
      </w:r>
      <w:bookmarkStart w:id="298" w:name="_Toc27377"/>
      <w:r>
        <w:rPr>
          <w:highlight w:val="none"/>
        </w:rPr>
      </w:r>
      <w:bookmarkStart w:id="299" w:name="_Toc22161"/>
      <w:r>
        <w:rPr>
          <w:highlight w:val="none"/>
        </w:rPr>
      </w:r>
      <w:bookmarkStart w:id="300" w:name="_Toc19975"/>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98"/>
      <w:r>
        <w:rPr>
          <w:b/>
          <w:bCs/>
          <w:color w:val="000000"/>
          <w:sz w:val="24"/>
          <w:szCs w:val="22"/>
          <w:highlight w:val="none"/>
        </w:rPr>
      </w:r>
      <w:r>
        <w:rPr>
          <w:highlight w:val="none"/>
        </w:rPr>
      </w:r>
    </w:p>
    <w:p>
      <w:pPr>
        <w:pStyle w:val="1168"/>
        <w:numPr>
          <w:ilvl w:val="0"/>
          <w:numId w:val="7"/>
        </w:numPr>
        <w:jc w:val="center"/>
        <w:spacing w:line="360" w:lineRule="auto"/>
        <w:rPr>
          <w:b/>
          <w:color w:val="000000"/>
          <w:sz w:val="30"/>
          <w:szCs w:val="30"/>
          <w:highlight w:val="none"/>
        </w:rPr>
        <w:outlineLvl w:val="2"/>
      </w:pPr>
      <w:r>
        <w:rPr>
          <w:highlight w:val="none"/>
        </w:rPr>
      </w:r>
      <w:bookmarkStart w:id="301" w:name="_Toc15857"/>
      <w:r>
        <w:rPr>
          <w:highlight w:val="none"/>
        </w:rPr>
      </w:r>
      <w:bookmarkStart w:id="302" w:name="_Toc26121"/>
      <w:r>
        <w:rPr>
          <w:highlight w:val="none"/>
        </w:rPr>
      </w:r>
      <w:bookmarkStart w:id="303" w:name="_Toc30360"/>
      <w:r>
        <w:rPr>
          <w:b/>
          <w:bCs/>
          <w:color w:val="000000"/>
          <w:szCs w:val="21"/>
          <w:highlight w:val="none"/>
        </w:rPr>
        <w:t xml:space="preserve">《中小企业声明函》</w:t>
      </w:r>
      <w:bookmarkEnd w:id="301"/>
      <w:r>
        <w:rPr>
          <w:highlight w:val="none"/>
        </w:rPr>
      </w:r>
      <w:bookmarkEnd w:id="302"/>
      <w:r>
        <w:rPr>
          <w:highlight w:val="none"/>
        </w:rPr>
      </w:r>
      <w:bookmarkEnd w:id="303"/>
      <w:r>
        <w:rPr>
          <w:b/>
          <w:color w:val="000000"/>
          <w:sz w:val="30"/>
          <w:szCs w:val="30"/>
          <w:highlight w:val="none"/>
          <w:lang w:bidi="ar"/>
        </w:rPr>
      </w:r>
      <w:r>
        <w:rPr>
          <w:highlight w:val="none"/>
        </w:rPr>
      </w:r>
    </w:p>
    <w:p>
      <w:pPr>
        <w:pStyle w:val="1215"/>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rPr>
          <w:highlight w:val="none"/>
        </w:rPr>
      </w:r>
    </w:p>
    <w:p>
      <w:pPr>
        <w:pStyle w:val="1168"/>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rPr>
          <w:highlight w:val="none"/>
        </w:rPr>
      </w:r>
    </w:p>
    <w:p>
      <w:pPr>
        <w:pStyle w:val="1168"/>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rPr>
          <w:highlight w:val="none"/>
        </w:rPr>
      </w:r>
    </w:p>
    <w:p>
      <w:pPr>
        <w:pStyle w:val="1168"/>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rPr>
          <w:highlight w:val="none"/>
        </w:rPr>
      </w:r>
    </w:p>
    <w:p>
      <w:pPr>
        <w:pStyle w:val="1168"/>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rPr>
          <w:highlight w:val="none"/>
        </w:rPr>
      </w:r>
    </w:p>
    <w:p>
      <w:pPr>
        <w:pStyle w:val="1168"/>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rPr>
          <w:highlight w:val="none"/>
        </w:rPr>
      </w:r>
    </w:p>
    <w:p>
      <w:pPr>
        <w:pStyle w:val="1168"/>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rPr>
          <w:highlight w:val="none"/>
        </w:rPr>
      </w:r>
    </w:p>
    <w:p>
      <w:pPr>
        <w:pStyle w:val="1168"/>
        <w:ind w:firstLine="594"/>
        <w:spacing w:line="360" w:lineRule="auto"/>
        <w:rPr>
          <w:color w:val="000000"/>
          <w:spacing w:val="-6"/>
          <w:szCs w:val="21"/>
          <w:highlight w:val="none"/>
        </w:rPr>
      </w:pPr>
      <w:r>
        <w:rPr>
          <w:color w:val="000000"/>
          <w:spacing w:val="-6"/>
          <w:szCs w:val="21"/>
          <w:highlight w:val="none"/>
        </w:rPr>
      </w:r>
      <w:r>
        <w:rPr>
          <w:highlight w:val="none"/>
        </w:rPr>
      </w:r>
    </w:p>
    <w:p>
      <w:pPr>
        <w:pStyle w:val="1168"/>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rPr>
          <w:highlight w:val="none"/>
        </w:rPr>
      </w:r>
    </w:p>
    <w:p>
      <w:pPr>
        <w:pStyle w:val="116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rPr>
          <w:highlight w:val="none"/>
        </w:rPr>
      </w:r>
    </w:p>
    <w:p>
      <w:pPr>
        <w:pStyle w:val="116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rPr>
          <w:highlight w:val="none"/>
        </w:rPr>
      </w:r>
    </w:p>
    <w:p>
      <w:pPr>
        <w:pStyle w:val="1168"/>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rPr>
          <w:highlight w:val="none"/>
        </w:rPr>
      </w:r>
    </w:p>
    <w:p>
      <w:pPr>
        <w:pStyle w:val="1168"/>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rPr>
          <w:highlight w:val="none"/>
        </w:rPr>
      </w:r>
    </w:p>
    <w:p>
      <w:pPr>
        <w:pStyle w:val="1168"/>
        <w:spacing w:line="360" w:lineRule="auto"/>
        <w:rPr>
          <w:b/>
          <w:bCs/>
          <w:color w:val="000000"/>
          <w:szCs w:val="21"/>
          <w:highlight w:val="none"/>
        </w:rPr>
      </w:pPr>
      <w:r>
        <w:rPr>
          <w:b/>
          <w:bCs/>
          <w:color w:val="000000"/>
          <w:szCs w:val="21"/>
          <w:highlight w:val="none"/>
        </w:rPr>
      </w:r>
      <w:r>
        <w:rPr>
          <w:highlight w:val="none"/>
        </w:rPr>
      </w:r>
    </w:p>
    <w:p>
      <w:pPr>
        <w:pStyle w:val="1168"/>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rPr>
          <w:highlight w:val="none"/>
        </w:rPr>
      </w:r>
    </w:p>
    <w:p>
      <w:pPr>
        <w:pStyle w:val="1168"/>
        <w:ind w:firstLine="422"/>
        <w:spacing w:line="360" w:lineRule="auto"/>
        <w:rPr>
          <w:b/>
          <w:bCs/>
          <w:color w:val="000000"/>
          <w:szCs w:val="21"/>
          <w:highlight w:val="none"/>
        </w:rPr>
      </w:pPr>
      <w:r>
        <w:rPr>
          <w:b/>
          <w:bCs/>
          <w:color w:val="000000"/>
          <w:szCs w:val="21"/>
          <w:highlight w:val="none"/>
        </w:rPr>
        <w:t xml:space="preserve">1、从业人员、营业收入、资产总额填报上一年度数据，无上一年度数据的新成立企业可不填报。</w:t>
      </w:r>
      <w:r>
        <w:rPr>
          <w:b/>
          <w:bCs/>
          <w:color w:val="000000"/>
          <w:szCs w:val="21"/>
          <w:highlight w:val="none"/>
        </w:rPr>
      </w:r>
      <w:r>
        <w:rPr>
          <w:highlight w:val="none"/>
        </w:rPr>
      </w:r>
    </w:p>
    <w:p>
      <w:pPr>
        <w:pStyle w:val="1168"/>
        <w:ind w:firstLine="422"/>
        <w:spacing w:line="360" w:lineRule="auto"/>
        <w:rPr>
          <w:b/>
          <w:bCs/>
          <w:color w:val="000000"/>
          <w:szCs w:val="21"/>
          <w:highlight w:val="none"/>
        </w:rPr>
      </w:pPr>
      <w:r>
        <w:rPr>
          <w:b/>
          <w:bCs/>
          <w:color w:val="000000"/>
          <w:szCs w:val="21"/>
          <w:highlight w:val="none"/>
        </w:rPr>
        <w:t xml:space="preserve">2、供应商提供的货物全部由符合政策要求的中小企业制造的参加本次政府采购项目需提供此声明函</w:t>
      </w:r>
      <w:r>
        <w:rPr>
          <w:color w:val="000000"/>
          <w:highlight w:val="none"/>
          <w:lang w:val="zh-CN"/>
        </w:rPr>
        <w:t xml:space="preserve">（中小企业划型标准详见《关于印发中小企业划型标准规定的通知》工信部联企业〔2011〕300号）</w:t>
      </w:r>
      <w:r>
        <w:rPr>
          <w:b/>
          <w:bCs/>
          <w:color w:val="000000"/>
          <w:szCs w:val="21"/>
          <w:highlight w:val="none"/>
        </w:rPr>
        <w:t xml:space="preserve">。</w:t>
      </w:r>
      <w:r>
        <w:rPr>
          <w:b/>
          <w:bCs/>
          <w:color w:val="000000"/>
          <w:szCs w:val="21"/>
          <w:highlight w:val="none"/>
        </w:rPr>
      </w:r>
      <w:r>
        <w:rPr>
          <w:highlight w:val="none"/>
        </w:rPr>
      </w:r>
    </w:p>
    <w:p>
      <w:pPr>
        <w:pStyle w:val="1168"/>
        <w:ind w:firstLine="422"/>
        <w:spacing w:line="360" w:lineRule="auto"/>
        <w:rPr>
          <w:b/>
          <w:bCs/>
          <w:color w:val="000000"/>
          <w:szCs w:val="21"/>
          <w:highlight w:val="none"/>
        </w:rPr>
      </w:pPr>
      <w:r>
        <w:rPr>
          <w:b/>
          <w:bCs/>
          <w:color w:val="000000"/>
          <w:szCs w:val="21"/>
          <w:highlight w:val="none"/>
        </w:rPr>
        <w:t xml:space="preserve">3、专门面向中小微型企业采购的项目，供应商如不提供此声明函，则不能通过资格审查；非专门面向中小微型企业采购的项目，供应商如未按上述要求提供声明函的，价格将不做相应扣除。</w:t>
      </w:r>
      <w:r>
        <w:rPr>
          <w:b/>
          <w:bCs/>
          <w:color w:val="000000"/>
          <w:szCs w:val="21"/>
          <w:highlight w:val="none"/>
        </w:rPr>
      </w:r>
      <w:r>
        <w:rPr>
          <w:highlight w:val="none"/>
        </w:rPr>
      </w:r>
    </w:p>
    <w:p>
      <w:pPr>
        <w:pStyle w:val="1168"/>
        <w:ind w:firstLine="422"/>
        <w:spacing w:line="360" w:lineRule="auto"/>
        <w:rPr>
          <w:b/>
          <w:bCs/>
          <w:color w:val="000000"/>
          <w:szCs w:val="21"/>
          <w:highlight w:val="none"/>
        </w:rPr>
      </w:pPr>
      <w:r>
        <w:rPr>
          <w:b/>
          <w:bCs/>
          <w:color w:val="000000"/>
          <w:szCs w:val="21"/>
          <w:highlight w:val="none"/>
        </w:rPr>
        <w:t xml:space="preserve">4、在货物采购项目中，供应商提供的货物既有中小企业制造货物，也有大型企业制造货物的，不享受本办法规定的中小企业扶持政策。</w:t>
      </w:r>
      <w:r>
        <w:rPr>
          <w:b/>
          <w:bCs/>
          <w:color w:val="000000"/>
          <w:szCs w:val="21"/>
          <w:highlight w:val="none"/>
        </w:rPr>
      </w:r>
      <w:r>
        <w:rPr>
          <w:highlight w:val="none"/>
        </w:rPr>
      </w:r>
    </w:p>
    <w:p>
      <w:pPr>
        <w:pStyle w:val="1168"/>
        <w:ind w:firstLine="422"/>
        <w:jc w:val="left"/>
        <w:spacing w:line="360" w:lineRule="auto"/>
        <w:rPr>
          <w:b/>
          <w:bCs/>
          <w:color w:val="000000"/>
          <w:szCs w:val="21"/>
          <w:highlight w:val="none"/>
        </w:rPr>
      </w:pPr>
      <w:r>
        <w:rPr>
          <w:b/>
          <w:bCs/>
          <w:color w:val="000000"/>
          <w:szCs w:val="21"/>
          <w:highlight w:val="none"/>
        </w:rPr>
        <w:t xml:space="preserve">5、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b/>
          <w:bCs/>
          <w:color w:val="000000"/>
          <w:szCs w:val="21"/>
          <w:highlight w:val="none"/>
        </w:rPr>
      </w:r>
      <w:r>
        <w:rPr>
          <w:highlight w:val="none"/>
        </w:rPr>
      </w:r>
    </w:p>
    <w:p>
      <w:pPr>
        <w:pStyle w:val="1224"/>
        <w:rPr>
          <w:color w:val="000000"/>
          <w:highlight w:val="none"/>
        </w:rPr>
      </w:pPr>
      <w:r>
        <w:rPr>
          <w:color w:val="000000"/>
          <w:highlight w:val="none"/>
        </w:rPr>
      </w:r>
      <w:r>
        <w:rPr>
          <w:highlight w:val="none"/>
        </w:rPr>
      </w:r>
    </w:p>
    <w:p>
      <w:pPr>
        <w:pStyle w:val="1168"/>
        <w:jc w:val="center"/>
        <w:spacing w:line="360" w:lineRule="auto"/>
        <w:rPr>
          <w:b/>
          <w:bCs/>
          <w:color w:val="000000"/>
          <w:szCs w:val="21"/>
          <w:highlight w:val="none"/>
        </w:rPr>
        <w:outlineLvl w:val="2"/>
      </w:pPr>
      <w:r>
        <w:rPr>
          <w:b/>
          <w:bCs/>
          <w:color w:val="000000"/>
          <w:szCs w:val="21"/>
          <w:highlight w:val="none"/>
        </w:rPr>
        <w:br w:type="page" w:clear="all"/>
      </w:r>
      <w:bookmarkStart w:id="304" w:name="_Toc26237"/>
      <w:r>
        <w:rPr>
          <w:b/>
          <w:bCs/>
          <w:color w:val="000000"/>
          <w:szCs w:val="21"/>
          <w:highlight w:val="none"/>
        </w:rPr>
        <w:t xml:space="preserve">（二）残疾人福利性单位声明函</w:t>
      </w:r>
      <w:bookmarkEnd w:id="299"/>
      <w:r>
        <w:rPr>
          <w:highlight w:val="none"/>
        </w:rPr>
      </w:r>
      <w:bookmarkEnd w:id="300"/>
      <w:r>
        <w:rPr>
          <w:highlight w:val="none"/>
        </w:rPr>
      </w:r>
      <w:bookmarkEnd w:id="304"/>
      <w:r>
        <w:rPr>
          <w:b/>
          <w:bCs/>
          <w:color w:val="000000"/>
          <w:szCs w:val="21"/>
          <w:highlight w:val="none"/>
        </w:rPr>
      </w:r>
      <w:r>
        <w:rPr>
          <w:highlight w:val="none"/>
        </w:rPr>
      </w:r>
    </w:p>
    <w:p>
      <w:pPr>
        <w:pStyle w:val="1168"/>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rPr>
          <w:highlight w:val="none"/>
        </w:rPr>
      </w:r>
    </w:p>
    <w:p>
      <w:pPr>
        <w:pStyle w:val="1168"/>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rPr>
          <w:highlight w:val="none"/>
        </w:rPr>
      </w:r>
    </w:p>
    <w:p>
      <w:pPr>
        <w:pStyle w:val="116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rPr>
          <w:highlight w:val="none"/>
        </w:rPr>
      </w:r>
    </w:p>
    <w:p>
      <w:pPr>
        <w:pStyle w:val="116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rPr>
          <w:highlight w:val="none"/>
        </w:rPr>
      </w:r>
    </w:p>
    <w:p>
      <w:pPr>
        <w:pStyle w:val="1168"/>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rPr>
          <w:highlight w:val="none"/>
        </w:rPr>
      </w:r>
    </w:p>
    <w:p>
      <w:pPr>
        <w:pStyle w:val="1168"/>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rPr>
          <w:highlight w:val="none"/>
        </w:rPr>
      </w:r>
    </w:p>
    <w:p>
      <w:pPr>
        <w:pStyle w:val="1168"/>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rPr>
          <w:highlight w:val="none"/>
        </w:rPr>
      </w:r>
    </w:p>
    <w:p>
      <w:pPr>
        <w:pStyle w:val="1168"/>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rPr>
          <w:highlight w:val="none"/>
        </w:rPr>
      </w:r>
    </w:p>
    <w:p>
      <w:pPr>
        <w:pStyle w:val="1168"/>
        <w:jc w:val="center"/>
        <w:spacing w:line="360" w:lineRule="auto"/>
        <w:rPr>
          <w:b/>
          <w:bCs/>
          <w:color w:val="000000"/>
          <w:szCs w:val="21"/>
          <w:highlight w:val="none"/>
        </w:rPr>
        <w:outlineLvl w:val="2"/>
      </w:pPr>
      <w:r>
        <w:rPr>
          <w:color w:val="000000"/>
          <w:spacing w:val="6"/>
          <w:sz w:val="24"/>
          <w:szCs w:val="24"/>
          <w:highlight w:val="none"/>
        </w:rPr>
        <w:br w:type="page" w:clear="all"/>
      </w:r>
      <w:bookmarkStart w:id="305" w:name="_Toc621"/>
      <w:r>
        <w:rPr>
          <w:b/>
          <w:bCs/>
          <w:color w:val="000000"/>
          <w:szCs w:val="21"/>
          <w:highlight w:val="none"/>
        </w:rPr>
        <w:t xml:space="preserve">（三）采购本国产品的支持政策</w:t>
      </w:r>
      <w:bookmarkEnd w:id="305"/>
      <w:r>
        <w:rPr>
          <w:b/>
          <w:bCs/>
          <w:color w:val="000000"/>
          <w:szCs w:val="21"/>
          <w:highlight w:val="none"/>
        </w:rPr>
      </w:r>
      <w:r>
        <w:rPr>
          <w:highlight w:val="none"/>
        </w:rPr>
      </w:r>
    </w:p>
    <w:p>
      <w:pPr>
        <w:pStyle w:val="1168"/>
        <w:jc w:val="center"/>
        <w:keepLines/>
        <w:keepNext/>
        <w:spacing w:line="360" w:lineRule="auto"/>
        <w:rPr>
          <w:b/>
          <w:color w:val="000000"/>
          <w:sz w:val="24"/>
          <w:highlight w:val="none"/>
        </w:rPr>
      </w:pPr>
      <w:r>
        <w:rPr>
          <w:b/>
          <w:color w:val="000000"/>
          <w:sz w:val="24"/>
          <w:highlight w:val="none"/>
        </w:rPr>
      </w:r>
      <w:r>
        <w:rPr>
          <w:highlight w:val="none"/>
        </w:rPr>
      </w:r>
    </w:p>
    <w:p>
      <w:pPr>
        <w:pStyle w:val="1168"/>
        <w:jc w:val="center"/>
        <w:keepLines/>
        <w:keepNext/>
        <w:spacing w:line="360" w:lineRule="auto"/>
        <w:rPr>
          <w:b/>
          <w:color w:val="000000"/>
          <w:sz w:val="24"/>
          <w:highlight w:val="none"/>
        </w:rPr>
      </w:pPr>
      <w:r>
        <w:rPr>
          <w:b/>
          <w:color w:val="000000"/>
          <w:sz w:val="24"/>
          <w:highlight w:val="none"/>
        </w:rPr>
        <w:t xml:space="preserve">关于符合本国产品标准的声明函</w:t>
      </w:r>
      <w:r>
        <w:rPr>
          <w:b/>
          <w:color w:val="000000"/>
          <w:sz w:val="24"/>
          <w:highlight w:val="none"/>
        </w:rPr>
      </w:r>
      <w:r>
        <w:rPr>
          <w:highlight w:val="none"/>
        </w:rPr>
      </w:r>
    </w:p>
    <w:p>
      <w:pPr>
        <w:pStyle w:val="1210"/>
        <w:ind w:firstLine="42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olor w:val="000000"/>
          <w:sz w:val="21"/>
          <w:szCs w:val="21"/>
          <w:highlight w:val="none"/>
        </w:rPr>
      </w:r>
      <w:r>
        <w:rPr>
          <w:highlight w:val="none"/>
        </w:rPr>
      </w:r>
    </w:p>
    <w:p>
      <w:pPr>
        <w:pStyle w:val="1210"/>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1.</w:t>
      </w:r>
      <w:r>
        <w:rPr>
          <w:rStyle w:val="1220"/>
          <w:rFonts w:ascii="Times New Roman" w:hAnsi="Times New Roman" w:eastAsia="宋体"/>
          <w:i w:val="0"/>
          <w:color w:val="000000"/>
          <w:sz w:val="21"/>
          <w:szCs w:val="21"/>
          <w:highlight w:val="none"/>
          <w:u w:val="single"/>
          <w:shd w:val="clear" w:color="auto" w:fill="ffffff"/>
        </w:rPr>
        <w:t xml:space="preserve">（产品名称1）</w:t>
      </w:r>
      <w:r>
        <w:rPr>
          <w:rStyle w:val="1220"/>
          <w:rFonts w:ascii="Times New Roman" w:hAnsi="Times New Roman" w:eastAsia="宋体"/>
          <w:i w:val="0"/>
          <w:color w:val="000000"/>
          <w:sz w:val="21"/>
          <w:szCs w:val="21"/>
          <w:highlight w:val="none"/>
          <w:shd w:val="clear" w:color="auto" w:fill="ffffff"/>
          <w:vertAlign w:val="superscript"/>
        </w:rPr>
        <w:t xml:space="preserve">1</w:t>
      </w:r>
      <w:r>
        <w:rPr>
          <w:rFonts w:ascii="Times New Roman" w:hAnsi="Times New Roman" w:eastAsia="宋体"/>
          <w:color w:val="000000"/>
          <w:sz w:val="21"/>
          <w:szCs w:val="21"/>
          <w:highlight w:val="none"/>
          <w:shd w:val="clear" w:color="auto" w:fill="ffffff"/>
        </w:rPr>
        <w:t xml:space="preserve">，生产厂为</w:t>
      </w:r>
      <w:r>
        <w:rPr>
          <w:rStyle w:val="1220"/>
          <w:rFonts w:ascii="Times New Roman" w:hAnsi="Times New Roman" w:eastAsia="宋体"/>
          <w:i w:val="0"/>
          <w:color w:val="000000"/>
          <w:sz w:val="21"/>
          <w:szCs w:val="21"/>
          <w:highlight w:val="none"/>
          <w:u w:val="single"/>
          <w:shd w:val="clear" w:color="auto" w:fill="ffffff"/>
        </w:rPr>
        <w:t xml:space="preserve">（厂名）</w:t>
      </w:r>
      <w:r>
        <w:rPr>
          <w:rStyle w:val="1220"/>
          <w:rFonts w:ascii="Times New Roman" w:hAnsi="Times New Roman" w:eastAsia="宋体"/>
          <w:i w:val="0"/>
          <w:color w:val="000000"/>
          <w:sz w:val="21"/>
          <w:szCs w:val="21"/>
          <w:highlight w:val="none"/>
          <w:shd w:val="clear" w:color="auto" w:fill="ffffff"/>
          <w:vertAlign w:val="superscript"/>
        </w:rPr>
        <w:t xml:space="preserve">2</w:t>
      </w:r>
      <w:r>
        <w:rPr>
          <w:rFonts w:ascii="Times New Roman" w:hAnsi="Times New Roman" w:eastAsia="宋体"/>
          <w:color w:val="000000"/>
          <w:sz w:val="21"/>
          <w:szCs w:val="21"/>
          <w:highlight w:val="none"/>
          <w:shd w:val="clear" w:color="auto" w:fill="ffffff"/>
        </w:rPr>
        <w:t xml:space="preserve">，厂址为</w:t>
      </w:r>
      <w:r>
        <w:rPr>
          <w:rStyle w:val="1220"/>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u w:val="single"/>
          <w:shd w:val="clear" w:color="auto" w:fill="ffffff"/>
        </w:rPr>
        <w:t xml:space="preserve"> </w:t>
      </w:r>
      <w:r>
        <w:rPr>
          <w:rStyle w:val="1220"/>
          <w:rFonts w:ascii="Times New Roman" w:hAnsi="Times New Roman" w:eastAsia="宋体"/>
          <w:i w:val="0"/>
          <w:color w:val="000000"/>
          <w:sz w:val="21"/>
          <w:szCs w:val="21"/>
          <w:highlight w:val="none"/>
          <w:u w:val="single"/>
          <w:shd w:val="clear" w:color="auto" w:fill="ffffff"/>
        </w:rPr>
        <w:t xml:space="preserve">（产品名称1） </w:t>
      </w:r>
      <w:r>
        <w:rPr>
          <w:rFonts w:ascii="Times New Roman" w:hAnsi="Times New Roman" w:eastAsia="宋体"/>
          <w:color w:val="000000"/>
          <w:sz w:val="21"/>
          <w:szCs w:val="21"/>
          <w:highlight w:val="none"/>
          <w:shd w:val="clear" w:color="auto" w:fill="ffffff"/>
        </w:rPr>
        <w:t xml:space="preserve">的中国境内生产的组件成本占比≥</w:t>
      </w:r>
      <w:r>
        <w:rPr>
          <w:rStyle w:val="1220"/>
          <w:rFonts w:ascii="Times New Roman" w:hAnsi="Times New Roman" w:eastAsia="宋体"/>
          <w:i w:val="0"/>
          <w:color w:val="000000"/>
          <w:sz w:val="21"/>
          <w:szCs w:val="21"/>
          <w:highlight w:val="none"/>
          <w:u w:val="single"/>
          <w:shd w:val="clear" w:color="auto" w:fill="ffffff"/>
        </w:rPr>
        <w:t xml:space="preserve">（规定比例）</w:t>
      </w:r>
      <w:r>
        <w:rPr>
          <w:rStyle w:val="1220"/>
          <w:rFonts w:ascii="Times New Roman" w:hAnsi="Times New Roman" w:eastAsia="宋体"/>
          <w:i w:val="0"/>
          <w:color w:val="000000"/>
          <w:sz w:val="21"/>
          <w:szCs w:val="21"/>
          <w:highlight w:val="none"/>
          <w:shd w:val="clear" w:color="auto" w:fill="ffffff"/>
          <w:vertAlign w:val="superscript"/>
        </w:rPr>
        <w:t xml:space="preserve">3</w:t>
      </w:r>
      <w:r>
        <w:rPr>
          <w:rFonts w:ascii="Times New Roman" w:hAnsi="Times New Roman" w:eastAsia="宋体"/>
          <w:color w:val="000000"/>
          <w:sz w:val="21"/>
          <w:szCs w:val="21"/>
          <w:highlight w:val="none"/>
          <w:shd w:val="clear" w:color="auto" w:fill="ffffff"/>
        </w:rPr>
        <w:t xml:space="preserve">。</w:t>
      </w:r>
      <w:r>
        <w:rPr>
          <w:rStyle w:val="1220"/>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20"/>
          <w:rFonts w:ascii="Times New Roman" w:hAnsi="Times New Roman" w:eastAsia="宋体"/>
          <w:i w:val="0"/>
          <w:color w:val="000000"/>
          <w:sz w:val="21"/>
          <w:szCs w:val="21"/>
          <w:highlight w:val="none"/>
          <w:u w:val="single"/>
          <w:shd w:val="clear" w:color="auto" w:fill="ffffff"/>
        </w:rPr>
        <w:t xml:space="preserve">（关键组件）</w:t>
      </w:r>
      <w:r>
        <w:rPr>
          <w:rStyle w:val="1220"/>
          <w:rFonts w:ascii="Times New Roman" w:hAnsi="Times New Roman" w:eastAsia="宋体"/>
          <w:i w:val="0"/>
          <w:color w:val="000000"/>
          <w:sz w:val="21"/>
          <w:szCs w:val="21"/>
          <w:highlight w:val="none"/>
          <w:shd w:val="clear" w:color="auto" w:fill="ffffff"/>
          <w:vertAlign w:val="superscript"/>
        </w:rPr>
        <w:t xml:space="preserve">4</w:t>
      </w:r>
      <w:r>
        <w:rPr>
          <w:rFonts w:ascii="Times New Roman" w:hAnsi="Times New Roman" w:eastAsia="宋体"/>
          <w:color w:val="000000"/>
          <w:sz w:val="21"/>
          <w:szCs w:val="21"/>
          <w:highlight w:val="none"/>
          <w:shd w:val="clear" w:color="auto" w:fill="ffffff"/>
        </w:rPr>
        <w:t xml:space="preserve">在中国境内生产。</w:t>
      </w:r>
      <w:r>
        <w:rPr>
          <w:rStyle w:val="1220"/>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20"/>
          <w:rFonts w:ascii="Times New Roman" w:hAnsi="Times New Roman" w:eastAsia="宋体"/>
          <w:i w:val="0"/>
          <w:color w:val="000000"/>
          <w:sz w:val="21"/>
          <w:szCs w:val="21"/>
          <w:highlight w:val="none"/>
          <w:u w:val="single"/>
          <w:shd w:val="clear" w:color="auto" w:fill="ffffff"/>
        </w:rPr>
        <w:t xml:space="preserve">（关键工序）</w:t>
      </w:r>
      <w:r>
        <w:rPr>
          <w:rStyle w:val="1220"/>
          <w:rFonts w:ascii="Times New Roman" w:hAnsi="Times New Roman" w:eastAsia="宋体"/>
          <w:i w:val="0"/>
          <w:color w:val="000000"/>
          <w:sz w:val="21"/>
          <w:szCs w:val="21"/>
          <w:highlight w:val="none"/>
          <w:shd w:val="clear" w:color="auto" w:fill="ffffff"/>
          <w:vertAlign w:val="superscript"/>
        </w:rPr>
        <w:t xml:space="preserve">5</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rPr>
          <w:highlight w:val="none"/>
        </w:rPr>
      </w:r>
    </w:p>
    <w:p>
      <w:pPr>
        <w:pStyle w:val="1210"/>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2.</w:t>
      </w:r>
      <w:r>
        <w:rPr>
          <w:rStyle w:val="1220"/>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，生产厂为</w:t>
      </w:r>
      <w:r>
        <w:rPr>
          <w:rStyle w:val="1220"/>
          <w:rFonts w:ascii="Times New Roman" w:hAnsi="Times New Roman" w:eastAsia="宋体"/>
          <w:i w:val="0"/>
          <w:color w:val="000000"/>
          <w:sz w:val="21"/>
          <w:szCs w:val="21"/>
          <w:highlight w:val="none"/>
          <w:u w:val="single"/>
          <w:shd w:val="clear" w:color="auto" w:fill="ffffff"/>
        </w:rPr>
        <w:t xml:space="preserve">（厂名）</w:t>
      </w:r>
      <w:r>
        <w:rPr>
          <w:rFonts w:ascii="Times New Roman" w:hAnsi="Times New Roman" w:eastAsia="宋体"/>
          <w:color w:val="000000"/>
          <w:sz w:val="21"/>
          <w:szCs w:val="21"/>
          <w:highlight w:val="none"/>
          <w:shd w:val="clear" w:color="auto" w:fill="ffffff"/>
        </w:rPr>
        <w:t xml:space="preserve">，厂址为</w:t>
      </w:r>
      <w:r>
        <w:rPr>
          <w:rStyle w:val="1220"/>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Style w:val="1220"/>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的中国境内生产的组件成本占比≥</w:t>
      </w:r>
      <w:r>
        <w:rPr>
          <w:rStyle w:val="1220"/>
          <w:rFonts w:ascii="Times New Roman" w:hAnsi="Times New Roman" w:eastAsia="宋体"/>
          <w:i w:val="0"/>
          <w:color w:val="000000"/>
          <w:sz w:val="21"/>
          <w:szCs w:val="21"/>
          <w:highlight w:val="none"/>
          <w:u w:val="single"/>
          <w:shd w:val="clear" w:color="auto" w:fill="ffffff"/>
        </w:rPr>
        <w:t xml:space="preserve">（规定比例）</w:t>
      </w:r>
      <w:r>
        <w:rPr>
          <w:rFonts w:ascii="Times New Roman" w:hAnsi="Times New Roman" w:eastAsia="宋体"/>
          <w:color w:val="000000"/>
          <w:sz w:val="21"/>
          <w:szCs w:val="21"/>
          <w:highlight w:val="none"/>
          <w:shd w:val="clear" w:color="auto" w:fill="ffffff"/>
        </w:rPr>
        <w:t xml:space="preserve">。</w:t>
      </w:r>
      <w:r>
        <w:rPr>
          <w:rStyle w:val="1220"/>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w:t>
      </w:r>
      <w:r>
        <w:rPr>
          <w:rStyle w:val="1220"/>
          <w:rFonts w:ascii="Times New Roman" w:hAnsi="Times New Roman" w:eastAsia="宋体"/>
          <w:i w:val="0"/>
          <w:color w:val="000000"/>
          <w:sz w:val="21"/>
          <w:szCs w:val="21"/>
          <w:highlight w:val="none"/>
          <w:u w:val="single"/>
          <w:shd w:val="clear" w:color="auto" w:fill="ffffff"/>
        </w:rPr>
        <w:t xml:space="preserve">（关键组件）</w:t>
      </w:r>
      <w:r>
        <w:rPr>
          <w:rFonts w:ascii="Times New Roman" w:hAnsi="Times New Roman" w:eastAsia="宋体"/>
          <w:color w:val="000000"/>
          <w:sz w:val="21"/>
          <w:szCs w:val="21"/>
          <w:highlight w:val="none"/>
          <w:shd w:val="clear" w:color="auto" w:fill="ffffff"/>
        </w:rPr>
        <w:t xml:space="preserve">在中国境内生产。</w:t>
      </w:r>
      <w:r>
        <w:rPr>
          <w:rStyle w:val="1220"/>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20"/>
          <w:rFonts w:ascii="Times New Roman" w:hAnsi="Times New Roman" w:eastAsia="宋体"/>
          <w:i w:val="0"/>
          <w:color w:val="000000"/>
          <w:sz w:val="21"/>
          <w:szCs w:val="21"/>
          <w:highlight w:val="none"/>
          <w:u w:val="single"/>
          <w:shd w:val="clear" w:color="auto" w:fill="ffffff"/>
        </w:rPr>
        <w:t xml:space="preserve">（关键工序）</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rPr>
          <w:highlight w:val="none"/>
        </w:rPr>
      </w:r>
    </w:p>
    <w:p>
      <w:pPr>
        <w:pStyle w:val="1210"/>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rPr>
      </w:r>
      <w:r>
        <w:rPr>
          <w:highlight w:val="none"/>
        </w:rPr>
      </w:r>
    </w:p>
    <w:p>
      <w:pPr>
        <w:pStyle w:val="1210"/>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本公司（单位）对上述声明内容的真实性负责。如有虚假，愿承担相应法律责任。</w:t>
      </w:r>
      <w:r>
        <w:rPr>
          <w:rFonts w:ascii="Times New Roman" w:hAnsi="Times New Roman" w:eastAsia="宋体"/>
          <w:color w:val="000000"/>
          <w:sz w:val="21"/>
          <w:szCs w:val="21"/>
          <w:highlight w:val="none"/>
        </w:rPr>
      </w:r>
      <w:r>
        <w:rPr>
          <w:highlight w:val="none"/>
        </w:rPr>
      </w:r>
    </w:p>
    <w:p>
      <w:pPr>
        <w:pStyle w:val="121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rPr>
          <w:highlight w:val="none"/>
        </w:rPr>
      </w:r>
    </w:p>
    <w:p>
      <w:pPr>
        <w:pStyle w:val="1210"/>
        <w:ind w:right="480" w:firstLine="3255"/>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公司（单位）名称（盖章）：　        </w:t>
      </w:r>
      <w:r>
        <w:rPr>
          <w:rFonts w:ascii="Times New Roman" w:hAnsi="Times New Roman" w:eastAsia="宋体"/>
          <w:color w:val="000000"/>
          <w:sz w:val="21"/>
          <w:szCs w:val="21"/>
          <w:highlight w:val="none"/>
        </w:rPr>
      </w:r>
      <w:r>
        <w:rPr>
          <w:highlight w:val="none"/>
        </w:rPr>
      </w:r>
    </w:p>
    <w:p>
      <w:pPr>
        <w:pStyle w:val="1210"/>
        <w:jc w:val="center"/>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sz w:val="21"/>
          <w:szCs w:val="21"/>
          <w:highlight w:val="none"/>
          <w:shd w:val="clear" w:color="auto" w:fill="ffffff"/>
        </w:rPr>
        <w:t xml:space="preserve">                                日期：　   年　  月　  日</w:t>
      </w:r>
      <w:r>
        <w:rPr>
          <w:rFonts w:ascii="Times New Roman" w:hAnsi="Times New Roman" w:eastAsia="宋体"/>
          <w:color w:val="000000"/>
          <w:highlight w:val="none"/>
          <w:shd w:val="clear" w:color="auto" w:fill="ffffff"/>
        </w:rPr>
        <w:t xml:space="preserve">         </w:t>
      </w:r>
      <w:r>
        <w:rPr>
          <w:rFonts w:ascii="Times New Roman" w:hAnsi="Times New Roman" w:eastAsia="宋体"/>
          <w:color w:val="000000"/>
          <w:highlight w:val="none"/>
        </w:rPr>
      </w:r>
      <w:r>
        <w:rPr>
          <w:highlight w:val="none"/>
        </w:rPr>
      </w:r>
    </w:p>
    <w:p>
      <w:pPr>
        <w:pStyle w:val="1210"/>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rPr>
          <w:highlight w:val="none"/>
        </w:rPr>
      </w:r>
    </w:p>
    <w:p>
      <w:pPr>
        <w:pStyle w:val="121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rPr>
          <w:highlight w:val="none"/>
        </w:rPr>
      </w:r>
    </w:p>
    <w:p>
      <w:pPr>
        <w:pStyle w:val="1168"/>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rPr>
          <w:highlight w:val="none"/>
        </w:rPr>
      </w:r>
    </w:p>
    <w:p>
      <w:pPr>
        <w:pStyle w:val="1168"/>
        <w:ind w:right="-5"/>
        <w:spacing w:line="360" w:lineRule="auto"/>
        <w:rPr>
          <w:b/>
          <w:color w:val="000000"/>
          <w:sz w:val="24"/>
          <w:szCs w:val="24"/>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rPr>
          <w:highlight w:val="none"/>
        </w:rPr>
      </w:r>
    </w:p>
    <w:p>
      <w:pPr>
        <w:pStyle w:val="1168"/>
        <w:spacing w:after="156" w:line="440" w:lineRule="exact"/>
        <w:rPr>
          <w:b/>
          <w:bCs/>
          <w:color w:val="000000"/>
          <w:sz w:val="24"/>
          <w:szCs w:val="22"/>
          <w:highlight w:val="none"/>
        </w:rPr>
        <w:outlineLvl w:val="1"/>
      </w:pPr>
      <w:r>
        <w:rPr>
          <w:highlight w:val="none"/>
        </w:rPr>
      </w:r>
      <w:bookmarkStart w:id="306" w:name="_Toc16179"/>
      <w:r>
        <w:rPr>
          <w:highlight w:val="none"/>
        </w:rPr>
      </w:r>
      <w:bookmarkStart w:id="307"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306"/>
      <w:r>
        <w:rPr>
          <w:b/>
          <w:bCs/>
          <w:color w:val="000000"/>
          <w:sz w:val="24"/>
          <w:szCs w:val="22"/>
          <w:highlight w:val="none"/>
          <w:lang w:val="zh-CN"/>
        </w:rPr>
      </w:r>
      <w:r>
        <w:rPr>
          <w:highlight w:val="none"/>
        </w:rP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68"/>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rPr>
                <w:highlight w:val="none"/>
              </w:rPr>
            </w:r>
          </w:p>
        </w:tc>
        <w:tc>
          <w:tcPr>
            <w:tcW w:w="7513" w:type="dxa"/>
            <w:vAlign w:val="center"/>
            <w:textDirection w:val="lrTb"/>
            <w:noWrap w:val="false"/>
          </w:tcPr>
          <w:p>
            <w:pPr>
              <w:pStyle w:val="1168"/>
              <w:spacing w:line="312" w:lineRule="atLeast"/>
              <w:rPr>
                <w:b/>
                <w:bCs/>
                <w:color w:val="000000"/>
                <w:szCs w:val="21"/>
                <w:highlight w:val="none"/>
              </w:rPr>
            </w:pPr>
            <w:r>
              <w:rPr>
                <w:b/>
                <w:bCs/>
                <w:color w:val="000000"/>
                <w:szCs w:val="21"/>
                <w:highlight w:val="none"/>
              </w:rPr>
            </w:r>
            <w:r>
              <w:rPr>
                <w:highlight w:val="none"/>
              </w:rPr>
            </w:r>
          </w:p>
        </w:tc>
      </w:tr>
      <w:tr>
        <w:trPr>
          <w:trHeight w:val="986"/>
        </w:trPr>
        <w:tc>
          <w:tcPr>
            <w:tcW w:w="1809" w:type="dxa"/>
            <w:vAlign w:val="center"/>
            <w:textDirection w:val="lrTb"/>
            <w:noWrap w:val="false"/>
          </w:tcPr>
          <w:p>
            <w:pPr>
              <w:pStyle w:val="1168"/>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rPr>
                <w:highlight w:val="none"/>
              </w:rPr>
            </w:r>
          </w:p>
        </w:tc>
        <w:tc>
          <w:tcPr>
            <w:tcW w:w="7513" w:type="dxa"/>
            <w:vAlign w:val="center"/>
            <w:textDirection w:val="lrTb"/>
            <w:noWrap w:val="false"/>
          </w:tcPr>
          <w:p>
            <w:pPr>
              <w:pStyle w:val="1168"/>
              <w:spacing w:line="312" w:lineRule="atLeast"/>
              <w:rPr>
                <w:b/>
                <w:bCs/>
                <w:color w:val="000000"/>
                <w:szCs w:val="21"/>
                <w:highlight w:val="none"/>
              </w:rPr>
            </w:pPr>
            <w:r>
              <w:rPr>
                <w:b/>
                <w:bCs/>
                <w:color w:val="000000"/>
                <w:szCs w:val="21"/>
                <w:highlight w:val="none"/>
              </w:rPr>
            </w:r>
            <w:r>
              <w:rPr>
                <w:highlight w:val="none"/>
              </w:rPr>
            </w:r>
          </w:p>
        </w:tc>
      </w:tr>
      <w:tr>
        <w:trPr>
          <w:trHeight w:val="1114"/>
        </w:trPr>
        <w:tc>
          <w:tcPr>
            <w:tcW w:w="1809" w:type="dxa"/>
            <w:vAlign w:val="center"/>
            <w:textDirection w:val="lrTb"/>
            <w:noWrap w:val="false"/>
          </w:tcPr>
          <w:p>
            <w:pPr>
              <w:pStyle w:val="1168"/>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rPr>
                <w:highlight w:val="none"/>
              </w:rPr>
            </w:r>
          </w:p>
        </w:tc>
        <w:tc>
          <w:tcPr>
            <w:tcW w:w="7513" w:type="dxa"/>
            <w:vAlign w:val="center"/>
            <w:textDirection w:val="lrTb"/>
            <w:noWrap w:val="false"/>
          </w:tcPr>
          <w:p>
            <w:pPr>
              <w:pStyle w:val="1168"/>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rPr>
                <w:highlight w:val="none"/>
              </w:rPr>
            </w:r>
          </w:p>
        </w:tc>
      </w:tr>
      <w:tr>
        <w:trPr>
          <w:trHeight w:val="1130"/>
        </w:trPr>
        <w:tc>
          <w:tcPr>
            <w:tcW w:w="1809" w:type="dxa"/>
            <w:vAlign w:val="center"/>
            <w:textDirection w:val="lrTb"/>
            <w:noWrap w:val="false"/>
          </w:tcPr>
          <w:p>
            <w:pPr>
              <w:pStyle w:val="1168"/>
              <w:jc w:val="center"/>
              <w:rPr>
                <w:b/>
                <w:bCs/>
                <w:color w:val="000000"/>
                <w:highlight w:val="none"/>
              </w:rPr>
            </w:pPr>
            <w:r>
              <w:rPr>
                <w:b/>
                <w:bCs/>
                <w:color w:val="000000"/>
                <w:highlight w:val="none"/>
                <w:lang w:val="zh-CN"/>
              </w:rPr>
              <w:t xml:space="preserve">供应商所在区域</w:t>
            </w:r>
            <w:r>
              <w:rPr>
                <w:b/>
                <w:bCs/>
                <w:color w:val="000000"/>
                <w:highlight w:val="none"/>
                <w:lang w:val="zh-CN"/>
              </w:rPr>
            </w:r>
            <w:r>
              <w:rPr>
                <w:highlight w:val="none"/>
              </w:rPr>
            </w:r>
          </w:p>
          <w:p>
            <w:pPr>
              <w:pStyle w:val="1168"/>
              <w:jc w:val="center"/>
              <w:spacing w:line="312" w:lineRule="atLeast"/>
              <w:rPr>
                <w:b/>
                <w:bCs/>
                <w:color w:val="000000"/>
                <w:highlight w:val="none"/>
              </w:rPr>
            </w:pPr>
            <w:r>
              <w:rPr>
                <w:b/>
                <w:bCs/>
                <w:color w:val="000000"/>
                <w:highlight w:val="none"/>
                <w:lang w:val="zh-CN"/>
              </w:rPr>
              <w:t xml:space="preserve">（细化到省份）</w:t>
            </w:r>
            <w:r>
              <w:rPr>
                <w:b/>
                <w:bCs/>
                <w:color w:val="000000"/>
                <w:highlight w:val="none"/>
                <w:lang w:val="zh-CN"/>
              </w:rPr>
            </w:r>
            <w:r>
              <w:rPr>
                <w:highlight w:val="none"/>
              </w:rPr>
            </w:r>
          </w:p>
        </w:tc>
        <w:tc>
          <w:tcPr>
            <w:tcW w:w="7513" w:type="dxa"/>
            <w:vAlign w:val="center"/>
            <w:textDirection w:val="lrTb"/>
            <w:noWrap w:val="false"/>
          </w:tcPr>
          <w:p>
            <w:pPr>
              <w:pStyle w:val="1168"/>
              <w:spacing w:line="312" w:lineRule="atLeast"/>
              <w:rPr>
                <w:b/>
                <w:bCs/>
                <w:color w:val="000000"/>
                <w:szCs w:val="21"/>
                <w:highlight w:val="none"/>
              </w:rPr>
            </w:pPr>
            <w:r>
              <w:rPr>
                <w:b/>
                <w:bCs/>
                <w:color w:val="000000"/>
                <w:szCs w:val="21"/>
                <w:highlight w:val="none"/>
              </w:rPr>
            </w:r>
            <w:r>
              <w:rPr>
                <w:highlight w:val="none"/>
              </w:rPr>
            </w:r>
          </w:p>
        </w:tc>
      </w:tr>
      <w:tr>
        <w:trPr>
          <w:trHeight w:val="835"/>
        </w:trPr>
        <w:tc>
          <w:tcPr>
            <w:tcW w:w="1809" w:type="dxa"/>
            <w:vAlign w:val="center"/>
            <w:textDirection w:val="lrTb"/>
            <w:noWrap w:val="false"/>
          </w:tcPr>
          <w:p>
            <w:pPr>
              <w:pStyle w:val="1168"/>
              <w:jc w:val="center"/>
              <w:rPr>
                <w:b/>
                <w:bCs/>
                <w:color w:val="000000"/>
                <w:highlight w:val="none"/>
              </w:rPr>
            </w:pPr>
            <w:r>
              <w:rPr>
                <w:b/>
                <w:bCs/>
                <w:color w:val="000000"/>
                <w:highlight w:val="none"/>
                <w:lang w:val="zh-CN"/>
              </w:rPr>
              <w:t xml:space="preserve">是否特殊性质</w:t>
            </w:r>
            <w:r>
              <w:rPr>
                <w:b/>
                <w:bCs/>
                <w:color w:val="000000"/>
                <w:highlight w:val="none"/>
                <w:lang w:val="zh-CN"/>
              </w:rPr>
            </w:r>
            <w:r>
              <w:rPr>
                <w:highlight w:val="none"/>
              </w:rPr>
            </w:r>
          </w:p>
        </w:tc>
        <w:tc>
          <w:tcPr>
            <w:tcW w:w="7513" w:type="dxa"/>
            <w:vAlign w:val="center"/>
            <w:textDirection w:val="lrTb"/>
            <w:noWrap w:val="false"/>
          </w:tcPr>
          <w:p>
            <w:pPr>
              <w:pStyle w:val="1168"/>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rPr>
                <w:highlight w:val="none"/>
              </w:rPr>
            </w:r>
          </w:p>
        </w:tc>
      </w:tr>
    </w:tbl>
    <w:p>
      <w:pPr>
        <w:pStyle w:val="1168"/>
        <w:rPr>
          <w:color w:val="000000"/>
          <w:highlight w:val="none"/>
        </w:rPr>
      </w:pPr>
      <w:r>
        <w:rPr>
          <w:color w:val="000000"/>
          <w:highlight w:val="none"/>
          <w:lang w:val="zh-CN"/>
        </w:rPr>
        <w:t xml:space="preserve">注：</w:t>
      </w:r>
      <w:r>
        <w:rPr>
          <w:color w:val="000000"/>
          <w:highlight w:val="none"/>
          <w:lang w:val="zh-CN"/>
        </w:rPr>
      </w:r>
      <w:r>
        <w:rPr>
          <w:highlight w:val="none"/>
        </w:rPr>
      </w:r>
    </w:p>
    <w:p>
      <w:pPr>
        <w:pStyle w:val="1168"/>
        <w:ind w:firstLine="218"/>
        <w:spacing w:line="360" w:lineRule="auto"/>
        <w:rPr>
          <w:color w:val="000000"/>
          <w:highlight w:val="none"/>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rPr>
          <w:highlight w:val="none"/>
        </w:rPr>
      </w:r>
    </w:p>
    <w:p>
      <w:pPr>
        <w:pStyle w:val="1168"/>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rPr>
          <w:highlight w:val="none"/>
        </w:rPr>
      </w:r>
    </w:p>
    <w:p>
      <w:pPr>
        <w:pStyle w:val="1168"/>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rPr>
          <w:highlight w:val="none"/>
        </w:rPr>
      </w:r>
    </w:p>
    <w:p>
      <w:pPr>
        <w:pStyle w:val="1168"/>
        <w:spacing w:after="156" w:line="440" w:lineRule="exact"/>
        <w:rPr>
          <w:b/>
          <w:bCs/>
          <w:color w:val="000000"/>
          <w:sz w:val="24"/>
          <w:szCs w:val="22"/>
          <w:highlight w:val="none"/>
        </w:rPr>
        <w:outlineLvl w:val="1"/>
      </w:pPr>
      <w:r>
        <w:rPr>
          <w:highlight w:val="none"/>
        </w:rPr>
      </w:r>
      <w:bookmarkStart w:id="308" w:name="_Toc998"/>
      <w:r>
        <w:rPr>
          <w:b/>
          <w:bCs/>
          <w:color w:val="000000"/>
          <w:sz w:val="24"/>
          <w:szCs w:val="22"/>
          <w:highlight w:val="none"/>
          <w:lang w:val="zh-CN"/>
        </w:rPr>
        <w:br w:type="page" w:clear="all"/>
      </w:r>
      <w:bookmarkStart w:id="309" w:name="_Toc7376"/>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308"/>
      <w:r>
        <w:rPr>
          <w:highlight w:val="none"/>
        </w:rPr>
      </w:r>
      <w:bookmarkEnd w:id="309"/>
      <w:r>
        <w:rPr>
          <w:b/>
          <w:bCs/>
          <w:color w:val="000000"/>
          <w:sz w:val="24"/>
          <w:szCs w:val="22"/>
          <w:highlight w:val="none"/>
        </w:rPr>
      </w:r>
      <w:r>
        <w:rPr>
          <w:highlight w:val="none"/>
        </w:rPr>
      </w:r>
    </w:p>
    <w:p>
      <w:pPr>
        <w:pStyle w:val="1168"/>
        <w:ind w:firstLine="422"/>
        <w:jc w:val="center"/>
        <w:spacing w:line="360" w:lineRule="auto"/>
        <w:rPr>
          <w:b/>
          <w:bCs/>
          <w:color w:val="000000"/>
          <w:szCs w:val="21"/>
          <w:highlight w:val="none"/>
        </w:rPr>
      </w:pPr>
      <w:r>
        <w:rPr>
          <w:b/>
          <w:bCs/>
          <w:color w:val="000000"/>
          <w:szCs w:val="21"/>
          <w:highlight w:val="none"/>
        </w:rPr>
        <w:t xml:space="preserve">中小企业划型标准规定</w:t>
      </w:r>
      <w:r>
        <w:rPr>
          <w:b/>
          <w:bCs/>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一、根据《中华人民共和国中小企业促进法》和《国务院关于进一步促进中小企业发展的若干意见》(国发〔2009〕36号)，制定本规定。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二、中小企业划分为中型、小型、微型三种类型，具体标准根据企业从业人员、营业收入、资产总额等指标，结合行业特点制定。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四、各行业划型标准为：</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r>
      <w:r>
        <w:rPr>
          <w:highlight w:val="none"/>
        </w:rPr>
      </w:r>
    </w:p>
    <w:p>
      <w:pPr>
        <w:pStyle w:val="1168"/>
        <w:ind w:firstLine="422"/>
        <w:jc w:val="left"/>
        <w:spacing w:line="360" w:lineRule="auto"/>
        <w:rPr>
          <w:b/>
          <w:bCs/>
          <w:color w:val="000000"/>
          <w:szCs w:val="21"/>
          <w:highlight w:val="none"/>
        </w:rPr>
      </w:pPr>
      <w:r>
        <w:rPr>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五、企业类型的划分以统计部门的统计数据为依据。</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六、本规定适用于在中华人民共和国境内依法设立的各类所有制和各种组织形式的企业。个体工商户和本规定以外的行业，参照本规定进行划型。</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八、本规定由工业和信息化部、国家统计局会同有关部门根据《国民经济行业分类》修订情况和企业发展变化情况适时修订。</w:t>
      </w:r>
      <w:r>
        <w:rPr>
          <w:color w:val="000000"/>
          <w:szCs w:val="21"/>
          <w:highlight w:val="none"/>
        </w:rPr>
      </w:r>
      <w:r>
        <w:rPr>
          <w:highlight w:val="none"/>
        </w:rPr>
      </w:r>
    </w:p>
    <w:p>
      <w:pPr>
        <w:pStyle w:val="1168"/>
        <w:ind w:firstLine="420"/>
        <w:jc w:val="left"/>
        <w:spacing w:line="360" w:lineRule="auto"/>
        <w:rPr>
          <w:color w:val="000000"/>
          <w:szCs w:val="21"/>
          <w:highlight w:val="none"/>
        </w:rPr>
      </w:pPr>
      <w:r>
        <w:rPr>
          <w:color w:val="000000"/>
          <w:szCs w:val="21"/>
          <w:highlight w:val="none"/>
        </w:rPr>
        <w:t xml:space="preserve">九、本规定由工业和信息化部、国家统计局会同有关部门负责解释。</w:t>
      </w:r>
      <w:r>
        <w:rPr>
          <w:color w:val="000000"/>
          <w:szCs w:val="21"/>
          <w:highlight w:val="none"/>
        </w:rPr>
      </w:r>
      <w:r>
        <w:rPr>
          <w:highlight w:val="none"/>
        </w:rPr>
      </w:r>
    </w:p>
    <w:p>
      <w:pPr>
        <w:pStyle w:val="1168"/>
        <w:spacing w:line="360" w:lineRule="auto"/>
        <w:rPr>
          <w:b/>
          <w:bCs/>
          <w:color w:val="000000"/>
          <w:sz w:val="24"/>
          <w:szCs w:val="22"/>
          <w:highlight w:val="none"/>
        </w:rPr>
      </w:pPr>
      <w:r>
        <w:rPr>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307"/>
      <w:r>
        <w:rPr>
          <w:highlight w:val="none"/>
        </w:rPr>
      </w:r>
      <w:bookmarkStart w:id="310" w:name="_Toc4696438"/>
      <w:r>
        <w:rPr>
          <w:b/>
          <w:bCs/>
          <w:color w:val="000000"/>
          <w:sz w:val="24"/>
          <w:szCs w:val="22"/>
          <w:highlight w:val="none"/>
          <w:lang w:val="zh-CN"/>
        </w:rPr>
      </w:r>
      <w:r>
        <w:rPr>
          <w:highlight w:val="none"/>
        </w:rPr>
      </w:r>
    </w:p>
    <w:p>
      <w:pPr>
        <w:pStyle w:val="1168"/>
        <w:spacing w:line="360" w:lineRule="auto"/>
        <w:rPr>
          <w:b/>
          <w:color w:val="000000"/>
          <w:highlight w:val="none"/>
        </w:rPr>
        <w:outlineLvl w:val="1"/>
      </w:pPr>
      <w:r>
        <w:rPr>
          <w:highlight w:val="none"/>
        </w:rPr>
      </w:r>
      <w:bookmarkStart w:id="311" w:name="_Toc14107"/>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310"/>
      <w:r>
        <w:rPr>
          <w:highlight w:val="none"/>
        </w:rPr>
      </w:r>
      <w:bookmarkEnd w:id="311"/>
      <w:r>
        <w:rPr>
          <w:b/>
          <w:color w:val="000000"/>
          <w:highlight w:val="none"/>
        </w:rPr>
      </w:r>
      <w:r>
        <w:rPr>
          <w:highlight w:val="none"/>
        </w:rPr>
      </w:r>
    </w:p>
    <w:p>
      <w:pPr>
        <w:pStyle w:val="1168"/>
        <w:jc w:val="left"/>
        <w:spacing w:line="360" w:lineRule="auto"/>
        <w:rPr>
          <w:b/>
          <w:bCs/>
          <w:color w:val="000000"/>
          <w:szCs w:val="21"/>
          <w:highlight w:val="none"/>
        </w:rPr>
        <w:outlineLvl w:val="2"/>
      </w:pPr>
      <w:r>
        <w:rPr>
          <w:highlight w:val="none"/>
        </w:rPr>
      </w:r>
      <w:bookmarkStart w:id="312" w:name="_Toc4696439"/>
      <w:r>
        <w:rPr>
          <w:highlight w:val="none"/>
        </w:rPr>
      </w:r>
      <w:bookmarkStart w:id="313" w:name="_Toc16540"/>
      <w:r>
        <w:rPr>
          <w:highlight w:val="none"/>
        </w:rPr>
      </w:r>
      <w:bookmarkStart w:id="314" w:name="_Toc16898"/>
      <w:r>
        <w:rPr>
          <w:b/>
          <w:bCs/>
          <w:color w:val="000000"/>
          <w:szCs w:val="21"/>
          <w:highlight w:val="none"/>
          <w:lang w:val="zh-CN"/>
        </w:rPr>
        <w:t xml:space="preserve">1、法人或其他组织的营业执照等证明文件（复印件加盖公章）</w:t>
      </w:r>
      <w:bookmarkEnd w:id="312"/>
      <w:r>
        <w:rPr>
          <w:highlight w:val="none"/>
        </w:rPr>
      </w:r>
      <w:bookmarkEnd w:id="313"/>
      <w:r>
        <w:rPr>
          <w:highlight w:val="none"/>
        </w:rPr>
      </w:r>
      <w:bookmarkEnd w:id="314"/>
      <w:r>
        <w:rPr>
          <w:b/>
          <w:bCs/>
          <w:color w:val="000000"/>
          <w:szCs w:val="21"/>
          <w:highlight w:val="none"/>
          <w:lang w:val="zh-CN"/>
        </w:rPr>
      </w:r>
      <w:r>
        <w:rPr>
          <w:highlight w:val="none"/>
        </w:rPr>
      </w:r>
    </w:p>
    <w:p>
      <w:pPr>
        <w:pStyle w:val="1168"/>
        <w:spacing w:line="440" w:lineRule="exact"/>
        <w:rPr>
          <w:color w:val="000000"/>
          <w:sz w:val="24"/>
          <w:szCs w:val="24"/>
          <w:highlight w:val="none"/>
        </w:rPr>
      </w:pPr>
      <w:r>
        <w:rPr>
          <w:color w:val="000000"/>
          <w:szCs w:val="21"/>
          <w:highlight w:val="none"/>
        </w:rPr>
        <w:t xml:space="preserve">注：投标人为法人单位的需提交有效的营业执照并加盖公章，投标人为其他组织的需提供有效的证明文件并加盖有效印章。</w:t>
      </w: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360" w:lineRule="auto"/>
        <w:rPr>
          <w:b/>
          <w:bCs/>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highlight w:val="none"/>
        </w:rPr>
      </w:r>
      <w:bookmarkStart w:id="315" w:name="_Toc4696440"/>
      <w:r>
        <w:rPr>
          <w:b/>
          <w:bCs/>
          <w:color w:val="000000"/>
          <w:szCs w:val="21"/>
          <w:highlight w:val="none"/>
          <w:lang w:val="zh-CN"/>
        </w:rPr>
      </w:r>
      <w:r>
        <w:rPr>
          <w:highlight w:val="none"/>
        </w:rPr>
      </w:r>
    </w:p>
    <w:p>
      <w:pPr>
        <w:pStyle w:val="1168"/>
        <w:jc w:val="left"/>
        <w:spacing w:line="360" w:lineRule="auto"/>
        <w:rPr>
          <w:b/>
          <w:bCs/>
          <w:color w:val="000000"/>
          <w:szCs w:val="21"/>
          <w:highlight w:val="none"/>
        </w:rPr>
        <w:outlineLvl w:val="2"/>
      </w:pPr>
      <w:r>
        <w:rPr>
          <w:highlight w:val="none"/>
        </w:rPr>
      </w:r>
      <w:bookmarkStart w:id="316" w:name="_Toc24738"/>
      <w:r>
        <w:rPr>
          <w:highlight w:val="none"/>
        </w:rPr>
      </w:r>
      <w:bookmarkStart w:id="317" w:name="_Toc31337"/>
      <w:r>
        <w:rPr>
          <w:b/>
          <w:bCs/>
          <w:color w:val="000000"/>
          <w:szCs w:val="21"/>
          <w:highlight w:val="none"/>
          <w:lang w:val="zh-CN"/>
        </w:rPr>
        <w:t xml:space="preserve">2、法人代表授权书</w:t>
      </w:r>
      <w:bookmarkEnd w:id="315"/>
      <w:r>
        <w:rPr>
          <w:highlight w:val="none"/>
        </w:rPr>
      </w:r>
      <w:bookmarkEnd w:id="316"/>
      <w:r>
        <w:rPr>
          <w:highlight w:val="none"/>
        </w:rPr>
      </w:r>
      <w:bookmarkEnd w:id="317"/>
      <w:r>
        <w:rPr>
          <w:b/>
          <w:bCs/>
          <w:color w:val="000000"/>
          <w:szCs w:val="21"/>
          <w:highlight w:val="none"/>
          <w:lang w:val="zh-CN"/>
        </w:rPr>
      </w:r>
      <w:r>
        <w:rPr>
          <w:highlight w:val="none"/>
        </w:rPr>
      </w:r>
    </w:p>
    <w:p>
      <w:pPr>
        <w:pStyle w:val="1168"/>
        <w:spacing w:line="360" w:lineRule="auto"/>
        <w:rPr>
          <w:b/>
          <w:color w:val="000000"/>
          <w:highlight w:val="none"/>
        </w:rPr>
      </w:pPr>
      <w:r>
        <w:rPr>
          <w:b/>
          <w:color w:val="000000"/>
          <w:highlight w:val="none"/>
        </w:rPr>
        <w:t xml:space="preserve">致江苏苏美达仪器设备有限公司：</w:t>
      </w:r>
      <w:r>
        <w:rPr>
          <w:b/>
          <w:color w:val="000000"/>
          <w:highlight w:val="none"/>
        </w:rPr>
      </w:r>
      <w:r>
        <w:rPr>
          <w:highlight w:val="none"/>
        </w:rPr>
      </w:r>
    </w:p>
    <w:p>
      <w:pPr>
        <w:pStyle w:val="1168"/>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rPr>
          <w:highlight w:val="none"/>
        </w:rPr>
      </w:r>
    </w:p>
    <w:p>
      <w:pPr>
        <w:pStyle w:val="1168"/>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授权代表签字： </w:t>
      </w:r>
      <w:r>
        <w:rPr>
          <w:color w:val="000000"/>
          <w:szCs w:val="21"/>
          <w:highlight w:val="none"/>
        </w:rPr>
      </w:r>
      <w:r>
        <w:rPr>
          <w:highlight w:val="none"/>
        </w:rPr>
      </w:r>
    </w:p>
    <w:p>
      <w:pPr>
        <w:pStyle w:val="1168"/>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spacing w:line="360" w:lineRule="auto"/>
        <w:rPr>
          <w:b/>
          <w:color w:val="000000"/>
          <w:szCs w:val="21"/>
          <w:highlight w:val="none"/>
        </w:rPr>
      </w:pPr>
      <w:r>
        <w:rPr>
          <w:color w:val="000000"/>
          <w:sz w:val="23"/>
          <w:highlight w:val="none"/>
        </w:rPr>
        <w:t xml:space="preserve"> </w:t>
      </w:r>
      <w:r>
        <w:rPr>
          <w:b/>
          <w:color w:val="000000"/>
          <w:szCs w:val="21"/>
          <w:highlight w:val="none"/>
        </w:rPr>
      </w:r>
      <w:r>
        <w:rPr>
          <w:highlight w:val="none"/>
        </w:rPr>
      </w:r>
    </w:p>
    <w:p>
      <w:pPr>
        <w:pStyle w:val="1168"/>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68"/>
              <w:spacing w:line="440" w:lineRule="exact"/>
              <w:rPr>
                <w:b/>
                <w:color w:val="000000"/>
                <w:highlight w:val="none"/>
              </w:rPr>
            </w:pPr>
            <w:r>
              <w:rPr>
                <w:b/>
                <w:color w:val="000000"/>
                <w:highlight w:val="none"/>
              </w:rPr>
            </w:r>
            <w:r>
              <w:rPr>
                <w:highlight w:val="none"/>
              </w:rPr>
            </w:r>
          </w:p>
        </w:tc>
      </w:tr>
    </w:tbl>
    <w:p>
      <w:pPr>
        <w:pStyle w:val="1168"/>
        <w:spacing w:line="440" w:lineRule="exact"/>
        <w:rPr>
          <w:color w:val="000000"/>
          <w:szCs w:val="22"/>
          <w:highlight w:val="none"/>
        </w:rPr>
      </w:pPr>
      <w:r>
        <w:rPr>
          <w:color w:val="000000"/>
          <w:szCs w:val="22"/>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rPr>
          <w:highlight w:val="none"/>
        </w:rPr>
      </w:r>
    </w:p>
    <w:p>
      <w:pPr>
        <w:pStyle w:val="1168"/>
        <w:jc w:val="left"/>
        <w:spacing w:line="360" w:lineRule="auto"/>
        <w:rPr>
          <w:b/>
          <w:bCs/>
          <w:color w:val="000000"/>
          <w:szCs w:val="21"/>
          <w:highlight w:val="none"/>
        </w:rPr>
        <w:outlineLvl w:val="2"/>
      </w:pPr>
      <w:r>
        <w:rPr>
          <w:highlight w:val="none"/>
        </w:rPr>
      </w:r>
      <w:bookmarkStart w:id="318" w:name="_Toc13344"/>
      <w:r>
        <w:rPr>
          <w:highlight w:val="none"/>
        </w:rPr>
      </w:r>
      <w:bookmarkStart w:id="319" w:name="_Toc5262"/>
      <w:r>
        <w:rPr>
          <w:highlight w:val="none"/>
        </w:rPr>
      </w:r>
      <w:bookmarkStart w:id="320" w:name="_Toc21138"/>
      <w:r>
        <w:rPr>
          <w:highlight w:val="none"/>
        </w:rPr>
      </w:r>
      <w:bookmarkStart w:id="321" w:name="_Toc4696441"/>
      <w:r>
        <w:rPr>
          <w:b/>
          <w:bCs/>
          <w:color w:val="000000"/>
          <w:szCs w:val="21"/>
          <w:highlight w:val="none"/>
        </w:rPr>
        <w:t xml:space="preserve">3</w:t>
      </w:r>
      <w:r>
        <w:rPr>
          <w:b/>
          <w:bCs/>
          <w:color w:val="000000"/>
          <w:szCs w:val="21"/>
          <w:highlight w:val="none"/>
          <w:lang w:val="zh-CN"/>
        </w:rPr>
        <w:t xml:space="preserve">、制造商授权书（如需）</w:t>
      </w:r>
      <w:bookmarkEnd w:id="318"/>
      <w:r>
        <w:rPr>
          <w:highlight w:val="none"/>
        </w:rPr>
      </w:r>
      <w:bookmarkEnd w:id="319"/>
      <w:r>
        <w:rPr>
          <w:highlight w:val="none"/>
        </w:rPr>
      </w:r>
      <w:bookmarkEnd w:id="320"/>
      <w:r>
        <w:rPr>
          <w:b/>
          <w:bCs/>
          <w:color w:val="000000"/>
          <w:szCs w:val="21"/>
          <w:highlight w:val="none"/>
          <w:lang w:val="zh-CN"/>
        </w:rPr>
      </w:r>
      <w:r>
        <w:rPr>
          <w:highlight w:val="none"/>
        </w:rPr>
      </w:r>
    </w:p>
    <w:p>
      <w:pPr>
        <w:pStyle w:val="1168"/>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rPr>
          <w:highlight w:val="none"/>
        </w:rPr>
      </w:r>
    </w:p>
    <w:p>
      <w:pPr>
        <w:pStyle w:val="1168"/>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rPr>
          <w:highlight w:val="none"/>
        </w:rPr>
      </w:r>
    </w:p>
    <w:p>
      <w:pPr>
        <w:pStyle w:val="1168"/>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rPr>
          <w:highlight w:val="none"/>
        </w:rPr>
      </w:r>
    </w:p>
    <w:p>
      <w:pPr>
        <w:pStyle w:val="1168"/>
        <w:ind w:firstLine="480"/>
        <w:spacing w:line="360" w:lineRule="auto"/>
        <w:rPr>
          <w:color w:val="000000"/>
          <w:szCs w:val="21"/>
          <w:highlight w:val="none"/>
        </w:rPr>
      </w:pPr>
      <w:r>
        <w:rPr>
          <w:color w:val="000000"/>
          <w:szCs w:val="21"/>
          <w:highlight w:val="none"/>
        </w:rPr>
      </w:r>
      <w:r>
        <w:rPr>
          <w:highlight w:val="none"/>
        </w:rPr>
      </w:r>
    </w:p>
    <w:p>
      <w:pPr>
        <w:pStyle w:val="1168"/>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rPr>
          <w:highlight w:val="none"/>
        </w:rPr>
      </w:r>
    </w:p>
    <w:p>
      <w:pPr>
        <w:pStyle w:val="1168"/>
        <w:jc w:val="left"/>
        <w:spacing w:line="360" w:lineRule="auto"/>
        <w:rPr>
          <w:b/>
          <w:bCs/>
          <w:color w:val="000000"/>
          <w:szCs w:val="21"/>
          <w:highlight w:val="none"/>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rPr>
          <w:highlight w:val="none"/>
        </w:rPr>
      </w:r>
    </w:p>
    <w:p>
      <w:pPr>
        <w:pStyle w:val="1168"/>
        <w:jc w:val="left"/>
        <w:spacing w:line="360" w:lineRule="auto"/>
        <w:rPr>
          <w:b/>
          <w:bCs/>
          <w:color w:val="000000"/>
          <w:szCs w:val="21"/>
          <w:highlight w:val="none"/>
        </w:rPr>
      </w:pPr>
      <w:r>
        <w:rPr>
          <w:b/>
          <w:bCs/>
          <w:color w:val="000000"/>
          <w:szCs w:val="21"/>
          <w:highlight w:val="none"/>
          <w:lang w:val="zh-CN"/>
        </w:rPr>
      </w:r>
      <w:r>
        <w:rPr>
          <w:highlight w:val="none"/>
        </w:rPr>
      </w:r>
    </w:p>
    <w:p>
      <w:pPr>
        <w:pStyle w:val="1168"/>
        <w:jc w:val="left"/>
        <w:spacing w:line="360" w:lineRule="auto"/>
        <w:rPr>
          <w:b/>
          <w:bCs/>
          <w:color w:val="000000"/>
          <w:szCs w:val="21"/>
          <w:highlight w:val="none"/>
        </w:rPr>
        <w:outlineLvl w:val="2"/>
      </w:pPr>
      <w:r>
        <w:rPr>
          <w:b/>
          <w:bCs/>
          <w:color w:val="000000"/>
          <w:szCs w:val="21"/>
          <w:highlight w:val="none"/>
          <w:lang w:val="zh-CN"/>
        </w:rPr>
        <w:br w:type="page" w:clear="all"/>
      </w:r>
      <w:bookmarkStart w:id="322" w:name="_Toc24557"/>
      <w:r>
        <w:rPr>
          <w:highlight w:val="none"/>
        </w:rPr>
      </w:r>
      <w:bookmarkStart w:id="323" w:name="_Toc27583"/>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321"/>
      <w:r>
        <w:rPr>
          <w:highlight w:val="none"/>
        </w:rPr>
      </w:r>
      <w:bookmarkEnd w:id="322"/>
      <w:r>
        <w:rPr>
          <w:highlight w:val="none"/>
        </w:rPr>
      </w:r>
      <w:bookmarkEnd w:id="323"/>
      <w:r>
        <w:rPr>
          <w:b/>
          <w:bCs/>
          <w:color w:val="000000"/>
          <w:szCs w:val="21"/>
          <w:highlight w:val="none"/>
          <w:lang w:val="zh-CN"/>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Cs w:val="21"/>
          <w:highlight w:val="none"/>
        </w:rPr>
        <w:t xml:space="preserve">提供</w:t>
      </w:r>
      <w:r>
        <w:rPr>
          <w:color w:val="000000"/>
          <w:highlight w:val="none"/>
        </w:rPr>
        <w:t xml:space="preserve">距开标时间六个月内任意一月份的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 w:val="24"/>
          <w:highlight w:val="none"/>
        </w:rPr>
      </w:r>
      <w:r>
        <w:rPr>
          <w:highlight w:val="none"/>
        </w:rPr>
      </w:r>
    </w:p>
    <w:p>
      <w:pPr>
        <w:pStyle w:val="1168"/>
        <w:jc w:val="left"/>
        <w:spacing w:line="360" w:lineRule="auto"/>
        <w:rPr>
          <w:color w:val="000000"/>
          <w:szCs w:val="21"/>
          <w:highlight w:val="none"/>
        </w:rPr>
      </w:pPr>
      <w:r>
        <w:rPr>
          <w:color w:val="000000"/>
          <w:szCs w:val="21"/>
          <w:highlight w:val="none"/>
          <w:lang w:val="zh-CN"/>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ind w:right="-5"/>
        <w:spacing w:line="440" w:lineRule="exact"/>
        <w:rPr>
          <w:color w:val="000000"/>
          <w:sz w:val="24"/>
          <w:highlight w:val="none"/>
        </w:rPr>
      </w:pPr>
      <w:r>
        <w:rPr>
          <w:color w:val="000000"/>
          <w:sz w:val="24"/>
          <w:highlight w:val="none"/>
        </w:rPr>
      </w:r>
      <w:r>
        <w:rPr>
          <w:highlight w:val="none"/>
        </w:rPr>
      </w:r>
    </w:p>
    <w:p>
      <w:pPr>
        <w:pStyle w:val="1168"/>
        <w:ind w:right="-5"/>
        <w:spacing w:line="440" w:lineRule="exact"/>
        <w:rPr>
          <w:color w:val="000000"/>
          <w:sz w:val="24"/>
          <w:highlight w:val="none"/>
        </w:rPr>
      </w:pPr>
      <w:r>
        <w:rPr>
          <w:color w:val="000000"/>
          <w:sz w:val="24"/>
          <w:highlight w:val="none"/>
        </w:rPr>
      </w:r>
      <w:r>
        <w:rPr>
          <w:highlight w:val="none"/>
        </w:rPr>
      </w:r>
    </w:p>
    <w:p>
      <w:pPr>
        <w:pStyle w:val="1168"/>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rPr>
          <w:highlight w:val="none"/>
        </w:rPr>
      </w:r>
    </w:p>
    <w:p>
      <w:pPr>
        <w:pStyle w:val="1168"/>
        <w:jc w:val="left"/>
        <w:spacing w:line="360" w:lineRule="auto"/>
        <w:rPr>
          <w:b/>
          <w:bCs/>
          <w:color w:val="000000"/>
          <w:szCs w:val="21"/>
          <w:highlight w:val="none"/>
        </w:rPr>
        <w:outlineLvl w:val="2"/>
      </w:pPr>
      <w:r>
        <w:rPr>
          <w:highlight w:val="none"/>
        </w:rPr>
      </w:r>
      <w:bookmarkStart w:id="324" w:name="_Toc32302"/>
      <w:r>
        <w:rPr>
          <w:highlight w:val="none"/>
        </w:rPr>
      </w:r>
      <w:bookmarkStart w:id="325" w:name="_Toc15262"/>
      <w:r>
        <w:rPr>
          <w:highlight w:val="none"/>
        </w:rPr>
      </w:r>
      <w:bookmarkStart w:id="326" w:name="_Toc16513"/>
      <w:r>
        <w:rPr>
          <w:highlight w:val="none"/>
        </w:rPr>
      </w:r>
      <w:bookmarkStart w:id="327" w:name="_Toc26758"/>
      <w:r>
        <w:rPr>
          <w:highlight w:val="none"/>
        </w:rPr>
      </w:r>
      <w:bookmarkStart w:id="328"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324"/>
      <w:r>
        <w:rPr>
          <w:highlight w:val="none"/>
        </w:rPr>
      </w:r>
      <w:bookmarkEnd w:id="325"/>
      <w:r>
        <w:rPr>
          <w:highlight w:val="none"/>
        </w:rPr>
      </w:r>
      <w:bookmarkEnd w:id="326"/>
      <w:r>
        <w:rPr>
          <w:highlight w:val="none"/>
        </w:rPr>
      </w:r>
      <w:bookmarkEnd w:id="327"/>
      <w:r>
        <w:rPr>
          <w:b/>
          <w:bCs/>
          <w:color w:val="000000"/>
          <w:szCs w:val="21"/>
          <w:highlight w:val="none"/>
          <w:lang w:val="zh-CN"/>
        </w:rPr>
      </w:r>
      <w:r>
        <w:rPr>
          <w:highlight w:val="none"/>
        </w:rPr>
      </w:r>
    </w:p>
    <w:p>
      <w:pPr>
        <w:pStyle w:val="1168"/>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highlight w:val="none"/>
        </w:rPr>
      </w:pPr>
      <w:r>
        <w:rPr>
          <w:color w:val="000000"/>
          <w:highlight w:val="none"/>
        </w:rPr>
        <w:t xml:space="preserve">承诺函参考格式：</w:t>
      </w:r>
      <w:r>
        <w:rPr>
          <w:color w:val="000000"/>
          <w:highlight w:val="none"/>
        </w:rPr>
      </w:r>
      <w:r>
        <w:rPr>
          <w:highlight w:val="none"/>
        </w:rPr>
      </w:r>
    </w:p>
    <w:p>
      <w:pPr>
        <w:pStyle w:val="1215"/>
        <w:ind w:firstLine="211"/>
        <w:jc w:val="center"/>
        <w:rPr>
          <w:rFonts w:ascii="Times New Roman"/>
          <w:b/>
          <w:color w:val="000000"/>
          <w:sz w:val="21"/>
          <w:highlight w:val="none"/>
        </w:rPr>
      </w:pPr>
      <w:r>
        <w:rPr>
          <w:rFonts w:ascii="Times New Roman"/>
          <w:b/>
          <w:color w:val="000000"/>
          <w:sz w:val="21"/>
          <w:highlight w:val="none"/>
        </w:rPr>
      </w:r>
      <w:r>
        <w:rPr>
          <w:highlight w:val="none"/>
        </w:rPr>
      </w:r>
    </w:p>
    <w:p>
      <w:pPr>
        <w:pStyle w:val="1215"/>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rPr>
          <w:highlight w:val="none"/>
        </w:rPr>
      </w:r>
    </w:p>
    <w:p>
      <w:pPr>
        <w:pStyle w:val="1215"/>
        <w:ind w:firstLine="210"/>
        <w:rPr>
          <w:rFonts w:ascii="Times New Roman"/>
          <w:color w:val="000000"/>
          <w:sz w:val="21"/>
          <w:highlight w:val="none"/>
        </w:rPr>
      </w:pPr>
      <w:r>
        <w:rPr>
          <w:rFonts w:ascii="Times New Roman"/>
          <w:color w:val="000000"/>
          <w:sz w:val="21"/>
          <w:highlight w:val="none"/>
        </w:rPr>
      </w:r>
      <w:r>
        <w:rPr>
          <w:highlight w:val="none"/>
        </w:rPr>
      </w:r>
    </w:p>
    <w:p>
      <w:pPr>
        <w:pStyle w:val="1215"/>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日期：</w:t>
      </w:r>
      <w:r>
        <w:rPr>
          <w:color w:val="000000"/>
          <w:szCs w:val="21"/>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rPr>
          <w:highlight w:val="none"/>
        </w:rPr>
      </w:r>
    </w:p>
    <w:p>
      <w:pPr>
        <w:pStyle w:val="1168"/>
        <w:jc w:val="left"/>
        <w:spacing w:line="360" w:lineRule="auto"/>
        <w:rPr>
          <w:b/>
          <w:bCs/>
          <w:color w:val="000000"/>
          <w:szCs w:val="21"/>
          <w:highlight w:val="none"/>
        </w:rPr>
        <w:outlineLvl w:val="2"/>
      </w:pPr>
      <w:r>
        <w:rPr>
          <w:highlight w:val="none"/>
        </w:rPr>
      </w:r>
      <w:bookmarkEnd w:id="328"/>
      <w:r>
        <w:rPr>
          <w:highlight w:val="none"/>
        </w:rPr>
      </w:r>
      <w:bookmarkStart w:id="329" w:name="_Toc22950"/>
      <w:r>
        <w:rPr>
          <w:highlight w:val="none"/>
        </w:rPr>
      </w:r>
      <w:bookmarkStart w:id="330" w:name="_Toc1099"/>
      <w:r>
        <w:rPr>
          <w:highlight w:val="none"/>
        </w:rPr>
      </w:r>
      <w:bookmarkStart w:id="331" w:name="_Toc29180"/>
      <w:r>
        <w:rPr>
          <w:highlight w:val="none"/>
        </w:rPr>
      </w:r>
      <w:bookmarkStart w:id="332" w:name="_Toc9769"/>
      <w:r>
        <w:rPr>
          <w:highlight w:val="none"/>
        </w:rPr>
      </w:r>
      <w:bookmarkStart w:id="333" w:name="_Toc4696444"/>
      <w:r>
        <w:rPr>
          <w:b/>
          <w:bCs/>
          <w:color w:val="000000"/>
          <w:szCs w:val="21"/>
          <w:highlight w:val="none"/>
        </w:rPr>
        <w:t xml:space="preserve">6、参加政府采购活动近三年内（成立时间不足三年的、自成立时间起），在经营活动中没有重大违法记录</w:t>
      </w:r>
      <w:bookmarkEnd w:id="329"/>
      <w:r>
        <w:rPr>
          <w:highlight w:val="none"/>
        </w:rPr>
      </w:r>
      <w:bookmarkEnd w:id="330"/>
      <w:r>
        <w:rPr>
          <w:highlight w:val="none"/>
        </w:rPr>
      </w:r>
      <w:bookmarkEnd w:id="331"/>
      <w:r>
        <w:rPr>
          <w:highlight w:val="none"/>
        </w:rPr>
      </w:r>
      <w:bookmarkEnd w:id="332"/>
      <w:r>
        <w:rPr>
          <w:b/>
          <w:bCs/>
          <w:color w:val="000000"/>
          <w:szCs w:val="21"/>
          <w:highlight w:val="none"/>
        </w:rPr>
      </w:r>
      <w:r>
        <w:rPr>
          <w:highlight w:val="none"/>
        </w:rPr>
      </w:r>
    </w:p>
    <w:p>
      <w:pPr>
        <w:pStyle w:val="1168"/>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rPr>
          <w:highlight w:val="none"/>
        </w:rPr>
      </w:r>
    </w:p>
    <w:p>
      <w:pPr>
        <w:pStyle w:val="1168"/>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rPr>
          <w:highlight w:val="none"/>
        </w:rPr>
      </w:r>
    </w:p>
    <w:p>
      <w:pPr>
        <w:pStyle w:val="1168"/>
        <w:rPr>
          <w:color w:val="000000"/>
          <w:sz w:val="30"/>
          <w:szCs w:val="30"/>
          <w:highlight w:val="none"/>
        </w:rPr>
      </w:pPr>
      <w:r>
        <w:rPr>
          <w:color w:val="000000"/>
          <w:sz w:val="30"/>
          <w:szCs w:val="30"/>
          <w:highlight w:val="none"/>
        </w:rPr>
      </w:r>
      <w:r>
        <w:rPr>
          <w:highlight w:val="none"/>
        </w:rPr>
      </w:r>
    </w:p>
    <w:p>
      <w:pPr>
        <w:pStyle w:val="1168"/>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rPr>
          <w:highlight w:val="none"/>
        </w:rPr>
      </w:r>
    </w:p>
    <w:p>
      <w:pPr>
        <w:pStyle w:val="1168"/>
        <w:ind w:firstLine="420"/>
        <w:spacing w:line="360" w:lineRule="auto"/>
        <w:rPr>
          <w:color w:val="000000"/>
          <w:highlight w:val="none"/>
        </w:rPr>
      </w:pPr>
      <w:r>
        <w:rPr>
          <w:color w:val="000000"/>
          <w:highlight w:val="none"/>
        </w:rPr>
      </w:r>
      <w:r>
        <w:rPr>
          <w:highlight w:val="none"/>
        </w:rPr>
      </w:r>
    </w:p>
    <w:p>
      <w:pPr>
        <w:pStyle w:val="1168"/>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rPr>
          <w:highlight w:val="none"/>
        </w:rPr>
      </w:r>
    </w:p>
    <w:p>
      <w:pPr>
        <w:pStyle w:val="1168"/>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rPr>
          <w:highlight w:val="none"/>
        </w:rPr>
      </w:r>
    </w:p>
    <w:p>
      <w:pPr>
        <w:pStyle w:val="1168"/>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jc w:val="left"/>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sz w:val="24"/>
          <w:szCs w:val="24"/>
          <w:highlight w:val="none"/>
        </w:rPr>
      </w:r>
      <w:r>
        <w:rPr>
          <w:highlight w:val="none"/>
        </w:rPr>
      </w:r>
    </w:p>
    <w:p>
      <w:pPr>
        <w:pStyle w:val="1168"/>
        <w:ind w:left="-2" w:right="-5"/>
        <w:spacing w:line="440" w:lineRule="exact"/>
        <w:rPr>
          <w:color w:val="000000"/>
          <w:sz w:val="24"/>
          <w:highlight w:val="none"/>
        </w:rPr>
      </w:pPr>
      <w:r>
        <w:rPr>
          <w:color w:val="000000"/>
          <w:sz w:val="24"/>
          <w:highlight w:val="none"/>
        </w:rPr>
      </w:r>
      <w:r>
        <w:rPr>
          <w:highlight w:val="none"/>
        </w:rPr>
      </w:r>
    </w:p>
    <w:p>
      <w:pPr>
        <w:pStyle w:val="1168"/>
        <w:jc w:val="left"/>
        <w:spacing w:line="360" w:lineRule="auto"/>
        <w:rPr>
          <w:b/>
          <w:bCs/>
          <w:color w:val="000000"/>
          <w:szCs w:val="21"/>
          <w:highlight w:val="none"/>
        </w:rPr>
        <w:outlineLvl w:val="2"/>
      </w:pPr>
      <w:r>
        <w:rPr>
          <w:b/>
          <w:bCs/>
          <w:color w:val="000000"/>
          <w:szCs w:val="21"/>
          <w:highlight w:val="none"/>
        </w:rPr>
        <w:br w:type="page" w:clear="all"/>
      </w:r>
      <w:bookmarkStart w:id="334" w:name="_Toc27305"/>
      <w:r>
        <w:rPr>
          <w:highlight w:val="none"/>
        </w:rPr>
      </w:r>
      <w:bookmarkStart w:id="335" w:name="_Toc5285"/>
      <w:r>
        <w:rPr>
          <w:b/>
          <w:bCs/>
          <w:color w:val="000000"/>
          <w:szCs w:val="21"/>
          <w:highlight w:val="none"/>
        </w:rPr>
        <w:t xml:space="preserve">7、依法缴纳税收的记录</w:t>
      </w:r>
      <w:bookmarkEnd w:id="333"/>
      <w:r>
        <w:rPr>
          <w:highlight w:val="none"/>
        </w:rPr>
      </w:r>
      <w:bookmarkEnd w:id="334"/>
      <w:r>
        <w:rPr>
          <w:highlight w:val="none"/>
        </w:rPr>
      </w:r>
      <w:bookmarkEnd w:id="335"/>
      <w:r>
        <w:rPr>
          <w:b/>
          <w:bCs/>
          <w:color w:val="000000"/>
          <w:szCs w:val="21"/>
          <w:highlight w:val="none"/>
        </w:rPr>
      </w:r>
      <w:r>
        <w:rPr>
          <w:highlight w:val="none"/>
        </w:rPr>
      </w:r>
    </w:p>
    <w:p>
      <w:pPr>
        <w:pStyle w:val="1168"/>
        <w:spacing w:after="120" w:line="440" w:lineRule="exact"/>
        <w:rPr>
          <w:b/>
          <w:color w:val="000000"/>
          <w:highlight w:val="none"/>
          <w:u w:val="single"/>
        </w:rPr>
      </w:pPr>
      <w:r>
        <w:rPr>
          <w:color w:val="000000"/>
          <w:highlight w:val="none"/>
        </w:rPr>
        <w:t xml:space="preserve">提供距开标时间六个月内任意一月份的纳税</w:t>
      </w:r>
      <w:r>
        <w:rPr>
          <w:color w:val="000000"/>
          <w:szCs w:val="21"/>
          <w:highlight w:val="none"/>
        </w:rPr>
        <w:t xml:space="preserve">（企业代缴的个人所得税除外）</w:t>
      </w:r>
      <w:r>
        <w:rPr>
          <w:color w:val="000000"/>
          <w:highlight w:val="none"/>
        </w:rPr>
        <w:t xml:space="preserve">凭据复印件加盖公章（依法免税的应提供相应文件说明）</w:t>
      </w:r>
      <w:r>
        <w:rPr>
          <w:b/>
          <w:color w:val="000000"/>
          <w:highlight w:val="none"/>
          <w:u w:val="singl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rPr>
          <w:highlight w:val="none"/>
        </w:rPr>
      </w:r>
    </w:p>
    <w:p>
      <w:pPr>
        <w:pStyle w:val="1168"/>
        <w:jc w:val="left"/>
        <w:spacing w:line="360" w:lineRule="auto"/>
        <w:rPr>
          <w:b/>
          <w:bCs/>
          <w:color w:val="000000"/>
          <w:szCs w:val="21"/>
          <w:highlight w:val="none"/>
        </w:rPr>
        <w:outlineLvl w:val="2"/>
      </w:pPr>
      <w:r>
        <w:rPr>
          <w:highlight w:val="none"/>
        </w:rPr>
      </w:r>
      <w:bookmarkStart w:id="336" w:name="_Toc23008"/>
      <w:r>
        <w:rPr>
          <w:highlight w:val="none"/>
        </w:rPr>
      </w:r>
      <w:bookmarkStart w:id="337" w:name="_Toc10831"/>
      <w:r>
        <w:rPr>
          <w:highlight w:val="none"/>
        </w:rPr>
      </w:r>
      <w:bookmarkStart w:id="338" w:name="_Toc4696445"/>
      <w:r>
        <w:rPr>
          <w:b/>
          <w:bCs/>
          <w:color w:val="000000"/>
          <w:szCs w:val="21"/>
          <w:highlight w:val="none"/>
        </w:rPr>
        <w:t xml:space="preserve">8、依法缴纳社会保障资金的记录</w:t>
      </w:r>
      <w:bookmarkEnd w:id="336"/>
      <w:r>
        <w:rPr>
          <w:highlight w:val="none"/>
        </w:rPr>
      </w:r>
      <w:bookmarkEnd w:id="337"/>
      <w:r>
        <w:rPr>
          <w:highlight w:val="none"/>
        </w:rPr>
      </w:r>
      <w:bookmarkEnd w:id="338"/>
      <w:r>
        <w:rPr>
          <w:b/>
          <w:bCs/>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lang w:bidi="en-US"/>
        </w:rPr>
      </w:r>
      <w:r>
        <w:rPr>
          <w:highlight w:val="none"/>
        </w:rPr>
      </w:r>
    </w:p>
    <w:p>
      <w:pPr>
        <w:pStyle w:val="1168"/>
        <w:spacing w:line="440" w:lineRule="exact"/>
        <w:rPr>
          <w:color w:val="000000"/>
          <w:sz w:val="24"/>
          <w:szCs w:val="24"/>
          <w:highlight w:val="none"/>
        </w:rPr>
      </w:pPr>
      <w:r>
        <w:rPr>
          <w:color w:val="000000"/>
          <w:highlight w:val="none"/>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color w:val="000000"/>
          <w:sz w:val="24"/>
          <w:szCs w:val="24"/>
          <w:highlight w:val="none"/>
        </w:rPr>
      </w:r>
      <w:r>
        <w:rPr>
          <w:highlight w:val="none"/>
        </w:rPr>
      </w:r>
    </w:p>
    <w:p>
      <w:pPr>
        <w:pStyle w:val="1168"/>
        <w:spacing w:line="440" w:lineRule="exact"/>
        <w:rPr>
          <w:color w:val="000000"/>
          <w:sz w:val="24"/>
          <w:szCs w:val="24"/>
          <w:highlight w:val="none"/>
        </w:rPr>
      </w:pPr>
      <w:r>
        <w:rPr>
          <w:color w:val="000000"/>
          <w:highlight w:val="none"/>
        </w:rPr>
        <w:t xml:space="preserve">2、依法不需要缴纳社会保障资金的，应提供相应的文件证明；</w:t>
      </w:r>
      <w:r>
        <w:rPr>
          <w:color w:val="000000"/>
          <w:sz w:val="24"/>
          <w:szCs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b/>
          <w:color w:val="000000"/>
          <w:highlight w:val="none"/>
        </w:rPr>
      </w:pPr>
      <w:r>
        <w:rPr>
          <w:b/>
          <w:color w:val="000000"/>
          <w:highlight w:val="none"/>
        </w:rPr>
        <w:t xml:space="preserve">  </w:t>
      </w:r>
      <w:r>
        <w:rPr>
          <w:b/>
          <w:color w:val="000000"/>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rPr>
          <w:highlight w:val="none"/>
        </w:rPr>
      </w:r>
    </w:p>
    <w:p>
      <w:pPr>
        <w:pStyle w:val="1168"/>
        <w:spacing w:line="440" w:lineRule="exact"/>
        <w:rPr>
          <w:color w:val="000000"/>
          <w:sz w:val="24"/>
          <w:highlight w:val="none"/>
        </w:rPr>
      </w:pPr>
      <w:r>
        <w:rPr>
          <w:color w:val="000000"/>
          <w:sz w:val="24"/>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jc w:val="center"/>
        <w:spacing w:line="440" w:lineRule="exact"/>
        <w:rPr>
          <w:color w:val="000000"/>
          <w:highlight w:val="none"/>
        </w:rPr>
      </w:pPr>
      <w:r>
        <w:rPr>
          <w:color w:val="000000"/>
          <w:highlight w:val="none"/>
        </w:rPr>
      </w:r>
      <w:r>
        <w:rPr>
          <w:highlight w:val="none"/>
        </w:rPr>
      </w:r>
    </w:p>
    <w:p>
      <w:pPr>
        <w:pStyle w:val="1168"/>
        <w:spacing w:line="360" w:lineRule="auto"/>
        <w:shd w:val="clear" w:color="auto" w:fill="ffffff"/>
        <w:widowControl/>
        <w:rPr>
          <w:b/>
          <w:bCs/>
          <w:color w:val="000000"/>
          <w:szCs w:val="21"/>
          <w:highlight w:val="none"/>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rPr>
          <w:highlight w:val="none"/>
        </w:rPr>
      </w:r>
    </w:p>
    <w:p>
      <w:pPr>
        <w:pStyle w:val="1168"/>
        <w:jc w:val="left"/>
        <w:spacing w:line="440" w:lineRule="exact"/>
        <w:rPr>
          <w:color w:val="000000"/>
          <w:szCs w:val="21"/>
          <w:highlight w:val="none"/>
        </w:rPr>
        <w:outlineLvl w:val="2"/>
      </w:pPr>
      <w:r>
        <w:rPr>
          <w:highlight w:val="none"/>
        </w:rPr>
      </w:r>
      <w:bookmarkStart w:id="339" w:name="_Toc18317"/>
      <w:r>
        <w:rPr>
          <w:highlight w:val="none"/>
        </w:rPr>
      </w:r>
      <w:bookmarkStart w:id="340" w:name="_Toc30535"/>
      <w:r>
        <w:rPr>
          <w:highlight w:val="none"/>
        </w:rPr>
      </w:r>
      <w:bookmarkStart w:id="341" w:name="_Toc4696448"/>
      <w:r>
        <w:rPr>
          <w:b/>
          <w:bCs/>
          <w:color w:val="000000"/>
          <w:szCs w:val="21"/>
          <w:highlight w:val="none"/>
        </w:rPr>
        <w:t xml:space="preserve">9、本项目不接受联合体投标，中标后不允许分包、转包。</w:t>
      </w:r>
      <w:bookmarkEnd w:id="339"/>
      <w:r>
        <w:rPr>
          <w:highlight w:val="none"/>
        </w:rPr>
      </w:r>
      <w:bookmarkEnd w:id="340"/>
      <w:r>
        <w:rPr>
          <w:color w:val="000000"/>
          <w:szCs w:val="21"/>
          <w:highlight w:val="none"/>
        </w:rPr>
      </w:r>
      <w:r>
        <w:rPr>
          <w:highlight w:val="none"/>
        </w:rPr>
      </w:r>
    </w:p>
    <w:p>
      <w:pPr>
        <w:pStyle w:val="1168"/>
        <w:jc w:val="center"/>
        <w:spacing w:line="440" w:lineRule="exact"/>
        <w:rPr>
          <w:b/>
          <w:bCs/>
          <w:color w:val="000000"/>
          <w:sz w:val="24"/>
          <w:szCs w:val="22"/>
          <w:highlight w:val="none"/>
        </w:rPr>
      </w:pPr>
      <w:r>
        <w:rPr>
          <w:b/>
          <w:bCs/>
          <w:color w:val="000000"/>
          <w:sz w:val="24"/>
          <w:szCs w:val="22"/>
          <w:highlight w:val="none"/>
        </w:rPr>
      </w:r>
      <w:r>
        <w:rPr>
          <w:highlight w:val="none"/>
        </w:rPr>
      </w:r>
    </w:p>
    <w:p>
      <w:pPr>
        <w:pStyle w:val="1168"/>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rPr>
          <w:highlight w:val="none"/>
        </w:rPr>
      </w:r>
    </w:p>
    <w:p>
      <w:pPr>
        <w:pStyle w:val="1168"/>
        <w:rPr>
          <w:color w:val="000000"/>
          <w:sz w:val="24"/>
          <w:szCs w:val="22"/>
          <w:highlight w:val="none"/>
        </w:rPr>
      </w:pPr>
      <w:r>
        <w:rPr>
          <w:color w:val="000000"/>
          <w:sz w:val="24"/>
          <w:szCs w:val="22"/>
          <w:highlight w:val="none"/>
        </w:rPr>
      </w:r>
      <w:r>
        <w:rPr>
          <w:highlight w:val="none"/>
        </w:rPr>
      </w:r>
    </w:p>
    <w:p>
      <w:pPr>
        <w:pStyle w:val="1168"/>
        <w:spacing w:line="360" w:lineRule="auto"/>
        <w:rPr>
          <w:color w:val="000000"/>
          <w:szCs w:val="21"/>
          <w:highlight w:val="none"/>
        </w:rPr>
      </w:pPr>
      <w:r>
        <w:rPr>
          <w:color w:val="000000"/>
          <w:szCs w:val="21"/>
          <w:highlight w:val="none"/>
        </w:rPr>
        <w:t xml:space="preserve">我单位承诺：</w:t>
      </w:r>
      <w:r>
        <w:rPr>
          <w:color w:val="000000"/>
          <w:szCs w:val="21"/>
          <w:highlight w:val="none"/>
        </w:rPr>
      </w:r>
      <w:r>
        <w:rPr>
          <w:highlight w:val="none"/>
        </w:rPr>
      </w:r>
    </w:p>
    <w:p>
      <w:pPr>
        <w:pStyle w:val="1168"/>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rPr>
          <w:highlight w:val="none"/>
        </w:rPr>
      </w:r>
    </w:p>
    <w:p>
      <w:pPr>
        <w:pStyle w:val="1168"/>
        <w:rPr>
          <w:color w:val="000000"/>
          <w:sz w:val="24"/>
          <w:szCs w:val="22"/>
          <w:highlight w:val="none"/>
        </w:rPr>
      </w:pPr>
      <w:r>
        <w:rPr>
          <w:color w:val="000000"/>
          <w:sz w:val="24"/>
          <w:szCs w:val="22"/>
          <w:highlight w:val="none"/>
        </w:rPr>
      </w:r>
      <w:r>
        <w:rPr>
          <w:highlight w:val="none"/>
        </w:rPr>
      </w:r>
    </w:p>
    <w:p>
      <w:pPr>
        <w:pStyle w:val="1168"/>
        <w:ind w:left="-2" w:right="-5"/>
        <w:spacing w:line="360" w:lineRule="auto"/>
        <w:rPr>
          <w:color w:val="000000"/>
          <w:szCs w:val="21"/>
          <w:highlight w:val="none"/>
        </w:rPr>
      </w:pPr>
      <w:r>
        <w:rPr>
          <w:color w:val="000000"/>
          <w:szCs w:val="21"/>
          <w:highlight w:val="none"/>
        </w:rPr>
      </w:r>
      <w:r>
        <w:rPr>
          <w:highlight w:val="none"/>
        </w:rPr>
      </w:r>
    </w:p>
    <w:p>
      <w:pPr>
        <w:pStyle w:val="1168"/>
        <w:ind w:left="-2" w:right="-5"/>
        <w:spacing w:line="360" w:lineRule="auto"/>
        <w:rPr>
          <w:color w:val="000000"/>
          <w:szCs w:val="21"/>
          <w:highlight w:val="none"/>
        </w:rPr>
      </w:pP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rPr>
          <w:highlight w:val="none"/>
        </w:rPr>
      </w:r>
    </w:p>
    <w:p>
      <w:pPr>
        <w:pStyle w:val="1168"/>
        <w:jc w:val="left"/>
        <w:spacing w:line="360" w:lineRule="auto"/>
        <w:rPr>
          <w:b/>
          <w:bCs/>
          <w:color w:val="000000"/>
          <w:szCs w:val="21"/>
          <w:highlight w:val="none"/>
        </w:rPr>
        <w:outlineLvl w:val="2"/>
      </w:pPr>
      <w:r>
        <w:rPr>
          <w:b/>
          <w:bCs/>
          <w:color w:val="000000"/>
          <w:szCs w:val="21"/>
          <w:highlight w:val="none"/>
        </w:rPr>
        <w:br w:type="page" w:clear="all"/>
      </w:r>
      <w:bookmarkStart w:id="342" w:name="_Toc14942"/>
      <w:r>
        <w:rPr>
          <w:highlight w:val="none"/>
        </w:rPr>
      </w:r>
      <w:bookmarkStart w:id="343" w:name="_Toc32400"/>
      <w:r>
        <w:rPr>
          <w:b/>
          <w:bCs/>
          <w:color w:val="000000"/>
          <w:szCs w:val="21"/>
          <w:highlight w:val="none"/>
        </w:rPr>
        <w:t xml:space="preserve">10、1）投标人为医疗器械经营企业的，须根据投标产品的类别，提供投标人的《医疗器械经营许可证》或者《二类医疗器械经营备案凭证》（复印件加盖公章）；</w:t>
      </w:r>
      <w:bookmarkEnd w:id="342"/>
      <w:r>
        <w:rPr>
          <w:b/>
          <w:bCs/>
          <w:color w:val="000000"/>
          <w:szCs w:val="21"/>
          <w:highlight w:val="none"/>
        </w:rPr>
      </w:r>
      <w:r>
        <w:rPr>
          <w:highlight w:val="none"/>
        </w:rPr>
      </w:r>
    </w:p>
    <w:p>
      <w:pPr>
        <w:pStyle w:val="1168"/>
        <w:jc w:val="left"/>
        <w:spacing w:line="360" w:lineRule="auto"/>
        <w:rPr>
          <w:b/>
          <w:bCs/>
          <w:color w:val="000000"/>
          <w:szCs w:val="21"/>
          <w:highlight w:val="none"/>
        </w:rPr>
        <w:outlineLvl w:val="2"/>
      </w:pPr>
      <w:r>
        <w:rPr>
          <w:highlight w:val="none"/>
        </w:rPr>
      </w:r>
      <w:bookmarkStart w:id="344" w:name="_Toc18920"/>
      <w:r>
        <w:rPr>
          <w:b/>
          <w:bCs/>
          <w:color w:val="000000"/>
          <w:szCs w:val="21"/>
          <w:highlight w:val="none"/>
        </w:rPr>
        <w:t xml:space="preserve">2）医疗器械生产企业投标本企业产品的，须提供《医疗器械生产许可证》（复印件加盖公章）</w:t>
      </w:r>
      <w:bookmarkEnd w:id="344"/>
      <w:r>
        <w:rPr>
          <w:b/>
          <w:bCs/>
          <w:color w:val="000000"/>
          <w:szCs w:val="21"/>
          <w:highlight w:val="none"/>
        </w:rPr>
      </w:r>
      <w:r>
        <w:rPr>
          <w:highlight w:val="none"/>
        </w:rPr>
      </w:r>
    </w:p>
    <w:p>
      <w:pPr>
        <w:pStyle w:val="1168"/>
        <w:spacing w:line="440" w:lineRule="exact"/>
        <w:rPr>
          <w:b/>
          <w:color w:val="000000"/>
          <w:highlight w:val="none"/>
        </w:rPr>
      </w:pPr>
      <w:r>
        <w:rPr>
          <w:highlight w:val="none"/>
        </w:rPr>
      </w:r>
      <w:bookmarkEnd w:id="341"/>
      <w:r>
        <w:rPr>
          <w:highlight w:val="none"/>
        </w:rPr>
      </w:r>
      <w:bookmarkEnd w:id="343"/>
      <w:r>
        <w:rPr>
          <w:color w:val="000000"/>
          <w:sz w:val="24"/>
          <w:highlight w:val="none"/>
        </w:rPr>
        <w:t xml:space="preserve">    </w:t>
      </w:r>
      <w:r>
        <w:rPr>
          <w:b/>
          <w:color w:val="000000"/>
          <w:highlight w:val="none"/>
        </w:rPr>
        <w:t xml:space="preserve">      </w:t>
      </w:r>
      <w:r>
        <w:rPr>
          <w:b/>
          <w:color w:val="000000"/>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jc w:val="left"/>
        <w:spacing w:line="360" w:lineRule="auto"/>
        <w:rPr>
          <w:b/>
          <w:bCs/>
          <w:color w:val="000000"/>
          <w:szCs w:val="21"/>
          <w:highlight w:val="none"/>
        </w:rPr>
        <w:outlineLvl w:val="2"/>
      </w:pPr>
      <w:r>
        <w:rPr>
          <w:b/>
          <w:bCs/>
          <w:color w:val="000000"/>
          <w:szCs w:val="21"/>
          <w:highlight w:val="none"/>
        </w:rPr>
        <w:br w:type="page" w:clear="all"/>
      </w:r>
      <w:bookmarkStart w:id="345" w:name="_Toc28930"/>
      <w:r>
        <w:rPr>
          <w:highlight w:val="none"/>
        </w:rPr>
      </w:r>
      <w:bookmarkStart w:id="346" w:name="_Toc8146"/>
      <w:r>
        <w:rPr>
          <w:highlight w:val="none"/>
        </w:rPr>
      </w:r>
      <w:bookmarkStart w:id="347" w:name="_Toc20684"/>
      <w:r>
        <w:rPr>
          <w:b/>
          <w:bCs/>
          <w:color w:val="000000"/>
          <w:szCs w:val="21"/>
          <w:highlight w:val="none"/>
        </w:rPr>
        <w:t xml:space="preserve">11、</w:t>
      </w:r>
      <w:r>
        <w:rPr>
          <w:color w:val="000000"/>
          <w:szCs w:val="21"/>
          <w:highlight w:val="none"/>
        </w:rPr>
        <w:t xml:space="preserve">提供产品医疗器械注册证复印件加盖公章。</w:t>
      </w:r>
      <w:bookmarkEnd w:id="345"/>
      <w:r>
        <w:rPr>
          <w:highlight w:val="none"/>
        </w:rPr>
      </w:r>
      <w:bookmarkEnd w:id="346"/>
      <w:r>
        <w:rPr>
          <w:highlight w:val="none"/>
        </w:rPr>
      </w:r>
      <w:bookmarkEnd w:id="347"/>
      <w:r>
        <w:rPr>
          <w:b/>
          <w:bCs/>
          <w:color w:val="000000"/>
          <w:szCs w:val="21"/>
          <w:highlight w:val="none"/>
        </w:rPr>
      </w:r>
      <w:r>
        <w:rPr>
          <w:highlight w:val="none"/>
        </w:rPr>
      </w:r>
    </w:p>
    <w:p>
      <w:pPr>
        <w:pStyle w:val="1168"/>
        <w:spacing w:line="440" w:lineRule="exact"/>
        <w:rPr>
          <w:b/>
          <w:color w:val="000000"/>
          <w:highlight w:val="none"/>
        </w:rPr>
      </w:pPr>
      <w:r>
        <w:rPr>
          <w:color w:val="000000"/>
          <w:sz w:val="24"/>
          <w:highlight w:val="none"/>
        </w:rPr>
        <w:t xml:space="preserve">    </w:t>
      </w:r>
      <w:r>
        <w:rPr>
          <w:b/>
          <w:color w:val="000000"/>
          <w:highlight w:val="none"/>
        </w:rPr>
        <w:t xml:space="preserve">      </w:t>
      </w:r>
      <w:r>
        <w:rPr>
          <w:b/>
          <w:color w:val="000000"/>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spacing w:line="440" w:lineRule="exact"/>
        <w:rPr>
          <w:b/>
          <w:color w:val="000000"/>
          <w:highlight w:val="none"/>
        </w:rPr>
      </w:pPr>
      <w:r>
        <w:rPr>
          <w:b/>
          <w:color w:val="000000"/>
          <w:highlight w:val="none"/>
        </w:rPr>
      </w:r>
      <w:r>
        <w:rPr>
          <w:highlight w:val="none"/>
        </w:rPr>
      </w:r>
    </w:p>
    <w:p>
      <w:pPr>
        <w:pStyle w:val="116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ind w:right="-5"/>
        <w:spacing w:line="440" w:lineRule="exact"/>
        <w:rPr>
          <w:b/>
          <w:color w:val="000000"/>
          <w:highlight w:val="none"/>
        </w:rPr>
      </w:pPr>
      <w:r>
        <w:rPr>
          <w:color w:val="000000"/>
          <w:szCs w:val="21"/>
          <w:highlight w:val="none"/>
        </w:rPr>
        <w:t xml:space="preserve">日期：</w:t>
      </w:r>
      <w:r>
        <w:rPr>
          <w:b/>
          <w:color w:val="000000"/>
          <w:highlight w:val="none"/>
        </w:rPr>
      </w:r>
      <w:r>
        <w:rPr>
          <w:highlight w:val="none"/>
        </w:rPr>
      </w:r>
    </w:p>
    <w:p>
      <w:pPr>
        <w:pStyle w:val="1168"/>
        <w:ind w:right="-5"/>
        <w:spacing w:line="440" w:lineRule="exact"/>
        <w:rPr>
          <w:b/>
          <w:color w:val="000000"/>
          <w:highlight w:val="none"/>
        </w:rPr>
      </w:pPr>
      <w:r>
        <w:rPr>
          <w:b/>
          <w:color w:val="000000"/>
          <w:highlight w:val="none"/>
        </w:rPr>
      </w:r>
      <w:r>
        <w:rPr>
          <w:highlight w:val="none"/>
        </w:rPr>
      </w:r>
    </w:p>
    <w:p>
      <w:pPr>
        <w:pStyle w:val="1168"/>
        <w:ind w:right="-5"/>
        <w:spacing w:line="440" w:lineRule="exact"/>
        <w:rPr>
          <w:b/>
          <w:color w:val="000000"/>
          <w:highlight w:val="none"/>
        </w:rPr>
      </w:pPr>
      <w:r>
        <w:rPr>
          <w:b/>
          <w:color w:val="000000"/>
          <w:highlight w:val="none"/>
        </w:rPr>
      </w:r>
      <w:r>
        <w:rPr>
          <w:highlight w:val="none"/>
        </w:rPr>
      </w:r>
    </w:p>
    <w:p>
      <w:pPr>
        <w:pStyle w:val="1168"/>
        <w:ind w:right="-5"/>
        <w:spacing w:line="440" w:lineRule="exact"/>
        <w:rPr>
          <w:b/>
          <w:color w:val="000000"/>
          <w:highlight w:val="none"/>
        </w:rPr>
      </w:pPr>
      <w:r>
        <w:rPr>
          <w:b/>
          <w:color w:val="000000"/>
          <w:highlight w:val="none"/>
        </w:rPr>
      </w:r>
      <w:r>
        <w:rPr>
          <w:highlight w:val="none"/>
        </w:rPr>
      </w:r>
    </w:p>
    <w:p>
      <w:pPr>
        <w:pStyle w:val="1168"/>
        <w:spacing w:line="480" w:lineRule="exact"/>
        <w:widowControl/>
        <w:rPr>
          <w:b/>
          <w:bCs/>
          <w:color w:val="000000"/>
          <w:szCs w:val="21"/>
          <w:highlight w:val="none"/>
        </w:rPr>
        <w:outlineLvl w:val="2"/>
      </w:pPr>
      <w:r>
        <w:rPr>
          <w:highlight w:val="none"/>
        </w:rPr>
      </w:r>
      <w:bookmarkStart w:id="348" w:name="_Toc11553"/>
      <w:r>
        <w:rPr>
          <w:b/>
          <w:bCs/>
          <w:color w:val="000000"/>
          <w:szCs w:val="21"/>
          <w:highlight w:val="none"/>
        </w:rPr>
        <w:br w:type="page" w:clear="all"/>
      </w:r>
      <w:bookmarkStart w:id="349" w:name="_Toc7112"/>
      <w:r>
        <w:rPr>
          <w:b/>
          <w:bCs/>
          <w:color w:val="000000"/>
          <w:szCs w:val="21"/>
          <w:highlight w:val="none"/>
        </w:rPr>
        <w:t xml:space="preserve">12、</w:t>
      </w:r>
      <w:bookmarkStart w:id="350" w:name="_Toc20191"/>
      <w:r>
        <w:rPr>
          <w:highlight w:val="none"/>
        </w:rPr>
      </w:r>
      <w:bookmarkStart w:id="351" w:name="_Toc6517"/>
      <w:r>
        <w:rPr>
          <w:b/>
          <w:bCs/>
          <w:color w:val="000000"/>
          <w:szCs w:val="21"/>
          <w:highlight w:val="none"/>
        </w:rPr>
        <w:t xml:space="preserve">符合招标文件第一章“拒绝下述供应商参加本次采购活动的情形”中第 1）条的声明或证明材料（加盖单位公章）</w:t>
      </w:r>
      <w:bookmarkEnd w:id="348"/>
      <w:r>
        <w:rPr>
          <w:highlight w:val="none"/>
        </w:rPr>
      </w:r>
      <w:bookmarkEnd w:id="349"/>
      <w:r>
        <w:rPr>
          <w:highlight w:val="none"/>
        </w:rPr>
      </w:r>
      <w:bookmarkEnd w:id="350"/>
      <w:r>
        <w:rPr>
          <w:highlight w:val="none"/>
        </w:rPr>
      </w:r>
      <w:bookmarkEnd w:id="351"/>
      <w:r>
        <w:rPr>
          <w:b/>
          <w:bCs/>
          <w:color w:val="000000"/>
          <w:szCs w:val="21"/>
          <w:highlight w:val="none"/>
        </w:rPr>
        <w:t xml:space="preserve"> </w:t>
      </w:r>
      <w:r>
        <w:rPr>
          <w:b/>
          <w:bCs/>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注：1、投标人应当根据自身存在的情形，如实披露与本单位负责人为同一人或者存在直接控股、管理关系的供应商情况。 </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2、单位负责人为同一人或者存在直接控股、管理关系的不同供应商，同时参加本项目同一包的投标，相关投标均无效。 </w:t>
      </w:r>
      <w:r>
        <w:rPr>
          <w:color w:val="000000"/>
          <w:szCs w:val="21"/>
          <w:highlight w:val="none"/>
        </w:rPr>
      </w:r>
      <w:r>
        <w:rPr>
          <w:highlight w:val="none"/>
        </w:rPr>
      </w:r>
    </w:p>
    <w:p>
      <w:pPr>
        <w:pStyle w:val="1168"/>
        <w:ind w:left="1260"/>
        <w:rPr>
          <w:color w:val="000000"/>
          <w:highlight w:val="none"/>
        </w:rPr>
      </w:pPr>
      <w:r>
        <w:rPr>
          <w:color w:val="000000"/>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t xml:space="preserve">（如不存在上述情况，请提供如下声明） </w:t>
      </w:r>
      <w:r>
        <w:rPr>
          <w:b/>
          <w:bCs/>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t xml:space="preserve">江苏苏美达仪器设备有限公司： </w:t>
      </w:r>
      <w:r>
        <w:rPr>
          <w:b/>
          <w:bCs/>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rPr>
        <w:t xml:space="preserve">我单位负责人</w:t>
      </w:r>
      <w:r>
        <w:rPr>
          <w:color w:val="000000"/>
          <w:szCs w:val="21"/>
          <w:highlight w:val="none"/>
          <w:u w:val="single"/>
        </w:rPr>
        <w:t xml:space="preserve">（负责人姓名、身份证号）</w:t>
      </w:r>
      <w:r>
        <w:rPr>
          <w:color w:val="000000"/>
          <w:szCs w:val="21"/>
          <w:highlight w:val="none"/>
        </w:rPr>
        <w:t xml:space="preserve">，与我单位存在直接控股、管理关系的单位为</w:t>
      </w:r>
      <w:r>
        <w:rPr>
          <w:color w:val="000000"/>
          <w:szCs w:val="21"/>
          <w:highlight w:val="none"/>
        </w:rPr>
      </w:r>
      <w:r>
        <w:rPr>
          <w:highlight w:val="none"/>
        </w:rPr>
      </w:r>
    </w:p>
    <w:p>
      <w:pPr>
        <w:pStyle w:val="1168"/>
        <w:jc w:val="left"/>
        <w:spacing w:line="360" w:lineRule="auto"/>
        <w:rPr>
          <w:color w:val="000000"/>
          <w:szCs w:val="21"/>
          <w:highlight w:val="none"/>
        </w:rPr>
      </w:pPr>
      <w:r>
        <w:rPr>
          <w:color w:val="000000"/>
          <w:szCs w:val="21"/>
          <w:highlight w:val="none"/>
          <w:u w:val="single"/>
        </w:rPr>
        <w:t xml:space="preserve">（单位名称）</w:t>
      </w:r>
      <w:r>
        <w:rPr>
          <w:color w:val="000000"/>
          <w:szCs w:val="21"/>
          <w:highlight w:val="none"/>
        </w:rPr>
        <w:t xml:space="preserve">，不存在与我单位负责人为同一人或者存在直接控股、管理的不同供应商同时参加本项目同一包投标的情形。 </w:t>
      </w:r>
      <w:r>
        <w:rPr>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rPr>
          <w:highlight w:val="none"/>
        </w:rPr>
      </w:r>
    </w:p>
    <w:p>
      <w:pPr>
        <w:pStyle w:val="1168"/>
        <w:jc w:val="left"/>
        <w:spacing w:line="360" w:lineRule="auto"/>
        <w:rPr>
          <w:b/>
          <w:bCs/>
          <w:color w:val="000000"/>
          <w:szCs w:val="21"/>
          <w:highlight w:val="none"/>
        </w:rPr>
      </w:pPr>
      <w:r>
        <w:rPr>
          <w:b/>
          <w:bCs/>
          <w:color w:val="000000"/>
          <w:szCs w:val="21"/>
          <w:highlight w:val="none"/>
        </w:rPr>
        <w:t xml:space="preserve">特此声明。 </w:t>
      </w:r>
      <w:r>
        <w:rPr>
          <w:b/>
          <w:bCs/>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rPr>
          <w:highlight w:val="none"/>
        </w:rPr>
      </w:r>
    </w:p>
    <w:p>
      <w:pPr>
        <w:pStyle w:val="1168"/>
        <w:ind w:firstLine="281"/>
        <w:rPr>
          <w:b/>
          <w:bCs/>
          <w:color w:val="000000"/>
          <w:sz w:val="28"/>
          <w:szCs w:val="21"/>
          <w:highlight w:val="none"/>
        </w:rPr>
      </w:pPr>
      <w:r>
        <w:rPr>
          <w:b/>
          <w:bCs/>
          <w:color w:val="000000"/>
          <w:sz w:val="28"/>
          <w:szCs w:val="21"/>
          <w:highlight w:val="none"/>
        </w:rPr>
        <w:t xml:space="preserve"> </w:t>
      </w:r>
      <w:r>
        <w:rPr>
          <w:b/>
          <w:bCs/>
          <w:color w:val="000000"/>
          <w:sz w:val="28"/>
          <w:szCs w:val="21"/>
          <w:highlight w:val="none"/>
        </w:rPr>
      </w:r>
      <w:r>
        <w:rPr>
          <w:highlight w:val="none"/>
        </w:rPr>
      </w:r>
    </w:p>
    <w:p>
      <w:pPr>
        <w:pStyle w:val="1168"/>
        <w:ind w:firstLine="281"/>
        <w:rPr>
          <w:b/>
          <w:bCs/>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Cs w:val="21"/>
          <w:highlight w:val="none"/>
        </w:rPr>
      </w:r>
      <w:r>
        <w:rPr>
          <w:highlight w:val="none"/>
        </w:rPr>
      </w:r>
    </w:p>
    <w:p>
      <w:pPr>
        <w:pStyle w:val="1168"/>
        <w:rPr>
          <w:b/>
          <w:bCs/>
          <w:color w:val="000000"/>
          <w:szCs w:val="21"/>
          <w:highlight w:val="none"/>
        </w:rPr>
        <w:outlineLvl w:val="2"/>
      </w:pPr>
      <w:r>
        <w:rPr>
          <w:highlight w:val="none"/>
        </w:rPr>
      </w:r>
      <w:bookmarkStart w:id="352" w:name="_Toc21934"/>
      <w:r>
        <w:rPr>
          <w:highlight w:val="none"/>
        </w:rPr>
      </w:r>
      <w:bookmarkStart w:id="353" w:name="_Toc23368"/>
      <w:r>
        <w:rPr>
          <w:highlight w:val="none"/>
        </w:rPr>
      </w:r>
      <w:bookmarkStart w:id="354" w:name="_Toc24244"/>
      <w:r>
        <w:rPr>
          <w:highlight w:val="none"/>
        </w:rPr>
      </w:r>
      <w:bookmarkStart w:id="355" w:name="_Toc10766"/>
      <w:r>
        <w:rPr>
          <w:highlight w:val="none"/>
        </w:rPr>
      </w:r>
      <w:bookmarkStart w:id="356" w:name="_Toc30898"/>
      <w:r>
        <w:rPr>
          <w:highlight w:val="none"/>
        </w:rPr>
      </w:r>
      <w:bookmarkStart w:id="357" w:name="_Toc12314"/>
      <w:r>
        <w:rPr>
          <w:b/>
          <w:bCs/>
          <w:color w:val="000000"/>
          <w:szCs w:val="21"/>
          <w:highlight w:val="none"/>
        </w:rPr>
        <w:t xml:space="preserve">13、符合招标文件第一章“拒绝下述供应商参加本次采购活动的情形”中第 2）条的声明（加盖单位公章）</w:t>
      </w:r>
      <w:bookmarkEnd w:id="352"/>
      <w:r>
        <w:rPr>
          <w:highlight w:val="none"/>
        </w:rPr>
      </w:r>
      <w:bookmarkEnd w:id="353"/>
      <w:r>
        <w:rPr>
          <w:highlight w:val="none"/>
        </w:rPr>
      </w:r>
      <w:bookmarkEnd w:id="354"/>
      <w:r>
        <w:rPr>
          <w:highlight w:val="none"/>
        </w:rPr>
      </w:r>
      <w:bookmarkEnd w:id="355"/>
      <w:r>
        <w:rPr>
          <w:highlight w:val="none"/>
        </w:rPr>
      </w:r>
      <w:bookmarkEnd w:id="356"/>
      <w:r>
        <w:rPr>
          <w:highlight w:val="none"/>
        </w:rPr>
      </w:r>
      <w:bookmarkEnd w:id="357"/>
      <w:r>
        <w:rPr>
          <w:b/>
          <w:bCs/>
          <w:color w:val="000000"/>
          <w:szCs w:val="21"/>
          <w:highlight w:val="none"/>
        </w:rPr>
      </w:r>
      <w:r>
        <w:rPr>
          <w:highlight w:val="none"/>
        </w:rPr>
      </w:r>
    </w:p>
    <w:p>
      <w:pPr>
        <w:pStyle w:val="1168"/>
        <w:ind w:firstLine="210"/>
        <w:rPr>
          <w:color w:val="000000"/>
          <w:szCs w:val="21"/>
          <w:highlight w:val="none"/>
        </w:rPr>
      </w:pPr>
      <w:r>
        <w:rPr>
          <w:color w:val="000000"/>
          <w:szCs w:val="21"/>
          <w:highlight w:val="none"/>
        </w:rPr>
      </w:r>
      <w:r>
        <w:rPr>
          <w:highlight w:val="none"/>
        </w:rPr>
      </w:r>
    </w:p>
    <w:p>
      <w:pPr>
        <w:pStyle w:val="1168"/>
        <w:rPr>
          <w:color w:val="000000"/>
          <w:szCs w:val="21"/>
          <w:highlight w:val="none"/>
        </w:rPr>
      </w:pPr>
      <w:r>
        <w:rPr>
          <w:color w:val="000000"/>
          <w:szCs w:val="21"/>
          <w:highlight w:val="none"/>
        </w:rPr>
        <w:t xml:space="preserve">参考格式：</w:t>
      </w:r>
      <w:r>
        <w:rPr>
          <w:color w:val="000000"/>
          <w:szCs w:val="21"/>
          <w:highlight w:val="none"/>
        </w:rPr>
      </w:r>
      <w:r>
        <w:rPr>
          <w:highlight w:val="none"/>
        </w:rPr>
      </w:r>
    </w:p>
    <w:p>
      <w:pPr>
        <w:pStyle w:val="1168"/>
        <w:rPr>
          <w:color w:val="000000"/>
          <w:szCs w:val="21"/>
          <w:highlight w:val="none"/>
        </w:rPr>
      </w:pPr>
      <w:r>
        <w:rPr>
          <w:color w:val="000000"/>
          <w:szCs w:val="21"/>
          <w:highlight w:val="none"/>
        </w:rPr>
      </w:r>
      <w:r>
        <w:rPr>
          <w:highlight w:val="none"/>
        </w:rPr>
      </w:r>
    </w:p>
    <w:p>
      <w:pPr>
        <w:pStyle w:val="1168"/>
        <w:ind w:firstLine="211"/>
        <w:rPr>
          <w:color w:val="000000"/>
          <w:szCs w:val="21"/>
          <w:highlight w:val="none"/>
        </w:rPr>
      </w:pPr>
      <w:r>
        <w:rPr>
          <w:b/>
          <w:bCs/>
          <w:color w:val="000000"/>
          <w:szCs w:val="21"/>
          <w:highlight w:val="none"/>
        </w:rPr>
        <w:t xml:space="preserve">江苏苏美达仪器设备有限公司：</w:t>
      </w:r>
      <w:r>
        <w:rPr>
          <w:color w:val="000000"/>
          <w:szCs w:val="21"/>
          <w:highlight w:val="none"/>
        </w:rPr>
      </w:r>
      <w:r>
        <w:rPr>
          <w:highlight w:val="none"/>
        </w:rPr>
      </w:r>
    </w:p>
    <w:p>
      <w:pPr>
        <w:pStyle w:val="1168"/>
        <w:ind w:firstLine="420"/>
        <w:rPr>
          <w:color w:val="000000"/>
          <w:szCs w:val="21"/>
          <w:highlight w:val="none"/>
        </w:rPr>
      </w:pPr>
      <w:r>
        <w:rPr>
          <w:color w:val="000000"/>
          <w:szCs w:val="21"/>
          <w:highlight w:val="none"/>
        </w:rPr>
      </w:r>
      <w:r>
        <w:rPr>
          <w:highlight w:val="none"/>
        </w:rPr>
      </w:r>
    </w:p>
    <w:p>
      <w:pPr>
        <w:pStyle w:val="1168"/>
        <w:ind w:firstLine="420"/>
        <w:rPr>
          <w:color w:val="000000"/>
          <w:szCs w:val="21"/>
          <w:highlight w:val="none"/>
        </w:rPr>
      </w:pPr>
      <w:r>
        <w:rPr>
          <w:color w:val="000000"/>
          <w:szCs w:val="21"/>
          <w:highlight w:val="none"/>
        </w:rPr>
        <w:t xml:space="preserve">我公司不是为本项目某包提供整体设计、规范编制或者项目管理、监理、检测等服务的供应商。 </w:t>
      </w:r>
      <w:r>
        <w:rPr>
          <w:color w:val="000000"/>
          <w:szCs w:val="21"/>
          <w:highlight w:val="none"/>
        </w:rPr>
      </w:r>
      <w:r>
        <w:rPr>
          <w:highlight w:val="none"/>
        </w:rPr>
      </w:r>
    </w:p>
    <w:p>
      <w:pPr>
        <w:pStyle w:val="1168"/>
        <w:ind w:firstLine="420"/>
        <w:rPr>
          <w:color w:val="000000"/>
          <w:szCs w:val="21"/>
          <w:highlight w:val="none"/>
        </w:rPr>
      </w:pPr>
      <w:r>
        <w:rPr>
          <w:color w:val="000000"/>
          <w:szCs w:val="21"/>
          <w:highlight w:val="none"/>
        </w:rPr>
        <w:t xml:space="preserve"> </w:t>
      </w:r>
      <w:r>
        <w:rPr>
          <w:color w:val="000000"/>
          <w:szCs w:val="21"/>
          <w:highlight w:val="none"/>
        </w:rPr>
      </w:r>
      <w:r>
        <w:rPr>
          <w:highlight w:val="none"/>
        </w:rPr>
      </w:r>
    </w:p>
    <w:p>
      <w:pPr>
        <w:pStyle w:val="1168"/>
        <w:ind w:firstLine="211"/>
        <w:rPr>
          <w:b/>
          <w:bCs/>
          <w:color w:val="000000"/>
          <w:szCs w:val="21"/>
          <w:highlight w:val="none"/>
        </w:rPr>
      </w:pPr>
      <w:r>
        <w:rPr>
          <w:b/>
          <w:bCs/>
          <w:color w:val="000000"/>
          <w:szCs w:val="21"/>
          <w:highlight w:val="none"/>
        </w:rPr>
        <w:t xml:space="preserve">特此声明。 </w:t>
      </w:r>
      <w:r>
        <w:rPr>
          <w:b/>
          <w:bCs/>
          <w:color w:val="000000"/>
          <w:szCs w:val="21"/>
          <w:highlight w:val="none"/>
        </w:rPr>
      </w:r>
      <w:r>
        <w:rPr>
          <w:highlight w:val="none"/>
        </w:rPr>
      </w:r>
    </w:p>
    <w:p>
      <w:pPr>
        <w:pStyle w:val="1168"/>
        <w:ind w:firstLine="211"/>
        <w:rPr>
          <w:b/>
          <w:bCs/>
          <w:color w:val="000000"/>
          <w:szCs w:val="21"/>
          <w:highlight w:val="none"/>
        </w:rPr>
      </w:pPr>
      <w:r>
        <w:rPr>
          <w:b/>
          <w:bCs/>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rPr>
          <w:highlight w:val="none"/>
        </w:rPr>
      </w:r>
    </w:p>
    <w:p>
      <w:pPr>
        <w:pStyle w:val="1168"/>
        <w:spacing w:line="440" w:lineRule="exact"/>
        <w:rPr>
          <w:color w:val="000000"/>
          <w:szCs w:val="21"/>
          <w:highlight w:val="none"/>
        </w:rPr>
      </w:pPr>
      <w:r>
        <w:rPr>
          <w:color w:val="000000"/>
          <w:szCs w:val="21"/>
          <w:highlight w:val="none"/>
        </w:rPr>
        <w:t xml:space="preserve">授权代表（签字）：</w:t>
      </w:r>
      <w:r>
        <w:rPr>
          <w:color w:val="000000"/>
          <w:szCs w:val="21"/>
          <w:highlight w:val="none"/>
        </w:rPr>
      </w:r>
      <w:r>
        <w:rPr>
          <w:highlight w:val="none"/>
        </w:rPr>
      </w:r>
    </w:p>
    <w:p>
      <w:pPr>
        <w:pStyle w:val="1168"/>
        <w:ind w:right="-5"/>
        <w:spacing w:line="440" w:lineRule="exact"/>
        <w:rPr>
          <w:b/>
          <w:color w:val="000000"/>
          <w:highlight w:val="none"/>
        </w:rPr>
      </w:pPr>
      <w:r>
        <w:rPr>
          <w:color w:val="000000"/>
          <w:szCs w:val="21"/>
          <w:highlight w:val="none"/>
        </w:rPr>
        <w:t xml:space="preserve">日期：</w:t>
      </w:r>
      <w:r>
        <w:rPr>
          <w:b/>
          <w:color w:val="000000"/>
          <w:highlight w:val="none"/>
        </w:rPr>
      </w:r>
      <w:r>
        <w:rPr>
          <w:highlight w:val="none"/>
        </w:rPr>
      </w:r>
    </w:p>
    <w:p>
      <w:pPr>
        <w:pStyle w:val="1168"/>
        <w:spacing w:line="360" w:lineRule="auto"/>
        <w:rPr>
          <w:b/>
          <w:color w:val="000000"/>
          <w:sz w:val="22"/>
          <w:szCs w:val="22"/>
          <w:highlight w:val="none"/>
        </w:rPr>
        <w:outlineLvl w:val="1"/>
      </w:pPr>
      <w:r>
        <w:rPr>
          <w:b/>
          <w:color w:val="000000"/>
          <w:highlight w:val="none"/>
        </w:rPr>
        <w:br w:type="page" w:clear="all"/>
      </w:r>
      <w:bookmarkStart w:id="358" w:name="_Toc15643"/>
      <w:r>
        <w:rPr>
          <w:highlight w:val="none"/>
        </w:rPr>
      </w:r>
      <w:bookmarkStart w:id="359" w:name="_Toc23740"/>
      <w:r>
        <w:rPr>
          <w:highlight w:val="none"/>
        </w:rPr>
      </w:r>
      <w:bookmarkStart w:id="360" w:name="_Toc4696449"/>
      <w:r>
        <w:rPr>
          <w:b/>
          <w:bCs/>
          <w:color w:val="000000"/>
          <w:szCs w:val="21"/>
          <w:highlight w:val="none"/>
          <w:lang w:bidi="ar"/>
        </w:rPr>
        <w:t xml:space="preserve">附件：</w:t>
      </w:r>
      <w:r>
        <w:rPr>
          <w:b/>
          <w:color w:val="000000"/>
          <w:sz w:val="22"/>
          <w:szCs w:val="22"/>
          <w:highlight w:val="none"/>
        </w:rPr>
        <w:t xml:space="preserve">《南京市政府采购供应商信用记录表暨信用承诺书》</w:t>
      </w:r>
      <w:bookmarkEnd w:id="358"/>
      <w:r>
        <w:rPr>
          <w:highlight w:val="none"/>
        </w:rPr>
      </w:r>
      <w:bookmarkEnd w:id="359"/>
      <w:r>
        <w:rPr>
          <w:b/>
          <w:color w:val="000000"/>
          <w:sz w:val="22"/>
          <w:szCs w:val="22"/>
          <w:highlight w:val="none"/>
        </w:rPr>
      </w:r>
      <w:r>
        <w:rPr>
          <w:highlight w:val="none"/>
        </w:rPr>
      </w:r>
    </w:p>
    <w:p>
      <w:pPr>
        <w:pStyle w:val="1168"/>
        <w:jc w:val="center"/>
        <w:rPr>
          <w:bCs/>
          <w:color w:val="000000"/>
          <w:sz w:val="22"/>
          <w:szCs w:val="22"/>
          <w:highlight w:val="none"/>
        </w:rPr>
      </w:pPr>
      <w:r>
        <w:rPr>
          <w:bCs/>
          <w:color w:val="000000"/>
          <w:sz w:val="22"/>
          <w:szCs w:val="22"/>
          <w:highlight w:val="none"/>
        </w:rPr>
      </w:r>
      <w:r>
        <w:rPr>
          <w:highlight w:val="none"/>
        </w:rPr>
      </w:r>
    </w:p>
    <w:p>
      <w:pPr>
        <w:pStyle w:val="1168"/>
        <w:jc w:val="center"/>
        <w:rPr>
          <w:bCs/>
          <w:color w:val="000000"/>
          <w:sz w:val="24"/>
          <w:szCs w:val="24"/>
          <w:highlight w:val="none"/>
        </w:rPr>
      </w:pPr>
      <w:r>
        <w:rPr>
          <w:bCs/>
          <w:color w:val="000000"/>
          <w:sz w:val="24"/>
          <w:szCs w:val="24"/>
          <w:highlight w:val="none"/>
        </w:rPr>
        <w:t xml:space="preserve">南京市政府采购供应商信用记录表暨信用承诺书</w:t>
      </w:r>
      <w:r>
        <w:rPr>
          <w:bCs/>
          <w:color w:val="000000"/>
          <w:sz w:val="24"/>
          <w:szCs w:val="24"/>
          <w:highlight w:val="none"/>
        </w:rPr>
      </w:r>
      <w:r>
        <w:rPr>
          <w:highlight w:val="none"/>
        </w:rPr>
      </w:r>
    </w:p>
    <w:p>
      <w:pPr>
        <w:pStyle w:val="1168"/>
        <w:rPr>
          <w:color w:val="000000"/>
          <w:highlight w:val="none"/>
        </w:rPr>
      </w:pPr>
      <w:r>
        <w:rPr>
          <w:color w:val="000000"/>
          <w:highlight w:val="none"/>
        </w:rPr>
      </w:r>
      <w:r>
        <w:rPr>
          <w:highlight w:val="none"/>
        </w:rPr>
      </w:r>
    </w:p>
    <w:p>
      <w:pPr>
        <w:pStyle w:val="1168"/>
        <w:jc w:val="right"/>
        <w:rPr>
          <w:bCs/>
          <w:color w:val="000000"/>
          <w:sz w:val="22"/>
          <w:szCs w:val="22"/>
          <w:highlight w:val="none"/>
        </w:rPr>
      </w:pPr>
      <w:r>
        <w:rPr>
          <w:bCs/>
          <w:color w:val="000000"/>
          <w:sz w:val="22"/>
          <w:szCs w:val="22"/>
          <w:highlight w:val="none"/>
        </w:rPr>
        <w:t xml:space="preserve">20   年   月   日</w:t>
      </w:r>
      <w:r>
        <w:rPr>
          <w:bCs/>
          <w:color w:val="000000"/>
          <w:sz w:val="22"/>
          <w:szCs w:val="22"/>
          <w:highlight w:val="none"/>
        </w:rPr>
      </w:r>
      <w:r>
        <w:rPr>
          <w:highlight w:val="none"/>
        </w:rP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0"/>
        <w:gridCol w:w="2461"/>
        <w:gridCol w:w="2463"/>
        <w:gridCol w:w="2464"/>
      </w:tblGrid>
      <w:tr>
        <w:trPr>
          <w:trHeight w:val="400"/>
        </w:trPr>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单位名称</w:t>
            </w:r>
            <w:r>
              <w:rPr>
                <w:bCs/>
                <w:color w:val="000000"/>
                <w:szCs w:val="21"/>
                <w:highlight w:val="none"/>
              </w:rPr>
            </w:r>
            <w:r>
              <w:rPr>
                <w:highlight w:val="none"/>
              </w:rPr>
            </w:r>
          </w:p>
        </w:tc>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统一社会信用代码</w:t>
            </w: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r>
      <w:tr>
        <w:trPr>
          <w:trHeight w:val="400"/>
        </w:trPr>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法定代表人</w:t>
            </w:r>
            <w:r>
              <w:rPr>
                <w:bCs/>
                <w:color w:val="000000"/>
                <w:szCs w:val="21"/>
                <w:highlight w:val="none"/>
              </w:rPr>
            </w:r>
            <w:r>
              <w:rPr>
                <w:highlight w:val="none"/>
              </w:rPr>
            </w:r>
          </w:p>
        </w:tc>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联系人</w:t>
            </w: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r>
      <w:tr>
        <w:trPr>
          <w:trHeight w:val="400"/>
        </w:trPr>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联系地址</w:t>
            </w:r>
            <w:r>
              <w:rPr>
                <w:bCs/>
                <w:color w:val="000000"/>
                <w:szCs w:val="21"/>
                <w:highlight w:val="none"/>
              </w:rPr>
            </w:r>
            <w:r>
              <w:rPr>
                <w:highlight w:val="none"/>
              </w:rPr>
            </w:r>
          </w:p>
        </w:tc>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联系电话</w:t>
            </w:r>
            <w:r>
              <w:rPr>
                <w:bCs/>
                <w:color w:val="000000"/>
                <w:szCs w:val="21"/>
                <w:highlight w:val="none"/>
              </w:rPr>
            </w:r>
            <w:r>
              <w:rPr>
                <w:highlight w:val="none"/>
              </w:rPr>
            </w:r>
          </w:p>
        </w:tc>
        <w:tc>
          <w:tcPr>
            <w:tcW w:w="1250"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r>
      <w:tr>
        <w:trPr>
          <w:trHeight w:val="535"/>
        </w:trPr>
        <w:tc>
          <w:tcPr>
            <w:tcW w:w="1249" w:type="dxa"/>
            <w:vAlign w:val="center"/>
            <w:textDirection w:val="lrTb"/>
            <w:noWrap w:val="false"/>
          </w:tcPr>
          <w:p>
            <w:pPr>
              <w:pStyle w:val="1168"/>
              <w:spacing w:line="360" w:lineRule="auto"/>
              <w:rPr>
                <w:bCs/>
                <w:color w:val="000000"/>
                <w:szCs w:val="21"/>
                <w:highlight w:val="none"/>
              </w:rPr>
            </w:pPr>
            <w:r>
              <w:rPr>
                <w:bCs/>
                <w:color w:val="000000"/>
                <w:szCs w:val="21"/>
                <w:highlight w:val="none"/>
              </w:rPr>
              <w:t xml:space="preserve">诚信档案记录情况</w:t>
            </w:r>
            <w:r>
              <w:rPr>
                <w:bCs/>
                <w:color w:val="000000"/>
                <w:szCs w:val="21"/>
                <w:highlight w:val="none"/>
              </w:rPr>
            </w:r>
            <w:r>
              <w:rPr>
                <w:highlight w:val="none"/>
              </w:rPr>
            </w:r>
          </w:p>
        </w:tc>
        <w:tc>
          <w:tcPr>
            <w:gridSpan w:val="3"/>
            <w:tcW w:w="7388" w:type="dxa"/>
            <w:vAlign w:val="top"/>
            <w:textDirection w:val="lrTb"/>
            <w:noWrap w:val="false"/>
          </w:tcPr>
          <w:p>
            <w:pPr>
              <w:pStyle w:val="1168"/>
              <w:spacing w:line="360" w:lineRule="auto"/>
              <w:rPr>
                <w:bCs/>
                <w:color w:val="000000"/>
                <w:szCs w:val="21"/>
                <w:highlight w:val="none"/>
              </w:rPr>
            </w:pPr>
            <w:r>
              <w:rPr>
                <w:bCs/>
                <w:color w:val="000000"/>
                <w:szCs w:val="21"/>
                <w:highlight w:val="none"/>
              </w:rPr>
            </w:r>
            <w:r>
              <w:rPr>
                <w:highlight w:val="none"/>
              </w:rPr>
            </w:r>
          </w:p>
        </w:tc>
      </w:tr>
      <w:tr>
        <w:trPr>
          <w:trHeight w:val="6604"/>
        </w:trPr>
        <w:tc>
          <w:tcPr>
            <w:tcW w:w="1249" w:type="dxa"/>
            <w:vAlign w:val="top"/>
            <w:textDirection w:val="lrTb"/>
            <w:noWrap w:val="false"/>
          </w:tcPr>
          <w:p>
            <w:pPr>
              <w:pStyle w:val="1168"/>
              <w:spacing w:line="360" w:lineRule="auto"/>
              <w:rPr>
                <w:bCs/>
                <w:color w:val="000000"/>
                <w:szCs w:val="21"/>
                <w:highlight w:val="none"/>
              </w:rPr>
            </w:pPr>
            <w:r>
              <w:rPr>
                <w:bCs/>
                <w:color w:val="000000"/>
                <w:szCs w:val="21"/>
                <w:highlight w:val="none"/>
              </w:rPr>
              <w:t xml:space="preserve">信用承诺</w:t>
            </w:r>
            <w:r>
              <w:rPr>
                <w:bCs/>
                <w:color w:val="000000"/>
                <w:szCs w:val="21"/>
                <w:highlight w:val="none"/>
              </w:rPr>
            </w:r>
            <w:r>
              <w:rPr>
                <w:highlight w:val="none"/>
              </w:rPr>
            </w:r>
          </w:p>
        </w:tc>
        <w:tc>
          <w:tcPr>
            <w:gridSpan w:val="3"/>
            <w:tcW w:w="7388" w:type="dxa"/>
            <w:vAlign w:val="top"/>
            <w:textDirection w:val="lrTb"/>
            <w:noWrap w:val="false"/>
          </w:tcPr>
          <w:p>
            <w:pPr>
              <w:pStyle w:val="1168"/>
              <w:spacing w:line="360" w:lineRule="auto"/>
              <w:rPr>
                <w:color w:val="000000"/>
                <w:szCs w:val="21"/>
                <w:highlight w:val="none"/>
              </w:rPr>
            </w:pPr>
            <w:r>
              <w:rPr>
                <w:color w:val="000000"/>
                <w:szCs w:val="21"/>
                <w:highlight w:val="none"/>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r>
            <w:r>
              <w:rPr>
                <w:highlight w:val="none"/>
              </w:rPr>
            </w:r>
          </w:p>
          <w:p>
            <w:pPr>
              <w:pStyle w:val="1168"/>
              <w:jc w:val="center"/>
              <w:spacing w:line="360" w:lineRule="auto"/>
              <w:rPr>
                <w:color w:val="000000"/>
                <w:szCs w:val="21"/>
                <w:highlight w:val="none"/>
              </w:rPr>
            </w:pPr>
            <w:r>
              <w:rPr>
                <w:color w:val="000000"/>
                <w:szCs w:val="21"/>
                <w:highlight w:val="none"/>
              </w:rPr>
              <w:t xml:space="preserve">供应商名称（盖章）：</w:t>
            </w:r>
            <w:r>
              <w:rPr>
                <w:color w:val="000000"/>
                <w:szCs w:val="21"/>
                <w:highlight w:val="none"/>
              </w:rPr>
            </w:r>
            <w:r>
              <w:rPr>
                <w:highlight w:val="none"/>
              </w:rPr>
            </w:r>
          </w:p>
          <w:p>
            <w:pPr>
              <w:pStyle w:val="1168"/>
              <w:jc w:val="center"/>
              <w:spacing w:line="360" w:lineRule="auto"/>
              <w:rPr>
                <w:color w:val="000000"/>
                <w:szCs w:val="21"/>
                <w:highlight w:val="none"/>
              </w:rPr>
            </w:pPr>
            <w:r>
              <w:rPr>
                <w:color w:val="000000"/>
                <w:szCs w:val="21"/>
                <w:highlight w:val="none"/>
              </w:rPr>
              <w:t xml:space="preserve">法定代表人（签字）：</w:t>
            </w:r>
            <w:r>
              <w:rPr>
                <w:color w:val="000000"/>
                <w:szCs w:val="21"/>
                <w:highlight w:val="none"/>
              </w:rPr>
            </w:r>
            <w:r>
              <w:rPr>
                <w:highlight w:val="none"/>
              </w:rPr>
            </w:r>
          </w:p>
          <w:p>
            <w:pPr>
              <w:pStyle w:val="1168"/>
              <w:jc w:val="center"/>
              <w:spacing w:line="360" w:lineRule="auto"/>
              <w:rPr>
                <w:bCs/>
                <w:color w:val="000000"/>
                <w:szCs w:val="21"/>
                <w:highlight w:val="none"/>
              </w:rPr>
            </w:pPr>
            <w:r>
              <w:rPr>
                <w:color w:val="000000"/>
                <w:szCs w:val="21"/>
                <w:highlight w:val="none"/>
              </w:rPr>
              <w:t xml:space="preserve">二0   年   月    日</w:t>
            </w:r>
            <w:r>
              <w:rPr>
                <w:bCs/>
                <w:color w:val="000000"/>
                <w:szCs w:val="21"/>
                <w:highlight w:val="none"/>
              </w:rPr>
            </w:r>
            <w:r>
              <w:rPr>
                <w:highlight w:val="none"/>
              </w:rPr>
            </w:r>
          </w:p>
        </w:tc>
      </w:tr>
    </w:tbl>
    <w:p>
      <w:pPr>
        <w:pStyle w:val="1168"/>
        <w:jc w:val="left"/>
        <w:widowControl/>
        <w:rPr>
          <w:b/>
          <w:bCs/>
          <w:color w:val="000000"/>
          <w:szCs w:val="21"/>
          <w:highlight w:val="none"/>
        </w:rPr>
      </w:pPr>
      <w:r>
        <w:rPr>
          <w:b/>
          <w:bCs/>
          <w:color w:val="000000"/>
          <w:szCs w:val="21"/>
          <w:highlight w:val="none"/>
          <w:lang w:bidi="ar"/>
        </w:rPr>
      </w:r>
      <w:r>
        <w:rPr>
          <w:highlight w:val="none"/>
        </w:rPr>
      </w:r>
    </w:p>
    <w:p>
      <w:pPr>
        <w:pStyle w:val="1168"/>
        <w:spacing w:line="360" w:lineRule="auto"/>
        <w:shd w:val="clear" w:color="auto" w:fill="ffffff"/>
        <w:widowControl/>
        <w:rPr>
          <w:color w:val="000000"/>
          <w:szCs w:val="21"/>
          <w:highlight w:val="none"/>
        </w:rPr>
      </w:pPr>
      <w:r>
        <w:rPr>
          <w:color w:val="000000"/>
          <w:szCs w:val="21"/>
          <w:highlight w:val="none"/>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color w:val="000000"/>
          <w:szCs w:val="21"/>
          <w:highlight w:val="none"/>
        </w:rPr>
      </w:r>
      <w:r>
        <w:rPr>
          <w:highlight w:val="none"/>
        </w:rPr>
      </w:r>
    </w:p>
    <w:p>
      <w:pPr>
        <w:pStyle w:val="1168"/>
        <w:ind w:firstLine="420"/>
        <w:spacing w:line="360" w:lineRule="auto"/>
        <w:shd w:val="clear" w:color="auto" w:fill="ffffff"/>
        <w:widowControl/>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rPr>
          <w:highlight w:val="none"/>
        </w:rPr>
      </w:r>
    </w:p>
    <w:p>
      <w:pPr>
        <w:pStyle w:val="1168"/>
        <w:ind w:firstLine="420"/>
        <w:spacing w:line="360" w:lineRule="auto"/>
        <w:shd w:val="clear" w:color="auto" w:fill="ffffff"/>
        <w:widowControl/>
        <w:rPr>
          <w:color w:val="000000"/>
          <w:szCs w:val="21"/>
          <w:highlight w:val="none"/>
        </w:rPr>
      </w:pPr>
      <w:r>
        <w:rPr>
          <w:color w:val="000000"/>
          <w:szCs w:val="21"/>
          <w:highlight w:val="none"/>
        </w:rPr>
        <w:t xml:space="preserve">（1）供应商被列入严重失信主体名单；</w:t>
      </w:r>
      <w:r>
        <w:rPr>
          <w:color w:val="000000"/>
          <w:szCs w:val="21"/>
          <w:highlight w:val="none"/>
        </w:rPr>
      </w:r>
      <w:r>
        <w:rPr>
          <w:highlight w:val="none"/>
        </w:rPr>
      </w:r>
    </w:p>
    <w:p>
      <w:pPr>
        <w:pStyle w:val="1168"/>
        <w:ind w:firstLine="420"/>
        <w:spacing w:line="360" w:lineRule="auto"/>
        <w:shd w:val="clear" w:color="auto" w:fill="ffffff"/>
        <w:widowControl/>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rPr>
          <w:highlight w:val="none"/>
        </w:rPr>
      </w:r>
    </w:p>
    <w:p>
      <w:pPr>
        <w:pStyle w:val="1168"/>
        <w:ind w:firstLine="420"/>
        <w:spacing w:line="360" w:lineRule="auto"/>
        <w:shd w:val="clear" w:color="auto" w:fill="ffffff"/>
        <w:widowControl/>
        <w:rPr>
          <w:b/>
          <w:bCs/>
          <w:color w:val="000000"/>
          <w:szCs w:val="21"/>
          <w:highlight w:val="none"/>
        </w:rPr>
      </w:pPr>
      <w:r>
        <w:rPr>
          <w:color w:val="000000"/>
          <w:szCs w:val="21"/>
          <w:highlight w:val="none"/>
        </w:rPr>
        <w:t xml:space="preserve">（3）其他法律、行政法规规定的不适用信用承诺的情形。</w:t>
      </w:r>
      <w:r>
        <w:rPr>
          <w:b/>
          <w:bCs/>
          <w:color w:val="000000"/>
          <w:szCs w:val="21"/>
          <w:highlight w:val="none"/>
        </w:rPr>
      </w:r>
      <w:r>
        <w:rPr>
          <w:highlight w:val="none"/>
        </w:rPr>
      </w:r>
    </w:p>
    <w:p>
      <w:pPr>
        <w:pStyle w:val="1168"/>
        <w:ind w:firstLine="440"/>
        <w:spacing w:line="360" w:lineRule="auto"/>
        <w:rPr>
          <w:color w:val="000000"/>
          <w:szCs w:val="21"/>
          <w:highlight w:val="none"/>
        </w:rPr>
      </w:pPr>
      <w:r>
        <w:rPr>
          <w:color w:val="000000"/>
          <w:sz w:val="22"/>
          <w:szCs w:val="22"/>
          <w:highlight w:val="none"/>
        </w:rPr>
        <w:t xml:space="preserve">供应商对信用承诺内容的真实性、合法性、有效性负责。</w:t>
      </w:r>
      <w:r>
        <w:rPr>
          <w:b/>
          <w:bCs/>
          <w:color w:val="000000"/>
          <w:sz w:val="22"/>
          <w:szCs w:val="22"/>
          <w:highlight w:val="none"/>
        </w:rPr>
        <w:t xml:space="preserve">如作出虚假信用承诺，视同为“提供虚假材料谋取中标、成交”的违法行为。</w:t>
      </w:r>
      <w:r>
        <w:rPr>
          <w:color w:val="000000"/>
          <w:sz w:val="22"/>
          <w:szCs w:val="22"/>
          <w:highlight w:val="none"/>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rPr>
          <w:highlight w:val="none"/>
        </w:rPr>
      </w:r>
    </w:p>
    <w:p>
      <w:pPr>
        <w:pStyle w:val="1168"/>
        <w:jc w:val="left"/>
        <w:spacing w:line="360" w:lineRule="auto"/>
        <w:rPr>
          <w:b/>
          <w:color w:val="000000"/>
          <w:highlight w:val="none"/>
        </w:rPr>
      </w:pPr>
      <w:r>
        <w:rPr>
          <w:b/>
          <w:color w:val="000000"/>
          <w:highlight w:val="none"/>
        </w:rPr>
      </w:r>
      <w:r>
        <w:rPr>
          <w:highlight w:val="none"/>
        </w:rPr>
      </w:r>
    </w:p>
    <w:p>
      <w:pPr>
        <w:pStyle w:val="1168"/>
        <w:spacing w:line="360" w:lineRule="auto"/>
        <w:rPr>
          <w:b/>
          <w:color w:val="000000"/>
          <w:highlight w:val="none"/>
        </w:rPr>
      </w:pPr>
      <w:r>
        <w:rPr>
          <w:color w:val="000000"/>
          <w:highlight w:val="none"/>
          <w:lang w:bidi="ar"/>
        </w:rPr>
        <w:br w:type="page" w:clear="all"/>
      </w:r>
      <w:r>
        <w:rPr>
          <w:rFonts w:hint="eastAsia"/>
          <w:color w:val="000000"/>
          <w:highlight w:val="none"/>
          <w:lang w:bidi="ar"/>
        </w:rPr>
        <w:t xml:space="preserve">14、</w:t>
      </w:r>
      <w:r>
        <w:rPr>
          <w:color w:val="000000"/>
          <w:highlight w:val="none"/>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b/>
          <w:color w:val="000000"/>
          <w:highlight w:val="none"/>
        </w:rPr>
      </w:r>
      <w:r>
        <w:rPr>
          <w:highlight w:val="none"/>
        </w:rPr>
      </w:r>
    </w:p>
    <w:p>
      <w:pPr>
        <w:pStyle w:val="1168"/>
        <w:spacing w:line="360" w:lineRule="auto"/>
        <w:rPr>
          <w:b/>
          <w:color w:val="000000"/>
          <w:highlight w:val="none"/>
        </w:rPr>
      </w:pPr>
      <w:r>
        <w:rPr>
          <w:b/>
          <w:color w:val="000000"/>
          <w:highlight w:val="none"/>
        </w:rPr>
      </w:r>
      <w:r>
        <w:rPr>
          <w:highlight w:val="none"/>
        </w:rPr>
      </w:r>
    </w:p>
    <w:p>
      <w:pPr>
        <w:pStyle w:val="1168"/>
        <w:spacing w:line="360" w:lineRule="auto"/>
        <w:rPr>
          <w:b/>
          <w:color w:val="000000"/>
          <w:highlight w:val="none"/>
        </w:rPr>
      </w:pPr>
      <w:r>
        <w:rPr>
          <w:b/>
          <w:color w:val="000000"/>
          <w:highlight w:val="none"/>
        </w:rPr>
      </w:r>
      <w:r>
        <w:rPr>
          <w:highlight w:val="none"/>
        </w:rPr>
      </w:r>
    </w:p>
    <w:p>
      <w:pPr>
        <w:pStyle w:val="1168"/>
        <w:spacing w:line="360" w:lineRule="auto"/>
        <w:rPr>
          <w:color w:val="000000"/>
          <w:szCs w:val="21"/>
          <w:highlight w:val="none"/>
        </w:rPr>
      </w:pPr>
      <w:r>
        <w:rPr>
          <w:color w:val="000000"/>
          <w:szCs w:val="21"/>
          <w:highlight w:val="none"/>
          <w:lang w:bidi="ar"/>
        </w:rPr>
        <w:t xml:space="preserve">供应商名称（公章）：</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lang w:bidi="ar"/>
        </w:rPr>
        <w:t xml:space="preserve">授权代表（签字）：</w:t>
      </w:r>
      <w:r>
        <w:rPr>
          <w:color w:val="000000"/>
          <w:szCs w:val="21"/>
          <w:highlight w:val="none"/>
        </w:rPr>
      </w:r>
      <w:r>
        <w:rPr>
          <w:highlight w:val="none"/>
        </w:rPr>
      </w:r>
    </w:p>
    <w:p>
      <w:pPr>
        <w:pStyle w:val="1168"/>
        <w:spacing w:line="360" w:lineRule="auto"/>
        <w:rPr>
          <w:color w:val="000000"/>
          <w:sz w:val="24"/>
          <w:szCs w:val="24"/>
          <w:highlight w:val="none"/>
        </w:rPr>
      </w:pPr>
      <w:r>
        <w:rPr>
          <w:color w:val="000000"/>
          <w:szCs w:val="21"/>
          <w:highlight w:val="none"/>
          <w:lang w:bidi="ar"/>
        </w:rPr>
        <w:t xml:space="preserve">日期：</w:t>
      </w:r>
      <w:r>
        <w:rPr>
          <w:color w:val="000000"/>
          <w:sz w:val="24"/>
          <w:szCs w:val="24"/>
          <w:highlight w:val="none"/>
        </w:rPr>
      </w:r>
      <w:r>
        <w:rPr>
          <w:highlight w:val="none"/>
        </w:rPr>
      </w:r>
    </w:p>
    <w:p>
      <w:pPr>
        <w:pStyle w:val="1168"/>
        <w:jc w:val="left"/>
        <w:spacing w:line="360" w:lineRule="auto"/>
        <w:rPr>
          <w:b/>
          <w:color w:val="000000"/>
          <w:highlight w:val="none"/>
        </w:rPr>
        <w:outlineLvl w:val="1"/>
      </w:pPr>
      <w:r>
        <w:rPr>
          <w:b/>
          <w:color w:val="000000"/>
          <w:highlight w:val="none"/>
        </w:rPr>
        <w:br w:type="page" w:clear="all"/>
      </w:r>
      <w:bookmarkStart w:id="361" w:name="_Toc29084"/>
      <w:r>
        <w:rPr>
          <w:b/>
          <w:color w:val="000000"/>
          <w:highlight w:val="none"/>
        </w:rPr>
        <w:t xml:space="preserve">附件</w:t>
      </w:r>
      <w:r>
        <w:rPr>
          <w:rFonts w:hint="eastAsia"/>
          <w:b/>
          <w:color w:val="000000"/>
          <w:highlight w:val="none"/>
        </w:rPr>
        <w:t xml:space="preserve">九</w:t>
      </w:r>
      <w:r>
        <w:rPr>
          <w:b/>
          <w:color w:val="000000"/>
          <w:highlight w:val="none"/>
        </w:rPr>
        <w:t xml:space="preserve"> 其他相关文件</w:t>
      </w:r>
      <w:bookmarkEnd w:id="360"/>
      <w:r>
        <w:rPr>
          <w:highlight w:val="none"/>
        </w:rPr>
      </w:r>
      <w:bookmarkEnd w:id="361"/>
      <w:r>
        <w:rPr>
          <w:b/>
          <w:color w:val="000000"/>
          <w:highlight w:val="none"/>
        </w:rPr>
      </w:r>
      <w:r>
        <w:rPr>
          <w:highlight w:val="none"/>
        </w:rPr>
      </w:r>
    </w:p>
    <w:p>
      <w:pPr>
        <w:pStyle w:val="1168"/>
        <w:ind w:right="-5"/>
        <w:spacing w:line="440" w:lineRule="exact"/>
        <w:rPr>
          <w:b/>
          <w:color w:val="000000"/>
          <w:szCs w:val="21"/>
          <w:highlight w:val="none"/>
        </w:rPr>
      </w:pPr>
      <w:r>
        <w:rPr>
          <w:b/>
          <w:color w:val="000000"/>
          <w:szCs w:val="21"/>
          <w:highlight w:val="none"/>
          <w:lang w:val="zh-CN"/>
        </w:rPr>
        <w:t xml:space="preserve">（针对具体的评标标准提供相应其他材料）</w:t>
      </w:r>
      <w:r>
        <w:rPr>
          <w:b/>
          <w:color w:val="000000"/>
          <w:szCs w:val="21"/>
          <w:highlight w:val="none"/>
          <w:lang w:val="zh-CN"/>
        </w:rPr>
      </w:r>
      <w:r>
        <w:rPr>
          <w:highlight w:val="none"/>
        </w:rPr>
      </w:r>
    </w:p>
    <w:p>
      <w:pPr>
        <w:pStyle w:val="1224"/>
        <w:ind w:firstLine="422"/>
        <w:rPr>
          <w:b/>
          <w:color w:val="000000"/>
          <w:szCs w:val="21"/>
          <w:highlight w:val="none"/>
        </w:rPr>
      </w:pPr>
      <w:r>
        <w:rPr>
          <w:b/>
          <w:color w:val="000000"/>
          <w:szCs w:val="21"/>
          <w:highlight w:val="none"/>
          <w:lang w:val="zh-CN"/>
        </w:rPr>
      </w:r>
      <w:r>
        <w:rPr>
          <w:highlight w:val="none"/>
        </w:rPr>
      </w:r>
    </w:p>
    <w:p>
      <w:pPr>
        <w:pStyle w:val="1224"/>
        <w:ind w:firstLine="0"/>
        <w:rPr>
          <w:b/>
          <w:color w:val="000000"/>
          <w:szCs w:val="21"/>
          <w:highlight w:val="none"/>
        </w:rPr>
      </w:pPr>
      <w:r>
        <w:rPr>
          <w:b/>
          <w:color w:val="000000"/>
          <w:szCs w:val="21"/>
          <w:highlight w:val="none"/>
        </w:rPr>
      </w:r>
      <w:r>
        <w:rPr>
          <w:highlight w:val="none"/>
        </w:rPr>
      </w:r>
    </w:p>
    <w:p>
      <w:pPr>
        <w:pStyle w:val="1224"/>
        <w:ind w:firstLine="0"/>
        <w:rPr>
          <w:b/>
          <w:color w:val="000000"/>
          <w:szCs w:val="21"/>
          <w:highlight w:val="none"/>
        </w:rPr>
      </w:pPr>
      <w:r>
        <w:rPr>
          <w:b/>
          <w:color w:val="000000"/>
          <w:szCs w:val="21"/>
          <w:highlight w:val="none"/>
        </w:rPr>
      </w:r>
      <w:r>
        <w:rPr>
          <w:highlight w:val="none"/>
        </w:rPr>
      </w:r>
    </w:p>
    <w:p>
      <w:pPr>
        <w:pStyle w:val="1269"/>
        <w:ind w:firstLine="0"/>
        <w:rPr>
          <w:b/>
          <w:bCs/>
          <w:color w:val="000000"/>
          <w:highlight w:val="none"/>
        </w:rPr>
        <w:outlineLvl w:val="1"/>
      </w:pPr>
      <w:r>
        <w:rPr>
          <w:b/>
          <w:bCs/>
          <w:color w:val="000000"/>
          <w:highlight w:val="none"/>
          <w:lang w:val="zh-CN"/>
        </w:rPr>
        <w:br w:type="page" w:clear="all"/>
      </w:r>
      <w:bookmarkStart w:id="362" w:name="_Toc21853"/>
      <w:r>
        <w:rPr>
          <w:b/>
          <w:bCs/>
          <w:color w:val="000000"/>
          <w:highlight w:val="none"/>
          <w:lang w:val="zh-CN"/>
        </w:rPr>
        <w:t xml:space="preserve">附件</w:t>
      </w:r>
      <w:r>
        <w:rPr>
          <w:rFonts w:hint="eastAsia"/>
          <w:b/>
          <w:bCs/>
          <w:color w:val="000000"/>
          <w:highlight w:val="none"/>
        </w:rPr>
        <w:t xml:space="preserve">十</w:t>
      </w:r>
      <w:r>
        <w:rPr>
          <w:b/>
          <w:bCs/>
          <w:color w:val="000000"/>
          <w:highlight w:val="none"/>
          <w:lang w:val="zh-CN"/>
        </w:rPr>
        <w:t xml:space="preserve">  投标货物报告</w:t>
      </w:r>
      <w:bookmarkEnd w:id="362"/>
      <w:r>
        <w:rPr>
          <w:b/>
          <w:bCs/>
          <w:color w:val="000000"/>
          <w:highlight w:val="none"/>
          <w:lang w:val="zh-CN"/>
        </w:rPr>
      </w:r>
      <w:r>
        <w:rPr>
          <w:highlight w:val="none"/>
        </w:rPr>
      </w:r>
    </w:p>
    <w:p>
      <w:pPr>
        <w:pStyle w:val="1168"/>
        <w:jc w:val="center"/>
        <w:spacing w:line="360" w:lineRule="auto"/>
        <w:widowControl/>
        <w:rPr>
          <w:b/>
          <w:color w:val="000000"/>
          <w:szCs w:val="21"/>
          <w:highlight w:val="none"/>
        </w:rPr>
      </w:pPr>
      <w:r>
        <w:rPr>
          <w:highlight w:val="none"/>
        </w:rPr>
      </w:r>
      <w:bookmarkStart w:id="363" w:name="_Toc6772"/>
      <w:r>
        <w:rPr>
          <w:highlight w:val="none"/>
        </w:rPr>
      </w:r>
      <w:bookmarkStart w:id="364" w:name="_Hlk129113470"/>
      <w:r>
        <w:rPr>
          <w:b/>
          <w:bCs/>
          <w:color w:val="000000"/>
          <w:szCs w:val="21"/>
          <w:highlight w:val="none"/>
        </w:rPr>
        <w:t xml:space="preserve">投标货物报告</w:t>
      </w:r>
      <w:bookmarkEnd w:id="363"/>
      <w:r>
        <w:rPr>
          <w:b/>
          <w:color w:val="000000"/>
          <w:szCs w:val="21"/>
          <w:highlight w:val="none"/>
        </w:rPr>
      </w:r>
      <w:r>
        <w:rPr>
          <w:highlight w:val="none"/>
        </w:rPr>
      </w:r>
    </w:p>
    <w:p>
      <w:pPr>
        <w:pStyle w:val="1168"/>
        <w:jc w:val="center"/>
        <w:spacing w:line="360" w:lineRule="auto"/>
        <w:widowControl/>
        <w:rPr>
          <w:b/>
          <w:bCs/>
          <w:color w:val="000000"/>
          <w:szCs w:val="21"/>
          <w:highlight w:val="none"/>
        </w:rPr>
      </w:pPr>
      <w:r>
        <w:rPr>
          <w:b/>
          <w:bCs/>
          <w:color w:val="000000"/>
          <w:szCs w:val="21"/>
          <w:highlight w:val="none"/>
        </w:rPr>
      </w:r>
      <w:r>
        <w:rPr>
          <w:highlight w:val="none"/>
        </w:rPr>
      </w:r>
    </w:p>
    <w:p>
      <w:pPr>
        <w:pStyle w:val="1168"/>
        <w:spacing w:line="360" w:lineRule="auto"/>
        <w:rPr>
          <w:color w:val="000000"/>
          <w:szCs w:val="21"/>
          <w:highlight w:val="none"/>
        </w:rPr>
      </w:pPr>
      <w:r>
        <w:rPr>
          <w:highlight w:val="none"/>
        </w:rPr>
      </w:r>
      <w:bookmarkEnd w:id="364"/>
      <w:r>
        <w:rPr>
          <w:highlight w:val="none"/>
        </w:rPr>
      </w:r>
      <w:bookmarkStart w:id="365" w:name="_Hlk233976649"/>
      <w:r>
        <w:rPr>
          <w:highlight w:val="none"/>
        </w:rPr>
      </w:r>
      <w:bookmarkStart w:id="366" w:name="_Hlk233973057"/>
      <w:r>
        <w:rPr>
          <w:color w:val="000000"/>
          <w:szCs w:val="21"/>
          <w:highlight w:val="none"/>
        </w:rPr>
        <w:t xml:space="preserve">供应商按照采购文件的要求，根据用户要求内容做出全面响应并编制服务方案，包括但不限于以下内容：</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1.产品主要技术参数；</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2.产品资质、主要性能、质量及综合评价，附货物彩页及设备性能质量检测报告等相关证明资料；</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实施方案，包含</w:t>
      </w:r>
      <w:r>
        <w:rPr>
          <w:color w:val="000000"/>
          <w:szCs w:val="21"/>
          <w:highlight w:val="none"/>
        </w:rPr>
        <w:t xml:space="preserve">产品供货、安装调试方案、安装场地要求、验收标准、</w:t>
      </w:r>
      <w:r>
        <w:rPr>
          <w:rFonts w:hint="eastAsia"/>
          <w:color w:val="000000"/>
          <w:szCs w:val="21"/>
          <w:highlight w:val="none"/>
        </w:rPr>
        <w:t xml:space="preserve">系统对接方案（如有）</w:t>
      </w:r>
      <w:r>
        <w:rPr>
          <w:color w:val="000000"/>
          <w:szCs w:val="21"/>
          <w:highlight w:val="none"/>
        </w:rPr>
        <w:t xml:space="preserve">；</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4售后服务方案</w:t>
      </w:r>
      <w:r>
        <w:rPr>
          <w:rFonts w:hint="eastAsia"/>
          <w:color w:val="000000"/>
          <w:szCs w:val="21"/>
          <w:highlight w:val="none"/>
        </w:rPr>
        <w:t xml:space="preserve">；</w:t>
      </w:r>
      <w:r>
        <w:rPr>
          <w:color w:val="000000"/>
          <w:szCs w:val="21"/>
          <w:highlight w:val="none"/>
        </w:rPr>
      </w:r>
      <w:r>
        <w:rPr>
          <w:highlight w:val="none"/>
        </w:rPr>
      </w:r>
    </w:p>
    <w:p>
      <w:pPr>
        <w:pStyle w:val="1168"/>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应急响应方案和风险管理措施方案等</w:t>
      </w:r>
      <w:r>
        <w:rPr>
          <w:color w:val="000000"/>
          <w:szCs w:val="21"/>
          <w:highlight w:val="none"/>
        </w:rPr>
        <w:t xml:space="preserve">；</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6.质量保证措施方案；</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7.免费质保期承诺；</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8类似项目业绩和经验；</w:t>
      </w:r>
      <w:r>
        <w:rPr>
          <w:color w:val="000000"/>
          <w:szCs w:val="21"/>
          <w:highlight w:val="none"/>
        </w:rPr>
      </w:r>
      <w:r>
        <w:rPr>
          <w:highlight w:val="none"/>
        </w:rPr>
      </w:r>
    </w:p>
    <w:p>
      <w:pPr>
        <w:pStyle w:val="1168"/>
        <w:spacing w:line="360" w:lineRule="auto"/>
        <w:rPr>
          <w:color w:val="000000"/>
          <w:szCs w:val="21"/>
          <w:highlight w:val="none"/>
        </w:rPr>
      </w:pPr>
      <w:r>
        <w:rPr>
          <w:color w:val="000000"/>
          <w:szCs w:val="21"/>
          <w:highlight w:val="none"/>
        </w:rPr>
        <w:t xml:space="preserve">9.履约能力；</w:t>
      </w:r>
      <w:r>
        <w:rPr>
          <w:color w:val="000000"/>
          <w:szCs w:val="21"/>
          <w:highlight w:val="none"/>
        </w:rPr>
      </w:r>
      <w:r>
        <w:rPr>
          <w:highlight w:val="none"/>
        </w:rPr>
      </w:r>
    </w:p>
    <w:p>
      <w:pPr>
        <w:pStyle w:val="1274"/>
        <w:spacing w:line="360" w:lineRule="auto"/>
        <w:widowControl/>
        <w:rPr>
          <w:color w:val="000000"/>
          <w:szCs w:val="21"/>
          <w:highlight w:val="none"/>
        </w:rPr>
      </w:pPr>
      <w:r>
        <w:rPr>
          <w:color w:val="000000"/>
          <w:szCs w:val="21"/>
          <w:highlight w:val="none"/>
        </w:rPr>
        <w:t xml:space="preserve">10</w:t>
      </w:r>
      <w:r>
        <w:rPr>
          <w:rFonts w:hint="eastAsia"/>
          <w:color w:val="000000"/>
          <w:szCs w:val="21"/>
          <w:highlight w:val="none"/>
          <w:u w:val="single"/>
        </w:rPr>
        <w:t xml:space="preserve">.</w:t>
      </w:r>
      <w:r>
        <w:rPr>
          <w:rFonts w:hint="eastAsia" w:ascii="宋体" w:hAnsi="宋体" w:cs="宋体"/>
          <w:color w:val="000000"/>
          <w:szCs w:val="21"/>
          <w:highlight w:val="none"/>
        </w:rPr>
        <w:t xml:space="preserve"> 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 xml:space="preserve">格式自拟并加盖投标人公章。</w:t>
      </w:r>
      <w:r>
        <w:rPr>
          <w:color w:val="000000"/>
          <w:szCs w:val="21"/>
          <w:highlight w:val="none"/>
        </w:rPr>
      </w:r>
      <w:r>
        <w:rPr>
          <w:highlight w:val="none"/>
        </w:rPr>
      </w:r>
    </w:p>
    <w:p>
      <w:pPr>
        <w:pStyle w:val="1168"/>
        <w:spacing w:line="360" w:lineRule="auto"/>
        <w:rPr>
          <w:color w:val="000000"/>
          <w:szCs w:val="21"/>
          <w:highlight w:val="none"/>
        </w:rPr>
      </w:pPr>
      <w:r>
        <w:rPr>
          <w:highlight w:val="none"/>
        </w:rPr>
      </w:r>
      <w:bookmarkEnd w:id="365"/>
      <w:r>
        <w:rPr>
          <w:rFonts w:hint="eastAsia"/>
          <w:color w:val="000000"/>
          <w:szCs w:val="21"/>
          <w:highlight w:val="none"/>
        </w:rPr>
        <w:t xml:space="preserve"> 1</w:t>
      </w:r>
      <w:r>
        <w:rPr>
          <w:color w:val="000000"/>
          <w:szCs w:val="21"/>
          <w:highlight w:val="none"/>
        </w:rPr>
        <w:t xml:space="preserve">1</w:t>
      </w:r>
      <w:r>
        <w:rPr>
          <w:rFonts w:hint="eastAsia"/>
          <w:color w:val="000000"/>
          <w:szCs w:val="21"/>
          <w:highlight w:val="none"/>
        </w:rPr>
        <w:t xml:space="preserve">、供应商须提供设备所有配套专用耗材及其他用品等相关材料（如有），须提供名称、品牌、规格型号、产地、优惠单价、是否</w:t>
      </w:r>
      <w:bookmarkEnd w:id="366"/>
      <w:r>
        <w:rPr>
          <w:highlight w:val="none"/>
        </w:rPr>
      </w:r>
      <w:bookmarkStart w:id="367" w:name="_Hlk233973087"/>
      <w:r>
        <w:rPr>
          <w:rFonts w:hint="eastAsia"/>
          <w:color w:val="000000"/>
          <w:szCs w:val="21"/>
          <w:highlight w:val="none"/>
        </w:rPr>
        <w:t xml:space="preserve">纳入江苏省或南京市试剂耗材集中采购平台等信息。格式自拟并加盖投标人公章。</w:t>
      </w:r>
      <w:r>
        <w:rPr>
          <w:color w:val="000000"/>
          <w:szCs w:val="21"/>
          <w:highlight w:val="none"/>
        </w:rPr>
      </w:r>
      <w:r>
        <w:rPr>
          <w:highlight w:val="none"/>
        </w:rPr>
      </w:r>
    </w:p>
    <w:p>
      <w:pPr>
        <w:pStyle w:val="1168"/>
        <w:ind w:firstLine="420"/>
        <w:spacing w:line="400" w:lineRule="exact"/>
        <w:tabs>
          <w:tab w:val="left" w:pos="1680" w:leader="none"/>
        </w:tabs>
        <w:rPr>
          <w:color w:val="000000"/>
          <w:szCs w:val="21"/>
          <w:highlight w:val="none"/>
        </w:rPr>
      </w:pPr>
      <w:r>
        <w:rPr>
          <w:highlight w:val="none"/>
        </w:rPr>
      </w:r>
      <w:bookmarkEnd w:id="367"/>
      <w:r>
        <w:rPr>
          <w:color w:val="000000"/>
          <w:szCs w:val="21"/>
          <w:highlight w:val="none"/>
        </w:rPr>
      </w:r>
      <w:r>
        <w:rPr>
          <w:highlight w:val="none"/>
        </w:rPr>
      </w:r>
    </w:p>
    <w:p>
      <w:pPr>
        <w:pStyle w:val="1168"/>
        <w:ind w:firstLine="420"/>
        <w:spacing w:line="400" w:lineRule="exact"/>
        <w:tabs>
          <w:tab w:val="left" w:pos="1680" w:leader="none"/>
        </w:tabs>
        <w:rPr>
          <w:color w:val="000000"/>
          <w:szCs w:val="21"/>
          <w:highlight w:val="none"/>
        </w:rPr>
      </w:pPr>
      <w:r>
        <w:rPr>
          <w:rFonts w:hint="eastAsia"/>
          <w:color w:val="000000"/>
          <w:szCs w:val="21"/>
          <w:highlight w:val="none"/>
        </w:rPr>
        <w:t xml:space="preserve">单位名称：（盖章）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r>
      <w:r>
        <w:rPr>
          <w:highlight w:val="none"/>
        </w:rPr>
      </w:r>
    </w:p>
    <w:p>
      <w:pPr>
        <w:pStyle w:val="1168"/>
        <w:ind w:firstLine="420"/>
        <w:spacing w:line="400" w:lineRule="exact"/>
        <w:tabs>
          <w:tab w:val="left" w:pos="1680" w:leader="none"/>
        </w:tabs>
        <w:rPr>
          <w:color w:val="000000"/>
          <w:szCs w:val="21"/>
          <w:highlight w:val="none"/>
        </w:rPr>
      </w:pPr>
      <w:r>
        <w:rPr>
          <w:rFonts w:hint="eastAsia"/>
          <w:color w:val="000000"/>
          <w:szCs w:val="21"/>
          <w:highlight w:val="none"/>
        </w:rPr>
        <w:t xml:space="preserve">法定代表人（或授权代表）：（签字）        </w:t>
      </w:r>
      <w:r>
        <w:rPr>
          <w:color w:val="000000"/>
          <w:szCs w:val="21"/>
          <w:highlight w:val="none"/>
        </w:rPr>
      </w:r>
      <w:r>
        <w:rPr>
          <w:highlight w:val="none"/>
        </w:rP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仿宋">
    <w:panose1 w:val="02010609060101010101"/>
  </w:font>
  <w:font w:name="Wingdings">
    <w:panose1 w:val="05000000000000000000"/>
  </w:font>
  <w:font w:name="楷体_GB2312">
    <w:panose1 w:val="02010609060101010101"/>
  </w:font>
  <w:font w:name="Symbol">
    <w:panose1 w:val="05050102010706020507"/>
  </w:font>
  <w:font w:name="楷体">
    <w:panose1 w:val="02010609060101010101"/>
  </w:font>
  <w:font w:name="Tahoma">
    <w:panose1 w:val="020B0604030504040204"/>
  </w:font>
  <w:font w:name="Calibri">
    <w:panose1 w:val="020F0502020204030204"/>
  </w:font>
  <w:font w:name="Segoe UI Symbol">
    <w:panose1 w:val="020B0502040204020203"/>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tabs>
        <w:tab w:val="center" w:pos="4153" w:leader="none"/>
        <w:tab w:val="right" w:pos="8306" w:leader="none"/>
      </w:tabs>
      <w:rPr>
        <w:rStyle w:val="1218"/>
        <w:rFonts w:hint="eastAsia"/>
      </w:rPr>
    </w:pPr>
    <w:r>
      <w:rPr>
        <w:rStyle w:val="1218"/>
        <w:rFonts w:hint="eastAsia"/>
      </w:rPr>
      <w:t xml:space="preserve">            </w:t>
    </w:r>
    <w:r>
      <w:rPr>
        <w:rStyle w:val="1218"/>
        <w:rFonts w:hint="eastAsia"/>
      </w:rPr>
    </w:r>
    <w:r/>
  </w:p>
  <w:p>
    <w:pPr>
      <w:pStyle w:val="1199"/>
      <w:tabs>
        <w:tab w:val="center" w:pos="4153" w:leader="none"/>
        <w:tab w:val="right" w:pos="8306" w:leader="none"/>
      </w:tabs>
      <w:rPr>
        <w:rStyle w:val="1218"/>
        <w:rFonts w:hint="eastAsia"/>
      </w:rPr>
      <w:framePr w:wrap="around" w:vAnchor="text" w:hAnchor="page" w:x="6104" w:y="52"/>
    </w:pPr>
    <w:r>
      <w:rPr>
        <w:rStyle w:val="1218"/>
        <w:rFonts w:hint="eastAsia"/>
      </w:rPr>
      <w:t xml:space="preserve">                   </w:t>
    </w:r>
    <w:r>
      <w:rPr>
        <w:rStyle w:val="1218"/>
        <w:rFonts w:hint="eastAsia"/>
      </w:rPr>
    </w:r>
    <w:r/>
  </w:p>
  <w:p>
    <w:pPr>
      <w:pStyle w:val="1199"/>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9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w:rPr>
        <w:lang w:val="zh-CN"/>
      </w:rPr>
      <w:t xml:space="preserve"> </w:t>
    </w:r>
    <w:r/>
  </w:p>
  <w:p>
    <w:pPr>
      <w:pStyle w:val="1199"/>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8"/>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8"/>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8"/>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8"/>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8"/>
                    </w:pPr>
                    <w:r/>
                    <w:r/>
                  </w:p>
                </w:txbxContent>
              </v:textbox>
            </v:shape>
          </w:pict>
        </mc:Fallback>
      </mc:AlternateContent>
    </w:r>
    <w:r/>
  </w:p>
  <w:p>
    <w:pPr>
      <w:pStyle w:val="1199"/>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8"/>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8"/>
                    </w:pPr>
                    <w:r/>
                    <w:r/>
                  </w:p>
                </w:txbxContent>
              </v:textbox>
            </v:shape>
          </w:pict>
        </mc:Fallback>
      </mc:AlternateContent>
    </w:r>
    <w:r/>
  </w:p>
  <w:p>
    <w:pPr>
      <w:pStyle w:val="1199"/>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8"/>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8"/>
                    </w:pPr>
                    <w:r/>
                    <w:r/>
                  </w:p>
                </w:txbxContent>
              </v:textbox>
            </v:shape>
          </w:pict>
        </mc:Fallback>
      </mc:AlternateContent>
    </w:r>
    <w:r/>
  </w:p>
  <w:p>
    <w:pPr>
      <w:pStyle w:val="11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tab"/>
      <w:lvlText w:val="%1."/>
      <w:lvlJc w:val="left"/>
      <w:pPr>
        <w:pStyle w:val="11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248"/>
      <w:isLgl w:val="false"/>
      <w:suff w:val="tab"/>
      <w:lvlText w:val="%1、"/>
      <w:lvlJc w:val="left"/>
      <w:pPr>
        <w:pStyle w:val="1168"/>
        <w:ind w:left="720" w:hanging="720"/>
      </w:pPr>
    </w:lvl>
    <w:lvl w:ilvl="1">
      <w:start w:val="1"/>
      <w:numFmt w:val="decimal"/>
      <w:isLgl w:val="false"/>
      <w:suff w:val="tab"/>
      <w:lvlText w:val="%2."/>
      <w:lvlJc w:val="left"/>
      <w:pPr>
        <w:pStyle w:val="1168"/>
        <w:ind w:left="765" w:hanging="345"/>
      </w:pPr>
      <w:rPr>
        <w:rFonts w:hAnsi="Times New Roman"/>
      </w:r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4">
    <w:multiLevelType w:val="hybridMultilevel"/>
    <w:lvl w:ilvl="0">
      <w:start w:val="1"/>
      <w:numFmt w:val="chineseCounting"/>
      <w:isLgl w:val="false"/>
      <w:suff w:val="nothing"/>
      <w:lvlText w:val="（%1）"/>
      <w:lvlJc w:val="left"/>
      <w:pPr>
        <w:pStyle w:val="11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168"/>
        <w:ind w:left="1440" w:hanging="1440"/>
      </w:pPr>
    </w:lvl>
    <w:lvl w:ilvl="1">
      <w:start w:val="1"/>
      <w:numFmt w:val="lowerLetter"/>
      <w:isLgl w:val="false"/>
      <w:suff w:val="tab"/>
      <w:lvlText w:val="%2)"/>
      <w:lvlJc w:val="left"/>
      <w:pPr>
        <w:pStyle w:val="1168"/>
        <w:ind w:left="840" w:hanging="420"/>
      </w:pPr>
    </w:lvl>
    <w:lvl w:ilvl="2">
      <w:start w:val="1"/>
      <w:numFmt w:val="lowerRoman"/>
      <w:isLgl w:val="false"/>
      <w:suff w:val="tab"/>
      <w:lvlText w:val="%3."/>
      <w:lvlJc w:val="right"/>
      <w:pPr>
        <w:pStyle w:val="1168"/>
        <w:ind w:left="1260" w:hanging="420"/>
      </w:pPr>
    </w:lvl>
    <w:lvl w:ilvl="3">
      <w:start w:val="1"/>
      <w:numFmt w:val="decimal"/>
      <w:isLgl w:val="false"/>
      <w:suff w:val="tab"/>
      <w:lvlText w:val="%4."/>
      <w:lvlJc w:val="left"/>
      <w:pPr>
        <w:pStyle w:val="1168"/>
        <w:ind w:left="1680" w:hanging="420"/>
      </w:pPr>
    </w:lvl>
    <w:lvl w:ilvl="4">
      <w:start w:val="1"/>
      <w:numFmt w:val="lowerLetter"/>
      <w:isLgl w:val="false"/>
      <w:suff w:val="tab"/>
      <w:lvlText w:val="%5)"/>
      <w:lvlJc w:val="left"/>
      <w:pPr>
        <w:pStyle w:val="1168"/>
        <w:ind w:left="2100" w:hanging="420"/>
      </w:pPr>
    </w:lvl>
    <w:lvl w:ilvl="5">
      <w:start w:val="1"/>
      <w:numFmt w:val="lowerRoman"/>
      <w:isLgl w:val="false"/>
      <w:suff w:val="tab"/>
      <w:lvlText w:val="%6."/>
      <w:lvlJc w:val="right"/>
      <w:pPr>
        <w:pStyle w:val="1168"/>
        <w:ind w:left="2520" w:hanging="420"/>
      </w:pPr>
    </w:lvl>
    <w:lvl w:ilvl="6">
      <w:start w:val="1"/>
      <w:numFmt w:val="decimal"/>
      <w:isLgl w:val="false"/>
      <w:suff w:val="tab"/>
      <w:lvlText w:val="%7."/>
      <w:lvlJc w:val="left"/>
      <w:pPr>
        <w:pStyle w:val="1168"/>
        <w:ind w:left="2940" w:hanging="420"/>
      </w:pPr>
    </w:lvl>
    <w:lvl w:ilvl="7">
      <w:start w:val="1"/>
      <w:numFmt w:val="lowerLetter"/>
      <w:isLgl w:val="false"/>
      <w:suff w:val="tab"/>
      <w:lvlText w:val="%8)"/>
      <w:lvlJc w:val="left"/>
      <w:pPr>
        <w:pStyle w:val="1168"/>
        <w:ind w:left="3360" w:hanging="420"/>
      </w:pPr>
    </w:lvl>
    <w:lvl w:ilvl="8">
      <w:start w:val="1"/>
      <w:numFmt w:val="lowerRoman"/>
      <w:isLgl w:val="false"/>
      <w:suff w:val="tab"/>
      <w:lvlText w:val="%9."/>
      <w:lvlJc w:val="right"/>
      <w:pPr>
        <w:pStyle w:val="1168"/>
        <w:ind w:left="3780" w:hanging="420"/>
      </w:pPr>
    </w:lvl>
  </w:abstractNum>
  <w:abstractNum w:abstractNumId="6">
    <w:multiLevelType w:val="hybridMultilevel"/>
    <w:lvl w:ilvl="0">
      <w:start w:val="2"/>
      <w:numFmt w:val="decimal"/>
      <w:isLgl w:val="false"/>
      <w:suff w:val="nothing"/>
      <w:lvlText w:val="%1、"/>
      <w:lvlJc w:val="left"/>
      <w:pPr>
        <w:pStyle w:val="11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3">
    <w:name w:val="Heading 1"/>
    <w:basedOn w:val="1168"/>
    <w:next w:val="1168"/>
    <w:link w:val="994"/>
    <w:uiPriority w:val="9"/>
    <w:qFormat/>
    <w:pPr>
      <w:keepLines/>
      <w:keepNext/>
      <w:spacing w:before="480" w:after="200"/>
      <w:outlineLvl w:val="0"/>
    </w:pPr>
    <w:rPr>
      <w:rFonts w:ascii="Arial" w:hAnsi="Arial" w:eastAsia="Arial" w:cs="Arial"/>
      <w:sz w:val="40"/>
      <w:szCs w:val="40"/>
    </w:rPr>
  </w:style>
  <w:style w:type="character" w:styleId="994">
    <w:name w:val="Heading 1 Char"/>
    <w:link w:val="993"/>
    <w:uiPriority w:val="9"/>
    <w:rPr>
      <w:rFonts w:ascii="Arial" w:hAnsi="Arial" w:eastAsia="Arial" w:cs="Arial"/>
      <w:sz w:val="40"/>
      <w:szCs w:val="40"/>
    </w:rPr>
  </w:style>
  <w:style w:type="paragraph" w:styleId="995">
    <w:name w:val="Heading 2"/>
    <w:basedOn w:val="1168"/>
    <w:next w:val="1168"/>
    <w:link w:val="996"/>
    <w:uiPriority w:val="9"/>
    <w:unhideWhenUsed/>
    <w:qFormat/>
    <w:pPr>
      <w:keepLines/>
      <w:keepNext/>
      <w:spacing w:before="360" w:after="200"/>
      <w:outlineLvl w:val="1"/>
    </w:pPr>
    <w:rPr>
      <w:rFonts w:ascii="Arial" w:hAnsi="Arial" w:eastAsia="Arial" w:cs="Arial"/>
      <w:sz w:val="34"/>
    </w:rPr>
  </w:style>
  <w:style w:type="character" w:styleId="996">
    <w:name w:val="Heading 2 Char"/>
    <w:link w:val="995"/>
    <w:uiPriority w:val="9"/>
    <w:rPr>
      <w:rFonts w:ascii="Arial" w:hAnsi="Arial" w:eastAsia="Arial" w:cs="Arial"/>
      <w:sz w:val="34"/>
    </w:rPr>
  </w:style>
  <w:style w:type="paragraph" w:styleId="997">
    <w:name w:val="Heading 3"/>
    <w:basedOn w:val="1168"/>
    <w:next w:val="1168"/>
    <w:link w:val="998"/>
    <w:uiPriority w:val="9"/>
    <w:unhideWhenUsed/>
    <w:qFormat/>
    <w:pPr>
      <w:keepLines/>
      <w:keepNext/>
      <w:spacing w:before="320" w:after="200"/>
      <w:outlineLvl w:val="2"/>
    </w:pPr>
    <w:rPr>
      <w:rFonts w:ascii="Arial" w:hAnsi="Arial" w:eastAsia="Arial" w:cs="Arial"/>
      <w:sz w:val="30"/>
      <w:szCs w:val="30"/>
    </w:rPr>
  </w:style>
  <w:style w:type="character" w:styleId="998">
    <w:name w:val="Heading 3 Char"/>
    <w:link w:val="997"/>
    <w:uiPriority w:val="9"/>
    <w:rPr>
      <w:rFonts w:ascii="Arial" w:hAnsi="Arial" w:eastAsia="Arial" w:cs="Arial"/>
      <w:sz w:val="30"/>
      <w:szCs w:val="30"/>
    </w:rPr>
  </w:style>
  <w:style w:type="character" w:styleId="999">
    <w:name w:val="Heading 4 Char"/>
    <w:link w:val="1261"/>
    <w:uiPriority w:val="9"/>
    <w:rPr>
      <w:rFonts w:ascii="Arial" w:hAnsi="Arial" w:eastAsia="Arial" w:cs="Arial"/>
      <w:b/>
      <w:bCs/>
      <w:sz w:val="26"/>
      <w:szCs w:val="26"/>
    </w:rPr>
  </w:style>
  <w:style w:type="paragraph" w:styleId="1000">
    <w:name w:val="Heading 5"/>
    <w:basedOn w:val="1168"/>
    <w:next w:val="1168"/>
    <w:link w:val="1001"/>
    <w:uiPriority w:val="9"/>
    <w:unhideWhenUsed/>
    <w:qFormat/>
    <w:pPr>
      <w:keepLines/>
      <w:keepNext/>
      <w:spacing w:before="320" w:after="200"/>
      <w:outlineLvl w:val="4"/>
    </w:pPr>
    <w:rPr>
      <w:rFonts w:ascii="Arial" w:hAnsi="Arial" w:eastAsia="Arial" w:cs="Arial"/>
      <w:b/>
      <w:bCs/>
      <w:sz w:val="24"/>
      <w:szCs w:val="24"/>
    </w:rPr>
  </w:style>
  <w:style w:type="character" w:styleId="1001">
    <w:name w:val="Heading 5 Char"/>
    <w:link w:val="1000"/>
    <w:uiPriority w:val="9"/>
    <w:rPr>
      <w:rFonts w:ascii="Arial" w:hAnsi="Arial" w:eastAsia="Arial" w:cs="Arial"/>
      <w:b/>
      <w:bCs/>
      <w:sz w:val="24"/>
      <w:szCs w:val="24"/>
    </w:rPr>
  </w:style>
  <w:style w:type="paragraph" w:styleId="1002">
    <w:name w:val="Heading 6"/>
    <w:basedOn w:val="1168"/>
    <w:next w:val="1168"/>
    <w:link w:val="1003"/>
    <w:uiPriority w:val="9"/>
    <w:unhideWhenUsed/>
    <w:qFormat/>
    <w:pPr>
      <w:keepLines/>
      <w:keepNext/>
      <w:spacing w:before="320" w:after="200"/>
      <w:outlineLvl w:val="5"/>
    </w:pPr>
    <w:rPr>
      <w:rFonts w:ascii="Arial" w:hAnsi="Arial" w:eastAsia="Arial" w:cs="Arial"/>
      <w:b/>
      <w:bCs/>
      <w:sz w:val="22"/>
      <w:szCs w:val="22"/>
    </w:rPr>
  </w:style>
  <w:style w:type="character" w:styleId="1003">
    <w:name w:val="Heading 6 Char"/>
    <w:link w:val="1002"/>
    <w:uiPriority w:val="9"/>
    <w:rPr>
      <w:rFonts w:ascii="Arial" w:hAnsi="Arial" w:eastAsia="Arial" w:cs="Arial"/>
      <w:b/>
      <w:bCs/>
      <w:sz w:val="22"/>
      <w:szCs w:val="22"/>
    </w:rPr>
  </w:style>
  <w:style w:type="paragraph" w:styleId="1004">
    <w:name w:val="Heading 7"/>
    <w:basedOn w:val="1168"/>
    <w:next w:val="1168"/>
    <w:link w:val="1005"/>
    <w:uiPriority w:val="9"/>
    <w:unhideWhenUsed/>
    <w:qFormat/>
    <w:pPr>
      <w:keepLines/>
      <w:keepNext/>
      <w:spacing w:before="320" w:after="200"/>
      <w:outlineLvl w:val="6"/>
    </w:pPr>
    <w:rPr>
      <w:rFonts w:ascii="Arial" w:hAnsi="Arial" w:eastAsia="Arial" w:cs="Arial"/>
      <w:b/>
      <w:bCs/>
      <w:i/>
      <w:iCs/>
      <w:sz w:val="22"/>
      <w:szCs w:val="22"/>
    </w:rPr>
  </w:style>
  <w:style w:type="character" w:styleId="1005">
    <w:name w:val="Heading 7 Char"/>
    <w:link w:val="1004"/>
    <w:uiPriority w:val="9"/>
    <w:rPr>
      <w:rFonts w:ascii="Arial" w:hAnsi="Arial" w:eastAsia="Arial" w:cs="Arial"/>
      <w:b/>
      <w:bCs/>
      <w:i/>
      <w:iCs/>
      <w:sz w:val="22"/>
      <w:szCs w:val="22"/>
    </w:rPr>
  </w:style>
  <w:style w:type="character" w:styleId="1006">
    <w:name w:val="Heading 8 Char"/>
    <w:link w:val="1257"/>
    <w:uiPriority w:val="9"/>
    <w:rPr>
      <w:rFonts w:ascii="Arial" w:hAnsi="Arial" w:eastAsia="Arial" w:cs="Arial"/>
      <w:i/>
      <w:iCs/>
      <w:sz w:val="22"/>
      <w:szCs w:val="22"/>
    </w:rPr>
  </w:style>
  <w:style w:type="paragraph" w:styleId="1007">
    <w:name w:val="Heading 9"/>
    <w:basedOn w:val="1168"/>
    <w:next w:val="1168"/>
    <w:link w:val="1008"/>
    <w:uiPriority w:val="9"/>
    <w:unhideWhenUsed/>
    <w:qFormat/>
    <w:pPr>
      <w:keepLines/>
      <w:keepNext/>
      <w:spacing w:before="320" w:after="200"/>
      <w:outlineLvl w:val="8"/>
    </w:pPr>
    <w:rPr>
      <w:rFonts w:ascii="Arial" w:hAnsi="Arial" w:eastAsia="Arial" w:cs="Arial"/>
      <w:i/>
      <w:iCs/>
      <w:sz w:val="21"/>
      <w:szCs w:val="21"/>
    </w:rPr>
  </w:style>
  <w:style w:type="character" w:styleId="1008">
    <w:name w:val="Heading 9 Char"/>
    <w:link w:val="1007"/>
    <w:uiPriority w:val="9"/>
    <w:rPr>
      <w:rFonts w:ascii="Arial" w:hAnsi="Arial" w:eastAsia="Arial" w:cs="Arial"/>
      <w:i/>
      <w:iCs/>
      <w:sz w:val="21"/>
      <w:szCs w:val="21"/>
    </w:rPr>
  </w:style>
  <w:style w:type="paragraph" w:styleId="1009">
    <w:name w:val="No Spacing"/>
    <w:uiPriority w:val="1"/>
    <w:qFormat/>
    <w:pPr>
      <w:spacing w:before="0" w:after="0" w:line="240" w:lineRule="auto"/>
    </w:pPr>
  </w:style>
  <w:style w:type="paragraph" w:styleId="1010">
    <w:name w:val="Title"/>
    <w:basedOn w:val="1168"/>
    <w:next w:val="1168"/>
    <w:link w:val="1011"/>
    <w:uiPriority w:val="10"/>
    <w:qFormat/>
    <w:pPr>
      <w:contextualSpacing/>
      <w:spacing w:before="300" w:after="200"/>
    </w:pPr>
    <w:rPr>
      <w:sz w:val="48"/>
      <w:szCs w:val="48"/>
    </w:rPr>
  </w:style>
  <w:style w:type="character" w:styleId="1011">
    <w:name w:val="Title Char"/>
    <w:link w:val="1010"/>
    <w:uiPriority w:val="10"/>
    <w:rPr>
      <w:sz w:val="48"/>
      <w:szCs w:val="48"/>
    </w:rPr>
  </w:style>
  <w:style w:type="paragraph" w:styleId="1012">
    <w:name w:val="Subtitle"/>
    <w:basedOn w:val="1168"/>
    <w:next w:val="1168"/>
    <w:link w:val="1013"/>
    <w:uiPriority w:val="11"/>
    <w:qFormat/>
    <w:pPr>
      <w:spacing w:before="200" w:after="200"/>
    </w:pPr>
    <w:rPr>
      <w:sz w:val="24"/>
      <w:szCs w:val="24"/>
    </w:rPr>
  </w:style>
  <w:style w:type="character" w:styleId="1013">
    <w:name w:val="Subtitle Char"/>
    <w:link w:val="1012"/>
    <w:uiPriority w:val="11"/>
    <w:rPr>
      <w:sz w:val="24"/>
      <w:szCs w:val="24"/>
    </w:rPr>
  </w:style>
  <w:style w:type="paragraph" w:styleId="1014">
    <w:name w:val="Quote"/>
    <w:basedOn w:val="1168"/>
    <w:next w:val="1168"/>
    <w:link w:val="1015"/>
    <w:uiPriority w:val="29"/>
    <w:qFormat/>
    <w:pPr>
      <w:ind w:left="720" w:right="720"/>
    </w:pPr>
    <w:rPr>
      <w:i/>
    </w:rPr>
  </w:style>
  <w:style w:type="character" w:styleId="1015">
    <w:name w:val="Quote Char"/>
    <w:link w:val="1014"/>
    <w:uiPriority w:val="29"/>
    <w:rPr>
      <w:i/>
    </w:rPr>
  </w:style>
  <w:style w:type="paragraph" w:styleId="1016">
    <w:name w:val="Intense Quote"/>
    <w:basedOn w:val="1168"/>
    <w:next w:val="1168"/>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name w:val="Intense Quote Char"/>
    <w:link w:val="1016"/>
    <w:uiPriority w:val="30"/>
    <w:rPr>
      <w:i/>
    </w:rPr>
  </w:style>
  <w:style w:type="paragraph" w:styleId="1018">
    <w:name w:val="Header"/>
    <w:basedOn w:val="1168"/>
    <w:link w:val="1019"/>
    <w:uiPriority w:val="99"/>
    <w:unhideWhenUsed/>
    <w:pPr>
      <w:spacing w:after="0" w:line="240" w:lineRule="auto"/>
      <w:tabs>
        <w:tab w:val="center" w:pos="7143" w:leader="none"/>
        <w:tab w:val="right" w:pos="14287" w:leader="none"/>
      </w:tabs>
    </w:pPr>
  </w:style>
  <w:style w:type="character" w:styleId="1019">
    <w:name w:val="Header Char"/>
    <w:link w:val="1018"/>
    <w:uiPriority w:val="99"/>
  </w:style>
  <w:style w:type="paragraph" w:styleId="1020">
    <w:name w:val="Footer"/>
    <w:basedOn w:val="1168"/>
    <w:link w:val="1023"/>
    <w:uiPriority w:val="99"/>
    <w:unhideWhenUsed/>
    <w:pPr>
      <w:spacing w:after="0" w:line="240" w:lineRule="auto"/>
      <w:tabs>
        <w:tab w:val="center" w:pos="7143" w:leader="none"/>
        <w:tab w:val="right" w:pos="14287" w:leader="none"/>
      </w:tabs>
    </w:pPr>
  </w:style>
  <w:style w:type="character" w:styleId="1021">
    <w:name w:val="Footer Char"/>
    <w:link w:val="1020"/>
    <w:uiPriority w:val="99"/>
  </w:style>
  <w:style w:type="paragraph" w:styleId="1022">
    <w:name w:val="Caption"/>
    <w:basedOn w:val="1168"/>
    <w:next w:val="1168"/>
    <w:uiPriority w:val="35"/>
    <w:semiHidden/>
    <w:unhideWhenUsed/>
    <w:qFormat/>
    <w:pPr>
      <w:spacing w:line="276" w:lineRule="auto"/>
    </w:pPr>
    <w:rPr>
      <w:b/>
      <w:bCs/>
      <w:color w:val="4f81bd" w:themeColor="accent1"/>
      <w:sz w:val="18"/>
      <w:szCs w:val="18"/>
    </w:rPr>
  </w:style>
  <w:style w:type="character" w:styleId="1023">
    <w:name w:val="Caption Char"/>
    <w:basedOn w:val="1022"/>
    <w:link w:val="1020"/>
    <w:uiPriority w:val="99"/>
  </w:style>
  <w:style w:type="table" w:styleId="10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0">
    <w:name w:val="Hyperlink"/>
    <w:uiPriority w:val="99"/>
    <w:unhideWhenUsed/>
    <w:rPr>
      <w:color w:val="0000ff" w:themeColor="hyperlink"/>
      <w:u w:val="single"/>
    </w:rPr>
  </w:style>
  <w:style w:type="paragraph" w:styleId="1151">
    <w:name w:val="footnote text"/>
    <w:basedOn w:val="1168"/>
    <w:link w:val="1152"/>
    <w:uiPriority w:val="99"/>
    <w:semiHidden/>
    <w:unhideWhenUsed/>
    <w:pPr>
      <w:spacing w:after="40" w:line="240" w:lineRule="auto"/>
    </w:pPr>
    <w:rPr>
      <w:sz w:val="18"/>
    </w:rPr>
  </w:style>
  <w:style w:type="character" w:styleId="1152">
    <w:name w:val="Footnote Text Char"/>
    <w:link w:val="1151"/>
    <w:uiPriority w:val="99"/>
    <w:rPr>
      <w:sz w:val="18"/>
    </w:rPr>
  </w:style>
  <w:style w:type="character" w:styleId="1153">
    <w:name w:val="footnote reference"/>
    <w:uiPriority w:val="99"/>
    <w:unhideWhenUsed/>
    <w:rPr>
      <w:vertAlign w:val="superscript"/>
    </w:rPr>
  </w:style>
  <w:style w:type="paragraph" w:styleId="1154">
    <w:name w:val="endnote text"/>
    <w:basedOn w:val="1168"/>
    <w:link w:val="1155"/>
    <w:uiPriority w:val="99"/>
    <w:semiHidden/>
    <w:unhideWhenUsed/>
    <w:pPr>
      <w:spacing w:after="0" w:line="240" w:lineRule="auto"/>
    </w:pPr>
    <w:rPr>
      <w:sz w:val="20"/>
    </w:rPr>
  </w:style>
  <w:style w:type="character" w:styleId="1155">
    <w:name w:val="Endnote Text Char"/>
    <w:link w:val="1154"/>
    <w:uiPriority w:val="99"/>
    <w:rPr>
      <w:sz w:val="20"/>
    </w:rPr>
  </w:style>
  <w:style w:type="character" w:styleId="1156">
    <w:name w:val="endnote reference"/>
    <w:uiPriority w:val="99"/>
    <w:semiHidden/>
    <w:unhideWhenUsed/>
    <w:rPr>
      <w:vertAlign w:val="superscript"/>
    </w:rPr>
  </w:style>
  <w:style w:type="paragraph" w:styleId="1157">
    <w:name w:val="toc 1"/>
    <w:basedOn w:val="1168"/>
    <w:next w:val="1168"/>
    <w:uiPriority w:val="39"/>
    <w:unhideWhenUsed/>
    <w:pPr>
      <w:ind w:left="0" w:right="0" w:firstLine="0"/>
      <w:spacing w:after="57"/>
    </w:pPr>
  </w:style>
  <w:style w:type="paragraph" w:styleId="1158">
    <w:name w:val="toc 2"/>
    <w:basedOn w:val="1168"/>
    <w:next w:val="1168"/>
    <w:uiPriority w:val="39"/>
    <w:unhideWhenUsed/>
    <w:pPr>
      <w:ind w:left="283" w:right="0" w:firstLine="0"/>
      <w:spacing w:after="57"/>
    </w:pPr>
  </w:style>
  <w:style w:type="paragraph" w:styleId="1159">
    <w:name w:val="toc 3"/>
    <w:basedOn w:val="1168"/>
    <w:next w:val="1168"/>
    <w:uiPriority w:val="39"/>
    <w:unhideWhenUsed/>
    <w:pPr>
      <w:ind w:left="567" w:right="0" w:firstLine="0"/>
      <w:spacing w:after="57"/>
    </w:pPr>
  </w:style>
  <w:style w:type="paragraph" w:styleId="1160">
    <w:name w:val="toc 4"/>
    <w:basedOn w:val="1168"/>
    <w:next w:val="1168"/>
    <w:uiPriority w:val="39"/>
    <w:unhideWhenUsed/>
    <w:pPr>
      <w:ind w:left="850" w:right="0" w:firstLine="0"/>
      <w:spacing w:after="57"/>
    </w:pPr>
  </w:style>
  <w:style w:type="paragraph" w:styleId="1161">
    <w:name w:val="toc 5"/>
    <w:basedOn w:val="1168"/>
    <w:next w:val="1168"/>
    <w:uiPriority w:val="39"/>
    <w:unhideWhenUsed/>
    <w:pPr>
      <w:ind w:left="1134" w:right="0" w:firstLine="0"/>
      <w:spacing w:after="57"/>
    </w:pPr>
  </w:style>
  <w:style w:type="paragraph" w:styleId="1162">
    <w:name w:val="toc 6"/>
    <w:basedOn w:val="1168"/>
    <w:next w:val="1168"/>
    <w:uiPriority w:val="39"/>
    <w:unhideWhenUsed/>
    <w:pPr>
      <w:ind w:left="1417" w:right="0" w:firstLine="0"/>
      <w:spacing w:after="57"/>
    </w:pPr>
  </w:style>
  <w:style w:type="paragraph" w:styleId="1163">
    <w:name w:val="toc 7"/>
    <w:basedOn w:val="1168"/>
    <w:next w:val="1168"/>
    <w:uiPriority w:val="39"/>
    <w:unhideWhenUsed/>
    <w:pPr>
      <w:ind w:left="1701" w:right="0" w:firstLine="0"/>
      <w:spacing w:after="57"/>
    </w:pPr>
  </w:style>
  <w:style w:type="paragraph" w:styleId="1164">
    <w:name w:val="toc 8"/>
    <w:basedOn w:val="1168"/>
    <w:next w:val="1168"/>
    <w:uiPriority w:val="39"/>
    <w:unhideWhenUsed/>
    <w:pPr>
      <w:ind w:left="1984" w:right="0" w:firstLine="0"/>
      <w:spacing w:after="57"/>
    </w:pPr>
  </w:style>
  <w:style w:type="paragraph" w:styleId="1165">
    <w:name w:val="toc 9"/>
    <w:basedOn w:val="1168"/>
    <w:next w:val="1168"/>
    <w:uiPriority w:val="39"/>
    <w:unhideWhenUsed/>
    <w:pPr>
      <w:ind w:left="2268" w:right="0" w:firstLine="0"/>
      <w:spacing w:after="57"/>
    </w:pPr>
  </w:style>
  <w:style w:type="paragraph" w:styleId="1166">
    <w:name w:val="TOC Heading"/>
    <w:uiPriority w:val="39"/>
    <w:unhideWhenUsed/>
  </w:style>
  <w:style w:type="paragraph" w:styleId="1167">
    <w:name w:val="table of figures"/>
    <w:basedOn w:val="1168"/>
    <w:next w:val="1168"/>
    <w:uiPriority w:val="99"/>
    <w:unhideWhenUsed/>
    <w:pPr>
      <w:spacing w:after="0" w:afterAutospacing="0"/>
    </w:pPr>
  </w:style>
  <w:style w:type="paragraph" w:styleId="1168" w:default="1">
    <w:name w:val="Normal"/>
    <w:next w:val="1168"/>
    <w:link w:val="1168"/>
    <w:qFormat/>
    <w:pPr>
      <w:jc w:val="both"/>
      <w:widowControl w:val="off"/>
    </w:pPr>
    <w:rPr>
      <w:sz w:val="21"/>
      <w:lang w:val="en-US" w:eastAsia="zh-CN" w:bidi="ar-SA"/>
    </w:rPr>
  </w:style>
  <w:style w:type="paragraph" w:styleId="1169">
    <w:name w:val="标题 1"/>
    <w:basedOn w:val="1168"/>
    <w:next w:val="1168"/>
    <w:link w:val="1168"/>
    <w:qFormat/>
    <w:pPr>
      <w:jc w:val="center"/>
      <w:keepNext/>
      <w:spacing w:line="440" w:lineRule="exact"/>
      <w:outlineLvl w:val="0"/>
    </w:pPr>
    <w:rPr>
      <w:rFonts w:ascii="宋体"/>
      <w:sz w:val="28"/>
    </w:rPr>
  </w:style>
  <w:style w:type="paragraph" w:styleId="1170">
    <w:name w:val="标题 2"/>
    <w:basedOn w:val="1168"/>
    <w:next w:val="1168"/>
    <w:link w:val="1175"/>
    <w:uiPriority w:val="9"/>
    <w:qFormat/>
    <w:pPr>
      <w:keepLines/>
      <w:keepNext/>
      <w:spacing w:before="260" w:after="260" w:line="416" w:lineRule="auto"/>
      <w:outlineLvl w:val="1"/>
    </w:pPr>
    <w:rPr>
      <w:rFonts w:ascii="Arial" w:hAnsi="Arial" w:eastAsia="黑体"/>
      <w:b/>
      <w:bCs/>
      <w:sz w:val="32"/>
      <w:szCs w:val="32"/>
    </w:rPr>
  </w:style>
  <w:style w:type="paragraph" w:styleId="1171">
    <w:name w:val="标题 3"/>
    <w:basedOn w:val="1168"/>
    <w:next w:val="1168"/>
    <w:link w:val="1176"/>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72">
    <w:name w:val="标题 4"/>
    <w:basedOn w:val="1168"/>
    <w:next w:val="1177"/>
    <w:link w:val="1168"/>
    <w:qFormat/>
    <w:pPr>
      <w:keepLines/>
      <w:keepNext/>
      <w:spacing w:before="280" w:after="290" w:line="372" w:lineRule="auto"/>
      <w:outlineLvl w:val="3"/>
    </w:pPr>
    <w:rPr>
      <w:rFonts w:ascii="Arial" w:hAnsi="Arial" w:eastAsia="黑体" w:cs="Arial"/>
      <w:b/>
      <w:bCs/>
      <w:sz w:val="28"/>
      <w:szCs w:val="28"/>
    </w:rPr>
  </w:style>
  <w:style w:type="character" w:styleId="1173">
    <w:name w:val="默认段落字体"/>
    <w:next w:val="1173"/>
    <w:link w:val="1168"/>
    <w:semiHidden/>
  </w:style>
  <w:style w:type="table" w:styleId="1174">
    <w:name w:val="普通表格"/>
    <w:next w:val="1174"/>
    <w:link w:val="116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75">
    <w:name w:val="标题 2 字符"/>
    <w:next w:val="1175"/>
    <w:link w:val="1170"/>
    <w:uiPriority w:val="9"/>
    <w:qFormat/>
    <w:rPr>
      <w:rFonts w:ascii="Arial" w:hAnsi="Arial" w:eastAsia="黑体"/>
      <w:b/>
      <w:bCs/>
      <w:sz w:val="32"/>
      <w:szCs w:val="32"/>
    </w:rPr>
  </w:style>
  <w:style w:type="character" w:styleId="1176">
    <w:name w:val="标题 3 字符"/>
    <w:next w:val="1176"/>
    <w:link w:val="1171"/>
    <w:uiPriority w:val="9"/>
    <w:qFormat/>
    <w:rPr>
      <w:rFonts w:ascii="仿宋_GB2312" w:eastAsia="仿宋_GB2312"/>
      <w:sz w:val="32"/>
    </w:rPr>
  </w:style>
  <w:style w:type="paragraph" w:styleId="1177">
    <w:name w:val="正文缩进"/>
    <w:basedOn w:val="1168"/>
    <w:next w:val="1168"/>
    <w:link w:val="1168"/>
    <w:uiPriority w:val="99"/>
    <w:pPr>
      <w:ind w:firstLine="420"/>
    </w:pPr>
    <w:rPr>
      <w:b/>
      <w:sz w:val="24"/>
    </w:rPr>
  </w:style>
  <w:style w:type="paragraph" w:styleId="1178">
    <w:name w:val="列表 3"/>
    <w:basedOn w:val="1168"/>
    <w:next w:val="1178"/>
    <w:link w:val="1168"/>
    <w:pPr>
      <w:contextualSpacing/>
      <w:ind w:left="100" w:hanging="200"/>
    </w:pPr>
  </w:style>
  <w:style w:type="paragraph" w:styleId="1179">
    <w:name w:val="目录 7"/>
    <w:basedOn w:val="1168"/>
    <w:next w:val="1168"/>
    <w:link w:val="1168"/>
    <w:pPr>
      <w:ind w:left="2520"/>
    </w:pPr>
  </w:style>
  <w:style w:type="paragraph" w:styleId="1180">
    <w:name w:val="文档结构图"/>
    <w:basedOn w:val="1168"/>
    <w:next w:val="1180"/>
    <w:link w:val="1181"/>
    <w:rPr>
      <w:rFonts w:ascii="宋体"/>
      <w:sz w:val="18"/>
      <w:szCs w:val="18"/>
    </w:rPr>
  </w:style>
  <w:style w:type="character" w:styleId="1181">
    <w:name w:val="文档结构图 字符"/>
    <w:next w:val="1181"/>
    <w:link w:val="1180"/>
    <w:rPr>
      <w:rFonts w:ascii="宋体" w:eastAsia="宋体"/>
      <w:sz w:val="18"/>
      <w:szCs w:val="18"/>
    </w:rPr>
  </w:style>
  <w:style w:type="paragraph" w:styleId="1182">
    <w:name w:val="批注文字"/>
    <w:basedOn w:val="1168"/>
    <w:next w:val="1182"/>
    <w:link w:val="1183"/>
    <w:uiPriority w:val="99"/>
    <w:qFormat/>
    <w:pPr>
      <w:jc w:val="left"/>
    </w:pPr>
  </w:style>
  <w:style w:type="character" w:styleId="1183">
    <w:name w:val="批注文字 字符"/>
    <w:next w:val="1183"/>
    <w:link w:val="1182"/>
    <w:qFormat/>
    <w:rPr>
      <w:sz w:val="21"/>
    </w:rPr>
  </w:style>
  <w:style w:type="paragraph" w:styleId="1184">
    <w:name w:val="正文文本"/>
    <w:basedOn w:val="1168"/>
    <w:next w:val="1184"/>
    <w:link w:val="1185"/>
    <w:rPr>
      <w:rFonts w:ascii="宋体"/>
      <w:sz w:val="28"/>
    </w:rPr>
  </w:style>
  <w:style w:type="character" w:styleId="1185">
    <w:name w:val="正文文本 字符"/>
    <w:next w:val="1185"/>
    <w:link w:val="1184"/>
    <w:rPr>
      <w:rFonts w:ascii="宋体" w:eastAsia="宋体"/>
      <w:sz w:val="28"/>
      <w:lang w:val="en-US" w:eastAsia="zh-CN" w:bidi="ar-SA"/>
    </w:rPr>
  </w:style>
  <w:style w:type="paragraph" w:styleId="1186">
    <w:name w:val="正文文本缩进"/>
    <w:basedOn w:val="1168"/>
    <w:next w:val="1186"/>
    <w:link w:val="1168"/>
    <w:pPr>
      <w:ind w:firstLine="420"/>
      <w:spacing w:line="360" w:lineRule="auto"/>
    </w:pPr>
    <w:rPr>
      <w:rFonts w:ascii="宋体"/>
      <w:sz w:val="24"/>
    </w:rPr>
  </w:style>
  <w:style w:type="paragraph" w:styleId="1187">
    <w:name w:val="列表 2"/>
    <w:basedOn w:val="1168"/>
    <w:next w:val="1187"/>
    <w:link w:val="1168"/>
    <w:pPr>
      <w:ind w:left="100" w:hanging="200"/>
    </w:pPr>
  </w:style>
  <w:style w:type="paragraph" w:styleId="1188">
    <w:name w:val="索引 4"/>
    <w:basedOn w:val="1168"/>
    <w:next w:val="1168"/>
    <w:link w:val="1168"/>
    <w:uiPriority w:val="99"/>
    <w:unhideWhenUsed/>
    <w:pPr>
      <w:ind w:left="600"/>
    </w:pPr>
    <w:rPr>
      <w:rFonts w:ascii="Verdana" w:hAnsi="Verdana"/>
      <w:szCs w:val="20"/>
    </w:rPr>
  </w:style>
  <w:style w:type="paragraph" w:styleId="1189">
    <w:name w:val="目录 5"/>
    <w:basedOn w:val="1168"/>
    <w:next w:val="1168"/>
    <w:link w:val="1168"/>
    <w:pPr>
      <w:ind w:left="1680"/>
    </w:pPr>
  </w:style>
  <w:style w:type="paragraph" w:styleId="1190">
    <w:name w:val="目录 3"/>
    <w:basedOn w:val="1168"/>
    <w:next w:val="1168"/>
    <w:link w:val="1168"/>
    <w:uiPriority w:val="39"/>
    <w:pPr>
      <w:ind w:left="840"/>
    </w:pPr>
  </w:style>
  <w:style w:type="paragraph" w:styleId="1191">
    <w:name w:val="纯文本"/>
    <w:basedOn w:val="1168"/>
    <w:next w:val="1191"/>
    <w:link w:val="1192"/>
    <w:rPr>
      <w:rFonts w:ascii="宋体" w:hAnsi="Courier New"/>
    </w:rPr>
  </w:style>
  <w:style w:type="character" w:styleId="1192">
    <w:name w:val="纯文本 字符"/>
    <w:next w:val="1192"/>
    <w:link w:val="1191"/>
    <w:rPr>
      <w:rFonts w:ascii="宋体" w:hAnsi="Courier New" w:eastAsia="宋体"/>
      <w:sz w:val="21"/>
      <w:lang w:val="en-US" w:eastAsia="zh-CN" w:bidi="ar-SA"/>
    </w:rPr>
  </w:style>
  <w:style w:type="paragraph" w:styleId="1193">
    <w:name w:val="目录 8"/>
    <w:basedOn w:val="1168"/>
    <w:next w:val="1168"/>
    <w:link w:val="1168"/>
    <w:pPr>
      <w:ind w:left="2940"/>
    </w:pPr>
  </w:style>
  <w:style w:type="paragraph" w:styleId="1194">
    <w:name w:val="日期"/>
    <w:basedOn w:val="1168"/>
    <w:next w:val="1168"/>
    <w:link w:val="1195"/>
    <w:rPr>
      <w:rFonts w:ascii="宋体"/>
    </w:rPr>
  </w:style>
  <w:style w:type="character" w:styleId="1195">
    <w:name w:val="日期 字符"/>
    <w:next w:val="1195"/>
    <w:link w:val="1194"/>
    <w:rPr>
      <w:rFonts w:ascii="宋体"/>
      <w:sz w:val="21"/>
    </w:rPr>
  </w:style>
  <w:style w:type="paragraph" w:styleId="1196">
    <w:name w:val="正文文本缩进 2"/>
    <w:basedOn w:val="1168"/>
    <w:next w:val="1196"/>
    <w:link w:val="1168"/>
    <w:pPr>
      <w:ind w:firstLine="525"/>
      <w:spacing w:line="420" w:lineRule="exact"/>
    </w:pPr>
    <w:rPr>
      <w:rFonts w:ascii="宋体"/>
    </w:rPr>
  </w:style>
  <w:style w:type="paragraph" w:styleId="1197">
    <w:name w:val="批注框文本"/>
    <w:basedOn w:val="1168"/>
    <w:next w:val="1197"/>
    <w:link w:val="1198"/>
    <w:uiPriority w:val="99"/>
    <w:qFormat/>
    <w:rPr>
      <w:sz w:val="18"/>
      <w:szCs w:val="18"/>
    </w:rPr>
  </w:style>
  <w:style w:type="character" w:styleId="1198">
    <w:name w:val="批注框文本 字符"/>
    <w:next w:val="1198"/>
    <w:link w:val="1197"/>
    <w:uiPriority w:val="99"/>
    <w:qFormat/>
    <w:rPr>
      <w:sz w:val="18"/>
      <w:szCs w:val="18"/>
    </w:rPr>
  </w:style>
  <w:style w:type="paragraph" w:styleId="1199">
    <w:name w:val="页脚"/>
    <w:basedOn w:val="1168"/>
    <w:next w:val="1199"/>
    <w:link w:val="1200"/>
    <w:uiPriority w:val="99"/>
    <w:qFormat/>
    <w:pPr>
      <w:jc w:val="left"/>
      <w:tabs>
        <w:tab w:val="center" w:pos="4153" w:leader="none"/>
        <w:tab w:val="right" w:pos="8306" w:leader="none"/>
      </w:tabs>
    </w:pPr>
    <w:rPr>
      <w:sz w:val="18"/>
    </w:rPr>
  </w:style>
  <w:style w:type="character" w:styleId="1200">
    <w:name w:val="页脚 字符1"/>
    <w:next w:val="1200"/>
    <w:link w:val="1199"/>
    <w:uiPriority w:val="99"/>
    <w:rPr>
      <w:sz w:val="18"/>
    </w:rPr>
  </w:style>
  <w:style w:type="paragraph" w:styleId="1201">
    <w:name w:val="页眉"/>
    <w:basedOn w:val="1168"/>
    <w:next w:val="1201"/>
    <w:link w:val="1202"/>
    <w:uiPriority w:val="99"/>
    <w:qFormat/>
    <w:pPr>
      <w:jc w:val="center"/>
      <w:tabs>
        <w:tab w:val="center" w:pos="4153" w:leader="none"/>
        <w:tab w:val="right" w:pos="8306" w:leader="none"/>
      </w:tabs>
      <w:pBdr>
        <w:bottom w:val="single" w:color="000000" w:sz="6" w:space="1"/>
      </w:pBdr>
    </w:pPr>
    <w:rPr>
      <w:sz w:val="18"/>
    </w:rPr>
  </w:style>
  <w:style w:type="character" w:styleId="1202">
    <w:name w:val="页眉 字符"/>
    <w:next w:val="1202"/>
    <w:link w:val="1201"/>
    <w:uiPriority w:val="99"/>
    <w:rPr>
      <w:sz w:val="18"/>
    </w:rPr>
  </w:style>
  <w:style w:type="paragraph" w:styleId="1203">
    <w:name w:val="目录 1"/>
    <w:basedOn w:val="1168"/>
    <w:next w:val="1168"/>
    <w:link w:val="1168"/>
    <w:uiPriority w:val="39"/>
  </w:style>
  <w:style w:type="paragraph" w:styleId="1204">
    <w:name w:val="目录 4"/>
    <w:basedOn w:val="1168"/>
    <w:next w:val="1168"/>
    <w:link w:val="1168"/>
    <w:pPr>
      <w:ind w:left="1260"/>
    </w:pPr>
  </w:style>
  <w:style w:type="paragraph" w:styleId="1205">
    <w:name w:val="目录 6"/>
    <w:basedOn w:val="1168"/>
    <w:next w:val="1168"/>
    <w:link w:val="1168"/>
    <w:pPr>
      <w:ind w:left="2100"/>
    </w:pPr>
  </w:style>
  <w:style w:type="paragraph" w:styleId="1206">
    <w:name w:val="正文文本缩进 3"/>
    <w:basedOn w:val="1168"/>
    <w:next w:val="1206"/>
    <w:link w:val="1168"/>
    <w:pPr>
      <w:ind w:firstLine="841"/>
    </w:pPr>
    <w:rPr>
      <w:rFonts w:eastAsia="华文新魏"/>
      <w:b/>
      <w:bCs/>
      <w:sz w:val="84"/>
    </w:rPr>
  </w:style>
  <w:style w:type="paragraph" w:styleId="1207">
    <w:name w:val="目录 2"/>
    <w:basedOn w:val="1168"/>
    <w:next w:val="1168"/>
    <w:link w:val="1168"/>
    <w:uiPriority w:val="39"/>
    <w:pPr>
      <w:ind w:left="420"/>
    </w:pPr>
  </w:style>
  <w:style w:type="paragraph" w:styleId="1208">
    <w:name w:val="目录 9"/>
    <w:basedOn w:val="1168"/>
    <w:next w:val="1168"/>
    <w:link w:val="1168"/>
    <w:pPr>
      <w:ind w:left="3360"/>
    </w:pPr>
  </w:style>
  <w:style w:type="paragraph" w:styleId="1209">
    <w:name w:val="HTML 预设格式"/>
    <w:basedOn w:val="1168"/>
    <w:next w:val="1209"/>
    <w:link w:val="11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10">
    <w:name w:val="普通(网站)"/>
    <w:basedOn w:val="1168"/>
    <w:next w:val="1210"/>
    <w:link w:val="116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11">
    <w:name w:val="标题"/>
    <w:basedOn w:val="1168"/>
    <w:next w:val="1211"/>
    <w:link w:val="1212"/>
    <w:qFormat/>
    <w:pPr>
      <w:jc w:val="center"/>
    </w:pPr>
    <w:rPr>
      <w:sz w:val="30"/>
      <w:szCs w:val="24"/>
    </w:rPr>
  </w:style>
  <w:style w:type="character" w:styleId="1212">
    <w:name w:val="标题 字符"/>
    <w:next w:val="1212"/>
    <w:link w:val="1211"/>
    <w:rPr>
      <w:sz w:val="30"/>
      <w:szCs w:val="24"/>
    </w:rPr>
  </w:style>
  <w:style w:type="paragraph" w:styleId="1213">
    <w:name w:val="批注主题"/>
    <w:basedOn w:val="1182"/>
    <w:next w:val="1182"/>
    <w:link w:val="1214"/>
    <w:rPr>
      <w:b/>
      <w:bCs/>
    </w:rPr>
  </w:style>
  <w:style w:type="character" w:styleId="1214">
    <w:name w:val="批注主题 字符"/>
    <w:next w:val="1214"/>
    <w:link w:val="1213"/>
    <w:rPr>
      <w:b/>
      <w:bCs/>
      <w:sz w:val="21"/>
    </w:rPr>
  </w:style>
  <w:style w:type="paragraph" w:styleId="1215">
    <w:name w:val="正文首行缩进"/>
    <w:basedOn w:val="1184"/>
    <w:next w:val="1215"/>
    <w:link w:val="1168"/>
    <w:pPr>
      <w:ind w:firstLine="420"/>
    </w:pPr>
  </w:style>
  <w:style w:type="table" w:styleId="1216">
    <w:name w:val="网格型"/>
    <w:basedOn w:val="1174"/>
    <w:next w:val="1216"/>
    <w:link w:val="1168"/>
    <w:uiPriority w:val="59"/>
    <w:qFormat/>
    <w:tblPr/>
  </w:style>
  <w:style w:type="character" w:styleId="1217">
    <w:name w:val="要点"/>
    <w:next w:val="1217"/>
    <w:link w:val="1168"/>
    <w:qFormat/>
    <w:rPr>
      <w:b/>
      <w:bCs/>
    </w:rPr>
  </w:style>
  <w:style w:type="character" w:styleId="1218">
    <w:name w:val="页码"/>
    <w:next w:val="1218"/>
    <w:link w:val="1168"/>
    <w:uiPriority w:val="99"/>
  </w:style>
  <w:style w:type="character" w:styleId="1219">
    <w:name w:val="已访问的超链接"/>
    <w:next w:val="1219"/>
    <w:link w:val="1168"/>
    <w:rPr>
      <w:color w:val="000000"/>
      <w:sz w:val="18"/>
      <w:szCs w:val="18"/>
      <w:u w:val="none"/>
    </w:rPr>
  </w:style>
  <w:style w:type="character" w:styleId="1220">
    <w:name w:val="强调"/>
    <w:next w:val="1220"/>
    <w:link w:val="1168"/>
    <w:qFormat/>
    <w:rPr>
      <w:i/>
    </w:rPr>
  </w:style>
  <w:style w:type="character" w:styleId="1221">
    <w:name w:val="超链接"/>
    <w:next w:val="1221"/>
    <w:link w:val="1168"/>
    <w:uiPriority w:val="99"/>
    <w:rPr>
      <w:color w:val="000000"/>
      <w:sz w:val="18"/>
      <w:szCs w:val="18"/>
      <w:u w:val="none"/>
    </w:rPr>
  </w:style>
  <w:style w:type="character" w:styleId="1222">
    <w:name w:val="批注引用"/>
    <w:next w:val="1222"/>
    <w:link w:val="1168"/>
    <w:uiPriority w:val="99"/>
    <w:qFormat/>
    <w:rPr>
      <w:sz w:val="21"/>
      <w:szCs w:val="21"/>
    </w:rPr>
  </w:style>
  <w:style w:type="paragraph" w:styleId="1223">
    <w:name w:val="正文文本1"/>
    <w:basedOn w:val="1168"/>
    <w:next w:val="1168"/>
    <w:link w:val="1168"/>
    <w:qFormat/>
    <w:rPr>
      <w:rFonts w:ascii="仿宋_GB2312" w:hAnsi="Times New Roman" w:eastAsia="仿宋_GB2312" w:cs="Times New Roman"/>
      <w:sz w:val="24"/>
      <w:szCs w:val="20"/>
    </w:rPr>
  </w:style>
  <w:style w:type="paragraph" w:styleId="1224">
    <w:name w:val="首行缩进"/>
    <w:basedOn w:val="1168"/>
    <w:next w:val="1224"/>
    <w:link w:val="1168"/>
    <w:qFormat/>
    <w:pPr>
      <w:ind w:firstLine="420"/>
      <w:spacing w:line="360" w:lineRule="auto"/>
    </w:pPr>
  </w:style>
  <w:style w:type="character" w:styleId="1225">
    <w:name w:val="页脚 字符"/>
    <w:next w:val="1225"/>
    <w:link w:val="1168"/>
    <w:uiPriority w:val="99"/>
  </w:style>
  <w:style w:type="character" w:styleId="1226">
    <w:name w:val="font31"/>
    <w:next w:val="1226"/>
    <w:link w:val="1168"/>
    <w:uiPriority w:val="99"/>
    <w:rPr>
      <w:rFonts w:hint="eastAsia" w:ascii="宋体" w:hAnsi="宋体" w:eastAsia="宋体" w:cs="宋体"/>
      <w:i w:val="0"/>
      <w:color w:val="000000"/>
      <w:sz w:val="20"/>
      <w:szCs w:val="20"/>
      <w:u w:val="none"/>
    </w:rPr>
  </w:style>
  <w:style w:type="character" w:styleId="1227">
    <w:name w:val="Table Sub Section Char"/>
    <w:next w:val="1227"/>
    <w:link w:val="1228"/>
    <w:qFormat/>
    <w:rPr>
      <w:rFonts w:ascii="Arial" w:hAnsi="Arial"/>
      <w:b/>
      <w:color w:val="0f0f0f"/>
      <w:lang w:eastAsia="en-US"/>
    </w:rPr>
  </w:style>
  <w:style w:type="paragraph" w:styleId="1228">
    <w:name w:val="Table Sub Section"/>
    <w:basedOn w:val="1168"/>
    <w:next w:val="1228"/>
    <w:link w:val="1227"/>
    <w:qFormat/>
    <w:pPr>
      <w:jc w:val="left"/>
      <w:keepNext/>
      <w:spacing w:before="160" w:after="160" w:line="276" w:lineRule="auto"/>
      <w:widowControl/>
    </w:pPr>
    <w:rPr>
      <w:rFonts w:ascii="Arial" w:hAnsi="Arial"/>
      <w:b/>
      <w:color w:val="0f0f0f"/>
      <w:sz w:val="20"/>
      <w:lang w:eastAsia="en-US"/>
    </w:rPr>
  </w:style>
  <w:style w:type="character" w:styleId="1229">
    <w:name w:val="apple-style-span"/>
    <w:next w:val="1229"/>
    <w:link w:val="1168"/>
  </w:style>
  <w:style w:type="character" w:styleId="1230">
    <w:name w:val="c lh15"/>
    <w:next w:val="1230"/>
    <w:link w:val="1168"/>
  </w:style>
  <w:style w:type="character" w:styleId="1231">
    <w:name w:val="标准文本 Char"/>
    <w:next w:val="1231"/>
    <w:link w:val="1232"/>
    <w:rPr>
      <w:rFonts w:ascii="宋体" w:hAnsi="宋体" w:eastAsia="宋体" w:cs="宋体"/>
      <w:sz w:val="21"/>
      <w:szCs w:val="21"/>
      <w:lang w:val="en-US" w:eastAsia="zh-CN" w:bidi="ar-SA"/>
    </w:rPr>
  </w:style>
  <w:style w:type="paragraph" w:styleId="1232">
    <w:name w:val="标准文本"/>
    <w:basedOn w:val="1168"/>
    <w:next w:val="1232"/>
    <w:link w:val="1231"/>
    <w:pPr>
      <w:ind w:firstLine="420"/>
      <w:spacing w:line="300" w:lineRule="auto"/>
    </w:pPr>
    <w:rPr>
      <w:rFonts w:ascii="宋体" w:hAnsi="宋体" w:cs="宋体"/>
      <w:szCs w:val="21"/>
    </w:rPr>
  </w:style>
  <w:style w:type="character" w:styleId="1233">
    <w:name w:val="List Paragraph Char"/>
    <w:next w:val="1233"/>
    <w:link w:val="1234"/>
    <w:rPr>
      <w:rFonts w:ascii="Calibri" w:hAnsi="Calibri"/>
      <w:sz w:val="21"/>
      <w:szCs w:val="22"/>
    </w:rPr>
  </w:style>
  <w:style w:type="paragraph" w:styleId="1234">
    <w:name w:val="List Paragraph2"/>
    <w:basedOn w:val="1168"/>
    <w:next w:val="1234"/>
    <w:link w:val="1233"/>
    <w:qFormat/>
    <w:pPr>
      <w:ind w:firstLine="420"/>
    </w:pPr>
    <w:rPr>
      <w:rFonts w:ascii="Calibri" w:hAnsi="Calibri"/>
      <w:szCs w:val="22"/>
    </w:rPr>
  </w:style>
  <w:style w:type="character" w:styleId="1235">
    <w:name w:val="font21"/>
    <w:next w:val="1235"/>
    <w:link w:val="1168"/>
    <w:uiPriority w:val="99"/>
    <w:rPr>
      <w:rFonts w:hint="eastAsia" w:ascii="宋体" w:hAnsi="宋体" w:eastAsia="宋体" w:cs="宋体"/>
      <w:i w:val="0"/>
      <w:color w:val="000000"/>
      <w:sz w:val="20"/>
      <w:szCs w:val="20"/>
      <w:u w:val="none"/>
    </w:rPr>
  </w:style>
  <w:style w:type="character" w:styleId="1236">
    <w:name w:val="style21"/>
    <w:next w:val="1236"/>
    <w:link w:val="1168"/>
    <w:rPr>
      <w:sz w:val="18"/>
      <w:szCs w:val="18"/>
    </w:rPr>
  </w:style>
  <w:style w:type="paragraph" w:styleId="1237">
    <w:name w:val="Normal1"/>
    <w:basedOn w:val="1168"/>
    <w:next w:val="1237"/>
    <w:link w:val="1168"/>
    <w:pPr>
      <w:jc w:val="left"/>
      <w:spacing w:after="200" w:line="300" w:lineRule="atLeast"/>
      <w:widowControl/>
    </w:pPr>
    <w:rPr>
      <w:rFonts w:ascii="Calibri" w:hAnsi="Calibri" w:cs="宋体"/>
      <w:sz w:val="22"/>
      <w:szCs w:val="22"/>
    </w:rPr>
  </w:style>
  <w:style w:type="paragraph" w:styleId="1238">
    <w:name w:val="需求书2"/>
    <w:basedOn w:val="1168"/>
    <w:next w:val="1238"/>
    <w:link w:val="1168"/>
    <w:rPr>
      <w:rFonts w:ascii="宋体" w:hAnsi="宋体"/>
      <w:b/>
      <w:spacing w:val="10"/>
      <w:sz w:val="24"/>
      <w:szCs w:val="24"/>
    </w:rPr>
  </w:style>
  <w:style w:type="paragraph" w:styleId="1239">
    <w:name w:val="List Paragraph1"/>
    <w:basedOn w:val="1168"/>
    <w:next w:val="1239"/>
    <w:link w:val="1168"/>
    <w:uiPriority w:val="99"/>
    <w:qFormat/>
    <w:pPr>
      <w:ind w:firstLine="420"/>
      <w:jc w:val="left"/>
      <w:spacing w:line="300" w:lineRule="auto"/>
    </w:pPr>
    <w:rPr>
      <w:szCs w:val="22"/>
    </w:rPr>
  </w:style>
  <w:style w:type="paragraph" w:styleId="1240">
    <w:name w:val="彩色列表 - 强调文字颜色 11"/>
    <w:basedOn w:val="1168"/>
    <w:next w:val="1240"/>
    <w:link w:val="1168"/>
    <w:pPr>
      <w:contextualSpacing/>
      <w:ind w:left="720"/>
      <w:jc w:val="left"/>
      <w:spacing w:before="100" w:after="100" w:line="276" w:lineRule="auto"/>
      <w:widowControl/>
    </w:pPr>
    <w:rPr>
      <w:rFonts w:ascii="Arial" w:hAnsi="Arial" w:cs="Arial"/>
      <w:color w:val="0f0f0f"/>
      <w:sz w:val="20"/>
      <w:lang w:eastAsia="en-US"/>
    </w:rPr>
  </w:style>
  <w:style w:type="paragraph" w:styleId="1241">
    <w:name w:val="样式 仿宋_GB2312 小四 行距: 1.5 倍行距1"/>
    <w:basedOn w:val="1168"/>
    <w:next w:val="1241"/>
    <w:link w:val="1168"/>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42">
    <w:name w:val="无间隔"/>
    <w:next w:val="1242"/>
    <w:link w:val="1168"/>
    <w:uiPriority w:val="1"/>
    <w:qFormat/>
    <w:pPr>
      <w:jc w:val="both"/>
      <w:widowControl w:val="off"/>
    </w:pPr>
    <w:rPr>
      <w:sz w:val="21"/>
      <w:szCs w:val="22"/>
      <w:lang w:val="en-US" w:eastAsia="zh-CN" w:bidi="ar-SA"/>
    </w:rPr>
  </w:style>
  <w:style w:type="paragraph" w:styleId="1243">
    <w:name w:val="Char Char Char Char Char Char Char"/>
    <w:basedOn w:val="1168"/>
    <w:next w:val="1243"/>
    <w:link w:val="1168"/>
    <w:pPr>
      <w:ind w:left="432" w:hanging="432"/>
      <w:jc w:val="center"/>
      <w:tabs>
        <w:tab w:val="left" w:pos="432" w:leader="none"/>
      </w:tabs>
    </w:pPr>
    <w:rPr>
      <w:rFonts w:ascii="仿宋_GB2312" w:hAnsi="Tahoma" w:eastAsia="仿宋_GB2312"/>
      <w:sz w:val="24"/>
      <w:szCs w:val="24"/>
    </w:rPr>
  </w:style>
  <w:style w:type="paragraph" w:styleId="1244">
    <w:name w:val="正文 A"/>
    <w:next w:val="1244"/>
    <w:link w:val="1168"/>
    <w:qFormat/>
    <w:pPr>
      <w:jc w:val="both"/>
      <w:widowControl w:val="off"/>
    </w:pPr>
    <w:rPr>
      <w:rFonts w:eastAsia="Times New Roman"/>
      <w:color w:val="000000"/>
      <w:sz w:val="21"/>
      <w:szCs w:val="21"/>
      <w:lang w:val="en-US" w:eastAsia="zh-CN" w:bidi="ar-SA"/>
    </w:rPr>
  </w:style>
  <w:style w:type="paragraph" w:styleId="1245">
    <w:name w:val="列表段落"/>
    <w:basedOn w:val="1168"/>
    <w:next w:val="1245"/>
    <w:link w:val="1168"/>
    <w:uiPriority w:val="99"/>
    <w:qFormat/>
    <w:pPr>
      <w:ind w:firstLine="420"/>
    </w:pPr>
    <w:rPr>
      <w:rFonts w:ascii="Calibri" w:hAnsi="Calibri" w:eastAsia="宋体" w:cs="Times New Roman"/>
      <w:szCs w:val="22"/>
    </w:rPr>
  </w:style>
  <w:style w:type="paragraph" w:styleId="1246">
    <w:name w:val=" Char Char Char Char Char Char Char"/>
    <w:basedOn w:val="1168"/>
    <w:next w:val="1246"/>
    <w:link w:val="1168"/>
    <w:semiHidden/>
    <w:rPr>
      <w:rFonts w:ascii="Tahoma" w:hAnsi="Tahoma" w:cs="仿宋_GB2312"/>
      <w:sz w:val="24"/>
      <w:szCs w:val="28"/>
    </w:rPr>
  </w:style>
  <w:style w:type="paragraph" w:styleId="1247">
    <w:name w:val="列出段落1"/>
    <w:basedOn w:val="1168"/>
    <w:next w:val="1247"/>
    <w:link w:val="1168"/>
    <w:uiPriority w:val="34"/>
    <w:qFormat/>
    <w:pPr>
      <w:ind w:firstLine="420"/>
    </w:pPr>
    <w:rPr>
      <w:rFonts w:ascii="Calibri" w:hAnsi="Calibri"/>
      <w:szCs w:val="22"/>
    </w:rPr>
  </w:style>
  <w:style w:type="paragraph" w:styleId="1248">
    <w:name w:val="一级"/>
    <w:basedOn w:val="1168"/>
    <w:next w:val="1248"/>
    <w:link w:val="1168"/>
    <w:qFormat/>
    <w:pPr>
      <w:numPr>
        <w:ilvl w:val="0"/>
        <w:numId w:val="1"/>
      </w:numPr>
      <w:spacing w:line="360" w:lineRule="auto"/>
      <w:outlineLvl w:val="0"/>
    </w:pPr>
    <w:rPr>
      <w:b/>
      <w:sz w:val="32"/>
      <w:szCs w:val="32"/>
    </w:rPr>
  </w:style>
  <w:style w:type="paragraph" w:styleId="1249">
    <w:name w:val="正文1"/>
    <w:basedOn w:val="1168"/>
    <w:next w:val="1249"/>
    <w:link w:val="1168"/>
    <w:qFormat/>
    <w:pPr>
      <w:jc w:val="left"/>
      <w:spacing w:after="200" w:line="300" w:lineRule="atLeast"/>
      <w:widowControl/>
    </w:pPr>
    <w:rPr>
      <w:rFonts w:ascii="Calibri" w:hAnsi="Calibri" w:cs="宋体"/>
      <w:sz w:val="22"/>
      <w:szCs w:val="22"/>
    </w:rPr>
  </w:style>
  <w:style w:type="paragraph" w:styleId="1250">
    <w:name w:val="Default"/>
    <w:basedOn w:val="1251"/>
    <w:next w:val="1168"/>
    <w:link w:val="1168"/>
    <w:uiPriority w:val="99"/>
    <w:unhideWhenUsed/>
    <w:pPr>
      <w:widowControl w:val="off"/>
    </w:pPr>
    <w:rPr>
      <w:rFonts w:hint="eastAsia" w:ascii="楷体" w:hAnsi="楷体" w:eastAsia="楷体"/>
      <w:color w:val="000000"/>
      <w:sz w:val="24"/>
      <w:lang w:val="en-US" w:eastAsia="zh-CN" w:bidi="ar-SA"/>
    </w:rPr>
  </w:style>
  <w:style w:type="paragraph" w:styleId="1251">
    <w:name w:val="正文_2"/>
    <w:next w:val="1252"/>
    <w:link w:val="1168"/>
    <w:qFormat/>
    <w:pPr>
      <w:jc w:val="both"/>
      <w:widowControl w:val="off"/>
    </w:pPr>
    <w:rPr>
      <w:sz w:val="21"/>
      <w:szCs w:val="22"/>
      <w:lang w:val="en-US" w:eastAsia="zh-CN" w:bidi="ar-SA"/>
    </w:rPr>
  </w:style>
  <w:style w:type="paragraph" w:styleId="1252">
    <w:name w:val="Plain Text2"/>
    <w:basedOn w:val="1253"/>
    <w:next w:val="1252"/>
    <w:link w:val="1168"/>
    <w:qFormat/>
    <w:rPr>
      <w:rFonts w:ascii="宋体" w:hAnsi="Courier New" w:cs="Courier New"/>
      <w:szCs w:val="21"/>
    </w:rPr>
  </w:style>
  <w:style w:type="paragraph" w:styleId="1253">
    <w:name w:val="正文_1_0_0"/>
    <w:basedOn w:val="1254"/>
    <w:next w:val="1252"/>
    <w:link w:val="1168"/>
    <w:qFormat/>
  </w:style>
  <w:style w:type="paragraph" w:styleId="1254">
    <w:name w:val="正文_1_0"/>
    <w:basedOn w:val="1255"/>
    <w:next w:val="1252"/>
    <w:link w:val="1168"/>
    <w:qFormat/>
    <w:rPr>
      <w:rFonts w:cs="Times New Roman"/>
      <w:szCs w:val="22"/>
    </w:rPr>
  </w:style>
  <w:style w:type="paragraph" w:styleId="1255">
    <w:name w:val="正文_1"/>
    <w:next w:val="1256"/>
    <w:link w:val="1168"/>
    <w:qFormat/>
    <w:pPr>
      <w:jc w:val="both"/>
      <w:widowControl w:val="off"/>
    </w:pPr>
    <w:rPr>
      <w:rFonts w:cs="Calibri"/>
      <w:sz w:val="21"/>
      <w:szCs w:val="21"/>
      <w:lang w:val="en-US" w:eastAsia="zh-CN" w:bidi="ar-SA"/>
    </w:rPr>
  </w:style>
  <w:style w:type="paragraph" w:styleId="1256">
    <w:name w:val="Plain Text1"/>
    <w:basedOn w:val="1253"/>
    <w:next w:val="1256"/>
    <w:link w:val="1168"/>
    <w:qFormat/>
    <w:rPr>
      <w:rFonts w:ascii="宋体" w:hAnsi="Courier New" w:cs="Courier New"/>
      <w:szCs w:val="21"/>
    </w:rPr>
  </w:style>
  <w:style w:type="paragraph" w:styleId="1257">
    <w:name w:val="Heading 8"/>
    <w:basedOn w:val="1168"/>
    <w:next w:val="1257"/>
    <w:link w:val="1168"/>
    <w:uiPriority w:val="1"/>
    <w:qFormat/>
    <w:pPr>
      <w:ind w:left="153"/>
      <w:jc w:val="left"/>
      <w:spacing w:before="35"/>
      <w:outlineLvl w:val="8"/>
    </w:pPr>
    <w:rPr>
      <w:rFonts w:ascii="宋体" w:hAnsi="宋体" w:cs="Times New Roman"/>
      <w:b/>
      <w:bCs/>
      <w:szCs w:val="21"/>
      <w:lang w:eastAsia="en-US"/>
    </w:rPr>
  </w:style>
  <w:style w:type="paragraph" w:styleId="1258">
    <w:name w:val="BodyText1I1"/>
    <w:basedOn w:val="1259"/>
    <w:next w:val="1258"/>
    <w:link w:val="1168"/>
    <w:qFormat/>
    <w:pPr>
      <w:ind w:left="120" w:firstLine="420"/>
      <w:jc w:val="both"/>
      <w:spacing w:before="36"/>
    </w:pPr>
  </w:style>
  <w:style w:type="paragraph" w:styleId="1259">
    <w:name w:val="BodyText1"/>
    <w:basedOn w:val="1168"/>
    <w:next w:val="1168"/>
    <w:link w:val="1168"/>
    <w:qFormat/>
    <w:pPr>
      <w:ind w:left="120"/>
      <w:jc w:val="both"/>
      <w:spacing w:before="36"/>
    </w:pPr>
    <w:rPr>
      <w:rFonts w:ascii="宋体" w:hAnsi="宋体" w:eastAsia="宋体"/>
      <w:sz w:val="24"/>
      <w:szCs w:val="24"/>
      <w:lang w:val="en-US" w:eastAsia="zh-CN" w:bidi="ar-SA"/>
    </w:rPr>
  </w:style>
  <w:style w:type="paragraph" w:styleId="1260">
    <w:name w:val=" Char Char Char"/>
    <w:basedOn w:val="1168"/>
    <w:next w:val="1260"/>
    <w:link w:val="1168"/>
    <w:pPr>
      <w:jc w:val="center"/>
      <w:spacing w:line="400" w:lineRule="exact"/>
      <w:widowControl/>
    </w:pPr>
    <w:rPr>
      <w:szCs w:val="24"/>
    </w:rPr>
  </w:style>
  <w:style w:type="paragraph" w:styleId="1261">
    <w:name w:val="Heading 4"/>
    <w:basedOn w:val="1168"/>
    <w:next w:val="1261"/>
    <w:link w:val="1168"/>
    <w:uiPriority w:val="1"/>
    <w:qFormat/>
    <w:pPr>
      <w:ind w:left="153"/>
      <w:jc w:val="left"/>
      <w:spacing w:before="18"/>
      <w:outlineLvl w:val="4"/>
    </w:pPr>
    <w:rPr>
      <w:rFonts w:ascii="宋体" w:hAnsi="宋体" w:cs="Times New Roman"/>
      <w:b/>
      <w:bCs/>
      <w:sz w:val="28"/>
      <w:szCs w:val="28"/>
      <w:lang w:eastAsia="en-US"/>
    </w:rPr>
  </w:style>
  <w:style w:type="paragraph" w:styleId="1262">
    <w:name w:val="Table Paragraph"/>
    <w:basedOn w:val="1168"/>
    <w:next w:val="1262"/>
    <w:link w:val="1168"/>
    <w:uiPriority w:val="1"/>
    <w:qFormat/>
    <w:pPr>
      <w:spacing w:before="2"/>
    </w:pPr>
    <w:rPr>
      <w:rFonts w:ascii="宋体" w:hAnsi="宋体" w:eastAsia="宋体" w:cs="宋体"/>
      <w:lang w:val="zh-CN" w:eastAsia="zh-CN" w:bidi="zh-CN"/>
    </w:rPr>
  </w:style>
  <w:style w:type="paragraph" w:styleId="1263">
    <w:name w:val="样式 首行缩进:  2 字符"/>
    <w:basedOn w:val="1168"/>
    <w:next w:val="1263"/>
    <w:link w:val="1168"/>
    <w:pPr>
      <w:ind w:firstLine="200"/>
      <w:spacing w:line="400" w:lineRule="exact"/>
    </w:pPr>
    <w:rPr>
      <w:rFonts w:cs="宋体"/>
      <w:sz w:val="24"/>
      <w:szCs w:val="24"/>
    </w:rPr>
  </w:style>
  <w:style w:type="paragraph" w:styleId="1264">
    <w:name w:val="Char Char"/>
    <w:basedOn w:val="1168"/>
    <w:next w:val="1264"/>
    <w:link w:val="1168"/>
    <w:pPr>
      <w:ind w:left="360" w:hanging="360"/>
    </w:pPr>
    <w:rPr>
      <w:sz w:val="24"/>
      <w:szCs w:val="24"/>
    </w:rPr>
  </w:style>
  <w:style w:type="paragraph" w:styleId="1265">
    <w:name w:val="简单回函地址"/>
    <w:basedOn w:val="1168"/>
    <w:next w:val="1265"/>
    <w:link w:val="1168"/>
    <w:rPr>
      <w:szCs w:val="24"/>
    </w:rPr>
  </w:style>
  <w:style w:type="paragraph" w:styleId="1266">
    <w:name w:val="Body Text First Indent1"/>
    <w:basedOn w:val="1184"/>
    <w:next w:val="1266"/>
    <w:link w:val="1168"/>
    <w:qFormat/>
    <w:pPr>
      <w:ind w:firstLine="420"/>
    </w:pPr>
  </w:style>
  <w:style w:type="paragraph" w:styleId="1267">
    <w:name w:val="yiv1658056056msonormal"/>
    <w:basedOn w:val="1168"/>
    <w:next w:val="1267"/>
    <w:link w:val="1168"/>
    <w:uiPriority w:val="99"/>
    <w:pPr>
      <w:jc w:val="left"/>
      <w:spacing w:before="100" w:beforeAutospacing="1" w:after="100" w:afterAutospacing="1"/>
      <w:widowControl/>
    </w:pPr>
    <w:rPr>
      <w:rFonts w:ascii="宋体" w:hAnsi="宋体" w:cs="宋体"/>
      <w:sz w:val="24"/>
      <w:szCs w:val="24"/>
    </w:rPr>
  </w:style>
  <w:style w:type="paragraph" w:styleId="1268">
    <w:name w:val="p15"/>
    <w:basedOn w:val="1168"/>
    <w:next w:val="1268"/>
    <w:link w:val="1168"/>
    <w:uiPriority w:val="99"/>
    <w:unhideWhenUsed/>
    <w:pPr>
      <w:widowControl/>
    </w:pPr>
    <w:rPr>
      <w:rFonts w:hint="eastAsia" w:ascii="宋体" w:hAnsi="宋体"/>
      <w:b/>
    </w:rPr>
  </w:style>
  <w:style w:type="paragraph" w:styleId="1269">
    <w:name w:val="_Style 2"/>
    <w:basedOn w:val="1168"/>
    <w:next w:val="1269"/>
    <w:link w:val="1168"/>
    <w:uiPriority w:val="34"/>
    <w:qFormat/>
    <w:pPr>
      <w:ind w:firstLine="420"/>
    </w:pPr>
    <w:rPr>
      <w:szCs w:val="24"/>
    </w:rPr>
  </w:style>
  <w:style w:type="paragraph" w:styleId="1270">
    <w:name w:val="List Paragraph"/>
    <w:basedOn w:val="1168"/>
    <w:next w:val="1270"/>
    <w:link w:val="1168"/>
    <w:uiPriority w:val="34"/>
    <w:qFormat/>
    <w:pPr>
      <w:ind w:firstLine="420"/>
    </w:pPr>
    <w:rPr>
      <w:szCs w:val="22"/>
    </w:rPr>
  </w:style>
  <w:style w:type="character" w:styleId="1271">
    <w:name w:val="font11"/>
    <w:next w:val="1271"/>
    <w:link w:val="1168"/>
    <w:unhideWhenUsed/>
    <w:qFormat/>
    <w:rPr>
      <w:rFonts w:hint="eastAsia" w:ascii="宋体" w:hAnsi="宋体" w:eastAsia="宋体" w:cs="宋体"/>
      <w:color w:val="000000"/>
      <w:sz w:val="21"/>
      <w:szCs w:val="21"/>
    </w:rPr>
  </w:style>
  <w:style w:type="paragraph" w:styleId="1272">
    <w:name w:val="_Style 92"/>
    <w:basedOn w:val="1168"/>
    <w:next w:val="1245"/>
    <w:link w:val="1168"/>
    <w:uiPriority w:val="34"/>
    <w:qFormat/>
    <w:pPr>
      <w:ind w:firstLine="200"/>
      <w:spacing w:line="360" w:lineRule="auto"/>
    </w:pPr>
    <w:rPr>
      <w:rFonts w:eastAsia="楷体_GB2312"/>
      <w:sz w:val="24"/>
    </w:rPr>
  </w:style>
  <w:style w:type="paragraph" w:styleId="1273">
    <w:name w:val="彩色列表1"/>
    <w:basedOn w:val="1168"/>
    <w:next w:val="1273"/>
    <w:link w:val="1168"/>
    <w:qFormat/>
    <w:pPr>
      <w:ind w:firstLine="420"/>
    </w:pPr>
    <w:rPr>
      <w:rFonts w:ascii="Calibri" w:hAnsi="Calibri"/>
      <w:szCs w:val="22"/>
    </w:rPr>
  </w:style>
  <w:style w:type="paragraph" w:styleId="1274">
    <w:name w:val="正文_9_1"/>
    <w:next w:val="1274"/>
    <w:link w:val="1168"/>
    <w:qFormat/>
    <w:pPr>
      <w:jc w:val="both"/>
      <w:widowControl w:val="off"/>
    </w:pPr>
    <w:rPr>
      <w:sz w:val="21"/>
      <w:szCs w:val="24"/>
      <w:lang w:val="en-US" w:eastAsia="zh-CN" w:bidi="ar-SA"/>
    </w:rPr>
  </w:style>
  <w:style w:type="character" w:styleId="1275">
    <w:name w:val="批注文字 字符1"/>
    <w:next w:val="1275"/>
    <w:link w:val="1168"/>
    <w:qFormat/>
    <w:rPr>
      <w:rFonts w:eastAsia="Times New Roman"/>
      <w:sz w:val="24"/>
      <w:szCs w:val="24"/>
    </w:r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4</cp:revision>
  <dcterms:created xsi:type="dcterms:W3CDTF">2025-09-22T03:04:00Z</dcterms:created>
  <dcterms:modified xsi:type="dcterms:W3CDTF">2026-07-17T08:17:14Z</dcterms:modified>
</cp:coreProperties>
</file>