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1" w:name="_GoBack"/>
      <w:r/>
      <w:bookmarkEnd w:id="1"/>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946"/>
          <w:rFonts w:ascii="宋体" w:hAnsi="宋体" w:cs="宋体"/>
          <w:sz w:val="72"/>
          <w:szCs w:val="72"/>
          <w:lang w:val="zh-CN"/>
        </w:rPr>
      </w:pPr>
      <w:r>
        <w:rPr>
          <w:rFonts w:hint="eastAsia" w:ascii="宋体" w:hAnsi="宋体"/>
          <w:b/>
          <w:sz w:val="72"/>
          <w:szCs w:val="20"/>
          <w:lang w:val="zh-CN"/>
        </w:rPr>
        <w:t xml:space="preserve">招标文件</w:t>
      </w:r>
      <w:r/>
    </w:p>
    <w:p>
      <w:pPr>
        <w:pStyle w:val="942"/>
        <w:ind w:left="2766" w:hanging="1506"/>
        <w:spacing w:beforeAutospacing="0" w:afterAutospacing="0" w:line="360" w:lineRule="auto"/>
        <w:widowControl/>
        <w:rPr>
          <w:rStyle w:val="946"/>
          <w:rFonts w:ascii="宋体" w:hAnsi="宋体" w:cs="宋体"/>
          <w:sz w:val="30"/>
          <w:szCs w:val="30"/>
        </w:rPr>
      </w:pPr>
      <w:r>
        <w:rPr>
          <w:rFonts w:ascii="宋体" w:hAnsi="宋体" w:cs="宋体"/>
          <w:sz w:val="30"/>
          <w:szCs w:val="30"/>
        </w:rPr>
      </w:r>
      <w:r/>
    </w:p>
    <w:p>
      <w:pPr>
        <w:pStyle w:val="942"/>
        <w:ind w:left="2766" w:hanging="1506"/>
        <w:spacing w:beforeAutospacing="0" w:afterAutospacing="0" w:line="360" w:lineRule="auto"/>
        <w:widowControl/>
        <w:rPr>
          <w:rStyle w:val="946"/>
          <w:rFonts w:ascii="宋体" w:hAnsi="宋体" w:cs="宋体"/>
          <w:sz w:val="30"/>
          <w:szCs w:val="30"/>
        </w:rPr>
      </w:pPr>
      <w:r>
        <w:rPr>
          <w:rFonts w:ascii="宋体" w:hAnsi="宋体" w:cs="宋体"/>
          <w:sz w:val="30"/>
          <w:szCs w:val="30"/>
        </w:rPr>
      </w:r>
      <w:r/>
    </w:p>
    <w:p>
      <w:pPr>
        <w:pStyle w:val="942"/>
        <w:ind w:left="2766" w:hanging="1506"/>
        <w:spacing w:beforeAutospacing="0" w:afterAutospacing="0" w:line="360" w:lineRule="auto"/>
        <w:widowControl/>
        <w:rPr>
          <w:rStyle w:val="946"/>
          <w:rFonts w:ascii="宋体" w:hAnsi="宋体" w:cs="宋体"/>
          <w:sz w:val="30"/>
          <w:szCs w:val="30"/>
        </w:rPr>
      </w:pPr>
      <w:r>
        <w:rPr>
          <w:rFonts w:ascii="宋体" w:hAnsi="宋体" w:cs="宋体"/>
          <w:sz w:val="30"/>
          <w:szCs w:val="30"/>
        </w:rPr>
      </w:r>
      <w:r/>
    </w:p>
    <w:p>
      <w:pPr>
        <w:pStyle w:val="942"/>
        <w:ind w:left="2766" w:hanging="1506"/>
        <w:spacing w:beforeAutospacing="0" w:afterAutospacing="0" w:line="360" w:lineRule="auto"/>
        <w:widowControl/>
        <w:rPr>
          <w:rStyle w:val="946"/>
          <w:rFonts w:ascii="宋体" w:hAnsi="宋体" w:cs="宋体"/>
          <w:sz w:val="30"/>
          <w:szCs w:val="30"/>
        </w:rPr>
      </w:pPr>
      <w:r/>
      <w:bookmarkStart w:id="2" w:name="OLE_LINK1"/>
      <w:r/>
      <w:bookmarkStart w:id="3" w:name="OLE_LINK2"/>
      <w:r>
        <w:rPr>
          <w:rStyle w:val="946"/>
          <w:rFonts w:hint="eastAsia" w:ascii="宋体" w:hAnsi="宋体" w:cs="宋体"/>
          <w:sz w:val="30"/>
          <w:szCs w:val="30"/>
        </w:rPr>
        <w:t xml:space="preserve">采购编号：</w:t>
      </w:r>
      <w:r>
        <w:rPr>
          <w:rFonts w:hint="eastAsia" w:ascii="宋体" w:hAnsi="宋体" w:cs="宋体"/>
          <w:sz w:val="30"/>
          <w:szCs w:val="30"/>
          <w:lang w:val="zh-CN"/>
        </w:rPr>
        <w:t xml:space="preserve">JSZC-320585-CJZB-G2026-0089</w:t>
      </w:r>
      <w:r/>
    </w:p>
    <w:p>
      <w:pPr>
        <w:pStyle w:val="942"/>
        <w:ind w:left="2766" w:hanging="1506"/>
        <w:spacing w:beforeAutospacing="0" w:afterAutospacing="0" w:line="360" w:lineRule="auto"/>
        <w:widowControl/>
        <w:rPr>
          <w:rStyle w:val="946"/>
          <w:rFonts w:ascii="宋体" w:hAnsi="宋体" w:cs="宋体"/>
          <w:sz w:val="30"/>
          <w:szCs w:val="30"/>
        </w:rPr>
      </w:pPr>
      <w:r>
        <w:rPr>
          <w:rStyle w:val="946"/>
          <w:rFonts w:hint="eastAsia" w:ascii="宋体" w:hAnsi="宋体" w:cs="宋体"/>
          <w:sz w:val="30"/>
          <w:szCs w:val="30"/>
        </w:rPr>
        <w:t xml:space="preserve">项目名称：</w:t>
      </w:r>
      <w:r>
        <w:rPr>
          <w:rFonts w:hint="eastAsia" w:ascii="宋体" w:hAnsi="宋体" w:cs="宋体"/>
          <w:sz w:val="30"/>
          <w:szCs w:val="30"/>
          <w:lang w:val="zh-CN"/>
        </w:rPr>
        <w:t xml:space="preserve">医疗设备整体维保服务</w:t>
      </w:r>
      <w:r/>
    </w:p>
    <w:p>
      <w:pPr>
        <w:pStyle w:val="942"/>
        <w:ind w:left="2766" w:hanging="1506"/>
        <w:spacing w:beforeAutospacing="0" w:afterAutospacing="0" w:line="360" w:lineRule="auto"/>
        <w:widowControl/>
        <w:rPr>
          <w:rFonts w:ascii="宋体" w:hAnsi="宋体" w:cs="宋体"/>
        </w:rPr>
      </w:pPr>
      <w:r>
        <w:rPr>
          <w:rStyle w:val="946"/>
          <w:rFonts w:hint="eastAsia" w:ascii="宋体" w:hAnsi="宋体" w:cs="宋体"/>
          <w:sz w:val="30"/>
          <w:szCs w:val="30"/>
        </w:rPr>
        <w:t xml:space="preserve">采 购 人：</w:t>
      </w:r>
      <w:r>
        <w:rPr>
          <w:rFonts w:hint="eastAsia" w:ascii="宋体" w:hAnsi="宋体" w:cs="宋体"/>
          <w:sz w:val="30"/>
          <w:szCs w:val="30"/>
          <w:lang w:val="zh-CN"/>
        </w:rPr>
        <w:t xml:space="preserve">太仓市中医医院</w:t>
      </w:r>
      <w:bookmarkEnd w:id="2"/>
      <w:r/>
      <w:bookmarkEnd w:id="3"/>
      <w:r/>
      <w:r/>
    </w:p>
    <w:p>
      <w:pPr>
        <w:pStyle w:val="942"/>
        <w:ind w:left="2766" w:hanging="1506"/>
        <w:spacing w:beforeAutospacing="0" w:afterAutospacing="0" w:line="360" w:lineRule="auto"/>
        <w:widowControl/>
        <w:rPr>
          <w:rFonts w:ascii="宋体" w:hAnsi="宋体" w:cs="宋体"/>
          <w:sz w:val="30"/>
          <w:szCs w:val="30"/>
          <w:lang w:val="zh-CN"/>
        </w:rPr>
      </w:pPr>
      <w:r>
        <w:rPr>
          <w:rStyle w:val="946"/>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42"/>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w:t>
      </w:r>
      <w:r>
        <w:rPr>
          <w:rFonts w:hint="eastAsia" w:ascii="宋体" w:hAnsi="宋体" w:cs="宋体"/>
          <w:sz w:val="30"/>
          <w:szCs w:val="30"/>
        </w:rPr>
        <w:t xml:space="preserve">其他未列明行业</w:t>
      </w:r>
      <w:r/>
    </w:p>
    <w:p>
      <w:pPr>
        <w:pStyle w:val="942"/>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2"/>
        <w:ind w:firstLine="482"/>
        <w:jc w:val="center"/>
        <w:spacing w:beforeAutospacing="0" w:afterAutospacing="0" w:line="360" w:lineRule="auto"/>
        <w:widowControl/>
        <w:rPr>
          <w:rFonts w:ascii="宋体" w:hAnsi="宋体" w:cs="宋体"/>
        </w:rPr>
      </w:pPr>
      <w:r>
        <w:rPr>
          <w:rFonts w:ascii="宋体" w:hAnsi="宋体" w:cs="宋体"/>
        </w:rPr>
      </w:r>
      <w:r/>
    </w:p>
    <w:p>
      <w:pPr>
        <w:pStyle w:val="942"/>
        <w:ind w:firstLine="482"/>
        <w:jc w:val="center"/>
        <w:spacing w:beforeAutospacing="0" w:afterAutospacing="0" w:line="360" w:lineRule="auto"/>
        <w:widowControl/>
        <w:rPr>
          <w:rFonts w:ascii="宋体" w:hAnsi="宋体" w:cs="宋体"/>
        </w:rPr>
      </w:pPr>
      <w:r>
        <w:rPr>
          <w:rFonts w:ascii="宋体" w:hAnsi="宋体" w:cs="宋体"/>
        </w:rPr>
      </w:r>
      <w:r/>
    </w:p>
    <w:p>
      <w:pPr>
        <w:pStyle w:val="942"/>
        <w:ind w:firstLine="602"/>
        <w:jc w:val="center"/>
        <w:spacing w:beforeAutospacing="0" w:afterAutospacing="0" w:line="360" w:lineRule="auto"/>
        <w:widowControl/>
        <w:rPr>
          <w:rStyle w:val="946"/>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4" w:name="XTSCRQ_1"/>
      <w:r>
        <w:rPr>
          <w:rFonts w:hint="eastAsia" w:ascii="宋体" w:hAnsi="宋体" w:cs="宋体"/>
          <w:sz w:val="30"/>
          <w:szCs w:val="30"/>
        </w:rPr>
        <w:t xml:space="preserve">二○二六年八月</w:t>
      </w:r>
      <w:bookmarkEnd w:id="4"/>
      <w:r/>
      <w:r/>
    </w:p>
    <w:p>
      <w:pPr>
        <w:pStyle w:val="937"/>
        <w:ind w:firstLine="640"/>
        <w:jc w:val="center"/>
        <w:pageBreakBefore/>
        <w:spacing w:line="360" w:lineRule="auto"/>
        <w:tabs>
          <w:tab w:val="right" w:pos="8302" w:leader="dot"/>
        </w:tabs>
        <w:rPr>
          <w:rStyle w:val="946"/>
          <w:rFonts w:ascii="宋体" w:hAnsi="宋体" w:cs="宋体"/>
          <w:bCs/>
          <w:sz w:val="32"/>
          <w:szCs w:val="32"/>
        </w:rPr>
      </w:pPr>
      <w:r>
        <w:rPr>
          <w:rStyle w:val="946"/>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JSZC-320585-CJZB-G2026-0089号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医疗设备整体维保服务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2"/>
              <w:spacing w:line="360" w:lineRule="auto"/>
              <w:rPr>
                <w:rStyle w:val="998"/>
                <w:rFonts w:ascii="宋体" w:hAnsi="宋体" w:cs="宋体"/>
                <w:bCs w:val="0"/>
                <w:spacing w:val="0"/>
                <w:sz w:val="21"/>
                <w:szCs w:val="21"/>
              </w:rPr>
            </w:pPr>
            <w:r>
              <w:rPr>
                <w:rStyle w:val="998"/>
                <w:rFonts w:ascii="Wingdings" w:hAnsi="Wingdings" w:eastAsia="Wingdings" w:cs="Wingdings"/>
                <w:bCs w:val="0"/>
                <w:spacing w:val="0"/>
                <w:sz w:val="21"/>
                <w:szCs w:val="21"/>
              </w:rPr>
              <w:t xml:space="preserve">þ</w:t>
            </w:r>
            <w:r>
              <w:rPr>
                <w:rStyle w:val="998"/>
                <w:rFonts w:hint="eastAsia" w:ascii="宋体" w:hAnsi="宋体" w:cs="宋体"/>
                <w:bCs w:val="0"/>
                <w:spacing w:val="0"/>
                <w:sz w:val="21"/>
                <w:szCs w:val="21"/>
              </w:rPr>
              <w:t xml:space="preserve">不需提交，招标文件中有关投标保证金的规定均不适用。</w:t>
            </w:r>
            <w:r/>
          </w:p>
          <w:p>
            <w:pPr>
              <w:pStyle w:val="932"/>
              <w:spacing w:line="360" w:lineRule="auto"/>
              <w:rPr>
                <w:rFonts w:ascii="宋体" w:hAnsi="宋体" w:cs="宋体"/>
                <w:sz w:val="18"/>
                <w:szCs w:val="18"/>
              </w:rPr>
            </w:pPr>
            <w:r>
              <w:rPr>
                <w:rStyle w:val="998"/>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28"/>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电话：0512-65238816  </w:t>
            </w:r>
            <w:r>
              <w:rPr>
                <w:rFonts w:hint="eastAsia" w:ascii="宋体" w:hAnsi="宋体" w:cs="宋体"/>
                <w:szCs w:val="21"/>
              </w:rPr>
              <w:t xml:space="preserve">邮箱：szcjzb@163.com</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太仓市中医医院</w:t>
            </w:r>
            <w:r/>
          </w:p>
          <w:p>
            <w:pPr>
              <w:spacing w:line="360" w:lineRule="auto"/>
              <w:rPr>
                <w:lang w:val="zh-CN"/>
              </w:rPr>
            </w:pPr>
            <w:r>
              <w:rPr>
                <w:rFonts w:hint="eastAsia" w:ascii="宋体" w:hAnsi="宋体" w:cs="宋体"/>
                <w:bCs/>
                <w:szCs w:val="21"/>
              </w:rPr>
              <w:t xml:space="preserve">联系人：周彩虹                  联系电话：0512-53728002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2026年9月8日</w:t>
            </w:r>
            <w:r>
              <w:rPr>
                <w:rFonts w:ascii="宋体" w:hAnsi="宋体" w:cs="宋体"/>
                <w:szCs w:val="21"/>
              </w:rPr>
              <w:t xml:space="preserve">13:30</w:t>
            </w:r>
            <w:r>
              <w:rPr>
                <w:rFonts w:hint="eastAsia" w:ascii="宋体" w:hAnsi="宋体" w:cs="宋体"/>
                <w:szCs w:val="21"/>
              </w:rPr>
              <w:t xml:space="preserve">（北京时间）</w:t>
            </w:r>
            <w:r/>
          </w:p>
          <w:p>
            <w:pPr>
              <w:pStyle w:val="92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2026年9月8日</w:t>
            </w:r>
            <w:r>
              <w:rPr>
                <w:rFonts w:ascii="宋体" w:hAnsi="宋体" w:cs="宋体"/>
                <w:szCs w:val="21"/>
              </w:rPr>
              <w:t xml:space="preserve">13:30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2026年9月8日</w:t>
            </w:r>
            <w:r>
              <w:rPr>
                <w:rFonts w:ascii="宋体" w:hAnsi="宋体" w:cs="宋体"/>
                <w:szCs w:val="21"/>
              </w:rPr>
              <w:t xml:space="preserve">13:30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太仓市陆渡街道万金北路88号4栋2楼评标区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4"/>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4"/>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bookmarkStart w:id="5" w:name="OLE_LINK3"/>
            <w:r/>
            <w:bookmarkStart w:id="6" w:name="OLE_LINK4"/>
            <w:r>
              <w:rPr>
                <w:rFonts w:hint="eastAsia" w:ascii="宋体" w:hAnsi="宋体" w:cs="宋体"/>
              </w:rPr>
              <w:t xml:space="preserve">由采购人支付。</w:t>
            </w:r>
            <w:bookmarkEnd w:id="5"/>
            <w:r/>
            <w:bookmarkEnd w:id="6"/>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伍万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bookmarkStart w:id="7" w:name="_Hlk228978365"/>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专家评审费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由采购人按实支付。</w:t>
            </w:r>
            <w:bookmarkEnd w:id="7"/>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1"/>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2"/>
        <w:ind w:firstLine="482"/>
        <w:spacing w:beforeAutospacing="0" w:afterAutospacing="0" w:line="360" w:lineRule="auto"/>
        <w:widowControl/>
        <w:rPr>
          <w:rFonts w:ascii="宋体" w:hAnsi="宋体" w:cs="宋体"/>
        </w:rPr>
      </w:pPr>
      <w:r>
        <w:rPr>
          <w:rFonts w:ascii="宋体" w:hAnsi="宋体" w:cs="宋体"/>
        </w:rPr>
      </w:r>
      <w:r/>
    </w:p>
    <w:p>
      <w:pPr>
        <w:pStyle w:val="942"/>
        <w:ind w:firstLine="482"/>
        <w:spacing w:beforeAutospacing="0" w:afterAutospacing="0" w:line="360" w:lineRule="auto"/>
        <w:widowControl/>
        <w:rPr>
          <w:rFonts w:ascii="宋体" w:hAnsi="宋体" w:cs="宋体"/>
        </w:rPr>
      </w:pPr>
      <w:r>
        <w:rPr>
          <w:rFonts w:ascii="宋体" w:hAnsi="宋体" w:cs="宋体"/>
        </w:rPr>
      </w:r>
      <w:r/>
    </w:p>
    <w:p>
      <w:pPr>
        <w:pStyle w:val="942"/>
        <w:ind w:firstLine="482"/>
        <w:spacing w:beforeAutospacing="0" w:afterAutospacing="0" w:line="360" w:lineRule="auto"/>
        <w:widowControl/>
        <w:rPr>
          <w:rFonts w:ascii="宋体" w:hAnsi="宋体" w:cs="宋体"/>
        </w:rPr>
      </w:pPr>
      <w:r>
        <w:rPr>
          <w:rFonts w:ascii="宋体" w:hAnsi="宋体" w:cs="宋体"/>
        </w:rPr>
      </w:r>
      <w:r/>
    </w:p>
    <w:p>
      <w:pPr>
        <w:pStyle w:val="942"/>
        <w:ind w:firstLine="482"/>
        <w:spacing w:beforeAutospacing="0" w:afterAutospacing="0" w:line="360" w:lineRule="auto"/>
        <w:widowControl/>
        <w:rPr>
          <w:rFonts w:ascii="宋体" w:hAnsi="宋体" w:cs="宋体"/>
        </w:rPr>
      </w:pPr>
      <w:r>
        <w:rPr>
          <w:rFonts w:ascii="宋体" w:hAnsi="宋体" w:cs="宋体"/>
        </w:rPr>
      </w:r>
      <w:r/>
    </w:p>
    <w:p>
      <w:pPr>
        <w:pStyle w:val="942"/>
        <w:ind w:firstLine="482"/>
        <w:spacing w:beforeAutospacing="0" w:afterAutospacing="0" w:line="360" w:lineRule="auto"/>
        <w:widowControl/>
        <w:rPr>
          <w:rFonts w:ascii="宋体" w:hAnsi="宋体" w:cs="宋体"/>
        </w:rPr>
      </w:pPr>
      <w:r>
        <w:rPr>
          <w:rFonts w:ascii="宋体" w:hAnsi="宋体" w:cs="宋体"/>
        </w:rPr>
      </w:r>
      <w:r/>
    </w:p>
    <w:p>
      <w:pPr>
        <w:pStyle w:val="942"/>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3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3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3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3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pPr>
      <w:r>
        <w:rPr>
          <w:rFonts w:hint="eastAsia" w:ascii="宋体" w:hAnsi="宋体" w:cs="宋体"/>
          <w:sz w:val="36"/>
        </w:rPr>
        <w:t xml:space="preserve">第五章  评标办法及评分标准</w:t>
      </w:r>
      <w:r/>
    </w:p>
    <w:p>
      <w:pPr>
        <w:pStyle w:val="937"/>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合同特殊条款</w:t>
      </w:r>
      <w:r/>
    </w:p>
    <w:p>
      <w:pPr>
        <w:pStyle w:val="937"/>
        <w:ind w:firstLine="640"/>
        <w:jc w:val="center"/>
        <w:pageBreakBefore/>
        <w:spacing w:line="360" w:lineRule="auto"/>
        <w:tabs>
          <w:tab w:val="right" w:pos="8302" w:leader="dot"/>
        </w:tabs>
        <w:rPr>
          <w:rStyle w:val="946"/>
          <w:rFonts w:ascii="宋体" w:hAnsi="宋体" w:cs="宋体"/>
          <w:sz w:val="32"/>
          <w:szCs w:val="32"/>
        </w:rPr>
      </w:pPr>
      <w:r>
        <w:rPr>
          <w:rStyle w:val="946"/>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8"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医疗设备整体维保服务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2026年9月 8日</w:t>
      </w:r>
      <w:r>
        <w:rPr>
          <w:rFonts w:ascii="宋体" w:hAnsi="宋体" w:cs="宋体"/>
          <w:szCs w:val="21"/>
          <w:u w:val="single"/>
        </w:rPr>
        <w:t xml:space="preserve">13:30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9" w:name="_Toc28359079"/>
      <w:r/>
      <w:bookmarkStart w:id="10" w:name="_Toc28359002"/>
      <w:r/>
      <w:bookmarkStart w:id="11" w:name="_Toc35393621"/>
      <w:r/>
      <w:bookmarkStart w:id="12" w:name="_Toc35393790"/>
      <w:r/>
      <w:bookmarkStart w:id="13" w:name="_Hlk24379207"/>
      <w:r>
        <w:rPr>
          <w:rFonts w:hint="eastAsia" w:ascii="宋体" w:hAnsi="宋体" w:cs="宋体"/>
          <w:b/>
          <w:szCs w:val="21"/>
        </w:rPr>
        <w:t xml:space="preserve">一、项目基本情况</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1.项目编号：JSZC-320585-CJZB-G2026-0089</w:t>
      </w:r>
      <w:r/>
    </w:p>
    <w:p>
      <w:pPr>
        <w:ind w:firstLine="420"/>
        <w:spacing w:line="360" w:lineRule="auto"/>
        <w:rPr>
          <w:rFonts w:ascii="宋体" w:hAnsi="宋体" w:cs="宋体"/>
          <w:szCs w:val="21"/>
        </w:rPr>
      </w:pPr>
      <w:r>
        <w:rPr>
          <w:rFonts w:hint="eastAsia" w:ascii="宋体" w:hAnsi="宋体" w:cs="宋体"/>
          <w:szCs w:val="21"/>
        </w:rPr>
        <w:t xml:space="preserve">2.项目名称：医疗设备整体维保服务</w:t>
      </w:r>
      <w:bookmarkEnd w:id="13"/>
      <w:r/>
      <w:r/>
    </w:p>
    <w:p>
      <w:pPr>
        <w:ind w:firstLine="420"/>
        <w:spacing w:line="360" w:lineRule="auto"/>
        <w:rPr>
          <w:rFonts w:ascii="宋体" w:hAnsi="宋体" w:cs="宋体"/>
          <w:szCs w:val="21"/>
        </w:rPr>
      </w:pPr>
      <w:r>
        <w:rPr>
          <w:rFonts w:hint="eastAsia" w:ascii="宋体" w:hAnsi="宋体" w:cs="宋体"/>
          <w:szCs w:val="21"/>
        </w:rPr>
        <w:t xml:space="preserve">3.预算金额：</w:t>
      </w:r>
      <w:r>
        <w:rPr>
          <w:rFonts w:hint="eastAsia" w:ascii="宋体" w:hAnsi="宋体" w:cs="宋体"/>
        </w:rPr>
        <w:t xml:space="preserve">人民币肆佰陆拾万元整（￥4600000.00）</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人民币肆佰伍拾肆万贰仟陆佰元整（￥4542600.00）</w:t>
      </w:r>
      <w:r/>
    </w:p>
    <w:p>
      <w:pPr>
        <w:ind w:firstLine="420"/>
        <w:spacing w:line="360" w:lineRule="auto"/>
        <w:rPr>
          <w:rFonts w:ascii="宋体" w:hAnsi="宋体" w:cs="宋体"/>
          <w:szCs w:val="21"/>
        </w:rPr>
      </w:pPr>
      <w:r>
        <w:rPr>
          <w:rFonts w:hint="eastAsia" w:ascii="宋体" w:hAnsi="宋体" w:cs="宋体"/>
          <w:szCs w:val="21"/>
        </w:rPr>
        <w:t xml:space="preserve">4.采购需求：为院方提供驻场工程师为医院出保设备提供全院医疗设备24小时全天候维保服务，服务内容包含：设备维修、保养、技术咨询、巡检、配件更换、日常质控、人员培训等</w:t>
      </w:r>
      <w:r>
        <w:rPr>
          <w:rFonts w:hint="eastAsia" w:ascii="宋体" w:hAnsi="宋体" w:cs="宋体"/>
        </w:rPr>
        <w:t xml:space="preserve">。</w:t>
      </w:r>
      <w:r/>
    </w:p>
    <w:p>
      <w:pPr>
        <w:ind w:firstLine="420"/>
        <w:spacing w:line="360" w:lineRule="auto"/>
        <w:rPr>
          <w:rFonts w:ascii="宋体" w:hAnsi="宋体" w:cs="宋体"/>
          <w:szCs w:val="21"/>
        </w:rPr>
      </w:pPr>
      <w:r/>
      <w:bookmarkStart w:id="14" w:name="_Toc35393622"/>
      <w:r/>
      <w:bookmarkStart w:id="15" w:name="_Toc35393791"/>
      <w:r/>
      <w:bookmarkStart w:id="16" w:name="_Toc28359080"/>
      <w:r/>
      <w:bookmarkStart w:id="17" w:name="_Toc28359003"/>
      <w:r>
        <w:rPr>
          <w:rFonts w:hint="eastAsia" w:ascii="宋体" w:hAnsi="宋体" w:cs="宋体"/>
          <w:szCs w:val="21"/>
        </w:rPr>
        <w:t xml:space="preserve">5.合同履行期限：2年，具体起止日期以双方签订合同载明为准。</w:t>
      </w:r>
      <w:r/>
    </w:p>
    <w:p>
      <w:pPr>
        <w:ind w:firstLine="420"/>
        <w:spacing w:line="360" w:lineRule="auto"/>
        <w:rPr>
          <w:rFonts w:ascii="宋体" w:hAnsi="宋体" w:cs="宋体"/>
          <w:b/>
          <w:szCs w:val="21"/>
        </w:rPr>
      </w:pPr>
      <w:r>
        <w:rPr>
          <w:rFonts w:hint="eastAsia" w:ascii="宋体" w:hAnsi="宋体" w:cs="宋体"/>
          <w:szCs w:val="21"/>
        </w:rPr>
        <w:t xml:space="preserve">6.本项目不接受联合体投标。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4"/>
      <w:r/>
      <w:bookmarkEnd w:id="15"/>
      <w:r/>
      <w:bookmarkEnd w:id="16"/>
      <w:r/>
      <w:bookmarkEnd w:id="17"/>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8" w:name="_Toc28359081"/>
      <w:r/>
      <w:bookmarkStart w:id="19"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rPr>
      </w:pPr>
      <w:r>
        <w:rPr>
          <w:rFonts w:hint="eastAsia" w:ascii="宋体" w:hAnsi="宋体" w:cs="宋体"/>
          <w:szCs w:val="21"/>
        </w:rPr>
        <w:t xml:space="preserve">7.本项目的特定资格要求：投标单位</w:t>
      </w:r>
      <w:r>
        <w:rPr>
          <w:rFonts w:hint="eastAsia" w:ascii="宋体" w:hAnsi="宋体"/>
          <w:bCs/>
          <w:szCs w:val="21"/>
        </w:rPr>
        <w:t xml:space="preserve">具有医疗器械经营许可证、辐射安全许可证</w:t>
      </w:r>
      <w:r>
        <w:rPr>
          <w:rFonts w:hint="eastAsia" w:ascii="宋体" w:hAnsi="宋体" w:cs="宋体"/>
          <w:szCs w:val="21"/>
        </w:rPr>
        <w:t xml:space="preserve">。</w:t>
      </w:r>
      <w:r/>
    </w:p>
    <w:p>
      <w:pPr>
        <w:ind w:firstLine="422"/>
        <w:spacing w:line="360" w:lineRule="auto"/>
        <w:rPr>
          <w:rFonts w:ascii="宋体" w:hAnsi="宋体" w:cs="宋体"/>
          <w:b/>
          <w:szCs w:val="21"/>
        </w:rPr>
      </w:pPr>
      <w:r/>
      <w:bookmarkStart w:id="20" w:name="_Toc35393792"/>
      <w:r/>
      <w:bookmarkStart w:id="21" w:name="_Toc35393623"/>
      <w:r>
        <w:rPr>
          <w:rFonts w:hint="eastAsia" w:ascii="宋体" w:hAnsi="宋体" w:cs="宋体"/>
          <w:b/>
          <w:szCs w:val="21"/>
        </w:rPr>
        <w:t xml:space="preserve">三、</w:t>
      </w:r>
      <w:bookmarkEnd w:id="18"/>
      <w:r/>
      <w:bookmarkEnd w:id="19"/>
      <w:r/>
      <w:bookmarkEnd w:id="20"/>
      <w:r/>
      <w:bookmarkEnd w:id="21"/>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2" w:name="_Toc28359005"/>
      <w:r/>
      <w:bookmarkStart w:id="23" w:name="_Toc28359082"/>
      <w:r/>
      <w:bookmarkStart w:id="24" w:name="_Toc35393624"/>
      <w:r/>
      <w:bookmarkStart w:id="25" w:name="_Toc35393793"/>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3"/>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2"/>
      <w:r/>
      <w:bookmarkEnd w:id="23"/>
      <w:r>
        <w:rPr>
          <w:rFonts w:hint="eastAsia" w:ascii="宋体" w:hAnsi="宋体" w:cs="宋体"/>
          <w:b/>
          <w:szCs w:val="21"/>
        </w:rPr>
        <w:t xml:space="preserve">截止时间、开标时间和地点</w:t>
      </w:r>
      <w:bookmarkEnd w:id="24"/>
      <w:r/>
      <w:bookmarkEnd w:id="25"/>
      <w:r/>
      <w:r/>
    </w:p>
    <w:p>
      <w:pPr>
        <w:pStyle w:val="923"/>
        <w:spacing w:line="360" w:lineRule="auto"/>
        <w:rPr>
          <w:rFonts w:ascii="宋体" w:hAnsi="宋体" w:eastAsia="宋体" w:cs="宋体"/>
          <w:sz w:val="21"/>
          <w:szCs w:val="21"/>
        </w:rPr>
      </w:pPr>
      <w:r/>
      <w:bookmarkStart w:id="26" w:name="_Toc28359007"/>
      <w:r/>
      <w:bookmarkStart w:id="27" w:name="_Toc35393794"/>
      <w:r/>
      <w:bookmarkStart w:id="28" w:name="_Toc28359084"/>
      <w:r/>
      <w:bookmarkStart w:id="29" w:name="_Toc35393625"/>
      <w:r>
        <w:rPr>
          <w:rFonts w:hint="eastAsia" w:ascii="宋体" w:hAnsi="宋体" w:eastAsia="宋体" w:cs="宋体"/>
          <w:sz w:val="21"/>
          <w:szCs w:val="21"/>
        </w:rPr>
        <w:t xml:space="preserve">1.提交投标文件截止时间：2026年9月8日</w:t>
      </w:r>
      <w:r>
        <w:rPr>
          <w:rFonts w:ascii="宋体" w:hAnsi="宋体" w:eastAsia="宋体" w:cs="宋体"/>
          <w:sz w:val="21"/>
          <w:szCs w:val="21"/>
        </w:rPr>
        <w:t xml:space="preserve">13:30</w:t>
      </w:r>
      <w:r>
        <w:rPr>
          <w:rFonts w:hint="eastAsia" w:ascii="宋体" w:hAnsi="宋体" w:eastAsia="宋体" w:cs="宋体"/>
          <w:sz w:val="21"/>
          <w:szCs w:val="21"/>
        </w:rPr>
        <w:t xml:space="preserve">（北京时间）； </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2.开标时间：2026年9月8日</w:t>
      </w:r>
      <w:r>
        <w:rPr>
          <w:rFonts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6"/>
      <w:r/>
      <w:bookmarkEnd w:id="27"/>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30" w:name="_Toc35393795"/>
      <w:r/>
      <w:bookmarkStart w:id="31" w:name="_Toc35393626"/>
      <w:r>
        <w:rPr>
          <w:rFonts w:hint="eastAsia" w:ascii="宋体" w:hAnsi="宋体" w:cs="宋体"/>
          <w:b/>
          <w:szCs w:val="21"/>
        </w:rPr>
        <w:t xml:space="preserve">其他补充事宜</w:t>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2.政府采购监督电话：0512-53512539。</w:t>
      </w:r>
      <w:r/>
    </w:p>
    <w:p>
      <w:pPr>
        <w:ind w:firstLine="420"/>
        <w:spacing w:line="360" w:lineRule="auto"/>
        <w:rPr>
          <w:rFonts w:ascii="宋体" w:hAnsi="宋体" w:cs="宋体"/>
          <w:szCs w:val="21"/>
        </w:rPr>
      </w:pPr>
      <w:r>
        <w:rPr>
          <w:rFonts w:hint="eastAsia" w:ascii="宋体" w:hAnsi="宋体" w:cs="宋体"/>
          <w:szCs w:val="21"/>
        </w:rPr>
        <w:t xml:space="preserve">3.政府采购履约资金扶持政策：中标供应商可凭政府采购合同办理融资贷款，详情请见江苏政府采购网“政采贷”专栏。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32" w:name="_Toc35393627"/>
      <w:r/>
      <w:bookmarkStart w:id="33" w:name="_Toc28359008"/>
      <w:r/>
      <w:bookmarkStart w:id="34" w:name="_Toc28359085"/>
      <w:r/>
      <w:bookmarkStart w:id="35" w:name="_Toc35393796"/>
      <w:r>
        <w:rPr>
          <w:rFonts w:hint="eastAsia" w:ascii="宋体" w:hAnsi="宋体" w:cs="宋体"/>
          <w:b/>
          <w:szCs w:val="21"/>
        </w:rPr>
        <w:t xml:space="preserve">七、对本次招标提出询问，请按以下方式联系。</w:t>
      </w:r>
      <w:bookmarkEnd w:id="32"/>
      <w:r/>
      <w:bookmarkEnd w:id="33"/>
      <w:r/>
      <w:bookmarkEnd w:id="34"/>
      <w:r/>
      <w:bookmarkEnd w:id="35"/>
      <w:r/>
      <w:r/>
    </w:p>
    <w:p>
      <w:pPr>
        <w:ind w:firstLine="420"/>
        <w:jc w:val="left"/>
        <w:spacing w:line="360" w:lineRule="auto"/>
        <w:widowControl/>
        <w:rPr>
          <w:rFonts w:ascii="宋体" w:hAnsi="宋体" w:cs="宋体"/>
          <w:szCs w:val="21"/>
        </w:rPr>
      </w:pPr>
      <w:r/>
      <w:bookmarkStart w:id="36" w:name="_Toc28358998"/>
      <w:r/>
      <w:bookmarkStart w:id="37" w:name="_Toc28359075"/>
      <w:r/>
      <w:bookmarkStart w:id="38" w:name="_Toc35393786"/>
      <w:r/>
      <w:bookmarkStart w:id="39" w:name="_Toc35393617"/>
      <w:r>
        <w:rPr>
          <w:rFonts w:hint="eastAsia" w:ascii="宋体" w:hAnsi="宋体" w:cs="宋体"/>
          <w:szCs w:val="21"/>
        </w:rPr>
        <w:t xml:space="preserve">1、采购单位信息</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太仓市中医医院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址：太仓市城厢镇人民南路140号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人：周彩虹</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联系电话：0512-53728202</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 </w:t>
      </w:r>
      <w:bookmarkEnd w:id="8"/>
      <w:r/>
      <w:r/>
    </w:p>
    <w:p>
      <w:pPr>
        <w:pStyle w:val="937"/>
        <w:ind w:firstLine="640"/>
        <w:jc w:val="center"/>
        <w:pageBreakBefore/>
        <w:spacing w:line="360" w:lineRule="auto"/>
        <w:tabs>
          <w:tab w:val="right" w:pos="8302" w:leader="dot"/>
        </w:tabs>
        <w:rPr>
          <w:rStyle w:val="946"/>
          <w:rFonts w:ascii="宋体" w:hAnsi="宋体" w:cs="宋体"/>
          <w:sz w:val="32"/>
          <w:szCs w:val="32"/>
        </w:rPr>
      </w:pPr>
      <w:r>
        <w:rPr>
          <w:rStyle w:val="946"/>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3"/>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3"/>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3"/>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b/>
          <w:bCs/>
          <w:szCs w:val="21"/>
          <w:lang w:val="zh-CN"/>
        </w:rPr>
        <w:t xml:space="preserve">4. 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w:t>
      </w:r>
      <w:r/>
    </w:p>
    <w:p>
      <w:pPr>
        <w:ind w:firstLine="420"/>
        <w:spacing w:line="360" w:lineRule="auto"/>
        <w:rPr>
          <w:rFonts w:ascii="宋体" w:hAnsi="宋体" w:cs="宋体"/>
          <w:szCs w:val="21"/>
        </w:rPr>
      </w:pPr>
      <w:r>
        <w:rPr>
          <w:rFonts w:hint="eastAsia" w:ascii="宋体" w:hAnsi="宋体" w:cs="宋体"/>
          <w:szCs w:val="21"/>
        </w:rPr>
        <w:t xml:space="preserve">5.3投标人根据招标文件的规定和采购项目的实际情况，拟在中标后将中标项目的非主体、非关键性工作分包的，应当在投标文件中载明分包承担主体，分包承担主体应当具备相应资质条件且不得再次分包。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w:t>
      </w:r>
      <w:r>
        <w:rPr>
          <w:rFonts w:hint="eastAsia" w:ascii="宋体" w:hAnsi="宋体" w:cs="宋体"/>
        </w:rPr>
        <w:t xml:space="preserve">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9.2勘察现场（本项目不涉及）：</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w:t>
      </w:r>
      <w:r>
        <w:rPr>
          <w:rFonts w:hint="eastAsia" w:ascii="宋体" w:hAnsi="宋体" w:cs="宋体"/>
          <w:szCs w:val="21"/>
          <w:lang w:val="zh-CN"/>
        </w:rPr>
        <w:t xml:space="preserve">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3"/>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3"/>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w:t>
      </w:r>
      <w:r>
        <w:rPr>
          <w:rFonts w:hint="eastAsia" w:ascii="宋体" w:hAnsi="宋体" w:cs="宋体"/>
          <w:szCs w:val="21"/>
        </w:rPr>
        <w:t xml:space="preserve">4</w:t>
      </w:r>
      <w:r>
        <w:rPr>
          <w:rFonts w:hint="eastAsia" w:ascii="宋体" w:hAnsi="宋体" w:cs="宋体"/>
          <w:szCs w:val="21"/>
          <w:lang w:val="zh-CN"/>
        </w:rPr>
        <w:t xml:space="preserve">年度或202</w:t>
      </w:r>
      <w:r>
        <w:rPr>
          <w:rFonts w:hint="eastAsia" w:ascii="宋体" w:hAnsi="宋体" w:cs="宋体"/>
          <w:szCs w:val="21"/>
        </w:rPr>
        <w:t xml:space="preserve">5</w:t>
      </w:r>
      <w:r>
        <w:rPr>
          <w:rFonts w:hint="eastAsia" w:ascii="宋体" w:hAnsi="宋体" w:cs="宋体"/>
          <w:szCs w:val="21"/>
          <w:lang w:val="zh-CN"/>
        </w:rPr>
        <w:t xml:space="preserve">年度）财务审计报告或最近一期财务报表（</w:t>
      </w:r>
      <w:r>
        <w:rPr>
          <w:rFonts w:hint="eastAsia" w:ascii="宋体" w:hAnsi="宋体" w:cs="宋体"/>
          <w:szCs w:val="21"/>
        </w:rPr>
        <w:t xml:space="preserve">2026年5月至今任意一期）</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12.4.2投标单位</w:t>
      </w:r>
      <w:r>
        <w:rPr>
          <w:rFonts w:hint="eastAsia" w:ascii="宋体" w:hAnsi="宋体"/>
          <w:bCs/>
          <w:szCs w:val="21"/>
        </w:rPr>
        <w:t xml:space="preserve">具有医疗器械经营许可证、辐射安全许可证；提供证明资料；</w:t>
      </w:r>
      <w:r/>
    </w:p>
    <w:p>
      <w:pPr>
        <w:ind w:firstLine="420"/>
        <w:spacing w:line="360" w:lineRule="auto"/>
        <w:rPr>
          <w:rFonts w:ascii="宋体" w:hAnsi="宋体" w:cs="宋体"/>
          <w:szCs w:val="21"/>
        </w:rPr>
      </w:pPr>
      <w:r>
        <w:rPr>
          <w:rFonts w:hint="eastAsia" w:ascii="宋体" w:hAnsi="宋体" w:cs="宋体"/>
          <w:szCs w:val="21"/>
        </w:rPr>
        <w:t xml:space="preserve">12.4.3提供</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lang w:val="zh-CN"/>
        </w:rPr>
        <w:t xml:space="preserve">其它有关资格证明文件（</w:t>
      </w:r>
      <w:r>
        <w:rPr>
          <w:rFonts w:hint="eastAsia" w:ascii="宋体" w:hAnsi="宋体" w:cs="宋体"/>
          <w:szCs w:val="21"/>
        </w:rPr>
        <w:t xml:space="preserve">如有）；</w:t>
      </w:r>
      <w:r/>
    </w:p>
    <w:p>
      <w:pPr>
        <w:pStyle w:val="92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服务条款偏离表；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法定代表人身份证复印件，法人授权委托书（如有授权）及委托代理人身份证复印件（如</w:t>
      </w:r>
      <w:r>
        <w:rPr>
          <w:rFonts w:hint="eastAsia" w:ascii="宋体" w:hAnsi="宋体" w:cs="宋体"/>
          <w:szCs w:val="21"/>
          <w:lang w:val="zh-CN"/>
        </w:rPr>
        <w:t xml:space="preserve">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12.5.8其他</w:t>
      </w:r>
      <w:r>
        <w:rPr>
          <w:rFonts w:hint="eastAsia" w:ascii="宋体" w:hAnsi="宋体" w:eastAsia="宋体" w:cs="宋体"/>
          <w:sz w:val="21"/>
          <w:szCs w:val="24"/>
        </w:rPr>
        <w:t xml:space="preserve">有关符合性证明的文件（如招标文件中要求的相关资料、承诺等）；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6综合评审文件（具体按照系统模块要求提供）</w:t>
      </w:r>
      <w:r/>
    </w:p>
    <w:p>
      <w:pPr>
        <w:ind w:firstLine="420"/>
        <w:spacing w:line="360" w:lineRule="auto"/>
        <w:rPr>
          <w:rFonts w:ascii="宋体" w:hAnsi="宋体" w:cs="宋体"/>
          <w:lang w:val="zh-CN"/>
        </w:rPr>
      </w:pPr>
      <w:r>
        <w:rPr>
          <w:rFonts w:hint="eastAsia" w:ascii="宋体" w:hAnsi="宋体" w:cs="宋体"/>
        </w:rPr>
        <w:t xml:space="preserve">12.6.1针对本项目的服务方案；</w:t>
      </w:r>
      <w:r/>
    </w:p>
    <w:p>
      <w:pPr>
        <w:ind w:firstLine="420"/>
        <w:spacing w:line="360" w:lineRule="auto"/>
        <w:rPr>
          <w:rFonts w:ascii="宋体" w:hAnsi="宋体" w:cs="宋体"/>
        </w:rPr>
      </w:pPr>
      <w:r>
        <w:rPr>
          <w:rFonts w:hint="eastAsia" w:ascii="宋体" w:hAnsi="宋体" w:cs="宋体"/>
        </w:rPr>
        <w:t xml:space="preserve">12.6.2拟投入项目设备配置；</w:t>
      </w:r>
      <w:r/>
    </w:p>
    <w:p>
      <w:pPr>
        <w:ind w:firstLine="420"/>
        <w:spacing w:line="360" w:lineRule="auto"/>
        <w:rPr>
          <w:rFonts w:ascii="宋体" w:hAnsi="宋体" w:cs="宋体"/>
        </w:rPr>
      </w:pPr>
      <w:r>
        <w:rPr>
          <w:rFonts w:hint="eastAsia" w:ascii="宋体" w:hAnsi="宋体" w:cs="宋体"/>
        </w:rPr>
        <w:t xml:space="preserve">12.6.3针对本项目的人员配备表；</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964"/>
        <w:ind w:firstLine="430"/>
        <w:spacing w:line="360" w:lineRule="auto"/>
        <w:rPr>
          <w:rFonts w:ascii="宋体" w:hAnsi="宋体" w:cs="宋体"/>
          <w:b/>
          <w:bCs/>
          <w:szCs w:val="21"/>
          <w:lang w:val="en-US"/>
        </w:rPr>
      </w:pPr>
      <w:r>
        <w:rPr>
          <w:rFonts w:hint="eastAsia" w:ascii="宋体" w:hAnsi="宋体" w:cs="宋体"/>
          <w:b/>
          <w:bCs/>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供应商对其提供的产品出具《关于符合本国产品标准的声明函》（以下简称《声明函》）或财政部会同有关部门规定的有关证明文件（如涉及）。</w:t>
      </w:r>
      <w:r/>
    </w:p>
    <w:p>
      <w:pPr>
        <w:pStyle w:val="964"/>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4"/>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4"/>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4"/>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4"/>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4"/>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4"/>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4"/>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4"/>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4"/>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4"/>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3"/>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4"/>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4"/>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4"/>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4"/>
        <w:ind w:firstLine="420"/>
        <w:spacing w:line="360" w:lineRule="auto"/>
        <w:rPr>
          <w:rFonts w:ascii="宋体" w:hAnsi="宋体" w:cs="宋体"/>
          <w:szCs w:val="21"/>
        </w:rPr>
      </w:pPr>
      <w:r>
        <w:rPr>
          <w:rFonts w:hint="eastAsia" w:ascii="宋体" w:hAnsi="宋体" w:cs="宋体"/>
          <w:szCs w:val="21"/>
        </w:rPr>
        <w:t xml:space="preserve">21.3资格审查</w:t>
      </w:r>
      <w:r/>
    </w:p>
    <w:p>
      <w:pPr>
        <w:pStyle w:val="96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采购人的委托向采购人推荐中标候选单位或根据采购人授权直接确定中标供应商。</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w:t>
      </w:r>
      <w:r>
        <w:rPr>
          <w:rFonts w:hint="eastAsia" w:ascii="宋体" w:hAnsi="宋体" w:cs="宋体"/>
          <w:szCs w:val="21"/>
          <w:lang w:val="zh-CN"/>
        </w:rPr>
        <w:t xml:space="preserve">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3"/>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35.代理服务费</w:t>
      </w:r>
      <w:r/>
    </w:p>
    <w:p>
      <w:pPr>
        <w:ind w:firstLine="420"/>
        <w:spacing w:line="360" w:lineRule="auto"/>
        <w:rPr>
          <w:rFonts w:ascii="宋体" w:hAnsi="宋体" w:cs="宋体"/>
        </w:rPr>
      </w:pPr>
      <w:r>
        <w:rPr>
          <w:rFonts w:hint="eastAsia" w:ascii="宋体" w:hAnsi="宋体" w:cs="宋体"/>
        </w:rPr>
        <w:t xml:space="preserve">35.1由采购人支付。</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3"/>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37"/>
        <w:ind w:firstLine="640"/>
        <w:jc w:val="center"/>
        <w:pageBreakBefore/>
        <w:spacing w:line="360" w:lineRule="auto"/>
        <w:tabs>
          <w:tab w:val="right" w:pos="8302" w:leader="dot"/>
        </w:tabs>
        <w:rPr>
          <w:rStyle w:val="946"/>
          <w:rFonts w:ascii="宋体" w:hAnsi="宋体" w:cs="宋体"/>
          <w:sz w:val="32"/>
          <w:szCs w:val="32"/>
        </w:rPr>
      </w:pPr>
      <w:r>
        <w:rPr>
          <w:rStyle w:val="946"/>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6"/>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3"/>
        <w:spacing w:line="360" w:lineRule="auto"/>
        <w:rPr>
          <w:rFonts w:ascii="宋体" w:hAnsi="宋体" w:eastAsia="宋体" w:cs="宋体"/>
          <w:sz w:val="21"/>
        </w:rPr>
      </w:pPr>
      <w:r>
        <w:rPr>
          <w:rFonts w:ascii="宋体" w:hAnsi="宋体" w:eastAsia="宋体" w:cs="宋体"/>
          <w:sz w:val="21"/>
        </w:rPr>
      </w:r>
      <w:r/>
    </w:p>
    <w:p>
      <w:pPr>
        <w:pStyle w:val="923"/>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2"/>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3"/>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8"/>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号</w:t>
      </w:r>
      <w:r>
        <w:rPr>
          <w:rFonts w:hint="eastAsia" w:hAnsi="宋体" w:eastAsia="宋体" w:cs="宋体"/>
          <w:sz w:val="21"/>
          <w:szCs w:val="21"/>
          <w:lang w:val="zh-CN"/>
        </w:rPr>
        <w:t xml:space="preserve">招标文件，经仔细阅读和研究，我们决定参加投标。</w:t>
      </w:r>
      <w:r/>
    </w:p>
    <w:p>
      <w:pPr>
        <w:pStyle w:val="1008"/>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服务工作，投标总报价包括但不限于设备维修维护费用、耗材费用、实施服务费、人员的工资、福利、食宿、交通、通信以及项目利润、税金以及在服务期内发生的所有费用。</w:t>
      </w:r>
      <w:r/>
    </w:p>
    <w:p>
      <w:pPr>
        <w:pStyle w:val="1008"/>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8"/>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8"/>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8"/>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8"/>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8"/>
        <w:ind w:firstLine="422"/>
        <w:spacing w:line="360" w:lineRule="auto"/>
        <w:rPr>
          <w:rFonts w:hAnsi="宋体" w:eastAsia="宋体" w:cs="宋体"/>
          <w:sz w:val="21"/>
          <w:szCs w:val="21"/>
        </w:rPr>
      </w:pPr>
      <w:r>
        <w:rPr>
          <w:rFonts w:hint="eastAsia" w:hAnsi="宋体" w:eastAsia="宋体" w:cs="宋体"/>
          <w:b/>
          <w:bCs/>
          <w:sz w:val="21"/>
          <w:szCs w:val="21"/>
        </w:rPr>
        <w:t xml:space="preserve">7.我们愿意按照贵公司招标文件的要求提供电子投标文件（中标后提供纸质投标文件），并保证全部投标文件内容真实有效，若有虚假，我公司愿意承担与此相关的一切责任；</w:t>
      </w:r>
      <w:r/>
    </w:p>
    <w:p>
      <w:pPr>
        <w:pStyle w:val="1008"/>
        <w:ind w:firstLine="420"/>
        <w:spacing w:line="360" w:lineRule="auto"/>
        <w:rPr>
          <w:rFonts w:hAnsi="宋体" w:eastAsia="宋体" w:cs="宋体"/>
          <w:sz w:val="21"/>
        </w:rPr>
      </w:pPr>
      <w:r>
        <w:rPr>
          <w:rFonts w:hint="eastAsia" w:hAnsi="宋体" w:eastAsia="宋体" w:cs="宋体"/>
          <w:sz w:val="21"/>
          <w:szCs w:val="21"/>
        </w:rPr>
        <w:t xml:space="preserve">8.我们愿意按照《中华人民共和国民法典》履行自己应该承担的全部责任。</w:t>
      </w:r>
      <w:r/>
    </w:p>
    <w:p>
      <w:pPr>
        <w:pStyle w:val="1008"/>
        <w:ind w:firstLine="420"/>
        <w:spacing w:line="360" w:lineRule="auto"/>
        <w:rPr>
          <w:rFonts w:hAnsi="宋体" w:eastAsia="宋体" w:cs="宋体"/>
          <w:sz w:val="21"/>
        </w:rPr>
      </w:pPr>
      <w:r>
        <w:rPr>
          <w:rFonts w:hint="eastAsia" w:hAnsi="宋体" w:eastAsia="宋体" w:cs="宋体"/>
          <w:sz w:val="21"/>
        </w:rPr>
        <w:t xml:space="preserve">9.综合说明：</w:t>
      </w:r>
      <w:r/>
    </w:p>
    <w:p>
      <w:pPr>
        <w:pStyle w:val="1008"/>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8"/>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8"/>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8"/>
        <w:ind w:firstLine="420"/>
        <w:spacing w:line="360" w:lineRule="auto"/>
        <w:rPr>
          <w:rFonts w:hAnsi="宋体" w:eastAsia="宋体" w:cs="宋体"/>
          <w:sz w:val="21"/>
        </w:rPr>
      </w:pPr>
      <w:r>
        <w:rPr>
          <w:rFonts w:hint="eastAsia" w:hAnsi="宋体" w:eastAsia="宋体" w:cs="宋体"/>
          <w:sz w:val="21"/>
        </w:rPr>
        <w:t xml:space="preserve">（4）其它说明。</w:t>
      </w:r>
      <w:r/>
    </w:p>
    <w:p>
      <w:pPr>
        <w:pStyle w:val="1008"/>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8"/>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8"/>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8"/>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8"/>
        <w:ind w:firstLine="420"/>
        <w:spacing w:line="360" w:lineRule="auto"/>
        <w:rPr>
          <w:rFonts w:hAnsi="宋体" w:eastAsia="宋体" w:cs="宋体"/>
          <w:sz w:val="21"/>
        </w:rPr>
      </w:pPr>
      <w:r>
        <w:rPr>
          <w:rFonts w:hint="eastAsia" w:hAnsi="宋体" w:eastAsia="宋体" w:cs="宋体"/>
          <w:sz w:val="21"/>
        </w:rPr>
        <w:t xml:space="preserve">邮箱地址：</w:t>
      </w:r>
      <w:r/>
    </w:p>
    <w:p>
      <w:pPr>
        <w:pStyle w:val="1008"/>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8"/>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03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49"/>
        <w:gridCol w:w="2436"/>
        <w:gridCol w:w="2835"/>
        <w:gridCol w:w="2410"/>
        <w:gridCol w:w="7"/>
      </w:tblGrid>
      <w:tr>
        <w:trPr>
          <w:gridAfter w:val="1"/>
          <w:trHeight w:val="607"/>
        </w:trPr>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投标总价（元）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gridAfter w:val="1"/>
          <w:trHeight w:val="501"/>
        </w:trPr>
        <w:tc>
          <w:tcPr>
            <w:tcBorders>
              <w:top w:val="single" w:color="auto" w:sz="4" w:space="0"/>
              <w:left w:val="single" w:color="auto" w:sz="4" w:space="0"/>
              <w:right w:val="single" w:color="auto" w:sz="4" w:space="0"/>
            </w:tcBorders>
            <w:tcW w:w="1349" w:type="dxa"/>
            <w:vAlign w:val="center"/>
            <w:textDirection w:val="lrTb"/>
            <w:noWrap w:val="false"/>
          </w:tcPr>
          <w:p>
            <w:pPr>
              <w:ind w:right="-107"/>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right w:val="single" w:color="auto" w:sz="4" w:space="0"/>
            </w:tcBorders>
            <w:tcW w:w="243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ascii="宋体" w:hAnsi="宋体"/>
              </w:rPr>
              <w:t xml:space="preserve">服务期限</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rFonts w:ascii="宋体" w:hAnsi="宋体"/>
              </w:rPr>
            </w:pPr>
            <w:r>
              <w:rPr>
                <w:rFonts w:hint="eastAsia" w:ascii="宋体" w:hAnsi="宋体"/>
              </w:rPr>
              <w:t xml:space="preserve">2年</w:t>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rPr>
              <w:t xml:space="preserve">投标单位</w:t>
            </w:r>
            <w:r>
              <w:rPr>
                <w:lang w:val="zh-CN"/>
              </w:rPr>
              <w:t xml:space="preserve">是否为小</w:t>
            </w:r>
            <w:r>
              <w:rPr>
                <w:rFonts w:hint="eastAsia"/>
                <w:lang w:val="zh-CN"/>
              </w:rPr>
              <w:t xml:space="preserve">、</w:t>
            </w:r>
            <w:r>
              <w:rPr>
                <w:lang w:val="zh-CN"/>
              </w:rPr>
              <w:t xml:space="preserve">微企业</w:t>
            </w:r>
            <w:r>
              <w:rPr>
                <w:rFonts w:hint="eastAsia"/>
                <w:lang w:val="zh-CN"/>
              </w:rPr>
              <w:t xml:space="preserve">、</w:t>
            </w:r>
            <w:r>
              <w:rPr>
                <w:rFonts w:hint="eastAsia" w:ascii="宋体" w:hAnsi="宋体"/>
                <w:spacing w:val="6"/>
                <w:szCs w:val="21"/>
              </w:rPr>
              <w:t xml:space="preserve">残疾人福利性单位、监狱企业</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lang w:val="zh-CN"/>
              </w:rPr>
            </w:pPr>
            <w:r>
              <w:rPr>
                <w:rFonts w:hint="eastAsia"/>
              </w:rPr>
              <w:t xml:space="preserve">□</w:t>
            </w:r>
            <w:r>
              <w:rPr>
                <w:lang w:val="zh-CN"/>
              </w:rPr>
              <w:t xml:space="preserve">小企业</w:t>
            </w:r>
            <w:r>
              <w:rPr>
                <w:rFonts w:hint="eastAsia"/>
              </w:rPr>
              <w:t xml:space="preserve">   </w:t>
            </w:r>
            <w:r>
              <w:rPr>
                <w:rFonts w:hint="eastAsia"/>
              </w:rPr>
              <w:t xml:space="preserve">□</w:t>
            </w:r>
            <w:r>
              <w:rPr>
                <w:lang w:val="zh-CN"/>
              </w:rPr>
              <w:t xml:space="preserve">微企业</w:t>
            </w:r>
            <w:r/>
          </w:p>
          <w:p>
            <w:pPr>
              <w:jc w:val="left"/>
              <w:spacing w:line="360" w:lineRule="auto"/>
              <w:rPr>
                <w:rFonts w:ascii="宋体" w:hAnsi="宋体"/>
              </w:rPr>
            </w:pPr>
            <w:r>
              <w:rPr>
                <w:rFonts w:hint="eastAsia"/>
              </w:rPr>
              <w:t xml:space="preserve">□</w:t>
            </w:r>
            <w:r>
              <w:rPr>
                <w:rFonts w:hint="eastAsia" w:ascii="宋体" w:hAnsi="宋体"/>
                <w:spacing w:val="6"/>
                <w:szCs w:val="21"/>
              </w:rPr>
              <w:t xml:space="preserve">残疾人福利性单位</w:t>
            </w:r>
            <w:r>
              <w:rPr>
                <w:rFonts w:hint="eastAsia"/>
              </w:rPr>
              <w:t xml:space="preserve">□</w:t>
            </w:r>
            <w:r>
              <w:rPr>
                <w:rFonts w:hint="eastAsia" w:ascii="宋体" w:hAnsi="宋体"/>
                <w:spacing w:val="6"/>
                <w:szCs w:val="21"/>
              </w:rPr>
              <w:t xml:space="preserve">监狱企业</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2"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005"/>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005"/>
              <w:spacing w:line="360" w:lineRule="auto"/>
              <w:rPr>
                <w:rFonts w:hAnsi="宋体" w:eastAsia="宋体"/>
                <w:sz w:val="21"/>
                <w:szCs w:val="21"/>
              </w:rPr>
            </w:pPr>
            <w:r>
              <w:rPr>
                <w:rFonts w:hint="eastAsia" w:hAnsi="宋体" w:eastAsia="宋体"/>
                <w:sz w:val="21"/>
                <w:szCs w:val="21"/>
              </w:rPr>
              <w:t xml:space="preserve">投标合计金额（人民币大写）：￥：</w:t>
            </w:r>
            <w:r/>
          </w:p>
        </w:tc>
      </w:tr>
    </w:tbl>
    <w:p>
      <w:pPr>
        <w:pStyle w:val="1005"/>
        <w:ind w:firstLine="420"/>
        <w:spacing w:line="360" w:lineRule="auto"/>
        <w:rPr>
          <w:rFonts w:hAnsi="宋体" w:eastAsia="宋体"/>
          <w:sz w:val="21"/>
        </w:rPr>
      </w:pPr>
      <w:r>
        <w:rPr>
          <w:rFonts w:hint="eastAsia" w:hAnsi="宋体" w:eastAsia="宋体" w:cs="宋体"/>
          <w:sz w:val="21"/>
          <w:szCs w:val="21"/>
        </w:rPr>
        <w:t xml:space="preserve">注：1、本表“合计金额”应与开标一览表中 “投标总价”一致，否则以开标一览表为准。</w:t>
      </w:r>
      <w:r/>
    </w:p>
    <w:p>
      <w:pPr>
        <w:pStyle w:val="1005"/>
        <w:ind w:firstLine="420"/>
        <w:spacing w:line="360" w:lineRule="auto"/>
        <w:rPr>
          <w:rFonts w:hAnsi="宋体" w:eastAsia="宋体"/>
          <w:sz w:val="21"/>
        </w:rPr>
      </w:pPr>
      <w:r>
        <w:rPr>
          <w:rFonts w:hAnsi="宋体" w:eastAsia="宋体"/>
          <w:sz w:val="21"/>
        </w:rPr>
      </w:r>
      <w:r/>
    </w:p>
    <w:p>
      <w:pPr>
        <w:pStyle w:val="1005"/>
        <w:ind w:firstLine="420"/>
        <w:spacing w:line="360" w:lineRule="auto"/>
        <w:rPr>
          <w:rFonts w:hAnsi="宋体" w:eastAsia="宋体"/>
          <w:sz w:val="21"/>
        </w:rPr>
      </w:pPr>
      <w:r>
        <w:rPr>
          <w:rFonts w:hAnsi="宋体" w:eastAsia="宋体"/>
          <w:sz w:val="21"/>
        </w:rPr>
      </w:r>
      <w:r/>
    </w:p>
    <w:p>
      <w:pPr>
        <w:pStyle w:val="1005"/>
        <w:ind w:firstLine="420"/>
        <w:spacing w:line="360" w:lineRule="auto"/>
        <w:rPr>
          <w:rFonts w:hAnsi="宋体" w:eastAsia="宋体"/>
          <w:sz w:val="21"/>
        </w:rPr>
      </w:pPr>
      <w:r>
        <w:rPr>
          <w:rFonts w:hAnsi="宋体" w:eastAsia="宋体"/>
          <w:sz w:val="21"/>
        </w:rPr>
      </w:r>
      <w:r/>
    </w:p>
    <w:p>
      <w:pPr>
        <w:pStyle w:val="1005"/>
        <w:ind w:firstLine="420"/>
        <w:spacing w:line="360" w:lineRule="auto"/>
        <w:rPr>
          <w:rFonts w:hAnsi="宋体" w:eastAsia="宋体"/>
          <w:sz w:val="21"/>
        </w:rPr>
      </w:pPr>
      <w:r>
        <w:rPr>
          <w:rFonts w:hint="eastAsia" w:hAnsi="宋体" w:eastAsia="宋体"/>
          <w:sz w:val="21"/>
        </w:rPr>
        <w:t xml:space="preserve">投标单位（签章）：</w:t>
      </w:r>
      <w:r/>
    </w:p>
    <w:p>
      <w:pPr>
        <w:pStyle w:val="1005"/>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1"/>
        <w:ind w:firstLine="402"/>
        <w:rPr>
          <w:rFonts w:hAnsi="宋体"/>
          <w:b/>
          <w:bCs/>
          <w:szCs w:val="21"/>
          <w:lang w:val="zh-CN"/>
        </w:rPr>
      </w:pPr>
      <w:r>
        <w:rPr>
          <w:rFonts w:hAnsi="宋体"/>
          <w:b/>
          <w:bCs/>
          <w:szCs w:val="21"/>
          <w:lang w:val="zh-CN"/>
        </w:rPr>
      </w:r>
      <w:bookmarkEnd w:id="42"/>
      <w:r/>
      <w:r/>
    </w:p>
    <w:p>
      <w:pPr>
        <w:pageBreakBefore/>
        <w:spacing w:line="360" w:lineRule="auto"/>
        <w:rPr>
          <w:rFonts w:ascii="宋体" w:hAnsi="宋体" w:cs="宋体"/>
          <w:b/>
          <w:bCs/>
          <w:szCs w:val="21"/>
        </w:rPr>
      </w:pPr>
      <w:r>
        <w:rPr>
          <w:rFonts w:hint="eastAsia" w:ascii="宋体" w:hAnsi="宋体" w:cs="宋体"/>
          <w:b/>
          <w:bCs/>
          <w:szCs w:val="21"/>
        </w:rPr>
        <w:t xml:space="preserve">格式5、</w:t>
      </w:r>
      <w:bookmarkStart w:id="43" w:name="_Toc532444344"/>
      <w:r/>
      <w:bookmarkStart w:id="44" w:name="_Toc532444506"/>
      <w:r/>
      <w:bookmarkStart w:id="45" w:name="_Toc2583142"/>
      <w:r/>
      <w:bookmarkStart w:id="46" w:name="_Toc518926909"/>
      <w:r/>
      <w:bookmarkStart w:id="47" w:name="_Toc532452113"/>
      <w:r/>
      <w:bookmarkStart w:id="48" w:name="_Toc7888"/>
      <w:r>
        <w:rPr>
          <w:rFonts w:hint="eastAsia" w:ascii="宋体" w:hAnsi="宋体" w:cs="宋体"/>
          <w:b/>
          <w:bCs/>
          <w:szCs w:val="21"/>
        </w:rPr>
        <w:t xml:space="preserve">服务偏离表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服务偏离表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3"/>
      <w:r/>
      <w:bookmarkEnd w:id="44"/>
      <w:r/>
      <w:bookmarkEnd w:id="45"/>
      <w:r/>
      <w:bookmarkEnd w:id="46"/>
      <w:r/>
      <w:bookmarkEnd w:id="47"/>
      <w:r/>
      <w:bookmarkEnd w:id="48"/>
      <w:r/>
      <w:r/>
    </w:p>
    <w:p>
      <w:pPr>
        <w:pageBreakBefore/>
        <w:spacing w:line="360" w:lineRule="auto"/>
        <w:rPr>
          <w:rFonts w:ascii="宋体" w:hAnsi="宋体" w:cs="宋体"/>
          <w:b/>
          <w:bCs/>
          <w:szCs w:val="21"/>
        </w:rPr>
      </w:pPr>
      <w:r>
        <w:rPr>
          <w:rFonts w:hint="eastAsia" w:ascii="宋体" w:hAnsi="宋体" w:cs="宋体"/>
          <w:b/>
          <w:bCs/>
          <w:szCs w:val="21"/>
        </w:rPr>
        <w:t xml:space="preserve">格式6、</w:t>
      </w:r>
      <w:bookmarkStart w:id="49" w:name="_Toc2583149"/>
      <w:r/>
      <w:bookmarkStart w:id="50" w:name="_Toc532452121"/>
      <w:r/>
      <w:bookmarkStart w:id="51" w:name="_Toc532444352"/>
      <w:r/>
      <w:bookmarkStart w:id="52" w:name="_Toc532444514"/>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格式7、针对本项目的人员配置表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项目编号：         号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03"/>
        <w:gridCol w:w="1017"/>
        <w:gridCol w:w="1059"/>
        <w:gridCol w:w="677"/>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格式8、</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3"/>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格式9、关于资格文件的声明函</w:t>
      </w:r>
      <w:r/>
    </w:p>
    <w:p>
      <w:pPr>
        <w:pStyle w:val="923"/>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3"/>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3"/>
        <w:jc w:val="center"/>
        <w:spacing w:line="360" w:lineRule="auto"/>
        <w:rPr>
          <w:rFonts w:ascii="宋体" w:hAnsi="宋体" w:eastAsia="宋体" w:cs="宋体"/>
          <w:sz w:val="21"/>
        </w:rPr>
      </w:pPr>
      <w:r>
        <w:rPr>
          <w:rFonts w:ascii="宋体" w:hAnsi="宋体" w:eastAsia="宋体" w:cs="宋体"/>
          <w:sz w:val="21"/>
        </w:rPr>
      </w:r>
      <w:r/>
    </w:p>
    <w:p>
      <w:pPr>
        <w:pStyle w:val="923"/>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23"/>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3"/>
        <w:spacing w:line="360" w:lineRule="auto"/>
        <w:rPr>
          <w:rFonts w:ascii="宋体" w:hAnsi="宋体" w:eastAsia="宋体" w:cs="宋体"/>
          <w:sz w:val="21"/>
        </w:rPr>
      </w:pPr>
      <w:r>
        <w:rPr>
          <w:rFonts w:ascii="宋体" w:hAnsi="宋体" w:eastAsia="宋体" w:cs="宋体"/>
          <w:sz w:val="21"/>
        </w:rPr>
      </w:r>
      <w:r/>
    </w:p>
    <w:p>
      <w:pPr>
        <w:pStyle w:val="923"/>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格式10、投标单位情况表</w:t>
      </w:r>
      <w:r/>
    </w:p>
    <w:p>
      <w:pPr>
        <w:pStyle w:val="923"/>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3"/>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3"/>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3"/>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格式11、投标（响应）保证承诺书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格式12、声明函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40"/>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40"/>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40"/>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40"/>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0"/>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40"/>
        <w:ind w:firstLine="420"/>
        <w:keepLines w:val="0"/>
        <w:keepNext w:val="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0"/>
        <w:ind w:firstLine="422"/>
        <w:keepLines w:val="0"/>
        <w:keepNext w:val="0"/>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5"/>
        <w:ind w:firstLine="42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ind w:firstLine="422"/>
        <w:spacing w:line="360" w:lineRule="auto"/>
        <w:rPr>
          <w:rFonts w:ascii="宋体" w:hAnsi="宋体"/>
          <w:b/>
        </w:rPr>
      </w:pPr>
      <w:r>
        <w:rPr>
          <w:rFonts w:hint="eastAsia" w:ascii="宋体" w:hAnsi="宋体"/>
          <w:b/>
        </w:rPr>
        <w:t xml:space="preserve">6.附：中小企业划型标准规定</w:t>
      </w:r>
      <w:r/>
    </w:p>
    <w:p>
      <w:pPr>
        <w:ind w:firstLine="422"/>
        <w:spacing w:line="360" w:lineRule="auto"/>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w:t>
      </w:r>
      <w:r>
        <w:rPr>
          <w:rFonts w:hint="eastAsia" w:ascii="宋体" w:hAnsi="宋体"/>
        </w:rPr>
        <w:t xml:space="preserve">元及以上的为中型企业，营业收入50万元及以上的为小型企业，营业收入50万元以下的为微型企业。</w:t>
      </w:r>
      <w:r/>
    </w:p>
    <w:p>
      <w:pPr>
        <w:ind w:firstLine="422"/>
        <w:spacing w:line="360" w:lineRule="auto"/>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5"/>
        <w:ind w:firstLine="422"/>
        <w:spacing w:line="360" w:lineRule="auto"/>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956"/>
        <w:rPr>
          <w:rFonts w:ascii="宋体" w:hAnsi="宋体" w:cs="宋体"/>
          <w:spacing w:val="6"/>
          <w:szCs w:val="21"/>
        </w:rPr>
      </w:pPr>
      <w:r>
        <w:rPr>
          <w:rFonts w:ascii="宋体" w:hAnsi="宋体" w:cs="宋体"/>
          <w:spacing w:val="6"/>
          <w:szCs w:val="21"/>
        </w:rPr>
      </w:r>
      <w:r/>
    </w:p>
    <w:p>
      <w:pPr>
        <w:pStyle w:val="957"/>
        <w:rPr>
          <w:rFonts w:ascii="宋体" w:hAnsi="宋体" w:cs="宋体"/>
          <w:spacing w:val="6"/>
          <w:szCs w:val="21"/>
        </w:rPr>
      </w:pPr>
      <w:r>
        <w:rPr>
          <w:rFonts w:ascii="宋体" w:hAnsi="宋体" w:cs="宋体"/>
          <w:spacing w:val="6"/>
          <w:szCs w:val="21"/>
        </w:rPr>
      </w:r>
      <w:r/>
    </w:p>
    <w:p>
      <w:pPr>
        <w:pStyle w:val="958"/>
        <w:rPr>
          <w:rFonts w:ascii="宋体" w:hAnsi="宋体" w:cs="宋体"/>
          <w:spacing w:val="6"/>
          <w:szCs w:val="21"/>
        </w:rPr>
      </w:pPr>
      <w:r>
        <w:rPr>
          <w:rFonts w:ascii="宋体" w:hAnsi="宋体" w:cs="宋体"/>
          <w:spacing w:val="6"/>
          <w:szCs w:val="21"/>
        </w:rPr>
      </w:r>
      <w:r/>
    </w:p>
    <w:p>
      <w:pPr>
        <w:pStyle w:val="957"/>
        <w:rPr>
          <w:rFonts w:ascii="宋体" w:hAnsi="宋体" w:cs="宋体"/>
          <w:spacing w:val="6"/>
          <w:szCs w:val="21"/>
        </w:rPr>
      </w:pPr>
      <w:r>
        <w:rPr>
          <w:rFonts w:ascii="宋体" w:hAnsi="宋体" w:cs="宋体"/>
          <w:spacing w:val="6"/>
          <w:szCs w:val="21"/>
        </w:rPr>
      </w:r>
      <w:r/>
    </w:p>
    <w:p>
      <w:pPr>
        <w:pStyle w:val="958"/>
        <w:rPr>
          <w:rFonts w:ascii="宋体" w:hAnsi="宋体" w:cs="宋体"/>
          <w:spacing w:val="6"/>
          <w:szCs w:val="21"/>
        </w:rPr>
      </w:pPr>
      <w:r>
        <w:rPr>
          <w:rFonts w:ascii="宋体" w:hAnsi="宋体" w:cs="宋体"/>
          <w:spacing w:val="6"/>
          <w:szCs w:val="21"/>
        </w:rPr>
      </w:r>
      <w:r/>
    </w:p>
    <w:p>
      <w:pPr>
        <w:pStyle w:val="957"/>
        <w:rPr>
          <w:rFonts w:ascii="宋体" w:hAnsi="宋体" w:cs="宋体"/>
          <w:spacing w:val="6"/>
          <w:szCs w:val="21"/>
        </w:rPr>
      </w:pPr>
      <w:r>
        <w:rPr>
          <w:rFonts w:ascii="宋体" w:hAnsi="宋体" w:cs="宋体"/>
          <w:spacing w:val="6"/>
          <w:szCs w:val="21"/>
        </w:rPr>
      </w:r>
      <w:r/>
    </w:p>
    <w:p>
      <w:pPr>
        <w:pStyle w:val="958"/>
        <w:rPr>
          <w:rFonts w:ascii="宋体" w:hAnsi="宋体" w:cs="宋体"/>
          <w:spacing w:val="6"/>
          <w:szCs w:val="21"/>
        </w:rPr>
      </w:pPr>
      <w:r>
        <w:rPr>
          <w:rFonts w:ascii="宋体" w:hAnsi="宋体" w:cs="宋体"/>
          <w:spacing w:val="6"/>
          <w:szCs w:val="21"/>
        </w:rPr>
      </w:r>
      <w:r/>
    </w:p>
    <w:p>
      <w:pPr>
        <w:pStyle w:val="957"/>
        <w:rPr>
          <w:rFonts w:ascii="宋体" w:hAnsi="宋体" w:cs="宋体"/>
          <w:spacing w:val="6"/>
          <w:szCs w:val="21"/>
        </w:rPr>
      </w:pPr>
      <w:r>
        <w:rPr>
          <w:rFonts w:ascii="宋体" w:hAnsi="宋体" w:cs="宋体"/>
          <w:spacing w:val="6"/>
          <w:szCs w:val="21"/>
        </w:rPr>
      </w:r>
      <w:r/>
    </w:p>
    <w:p>
      <w:pPr>
        <w:pStyle w:val="958"/>
        <w:rPr>
          <w:rFonts w:ascii="宋体" w:hAnsi="宋体" w:cs="宋体"/>
          <w:spacing w:val="6"/>
          <w:szCs w:val="21"/>
        </w:rPr>
      </w:pPr>
      <w:r>
        <w:rPr>
          <w:rFonts w:ascii="宋体" w:hAnsi="宋体" w:cs="宋体"/>
          <w:spacing w:val="6"/>
          <w:szCs w:val="21"/>
        </w:rPr>
      </w:r>
      <w:r/>
    </w:p>
    <w:p>
      <w:pPr>
        <w:pStyle w:val="957"/>
        <w:ind w:firstLine="0"/>
        <w:rPr>
          <w:rFonts w:ascii="宋体" w:hAnsi="宋体" w:cs="宋体"/>
          <w:spacing w:val="6"/>
          <w:szCs w:val="21"/>
        </w:rPr>
      </w:pPr>
      <w:r>
        <w:rPr>
          <w:rFonts w:ascii="宋体" w:hAnsi="宋体" w:cs="宋体"/>
          <w:spacing w:val="6"/>
          <w:szCs w:val="21"/>
        </w:rPr>
      </w:r>
      <w:r/>
    </w:p>
    <w:p>
      <w:pPr>
        <w:jc w:val="left"/>
        <w:rPr>
          <w:rFonts w:hAnsi="宋体" w:cs="宋体"/>
          <w:b/>
          <w:szCs w:val="21"/>
        </w:rPr>
      </w:pPr>
      <w:r>
        <w:rPr>
          <w:rFonts w:hAnsi="宋体" w:cs="宋体"/>
          <w:b/>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13</w:t>
      </w:r>
      <w:r>
        <w:rPr>
          <w:rFonts w:hint="eastAsia" w:hAnsi="宋体" w:cs="宋体"/>
          <w:b/>
          <w:szCs w:val="21"/>
        </w:rPr>
        <w:t xml:space="preserve">：</w:t>
      </w:r>
      <w:r>
        <w:rPr>
          <w:rFonts w:hint="eastAsia" w:ascii="宋体" w:hAnsi="宋体" w:cs="宋体"/>
          <w:b/>
          <w:szCs w:val="21"/>
        </w:rPr>
        <w:t xml:space="preserve">关于符合本国产品标准的声明函（招标编号：JSZC-320585-CJZB-G2026-0089）</w:t>
      </w:r>
      <w:r/>
    </w:p>
    <w:p>
      <w:pPr>
        <w:pStyle w:val="942"/>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2"/>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2"/>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2"/>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2"/>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49"/>
          <w:rFonts w:hint="eastAsia" w:ascii="宋体" w:hAnsi="宋体" w:cs="宋体"/>
          <w:i w:val="0"/>
          <w:sz w:val="21"/>
          <w:szCs w:val="21"/>
          <w:u w:val="single"/>
          <w:shd w:val="clear" w:color="auto" w:fill="ffffff"/>
        </w:rPr>
        <w:t xml:space="preserve">（产品名称1）</w:t>
      </w:r>
      <w:r>
        <w:rPr>
          <w:rStyle w:val="949"/>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49"/>
          <w:rFonts w:hint="eastAsia" w:ascii="宋体" w:hAnsi="宋体" w:cs="宋体"/>
          <w:i w:val="0"/>
          <w:sz w:val="21"/>
          <w:szCs w:val="21"/>
          <w:u w:val="single"/>
          <w:shd w:val="clear" w:color="auto" w:fill="ffffff"/>
        </w:rPr>
        <w:t xml:space="preserve">（厂名）</w:t>
      </w:r>
      <w:r>
        <w:rPr>
          <w:rStyle w:val="949"/>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49"/>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49"/>
          <w:rFonts w:hint="eastAsia" w:ascii="宋体" w:hAnsi="宋体" w:cs="宋体"/>
          <w:i w:val="0"/>
          <w:sz w:val="21"/>
          <w:szCs w:val="21"/>
          <w:u w:val="single"/>
          <w:shd w:val="clear" w:color="auto" w:fill="ffffff"/>
        </w:rPr>
        <w:t xml:space="preserve">（规定比例）</w:t>
      </w:r>
      <w:r>
        <w:rPr>
          <w:rStyle w:val="949"/>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49"/>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z w:val="21"/>
          <w:szCs w:val="21"/>
          <w:u w:val="single"/>
          <w:shd w:val="clear" w:color="auto" w:fill="ffffff"/>
        </w:rPr>
        <w:t xml:space="preserve">（关键组件）</w:t>
      </w:r>
      <w:r>
        <w:rPr>
          <w:rStyle w:val="949"/>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49"/>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z w:val="21"/>
          <w:szCs w:val="21"/>
          <w:u w:val="single"/>
          <w:shd w:val="clear" w:color="auto" w:fill="ffffff"/>
        </w:rPr>
        <w:t xml:space="preserve">（关键工序）</w:t>
      </w:r>
      <w:r>
        <w:rPr>
          <w:rStyle w:val="949"/>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2"/>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49"/>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49"/>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49"/>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49"/>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49"/>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49"/>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49"/>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2"/>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42"/>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2"/>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2"/>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2"/>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2"/>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958"/>
        <w:ind w:left="0" w:firstLine="0"/>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cs="宋体"/>
          <w:szCs w:val="21"/>
          <w:shd w:val="clear" w:color="auto" w:fill="ffffff"/>
        </w:rPr>
        <w:t xml:space="preserve">6.</w:t>
      </w:r>
      <w:r>
        <w:rPr>
          <w:rFonts w:hint="eastAsia" w:hAnsi="宋体" w:cs="宋体"/>
          <w:szCs w:val="21"/>
          <w:shd w:val="clear" w:color="auto" w:fill="ffffff"/>
        </w:rPr>
        <w:t xml:space="preserve">用斜线划除的地方无需填写。</w:t>
      </w:r>
      <w:bookmarkEnd w:id="49"/>
      <w:r/>
      <w:bookmarkEnd w:id="50"/>
      <w:r/>
      <w:bookmarkEnd w:id="51"/>
      <w:r/>
      <w:bookmarkEnd w:id="52"/>
      <w:r/>
      <w:r/>
    </w:p>
    <w:p>
      <w:pPr>
        <w:pStyle w:val="937"/>
        <w:ind w:firstLine="640"/>
        <w:jc w:val="center"/>
        <w:pageBreakBefore/>
        <w:spacing w:line="360" w:lineRule="auto"/>
        <w:tabs>
          <w:tab w:val="right" w:pos="8302" w:leader="dot"/>
        </w:tabs>
        <w:rPr>
          <w:rStyle w:val="946"/>
          <w:rFonts w:ascii="宋体" w:hAnsi="宋体" w:cs="宋体"/>
          <w:sz w:val="32"/>
          <w:szCs w:val="32"/>
        </w:rPr>
      </w:pPr>
      <w:r>
        <w:rPr>
          <w:rStyle w:val="946"/>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3" w:name="XTDLJG_1"/>
      <w:r>
        <w:rPr>
          <w:rFonts w:hint="eastAsia" w:ascii="宋体" w:hAnsi="宋体" w:cs="宋体"/>
          <w:szCs w:val="21"/>
          <w:lang w:val="zh-CN"/>
        </w:rPr>
        <w:t xml:space="preserve">受</w:t>
      </w:r>
      <w:r>
        <w:rPr>
          <w:rFonts w:hint="eastAsia" w:ascii="宋体" w:hAnsi="宋体" w:cs="宋体"/>
          <w:bCs/>
          <w:szCs w:val="21"/>
        </w:rPr>
        <w:t xml:space="preserve">太仓市中医医院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医疗设备整体维保服务</w:t>
      </w:r>
      <w:r>
        <w:rPr>
          <w:rFonts w:hint="eastAsia" w:ascii="宋体" w:hAnsi="宋体" w:cs="宋体"/>
          <w:szCs w:val="21"/>
          <w:lang w:val="zh-CN"/>
        </w:rPr>
        <w:t xml:space="preserve">的政府采购进行国内公开招标。</w:t>
      </w:r>
      <w:r/>
    </w:p>
    <w:p>
      <w:pPr>
        <w:pStyle w:val="916"/>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JSZC-320585-CJZB-G2026-0089号</w:t>
      </w:r>
      <w:r/>
    </w:p>
    <w:p>
      <w:pPr>
        <w:jc w:val="left"/>
        <w:spacing w:line="360" w:lineRule="auto"/>
        <w:rPr>
          <w:rFonts w:ascii="宋体" w:hAnsi="宋体" w:cs="宋体"/>
          <w:lang w:val="zh-CN"/>
        </w:rPr>
      </w:pPr>
      <w:r>
        <w:rPr>
          <w:rFonts w:hint="eastAsia" w:ascii="宋体" w:hAnsi="宋体" w:cs="宋体"/>
          <w:b/>
          <w:bCs/>
        </w:rPr>
        <w:t xml:space="preserve">二、</w:t>
      </w:r>
      <w:r>
        <w:rPr>
          <w:rFonts w:hint="eastAsia" w:ascii="宋体" w:hAnsi="宋体" w:cs="宋体"/>
          <w:b/>
          <w:bCs/>
          <w:lang w:val="zh-CN"/>
        </w:rPr>
        <w:t xml:space="preserve">项目名称：</w:t>
      </w:r>
      <w:r>
        <w:rPr>
          <w:rFonts w:hint="eastAsia" w:ascii="宋体" w:hAnsi="宋体" w:cs="宋体"/>
          <w:lang w:val="zh-CN"/>
        </w:rPr>
        <w:t xml:space="preserve">医疗设备整体维保服务</w:t>
      </w:r>
      <w:r/>
    </w:p>
    <w:p>
      <w:pPr>
        <w:jc w:val="left"/>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人民币肆佰陆拾万元整（￥4600000.00）</w:t>
      </w:r>
      <w:r/>
    </w:p>
    <w:p>
      <w:pPr>
        <w:ind w:firstLine="422"/>
        <w:jc w:val="left"/>
        <w:spacing w:line="360" w:lineRule="auto"/>
        <w:rPr>
          <w:rFonts w:ascii="宋体" w:hAnsi="宋体" w:cs="宋体"/>
        </w:rPr>
      </w:pPr>
      <w:r>
        <w:rPr>
          <w:rFonts w:hint="eastAsia" w:ascii="宋体" w:hAnsi="宋体" w:cs="宋体"/>
          <w:b/>
          <w:bCs/>
        </w:rPr>
        <w:t xml:space="preserve">最高限价：</w:t>
      </w:r>
      <w:r>
        <w:rPr>
          <w:rFonts w:hint="eastAsia" w:ascii="宋体" w:hAnsi="宋体" w:cs="宋体"/>
        </w:rPr>
        <w:t xml:space="preserve">人民币肆佰伍拾肆万贰仟陆佰元整（￥4542600.00</w:t>
      </w:r>
      <w:r>
        <w:rPr>
          <w:rFonts w:hint="eastAsia" w:ascii="宋体" w:hAnsi="宋体" w:cs="宋体"/>
          <w:lang w:val="zh-CN"/>
        </w:rPr>
        <w:t xml:space="preserve">）</w:t>
      </w:r>
      <w:r/>
    </w:p>
    <w:p>
      <w:pPr>
        <w:spacing w:line="360" w:lineRule="auto"/>
        <w:rPr>
          <w:rFonts w:ascii="宋体" w:hAnsi="宋体"/>
          <w:b/>
          <w:bCs/>
          <w:szCs w:val="21"/>
        </w:rPr>
      </w:pPr>
      <w:r>
        <w:rPr>
          <w:rFonts w:hint="eastAsia" w:ascii="宋体" w:hAnsi="宋体"/>
          <w:b/>
          <w:bCs/>
          <w:szCs w:val="21"/>
        </w:rPr>
        <w:t xml:space="preserve">四、招标要求：</w:t>
      </w:r>
      <w:r/>
    </w:p>
    <w:p>
      <w:pPr>
        <w:spacing w:line="360" w:lineRule="auto"/>
        <w:rPr>
          <w:rFonts w:ascii="宋体" w:hAnsi="宋体"/>
          <w:b/>
          <w:bCs/>
          <w:szCs w:val="21"/>
        </w:rPr>
      </w:pPr>
      <w:r>
        <w:rPr>
          <w:rFonts w:hint="eastAsia" w:ascii="宋体" w:hAnsi="宋体"/>
          <w:b/>
          <w:bCs/>
          <w:szCs w:val="21"/>
        </w:rPr>
        <w:t xml:space="preserve">  （一）项目概况</w:t>
      </w:r>
      <w:r/>
    </w:p>
    <w:p>
      <w:pPr>
        <w:ind w:firstLine="420"/>
        <w:spacing w:line="360" w:lineRule="auto"/>
        <w:rPr>
          <w:rFonts w:ascii="宋体" w:hAnsi="宋体"/>
          <w:szCs w:val="21"/>
        </w:rPr>
      </w:pPr>
      <w:r>
        <w:rPr>
          <w:rFonts w:hint="eastAsia" w:ascii="宋体" w:hAnsi="宋体" w:cs="宋体"/>
          <w:szCs w:val="21"/>
        </w:rPr>
        <w:t xml:space="preserve">太仓市中医医院始建于 1979 年，为南京中医药大学太仓附属医院，是集医疗、教学、科研、预防、康复于一体的三级甲等中医医院。为进一步提升医疗设备维保质量，缩短故障处置时效，提高设备开机率、延长设备使用年限，规范全院医疗设备全周期管理，现通过公开招标方式选定专业服务机构，为我院提供医疗设备整体维保服务</w:t>
      </w:r>
      <w:r>
        <w:rPr>
          <w:rFonts w:hint="eastAsia" w:ascii="宋体" w:hAnsi="宋体"/>
          <w:szCs w:val="21"/>
        </w:rPr>
        <w:t xml:space="preserve">。</w:t>
      </w:r>
      <w:r/>
    </w:p>
    <w:p>
      <w:pPr>
        <w:spacing w:line="360" w:lineRule="auto"/>
        <w:rPr>
          <w:rFonts w:ascii="宋体" w:hAnsi="宋体"/>
          <w:b/>
          <w:bCs/>
          <w:szCs w:val="21"/>
        </w:rPr>
      </w:pPr>
      <w:r>
        <w:rPr>
          <w:rFonts w:hint="eastAsia" w:ascii="宋体" w:hAnsi="宋体"/>
          <w:b/>
          <w:bCs/>
          <w:szCs w:val="21"/>
        </w:rPr>
        <w:t xml:space="preserve">  （二）服务期限：2年，</w:t>
      </w:r>
      <w:r>
        <w:rPr>
          <w:rFonts w:hint="eastAsia" w:ascii="宋体" w:hAnsi="宋体" w:cs="宋体"/>
          <w:szCs w:val="21"/>
        </w:rPr>
        <w:t xml:space="preserve">具体起止日期以双方签订合同载明为准。</w:t>
      </w:r>
      <w:r/>
    </w:p>
    <w:p>
      <w:pPr>
        <w:ind w:firstLine="211"/>
        <w:spacing w:line="360" w:lineRule="auto"/>
        <w:rPr>
          <w:rFonts w:ascii="宋体" w:hAnsi="宋体"/>
          <w:b/>
          <w:bCs/>
          <w:szCs w:val="21"/>
        </w:rPr>
      </w:pPr>
      <w:r>
        <w:rPr>
          <w:rFonts w:hint="eastAsia" w:ascii="宋体" w:hAnsi="宋体"/>
          <w:b/>
          <w:bCs/>
          <w:szCs w:val="21"/>
        </w:rPr>
        <w:t xml:space="preserve">（三）服务范围</w:t>
      </w:r>
      <w:r/>
    </w:p>
    <w:p>
      <w:pPr>
        <w:ind w:firstLine="420"/>
        <w:spacing w:line="360" w:lineRule="auto"/>
        <w:rPr>
          <w:rFonts w:ascii="宋体" w:hAnsi="宋体" w:cs="宋体"/>
          <w:szCs w:val="21"/>
        </w:rPr>
      </w:pPr>
      <w:r>
        <w:rPr>
          <w:rFonts w:hint="eastAsia" w:ascii="宋体" w:hAnsi="宋体" w:cs="宋体"/>
          <w:szCs w:val="21"/>
        </w:rPr>
        <w:t xml:space="preserve">1.驻场维保服务</w:t>
      </w:r>
      <w:r/>
    </w:p>
    <w:p>
      <w:pPr>
        <w:ind w:firstLine="420"/>
        <w:spacing w:line="360" w:lineRule="auto"/>
        <w:rPr>
          <w:rFonts w:ascii="宋体" w:hAnsi="宋体" w:cs="宋体"/>
          <w:szCs w:val="21"/>
        </w:rPr>
      </w:pPr>
      <w:r>
        <w:rPr>
          <w:rFonts w:hint="eastAsia" w:ascii="宋体" w:hAnsi="宋体" w:cs="宋体"/>
          <w:szCs w:val="21"/>
        </w:rPr>
        <w:t xml:space="preserve">中标供应商须派驻专职驻场工程师，为全院出保医疗设备提供 24 小时全天候维保服务，服务内容包含故障维修、定期保养、技术咨询、计划性巡检、配件更换、日常质控、院内操作及设备管理培训等。</w:t>
      </w:r>
      <w:r/>
    </w:p>
    <w:p>
      <w:pPr>
        <w:ind w:firstLine="420"/>
        <w:spacing w:line="360" w:lineRule="auto"/>
        <w:rPr>
          <w:rFonts w:ascii="宋体" w:hAnsi="宋体" w:cs="宋体"/>
          <w:szCs w:val="21"/>
        </w:rPr>
      </w:pPr>
      <w:r>
        <w:rPr>
          <w:rFonts w:hint="eastAsia" w:ascii="宋体" w:hAnsi="宋体" w:cs="宋体"/>
          <w:szCs w:val="21"/>
        </w:rPr>
        <w:t xml:space="preserve">2.院内设备管理系统使用与运维</w:t>
      </w:r>
      <w:r/>
    </w:p>
    <w:p>
      <w:pPr>
        <w:ind w:firstLine="420"/>
        <w:spacing w:line="360" w:lineRule="auto"/>
        <w:rPr>
          <w:rFonts w:ascii="宋体" w:hAnsi="宋体" w:cs="宋体"/>
          <w:szCs w:val="21"/>
        </w:rPr>
      </w:pPr>
      <w:r>
        <w:rPr>
          <w:rFonts w:hint="eastAsia" w:ascii="宋体" w:hAnsi="宋体" w:cs="宋体"/>
          <w:szCs w:val="21"/>
        </w:rPr>
        <w:t xml:space="preserve">采购人已本地化部署医疗设备全生命周期管理系统，为保障资产效益分析、医疗器械不良事件上报数据连续、完整、安全。中标供应商必须全程使用设备管理系统开展维保相关工作，并承担系统技术支持、日常维护及版本升级产生的全部费用。</w:t>
      </w:r>
      <w:r/>
    </w:p>
    <w:p>
      <w:pPr>
        <w:ind w:firstLine="420"/>
        <w:spacing w:line="360" w:lineRule="auto"/>
        <w:rPr>
          <w:rFonts w:ascii="宋体" w:hAnsi="宋体" w:cs="宋体"/>
          <w:szCs w:val="21"/>
        </w:rPr>
      </w:pPr>
      <w:r>
        <w:rPr>
          <w:rFonts w:hint="eastAsia" w:ascii="宋体" w:hAnsi="宋体" w:cs="宋体"/>
          <w:szCs w:val="21"/>
        </w:rPr>
        <w:t xml:space="preserve">3.排除服务范围</w:t>
      </w:r>
      <w:r/>
    </w:p>
    <w:p>
      <w:pPr>
        <w:ind w:firstLine="420"/>
        <w:spacing w:line="360" w:lineRule="auto"/>
        <w:rPr>
          <w:rFonts w:ascii="宋体" w:hAnsi="宋体" w:cs="宋体"/>
          <w:szCs w:val="21"/>
        </w:rPr>
      </w:pPr>
      <w:r>
        <w:rPr>
          <w:rFonts w:hint="eastAsia" w:ascii="宋体" w:hAnsi="宋体" w:cs="宋体"/>
          <w:szCs w:val="21"/>
        </w:rPr>
        <w:t xml:space="preserve">本服务不含医疗设备整机及软硬件付费升级；不含双方服务清单列明范围以外的设备维保工作。</w:t>
      </w:r>
      <w:r/>
    </w:p>
    <w:p>
      <w:pPr>
        <w:ind w:firstLine="420"/>
        <w:spacing w:line="360" w:lineRule="auto"/>
        <w:rPr>
          <w:rFonts w:ascii="宋体" w:hAnsi="宋体" w:cs="宋体"/>
          <w:szCs w:val="21"/>
        </w:rPr>
      </w:pPr>
      <w:r>
        <w:rPr>
          <w:rFonts w:hint="eastAsia" w:ascii="宋体" w:hAnsi="宋体" w:cs="宋体"/>
          <w:szCs w:val="21"/>
        </w:rPr>
        <w:t xml:space="preserve">4.计量、强检、质控配合要求</w:t>
      </w:r>
      <w:r/>
    </w:p>
    <w:p>
      <w:pPr>
        <w:ind w:firstLine="420"/>
        <w:spacing w:line="360" w:lineRule="auto"/>
        <w:rPr>
          <w:rFonts w:ascii="宋体" w:hAnsi="宋体" w:cs="宋体"/>
          <w:szCs w:val="21"/>
        </w:rPr>
      </w:pPr>
      <w:r>
        <w:rPr>
          <w:rFonts w:hint="eastAsia" w:ascii="宋体" w:hAnsi="宋体" w:cs="宋体"/>
          <w:szCs w:val="21"/>
        </w:rPr>
        <w:t xml:space="preserve">国家法定要求开展的计量、强检、专项质控工作，由中标供应商协助配合完成，对应检测相关费用由采购人承担。</w:t>
      </w:r>
      <w:r/>
    </w:p>
    <w:p>
      <w:pPr>
        <w:ind w:firstLine="420"/>
        <w:spacing w:line="360" w:lineRule="auto"/>
        <w:rPr>
          <w:rFonts w:ascii="宋体" w:hAnsi="宋体" w:cs="宋体"/>
          <w:szCs w:val="21"/>
        </w:rPr>
      </w:pPr>
      <w:r>
        <w:rPr>
          <w:rFonts w:hint="eastAsia" w:ascii="宋体" w:hAnsi="宋体" w:cs="宋体"/>
          <w:szCs w:val="21"/>
        </w:rPr>
        <w:t xml:space="preserve">5.设备覆盖清单及计费规则</w:t>
      </w:r>
      <w:r/>
    </w:p>
    <w:p>
      <w:pPr>
        <w:ind w:firstLine="420"/>
        <w:spacing w:line="360" w:lineRule="auto"/>
        <w:rPr>
          <w:rFonts w:ascii="宋体" w:hAnsi="宋体" w:cs="宋体"/>
          <w:szCs w:val="21"/>
        </w:rPr>
      </w:pPr>
      <w:r>
        <w:rPr>
          <w:rFonts w:hint="eastAsia" w:ascii="宋体" w:hAnsi="宋体" w:cs="宋体"/>
          <w:szCs w:val="21"/>
        </w:rPr>
        <w:t xml:space="preserve">维保覆盖全院除以下类别以外的全部医疗设备：检验科设备、高压氧舱、尚在原厂质保期内设备。</w:t>
      </w:r>
      <w:r/>
    </w:p>
    <w:p>
      <w:pPr>
        <w:ind w:firstLine="420"/>
        <w:spacing w:line="360" w:lineRule="auto"/>
        <w:rPr>
          <w:rFonts w:ascii="宋体" w:hAnsi="宋体" w:cs="宋体"/>
          <w:szCs w:val="21"/>
        </w:rPr>
      </w:pPr>
      <w:r>
        <w:rPr>
          <w:rFonts w:hint="eastAsia" w:ascii="宋体" w:hAnsi="宋体" w:cs="宋体"/>
          <w:szCs w:val="21"/>
        </w:rPr>
        <w:t xml:space="preserve">（1）单台原值 5 万元以上设备，按分类计取维保费用；单台原值 5 万元及以下设备，维修、保养免收维保服务费；</w:t>
      </w:r>
      <w:r/>
    </w:p>
    <w:p>
      <w:pPr>
        <w:ind w:firstLine="420"/>
        <w:spacing w:line="360" w:lineRule="auto"/>
        <w:rPr>
          <w:rFonts w:ascii="宋体" w:hAnsi="宋体" w:cs="宋体"/>
          <w:szCs w:val="21"/>
        </w:rPr>
      </w:pPr>
      <w:r>
        <w:rPr>
          <w:rFonts w:hint="eastAsia" w:ascii="宋体" w:hAnsi="宋体" w:cs="宋体"/>
          <w:szCs w:val="21"/>
        </w:rPr>
        <w:t xml:space="preserve">（2）服务期内新增原厂出保并纳入维保清单的设备，自纳入之日起按实际服务时长计费；服务期内达到报废标准并完成报废处置的设备，自报废之日起按实际停用时长扣减对应维保费用；</w:t>
      </w:r>
      <w:r/>
    </w:p>
    <w:p>
      <w:pPr>
        <w:ind w:firstLine="420"/>
        <w:spacing w:line="360" w:lineRule="auto"/>
        <w:rPr>
          <w:rFonts w:ascii="宋体" w:hAnsi="宋体" w:cs="宋体"/>
          <w:szCs w:val="21"/>
        </w:rPr>
      </w:pPr>
      <w:r>
        <w:rPr>
          <w:rFonts w:hint="eastAsia" w:ascii="宋体" w:hAnsi="宋体" w:cs="宋体"/>
          <w:szCs w:val="21"/>
        </w:rPr>
        <w:t xml:space="preserve">（3）计划性日常巡检、预防性保养工作覆盖本合同范围内全部医疗设备。</w:t>
      </w:r>
      <w:r/>
    </w:p>
    <w:p>
      <w:pPr>
        <w:spacing w:line="360" w:lineRule="auto"/>
        <w:rPr>
          <w:rFonts w:ascii="宋体" w:hAnsi="宋体"/>
          <w:b/>
          <w:bCs/>
          <w:szCs w:val="21"/>
        </w:rPr>
      </w:pPr>
      <w:r>
        <w:rPr>
          <w:rFonts w:hint="eastAsia" w:ascii="宋体" w:hAnsi="宋体"/>
          <w:b/>
          <w:bCs/>
          <w:szCs w:val="21"/>
        </w:rPr>
        <w:t xml:space="preserve">（四）具体服务要求</w:t>
      </w:r>
      <w:r/>
    </w:p>
    <w:p>
      <w:pPr>
        <w:ind w:firstLine="420"/>
        <w:spacing w:line="400" w:lineRule="exact"/>
        <w:rPr>
          <w:rFonts w:ascii="宋体" w:hAnsi="宋体" w:cs="宋体"/>
          <w:szCs w:val="21"/>
        </w:rPr>
      </w:pPr>
      <w:r>
        <w:rPr>
          <w:rFonts w:hint="eastAsia" w:ascii="宋体" w:hAnsi="宋体" w:cs="宋体"/>
          <w:szCs w:val="21"/>
        </w:rPr>
        <w:t xml:space="preserve">一）维修、维护服务总体内容</w:t>
      </w:r>
      <w:r/>
    </w:p>
    <w:p>
      <w:pPr>
        <w:ind w:firstLine="420"/>
        <w:spacing w:line="400" w:lineRule="exact"/>
        <w:rPr>
          <w:rFonts w:ascii="宋体" w:hAnsi="宋体" w:cs="宋体"/>
          <w:szCs w:val="21"/>
        </w:rPr>
      </w:pPr>
      <w:r>
        <w:rPr>
          <w:rFonts w:hint="eastAsia" w:ascii="宋体" w:hAnsi="宋体" w:cs="宋体"/>
          <w:szCs w:val="21"/>
        </w:rPr>
        <w:t xml:space="preserve">1.中标供应商须派驻专职医用设备维修工程师，提供全年 365 天、24 小时不间断技术服务，支持现场处置及远程电话技术咨询；建立标准化报修台账，对故障类型、报修时间、处置过程、修复结果分类完整记录，第一时间排查、修复设备故障。</w:t>
      </w:r>
      <w:r/>
    </w:p>
    <w:p>
      <w:pPr>
        <w:ind w:firstLine="420"/>
        <w:spacing w:line="400" w:lineRule="exact"/>
        <w:rPr>
          <w:rFonts w:ascii="宋体" w:hAnsi="宋体" w:cs="宋体"/>
          <w:szCs w:val="21"/>
        </w:rPr>
      </w:pPr>
      <w:r>
        <w:rPr>
          <w:rFonts w:hint="eastAsia" w:ascii="宋体" w:hAnsi="宋体" w:cs="宋体"/>
          <w:szCs w:val="21"/>
        </w:rPr>
        <w:t xml:space="preserve">2.分级维修响应时效</w:t>
      </w:r>
      <w:r/>
    </w:p>
    <w:p>
      <w:pPr>
        <w:ind w:firstLine="420"/>
        <w:spacing w:line="400" w:lineRule="exact"/>
        <w:rPr>
          <w:rFonts w:ascii="宋体" w:hAnsi="宋体" w:cs="宋体"/>
          <w:szCs w:val="21"/>
        </w:rPr>
      </w:pPr>
      <w:r>
        <w:rPr>
          <w:rFonts w:hint="eastAsia" w:ascii="宋体" w:hAnsi="宋体" w:cs="宋体"/>
          <w:szCs w:val="21"/>
        </w:rPr>
        <w:t xml:space="preserve">（1）急救、生命支持类设备（呼吸机、麻醉机、除颤仪、手术术中设备等）故障报修：工程师10 分钟内抵达现场处置，不得以非不可抗力理由拖延；当日无法修复的，须免费提供同规格备用机，直至原设备维修完毕。</w:t>
      </w:r>
      <w:r/>
    </w:p>
    <w:p>
      <w:pPr>
        <w:ind w:firstLine="420"/>
        <w:spacing w:line="400" w:lineRule="exact"/>
        <w:rPr>
          <w:rFonts w:ascii="宋体" w:hAnsi="宋体" w:cs="宋体"/>
          <w:szCs w:val="21"/>
        </w:rPr>
      </w:pPr>
      <w:r>
        <w:rPr>
          <w:rFonts w:hint="eastAsia" w:ascii="宋体" w:hAnsi="宋体" w:cs="宋体"/>
          <w:szCs w:val="21"/>
        </w:rPr>
        <w:t xml:space="preserve">（2）普通诊疗设备故障报修：驻场工程师20 分钟内到场实施维修；小故障 48 小时内修复，重大故障 5 个工作日内完成维修。</w:t>
      </w:r>
      <w:r/>
    </w:p>
    <w:p>
      <w:pPr>
        <w:ind w:firstLine="420"/>
        <w:spacing w:line="400" w:lineRule="exact"/>
        <w:rPr>
          <w:rFonts w:ascii="宋体" w:hAnsi="宋体" w:cs="宋体"/>
          <w:szCs w:val="21"/>
        </w:rPr>
      </w:pPr>
      <w:r>
        <w:rPr>
          <w:rFonts w:hint="eastAsia" w:ascii="宋体" w:hAnsi="宋体" w:cs="宋体"/>
          <w:szCs w:val="21"/>
        </w:rPr>
        <w:t xml:space="preserve">（3）节假日、夜间急诊突发故障，须优先处置，确保当日消除故障隐患，保障临床正常开展诊疗。</w:t>
      </w:r>
      <w:r/>
    </w:p>
    <w:p>
      <w:pPr>
        <w:ind w:firstLine="420"/>
        <w:spacing w:line="400" w:lineRule="exact"/>
        <w:rPr>
          <w:rFonts w:ascii="宋体" w:hAnsi="宋体" w:cs="宋体"/>
          <w:szCs w:val="21"/>
        </w:rPr>
      </w:pPr>
      <w:r>
        <w:rPr>
          <w:rFonts w:hint="eastAsia" w:ascii="宋体" w:hAnsi="宋体" w:cs="宋体"/>
          <w:szCs w:val="21"/>
        </w:rPr>
        <w:t xml:space="preserve">3.维修更换配件须采用合法合规原厂全新备件；设备无法现场维修的，由中标供应商对接原厂检修。易损、易耗备品备件须快速采购、全程跟踪安装进度，确保设备快速恢复正常运行。</w:t>
      </w:r>
      <w:r/>
    </w:p>
    <w:p>
      <w:pPr>
        <w:ind w:firstLine="420"/>
        <w:spacing w:line="400" w:lineRule="exact"/>
        <w:rPr>
          <w:rFonts w:ascii="宋体" w:hAnsi="宋体" w:cs="宋体"/>
          <w:szCs w:val="21"/>
        </w:rPr>
      </w:pPr>
      <w:r>
        <w:rPr>
          <w:rFonts w:hint="eastAsia" w:ascii="宋体" w:hAnsi="宋体" w:cs="宋体"/>
          <w:szCs w:val="21"/>
        </w:rPr>
        <w:t xml:space="preserve">本项目维保范围内免费更换维修所需零配件，不含一次性人体介入耗材、手术器械、办公设备耗材；球管、平板探测器等核心部件须原厂同型号全新备件；呼吸机、麻醉机、除颤仪、复苏机等生命支持设备必须原厂维修或使用原厂全新备件；对应设备原厂已停产的，可采用原厂认证匹配备件。</w:t>
      </w:r>
      <w:r/>
    </w:p>
    <w:p>
      <w:pPr>
        <w:ind w:firstLine="420"/>
        <w:spacing w:line="400" w:lineRule="exact"/>
        <w:rPr>
          <w:rFonts w:ascii="宋体" w:hAnsi="宋体" w:cs="宋体"/>
          <w:szCs w:val="21"/>
        </w:rPr>
      </w:pPr>
      <w:r>
        <w:rPr>
          <w:rFonts w:hint="eastAsia" w:ascii="宋体" w:hAnsi="宋体" w:cs="宋体"/>
          <w:szCs w:val="21"/>
        </w:rPr>
        <w:t xml:space="preserve">4.中标供应商自备全套专业调校、检测仪器；设备需返厂检修、校准的，须第一时间完成送检手续，并主动向原厂申请备用设备，或自行提供同等功能备用机供院方无偿使用，返厂产生全部费用由中标供应商承担。</w:t>
      </w:r>
      <w:r/>
    </w:p>
    <w:p>
      <w:pPr>
        <w:ind w:firstLine="420"/>
        <w:spacing w:line="400" w:lineRule="exact"/>
        <w:rPr>
          <w:rFonts w:ascii="宋体" w:hAnsi="宋体" w:cs="宋体"/>
          <w:szCs w:val="21"/>
        </w:rPr>
      </w:pPr>
      <w:r>
        <w:rPr>
          <w:rFonts w:hint="eastAsia" w:ascii="宋体" w:hAnsi="宋体" w:cs="宋体"/>
          <w:szCs w:val="21"/>
        </w:rPr>
        <w:t xml:space="preserve">5.服务覆盖本项目全部维保医疗设备，严格按照设备原厂技术规范开展保养维护；每月执行一次现场巡检，每半年完成一次全面深度保养，所有巡检、保养均留存纸质或电子记录，由使用科室与医学工程部共同签字确认归档。</w:t>
      </w:r>
      <w:r/>
    </w:p>
    <w:p>
      <w:pPr>
        <w:ind w:firstLine="420"/>
        <w:spacing w:line="400" w:lineRule="exact"/>
        <w:rPr>
          <w:rFonts w:ascii="宋体" w:hAnsi="宋体" w:cs="宋体"/>
          <w:szCs w:val="21"/>
        </w:rPr>
      </w:pPr>
      <w:r>
        <w:rPr>
          <w:rFonts w:hint="eastAsia" w:ascii="宋体" w:hAnsi="宋体" w:cs="宋体"/>
          <w:szCs w:val="21"/>
        </w:rPr>
        <w:t xml:space="preserve">6.配合院内设备管理工作</w:t>
      </w:r>
      <w:r/>
    </w:p>
    <w:p>
      <w:pPr>
        <w:ind w:firstLine="420"/>
        <w:spacing w:line="400" w:lineRule="exact"/>
        <w:rPr>
          <w:rFonts w:ascii="宋体" w:hAnsi="宋体" w:cs="宋体"/>
          <w:szCs w:val="21"/>
        </w:rPr>
      </w:pPr>
      <w:r>
        <w:rPr>
          <w:rFonts w:hint="eastAsia" w:ascii="宋体" w:hAnsi="宋体" w:cs="宋体"/>
          <w:szCs w:val="21"/>
        </w:rPr>
        <w:t xml:space="preserve">（1）针对维保范围内设备，制定标准化年度、月度保养维修计划，完整留存全流程维修保养记录；</w:t>
      </w:r>
      <w:r/>
    </w:p>
    <w:p>
      <w:pPr>
        <w:ind w:firstLine="420"/>
        <w:spacing w:line="400" w:lineRule="exact"/>
        <w:rPr>
          <w:rFonts w:ascii="宋体" w:hAnsi="宋体" w:cs="宋体"/>
          <w:szCs w:val="21"/>
        </w:rPr>
      </w:pPr>
      <w:r>
        <w:rPr>
          <w:rFonts w:hint="eastAsia" w:ascii="宋体" w:hAnsi="宋体" w:cs="宋体"/>
          <w:szCs w:val="21"/>
        </w:rPr>
        <w:t xml:space="preserve">（2）对于原厂在保、院方单独采购维保的设备，中标供应商须无偿配合原厂工程师现场作业，同步开展巡检、隐患排查等辅助管理工作。</w:t>
      </w:r>
      <w:r/>
    </w:p>
    <w:p>
      <w:pPr>
        <w:ind w:firstLine="420"/>
        <w:spacing w:line="400" w:lineRule="exact"/>
        <w:rPr>
          <w:rFonts w:ascii="宋体" w:hAnsi="宋体" w:cs="宋体"/>
          <w:szCs w:val="21"/>
        </w:rPr>
      </w:pPr>
      <w:r>
        <w:rPr>
          <w:rFonts w:hint="eastAsia" w:ascii="宋体" w:hAnsi="宋体" w:cs="宋体"/>
          <w:szCs w:val="21"/>
        </w:rPr>
        <w:t xml:space="preserve">7.定期对全院维保设备开展预防性维护，包含设备电路安全漏电流检测、整机除尘、管路校验、性能参数校准、安全隐患排查等工作，并形成专项检测记录。</w:t>
      </w:r>
      <w:r/>
    </w:p>
    <w:p>
      <w:pPr>
        <w:ind w:firstLine="420"/>
        <w:spacing w:line="400" w:lineRule="exact"/>
        <w:rPr>
          <w:rFonts w:ascii="宋体" w:hAnsi="宋体" w:cs="宋体"/>
          <w:szCs w:val="21"/>
        </w:rPr>
      </w:pPr>
      <w:r>
        <w:rPr>
          <w:rFonts w:hint="eastAsia" w:ascii="宋体" w:hAnsi="宋体" w:cs="宋体"/>
          <w:szCs w:val="21"/>
        </w:rPr>
        <w:t xml:space="preserve">8.中标供应商按科室分类编制全套资料，交付院方医学工程部存档：各科室设备月度巡检报告、设备标准操作 SOP、设备保养路径指引、维修保养标准化流程图。</w:t>
      </w:r>
      <w:r/>
    </w:p>
    <w:p>
      <w:pPr>
        <w:ind w:firstLine="420"/>
        <w:spacing w:line="400" w:lineRule="exact"/>
        <w:rPr>
          <w:rFonts w:ascii="宋体" w:hAnsi="宋体" w:cs="宋体"/>
          <w:szCs w:val="21"/>
        </w:rPr>
      </w:pPr>
      <w:r>
        <w:rPr>
          <w:rFonts w:hint="eastAsia" w:ascii="宋体" w:hAnsi="宋体" w:cs="宋体"/>
          <w:szCs w:val="21"/>
        </w:rPr>
        <w:t xml:space="preserve">9.全程使用医疗设备全生命周期管理系统开展维保作业；依托系统统计分析模块，每月向院方提交定制化报表，内容包含设备维修维保概况、资产使用效益分析、医疗器械不良事件统计分析等。</w:t>
      </w:r>
      <w:r/>
    </w:p>
    <w:p>
      <w:pPr>
        <w:ind w:firstLine="420"/>
        <w:spacing w:line="400" w:lineRule="exact"/>
        <w:rPr>
          <w:rFonts w:ascii="宋体" w:hAnsi="宋体" w:cs="宋体"/>
          <w:szCs w:val="21"/>
        </w:rPr>
      </w:pPr>
      <w:r>
        <w:rPr>
          <w:rFonts w:hint="eastAsia" w:ascii="宋体" w:hAnsi="宋体" w:cs="宋体"/>
          <w:szCs w:val="21"/>
        </w:rPr>
        <w:t xml:space="preserve">10.中标供应商定期对全院维保设备开展运维成本统计、测算分析，为院方设备资产管理、预算编制提供数据支撑。</w:t>
      </w:r>
      <w:r/>
    </w:p>
    <w:p>
      <w:pPr>
        <w:ind w:firstLine="420"/>
        <w:spacing w:line="400" w:lineRule="exact"/>
        <w:rPr>
          <w:rFonts w:ascii="宋体" w:hAnsi="宋体" w:cs="宋体"/>
          <w:szCs w:val="21"/>
        </w:rPr>
      </w:pPr>
      <w:r>
        <w:rPr>
          <w:rFonts w:hint="eastAsia" w:ascii="宋体" w:hAnsi="宋体" w:cs="宋体"/>
          <w:szCs w:val="21"/>
        </w:rPr>
        <w:t xml:space="preserve">11.负责维保范围内医疗设备台账注册管理，配合新设备装机验收并建立完整验收档案；对设备操作手册、维修图纸、电路原理图等技术资料统一分类、电子化 + 纸质双归档。</w:t>
      </w:r>
      <w:r/>
    </w:p>
    <w:p>
      <w:pPr>
        <w:ind w:firstLine="420"/>
        <w:spacing w:line="400" w:lineRule="exact"/>
        <w:rPr>
          <w:rFonts w:ascii="宋体" w:hAnsi="宋体" w:cs="宋体"/>
          <w:szCs w:val="21"/>
        </w:rPr>
      </w:pPr>
      <w:r>
        <w:rPr>
          <w:rFonts w:hint="eastAsia" w:ascii="宋体" w:hAnsi="宋体" w:cs="宋体"/>
          <w:szCs w:val="21"/>
        </w:rPr>
        <w:t xml:space="preserve">12.院内新购置医疗设备到货装机时，中标供应商全程协助技术验收；日常无偿提供设备选型、故障预判、运维方案等专业技术咨询服务。</w:t>
      </w:r>
      <w:r/>
    </w:p>
    <w:p>
      <w:pPr>
        <w:ind w:firstLine="420"/>
        <w:spacing w:line="400" w:lineRule="exact"/>
        <w:rPr>
          <w:rFonts w:ascii="宋体" w:hAnsi="宋体" w:cs="宋体"/>
          <w:szCs w:val="21"/>
        </w:rPr>
      </w:pPr>
      <w:r>
        <w:rPr>
          <w:rFonts w:hint="eastAsia" w:ascii="宋体" w:hAnsi="宋体" w:cs="宋体"/>
          <w:szCs w:val="21"/>
        </w:rPr>
        <w:t xml:space="preserve">13.维保过程中若发现设备存在影响正常运行、易引发医疗安全事故的隐患，须第一时间出具书面整改方案并同步落实处置措施。</w:t>
      </w:r>
      <w:r/>
    </w:p>
    <w:p>
      <w:pPr>
        <w:ind w:firstLine="420"/>
        <w:spacing w:line="400" w:lineRule="exact"/>
        <w:rPr>
          <w:rFonts w:ascii="宋体" w:hAnsi="宋体" w:cs="宋体"/>
          <w:szCs w:val="21"/>
        </w:rPr>
      </w:pPr>
      <w:r>
        <w:rPr>
          <w:rFonts w:hint="eastAsia" w:ascii="宋体" w:hAnsi="宋体" w:cs="宋体"/>
          <w:szCs w:val="21"/>
        </w:rPr>
        <w:t xml:space="preserve">14.结合科室使用需求制定年度设备操作培训计划、培训日程表，报院方医学工程部审核通过后组织实操教学，培训内容包含规范操作、日常简易故障识别、基础保养常识等。</w:t>
      </w:r>
      <w:r/>
    </w:p>
    <w:p>
      <w:pPr>
        <w:ind w:firstLine="420"/>
        <w:spacing w:line="400" w:lineRule="exact"/>
        <w:rPr>
          <w:rFonts w:ascii="宋体" w:hAnsi="宋体" w:cs="宋体"/>
          <w:szCs w:val="21"/>
        </w:rPr>
      </w:pPr>
      <w:r>
        <w:rPr>
          <w:rFonts w:hint="eastAsia" w:ascii="宋体" w:hAnsi="宋体" w:cs="宋体"/>
          <w:szCs w:val="21"/>
        </w:rPr>
        <w:t xml:space="preserve">15.无偿协助院方完成全院医用设备年度强制检定、特种设备年检工作；强检 / 年检过程中判定报废的压力表、安全阀等器具，购置更换费用由采购人承担。</w:t>
      </w:r>
      <w:r/>
    </w:p>
    <w:p>
      <w:pPr>
        <w:ind w:firstLine="420"/>
        <w:spacing w:line="400" w:lineRule="exact"/>
        <w:rPr>
          <w:rFonts w:ascii="宋体" w:hAnsi="宋体"/>
          <w:b/>
          <w:bCs/>
          <w:szCs w:val="21"/>
        </w:rPr>
      </w:pPr>
      <w:r>
        <w:rPr>
          <w:rFonts w:hint="eastAsia" w:ascii="宋体" w:hAnsi="宋体" w:cs="宋体"/>
          <w:szCs w:val="21"/>
        </w:rPr>
        <w:t xml:space="preserve">16.在采购人规范使用、排除不可抗力、院方计划性停机前提下，服务期内维保设备综合年开机率≥95%（按每年 365 自然日计算，年度累计故障停机总天数不超过 18 天）。因中标供应商维修、保养不到位导致设备年度故障停机总天数超出 18 天的，每超额 1 个自然日，对应设备维保服务期限自动顺延 3 天。</w:t>
      </w:r>
      <w:r/>
    </w:p>
    <w:p>
      <w:pPr>
        <w:ind w:firstLine="420"/>
        <w:spacing w:line="400" w:lineRule="exact"/>
        <w:rPr>
          <w:rFonts w:ascii="宋体" w:hAnsi="宋体" w:cs="宋体"/>
          <w:szCs w:val="21"/>
        </w:rPr>
      </w:pPr>
      <w:r>
        <w:rPr>
          <w:rFonts w:hint="eastAsia" w:ascii="宋体" w:hAnsi="宋体" w:cs="宋体"/>
          <w:szCs w:val="21"/>
        </w:rPr>
        <w:t xml:space="preserve">14.全套服务方案与应急处置预案</w:t>
      </w:r>
      <w:r/>
    </w:p>
    <w:p>
      <w:pPr>
        <w:ind w:firstLine="210"/>
        <w:spacing w:line="360" w:lineRule="auto"/>
        <w:rPr>
          <w:rFonts w:ascii="宋体" w:hAnsi="宋体"/>
          <w:b/>
          <w:bCs/>
          <w:szCs w:val="21"/>
        </w:rPr>
      </w:pPr>
      <w:r>
        <w:rPr>
          <w:rFonts w:hint="eastAsia" w:ascii="宋体" w:hAnsi="宋体" w:cs="宋体"/>
          <w:szCs w:val="21"/>
        </w:rPr>
        <w:t xml:space="preserve">投标文件须提供完整、详尽的维保整体实施方案、分级故障应急处置预案，服务期内严格按方案执行。</w:t>
      </w:r>
      <w:r/>
    </w:p>
    <w:p>
      <w:pPr>
        <w:ind w:firstLine="422"/>
        <w:spacing w:line="400" w:lineRule="exact"/>
        <w:rPr>
          <w:rFonts w:ascii="宋体" w:hAnsi="宋体" w:cs="宋体"/>
          <w:b/>
          <w:bCs/>
          <w:szCs w:val="21"/>
        </w:rPr>
      </w:pPr>
      <w:r>
        <w:rPr>
          <w:rFonts w:hint="eastAsia" w:ascii="宋体" w:hAnsi="宋体" w:cs="宋体"/>
          <w:b/>
          <w:bCs/>
          <w:szCs w:val="21"/>
        </w:rPr>
        <w:t xml:space="preserve">二）设备保养要求：</w:t>
      </w:r>
      <w:r/>
    </w:p>
    <w:p>
      <w:pPr>
        <w:ind w:firstLine="420"/>
        <w:spacing w:line="400" w:lineRule="exact"/>
        <w:rPr>
          <w:rFonts w:ascii="宋体" w:hAnsi="宋体" w:cs="宋体"/>
          <w:szCs w:val="21"/>
        </w:rPr>
      </w:pPr>
      <w:r>
        <w:rPr>
          <w:rFonts w:hint="eastAsia" w:ascii="宋体" w:hAnsi="宋体" w:cs="宋体"/>
          <w:szCs w:val="21"/>
        </w:rPr>
        <w:t xml:space="preserve">1、分类分级保养机制</w:t>
      </w:r>
      <w:r/>
    </w:p>
    <w:p>
      <w:pPr>
        <w:ind w:firstLine="420"/>
        <w:spacing w:line="400" w:lineRule="exact"/>
        <w:rPr>
          <w:rFonts w:ascii="宋体" w:hAnsi="宋体" w:cs="宋体"/>
          <w:szCs w:val="21"/>
        </w:rPr>
      </w:pPr>
      <w:r>
        <w:rPr>
          <w:rFonts w:hint="eastAsia" w:ascii="宋体" w:hAnsi="宋体" w:cs="宋体"/>
          <w:szCs w:val="21"/>
        </w:rPr>
        <w:t xml:space="preserve">按设备类型、使用频次差异化设定保养周期；大型影像类设备图像质量检测分为三级：日常巡检、月度专项检查、深度高级检修。</w:t>
      </w:r>
      <w:r/>
    </w:p>
    <w:p>
      <w:pPr>
        <w:ind w:firstLine="420"/>
        <w:spacing w:line="400" w:lineRule="exact"/>
        <w:rPr>
          <w:rFonts w:ascii="宋体" w:hAnsi="宋体" w:cs="宋体"/>
          <w:szCs w:val="21"/>
        </w:rPr>
      </w:pPr>
      <w:r>
        <w:rPr>
          <w:rFonts w:hint="eastAsia" w:ascii="宋体" w:hAnsi="宋体" w:cs="宋体"/>
          <w:szCs w:val="21"/>
        </w:rPr>
        <w:t xml:space="preserve">1.1 CT 设备保养：包含主机整机养护、球管专项维护、扫描床防护保养、开关机周期性维保、</w:t>
      </w:r>
      <w:r>
        <w:rPr>
          <w:rFonts w:hint="eastAsia" w:ascii="宋体" w:hAnsi="宋体" w:cs="宋体"/>
          <w:szCs w:val="21"/>
        </w:rPr>
        <w:t xml:space="preserve">操作控制室清洁、机架内外除尘清洁。</w:t>
      </w:r>
      <w:r/>
    </w:p>
    <w:p>
      <w:pPr>
        <w:ind w:firstLine="420"/>
        <w:spacing w:line="400" w:lineRule="exact"/>
        <w:rPr>
          <w:rFonts w:ascii="宋体" w:hAnsi="宋体" w:cs="宋体"/>
          <w:szCs w:val="21"/>
        </w:rPr>
      </w:pPr>
      <w:r>
        <w:rPr>
          <w:rFonts w:hint="eastAsia" w:ascii="宋体" w:hAnsi="宋体" w:cs="宋体"/>
          <w:szCs w:val="21"/>
        </w:rPr>
        <w:t xml:space="preserve">1.2 超声设备保养：滤网定期清洗、探头线缆消杀防护、常规探头日常养护、食道探头专项清洁消毒、轨迹球清洁维护。</w:t>
      </w:r>
      <w:r/>
    </w:p>
    <w:p>
      <w:pPr>
        <w:ind w:firstLine="420"/>
        <w:spacing w:line="400" w:lineRule="exact"/>
        <w:rPr>
          <w:rFonts w:ascii="宋体" w:hAnsi="宋体" w:cs="宋体"/>
          <w:szCs w:val="21"/>
        </w:rPr>
      </w:pPr>
      <w:r>
        <w:rPr>
          <w:rFonts w:hint="eastAsia" w:ascii="宋体" w:hAnsi="宋体" w:cs="宋体"/>
          <w:szCs w:val="21"/>
        </w:rPr>
        <w:t xml:space="preserve">1.3 除颤仪保养：操作手柄日常检查与清洁、储能电池定期检测维护。</w:t>
      </w:r>
      <w:r/>
    </w:p>
    <w:p>
      <w:pPr>
        <w:ind w:firstLine="420"/>
        <w:spacing w:line="400" w:lineRule="exact"/>
        <w:rPr>
          <w:rFonts w:ascii="宋体" w:hAnsi="宋体" w:cs="宋体"/>
          <w:szCs w:val="21"/>
        </w:rPr>
      </w:pPr>
      <w:r>
        <w:rPr>
          <w:rFonts w:hint="eastAsia" w:ascii="宋体" w:hAnsi="宋体" w:cs="宋体"/>
          <w:szCs w:val="21"/>
        </w:rPr>
        <w:t xml:space="preserve">1.4 DR 设备保养：平板探测器养护、滤线栅日常维保、球管维护、操作遥控器保养、标准化开关机作业、胸片架清洁防护。</w:t>
      </w:r>
      <w:r/>
    </w:p>
    <w:p>
      <w:pPr>
        <w:ind w:firstLine="420"/>
        <w:spacing w:line="400" w:lineRule="exact"/>
        <w:rPr>
          <w:rFonts w:ascii="宋体" w:hAnsi="宋体" w:cs="宋体"/>
          <w:szCs w:val="21"/>
        </w:rPr>
      </w:pPr>
      <w:r>
        <w:rPr>
          <w:rFonts w:hint="eastAsia" w:ascii="宋体" w:hAnsi="宋体" w:cs="宋体"/>
          <w:szCs w:val="21"/>
        </w:rPr>
        <w:t xml:space="preserve">1.5 CR 设备保养：辊轴清洁养护、IP 成像板擦拭清理、工作站除尘、DICOM 影像系统定期检查。</w:t>
      </w:r>
      <w:r/>
    </w:p>
    <w:p>
      <w:pPr>
        <w:ind w:firstLine="420"/>
        <w:spacing w:line="400" w:lineRule="exact"/>
        <w:rPr>
          <w:rFonts w:ascii="宋体" w:hAnsi="宋体" w:cs="宋体"/>
          <w:szCs w:val="21"/>
        </w:rPr>
      </w:pPr>
      <w:r>
        <w:rPr>
          <w:rFonts w:hint="eastAsia" w:ascii="宋体" w:hAnsi="宋体" w:cs="宋体"/>
          <w:szCs w:val="21"/>
        </w:rPr>
        <w:t xml:space="preserve">1.6 通用设备定期深度维保：整机程序功能检测、图像性能校准、辐射安全性能校验、机身外观清洁养护。</w:t>
      </w:r>
      <w:r/>
    </w:p>
    <w:p>
      <w:pPr>
        <w:ind w:firstLine="420"/>
        <w:spacing w:line="400" w:lineRule="exact"/>
        <w:rPr>
          <w:rFonts w:ascii="宋体" w:hAnsi="宋体" w:cs="宋体"/>
          <w:szCs w:val="21"/>
        </w:rPr>
      </w:pPr>
      <w:r>
        <w:rPr>
          <w:rFonts w:hint="eastAsia" w:ascii="宋体" w:hAnsi="宋体" w:cs="宋体"/>
          <w:szCs w:val="21"/>
        </w:rPr>
        <w:t xml:space="preserve">1.7 呼吸机保养：主机、压缩泵外壳清洁；气源过滤网更换清理；内部电子元器件除尘；湿化器、气体管路、空气过滤器、设备机身及配套台面定期维护。</w:t>
      </w:r>
      <w:r/>
    </w:p>
    <w:p>
      <w:pPr>
        <w:ind w:firstLine="420"/>
        <w:spacing w:line="400" w:lineRule="exact"/>
        <w:rPr>
          <w:rFonts w:ascii="宋体" w:hAnsi="宋体" w:cs="宋体"/>
          <w:szCs w:val="21"/>
        </w:rPr>
      </w:pPr>
      <w:r>
        <w:rPr>
          <w:rFonts w:hint="eastAsia" w:ascii="宋体" w:hAnsi="宋体" w:cs="宋体"/>
          <w:szCs w:val="21"/>
        </w:rPr>
        <w:t xml:space="preserve">1.8 检验科设备维保配合及保养要求</w:t>
      </w:r>
      <w:r/>
    </w:p>
    <w:p>
      <w:pPr>
        <w:ind w:firstLine="420"/>
        <w:spacing w:line="400" w:lineRule="exact"/>
        <w:rPr>
          <w:rFonts w:ascii="宋体" w:hAnsi="宋体" w:cs="宋体"/>
          <w:szCs w:val="21"/>
        </w:rPr>
      </w:pPr>
      <w:r>
        <w:rPr>
          <w:rFonts w:hint="eastAsia" w:ascii="宋体" w:hAnsi="宋体" w:cs="宋体"/>
          <w:szCs w:val="21"/>
        </w:rPr>
        <w:t xml:space="preserve">中标供应商协助采购人完成 PCR 仪、比色池、蠕动泵等检验科设备定期校准工作，校准产生的全部费用由采购人承担；</w:t>
      </w:r>
      <w:r/>
    </w:p>
    <w:p>
      <w:pPr>
        <w:ind w:firstLine="420"/>
        <w:spacing w:line="400" w:lineRule="exact"/>
        <w:rPr>
          <w:rFonts w:ascii="宋体" w:hAnsi="宋体" w:cs="宋体"/>
          <w:szCs w:val="21"/>
        </w:rPr>
      </w:pPr>
      <w:r>
        <w:rPr>
          <w:rFonts w:hint="eastAsia" w:ascii="宋体" w:hAnsi="宋体" w:cs="宋体"/>
          <w:szCs w:val="21"/>
        </w:rPr>
        <w:t xml:space="preserve">生化分析仪保养内容：供电线路养护、管路蒸馏水冲洗；定期更换比色池与蠕动泵之间的硅胶管路；光源组件清洁维护。</w:t>
      </w:r>
      <w:r/>
    </w:p>
    <w:p>
      <w:pPr>
        <w:ind w:firstLine="420"/>
        <w:spacing w:line="400" w:lineRule="exact"/>
        <w:rPr>
          <w:rFonts w:ascii="宋体" w:hAnsi="宋体" w:cs="宋体"/>
          <w:szCs w:val="21"/>
        </w:rPr>
      </w:pPr>
      <w:r>
        <w:rPr>
          <w:rFonts w:hint="eastAsia" w:ascii="宋体" w:hAnsi="宋体" w:cs="宋体"/>
          <w:szCs w:val="21"/>
        </w:rPr>
        <w:t xml:space="preserve">1.9 硬管内窥镜保养：镜体工作管路、机械结构、目镜眼罩、光缆连接接口分部位清洁养护。</w:t>
      </w:r>
      <w:r/>
    </w:p>
    <w:p>
      <w:pPr>
        <w:ind w:firstLine="420"/>
        <w:spacing w:line="400" w:lineRule="exact"/>
        <w:rPr>
          <w:rFonts w:ascii="宋体" w:hAnsi="宋体" w:cs="宋体"/>
          <w:szCs w:val="21"/>
        </w:rPr>
      </w:pPr>
      <w:r>
        <w:rPr>
          <w:rFonts w:hint="eastAsia" w:ascii="宋体" w:hAnsi="宋体" w:cs="宋体"/>
          <w:szCs w:val="21"/>
        </w:rPr>
        <w:t xml:space="preserve">1.10 监护仪保养：心电导联线完整性检测、血氧模块校验、呼吸功能检测、无创血压模块性能核查。</w:t>
      </w:r>
      <w:r/>
    </w:p>
    <w:p>
      <w:pPr>
        <w:ind w:firstLine="420"/>
        <w:spacing w:line="400" w:lineRule="exact"/>
        <w:rPr>
          <w:rFonts w:ascii="宋体" w:hAnsi="宋体" w:cs="宋体"/>
          <w:szCs w:val="21"/>
        </w:rPr>
      </w:pPr>
      <w:r>
        <w:rPr>
          <w:rFonts w:hint="eastAsia" w:ascii="宋体" w:hAnsi="宋体" w:cs="宋体"/>
          <w:szCs w:val="21"/>
        </w:rPr>
        <w:t xml:space="preserve">1.11 急救及生命支持类设备统一保养流程（输液泵、微量注射泵、电动洗胃机、心电图机、监护仪、除颤仪等）：</w:t>
      </w:r>
      <w:r/>
    </w:p>
    <w:p>
      <w:pPr>
        <w:ind w:firstLine="420"/>
        <w:spacing w:line="400" w:lineRule="exact"/>
        <w:rPr>
          <w:rFonts w:ascii="宋体" w:hAnsi="宋体" w:cs="宋体"/>
          <w:szCs w:val="21"/>
        </w:rPr>
      </w:pPr>
      <w:r>
        <w:rPr>
          <w:rFonts w:hint="eastAsia" w:ascii="宋体" w:hAnsi="宋体" w:cs="宋体"/>
          <w:szCs w:val="21"/>
        </w:rPr>
        <w:t xml:space="preserve">第一步通电开机自检，排查设备故障报错；第二步校验各类配套附件参数是否正常；第三步整机全面除尘养护。</w:t>
      </w:r>
      <w:r/>
    </w:p>
    <w:p>
      <w:pPr>
        <w:ind w:firstLine="420"/>
        <w:spacing w:line="400" w:lineRule="exact"/>
        <w:rPr>
          <w:rFonts w:ascii="宋体" w:hAnsi="宋体" w:cs="宋体"/>
          <w:szCs w:val="21"/>
        </w:rPr>
      </w:pPr>
      <w:r>
        <w:rPr>
          <w:rFonts w:hint="eastAsia" w:ascii="宋体" w:hAnsi="宋体" w:cs="宋体"/>
          <w:szCs w:val="21"/>
        </w:rPr>
        <w:t xml:space="preserve">1.12 水处理机常规维保：每季度开展整机化学消杀；每半年完成显示屏、原水压力、消毒参数、定时开关机程序校正。</w:t>
      </w:r>
      <w:r/>
    </w:p>
    <w:p>
      <w:pPr>
        <w:ind w:firstLine="420"/>
        <w:spacing w:line="400" w:lineRule="exact"/>
        <w:rPr>
          <w:rFonts w:ascii="宋体" w:hAnsi="宋体" w:cs="宋体"/>
          <w:szCs w:val="21"/>
        </w:rPr>
      </w:pPr>
      <w:r>
        <w:rPr>
          <w:rFonts w:hint="eastAsia" w:ascii="宋体" w:hAnsi="宋体" w:cs="宋体"/>
          <w:szCs w:val="21"/>
        </w:rPr>
        <w:t xml:space="preserve">1.13 其余未列明所有医疗设备，全部严格按照设备原厂技术规范、保养标准执行定期维保作业。</w:t>
      </w:r>
      <w:r/>
    </w:p>
    <w:p>
      <w:pPr>
        <w:ind w:firstLine="420"/>
        <w:spacing w:line="400" w:lineRule="exact"/>
        <w:rPr>
          <w:rFonts w:ascii="宋体" w:hAnsi="宋体" w:cs="宋体"/>
          <w:szCs w:val="21"/>
        </w:rPr>
      </w:pPr>
      <w:r>
        <w:rPr>
          <w:rFonts w:hint="eastAsia" w:ascii="宋体" w:hAnsi="宋体" w:cs="宋体"/>
          <w:szCs w:val="21"/>
        </w:rPr>
        <w:t xml:space="preserve">2.配件与耗材界定</w:t>
      </w:r>
      <w:r/>
    </w:p>
    <w:p>
      <w:pPr>
        <w:ind w:firstLine="420"/>
        <w:spacing w:line="400" w:lineRule="exact"/>
        <w:rPr>
          <w:rFonts w:ascii="宋体" w:hAnsi="宋体" w:cs="宋体"/>
          <w:szCs w:val="21"/>
        </w:rPr>
      </w:pPr>
      <w:r>
        <w:rPr>
          <w:rFonts w:hint="eastAsia" w:ascii="宋体" w:hAnsi="宋体" w:cs="宋体"/>
          <w:szCs w:val="21"/>
        </w:rPr>
        <w:t xml:space="preserve">本维保服务范围内，除设备专用易损耗材外，所有设备原装配件、零部件均纳入免费维修更换范畴；</w:t>
      </w:r>
      <w:r/>
    </w:p>
    <w:p>
      <w:pPr>
        <w:ind w:firstLine="420"/>
        <w:spacing w:line="400" w:lineRule="exact"/>
        <w:rPr>
          <w:rFonts w:ascii="宋体" w:hAnsi="宋体"/>
          <w:b/>
          <w:bCs/>
          <w:szCs w:val="21"/>
        </w:rPr>
      </w:pPr>
      <w:r>
        <w:rPr>
          <w:rFonts w:hint="eastAsia" w:ascii="宋体" w:hAnsi="宋体" w:cs="宋体"/>
          <w:szCs w:val="21"/>
        </w:rPr>
        <w:t xml:space="preserve">对于本条款未列明、双方存在理解分歧的耗材品类，服务实施过程中由采购人与中标供应商友好协商确定归属及费用承担方式。</w:t>
      </w:r>
      <w:r/>
    </w:p>
    <w:p>
      <w:pPr>
        <w:ind w:firstLine="420"/>
        <w:spacing w:line="400" w:lineRule="exact"/>
        <w:rPr>
          <w:rFonts w:ascii="宋体" w:hAnsi="宋体" w:cs="宋体"/>
          <w:b/>
          <w:bCs/>
          <w:szCs w:val="21"/>
        </w:rPr>
        <w:outlineLvl w:val="1"/>
      </w:pPr>
      <w:r>
        <w:rPr>
          <w:rFonts w:hint="eastAsia" w:ascii="宋体" w:hAnsi="宋体" w:cs="宋体"/>
          <w:b/>
          <w:bCs/>
          <w:szCs w:val="21"/>
        </w:rPr>
        <w:t xml:space="preserve">三）现有设备管理软件使用、维护及费用承担要求：</w:t>
      </w:r>
      <w:r/>
    </w:p>
    <w:p>
      <w:pPr>
        <w:ind w:firstLine="420"/>
        <w:spacing w:line="400" w:lineRule="exact"/>
        <w:rPr>
          <w:rFonts w:ascii="宋体" w:hAnsi="宋体" w:cs="宋体"/>
          <w:szCs w:val="21"/>
        </w:rPr>
      </w:pPr>
      <w:r>
        <w:rPr>
          <w:rFonts w:hint="eastAsia" w:ascii="宋体" w:hAnsi="宋体" w:cs="宋体"/>
          <w:szCs w:val="21"/>
        </w:rPr>
        <w:t xml:space="preserve">医院已本地化部署医疗设备全生命周期管理系统，该系统包含国家级试点项目 —— 医疗器械</w:t>
      </w:r>
      <w:r>
        <w:rPr>
          <w:rFonts w:hint="eastAsia" w:ascii="宋体" w:hAnsi="宋体" w:cs="宋体"/>
          <w:szCs w:val="21"/>
        </w:rPr>
        <w:t xml:space="preserve">故障类不良事件一键上报模块，已完成与院内 HIS、PACS 系统对接，具备设备基础信息管理、设备效益分析、不良事件一键上报、质控及计量管理等业务功能模块。</w:t>
      </w:r>
      <w:r/>
    </w:p>
    <w:p>
      <w:pPr>
        <w:ind w:firstLine="420"/>
        <w:spacing w:line="400" w:lineRule="exact"/>
        <w:rPr>
          <w:rFonts w:ascii="宋体" w:hAnsi="宋体" w:cs="宋体"/>
          <w:szCs w:val="21"/>
        </w:rPr>
      </w:pPr>
      <w:r>
        <w:rPr>
          <w:rFonts w:hint="eastAsia" w:ascii="宋体" w:hAnsi="宋体" w:cs="宋体"/>
          <w:szCs w:val="21"/>
        </w:rPr>
        <w:t xml:space="preserve">中标供应商可二选一执行以下方案：</w:t>
      </w:r>
      <w:r/>
    </w:p>
    <w:p>
      <w:pPr>
        <w:ind w:firstLine="420"/>
        <w:spacing w:line="400" w:lineRule="exact"/>
        <w:rPr>
          <w:rFonts w:ascii="宋体" w:hAnsi="宋体" w:cs="宋体"/>
          <w:szCs w:val="21"/>
        </w:rPr>
      </w:pPr>
      <w:r>
        <w:rPr>
          <w:rFonts w:hint="eastAsia" w:ascii="宋体" w:hAnsi="宋体" w:cs="宋体"/>
          <w:szCs w:val="21"/>
        </w:rPr>
        <w:t xml:space="preserve">1.沿用采购人现有系统方案</w:t>
      </w:r>
      <w:r/>
    </w:p>
    <w:p>
      <w:pPr>
        <w:ind w:firstLine="420"/>
        <w:spacing w:line="400" w:lineRule="exact"/>
        <w:rPr>
          <w:rFonts w:ascii="宋体" w:hAnsi="宋体" w:cs="宋体"/>
          <w:szCs w:val="21"/>
        </w:rPr>
      </w:pPr>
      <w:r>
        <w:rPr>
          <w:rFonts w:hint="eastAsia" w:ascii="宋体" w:hAnsi="宋体" w:cs="宋体"/>
          <w:szCs w:val="21"/>
        </w:rPr>
        <w:t xml:space="preserve">中标供应商进场后，须无缝接管并完整使用采购人现有全套软件系统（含不良事件一键上报模块）。驻场服务团队须及时完整录入、维护设备维修、保养、巡检等全生命周期业务数据，并依托系统按要求出具设备效益分析相关报表。</w:t>
      </w:r>
      <w:r/>
    </w:p>
    <w:p>
      <w:pPr>
        <w:ind w:firstLine="420"/>
        <w:spacing w:line="400" w:lineRule="exact"/>
        <w:rPr>
          <w:rFonts w:ascii="宋体" w:hAnsi="宋体" w:cs="宋体"/>
          <w:szCs w:val="21"/>
        </w:rPr>
      </w:pPr>
      <w:r>
        <w:rPr>
          <w:rFonts w:hint="eastAsia" w:ascii="宋体" w:hAnsi="宋体" w:cs="宋体"/>
          <w:szCs w:val="21"/>
        </w:rPr>
        <w:t xml:space="preserve">为保障现有软件系统稳定运行、接口迭代升级及院内网络安全，中标供应商承担该系统原厂技术支持与运维服务费用，费用上限 10 万元 / 年，两年服务期合计上限 20 万元，具体金额由中标供应商自行与软件原厂商务洽谈。</w:t>
      </w:r>
      <w:r/>
    </w:p>
    <w:p>
      <w:pPr>
        <w:ind w:firstLine="420"/>
        <w:spacing w:line="400" w:lineRule="exact"/>
        <w:rPr>
          <w:rFonts w:ascii="宋体" w:hAnsi="宋体" w:cs="宋体"/>
          <w:szCs w:val="21"/>
        </w:rPr>
      </w:pPr>
      <w:r>
        <w:rPr>
          <w:rFonts w:hint="eastAsia" w:ascii="宋体" w:hAnsi="宋体" w:cs="宋体"/>
          <w:szCs w:val="21"/>
        </w:rPr>
        <w:t xml:space="preserve">该笔费用须全额包含在投标总报价内，采购人不另行支付。中标供应商须在中标后合同签订前（或收到采购人书面通知后 15 个工作日内），配合采购人与软件原厂完成维保协议对接，由中标供应商直接向软件原厂支付上述系统运维费用。</w:t>
      </w:r>
      <w:r/>
    </w:p>
    <w:p>
      <w:pPr>
        <w:ind w:firstLine="420"/>
        <w:spacing w:line="400" w:lineRule="exact"/>
        <w:rPr>
          <w:rFonts w:ascii="宋体" w:hAnsi="宋体" w:cs="宋体"/>
          <w:szCs w:val="21"/>
        </w:rPr>
      </w:pPr>
      <w:r>
        <w:rPr>
          <w:rFonts w:hint="eastAsia" w:ascii="宋体" w:hAnsi="宋体" w:cs="宋体"/>
          <w:szCs w:val="21"/>
        </w:rPr>
        <w:t xml:space="preserve">2.部署自有系统替换方案</w:t>
      </w:r>
      <w:r/>
    </w:p>
    <w:p>
      <w:pPr>
        <w:ind w:firstLine="420"/>
        <w:spacing w:line="400" w:lineRule="exact"/>
        <w:rPr>
          <w:rFonts w:ascii="宋体" w:hAnsi="宋体" w:cs="宋体"/>
          <w:szCs w:val="21"/>
        </w:rPr>
      </w:pPr>
      <w:r>
        <w:rPr>
          <w:rFonts w:hint="eastAsia" w:ascii="宋体" w:hAnsi="宋体" w:cs="宋体"/>
          <w:szCs w:val="21"/>
        </w:rPr>
        <w:t xml:space="preserve">中标供应商可部署自有医疗设备全生命周期管理系统，系统必须为本地化部署，必须完整实现医疗设备全生命周期管理、质控管理、设备效益分析、医疗器械不良事件一键上报等；须完成历史业务数据完整迁移、系统验证成熟稳定后方可替换原有系统。在完成替换之前，中标供应商仍必须使用采购人原有系统开展全部维保业务，相关要求参照本条第 1 款执行。</w:t>
      </w:r>
      <w:r/>
    </w:p>
    <w:p>
      <w:pPr>
        <w:ind w:firstLine="420"/>
        <w:spacing w:line="400" w:lineRule="exact"/>
        <w:rPr>
          <w:rFonts w:ascii="宋体" w:hAnsi="宋体" w:cs="宋体"/>
          <w:szCs w:val="21"/>
        </w:rPr>
      </w:pPr>
      <w:r>
        <w:rPr>
          <w:rFonts w:hint="eastAsia" w:ascii="宋体" w:hAnsi="宋体" w:cs="宋体"/>
          <w:szCs w:val="21"/>
        </w:rPr>
        <w:t xml:space="preserve">本系统涉及医院敏感业务数据，中标供应商及其驻场工程师须严格遵守医院本地化部署信息安全管理相关规定，所有业务数据、资料均留存于医院内部，严禁私自导出、外传。</w:t>
      </w:r>
      <w:r/>
    </w:p>
    <w:p>
      <w:pPr>
        <w:ind w:firstLine="420"/>
        <w:spacing w:line="400" w:lineRule="exact"/>
        <w:rPr>
          <w:rFonts w:ascii="宋体" w:hAnsi="宋体" w:cs="宋体"/>
          <w:szCs w:val="21"/>
        </w:rPr>
        <w:outlineLvl w:val="1"/>
      </w:pPr>
      <w:r>
        <w:rPr>
          <w:rFonts w:hint="eastAsia" w:ascii="宋体" w:hAnsi="宋体" w:cs="宋体"/>
          <w:b/>
          <w:bCs/>
          <w:szCs w:val="21"/>
        </w:rPr>
        <w:t xml:space="preserve">四）其他要求：</w:t>
      </w:r>
      <w:r/>
    </w:p>
    <w:p>
      <w:pPr>
        <w:ind w:firstLine="420"/>
        <w:spacing w:line="400" w:lineRule="exact"/>
        <w:rPr>
          <w:rFonts w:ascii="宋体" w:hAnsi="宋体" w:cs="宋体"/>
          <w:szCs w:val="21"/>
        </w:rPr>
      </w:pPr>
      <w:r>
        <w:rPr>
          <w:rFonts w:hint="eastAsia" w:ascii="宋体" w:hAnsi="宋体" w:cs="宋体"/>
          <w:szCs w:val="21"/>
        </w:rPr>
        <w:t xml:space="preserve">1、项目过程风险控制</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中标供应商须在签订合同前投保不低于 500 万元保额的维修类第三者责任保险，用于保障维修作业过程中发生意外事故造成的第三者人身伤亡及财产损失；保险有效期须覆盖整个服务周期。</w:t>
      </w:r>
      <w:r/>
    </w:p>
    <w:p>
      <w:pPr>
        <w:ind w:firstLine="420"/>
        <w:spacing w:line="400" w:lineRule="exact"/>
        <w:rPr>
          <w:rFonts w:ascii="宋体" w:hAnsi="宋体" w:cs="宋体"/>
          <w:szCs w:val="21"/>
        </w:rPr>
      </w:pPr>
      <w:r>
        <w:rPr>
          <w:rFonts w:hint="eastAsia" w:ascii="宋体" w:hAnsi="宋体" w:cs="宋体"/>
          <w:szCs w:val="21"/>
        </w:rPr>
        <w:t xml:space="preserve">2、本项目全部服务实施须遵守国家、行业、地方现行法律、法规、标准及规范，及时执行国家、地方政府、行业协会新发布的标准、条例；服务开展须服从采购人各职能部门、临床科室工作时间及管理要求。</w:t>
      </w:r>
      <w:r/>
    </w:p>
    <w:p>
      <w:pPr>
        <w:ind w:firstLine="420"/>
        <w:spacing w:line="400" w:lineRule="exact"/>
        <w:rPr>
          <w:rFonts w:ascii="宋体" w:hAnsi="宋体" w:cs="宋体"/>
          <w:szCs w:val="21"/>
        </w:rPr>
      </w:pPr>
      <w:r>
        <w:rPr>
          <w:rFonts w:hint="eastAsia" w:ascii="宋体" w:hAnsi="宋体" w:cs="宋体"/>
          <w:szCs w:val="21"/>
        </w:rPr>
        <w:t xml:space="preserve">3、分包管理</w:t>
      </w:r>
      <w:r/>
    </w:p>
    <w:p>
      <w:pPr>
        <w:ind w:firstLine="420"/>
        <w:spacing w:line="400" w:lineRule="exact"/>
        <w:rPr>
          <w:rFonts w:ascii="宋体" w:hAnsi="宋体" w:cs="宋体"/>
          <w:szCs w:val="21"/>
        </w:rPr>
      </w:pPr>
      <w:r>
        <w:rPr>
          <w:rFonts w:hint="eastAsia" w:ascii="宋体" w:hAnsi="宋体" w:cs="宋体"/>
          <w:szCs w:val="21"/>
        </w:rPr>
        <w:t xml:space="preserve">本项目主体服务须由中标供应商按照医院要求完成。</w:t>
      </w:r>
      <w:r/>
    </w:p>
    <w:p>
      <w:pPr>
        <w:ind w:firstLine="420"/>
        <w:spacing w:line="400" w:lineRule="exact"/>
        <w:rPr>
          <w:rFonts w:ascii="宋体" w:hAnsi="宋体" w:cs="宋体"/>
          <w:szCs w:val="21"/>
        </w:rPr>
      </w:pPr>
      <w:r>
        <w:rPr>
          <w:rFonts w:hint="eastAsia" w:ascii="宋体" w:hAnsi="宋体" w:cs="宋体"/>
          <w:szCs w:val="21"/>
        </w:rPr>
        <w:t xml:space="preserve">在满足下列情形下，可将部分专业工作委托第三方实施，相关费用全部由中标供应商自行承担：</w:t>
      </w:r>
      <w:r/>
    </w:p>
    <w:p>
      <w:pPr>
        <w:ind w:firstLine="420"/>
        <w:spacing w:line="400" w:lineRule="exact"/>
        <w:rPr>
          <w:rFonts w:ascii="宋体" w:hAnsi="宋体" w:cs="宋体"/>
          <w:szCs w:val="21"/>
        </w:rPr>
      </w:pPr>
      <w:r>
        <w:rPr>
          <w:rFonts w:hint="eastAsia" w:ascii="宋体" w:hAnsi="宋体" w:cs="宋体"/>
          <w:szCs w:val="21"/>
        </w:rPr>
        <w:t xml:space="preserve">（1）特殊大型医疗设备，确需设备原厂或具备专项资质第三方开展技术支持的；</w:t>
      </w:r>
      <w:r/>
    </w:p>
    <w:p>
      <w:pPr>
        <w:ind w:firstLine="420"/>
        <w:spacing w:line="400" w:lineRule="exact"/>
        <w:rPr>
          <w:rFonts w:ascii="宋体" w:hAnsi="宋体" w:cs="宋体"/>
          <w:szCs w:val="21"/>
        </w:rPr>
      </w:pPr>
      <w:r>
        <w:rPr>
          <w:rFonts w:hint="eastAsia" w:ascii="宋体" w:hAnsi="宋体" w:cs="宋体"/>
          <w:szCs w:val="21"/>
        </w:rPr>
        <w:t xml:space="preserve">（2）按采购人要求，向现有设备管理软件原厂采购技术维护服务。</w:t>
      </w:r>
      <w:r/>
    </w:p>
    <w:p>
      <w:pPr>
        <w:ind w:firstLine="420"/>
        <w:spacing w:line="400" w:lineRule="exact"/>
        <w:rPr>
          <w:rFonts w:ascii="宋体" w:hAnsi="宋体" w:cs="宋体"/>
          <w:szCs w:val="21"/>
        </w:rPr>
      </w:pPr>
      <w:r>
        <w:rPr>
          <w:rFonts w:hint="eastAsia" w:ascii="宋体" w:hAnsi="宋体" w:cs="宋体"/>
          <w:szCs w:val="21"/>
        </w:rPr>
        <w:t xml:space="preserve">除上述情形外，如需委托其他第三方提供服务，须事先取得采购人书面同意，接受委托单位不得再次分包。</w:t>
      </w:r>
      <w:r/>
    </w:p>
    <w:p>
      <w:pPr>
        <w:ind w:firstLine="420"/>
        <w:spacing w:line="400" w:lineRule="exact"/>
        <w:rPr>
          <w:rFonts w:ascii="宋体" w:hAnsi="宋体" w:cs="宋体"/>
          <w:szCs w:val="21"/>
        </w:rPr>
      </w:pPr>
      <w:r>
        <w:rPr>
          <w:rFonts w:hint="eastAsia" w:ascii="宋体" w:hAnsi="宋体" w:cs="宋体"/>
          <w:szCs w:val="21"/>
        </w:rPr>
        <w:t xml:space="preserve">4、人员要求</w:t>
      </w:r>
      <w:r/>
    </w:p>
    <w:p>
      <w:pPr>
        <w:ind w:firstLine="420"/>
        <w:spacing w:line="400" w:lineRule="exact"/>
        <w:rPr>
          <w:rFonts w:ascii="宋体" w:hAnsi="宋体" w:cs="宋体"/>
          <w:szCs w:val="21"/>
        </w:rPr>
      </w:pPr>
      <w:r>
        <w:rPr>
          <w:rFonts w:hint="eastAsia" w:ascii="宋体" w:hAnsi="宋体" w:cs="宋体"/>
          <w:szCs w:val="21"/>
        </w:rPr>
        <w:t xml:space="preserve">中标供应商为本项目派驻不少于 4 名专职驻场维护工程师，具备医疗设备维修保养专业技术能力，须持有能够证明急救生命支持类设备、血透设备、超声三大类设备维修能力的有效证明材料，</w:t>
      </w:r>
      <w:r>
        <w:rPr>
          <w:rFonts w:hint="eastAsia" w:ascii="宋体" w:hAnsi="宋体" w:cs="宋体"/>
          <w:b/>
          <w:bCs/>
          <w:szCs w:val="21"/>
        </w:rPr>
        <w:t xml:space="preserve">投标时提供驻场人员身份证明文件、投标单位或技术支持单位为其缴纳的2026年6月至今任意一期社保缴纳证明复印件，必须与专业技术证明文件一致。未提供或提供的资料不全均为未实质性响应。</w:t>
      </w:r>
      <w:r/>
    </w:p>
    <w:p>
      <w:pPr>
        <w:ind w:firstLine="420"/>
        <w:spacing w:line="400" w:lineRule="exact"/>
        <w:rPr>
          <w:rFonts w:ascii="宋体" w:hAnsi="宋体" w:cs="宋体"/>
          <w:szCs w:val="21"/>
        </w:rPr>
      </w:pPr>
      <w:r>
        <w:rPr>
          <w:rFonts w:hint="eastAsia" w:ascii="宋体" w:hAnsi="宋体" w:cs="宋体"/>
          <w:szCs w:val="21"/>
        </w:rPr>
        <w:t xml:space="preserve">5、中标供应商须具备备件存储保障能力，服务期内在院内设置备件存放区域，储备多品类备件，包含合法渠道国内外原厂备件，保障维修更换需要。</w:t>
      </w:r>
      <w:r/>
    </w:p>
    <w:p>
      <w:pPr>
        <w:ind w:firstLine="420"/>
        <w:spacing w:line="400" w:lineRule="exact"/>
        <w:rPr>
          <w:rFonts w:ascii="宋体" w:hAnsi="宋体" w:cs="宋体"/>
          <w:szCs w:val="21"/>
        </w:rPr>
      </w:pPr>
      <w:r>
        <w:rPr>
          <w:rFonts w:hint="eastAsia" w:ascii="宋体" w:hAnsi="宋体" w:cs="宋体"/>
          <w:szCs w:val="21"/>
        </w:rPr>
        <w:t xml:space="preserve">6、进口零部件</w:t>
      </w:r>
      <w:r/>
    </w:p>
    <w:p>
      <w:pPr>
        <w:ind w:firstLine="420"/>
        <w:spacing w:line="400" w:lineRule="exact"/>
        <w:rPr>
          <w:rFonts w:ascii="宋体" w:hAnsi="宋体" w:cs="宋体"/>
          <w:szCs w:val="21"/>
        </w:rPr>
      </w:pPr>
      <w:r>
        <w:rPr>
          <w:rFonts w:hint="eastAsia" w:ascii="宋体" w:hAnsi="宋体" w:cs="宋体"/>
          <w:szCs w:val="21"/>
        </w:rPr>
        <w:t xml:space="preserve">本项目若涉及进口设备关键备件采购，由中标供应商负责办理零部件报关、清关等全部相关手续，并承担由此产生的全部费用。</w:t>
      </w:r>
      <w:r/>
    </w:p>
    <w:p>
      <w:pPr>
        <w:ind w:firstLine="420"/>
        <w:spacing w:line="400" w:lineRule="exact"/>
        <w:rPr>
          <w:rFonts w:ascii="宋体" w:hAnsi="宋体" w:cs="宋体"/>
          <w:szCs w:val="21"/>
        </w:rPr>
      </w:pPr>
      <w:r>
        <w:rPr>
          <w:rFonts w:hint="eastAsia" w:ascii="宋体" w:hAnsi="宋体" w:cs="宋体"/>
          <w:szCs w:val="21"/>
        </w:rPr>
        <w:t xml:space="preserve">7、中标供应商应建立完善的内部作业流程、管理制度，建立体系内审、自查管理机制，投标文件中提供相关制度方案。</w:t>
      </w:r>
      <w:r/>
    </w:p>
    <w:p>
      <w:pPr>
        <w:ind w:firstLine="420"/>
        <w:spacing w:line="400" w:lineRule="exact"/>
        <w:rPr>
          <w:rFonts w:ascii="宋体" w:hAnsi="宋体" w:cs="宋体"/>
          <w:szCs w:val="21"/>
        </w:rPr>
      </w:pPr>
      <w:r>
        <w:rPr>
          <w:rFonts w:hint="eastAsia" w:ascii="宋体" w:hAnsi="宋体" w:cs="宋体"/>
          <w:szCs w:val="21"/>
        </w:rPr>
        <w:t xml:space="preserve">8、质控要求</w:t>
      </w:r>
      <w:r/>
    </w:p>
    <w:p>
      <w:pPr>
        <w:ind w:firstLine="420"/>
        <w:spacing w:line="400" w:lineRule="exact"/>
        <w:rPr>
          <w:rFonts w:ascii="宋体" w:hAnsi="宋体" w:cs="宋体"/>
          <w:szCs w:val="21"/>
        </w:rPr>
      </w:pPr>
      <w:r>
        <w:rPr>
          <w:rFonts w:hint="eastAsia" w:ascii="宋体" w:hAnsi="宋体" w:cs="宋体"/>
          <w:szCs w:val="21"/>
        </w:rPr>
        <w:t xml:space="preserve">中标供应商须按省质控中心相关规范，完成生命支持、急救类设备日常质控检测工作。所使用质控检测仪器设备须经法定计量检测机构检定 / 校准合格，包括但不限于：生命体征模拟仪、除颤分析仪、电气安全分析仪、血透机电导率分析仪、气流分析仪、婴儿培养箱分析仪、电刀分析仪、X、γ 辐射周围剂量当量率仪、紫外辐射照度计、浮标式氧气吸入器检定装置。配备经专业培训合格的工程师，协助采购人完成国家规定的质控、强检、计量相关工作。</w:t>
      </w:r>
      <w:r/>
    </w:p>
    <w:p>
      <w:pPr>
        <w:ind w:firstLine="420"/>
        <w:spacing w:line="400" w:lineRule="exact"/>
        <w:rPr>
          <w:rFonts w:ascii="宋体" w:hAnsi="宋体" w:cs="宋体"/>
          <w:szCs w:val="21"/>
        </w:rPr>
      </w:pPr>
      <w:r>
        <w:rPr>
          <w:rFonts w:hint="eastAsia" w:ascii="宋体" w:hAnsi="宋体" w:cs="宋体"/>
          <w:szCs w:val="21"/>
        </w:rPr>
        <w:t xml:space="preserve">9、院方考核</w:t>
      </w:r>
      <w:r/>
    </w:p>
    <w:p>
      <w:pPr>
        <w:ind w:firstLine="420"/>
        <w:spacing w:line="400" w:lineRule="exact"/>
        <w:rPr>
          <w:rFonts w:ascii="宋体" w:hAnsi="宋体" w:cs="宋体"/>
          <w:szCs w:val="21"/>
        </w:rPr>
      </w:pPr>
      <w:r>
        <w:rPr>
          <w:rFonts w:hint="eastAsia" w:ascii="宋体" w:hAnsi="宋体" w:cs="宋体"/>
          <w:szCs w:val="21"/>
        </w:rPr>
        <w:t xml:space="preserve">采购人每季度组织设备管理部门、临床使用科室，对中标供应商的服务态度、故障响应时效、维修技术水平、故障修复效率、设备开机率等开展满意度及履约考核，考核结果作为服务费支付依据。每服务年度末组织开展年度综合考核，年度考核细则由采购人与中标供应商协商确定。</w:t>
      </w:r>
      <w:r/>
    </w:p>
    <w:p>
      <w:pPr>
        <w:ind w:firstLine="420"/>
        <w:spacing w:line="400" w:lineRule="exact"/>
        <w:rPr>
          <w:rFonts w:ascii="宋体" w:hAnsi="宋体" w:cs="宋体"/>
          <w:szCs w:val="21"/>
        </w:rPr>
      </w:pPr>
      <w:r>
        <w:rPr>
          <w:rFonts w:hint="eastAsia" w:ascii="宋体" w:hAnsi="宋体" w:cs="宋体"/>
          <w:szCs w:val="21"/>
        </w:rPr>
        <w:t xml:space="preserve">（1）季度考核如出现中标供应商工作不达标情形，按双方确认的考核标准予以扣分；详细考核细则，于中标供应商进场前由甲乙双方结合招标文件约定共同制定。</w:t>
      </w:r>
      <w:r/>
    </w:p>
    <w:p>
      <w:pPr>
        <w:ind w:firstLine="420"/>
        <w:spacing w:line="400" w:lineRule="exact"/>
        <w:rPr>
          <w:rFonts w:ascii="宋体" w:hAnsi="宋体" w:cs="宋体"/>
          <w:szCs w:val="21"/>
        </w:rPr>
      </w:pPr>
      <w:r>
        <w:rPr>
          <w:rFonts w:hint="eastAsia" w:ascii="宋体" w:hAnsi="宋体" w:cs="宋体"/>
          <w:szCs w:val="21"/>
        </w:rPr>
        <w:t xml:space="preserve">（2）中标供应商须建立自查机制，做到每周内部自查、每月全面检查，形成检查记录表，经医院相关科室签字确认留存。</w:t>
      </w:r>
      <w:r/>
    </w:p>
    <w:p>
      <w:pPr>
        <w:ind w:firstLine="420"/>
        <w:spacing w:line="400" w:lineRule="exact"/>
        <w:rPr>
          <w:rFonts w:ascii="宋体" w:hAnsi="宋体" w:cs="宋体"/>
          <w:szCs w:val="21"/>
        </w:rPr>
      </w:pPr>
      <w:r>
        <w:rPr>
          <w:rFonts w:hint="eastAsia" w:ascii="宋体" w:hAnsi="宋体" w:cs="宋体"/>
          <w:szCs w:val="21"/>
        </w:rPr>
        <w:t xml:space="preserve">（3）采购人除定期考核检查外，对检查发现的问题可下达书面整改通知书，中标供应商须在通知书规定期限内完成整改并反馈。</w:t>
      </w:r>
      <w:r/>
    </w:p>
    <w:p>
      <w:pPr>
        <w:spacing w:line="360" w:lineRule="auto"/>
        <w:rPr>
          <w:rFonts w:ascii="宋体" w:hAnsi="宋体"/>
          <w:b/>
          <w:bCs/>
          <w:szCs w:val="21"/>
        </w:rPr>
      </w:pPr>
      <w:r>
        <w:rPr>
          <w:rFonts w:hint="eastAsia" w:ascii="宋体" w:hAnsi="宋体"/>
          <w:b/>
          <w:bCs/>
          <w:szCs w:val="21"/>
        </w:rPr>
        <w:t xml:space="preserve">五）维保范围清单（医院现有医疗设备清单）</w:t>
      </w:r>
      <w:r/>
    </w:p>
    <w:p>
      <w:pPr>
        <w:spacing w:line="360" w:lineRule="auto"/>
        <w:rPr>
          <w:rFonts w:ascii="宋体" w:hAnsi="宋体"/>
          <w:b/>
          <w:bCs/>
          <w:szCs w:val="21"/>
        </w:rPr>
      </w:pPr>
      <w:r>
        <w:rPr>
          <w:rFonts w:hint="eastAsia" w:ascii="宋体" w:hAnsi="宋体"/>
          <w:b/>
          <w:bCs/>
          <w:szCs w:val="21"/>
        </w:rPr>
        <w:t xml:space="preserve">1、5万元以上入第三方维保清单</w:t>
      </w:r>
      <w:r/>
    </w:p>
    <w:p>
      <w:pPr>
        <w:spacing w:line="360" w:lineRule="auto"/>
        <w:rPr>
          <w:rFonts w:ascii="宋体" w:hAnsi="宋体"/>
          <w:b/>
          <w:bCs/>
          <w:szCs w:val="21"/>
        </w:rPr>
      </w:pPr>
      <w:r>
        <w:rPr>
          <w:rFonts w:hint="eastAsia" w:ascii="宋体" w:hAnsi="宋体"/>
          <w:b/>
          <w:bCs/>
          <w:szCs w:val="21"/>
        </w:rPr>
        <w:t xml:space="preserve">2、2026年8月30日后陆续出保设备</w:t>
      </w:r>
      <w:r/>
    </w:p>
    <w:p>
      <w:pPr>
        <w:spacing w:line="360" w:lineRule="auto"/>
        <w:rPr>
          <w:rFonts w:ascii="宋体" w:hAnsi="宋体"/>
          <w:b/>
          <w:bCs/>
          <w:szCs w:val="21"/>
        </w:rPr>
      </w:pPr>
      <w:r>
        <w:rPr>
          <w:rFonts w:hint="eastAsia" w:ascii="宋体" w:hAnsi="宋体"/>
          <w:b/>
          <w:bCs/>
          <w:szCs w:val="21"/>
        </w:rPr>
        <w:t xml:space="preserve">注：以上序号1、2清单请在百度网盘下载：</w:t>
      </w:r>
      <w:r/>
    </w:p>
    <w:p>
      <w:pPr>
        <w:spacing w:line="360" w:lineRule="auto"/>
        <w:rPr>
          <w:rFonts w:ascii="宋体" w:hAnsi="宋体"/>
          <w:b/>
          <w:bCs/>
          <w:szCs w:val="21"/>
        </w:rPr>
      </w:pPr>
      <w:r>
        <w:rPr>
          <w:rFonts w:hint="eastAsia" w:ascii="宋体" w:hAnsi="宋体"/>
          <w:b/>
          <w:bCs/>
          <w:szCs w:val="21"/>
        </w:rPr>
        <w:t xml:space="preserve">链接：https://pan.baidu.com/s/1VFIhfB3F4BAWH9eoS8XArQ?pwd=eebi    </w:t>
      </w:r>
      <w:r/>
    </w:p>
    <w:p>
      <w:pPr>
        <w:spacing w:line="360" w:lineRule="auto"/>
        <w:rPr>
          <w:rFonts w:ascii="宋体" w:hAnsi="宋体"/>
          <w:b/>
          <w:bCs/>
          <w:szCs w:val="21"/>
        </w:rPr>
      </w:pPr>
      <w:r>
        <w:rPr>
          <w:rFonts w:hint="eastAsia" w:ascii="宋体" w:hAnsi="宋体"/>
          <w:b/>
          <w:bCs/>
          <w:szCs w:val="21"/>
        </w:rPr>
        <w:t xml:space="preserve">提取码：eebi</w:t>
      </w:r>
      <w:r/>
    </w:p>
    <w:p>
      <w:pPr>
        <w:spacing w:line="360" w:lineRule="auto"/>
        <w:rPr>
          <w:rFonts w:ascii="宋体" w:hAnsi="宋体"/>
          <w:b/>
          <w:bCs/>
          <w:szCs w:val="21"/>
        </w:rPr>
      </w:pPr>
      <w:r>
        <w:rPr>
          <w:rFonts w:hint="eastAsia" w:ascii="宋体" w:hAnsi="宋体"/>
          <w:b/>
          <w:bCs/>
          <w:szCs w:val="21"/>
        </w:rPr>
        <w:t xml:space="preserve">五、项目实施方案要求</w:t>
      </w:r>
      <w:r/>
    </w:p>
    <w:p>
      <w:pPr>
        <w:ind w:firstLine="420"/>
        <w:spacing w:line="360" w:lineRule="auto"/>
        <w:rPr>
          <w:rFonts w:ascii="宋体" w:hAnsi="宋体"/>
          <w:szCs w:val="21"/>
        </w:rPr>
      </w:pPr>
      <w:r>
        <w:rPr>
          <w:rFonts w:hint="eastAsia" w:ascii="宋体" w:hAnsi="宋体"/>
          <w:szCs w:val="21"/>
        </w:rPr>
        <w:t xml:space="preserve">1.维护保养规范</w:t>
      </w:r>
      <w:r/>
    </w:p>
    <w:p>
      <w:pPr>
        <w:ind w:firstLine="420"/>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w:t>
      </w:r>
      <w:r/>
    </w:p>
    <w:p>
      <w:pPr>
        <w:ind w:firstLine="420"/>
        <w:spacing w:line="360" w:lineRule="auto"/>
        <w:rPr>
          <w:rFonts w:ascii="宋体" w:hAnsi="宋体"/>
          <w:szCs w:val="21"/>
        </w:rPr>
      </w:pPr>
      <w:r>
        <w:rPr>
          <w:rFonts w:hint="eastAsia" w:ascii="宋体" w:hAnsi="宋体"/>
          <w:szCs w:val="21"/>
        </w:rPr>
        <w:t xml:space="preserve">2.服务工作内容</w:t>
      </w:r>
      <w:r/>
    </w:p>
    <w:p>
      <w:pPr>
        <w:ind w:firstLine="420"/>
        <w:spacing w:line="360" w:lineRule="auto"/>
        <w:rPr>
          <w:rFonts w:ascii="宋体" w:hAnsi="宋体"/>
          <w:szCs w:val="21"/>
        </w:rPr>
      </w:pPr>
      <w:r>
        <w:rPr>
          <w:rFonts w:hint="eastAsia" w:ascii="宋体" w:hAnsi="宋体"/>
          <w:szCs w:val="21"/>
        </w:rPr>
        <w:t xml:space="preserve">投标人需针对本项目提供服务工作内容方案，内容至少包括维护保养程序、现场支援服务、维修设备工具、资料档案管理、维护保养服务监督管理机制等内容。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应急服务</w:t>
      </w:r>
      <w:r>
        <w:rPr>
          <w:rFonts w:hint="eastAsia" w:ascii="宋体" w:hAnsi="宋体"/>
          <w:szCs w:val="21"/>
        </w:rPr>
        <w:t xml:space="preserve">预</w:t>
      </w:r>
      <w:r>
        <w:rPr>
          <w:rFonts w:ascii="宋体" w:hAnsi="宋体"/>
          <w:szCs w:val="21"/>
        </w:rPr>
        <w:t xml:space="preserve">案</w:t>
      </w:r>
      <w:r/>
    </w:p>
    <w:p>
      <w:pPr>
        <w:ind w:firstLine="420"/>
        <w:spacing w:line="360" w:lineRule="auto"/>
        <w:rPr>
          <w:rFonts w:ascii="宋体" w:hAnsi="宋体"/>
          <w:szCs w:val="21"/>
        </w:rPr>
      </w:pPr>
      <w:r>
        <w:rPr>
          <w:rFonts w:hint="eastAsia" w:ascii="宋体" w:hAnsi="宋体"/>
          <w:szCs w:val="21"/>
        </w:rPr>
        <w:t xml:space="preserve">投标人需针对本项目提供应急服务预案，内容至少包括应急故障分析、应急抢修方案、应急响应措施、应急组织架构、人员职责划分等内容。</w:t>
      </w:r>
      <w:r/>
    </w:p>
    <w:p>
      <w:pPr>
        <w:ind w:firstLine="420"/>
        <w:spacing w:line="360" w:lineRule="auto"/>
        <w:rPr>
          <w:rFonts w:ascii="宋体" w:hAnsi="宋体"/>
          <w:szCs w:val="21"/>
        </w:rPr>
      </w:pPr>
      <w:r>
        <w:rPr>
          <w:rFonts w:hint="eastAsia" w:ascii="宋体" w:hAnsi="宋体"/>
          <w:szCs w:val="21"/>
        </w:rPr>
        <w:t xml:space="preserve">4.投入人员配备方案</w:t>
      </w:r>
      <w:r/>
    </w:p>
    <w:p>
      <w:pPr>
        <w:ind w:firstLine="420"/>
        <w:spacing w:line="360" w:lineRule="auto"/>
        <w:rPr>
          <w:rFonts w:ascii="宋体" w:hAnsi="宋体"/>
          <w:szCs w:val="21"/>
        </w:rPr>
      </w:pPr>
      <w:r>
        <w:rPr>
          <w:rFonts w:hint="eastAsia" w:ascii="宋体" w:hAnsi="宋体"/>
          <w:szCs w:val="21"/>
        </w:rPr>
        <w:t xml:space="preserve">投标人需针对本项目提供拟投入服务人员情况，内容至少包括投入本项目的人员配置情况、组织架构、服务监督管理机制方面等内容。</w:t>
      </w:r>
      <w:r/>
    </w:p>
    <w:p>
      <w:pPr>
        <w:ind w:firstLine="420"/>
        <w:spacing w:line="360" w:lineRule="auto"/>
        <w:rPr>
          <w:rFonts w:ascii="宋体" w:hAnsi="宋体"/>
          <w:szCs w:val="21"/>
        </w:rPr>
      </w:pPr>
      <w:r>
        <w:rPr>
          <w:rFonts w:hint="eastAsia" w:ascii="宋体" w:hAnsi="宋体"/>
          <w:szCs w:val="21"/>
        </w:rPr>
        <w:t xml:space="preserve">5.人员培训方案</w:t>
      </w:r>
      <w:r/>
    </w:p>
    <w:p>
      <w:pPr>
        <w:ind w:firstLine="210"/>
        <w:spacing w:line="360" w:lineRule="auto"/>
        <w:rPr>
          <w:rFonts w:ascii="宋体" w:hAnsi="宋体"/>
          <w:szCs w:val="21"/>
        </w:rPr>
      </w:pPr>
      <w:r>
        <w:rPr>
          <w:rFonts w:hint="eastAsia" w:ascii="宋体" w:hAnsi="宋体"/>
          <w:szCs w:val="21"/>
        </w:rPr>
        <w:t xml:space="preserve">投标人需针对本项目提供针对采购单位人员的培训方案，包括培训内容、培训频次、培训讲师清单等内容。</w:t>
      </w:r>
      <w:r/>
    </w:p>
    <w:p>
      <w:pPr>
        <w:ind w:firstLine="210"/>
        <w:spacing w:line="360" w:lineRule="auto"/>
        <w:rPr>
          <w:rFonts w:ascii="宋体" w:hAnsi="宋体"/>
          <w:b/>
          <w:bCs/>
          <w:szCs w:val="21"/>
        </w:rPr>
      </w:pPr>
      <w:r>
        <w:rPr>
          <w:rFonts w:hint="eastAsia" w:ascii="宋体" w:hAnsi="宋体"/>
          <w:szCs w:val="21"/>
        </w:rPr>
        <w:t xml:space="preserve">6.</w:t>
      </w:r>
      <w:r>
        <w:rPr>
          <w:szCs w:val="21"/>
        </w:rPr>
        <w:t xml:space="preserve">备品备件</w:t>
      </w:r>
      <w:r>
        <w:rPr>
          <w:rFonts w:hint="eastAsia"/>
          <w:szCs w:val="21"/>
        </w:rPr>
        <w:t xml:space="preserve">保障方案</w:t>
      </w:r>
      <w:r/>
    </w:p>
    <w:p>
      <w:pPr>
        <w:ind w:firstLine="210"/>
        <w:spacing w:line="360" w:lineRule="auto"/>
        <w:rPr>
          <w:rFonts w:ascii="宋体" w:hAnsi="宋体"/>
          <w:b/>
          <w:bCs/>
          <w:szCs w:val="21"/>
        </w:rPr>
      </w:pPr>
      <w:r>
        <w:rPr>
          <w:rFonts w:hint="eastAsia" w:ascii="宋体" w:hAnsi="宋体"/>
          <w:szCs w:val="21"/>
        </w:rPr>
        <w:t xml:space="preserve">投标人提供的备品备件方案，包括现场备品备件清单、备品备件补给时间、备件质保承诺等。</w:t>
      </w:r>
      <w:r/>
    </w:p>
    <w:p>
      <w:pPr>
        <w:spacing w:line="360" w:lineRule="auto"/>
        <w:rPr>
          <w:rFonts w:ascii="宋体" w:hAnsi="宋体"/>
          <w:b/>
          <w:bCs/>
          <w:szCs w:val="21"/>
        </w:rPr>
      </w:pPr>
      <w:r>
        <w:rPr>
          <w:rFonts w:hint="eastAsia" w:ascii="宋体" w:hAnsi="宋体"/>
          <w:b/>
          <w:bCs/>
          <w:szCs w:val="21"/>
        </w:rPr>
        <w:t xml:space="preserve">六、综合说明</w:t>
      </w:r>
      <w:r/>
    </w:p>
    <w:p>
      <w:pPr>
        <w:ind w:firstLine="420"/>
        <w:spacing w:line="360" w:lineRule="auto"/>
        <w:rPr>
          <w:rFonts w:ascii="宋体" w:hAnsi="宋体"/>
          <w:szCs w:val="21"/>
        </w:rPr>
      </w:pPr>
      <w:r>
        <w:rPr>
          <w:rFonts w:hint="eastAsia" w:ascii="宋体" w:hAnsi="宋体"/>
          <w:szCs w:val="21"/>
        </w:rPr>
        <w:t xml:space="preserve">1.投标人必须承诺招标文件中提出的全部技术服务要求，如果其中某些条款不响应时，应在投标文件中逐条列出，未列出的视同响应。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投标人总报价应包括但不限于人工（包括工资、奖金、社保、节假日加班）、设备维修保养、维修所更换的零配件、常用易损易耗备品备件、厂家维修调校费用、巡检记录、技术操作培训、医疗设备管理软件维护升级费用、维修责任保单、各种税费、利润、政策性文件规定及合同包含的所有风险、责任等费用。</w:t>
      </w:r>
      <w:r/>
    </w:p>
    <w:p>
      <w:pPr>
        <w:ind w:firstLine="420"/>
        <w:spacing w:line="360" w:lineRule="auto"/>
        <w:rPr>
          <w:rFonts w:ascii="宋体" w:hAnsi="宋体"/>
          <w:szCs w:val="21"/>
        </w:rPr>
      </w:pPr>
      <w:r>
        <w:rPr>
          <w:rFonts w:hint="eastAsia" w:ascii="宋体" w:hAnsi="宋体"/>
          <w:szCs w:val="21"/>
        </w:rPr>
        <w:t xml:space="preserve">3.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20"/>
        <w:spacing w:line="360" w:lineRule="auto"/>
        <w:rPr>
          <w:rFonts w:ascii="宋体" w:hAnsi="宋体"/>
          <w:szCs w:val="21"/>
        </w:rPr>
      </w:pPr>
      <w:r>
        <w:rPr>
          <w:rFonts w:hint="eastAsia" w:ascii="宋体" w:hAnsi="宋体"/>
          <w:szCs w:val="21"/>
        </w:rPr>
        <w:t xml:space="preserve">4.中标人工作人员在岗履行职责期间（包括上下班途中），发生自身的人身伤害、伤亡，均由中标人负责处理并承担经济和道义上的责任，采购人不承担任何责任</w:t>
      </w:r>
      <w:r>
        <w:rPr>
          <w:rFonts w:hint="eastAsia" w:ascii="宋体" w:hAnsi="宋体" w:cs="宋体"/>
          <w:bCs/>
          <w:szCs w:val="21"/>
        </w:rPr>
        <w:t xml:space="preserve">。</w:t>
      </w:r>
      <w:r/>
    </w:p>
    <w:p>
      <w:pPr>
        <w:ind w:firstLine="420"/>
        <w:spacing w:line="360" w:lineRule="auto"/>
        <w:rPr>
          <w:rFonts w:ascii="宋体" w:hAnsi="宋体"/>
          <w:szCs w:val="21"/>
        </w:rPr>
      </w:pPr>
      <w:r>
        <w:rPr>
          <w:rFonts w:hint="eastAsia" w:ascii="宋体" w:hAnsi="宋体"/>
          <w:szCs w:val="21"/>
        </w:rPr>
        <w:t xml:space="preserve">5.凡涉及本招标文件的补充说明、澄清及修改，均以苏州市政府采购网发布的补充（更正）通知为准。</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办公厅关于政府采购进口产品管理有关问题的通知的规定。本项目为服务类，不涉及。</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w:t>
      </w:r>
      <w:r>
        <w:rPr>
          <w:rFonts w:hint="eastAsia" w:ascii="宋体" w:hAnsi="宋体" w:cs="宋体"/>
          <w:szCs w:val="21"/>
        </w:rPr>
        <w:t xml:space="preserve">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3"/>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w:t>
      </w:r>
      <w:r>
        <w:rPr>
          <w:rFonts w:hint="eastAsia" w:ascii="宋体" w:hAnsi="宋体" w:cs="宋体"/>
        </w:rPr>
        <w:t xml:space="preserve">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ind w:firstLine="420"/>
        <w:spacing w:line="360" w:lineRule="auto"/>
        <w:tabs>
          <w:tab w:val="left" w:pos="567" w:leader="none"/>
        </w:tabs>
        <w:rPr>
          <w:rFonts w:ascii="宋体" w:hAnsi="宋体"/>
        </w:rPr>
      </w:pPr>
      <w:r>
        <w:rPr>
          <w:rFonts w:ascii="宋体" w:hAnsi="宋体"/>
        </w:rPr>
      </w:r>
      <w:bookmarkEnd w:id="53"/>
      <w:r/>
      <w:r/>
    </w:p>
    <w:p>
      <w:pPr>
        <w:pStyle w:val="937"/>
        <w:ind w:firstLine="640"/>
        <w:jc w:val="center"/>
        <w:pageBreakBefore/>
        <w:spacing w:line="360" w:lineRule="auto"/>
        <w:tabs>
          <w:tab w:val="right" w:pos="8302" w:leader="dot"/>
        </w:tabs>
        <w:rPr>
          <w:rFonts w:ascii="宋体" w:hAnsi="宋体" w:eastAsia="宋体" w:cs="宋体"/>
          <w:b/>
          <w:sz w:val="32"/>
          <w:szCs w:val="32"/>
        </w:rPr>
      </w:pPr>
      <w:r>
        <w:rPr>
          <w:rStyle w:val="946"/>
          <w:rFonts w:hint="eastAsia" w:ascii="宋体" w:hAnsi="宋体" w:cs="宋体"/>
          <w:sz w:val="32"/>
          <w:szCs w:val="32"/>
        </w:rPr>
        <w:t xml:space="preserve">第五章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rPr>
      </w:pPr>
      <w:r>
        <w:rPr>
          <w:rFonts w:hint="eastAsia" w:ascii="宋体" w:hAnsi="宋体" w:cs="宋体"/>
          <w:b/>
          <w:szCs w:val="21"/>
          <w:lang w:val="zh-CN"/>
        </w:rPr>
        <w:t xml:space="preserve">二、评分标准：</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评审类别</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评审因素</w:t>
            </w:r>
            <w:r/>
          </w:p>
        </w:tc>
        <w:tc>
          <w:tcPr>
            <w:tcW w:w="6217"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评审规则</w:t>
            </w:r>
            <w:r/>
          </w:p>
        </w:tc>
        <w:tc>
          <w:tcP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cs="宋体"/>
                <w:szCs w:val="21"/>
              </w:rPr>
              <w:t xml:space="preserve">一、报价部分：15分</w:t>
            </w:r>
            <w:r/>
          </w:p>
        </w:tc>
      </w:tr>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cs="宋体"/>
                <w:szCs w:val="21"/>
              </w:rPr>
              <w:t xml:space="preserve">1.1</w:t>
            </w:r>
            <w:r/>
          </w:p>
        </w:tc>
        <w:tc>
          <w:tcPr>
            <w:tcW w:w="1295" w:type="dxa"/>
            <w:vAlign w:val="center"/>
            <w:textDirection w:val="lrTb"/>
            <w:noWrap/>
          </w:tcPr>
          <w:p>
            <w:pPr>
              <w:rPr>
                <w:rFonts w:ascii="宋体" w:hAnsi="宋体" w:cs="宋体"/>
                <w:szCs w:val="21"/>
              </w:rPr>
            </w:pPr>
            <w:r>
              <w:rPr>
                <w:rFonts w:hint="eastAsia" w:ascii="宋体" w:hAnsi="宋体" w:cs="宋体"/>
                <w:szCs w:val="21"/>
              </w:rPr>
              <w:t xml:space="preserve">投标报价</w:t>
            </w:r>
            <w:r/>
          </w:p>
          <w:p>
            <w:pPr>
              <w:rPr>
                <w:rFonts w:ascii="宋体" w:hAnsi="宋体"/>
                <w:szCs w:val="21"/>
              </w:rPr>
            </w:pPr>
            <w:r>
              <w:rPr>
                <w:rFonts w:hint="eastAsia" w:ascii="宋体" w:hAnsi="宋体" w:cs="宋体"/>
                <w:szCs w:val="21"/>
              </w:rPr>
              <w:t xml:space="preserve">（15分）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1、投标报价不超过最高限价价格的，为有效投标报价。超出此范围的投标报价为无效投标报价。无效投标报价的投标文件不进行评审，也不得标。</w:t>
            </w:r>
            <w:r/>
          </w:p>
          <w:p>
            <w:pPr>
              <w:spacing w:line="360" w:lineRule="auto"/>
              <w:rPr>
                <w:rFonts w:ascii="宋体" w:hAnsi="宋体"/>
                <w:szCs w:val="21"/>
              </w:rPr>
            </w:pPr>
            <w:r>
              <w:rPr>
                <w:rFonts w:hint="eastAsia" w:ascii="宋体" w:hAnsi="宋体"/>
                <w:szCs w:val="21"/>
              </w:rPr>
              <w:t xml:space="preserve">2、价格分采用低价优先法计算，即满足招标文件要求且投标报价最低的报价为评标基准价，其价格分为满分。其他投标单位的价格分统一按照下列公式计算：投标报价得分=（评标基准价/最后投标报价）×价格权值（15%）×100（四舍五入保留两位小数）。</w:t>
            </w:r>
            <w:r/>
          </w:p>
        </w:tc>
        <w:tc>
          <w:tcPr>
            <w:tcW w:w="675" w:type="dxa"/>
            <w:vAlign w:val="center"/>
            <w:textDirection w:val="lrTb"/>
            <w:noWrap/>
          </w:tcPr>
          <w:p>
            <w:pPr>
              <w:jc w:val="center"/>
              <w:rPr>
                <w:rFonts w:ascii="宋体" w:hAnsi="宋体"/>
                <w:szCs w:val="21"/>
              </w:rPr>
            </w:pPr>
            <w:r>
              <w:rPr>
                <w:rFonts w:hint="eastAsia" w:ascii="宋体" w:hAnsi="宋体" w:cs="宋体"/>
                <w:szCs w:val="21"/>
              </w:rPr>
              <w:t xml:space="preserve">15</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二、服务方案：62分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2.1</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维护保养规范方案（8分）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方案内容齐全且满足第四章中方案要求，每个方案得2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8</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服务工作内</w:t>
            </w:r>
            <w:r>
              <w:rPr>
                <w:rFonts w:hint="eastAsia" w:ascii="宋体" w:hAnsi="宋体"/>
                <w:szCs w:val="21"/>
              </w:rPr>
              <w:t xml:space="preserve">容（15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投标人需针对本项目提供服务工作内容方案，内容至少包括维护保</w:t>
            </w:r>
            <w:r>
              <w:rPr>
                <w:rFonts w:hint="eastAsia" w:ascii="宋体" w:hAnsi="宋体"/>
                <w:szCs w:val="21"/>
              </w:rPr>
              <w:t xml:space="preserve">养程序、现场支援服务、维修设备工具、资料档案管理、维护保养服务监督管理机制等内容：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ascii="宋体" w:hAnsi="宋体"/>
                <w:szCs w:val="21"/>
              </w:rPr>
              <w:t xml:space="preserve">应急服务方案</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w:t>
            </w:r>
            <w:r>
              <w:rPr>
                <w:rFonts w:hint="eastAsia" w:ascii="宋体" w:hAnsi="宋体"/>
                <w:szCs w:val="21"/>
              </w:rPr>
              <w:t xml:space="preserve">制定的应急服务方案，至少包含应急故障分析、应急抢修方案、应急响应措施、应急组织架构、人员职责划分等方面：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投入人员配备情况（9</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针对本项目制定的</w:t>
            </w:r>
            <w:r>
              <w:rPr>
                <w:rFonts w:hint="eastAsia" w:ascii="宋体" w:hAnsi="宋体"/>
                <w:szCs w:val="21"/>
              </w:rPr>
              <w:t xml:space="preserve">人员配备内容，至少包含投入本项目的人员配置情况、组织架构、服务监督管理机制方面等方面：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szCs w:val="21"/>
              </w:rPr>
              <w:t xml:space="preserve">备品备件</w:t>
            </w:r>
            <w:r>
              <w:rPr>
                <w:rFonts w:hint="eastAsia"/>
                <w:szCs w:val="21"/>
              </w:rPr>
              <w:t xml:space="preserve">保障方案（</w:t>
            </w:r>
            <w:r>
              <w:rPr>
                <w:rFonts w:hint="eastAsia"/>
                <w:szCs w:val="21"/>
              </w:rPr>
              <w:t xml:space="preserve">6</w:t>
            </w:r>
            <w:r>
              <w:rPr>
                <w:rFonts w:hint="eastAsia"/>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提供的备品备件方案，至少包含现场备品备件清单、备品备件补给时间、备件质保承诺等。方案内容齐全且满足第四章中方案要求，每个方案得2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培训方案（9分）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针对采购单位人员的培训方案，包括培训内容、培训频次、培训讲师清单等方面：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9分</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三、响应单位履约能力：23分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3.1</w:t>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维修工程师素质情况（8</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投标人及</w:t>
            </w:r>
            <w:r>
              <w:rPr>
                <w:rFonts w:hint="eastAsia" w:ascii="宋体" w:hAnsi="宋体"/>
                <w:szCs w:val="21"/>
              </w:rPr>
              <w:t xml:space="preserve">或其技术支持单位的维修</w:t>
            </w:r>
            <w:r>
              <w:rPr>
                <w:rFonts w:ascii="宋体" w:hAnsi="宋体"/>
                <w:szCs w:val="21"/>
              </w:rPr>
              <w:t xml:space="preserve">工程师</w:t>
            </w:r>
            <w:r>
              <w:rPr>
                <w:rFonts w:hint="eastAsia" w:ascii="宋体" w:hAnsi="宋体"/>
                <w:szCs w:val="21"/>
              </w:rPr>
              <w:t xml:space="preserve">，</w:t>
            </w:r>
            <w:bookmarkStart w:id="54" w:name="_Hlk168002489"/>
            <w:r>
              <w:rPr>
                <w:rFonts w:hint="eastAsia" w:ascii="宋体" w:hAnsi="宋体"/>
                <w:szCs w:val="21"/>
              </w:rPr>
              <w:t xml:space="preserve">接受过原厂正规培训且持有原厂有效期内培训证书</w:t>
            </w:r>
            <w:bookmarkEnd w:id="54"/>
            <w:r>
              <w:rPr>
                <w:rFonts w:hint="eastAsia" w:ascii="宋体" w:hAnsi="宋体"/>
                <w:szCs w:val="21"/>
              </w:rPr>
              <w:t xml:space="preserve">的，有1名得1分，最高为8分；（需提供维修工程师名单并提供有效期内原厂培训证书原件扫描件或复印件，未提供者不得分）。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8分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零部件仓储（4分）</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投标人及</w:t>
            </w:r>
            <w:r>
              <w:rPr>
                <w:rFonts w:hint="eastAsia" w:ascii="宋体" w:hAnsi="宋体"/>
                <w:szCs w:val="21"/>
              </w:rPr>
              <w:t xml:space="preserve">或其技术支持单位在国内设有零备件仓库每处得1分，最多得4分（需提供零备件仓库地址及联系人、联系电话备查，房产证或者租赁合同扫描件或复印件，未提供或提供的资料不全不得</w:t>
            </w:r>
            <w:r>
              <w:rPr>
                <w:rFonts w:hint="eastAsia" w:ascii="宋体" w:hAnsi="宋体"/>
                <w:szCs w:val="21"/>
              </w:rPr>
              <w:t xml:space="preserve">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售后认证（3</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投标人或其技术支持单位具备有效期内的GBT 27922-2011售后认证证书，三星得1分，四星得2分，五星得3分。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3分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信息化服务能力（4</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因涉及信息化部署，为保障院内信息安全，投标人或其技术支持单位具有以下有效证书关键页复印件：信息安全等级保护三级备案凭证、等保三级APM测评报告，两项证书均在有效期内，每提供1个得2分，最高为4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4分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类似项目业绩（4分）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投标单位2023年1月1日至今（以合同签订之日为准）承接类似维保业绩情况，每提供一份合同得2分，最高为4分。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4分</w:t>
            </w:r>
            <w:r/>
          </w:p>
        </w:tc>
      </w:tr>
    </w:tbl>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1.付款步骤、服务期限如有负偏离的不得中标。</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7"/>
        <w:numPr>
          <w:ilvl w:val="0"/>
          <w:numId w:val="4"/>
        </w:numPr>
        <w:ind w:firstLine="640"/>
        <w:jc w:val="center"/>
        <w:pageBreakBefore/>
        <w:spacing w:line="360" w:lineRule="auto"/>
        <w:tabs>
          <w:tab w:val="right" w:pos="8302" w:leader="dot"/>
        </w:tabs>
        <w:rPr>
          <w:rStyle w:val="946"/>
          <w:rFonts w:ascii="宋体" w:hAnsi="宋体" w:cs="宋体"/>
          <w:sz w:val="32"/>
          <w:szCs w:val="32"/>
        </w:rPr>
      </w:pPr>
      <w:r>
        <w:rPr>
          <w:rStyle w:val="946"/>
          <w:rFonts w:hint="eastAsia" w:ascii="宋体" w:hAnsi="宋体" w:cs="宋体"/>
          <w:sz w:val="32"/>
          <w:szCs w:val="32"/>
        </w:rPr>
        <w:t xml:space="preserve">合同特殊条款</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【医疗设备整体维保服务】项目</w:t>
      </w:r>
      <w:r/>
    </w:p>
    <w:p>
      <w:pPr>
        <w:jc w:val="center"/>
        <w:spacing w:line="400" w:lineRule="exact"/>
        <w:rPr>
          <w:rFonts w:ascii="宋体" w:hAnsi="宋体" w:cs="宋体"/>
          <w:szCs w:val="21"/>
        </w:rPr>
      </w:pPr>
      <w:r>
        <w:rPr>
          <w:rFonts w:hint="eastAsia" w:ascii="宋体" w:hAnsi="宋体" w:cs="宋体"/>
          <w:szCs w:val="21"/>
        </w:rPr>
        <w:t xml:space="preserve">（合同编号：【 】）</w:t>
      </w:r>
      <w:r/>
    </w:p>
    <w:p>
      <w:pPr>
        <w:pStyle w:val="1012"/>
        <w:ind w:firstLine="0"/>
        <w:rPr>
          <w:rFonts w:ascii="宋体" w:hAnsi="宋体" w:cs="宋体"/>
          <w:sz w:val="21"/>
          <w:szCs w:val="21"/>
        </w:rPr>
      </w:pPr>
      <w:r>
        <w:rPr>
          <w:rFonts w:hint="eastAsia" w:ascii="宋体" w:hAnsi="宋体" w:cs="宋体"/>
          <w:sz w:val="21"/>
          <w:szCs w:val="21"/>
        </w:rPr>
        <w:t xml:space="preserve">甲方（采购单位）：太仓市中医医院</w:t>
      </w:r>
      <w:r/>
    </w:p>
    <w:p>
      <w:pPr>
        <w:pStyle w:val="1012"/>
        <w:ind w:firstLine="0"/>
        <w:rPr>
          <w:rFonts w:ascii="宋体" w:hAnsi="宋体" w:cs="宋体"/>
          <w:sz w:val="21"/>
          <w:szCs w:val="21"/>
        </w:rPr>
      </w:pPr>
      <w:r>
        <w:rPr>
          <w:rFonts w:hint="eastAsia" w:ascii="宋体" w:hAnsi="宋体" w:cs="宋体"/>
          <w:sz w:val="21"/>
          <w:szCs w:val="21"/>
        </w:rPr>
        <w:t xml:space="preserve">联系人： 联系方式：</w:t>
      </w:r>
      <w:r/>
    </w:p>
    <w:p>
      <w:pPr>
        <w:pStyle w:val="1012"/>
        <w:ind w:firstLine="0"/>
        <w:rPr>
          <w:rFonts w:ascii="宋体" w:hAnsi="宋体" w:cs="宋体"/>
          <w:sz w:val="21"/>
          <w:szCs w:val="21"/>
        </w:rPr>
      </w:pPr>
      <w:r>
        <w:rPr>
          <w:rFonts w:hint="eastAsia" w:ascii="宋体" w:hAnsi="宋体" w:cs="宋体"/>
          <w:sz w:val="21"/>
          <w:szCs w:val="21"/>
        </w:rPr>
        <w:t xml:space="preserve">联系地址：</w:t>
      </w:r>
      <w:r/>
    </w:p>
    <w:p>
      <w:pPr>
        <w:pStyle w:val="1012"/>
        <w:ind w:firstLine="0"/>
        <w:rPr>
          <w:rFonts w:ascii="宋体" w:hAnsi="宋体" w:cs="宋体"/>
          <w:sz w:val="21"/>
          <w:szCs w:val="21"/>
        </w:rPr>
      </w:pPr>
      <w:r>
        <w:rPr>
          <w:rFonts w:ascii="宋体" w:hAnsi="宋体" w:cs="宋体"/>
          <w:sz w:val="21"/>
          <w:szCs w:val="21"/>
        </w:rPr>
      </w:r>
      <w:r/>
    </w:p>
    <w:p>
      <w:pPr>
        <w:pStyle w:val="1012"/>
        <w:ind w:firstLine="0"/>
        <w:rPr>
          <w:rFonts w:ascii="宋体" w:hAnsi="宋体" w:cs="宋体"/>
          <w:sz w:val="21"/>
          <w:szCs w:val="21"/>
        </w:rPr>
      </w:pPr>
      <w:r>
        <w:rPr>
          <w:rFonts w:hint="eastAsia" w:ascii="宋体" w:hAnsi="宋体" w:cs="宋体"/>
          <w:sz w:val="21"/>
          <w:szCs w:val="21"/>
        </w:rPr>
        <w:t xml:space="preserve">乙方（中标单位）：</w:t>
      </w:r>
      <w:r/>
    </w:p>
    <w:p>
      <w:pPr>
        <w:pStyle w:val="1012"/>
        <w:ind w:firstLine="0"/>
        <w:rPr>
          <w:rFonts w:ascii="宋体" w:hAnsi="宋体" w:cs="宋体"/>
          <w:sz w:val="21"/>
          <w:szCs w:val="21"/>
        </w:rPr>
      </w:pPr>
      <w:r>
        <w:rPr>
          <w:rFonts w:hint="eastAsia" w:ascii="宋体" w:hAnsi="宋体" w:cs="宋体"/>
          <w:sz w:val="21"/>
          <w:szCs w:val="21"/>
        </w:rPr>
        <w:t xml:space="preserve">联系人：联系方式：</w:t>
      </w:r>
      <w:r/>
    </w:p>
    <w:p>
      <w:pPr>
        <w:pStyle w:val="1012"/>
        <w:ind w:firstLine="0"/>
        <w:rPr>
          <w:rFonts w:ascii="宋体" w:hAnsi="宋体" w:cs="宋体"/>
          <w:sz w:val="21"/>
          <w:szCs w:val="21"/>
        </w:rPr>
      </w:pPr>
      <w:r>
        <w:rPr>
          <w:rFonts w:hint="eastAsia" w:ascii="宋体" w:hAnsi="宋体" w:cs="宋体"/>
          <w:sz w:val="21"/>
          <w:szCs w:val="21"/>
        </w:rPr>
        <w:t xml:space="preserve">联系地址：</w:t>
      </w:r>
      <w:r/>
    </w:p>
    <w:p>
      <w:pPr>
        <w:pStyle w:val="1012"/>
        <w:ind w:firstLine="0"/>
        <w:rPr>
          <w:rFonts w:ascii="宋体" w:hAnsi="宋体" w:cs="宋体"/>
          <w:sz w:val="21"/>
          <w:szCs w:val="21"/>
        </w:rPr>
      </w:pPr>
      <w:r>
        <w:rPr>
          <w:rFonts w:ascii="宋体" w:hAnsi="宋体" w:cs="宋体"/>
          <w:sz w:val="21"/>
          <w:szCs w:val="21"/>
        </w:rPr>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根据《中华人民共和国政府采购法》及其实施条例、《中华人民共和国民法典》等法律法规的规定，甲乙双方按照医疗设备整体维保服务项目（项目编号：JSZC-320585-CJZB-G2026-0089）政府采购结果签订本合同。</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第一条 定义</w:t>
      </w:r>
      <w:r/>
    </w:p>
    <w:p>
      <w:pPr>
        <w:ind w:right="-27" w:firstLine="560"/>
        <w:spacing w:line="440" w:lineRule="exact"/>
        <w:tabs>
          <w:tab w:val="left" w:pos="0" w:leader="none"/>
        </w:tabs>
        <w:rPr>
          <w:rFonts w:ascii="宋体" w:hAnsi="宋体" w:cs="宋体"/>
          <w:bCs/>
          <w:szCs w:val="21"/>
        </w:rPr>
      </w:pPr>
      <w:r>
        <w:rPr>
          <w:rFonts w:hint="eastAsia" w:ascii="宋体" w:hAnsi="宋体" w:cs="宋体"/>
          <w:bCs/>
          <w:szCs w:val="21"/>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1.2</w:t>
      </w:r>
      <w:r>
        <w:rPr>
          <w:rFonts w:hint="eastAsia" w:ascii="宋体" w:hAnsi="宋体" w:cs="宋体"/>
          <w:bCs/>
          <w:szCs w:val="21"/>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1.3</w:t>
      </w:r>
      <w:r>
        <w:rPr>
          <w:rFonts w:hint="eastAsia" w:ascii="宋体" w:hAnsi="宋体" w:cs="宋体"/>
          <w:bCs/>
          <w:szCs w:val="21"/>
        </w:rPr>
        <w:t xml:space="preserve">乙方：指合同中规定的提供货物和提供服务的单位。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服务：提供本合同规定的乙方承担的医疗设备整体维保服务及相关工作。</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1.5</w:t>
      </w:r>
      <w:r>
        <w:rPr>
          <w:rFonts w:hint="eastAsia" w:ascii="宋体" w:hAnsi="宋体" w:cs="宋体"/>
          <w:bCs/>
          <w:szCs w:val="21"/>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第二条 组成本合同的文件</w:t>
      </w:r>
      <w:r/>
    </w:p>
    <w:p>
      <w:pPr>
        <w:ind w:right="-27" w:firstLine="540"/>
        <w:spacing w:line="440" w:lineRule="exact"/>
        <w:tabs>
          <w:tab w:val="left" w:pos="0" w:leader="none"/>
        </w:tabs>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.1</w:t>
      </w:r>
      <w:r>
        <w:rPr>
          <w:rFonts w:hint="eastAsia" w:ascii="宋体" w:hAnsi="宋体" w:cs="宋体"/>
          <w:bCs/>
          <w:szCs w:val="21"/>
        </w:rPr>
        <w:t xml:space="preserve">下列文件是组成本合同的不可分割的部分：</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①中标通知书；</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②招标文件；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③乙方的投标文件；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④乙方在报价过程中所作的其它承诺、声明、书面澄清等。</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第三条 合同内容</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3.1</w:t>
      </w:r>
      <w:r>
        <w:rPr>
          <w:rFonts w:hint="eastAsia" w:ascii="宋体" w:hAnsi="宋体" w:cs="宋体"/>
          <w:bCs/>
          <w:szCs w:val="21"/>
        </w:rPr>
        <w:t xml:space="preserve">服务内容：为甲方提供驻场工程师为医院出保设备提供全院医疗设备24小时全天候维保服务，服务内容包含：设备维修、保养、技术咨询、巡检、配件更换、日常质控、人员培训等</w:t>
      </w:r>
      <w:r>
        <w:rPr>
          <w:rFonts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3.2</w:t>
      </w:r>
      <w:r>
        <w:rPr>
          <w:rFonts w:hint="eastAsia" w:ascii="宋体" w:hAnsi="宋体" w:cs="宋体"/>
          <w:bCs/>
          <w:szCs w:val="21"/>
        </w:rPr>
        <w:t xml:space="preserve">服务期限：2年，2026年  月   日至2028年  月  日。</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3.3具体服务要求：</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第四条 合同价款</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本合同项下服务费用总金额为人民币</w:t>
      </w:r>
      <w:r>
        <w:rPr>
          <w:rFonts w:hint="eastAsia" w:ascii="宋体" w:hAnsi="宋体" w:cs="宋体"/>
          <w:bCs/>
          <w:szCs w:val="21"/>
          <w:u w:val="single"/>
        </w:rPr>
        <w:tab/>
      </w:r>
      <w:r>
        <w:rPr>
          <w:rFonts w:hint="eastAsia" w:ascii="宋体" w:hAnsi="宋体" w:cs="宋体"/>
          <w:bCs/>
          <w:szCs w:val="21"/>
        </w:rPr>
        <w:t xml:space="preserve">元整（大写：      ）。投标总价包括但不限于人工（包括工资、奖金、社保、节假日加班）、设备维修保养、维修所更换的零配件、常用易损易耗备品备件、厂家维修调校费用、巡检记录、技术操作培训、医疗设备管理软件维护升级费用、维修责任保单、各种税费、利润、政策性文件规定及合同包含的所有风险、责任等费用。</w:t>
      </w:r>
      <w:r/>
    </w:p>
    <w:p>
      <w:pPr>
        <w:ind w:right="-27" w:firstLine="482"/>
        <w:spacing w:line="420" w:lineRule="exact"/>
        <w:tabs>
          <w:tab w:val="left" w:pos="0" w:leader="none"/>
        </w:tabs>
        <w:rPr>
          <w:rFonts w:ascii="宋体" w:hAnsi="宋体" w:cs="宋体"/>
          <w:b/>
          <w:bCs/>
          <w:szCs w:val="21"/>
        </w:rPr>
      </w:pPr>
      <w:r>
        <w:rPr>
          <w:rFonts w:ascii="宋体" w:hAnsi="宋体" w:cs="宋体"/>
          <w:b/>
          <w:bCs/>
          <w:szCs w:val="21"/>
        </w:rPr>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第五条 支付结算及考核</w:t>
      </w:r>
      <w:r/>
    </w:p>
    <w:p>
      <w:pPr>
        <w:ind w:firstLine="420"/>
        <w:spacing w:line="360" w:lineRule="auto"/>
        <w:rPr>
          <w:rFonts w:ascii="宋体" w:hAnsi="宋体" w:cs="宋体"/>
          <w:bCs/>
          <w:szCs w:val="21"/>
        </w:rPr>
      </w:pPr>
      <w:r>
        <w:rPr>
          <w:rFonts w:hint="eastAsia" w:ascii="宋体" w:hAnsi="宋体" w:cs="宋体"/>
          <w:bCs/>
          <w:szCs w:val="21"/>
        </w:rPr>
        <w:t xml:space="preserve">1.支付结算</w:t>
      </w:r>
      <w:r/>
    </w:p>
    <w:p>
      <w:pPr>
        <w:ind w:firstLine="420"/>
        <w:spacing w:line="360" w:lineRule="auto"/>
        <w:rPr>
          <w:rFonts w:ascii="宋体" w:hAnsi="宋体" w:cs="宋体"/>
          <w:bCs/>
          <w:szCs w:val="21"/>
        </w:rPr>
      </w:pPr>
      <w:r>
        <w:rPr>
          <w:rFonts w:hint="eastAsia" w:ascii="宋体" w:hAnsi="宋体" w:cs="宋体"/>
          <w:bCs/>
          <w:szCs w:val="21"/>
        </w:rPr>
        <w:t xml:space="preserve">本合同服务期限为 2 年。按自然服务年度分年度支付服务费，每一个服务年度服务费，均按如下节点支付（起算点为该服务年度起始日）：</w:t>
      </w:r>
      <w:r/>
    </w:p>
    <w:p>
      <w:pPr>
        <w:ind w:firstLine="420"/>
        <w:spacing w:line="360" w:lineRule="auto"/>
        <w:rPr>
          <w:rFonts w:ascii="宋体" w:hAnsi="宋体" w:cs="宋体"/>
          <w:bCs/>
          <w:szCs w:val="21"/>
        </w:rPr>
      </w:pPr>
      <w:r>
        <w:rPr>
          <w:rFonts w:hint="eastAsia" w:ascii="宋体" w:hAnsi="宋体" w:cs="宋体"/>
          <w:bCs/>
          <w:szCs w:val="21"/>
        </w:rPr>
        <w:t xml:space="preserve">1.1每个服务年度开始，乙方入场开展项目，甲方于该服务年度起始之日起 30 日内，支付该年度服务费的 30%；</w:t>
      </w:r>
      <w:r/>
    </w:p>
    <w:p>
      <w:pPr>
        <w:ind w:firstLine="420"/>
        <w:spacing w:line="360" w:lineRule="auto"/>
        <w:rPr>
          <w:rFonts w:ascii="宋体" w:hAnsi="宋体" w:cs="宋体"/>
          <w:bCs/>
          <w:szCs w:val="21"/>
        </w:rPr>
      </w:pPr>
      <w:r>
        <w:rPr>
          <w:rFonts w:hint="eastAsia" w:ascii="宋体" w:hAnsi="宋体" w:cs="宋体"/>
          <w:bCs/>
          <w:szCs w:val="21"/>
        </w:rPr>
        <w:t xml:space="preserve">1.2该服务年度第 7 个月，经甲方核查无服务质量问题的，甲方向乙方支付该年度服务费的 30%；</w:t>
      </w:r>
      <w:r/>
    </w:p>
    <w:p>
      <w:pPr>
        <w:ind w:firstLine="420"/>
        <w:spacing w:line="360" w:lineRule="auto"/>
        <w:rPr>
          <w:rFonts w:ascii="宋体" w:hAnsi="宋体" w:cs="宋体"/>
          <w:bCs/>
          <w:szCs w:val="21"/>
        </w:rPr>
      </w:pPr>
      <w:r>
        <w:rPr>
          <w:rFonts w:hint="eastAsia" w:ascii="宋体" w:hAnsi="宋体" w:cs="宋体"/>
          <w:bCs/>
          <w:szCs w:val="21"/>
        </w:rPr>
        <w:t xml:space="preserve">1.3该服务年度第 10 个月，经甲方核查无服务质量问题的，甲方向乙方支付该年度服务费的 30%；</w:t>
      </w:r>
      <w:r/>
    </w:p>
    <w:p>
      <w:pPr>
        <w:ind w:firstLine="420"/>
        <w:spacing w:line="360" w:lineRule="auto"/>
        <w:rPr>
          <w:rFonts w:ascii="宋体" w:hAnsi="宋体" w:cs="宋体"/>
          <w:szCs w:val="21"/>
        </w:rPr>
      </w:pPr>
      <w:r>
        <w:rPr>
          <w:rFonts w:hint="eastAsia" w:ascii="宋体" w:hAnsi="宋体" w:cs="宋体"/>
          <w:bCs/>
          <w:szCs w:val="21"/>
        </w:rPr>
        <w:t xml:space="preserve">1.4该服务年度服务期满，经甲方核查无服务质量问题的，甲方向乙方支付该年度服务费剩余 10%。</w:t>
      </w:r>
      <w:r/>
    </w:p>
    <w:p>
      <w:pPr>
        <w:ind w:firstLine="420"/>
        <w:spacing w:line="360" w:lineRule="auto"/>
        <w:rPr>
          <w:rFonts w:ascii="宋体" w:hAnsi="宋体" w:cs="宋体"/>
          <w:szCs w:val="21"/>
        </w:rPr>
      </w:pPr>
      <w:r>
        <w:rPr>
          <w:rFonts w:hint="eastAsia" w:ascii="宋体" w:hAnsi="宋体" w:cs="宋体"/>
          <w:szCs w:val="21"/>
        </w:rPr>
        <w:t xml:space="preserve">付款前，乙方需先向甲方提供：</w:t>
      </w:r>
      <w:r/>
    </w:p>
    <w:p>
      <w:pPr>
        <w:ind w:firstLine="420"/>
        <w:spacing w:line="360" w:lineRule="auto"/>
        <w:rPr>
          <w:rFonts w:ascii="宋体" w:hAnsi="宋体" w:cs="宋体"/>
          <w:szCs w:val="21"/>
        </w:rPr>
      </w:pPr>
      <w:r>
        <w:rPr>
          <w:rFonts w:hint="eastAsia" w:ascii="宋体" w:hAnsi="宋体" w:cs="宋体"/>
          <w:szCs w:val="21"/>
        </w:rPr>
        <w:t xml:space="preserve">（1）合格的发票</w:t>
      </w:r>
      <w:r/>
    </w:p>
    <w:p>
      <w:pPr>
        <w:ind w:firstLine="420"/>
        <w:spacing w:line="360" w:lineRule="auto"/>
        <w:rPr>
          <w:rFonts w:ascii="宋体" w:hAnsi="宋体" w:cs="宋体"/>
          <w:szCs w:val="21"/>
        </w:rPr>
      </w:pPr>
      <w:r>
        <w:rPr>
          <w:rFonts w:hint="eastAsia" w:ascii="宋体" w:hAnsi="宋体" w:cs="宋体"/>
          <w:szCs w:val="21"/>
        </w:rPr>
        <w:t xml:space="preserve">（2）其他甲方要求提供的资料</w:t>
      </w:r>
      <w:r/>
    </w:p>
    <w:p>
      <w:pPr>
        <w:ind w:firstLine="420"/>
        <w:spacing w:line="400" w:lineRule="exact"/>
        <w:rPr>
          <w:rFonts w:ascii="宋体" w:hAnsi="宋体" w:cs="宋体"/>
        </w:rPr>
      </w:pPr>
      <w:r>
        <w:rPr>
          <w:rFonts w:hint="eastAsia" w:ascii="宋体" w:hAnsi="宋体" w:cs="宋体"/>
        </w:rPr>
        <w:t xml:space="preserve">2.考核要求</w:t>
      </w:r>
      <w:r/>
    </w:p>
    <w:p>
      <w:pPr>
        <w:ind w:firstLine="420"/>
        <w:jc w:val="center"/>
        <w:spacing w:line="400" w:lineRule="exact"/>
        <w:rPr>
          <w:rFonts w:ascii="宋体" w:hAnsi="宋体" w:cs="宋体"/>
        </w:rPr>
      </w:pPr>
      <w:r>
        <w:rPr>
          <w:rFonts w:hint="eastAsia" w:ascii="宋体" w:hAnsi="宋体" w:cs="宋体"/>
          <w:szCs w:val="21"/>
        </w:rPr>
        <w:t xml:space="preserve">考评表</w:t>
      </w:r>
      <w:r/>
    </w:p>
    <w:tbl>
      <w:tblPr>
        <w:tblW w:w="9020" w:type="dxa"/>
        <w:jc w:val="center"/>
        <w:tblLayout w:type="fixed"/>
        <w:tblLook w:val="04A0" w:firstRow="1" w:lastRow="0" w:firstColumn="1" w:lastColumn="0" w:noHBand="0" w:noVBand="1"/>
      </w:tblPr>
      <w:tblGrid>
        <w:gridCol w:w="660"/>
        <w:gridCol w:w="640"/>
        <w:gridCol w:w="580"/>
        <w:gridCol w:w="520"/>
        <w:gridCol w:w="560"/>
        <w:gridCol w:w="880"/>
        <w:gridCol w:w="700"/>
        <w:gridCol w:w="600"/>
        <w:gridCol w:w="260"/>
        <w:gridCol w:w="1080"/>
        <w:gridCol w:w="480"/>
        <w:gridCol w:w="520"/>
        <w:gridCol w:w="1080"/>
        <w:gridCol w:w="460"/>
      </w:tblGrid>
      <w:tr>
        <w:trPr>
          <w:jc w:val="center"/>
          <w:trHeight w:val="647"/>
        </w:trPr>
        <w:tc>
          <w:tcPr>
            <w:gridSpan w:val="2"/>
            <w:tcBorders>
              <w:top w:val="single" w:color="000000" w:sz="8" w:space="0"/>
              <w:left w:val="single" w:color="000000" w:sz="8" w:space="0"/>
              <w:bottom w:val="single" w:color="000000" w:sz="4" w:space="0"/>
              <w:right w:val="single" w:color="000000" w:sz="4" w:space="0"/>
            </w:tcBorders>
            <w:tcW w:w="1300" w:type="dxa"/>
            <w:vAlign w:val="center"/>
            <w:textDirection w:val="lrTb"/>
            <w:noWrap/>
          </w:tcPr>
          <w:p>
            <w:pPr>
              <w:jc w:val="center"/>
              <w:rPr>
                <w:rFonts w:ascii="宋体" w:hAnsi="宋体" w:cs="宋体"/>
                <w:szCs w:val="21"/>
              </w:rPr>
            </w:pPr>
            <w:r>
              <w:rPr>
                <w:rFonts w:hint="eastAsia" w:ascii="宋体" w:hAnsi="宋体" w:cs="宋体"/>
                <w:szCs w:val="21"/>
              </w:rPr>
              <w:t xml:space="preserve">管理负责人</w:t>
            </w:r>
            <w:r/>
          </w:p>
        </w:tc>
        <w:tc>
          <w:tcPr>
            <w:gridSpan w:val="3"/>
            <w:tcBorders>
              <w:top w:val="single" w:color="000000" w:sz="8"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8" w:space="0"/>
              <w:left w:val="none" w:color="000000" w:sz="4" w:space="0"/>
              <w:bottom w:val="single" w:color="000000" w:sz="4" w:space="0"/>
              <w:right w:val="single" w:color="000000" w:sz="4" w:space="0"/>
            </w:tcBorders>
            <w:tcW w:w="1580" w:type="dxa"/>
            <w:vAlign w:val="center"/>
            <w:textDirection w:val="lrTb"/>
            <w:noWrap/>
          </w:tcPr>
          <w:p>
            <w:pPr>
              <w:jc w:val="center"/>
              <w:rPr>
                <w:rFonts w:ascii="宋体" w:hAnsi="宋体" w:cs="宋体"/>
                <w:szCs w:val="21"/>
              </w:rPr>
            </w:pPr>
            <w:r>
              <w:rPr>
                <w:rFonts w:hint="eastAsia" w:ascii="宋体" w:hAnsi="宋体" w:cs="宋体"/>
                <w:szCs w:val="21"/>
              </w:rPr>
              <w:t xml:space="preserve">职位</w:t>
            </w:r>
            <w:r/>
          </w:p>
        </w:tc>
        <w:tc>
          <w:tcPr>
            <w:gridSpan w:val="3"/>
            <w:tcBorders>
              <w:top w:val="single" w:color="000000" w:sz="8" w:space="0"/>
              <w:left w:val="none" w:color="000000" w:sz="4" w:space="0"/>
              <w:bottom w:val="single" w:color="000000" w:sz="4" w:space="0"/>
              <w:right w:val="single" w:color="000000" w:sz="4" w:space="0"/>
            </w:tcBorders>
            <w:tcW w:w="194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8" w:space="0"/>
              <w:left w:val="none" w:color="000000" w:sz="4" w:space="0"/>
              <w:bottom w:val="single" w:color="000000" w:sz="4" w:space="0"/>
              <w:right w:val="single" w:color="000000" w:sz="4" w:space="0"/>
            </w:tcBorders>
            <w:tcW w:w="1000" w:type="dxa"/>
            <w:vAlign w:val="center"/>
            <w:textDirection w:val="lrTb"/>
            <w:noWrap/>
          </w:tcPr>
          <w:p>
            <w:pPr>
              <w:jc w:val="center"/>
              <w:rPr>
                <w:rFonts w:ascii="宋体" w:hAnsi="宋体" w:cs="宋体"/>
                <w:szCs w:val="21"/>
              </w:rPr>
            </w:pPr>
            <w:r>
              <w:rPr>
                <w:rFonts w:hint="eastAsia" w:ascii="宋体" w:hAnsi="宋体" w:cs="宋体"/>
                <w:szCs w:val="21"/>
              </w:rPr>
              <w:t xml:space="preserve">服务项目</w:t>
            </w:r>
            <w:r/>
          </w:p>
        </w:tc>
        <w:tc>
          <w:tcPr>
            <w:gridSpan w:val="2"/>
            <w:tcBorders>
              <w:top w:val="single" w:color="000000" w:sz="8" w:space="0"/>
              <w:left w:val="none" w:color="000000" w:sz="4" w:space="0"/>
              <w:bottom w:val="single" w:color="000000" w:sz="4" w:space="0"/>
              <w:right w:val="single" w:color="000000" w:sz="8" w:space="0"/>
            </w:tcBorders>
            <w:tcW w:w="1540" w:type="dxa"/>
            <w:vAlign w:val="center"/>
            <w:textDirection w:val="lrTb"/>
            <w:noWrap/>
          </w:tcPr>
          <w:p>
            <w:pPr>
              <w:jc w:val="center"/>
              <w:rPr>
                <w:rFonts w:ascii="宋体" w:hAnsi="宋体" w:cs="宋体"/>
                <w:szCs w:val="21"/>
              </w:rPr>
            </w:pPr>
            <w:r>
              <w:rPr>
                <w:rFonts w:hint="eastAsia" w:ascii="宋体" w:hAnsi="宋体" w:cs="宋体"/>
                <w:szCs w:val="21"/>
              </w:rPr>
              <w:t xml:space="preserve">　</w:t>
            </w:r>
            <w:r/>
          </w:p>
        </w:tc>
      </w:tr>
      <w:tr>
        <w:trPr>
          <w:jc w:val="center"/>
          <w:trHeight w:val="390"/>
        </w:trPr>
        <w:tc>
          <w:tcPr>
            <w:gridSpan w:val="2"/>
            <w:tcBorders>
              <w:top w:val="single" w:color="000000" w:sz="4" w:space="0"/>
              <w:left w:val="single" w:color="000000" w:sz="8" w:space="0"/>
              <w:bottom w:val="single" w:color="000000" w:sz="4" w:space="0"/>
              <w:right w:val="single" w:color="000000" w:sz="4" w:space="0"/>
            </w:tcBorders>
            <w:tcW w:w="1300" w:type="dxa"/>
            <w:textDirection w:val="lrTb"/>
            <w:noWrap/>
          </w:tcPr>
          <w:p>
            <w:pPr>
              <w:jc w:val="center"/>
              <w:rPr>
                <w:rFonts w:ascii="宋体" w:hAnsi="宋体" w:cs="宋体"/>
                <w:szCs w:val="21"/>
              </w:rPr>
            </w:pPr>
            <w:r>
              <w:rPr>
                <w:rFonts w:hint="eastAsia" w:ascii="宋体" w:hAnsi="宋体" w:cs="宋体"/>
                <w:szCs w:val="21"/>
              </w:rPr>
              <w:t xml:space="preserve">考核日期</w:t>
            </w:r>
            <w:r/>
          </w:p>
        </w:tc>
        <w:tc>
          <w:tcPr>
            <w:gridSpan w:val="12"/>
            <w:tcBorders>
              <w:top w:val="single" w:color="000000" w:sz="4" w:space="0"/>
              <w:left w:val="none" w:color="000000" w:sz="4" w:space="0"/>
              <w:bottom w:val="single" w:color="000000" w:sz="4" w:space="0"/>
              <w:right w:val="single" w:color="000000" w:sz="8" w:space="0"/>
            </w:tcBorders>
            <w:tcW w:w="7720" w:type="dxa"/>
            <w:textDirection w:val="lrTb"/>
            <w:noWrap/>
          </w:tcPr>
          <w:p>
            <w:pPr>
              <w:jc w:val="center"/>
              <w:rPr>
                <w:rFonts w:ascii="宋体" w:hAnsi="宋体"/>
                <w:szCs w:val="21"/>
              </w:rPr>
            </w:pPr>
            <w:r>
              <w:rPr>
                <w:rFonts w:hint="eastAsia" w:ascii="宋体" w:hAnsi="宋体"/>
                <w:szCs w:val="21"/>
              </w:rPr>
              <w:t xml:space="preserve"> 年月日至 年月日</w:t>
            </w:r>
            <w:r/>
          </w:p>
        </w:tc>
      </w:tr>
      <w:tr>
        <w:trPr>
          <w:jc w:val="center"/>
          <w:trHeight w:val="285"/>
        </w:trPr>
        <w:tc>
          <w:tcPr>
            <w:gridSpan w:val="2"/>
            <w:tcBorders>
              <w:top w:val="single" w:color="000000" w:sz="4" w:space="0"/>
              <w:left w:val="single" w:color="000000" w:sz="8" w:space="0"/>
              <w:bottom w:val="single" w:color="000000" w:sz="4" w:space="0"/>
              <w:right w:val="single" w:color="000000" w:sz="4" w:space="0"/>
            </w:tcBorders>
            <w:tcW w:w="1300" w:type="dxa"/>
            <w:vAlign w:val="center"/>
            <w:textDirection w:val="lrTb"/>
            <w:noWrap/>
          </w:tcPr>
          <w:p>
            <w:pPr>
              <w:jc w:val="center"/>
              <w:rPr>
                <w:rFonts w:ascii="宋体" w:hAnsi="宋体" w:cs="宋体"/>
                <w:szCs w:val="21"/>
              </w:rPr>
            </w:pPr>
            <w:r>
              <w:rPr>
                <w:rFonts w:hint="eastAsia" w:ascii="宋体" w:hAnsi="宋体" w:cs="宋体"/>
                <w:szCs w:val="21"/>
              </w:rPr>
              <w:t xml:space="preserve">考核大项</w:t>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项目分类</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cs="宋体"/>
                <w:szCs w:val="21"/>
              </w:rPr>
            </w:pPr>
            <w:r>
              <w:rPr>
                <w:rFonts w:hint="eastAsia" w:ascii="宋体" w:hAnsi="宋体" w:cs="宋体"/>
                <w:szCs w:val="21"/>
              </w:rPr>
              <w:t xml:space="preserve">评分权重</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cs="宋体"/>
                <w:szCs w:val="21"/>
              </w:rPr>
            </w:pPr>
            <w:r>
              <w:rPr>
                <w:rFonts w:hint="eastAsia" w:ascii="宋体" w:hAnsi="宋体" w:cs="宋体"/>
                <w:szCs w:val="21"/>
              </w:rPr>
              <w:t xml:space="preserve">考核得分(0-100分)</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615"/>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质量控制管理</w:t>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场地及人员素质检查</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5%</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630"/>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质量审核控制</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40"/>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信息化管理</w:t>
            </w:r>
            <w:r/>
          </w:p>
        </w:tc>
        <w:tc>
          <w:tcPr>
            <w:gridSpan w:val="3"/>
            <w:tcBorders>
              <w:top w:val="single" w:color="000000" w:sz="4" w:space="0"/>
              <w:left w:val="none" w:color="000000" w:sz="4" w:space="0"/>
              <w:bottom w:val="non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设备档案管理</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non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40"/>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non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功能模块实现</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non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40"/>
        </w:trPr>
        <w:tc>
          <w:tcPr>
            <w:gridSpan w:val="2"/>
            <w:tcBorders>
              <w:top w:val="none" w:color="000000" w:sz="4" w:space="0"/>
              <w:left w:val="single" w:color="000000" w:sz="8" w:space="0"/>
              <w:bottom w:val="single" w:color="000000" w:sz="4" w:space="0"/>
              <w:right w:val="single" w:color="000000" w:sz="4" w:space="0"/>
            </w:tcBorders>
            <w:tcW w:w="13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服务综合绩效</w:t>
            </w:r>
            <w:r/>
          </w:p>
        </w:tc>
        <w:tc>
          <w:tcPr>
            <w:gridSpan w:val="3"/>
            <w:tcBorders>
              <w:top w:val="single" w:color="000000" w:sz="4" w:space="0"/>
              <w:left w:val="none" w:color="000000" w:sz="4" w:space="0"/>
              <w:bottom w:val="non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响应时间</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15%</w:t>
            </w:r>
            <w:r/>
          </w:p>
        </w:tc>
        <w:tc>
          <w:tcPr>
            <w:gridSpan w:val="3"/>
            <w:tcBorders>
              <w:top w:val="single" w:color="000000" w:sz="4" w:space="0"/>
              <w:left w:val="none" w:color="000000" w:sz="4" w:space="0"/>
              <w:bottom w:val="non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40"/>
        </w:trPr>
        <w:tc>
          <w:tcPr>
            <w:gridSpan w:val="2"/>
            <w:tcBorders>
              <w:top w:val="non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non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设备开机率</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non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615"/>
        </w:trPr>
        <w:tc>
          <w:tcPr>
            <w:gridSpan w:val="2"/>
            <w:tcBorders>
              <w:top w:val="non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保养完成率</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55"/>
        </w:trPr>
        <w:tc>
          <w:tcPr>
            <w:gridSpan w:val="2"/>
            <w:tcBorders>
              <w:top w:val="non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巡检管理</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70"/>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客户满意度</w:t>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系统客户满意度评分</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570"/>
        </w:trPr>
        <w:tc>
          <w:tcPr>
            <w:gridSpan w:val="2"/>
            <w:tcBorders>
              <w:top w:val="single" w:color="000000" w:sz="4" w:space="0"/>
              <w:left w:val="single" w:color="000000" w:sz="8" w:space="0"/>
              <w:bottom w:val="single" w:color="000000" w:sz="4" w:space="0"/>
              <w:right w:val="single" w:color="000000" w:sz="4" w:space="0"/>
            </w:tcBorders>
            <w:tcW w:w="1300" w:type="dxa"/>
            <w:vAlign w:val="center"/>
            <w:vMerge w:val="continue"/>
            <w:textDirection w:val="lrTb"/>
            <w:noWrap/>
          </w:tcPr>
          <w:p>
            <w:pPr>
              <w:rPr>
                <w:rFonts w:ascii="宋体" w:hAnsi="宋体" w:cs="宋体"/>
                <w:szCs w:val="21"/>
              </w:rPr>
            </w:pPr>
            <w:r>
              <w:rPr>
                <w:rFonts w:ascii="宋体" w:hAnsi="宋体" w:cs="宋体"/>
                <w:szCs w:val="21"/>
              </w:rPr>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rPr>
                <w:rFonts w:ascii="宋体" w:hAnsi="宋体" w:cs="宋体"/>
                <w:szCs w:val="21"/>
              </w:rPr>
            </w:pPr>
            <w:r>
              <w:rPr>
                <w:rFonts w:hint="eastAsia" w:ascii="宋体" w:hAnsi="宋体" w:cs="宋体"/>
                <w:szCs w:val="21"/>
              </w:rPr>
              <w:t xml:space="preserve">临床满意度年度评分</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825"/>
        </w:trPr>
        <w:tc>
          <w:tcPr>
            <w:gridSpan w:val="2"/>
            <w:tcBorders>
              <w:top w:val="none" w:color="000000" w:sz="4" w:space="0"/>
              <w:left w:val="single" w:color="000000" w:sz="8" w:space="0"/>
              <w:bottom w:val="single" w:color="000000" w:sz="4" w:space="0"/>
              <w:right w:val="single" w:color="000000" w:sz="4" w:space="0"/>
            </w:tcBorders>
            <w:tcW w:w="1300" w:type="dxa"/>
            <w:vAlign w:val="center"/>
            <w:textDirection w:val="lrTb"/>
            <w:noWrap/>
          </w:tcPr>
          <w:p>
            <w:pPr>
              <w:jc w:val="center"/>
              <w:rPr>
                <w:rFonts w:ascii="宋体" w:hAnsi="宋体" w:cs="宋体"/>
                <w:szCs w:val="21"/>
              </w:rPr>
            </w:pPr>
            <w:r>
              <w:rPr>
                <w:rFonts w:hint="eastAsia" w:ascii="宋体" w:hAnsi="宋体" w:cs="宋体"/>
                <w:szCs w:val="21"/>
              </w:rPr>
              <w:t xml:space="preserve">总分</w:t>
            </w:r>
            <w:r/>
          </w:p>
        </w:tc>
        <w:tc>
          <w:tcPr>
            <w:gridSpan w:val="3"/>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rPr>
                <w:rFonts w:ascii="宋体" w:hAnsi="宋体" w:cs="宋体"/>
                <w:szCs w:val="21"/>
              </w:rPr>
            </w:pPr>
            <w:r>
              <w:rPr>
                <w:rFonts w:hint="eastAsia" w:ascii="宋体" w:hAnsi="宋体" w:cs="宋体"/>
                <w:szCs w:val="21"/>
              </w:rPr>
              <w:t xml:space="preserve">根据前面各项得分和权重计算所得总分</w:t>
            </w:r>
            <w:r/>
          </w:p>
        </w:tc>
        <w:tc>
          <w:tcPr>
            <w:gridSpan w:val="4"/>
            <w:tcBorders>
              <w:top w:val="single" w:color="000000" w:sz="4" w:space="0"/>
              <w:left w:val="none" w:color="000000" w:sz="4" w:space="0"/>
              <w:bottom w:val="single" w:color="000000" w:sz="4" w:space="0"/>
              <w:right w:val="single" w:color="000000" w:sz="4" w:space="0"/>
            </w:tcBorders>
            <w:tcW w:w="2440" w:type="dxa"/>
            <w:vAlign w:val="center"/>
            <w:textDirection w:val="lrTb"/>
            <w:noWrap/>
          </w:tcPr>
          <w:p>
            <w:pPr>
              <w:jc w:val="center"/>
              <w:rPr>
                <w:rFonts w:ascii="宋体" w:hAnsi="宋体"/>
                <w:szCs w:val="21"/>
              </w:rPr>
            </w:pPr>
            <w:r>
              <w:rPr>
                <w:rFonts w:ascii="宋体" w:hAnsi="宋体"/>
                <w:szCs w:val="21"/>
              </w:rPr>
              <w:t xml:space="preserve">100%</w:t>
            </w:r>
            <w:r/>
          </w:p>
        </w:tc>
        <w:tc>
          <w:tcPr>
            <w:gridSpan w:val="3"/>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4" w:space="0"/>
              <w:right w:val="single" w:color="000000" w:sz="8" w:space="0"/>
            </w:tcBorders>
            <w:tcW w:w="1540" w:type="dxa"/>
            <w:vAlign w:val="center"/>
            <w:textDirection w:val="lrTb"/>
            <w:noWrap/>
          </w:tcPr>
          <w:p>
            <w:pPr>
              <w:rPr>
                <w:rFonts w:ascii="宋体" w:hAnsi="宋体" w:cs="宋体"/>
                <w:szCs w:val="21"/>
              </w:rPr>
            </w:pPr>
            <w:r>
              <w:rPr>
                <w:rFonts w:hint="eastAsia" w:ascii="宋体" w:hAnsi="宋体" w:cs="宋体"/>
                <w:szCs w:val="21"/>
              </w:rPr>
              <w:t xml:space="preserve">　</w:t>
            </w:r>
            <w:r/>
          </w:p>
        </w:tc>
      </w:tr>
      <w:tr>
        <w:trPr>
          <w:jc w:val="center"/>
          <w:trHeight w:val="1035"/>
        </w:trPr>
        <w:tc>
          <w:tcPr>
            <w:gridSpan w:val="14"/>
            <w:tcBorders>
              <w:top w:val="single" w:color="000000" w:sz="4" w:space="0"/>
              <w:left w:val="single" w:color="000000" w:sz="8" w:space="0"/>
              <w:bottom w:val="single" w:color="000000" w:sz="4" w:space="0"/>
              <w:right w:val="single" w:color="000000" w:sz="8" w:space="0"/>
            </w:tcBorders>
            <w:tcW w:w="9020" w:type="dxa"/>
            <w:vAlign w:val="center"/>
            <w:vMerge w:val="restart"/>
            <w:textDirection w:val="lrTb"/>
            <w:noWrap/>
          </w:tcPr>
          <w:p>
            <w:pPr>
              <w:rPr>
                <w:rFonts w:ascii="宋体" w:hAnsi="宋体" w:cs="宋体"/>
                <w:szCs w:val="21"/>
              </w:rPr>
            </w:pPr>
            <w:r>
              <w:rPr>
                <w:rFonts w:hint="eastAsia" w:ascii="宋体" w:hAnsi="宋体" w:cs="宋体"/>
                <w:szCs w:val="21"/>
              </w:rPr>
              <w:t xml:space="preserve">其他建议事项：</w:t>
            </w:r>
            <w:r/>
          </w:p>
        </w:tc>
      </w:tr>
      <w:tr>
        <w:trPr>
          <w:jc w:val="center"/>
          <w:trHeight w:val="315"/>
        </w:trPr>
        <w:tc>
          <w:tcPr>
            <w:tcBorders>
              <w:top w:val="none" w:color="000000" w:sz="4" w:space="0"/>
              <w:left w:val="single" w:color="000000" w:sz="8" w:space="0"/>
              <w:bottom w:val="single" w:color="000000" w:sz="8" w:space="0"/>
              <w:right w:val="single" w:color="000000" w:sz="4" w:space="0"/>
            </w:tcBorders>
            <w:tcW w:w="660" w:type="dxa"/>
            <w:vAlign w:val="center"/>
            <w:textDirection w:val="lrTb"/>
            <w:noWrap/>
          </w:tcPr>
          <w:p>
            <w:pPr>
              <w:jc w:val="center"/>
              <w:rPr>
                <w:rFonts w:ascii="宋体" w:hAnsi="宋体" w:cs="宋体"/>
                <w:szCs w:val="21"/>
              </w:rPr>
            </w:pPr>
            <w:r>
              <w:rPr>
                <w:rFonts w:hint="eastAsia" w:ascii="宋体" w:hAnsi="宋体" w:cs="宋体"/>
                <w:szCs w:val="21"/>
              </w:rPr>
              <w:t xml:space="preserve">考核人</w:t>
            </w:r>
            <w:r/>
          </w:p>
        </w:tc>
        <w:tc>
          <w:tcPr>
            <w:gridSpan w:val="2"/>
            <w:tcBorders>
              <w:top w:val="single" w:color="000000" w:sz="4" w:space="0"/>
              <w:left w:val="none" w:color="000000" w:sz="4" w:space="0"/>
              <w:bottom w:val="single" w:color="000000" w:sz="8" w:space="0"/>
              <w:right w:val="single" w:color="000000" w:sz="4" w:space="0"/>
            </w:tcBorders>
            <w:tcW w:w="1220" w:type="dxa"/>
            <w:vAlign w:val="center"/>
            <w:textDirection w:val="lrTb"/>
            <w:noWrap/>
          </w:tcPr>
          <w:p>
            <w:pPr>
              <w:jc w:val="center"/>
              <w:rPr>
                <w:rFonts w:ascii="宋体" w:hAnsi="宋体"/>
                <w:szCs w:val="21"/>
              </w:rPr>
            </w:pPr>
            <w:r>
              <w:rPr>
                <w:rFonts w:ascii="宋体" w:hAnsi="宋体"/>
                <w:szCs w:val="21"/>
              </w:rPr>
              <w:t xml:space="preserve">　</w:t>
            </w:r>
            <w:r/>
          </w:p>
        </w:tc>
        <w:tc>
          <w:tcPr>
            <w:tcBorders>
              <w:top w:val="none" w:color="000000" w:sz="4" w:space="0"/>
              <w:left w:val="none" w:color="000000" w:sz="4" w:space="0"/>
              <w:bottom w:val="single" w:color="000000" w:sz="8" w:space="0"/>
              <w:right w:val="single" w:color="000000" w:sz="4" w:space="0"/>
            </w:tcBorders>
            <w:tcW w:w="520" w:type="dxa"/>
            <w:vAlign w:val="center"/>
            <w:textDirection w:val="lrTb"/>
            <w:noWrap/>
          </w:tcPr>
          <w:p>
            <w:pPr>
              <w:jc w:val="center"/>
              <w:rPr>
                <w:rFonts w:ascii="宋体" w:hAnsi="宋体" w:cs="宋体"/>
                <w:szCs w:val="21"/>
              </w:rPr>
            </w:pPr>
            <w:r>
              <w:rPr>
                <w:rFonts w:hint="eastAsia" w:ascii="宋体" w:hAnsi="宋体" w:cs="宋体"/>
                <w:szCs w:val="21"/>
              </w:rPr>
              <w:t xml:space="preserve">日期</w:t>
            </w:r>
            <w:r/>
          </w:p>
        </w:tc>
        <w:tc>
          <w:tcPr>
            <w:gridSpan w:val="2"/>
            <w:tcBorders>
              <w:top w:val="single" w:color="000000" w:sz="4" w:space="0"/>
              <w:left w:val="none" w:color="000000" w:sz="4" w:space="0"/>
              <w:bottom w:val="single" w:color="000000" w:sz="8" w:space="0"/>
              <w:right w:val="single" w:color="000000" w:sz="4" w:space="0"/>
            </w:tcBorders>
            <w:tcW w:w="144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8" w:space="0"/>
              <w:right w:val="single" w:color="000000" w:sz="4" w:space="0"/>
            </w:tcBorders>
            <w:tcW w:w="1300" w:type="dxa"/>
            <w:vAlign w:val="center"/>
            <w:textDirection w:val="lrTb"/>
            <w:noWrap/>
          </w:tcPr>
          <w:p>
            <w:pPr>
              <w:jc w:val="center"/>
              <w:rPr>
                <w:rFonts w:ascii="宋体" w:hAnsi="宋体" w:cs="宋体"/>
                <w:szCs w:val="21"/>
              </w:rPr>
            </w:pPr>
            <w:r>
              <w:rPr>
                <w:rFonts w:hint="eastAsia" w:ascii="宋体" w:hAnsi="宋体" w:cs="宋体"/>
                <w:szCs w:val="21"/>
              </w:rPr>
              <w:t xml:space="preserve">单位</w:t>
            </w:r>
            <w:r/>
          </w:p>
        </w:tc>
        <w:tc>
          <w:tcPr>
            <w:gridSpan w:val="3"/>
            <w:tcBorders>
              <w:top w:val="single" w:color="000000" w:sz="4" w:space="0"/>
              <w:left w:val="none" w:color="000000" w:sz="4" w:space="0"/>
              <w:bottom w:val="single" w:color="000000" w:sz="8" w:space="0"/>
              <w:right w:val="single" w:color="000000" w:sz="4" w:space="0"/>
            </w:tcBorders>
            <w:tcW w:w="1820" w:type="dxa"/>
            <w:vAlign w:val="center"/>
            <w:textDirection w:val="lrTb"/>
            <w:noWrap/>
          </w:tcPr>
          <w:p>
            <w:pPr>
              <w:jc w:val="center"/>
              <w:rPr>
                <w:rFonts w:ascii="宋体" w:hAnsi="宋体"/>
                <w:szCs w:val="21"/>
              </w:rPr>
            </w:pPr>
            <w:r>
              <w:rPr>
                <w:rFonts w:ascii="宋体" w:hAnsi="宋体"/>
                <w:szCs w:val="21"/>
              </w:rPr>
              <w:t xml:space="preserve">　</w:t>
            </w:r>
            <w:r/>
          </w:p>
        </w:tc>
        <w:tc>
          <w:tcPr>
            <w:gridSpan w:val="2"/>
            <w:tcBorders>
              <w:top w:val="single" w:color="000000" w:sz="4" w:space="0"/>
              <w:left w:val="none" w:color="000000" w:sz="4" w:space="0"/>
              <w:bottom w:val="single" w:color="000000" w:sz="8" w:space="0"/>
              <w:right w:val="single" w:color="000000" w:sz="4" w:space="0"/>
            </w:tcBorders>
            <w:tcW w:w="1600" w:type="dxa"/>
            <w:vAlign w:val="center"/>
            <w:textDirection w:val="lrTb"/>
            <w:noWrap/>
          </w:tcPr>
          <w:p>
            <w:pPr>
              <w:jc w:val="center"/>
              <w:rPr>
                <w:rFonts w:ascii="宋体" w:hAnsi="宋体" w:cs="宋体"/>
                <w:szCs w:val="21"/>
              </w:rPr>
            </w:pPr>
            <w:r>
              <w:rPr>
                <w:rFonts w:hint="eastAsia" w:ascii="宋体" w:hAnsi="宋体" w:cs="宋体"/>
                <w:szCs w:val="21"/>
              </w:rPr>
              <w:t xml:space="preserve">联系方式</w:t>
            </w:r>
            <w:r/>
          </w:p>
        </w:tc>
        <w:tc>
          <w:tcPr>
            <w:tcBorders>
              <w:top w:val="none" w:color="000000" w:sz="4" w:space="0"/>
              <w:left w:val="none" w:color="000000" w:sz="4" w:space="0"/>
              <w:bottom w:val="single" w:color="000000" w:sz="8" w:space="0"/>
              <w:right w:val="single" w:color="000000" w:sz="8" w:space="0"/>
            </w:tcBorders>
            <w:tcW w:w="460" w:type="dxa"/>
            <w:vAlign w:val="center"/>
            <w:textDirection w:val="lrTb"/>
            <w:noWrap/>
          </w:tcPr>
          <w:p>
            <w:pPr>
              <w:jc w:val="center"/>
              <w:rPr>
                <w:rFonts w:ascii="宋体" w:hAnsi="宋体"/>
                <w:szCs w:val="21"/>
              </w:rPr>
            </w:pPr>
            <w:r>
              <w:rPr>
                <w:rFonts w:ascii="宋体" w:hAnsi="宋体"/>
                <w:szCs w:val="21"/>
              </w:rPr>
              <w:t xml:space="preserve">　</w:t>
            </w:r>
            <w:r/>
          </w:p>
        </w:tc>
      </w:tr>
      <w:tr>
        <w:trPr>
          <w:jc w:val="center"/>
          <w:trHeight w:val="315"/>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64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70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26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tcPr>
          <w:p>
            <w:pPr>
              <w:rPr>
                <w:rFonts w:ascii="宋体" w:hAnsi="宋体" w:cs="宋体"/>
                <w:szCs w:val="21"/>
              </w:rPr>
            </w:pPr>
            <w:r>
              <w:rPr>
                <w:rFonts w:ascii="宋体" w:hAnsi="宋体" w:cs="宋体"/>
                <w:szCs w:val="21"/>
              </w:rPr>
            </w:r>
            <w:r/>
          </w:p>
        </w:tc>
      </w:tr>
      <w:tr>
        <w:trPr>
          <w:jc w:val="center"/>
          <w:trHeight w:val="315"/>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64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80" w:type="dxa"/>
            <w:vAlign w:val="center"/>
            <w:textDirection w:val="lrTb"/>
            <w:noWrap/>
          </w:tcPr>
          <w:p>
            <w:pPr>
              <w:rPr>
                <w:rFonts w:ascii="宋体" w:hAnsi="宋体" w:cs="宋体"/>
                <w:szCs w:val="21"/>
              </w:rPr>
            </w:pPr>
            <w:r>
              <w:rPr>
                <w:rFonts w:ascii="宋体" w:hAnsi="宋体" w:cs="宋体"/>
                <w:szCs w:val="21"/>
              </w:rPr>
            </w:r>
            <w:r/>
          </w:p>
        </w:tc>
        <w:tc>
          <w:tcPr>
            <w:gridSpan w:val="3"/>
            <w:tcBorders>
              <w:top w:val="none" w:color="000000" w:sz="4" w:space="0"/>
              <w:left w:val="none" w:color="000000" w:sz="4" w:space="0"/>
              <w:bottom w:val="none" w:color="000000" w:sz="4" w:space="0"/>
              <w:right w:val="none" w:color="000000" w:sz="4" w:space="0"/>
            </w:tcBorders>
            <w:tcW w:w="1960" w:type="dxa"/>
            <w:vAlign w:val="center"/>
            <w:textDirection w:val="lrTb"/>
            <w:noWrap/>
          </w:tcPr>
          <w:p>
            <w:pPr>
              <w:rPr>
                <w:rFonts w:ascii="宋体" w:hAnsi="宋体" w:cs="宋体"/>
                <w:b/>
                <w:bCs/>
                <w:szCs w:val="21"/>
              </w:rPr>
            </w:pPr>
            <w:r>
              <w:rPr>
                <w:rFonts w:hint="eastAsia" w:ascii="宋体" w:hAnsi="宋体" w:cs="宋体"/>
                <w:b/>
                <w:bCs/>
                <w:szCs w:val="21"/>
              </w:rPr>
              <w:t xml:space="preserve">医院签字:</w:t>
            </w:r>
            <w:r/>
          </w:p>
        </w:tc>
        <w:tc>
          <w:tcPr>
            <w:tcBorders>
              <w:top w:val="none" w:color="000000" w:sz="4" w:space="0"/>
              <w:left w:val="none" w:color="000000" w:sz="4" w:space="0"/>
              <w:bottom w:val="none" w:color="000000" w:sz="4" w:space="0"/>
              <w:right w:val="none" w:color="000000" w:sz="4" w:space="0"/>
            </w:tcBorders>
            <w:tcW w:w="70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none" w:color="000000" w:sz="4" w:space="0"/>
            </w:tcBorders>
            <w:tcW w:w="1340" w:type="dxa"/>
            <w:vAlign w:val="center"/>
            <w:textDirection w:val="lrTb"/>
            <w:noWrap/>
          </w:tcPr>
          <w:p>
            <w:pPr>
              <w:rPr>
                <w:rFonts w:ascii="宋体" w:hAnsi="宋体" w:cs="宋体"/>
                <w:b/>
                <w:bCs/>
                <w:szCs w:val="21"/>
              </w:rPr>
            </w:pPr>
            <w:r>
              <w:rPr>
                <w:rFonts w:hint="eastAsia" w:ascii="宋体" w:hAnsi="宋体" w:cs="宋体"/>
                <w:b/>
                <w:bCs/>
                <w:szCs w:val="21"/>
              </w:rPr>
              <w:t xml:space="preserve">日期：</w:t>
            </w:r>
            <w:r/>
          </w:p>
        </w:tc>
        <w:tc>
          <w:tcPr>
            <w:tcBorders>
              <w:top w:val="none" w:color="000000" w:sz="4" w:space="0"/>
              <w:left w:val="none" w:color="000000" w:sz="4" w:space="0"/>
              <w:bottom w:val="none" w:color="000000" w:sz="4" w:space="0"/>
              <w:right w:val="none" w:color="000000" w:sz="4" w:space="0"/>
            </w:tcBorders>
            <w:tcW w:w="4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tcPr>
          <w:p>
            <w:pPr>
              <w:rPr>
                <w:rFonts w:ascii="宋体" w:hAnsi="宋体" w:cs="宋体"/>
                <w:szCs w:val="21"/>
              </w:rPr>
            </w:pPr>
            <w:r>
              <w:rPr>
                <w:rFonts w:ascii="宋体" w:hAnsi="宋体" w:cs="宋体"/>
                <w:szCs w:val="21"/>
              </w:rPr>
            </w:r>
            <w:r/>
          </w:p>
        </w:tc>
      </w:tr>
    </w:tbl>
    <w:p>
      <w:pPr>
        <w:pStyle w:val="959"/>
        <w:ind w:firstLine="250"/>
        <w:rPr>
          <w:rFonts w:ascii="宋体" w:hAnsi="宋体" w:cs="宋体"/>
        </w:rPr>
      </w:pPr>
      <w:r>
        <w:rPr>
          <w:rFonts w:ascii="宋体" w:hAnsi="宋体" w:cs="宋体"/>
        </w:rPr>
      </w:r>
      <w:r/>
    </w:p>
    <w:p>
      <w:pPr>
        <w:ind w:firstLine="422"/>
        <w:spacing w:line="400" w:lineRule="exact"/>
        <w:rPr>
          <w:rFonts w:ascii="宋体" w:hAnsi="宋体"/>
          <w:b/>
          <w:bCs/>
          <w:szCs w:val="21"/>
        </w:rPr>
      </w:pPr>
      <w:r>
        <w:rPr>
          <w:rFonts w:hint="eastAsia" w:ascii="宋体" w:hAnsi="宋体"/>
          <w:b/>
          <w:bCs/>
          <w:szCs w:val="21"/>
        </w:rPr>
        <w:t xml:space="preserve">注：每半年考核一次，半年度考核得分在80分以下的，扣除年度服务费的5%。</w:t>
      </w:r>
      <w:r/>
    </w:p>
    <w:p>
      <w:pPr>
        <w:ind w:right="-27" w:firstLine="482"/>
        <w:spacing w:line="520" w:lineRule="exact"/>
        <w:tabs>
          <w:tab w:val="left" w:pos="0" w:leader="none"/>
        </w:tabs>
        <w:rPr>
          <w:rFonts w:ascii="宋体" w:hAnsi="宋体" w:cs="宋体"/>
          <w:b/>
          <w:bCs/>
          <w:szCs w:val="21"/>
        </w:rPr>
      </w:pPr>
      <w:r>
        <w:rPr>
          <w:rFonts w:hint="eastAsia" w:ascii="宋体" w:hAnsi="宋体" w:cs="宋体"/>
          <w:b/>
          <w:bCs/>
          <w:szCs w:val="21"/>
        </w:rPr>
        <w:t xml:space="preserve">第六条 验收办法</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6.1履约验收标准：根据国家相关法律法规、行业相关标准、政府采购合同要求、招标文件要求、投标文件的承诺。</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6.2履约验收主体：由甲方进行验收。</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w:t>
      </w:r>
      <w:r>
        <w:rPr>
          <w:rFonts w:hint="eastAsia" w:ascii="宋体" w:hAnsi="宋体" w:cs="Courier New"/>
          <w:szCs w:val="21"/>
        </w:rPr>
        <w:t xml:space="preserve">担。</w:t>
      </w:r>
      <w:r/>
    </w:p>
    <w:p>
      <w:pPr>
        <w:ind w:right="-27" w:firstLine="480"/>
        <w:spacing w:line="460" w:lineRule="exact"/>
        <w:tabs>
          <w:tab w:val="left" w:pos="0" w:leader="none"/>
        </w:tabs>
        <w:rPr>
          <w:rFonts w:ascii="宋体" w:hAnsi="宋体" w:cs="宋体"/>
          <w:bCs/>
          <w:szCs w:val="21"/>
        </w:rPr>
      </w:pPr>
      <w:r>
        <w:rPr>
          <w:rFonts w:hint="eastAsia" w:ascii="宋体" w:hAnsi="宋体" w:cs="Courier New"/>
          <w:szCs w:val="21"/>
        </w:rPr>
        <w:t xml:space="preserve">6.4其他验收要求按照《江苏省政府采购履约验收管理办法》规定执行</w:t>
      </w:r>
      <w:r>
        <w:rPr>
          <w:rFonts w:hint="eastAsia" w:ascii="宋体" w:hAnsi="宋体" w:cs="宋体"/>
          <w:bCs/>
          <w:szCs w:val="21"/>
        </w:rPr>
        <w:t xml:space="preserve">。</w:t>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第七条双方的其他权利义务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7.1甲方权利义务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7.1.1 甲方权利</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甲方义务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7.2乙方权利义务</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7.2.1乙方权利</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7.2.2</w:t>
      </w:r>
      <w:r>
        <w:rPr>
          <w:rFonts w:hint="eastAsia" w:ascii="宋体" w:hAnsi="宋体" w:cs="宋体"/>
          <w:bCs/>
          <w:szCs w:val="21"/>
        </w:rPr>
        <w:t xml:space="preserve">除其他有关条款的约定外，乙方义务还包括：</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1 \* GB3</w:instrText>
      </w:r>
      <w:r>
        <w:rPr>
          <w:rFonts w:ascii="宋体" w:hAnsi="宋体" w:cs="宋体"/>
          <w:bCs/>
          <w:szCs w:val="21"/>
        </w:rPr>
        <w:fldChar w:fldCharType="separate"/>
      </w:r>
      <w:r>
        <w:rPr>
          <w:rFonts w:hint="eastAsia" w:ascii="宋体" w:hAnsi="宋体" w:cs="宋体"/>
          <w:bCs/>
          <w:szCs w:val="21"/>
        </w:rPr>
        <w:t xml:space="preserve">①</w:t>
      </w:r>
      <w:r>
        <w:rPr>
          <w:rFonts w:ascii="宋体" w:hAnsi="宋体" w:cs="宋体"/>
          <w:bCs/>
          <w:szCs w:val="21"/>
        </w:rPr>
        <w:fldChar w:fldCharType="end"/>
      </w:r>
      <w:r>
        <w:rPr>
          <w:rFonts w:hint="eastAsia" w:ascii="宋体" w:hAnsi="宋体" w:cs="宋体"/>
          <w:bCs/>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Cs w:val="21"/>
        </w:rPr>
        <w:t xml:space="preserve">20%</w:t>
      </w:r>
      <w:r>
        <w:rPr>
          <w:rFonts w:hint="eastAsia" w:ascii="宋体" w:hAnsi="宋体" w:cs="宋体"/>
          <w:bCs/>
          <w:szCs w:val="21"/>
        </w:rPr>
        <w:t xml:space="preserve">的，视为乙方丧失提供服务的能力。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2 \* GB3</w:instrText>
      </w:r>
      <w:r>
        <w:rPr>
          <w:rFonts w:ascii="宋体" w:hAnsi="宋体" w:cs="宋体"/>
          <w:bCs/>
          <w:szCs w:val="21"/>
        </w:rPr>
        <w:fldChar w:fldCharType="separate"/>
      </w:r>
      <w:r>
        <w:rPr>
          <w:rFonts w:hint="eastAsia" w:ascii="宋体" w:hAnsi="宋体" w:cs="宋体"/>
          <w:bCs/>
          <w:szCs w:val="21"/>
        </w:rPr>
        <w:t xml:space="preserve">②</w:t>
      </w:r>
      <w:r>
        <w:rPr>
          <w:rFonts w:ascii="宋体" w:hAnsi="宋体" w:cs="宋体"/>
          <w:bCs/>
          <w:szCs w:val="21"/>
        </w:rPr>
        <w:fldChar w:fldCharType="end"/>
      </w:r>
      <w:r>
        <w:rPr>
          <w:rFonts w:hint="eastAsia" w:ascii="宋体" w:hAnsi="宋体" w:cs="宋体"/>
          <w:bCs/>
          <w:szCs w:val="21"/>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4 \* GB3</w:instrText>
      </w:r>
      <w:r>
        <w:rPr>
          <w:rFonts w:ascii="宋体" w:hAnsi="宋体" w:cs="宋体"/>
          <w:bCs/>
          <w:szCs w:val="21"/>
        </w:rPr>
        <w:fldChar w:fldCharType="separate"/>
      </w:r>
      <w:r>
        <w:rPr>
          <w:rFonts w:hint="eastAsia" w:ascii="宋体" w:hAnsi="宋体" w:cs="宋体"/>
          <w:bCs/>
          <w:szCs w:val="21"/>
        </w:rPr>
        <w:t xml:space="preserve">④</w:t>
      </w:r>
      <w:r>
        <w:rPr>
          <w:rFonts w:ascii="宋体" w:hAnsi="宋体" w:cs="宋体"/>
          <w:bCs/>
          <w:szCs w:val="21"/>
        </w:rPr>
        <w:fldChar w:fldCharType="end"/>
      </w:r>
      <w:r>
        <w:rPr>
          <w:rFonts w:hint="eastAsia" w:ascii="宋体" w:hAnsi="宋体" w:cs="宋体"/>
          <w:bCs/>
          <w:szCs w:val="21"/>
        </w:rPr>
        <w:t xml:space="preserve">乙方应当及时响应甲方的服务需求，在甲方提出派员到场服务时，应当与甲方确定到场时间。甲方紧急服务需求时，乙方应在</w:t>
      </w:r>
      <w:r>
        <w:rPr>
          <w:rFonts w:ascii="宋体" w:hAnsi="宋体" w:cs="宋体"/>
          <w:bCs/>
          <w:szCs w:val="21"/>
        </w:rPr>
        <w:t xml:space="preserve">2</w:t>
      </w:r>
      <w:r>
        <w:rPr>
          <w:rFonts w:hint="eastAsia" w:ascii="宋体" w:hAnsi="宋体" w:cs="宋体"/>
          <w:bCs/>
          <w:szCs w:val="21"/>
        </w:rPr>
        <w:t xml:space="preserve">小时内派员到场。</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5 \* GB3</w:instrText>
      </w:r>
      <w:r>
        <w:rPr>
          <w:rFonts w:ascii="宋体" w:hAnsi="宋体" w:cs="宋体"/>
          <w:bCs/>
          <w:szCs w:val="21"/>
        </w:rPr>
        <w:fldChar w:fldCharType="separate"/>
      </w:r>
      <w:r>
        <w:rPr>
          <w:rFonts w:hint="eastAsia" w:ascii="宋体" w:hAnsi="宋体" w:cs="宋体"/>
          <w:bCs/>
          <w:szCs w:val="21"/>
        </w:rPr>
        <w:t xml:space="preserve">⑤</w:t>
      </w:r>
      <w:r>
        <w:rPr>
          <w:rFonts w:ascii="宋体" w:hAnsi="宋体" w:cs="宋体"/>
          <w:bCs/>
          <w:szCs w:val="21"/>
        </w:rPr>
        <w:fldChar w:fldCharType="end"/>
      </w:r>
      <w:r>
        <w:rPr>
          <w:rFonts w:hint="eastAsia" w:ascii="宋体" w:hAnsi="宋体" w:cs="宋体"/>
          <w:bCs/>
          <w:szCs w:val="21"/>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6 \* GB3</w:instrText>
      </w:r>
      <w:r>
        <w:rPr>
          <w:rFonts w:ascii="宋体" w:hAnsi="宋体" w:cs="宋体"/>
          <w:bCs/>
          <w:szCs w:val="21"/>
        </w:rPr>
        <w:fldChar w:fldCharType="separate"/>
      </w:r>
      <w:r>
        <w:rPr>
          <w:rFonts w:hint="eastAsia" w:ascii="宋体" w:hAnsi="宋体" w:cs="宋体"/>
          <w:bCs/>
          <w:szCs w:val="21"/>
        </w:rPr>
        <w:t xml:space="preserve">⑥</w:t>
      </w:r>
      <w:r>
        <w:rPr>
          <w:rFonts w:ascii="宋体" w:hAnsi="宋体" w:cs="宋体"/>
          <w:bCs/>
          <w:szCs w:val="21"/>
        </w:rPr>
        <w:fldChar w:fldCharType="end"/>
      </w:r>
      <w:r>
        <w:rPr>
          <w:rFonts w:hint="eastAsia" w:ascii="宋体" w:hAnsi="宋体" w:cs="宋体"/>
          <w:bCs/>
          <w:szCs w:val="21"/>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7 \* GB3</w:instrText>
      </w:r>
      <w:r>
        <w:rPr>
          <w:rFonts w:ascii="宋体" w:hAnsi="宋体" w:cs="宋体"/>
          <w:bCs/>
          <w:szCs w:val="21"/>
        </w:rPr>
        <w:fldChar w:fldCharType="separate"/>
      </w:r>
      <w:r>
        <w:rPr>
          <w:rFonts w:hint="eastAsia" w:ascii="宋体" w:hAnsi="宋体" w:cs="宋体"/>
          <w:bCs/>
          <w:szCs w:val="21"/>
        </w:rPr>
        <w:t xml:space="preserve">⑦</w:t>
      </w:r>
      <w:r>
        <w:rPr>
          <w:rFonts w:ascii="宋体" w:hAnsi="宋体" w:cs="宋体"/>
          <w:bCs/>
          <w:szCs w:val="21"/>
        </w:rPr>
        <w:fldChar w:fldCharType="end"/>
      </w:r>
      <w:r>
        <w:rPr>
          <w:rFonts w:hint="eastAsia" w:ascii="宋体" w:hAnsi="宋体" w:cs="宋体"/>
          <w:bCs/>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8 \* GB3</w:instrText>
      </w:r>
      <w:r>
        <w:rPr>
          <w:rFonts w:ascii="宋体" w:hAnsi="宋体" w:cs="宋体"/>
          <w:bCs/>
          <w:szCs w:val="21"/>
        </w:rPr>
        <w:fldChar w:fldCharType="separate"/>
      </w:r>
      <w:r>
        <w:rPr>
          <w:rFonts w:hint="eastAsia" w:ascii="宋体" w:hAnsi="宋体" w:cs="宋体"/>
          <w:bCs/>
          <w:szCs w:val="21"/>
        </w:rPr>
        <w:t xml:space="preserve">⑧</w:t>
      </w:r>
      <w:r>
        <w:rPr>
          <w:rFonts w:ascii="宋体" w:hAnsi="宋体" w:cs="宋体"/>
          <w:bCs/>
          <w:szCs w:val="21"/>
        </w:rPr>
        <w:fldChar w:fldCharType="end"/>
      </w:r>
      <w:r>
        <w:rPr>
          <w:rFonts w:hint="eastAsia" w:ascii="宋体" w:hAnsi="宋体" w:cs="宋体"/>
          <w:bCs/>
          <w:szCs w:val="21"/>
        </w:rPr>
        <w:t xml:space="preserve">法规、政策规定由乙方承担的其他责任。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第八条 质量保证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第九条 违约责任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9.1</w:t>
      </w:r>
      <w:r>
        <w:rPr>
          <w:rFonts w:hint="eastAsia" w:ascii="宋体" w:hAnsi="宋体" w:cs="宋体"/>
          <w:bCs/>
          <w:szCs w:val="21"/>
        </w:rPr>
        <w:t xml:space="preserve">甲方未按合同规定期限向乙方支付合同价款的，每逾期一天向乙方偿付欠款总额</w:t>
      </w:r>
      <w:r>
        <w:rPr>
          <w:rFonts w:ascii="宋体" w:hAnsi="宋体" w:cs="宋体"/>
          <w:bCs/>
          <w:szCs w:val="21"/>
        </w:rPr>
        <w:t xml:space="preserve">0.5</w:t>
      </w:r>
      <w:r>
        <w:rPr>
          <w:rFonts w:hint="eastAsia" w:ascii="宋体" w:hAnsi="宋体" w:cs="宋体"/>
          <w:bCs/>
          <w:szCs w:val="21"/>
        </w:rPr>
        <w:t xml:space="preserve">％的滞</w:t>
      </w:r>
      <w:r>
        <w:rPr>
          <w:rFonts w:hint="eastAsia" w:ascii="宋体" w:hAnsi="宋体" w:cs="宋体"/>
          <w:bCs/>
          <w:szCs w:val="21"/>
        </w:rPr>
        <w:t xml:space="preserve">纳金，但累计总额不超过欠款总额的</w:t>
      </w:r>
      <w:r>
        <w:rPr>
          <w:rFonts w:ascii="宋体" w:hAnsi="宋体" w:cs="宋体"/>
          <w:bCs/>
          <w:szCs w:val="21"/>
        </w:rPr>
        <w:t xml:space="preserve">5</w:t>
      </w:r>
      <w:r>
        <w:rPr>
          <w:rFonts w:hint="eastAsia" w:ascii="宋体" w:hAnsi="宋体" w:cs="宋体"/>
          <w:bCs/>
          <w:szCs w:val="21"/>
        </w:rPr>
        <w:t xml:space="preserve">％。</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w:t>
      </w:r>
      <w:r>
        <w:rPr>
          <w:rFonts w:hint="eastAsia" w:ascii="宋体" w:hAnsi="宋体" w:cs="宋体"/>
          <w:bCs/>
          <w:szCs w:val="21"/>
        </w:rPr>
        <w:t xml:space="preserve">有下列情形之一的，乙方应当向甲方支付合同约定合同价款金额</w:t>
      </w:r>
      <w:r>
        <w:rPr>
          <w:rFonts w:ascii="宋体" w:hAnsi="宋体" w:cs="宋体"/>
          <w:bCs/>
          <w:szCs w:val="21"/>
        </w:rPr>
        <w:t xml:space="preserve">10%（或5</w:t>
      </w:r>
      <w:r>
        <w:rPr>
          <w:rFonts w:hint="eastAsia" w:ascii="宋体" w:hAnsi="宋体" w:cs="宋体"/>
          <w:bCs/>
          <w:szCs w:val="21"/>
        </w:rPr>
        <w:t xml:space="preserve">万元，</w:t>
      </w:r>
      <w:r>
        <w:rPr>
          <w:rFonts w:ascii="宋体" w:hAnsi="宋体" w:cs="宋体"/>
          <w:bCs/>
          <w:szCs w:val="21"/>
        </w:rPr>
        <w:t xml:space="preserve">以金额</w:t>
      </w:r>
      <w:r>
        <w:rPr>
          <w:rFonts w:hint="eastAsia" w:ascii="宋体" w:hAnsi="宋体" w:cs="宋体"/>
          <w:bCs/>
          <w:szCs w:val="21"/>
        </w:rPr>
        <w:t xml:space="preserve">较大</w:t>
      </w:r>
      <w:r>
        <w:rPr>
          <w:rFonts w:ascii="宋体" w:hAnsi="宋体" w:cs="宋体"/>
          <w:bCs/>
          <w:szCs w:val="21"/>
        </w:rPr>
        <w:t xml:space="preserve">的为准</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9.2.1</w:t>
      </w:r>
      <w:r>
        <w:rPr>
          <w:rFonts w:hint="eastAsia" w:ascii="宋体" w:hAnsi="宋体" w:cs="宋体"/>
          <w:bCs/>
          <w:szCs w:val="21"/>
        </w:rPr>
        <w:t xml:space="preserve">乙方服务团队成员未经甲方同意发生变更，经甲方要求恢复后，未在合理期限内（</w:t>
      </w:r>
      <w:r>
        <w:rPr>
          <w:rFonts w:ascii="宋体" w:hAnsi="宋体" w:cs="宋体"/>
          <w:bCs/>
          <w:szCs w:val="21"/>
        </w:rPr>
        <w:t xml:space="preserve">5</w:t>
      </w:r>
      <w:r>
        <w:rPr>
          <w:rFonts w:hint="eastAsia" w:ascii="宋体" w:hAnsi="宋体" w:cs="宋体"/>
          <w:bCs/>
          <w:szCs w:val="21"/>
        </w:rPr>
        <w:t xml:space="preserve">个</w:t>
      </w:r>
      <w:r>
        <w:rPr>
          <w:rFonts w:ascii="宋体" w:hAnsi="宋体" w:cs="宋体"/>
          <w:bCs/>
          <w:szCs w:val="21"/>
        </w:rPr>
        <w:t xml:space="preserve">工作</w:t>
      </w:r>
      <w:r>
        <w:rPr>
          <w:rFonts w:hint="eastAsia" w:ascii="宋体" w:hAnsi="宋体" w:cs="宋体"/>
          <w:bCs/>
          <w:szCs w:val="21"/>
        </w:rPr>
        <w:t xml:space="preserve">日内）恢复的；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.2.2</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20%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.2.3</w:t>
      </w:r>
      <w:r>
        <w:rPr>
          <w:rFonts w:hint="eastAsia" w:ascii="宋体" w:hAnsi="宋体" w:cs="宋体"/>
          <w:bCs/>
          <w:szCs w:val="21"/>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.2.4</w:t>
      </w:r>
      <w:r>
        <w:rPr>
          <w:rFonts w:hint="eastAsia" w:ascii="宋体" w:hAnsi="宋体" w:cs="宋体"/>
          <w:bCs/>
          <w:szCs w:val="21"/>
        </w:rPr>
        <w:t xml:space="preserve">乙方人员不能响应甲方紧急服务需求的；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.2.5因</w:t>
      </w:r>
      <w:r>
        <w:rPr>
          <w:rFonts w:hint="eastAsia" w:ascii="宋体" w:hAnsi="宋体" w:cs="宋体"/>
          <w:bCs/>
          <w:szCs w:val="21"/>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.2.6</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.2.7</w:t>
      </w:r>
      <w:r>
        <w:rPr>
          <w:rFonts w:hint="eastAsia" w:ascii="宋体" w:hAnsi="宋体" w:cs="宋体"/>
          <w:bCs/>
          <w:szCs w:val="21"/>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szCs w:val="21"/>
        </w:rPr>
        <w:t xml:space="preserve">10</w:t>
      </w:r>
      <w:r>
        <w:rPr>
          <w:rFonts w:hint="eastAsia" w:ascii="宋体" w:hAnsi="宋体" w:cs="宋体"/>
          <w:bCs/>
          <w:szCs w:val="21"/>
        </w:rPr>
        <w:t xml:space="preserve">％</w:t>
      </w:r>
      <w:r>
        <w:rPr>
          <w:rFonts w:ascii="宋体" w:hAnsi="宋体" w:cs="宋体"/>
          <w:bCs/>
          <w:szCs w:val="21"/>
        </w:rPr>
        <w:t xml:space="preserve">（或5</w:t>
      </w:r>
      <w:r>
        <w:rPr>
          <w:rFonts w:hint="eastAsia" w:ascii="宋体" w:hAnsi="宋体" w:cs="宋体"/>
          <w:bCs/>
          <w:szCs w:val="21"/>
        </w:rPr>
        <w:t xml:space="preserve">万元，</w:t>
      </w:r>
      <w:r>
        <w:rPr>
          <w:rFonts w:ascii="宋体" w:hAnsi="宋体" w:cs="宋体"/>
          <w:bCs/>
          <w:szCs w:val="21"/>
        </w:rPr>
        <w:t xml:space="preserve">以金额</w:t>
      </w:r>
      <w:r>
        <w:rPr>
          <w:rFonts w:hint="eastAsia" w:ascii="宋体" w:hAnsi="宋体" w:cs="宋体"/>
          <w:bCs/>
          <w:szCs w:val="21"/>
        </w:rPr>
        <w:t xml:space="preserve">较大</w:t>
      </w:r>
      <w:r>
        <w:rPr>
          <w:rFonts w:ascii="宋体" w:hAnsi="宋体" w:cs="宋体"/>
          <w:bCs/>
          <w:szCs w:val="21"/>
        </w:rPr>
        <w:t xml:space="preserve">的为准</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3乙方在承担上述9</w:t>
      </w:r>
      <w:r>
        <w:rPr>
          <w:rFonts w:ascii="宋体" w:hAnsi="宋体" w:cs="宋体"/>
          <w:bCs/>
          <w:szCs w:val="21"/>
        </w:rPr>
        <w:t xml:space="preserve">.</w:t>
      </w:r>
      <w:r>
        <w:rPr>
          <w:rFonts w:hint="eastAsia" w:ascii="宋体" w:hAnsi="宋体" w:cs="宋体"/>
          <w:bCs/>
          <w:szCs w:val="21"/>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第十条 合同的解除</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出现下列情形之一的，甲方有权解除本合同：</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10.1</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30%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10.2</w:t>
      </w:r>
      <w:r>
        <w:rPr>
          <w:rFonts w:hint="eastAsia" w:ascii="宋体" w:hAnsi="宋体" w:cs="宋体"/>
          <w:bCs/>
          <w:szCs w:val="21"/>
        </w:rPr>
        <w:t xml:space="preserve">乙方人员无故未能按约定</w:t>
      </w:r>
      <w:r>
        <w:rPr>
          <w:rFonts w:ascii="宋体" w:hAnsi="宋体" w:cs="宋体"/>
          <w:bCs/>
          <w:szCs w:val="21"/>
        </w:rPr>
        <w:t xml:space="preserve">为</w:t>
      </w:r>
      <w:r>
        <w:rPr>
          <w:rFonts w:hint="eastAsia" w:ascii="宋体" w:hAnsi="宋体" w:cs="宋体"/>
          <w:bCs/>
          <w:szCs w:val="21"/>
        </w:rPr>
        <w:t xml:space="preserve">甲方提供服务，服务期限内达到三人次的；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10.3</w:t>
      </w:r>
      <w:r>
        <w:rPr>
          <w:rFonts w:hint="eastAsia" w:ascii="宋体" w:hAnsi="宋体" w:cs="宋体"/>
          <w:bCs/>
          <w:szCs w:val="21"/>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10.4因</w:t>
      </w:r>
      <w:r>
        <w:rPr>
          <w:rFonts w:hint="eastAsia" w:ascii="宋体" w:hAnsi="宋体" w:cs="宋体"/>
          <w:bCs/>
          <w:szCs w:val="21"/>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10.5</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10.6</w:t>
      </w:r>
      <w:r>
        <w:rPr>
          <w:rFonts w:hint="eastAsia" w:ascii="宋体" w:hAnsi="宋体" w:cs="宋体"/>
          <w:bCs/>
          <w:szCs w:val="21"/>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第十一条 不可抗力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11.1</w:t>
      </w:r>
      <w:r>
        <w:rPr>
          <w:rFonts w:hint="eastAsia" w:ascii="宋体" w:hAnsi="宋体" w:cs="宋体"/>
          <w:bCs/>
          <w:szCs w:val="21"/>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11.2</w:t>
      </w:r>
      <w:r>
        <w:rPr>
          <w:rFonts w:hint="eastAsia" w:ascii="宋体" w:hAnsi="宋体" w:cs="宋体"/>
          <w:bCs/>
          <w:szCs w:val="21"/>
        </w:rPr>
        <w:t xml:space="preserve">任何一方因不可抗力不能履行本合同规定的全部或部分义务，应尽快以书面形式将不可抗力的情况、原因及对履行本合同的影响等及时通知另一方。同时，遭受不可抗力影响的一方有义务</w:t>
      </w:r>
      <w:r>
        <w:rPr>
          <w:rFonts w:hint="eastAsia" w:ascii="宋体" w:hAnsi="宋体" w:cs="宋体"/>
          <w:bCs/>
          <w:szCs w:val="21"/>
        </w:rPr>
        <w:t xml:space="preserve">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11.3</w:t>
      </w:r>
      <w:r>
        <w:rPr>
          <w:rFonts w:hint="eastAsia" w:ascii="宋体" w:hAnsi="宋体" w:cs="宋体"/>
          <w:bCs/>
          <w:szCs w:val="21"/>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11.4</w:t>
      </w:r>
      <w:r>
        <w:rPr>
          <w:rFonts w:hint="eastAsia" w:ascii="宋体" w:hAnsi="宋体" w:cs="宋体"/>
          <w:bCs/>
          <w:szCs w:val="21"/>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第十二条 合同的变更、中止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第十三条 合同的终止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 本合同因下列原因而终止：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13.1.1 本合同正常履行完毕；</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13.1.2 因不可抗力导致本合同无法履行或履行不必要；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13.1.3 任何一方行使解除权解除本合同；</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13.2除上述情形外，甲乙双方不得擅自终止合同。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第十四条 合同的转让</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第十五条 履约保证金</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不收取履约保证金</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第十六条 争议解决方式</w:t>
      </w:r>
      <w:r/>
    </w:p>
    <w:p>
      <w:pPr>
        <w:ind w:right="-27" w:firstLine="540"/>
        <w:spacing w:line="420" w:lineRule="exact"/>
        <w:tabs>
          <w:tab w:val="left" w:pos="0" w:leader="none"/>
        </w:tabs>
        <w:rPr>
          <w:rFonts w:ascii="宋体" w:hAnsi="宋体" w:cs="宋体"/>
          <w:bCs/>
          <w:szCs w:val="21"/>
        </w:rPr>
      </w:pPr>
      <w:r>
        <w:rPr>
          <w:rFonts w:hint="eastAsia" w:ascii="宋体" w:hAnsi="宋体" w:cs="宋体"/>
          <w:bCs/>
          <w:szCs w:val="21"/>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第十七条 通知与送达</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w:t>
      </w:r>
      <w:r>
        <w:rPr>
          <w:rFonts w:hint="eastAsia" w:ascii="宋体" w:hAnsi="宋体" w:cs="宋体"/>
          <w:bCs/>
          <w:szCs w:val="21"/>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.1.1</w:t>
      </w:r>
      <w:r>
        <w:rPr>
          <w:rFonts w:hint="eastAsia" w:ascii="宋体" w:hAnsi="宋体" w:cs="宋体"/>
          <w:bCs/>
          <w:szCs w:val="21"/>
        </w:rPr>
        <w:t xml:space="preserve">甲方联系信息：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乙方联系信息：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.2</w:t>
      </w:r>
      <w:r>
        <w:rPr>
          <w:rFonts w:hint="eastAsia" w:ascii="宋体" w:hAnsi="宋体" w:cs="宋体"/>
          <w:bCs/>
          <w:szCs w:val="21"/>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.3</w:t>
      </w:r>
      <w:r>
        <w:rPr>
          <w:rFonts w:hint="eastAsia" w:ascii="宋体" w:hAnsi="宋体" w:cs="宋体"/>
          <w:bCs/>
          <w:szCs w:val="21"/>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第十八条 合同生效及其他</w:t>
      </w:r>
      <w:r/>
    </w:p>
    <w:p>
      <w:pPr>
        <w:ind w:right="-27" w:firstLine="480"/>
        <w:spacing w:line="440" w:lineRule="exact"/>
        <w:tabs>
          <w:tab w:val="left" w:pos="0" w:leader="none"/>
        </w:tabs>
        <w:rPr>
          <w:rFonts w:ascii="Calibri" w:hAnsi="Calibri"/>
          <w:b/>
          <w:szCs w:val="21"/>
        </w:rPr>
      </w:pPr>
      <w:r>
        <w:rPr>
          <w:rFonts w:hint="eastAsia" w:ascii="宋体" w:hAnsi="宋体" w:cs="宋体"/>
          <w:bCs/>
          <w:szCs w:val="21"/>
        </w:rPr>
        <w:t xml:space="preserve">18.1 </w:t>
      </w:r>
      <w:r>
        <w:rPr>
          <w:rFonts w:hint="eastAsia" w:ascii="宋体" w:hAnsi="宋体"/>
          <w:szCs w:val="21"/>
        </w:rPr>
        <w:t xml:space="preserve">合同在双方加盖公章或</w:t>
      </w:r>
      <w:r>
        <w:rPr>
          <w:rFonts w:hint="eastAsia" w:ascii="宋体" w:hAnsi="宋体"/>
          <w:b/>
          <w:szCs w:val="21"/>
        </w:rPr>
        <w:t xml:space="preserve">双方法定代表人、授权代表签字后生效。</w:t>
      </w:r>
      <w:r/>
    </w:p>
    <w:p>
      <w:pPr>
        <w:ind w:right="-27" w:firstLine="480"/>
        <w:spacing w:line="440" w:lineRule="exact"/>
        <w:tabs>
          <w:tab w:val="left" w:pos="0" w:leader="none"/>
        </w:tabs>
        <w:rPr>
          <w:rFonts w:ascii="Calibri" w:hAnsi="Calibri"/>
          <w:szCs w:val="21"/>
        </w:rPr>
      </w:pPr>
      <w:r>
        <w:rPr>
          <w:rFonts w:hint="eastAsia" w:ascii="宋体" w:hAnsi="宋体" w:cs="宋体"/>
          <w:bCs/>
          <w:szCs w:val="21"/>
        </w:rPr>
        <w:t xml:space="preserve">18.2 </w:t>
      </w:r>
      <w:r>
        <w:rPr>
          <w:rFonts w:hint="eastAsia" w:ascii="宋体" w:hAnsi="宋体"/>
          <w:szCs w:val="21"/>
        </w:rPr>
        <w:t xml:space="preserve">本合同一式</w:t>
      </w:r>
      <w:r>
        <w:rPr>
          <w:rFonts w:hint="eastAsia" w:ascii="宋体" w:hAnsi="宋体"/>
          <w:szCs w:val="21"/>
          <w:u w:val="single"/>
        </w:rPr>
        <w:t xml:space="preserve">四</w:t>
      </w:r>
      <w:r>
        <w:rPr>
          <w:rFonts w:hint="eastAsia" w:ascii="宋体" w:hAnsi="宋体"/>
          <w:szCs w:val="21"/>
        </w:rPr>
        <w:t xml:space="preserve">份，以简体中文书写，甲方、乙方各执二份。</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18.3 本合同应按照中华人民共和国的现行法律进行解释。</w:t>
      </w:r>
      <w:r/>
    </w:p>
    <w:p>
      <w:pPr>
        <w:ind w:right="-27" w:firstLine="620"/>
        <w:spacing w:line="440" w:lineRule="exact"/>
        <w:tabs>
          <w:tab w:val="left" w:pos="0" w:leader="none"/>
        </w:tabs>
        <w:rPr>
          <w:rFonts w:ascii="宋体" w:hAnsi="宋体" w:cs="宋体"/>
          <w:bCs/>
          <w:szCs w:val="21"/>
        </w:rPr>
      </w:pPr>
      <w:r>
        <w:rPr>
          <w:rFonts w:ascii="宋体" w:hAnsi="宋体" w:cs="宋体"/>
          <w:bCs/>
          <w:szCs w:val="21"/>
        </w:rPr>
      </w:r>
      <w:r/>
    </w:p>
    <w:p>
      <w:pPr>
        <w:ind w:right="-27" w:firstLine="620"/>
        <w:spacing w:line="440" w:lineRule="exact"/>
        <w:tabs>
          <w:tab w:val="left" w:pos="0" w:leader="none"/>
        </w:tabs>
        <w:rPr>
          <w:rFonts w:ascii="宋体" w:hAnsi="宋体" w:cs="宋体"/>
          <w:bCs/>
          <w:szCs w:val="21"/>
        </w:rPr>
      </w:pPr>
      <w:r>
        <w:rPr>
          <w:rFonts w:hint="eastAsia" w:ascii="宋体" w:hAnsi="宋体" w:cs="宋体"/>
          <w:bCs/>
          <w:szCs w:val="21"/>
        </w:rPr>
        <w:t xml:space="preserve">甲方（公章）：                       乙方（公章）：</w:t>
      </w:r>
      <w:r/>
    </w:p>
    <w:p>
      <w:pPr>
        <w:ind w:right="-27" w:firstLine="620"/>
        <w:spacing w:line="440" w:lineRule="exact"/>
        <w:tabs>
          <w:tab w:val="left" w:pos="0" w:leader="none"/>
        </w:tabs>
        <w:rPr>
          <w:rFonts w:ascii="宋体" w:hAnsi="宋体" w:cs="宋体"/>
          <w:bCs/>
          <w:szCs w:val="21"/>
        </w:rPr>
      </w:pPr>
      <w:r>
        <w:rPr>
          <w:rFonts w:hint="eastAsia" w:ascii="宋体" w:hAnsi="宋体"/>
          <w:szCs w:val="21"/>
        </w:rPr>
        <w:t xml:space="preserve">法定（授权）代表人（签字）：        法定（授权）代表人（签字）：</w:t>
      </w:r>
      <w:r/>
    </w:p>
    <w:p>
      <w:pPr>
        <w:pStyle w:val="963"/>
        <w:ind w:firstLine="420"/>
        <w:widowControl w:val="off"/>
        <w:rPr>
          <w:rFonts w:ascii="宋体" w:hAnsi="宋体" w:eastAsia="宋体" w:cs="宋体"/>
          <w:bCs/>
          <w:sz w:val="21"/>
        </w:rPr>
      </w:pPr>
      <w:r>
        <w:rPr>
          <w:rFonts w:hint="eastAsia" w:ascii="宋体" w:hAnsi="宋体" w:eastAsia="宋体" w:cs="宋体"/>
          <w:bCs/>
          <w:sz w:val="21"/>
        </w:rPr>
        <w:t xml:space="preserve">年   月   日                        年   月   日</w:t>
      </w:r>
      <w:r/>
    </w:p>
    <w:p>
      <w:pPr>
        <w:pStyle w:val="963"/>
        <w:ind w:firstLine="420"/>
        <w:widowControl w:val="off"/>
        <w:rPr>
          <w:rFonts w:ascii="宋体" w:hAnsi="宋体" w:eastAsia="宋体" w:cs="宋体"/>
          <w:bCs/>
          <w:sz w:val="21"/>
        </w:rPr>
      </w:pPr>
      <w:r>
        <w:rPr>
          <w:rFonts w:ascii="宋体" w:hAnsi="宋体" w:eastAsia="宋体" w:cs="宋体"/>
          <w:bCs/>
          <w:sz w:val="21"/>
        </w:rPr>
      </w:r>
      <w:r/>
    </w:p>
    <w:p>
      <w:pPr>
        <w:pStyle w:val="963"/>
        <w:ind w:firstLine="420"/>
        <w:widowControl w:val="off"/>
        <w:rPr>
          <w:rFonts w:ascii="宋体" w:hAnsi="宋体" w:eastAsia="宋体" w:cs="宋体"/>
          <w:bCs/>
          <w:sz w:val="21"/>
        </w:rPr>
      </w:pPr>
      <w:r>
        <w:rPr>
          <w:rFonts w:ascii="宋体" w:hAnsi="宋体" w:eastAsia="宋体" w:cs="宋体"/>
          <w:bCs/>
          <w:sz w:val="21"/>
        </w:rPr>
      </w:r>
      <w:r/>
    </w:p>
    <w:p>
      <w:pPr>
        <w:pStyle w:val="963"/>
        <w:ind w:firstLine="420"/>
        <w:widowControl w:val="off"/>
        <w:rPr>
          <w:rFonts w:ascii="宋体" w:hAnsi="宋体" w:eastAsia="宋体" w:cs="宋体"/>
          <w:bCs/>
          <w:sz w:val="21"/>
        </w:rPr>
      </w:pPr>
      <w:r>
        <w:rPr>
          <w:rFonts w:ascii="宋体" w:hAnsi="宋体" w:eastAsia="宋体" w:cs="宋体"/>
          <w:bCs/>
          <w:sz w:val="21"/>
        </w:rPr>
      </w:r>
      <w:r/>
    </w:p>
    <w:p>
      <w:pPr>
        <w:pStyle w:val="963"/>
        <w:ind w:firstLine="420"/>
        <w:widowControl w:val="off"/>
        <w:rPr>
          <w:rFonts w:ascii="宋体" w:hAnsi="宋体" w:eastAsia="宋体" w:cs="宋体"/>
          <w:bCs/>
          <w:sz w:val="21"/>
        </w:rPr>
      </w:pPr>
      <w:r>
        <w:rPr>
          <w:rFonts w:ascii="宋体" w:hAnsi="宋体" w:eastAsia="宋体" w:cs="宋体"/>
          <w:bCs/>
          <w:sz w:val="21"/>
        </w:rPr>
      </w:r>
      <w:r/>
    </w:p>
    <w:p>
      <w:pPr>
        <w:pStyle w:val="963"/>
        <w:ind w:firstLine="420"/>
        <w:widowControl w:val="off"/>
        <w:rPr>
          <w:rFonts w:ascii="宋体" w:hAnsi="宋体" w:eastAsia="宋体" w:cs="宋体"/>
          <w:b/>
          <w:sz w:val="32"/>
          <w:szCs w:val="32"/>
        </w:rPr>
      </w:pPr>
      <w:r>
        <w:rPr>
          <w:rFonts w:hint="eastAsia" w:ascii="宋体" w:hAnsi="宋体" w:eastAsia="宋体" w:cs="宋体"/>
          <w:b/>
          <w:sz w:val="32"/>
          <w:szCs w:val="32"/>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4"/>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4"/>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4"/>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4"/>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标号：JSZC-320585-CJZB-G2026-0089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标号：JSZC-320585-CJZB-G2026-0089号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19"/>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0"/>
    <w:link w:val="915"/>
    <w:uiPriority w:val="9"/>
    <w:rPr>
      <w:rFonts w:ascii="Arial" w:hAnsi="Arial" w:eastAsia="Arial" w:cs="Arial"/>
      <w:sz w:val="40"/>
      <w:szCs w:val="40"/>
    </w:rPr>
  </w:style>
  <w:style w:type="character" w:styleId="751">
    <w:name w:val="Heading 2 Char"/>
    <w:basedOn w:val="920"/>
    <w:link w:val="916"/>
    <w:uiPriority w:val="9"/>
    <w:rPr>
      <w:rFonts w:ascii="Arial" w:hAnsi="Arial" w:eastAsia="Arial" w:cs="Arial"/>
      <w:sz w:val="34"/>
    </w:rPr>
  </w:style>
  <w:style w:type="character" w:styleId="752">
    <w:name w:val="Heading 3 Char"/>
    <w:basedOn w:val="920"/>
    <w:link w:val="917"/>
    <w:uiPriority w:val="9"/>
    <w:rPr>
      <w:rFonts w:ascii="Arial" w:hAnsi="Arial" w:eastAsia="Arial" w:cs="Arial"/>
      <w:sz w:val="30"/>
      <w:szCs w:val="30"/>
    </w:rPr>
  </w:style>
  <w:style w:type="paragraph" w:styleId="753">
    <w:name w:val="Heading 4"/>
    <w:basedOn w:val="914"/>
    <w:next w:val="914"/>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basedOn w:val="920"/>
    <w:link w:val="753"/>
    <w:uiPriority w:val="9"/>
    <w:rPr>
      <w:rFonts w:ascii="Arial" w:hAnsi="Arial" w:eastAsia="Arial" w:cs="Arial"/>
      <w:b/>
      <w:bCs/>
      <w:sz w:val="26"/>
      <w:szCs w:val="26"/>
    </w:rPr>
  </w:style>
  <w:style w:type="character" w:styleId="755">
    <w:name w:val="Heading 5 Char"/>
    <w:basedOn w:val="920"/>
    <w:link w:val="918"/>
    <w:uiPriority w:val="9"/>
    <w:rPr>
      <w:rFonts w:ascii="Arial" w:hAnsi="Arial" w:eastAsia="Arial" w:cs="Arial"/>
      <w:b/>
      <w:bCs/>
      <w:sz w:val="24"/>
      <w:szCs w:val="24"/>
    </w:rPr>
  </w:style>
  <w:style w:type="character" w:styleId="756">
    <w:name w:val="Heading 6 Char"/>
    <w:basedOn w:val="920"/>
    <w:link w:val="919"/>
    <w:uiPriority w:val="9"/>
    <w:rPr>
      <w:rFonts w:ascii="Arial" w:hAnsi="Arial" w:eastAsia="Arial" w:cs="Arial"/>
      <w:b/>
      <w:bCs/>
      <w:sz w:val="22"/>
      <w:szCs w:val="22"/>
    </w:rPr>
  </w:style>
  <w:style w:type="paragraph" w:styleId="757">
    <w:name w:val="Heading 7"/>
    <w:basedOn w:val="914"/>
    <w:next w:val="914"/>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20"/>
    <w:link w:val="757"/>
    <w:uiPriority w:val="9"/>
    <w:rPr>
      <w:rFonts w:ascii="Arial" w:hAnsi="Arial" w:eastAsia="Arial" w:cs="Arial"/>
      <w:b/>
      <w:bCs/>
      <w:i/>
      <w:iCs/>
      <w:sz w:val="22"/>
      <w:szCs w:val="22"/>
    </w:rPr>
  </w:style>
  <w:style w:type="paragraph" w:styleId="759">
    <w:name w:val="Heading 8"/>
    <w:basedOn w:val="914"/>
    <w:next w:val="914"/>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20"/>
    <w:link w:val="759"/>
    <w:uiPriority w:val="9"/>
    <w:rPr>
      <w:rFonts w:ascii="Arial" w:hAnsi="Arial" w:eastAsia="Arial" w:cs="Arial"/>
      <w:i/>
      <w:iCs/>
      <w:sz w:val="22"/>
      <w:szCs w:val="22"/>
    </w:rPr>
  </w:style>
  <w:style w:type="paragraph" w:styleId="761">
    <w:name w:val="Heading 9"/>
    <w:basedOn w:val="914"/>
    <w:next w:val="914"/>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20"/>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14"/>
    <w:next w:val="914"/>
    <w:link w:val="765"/>
    <w:uiPriority w:val="10"/>
    <w:qFormat/>
    <w:pPr>
      <w:contextualSpacing/>
      <w:spacing w:before="300" w:after="200"/>
    </w:pPr>
    <w:rPr>
      <w:sz w:val="48"/>
      <w:szCs w:val="48"/>
    </w:rPr>
  </w:style>
  <w:style w:type="character" w:styleId="765">
    <w:name w:val="Title Char"/>
    <w:basedOn w:val="920"/>
    <w:link w:val="764"/>
    <w:uiPriority w:val="10"/>
    <w:rPr>
      <w:sz w:val="48"/>
      <w:szCs w:val="48"/>
    </w:rPr>
  </w:style>
  <w:style w:type="character" w:styleId="766">
    <w:name w:val="Subtitle Char"/>
    <w:basedOn w:val="920"/>
    <w:link w:val="939"/>
    <w:uiPriority w:val="11"/>
    <w:rPr>
      <w:sz w:val="24"/>
      <w:szCs w:val="24"/>
    </w:rPr>
  </w:style>
  <w:style w:type="paragraph" w:styleId="767">
    <w:name w:val="Quote"/>
    <w:basedOn w:val="914"/>
    <w:next w:val="914"/>
    <w:link w:val="768"/>
    <w:uiPriority w:val="29"/>
    <w:qFormat/>
    <w:pPr>
      <w:ind w:left="720" w:right="720"/>
    </w:pPr>
    <w:rPr>
      <w:i/>
    </w:rPr>
  </w:style>
  <w:style w:type="character" w:styleId="768">
    <w:name w:val="Quote Char"/>
    <w:link w:val="767"/>
    <w:uiPriority w:val="29"/>
    <w:rPr>
      <w:i/>
    </w:rPr>
  </w:style>
  <w:style w:type="paragraph" w:styleId="769">
    <w:name w:val="Intense Quote"/>
    <w:basedOn w:val="914"/>
    <w:next w:val="91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20"/>
    <w:link w:val="936"/>
    <w:uiPriority w:val="99"/>
  </w:style>
  <w:style w:type="character" w:styleId="772">
    <w:name w:val="Footer Char"/>
    <w:basedOn w:val="920"/>
    <w:link w:val="934"/>
    <w:uiPriority w:val="99"/>
  </w:style>
  <w:style w:type="paragraph" w:styleId="773">
    <w:name w:val="Caption"/>
    <w:basedOn w:val="914"/>
    <w:next w:val="914"/>
    <w:uiPriority w:val="35"/>
    <w:semiHidden/>
    <w:unhideWhenUsed/>
    <w:qFormat/>
    <w:pPr>
      <w:spacing w:line="276" w:lineRule="auto"/>
    </w:pPr>
    <w:rPr>
      <w:b/>
      <w:bCs/>
      <w:color w:val="4f81bd" w:themeColor="accent1"/>
      <w:sz w:val="18"/>
      <w:szCs w:val="18"/>
    </w:rPr>
  </w:style>
  <w:style w:type="character" w:styleId="774">
    <w:name w:val="Caption Char"/>
    <w:basedOn w:val="773"/>
    <w:link w:val="934"/>
    <w:uiPriority w:val="99"/>
  </w:style>
  <w:style w:type="table" w:styleId="775">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1">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2">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3">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4">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5">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6">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3">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7">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8">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9">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0">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1">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3">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4">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5">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6">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7">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8">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7">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8">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9">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0">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1">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2">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4">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5">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6">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7">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8">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9">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8">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2">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40"/>
    <w:uiPriority w:val="99"/>
    <w:rPr>
      <w:sz w:val="18"/>
    </w:rPr>
  </w:style>
  <w:style w:type="character" w:styleId="901">
    <w:name w:val="footnote reference"/>
    <w:basedOn w:val="920"/>
    <w:uiPriority w:val="99"/>
    <w:unhideWhenUsed/>
    <w:rPr>
      <w:vertAlign w:val="superscript"/>
    </w:rPr>
  </w:style>
  <w:style w:type="paragraph" w:styleId="902">
    <w:name w:val="endnote text"/>
    <w:basedOn w:val="914"/>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20"/>
    <w:uiPriority w:val="99"/>
    <w:semiHidden/>
    <w:unhideWhenUsed/>
    <w:rPr>
      <w:vertAlign w:val="superscript"/>
    </w:rPr>
  </w:style>
  <w:style w:type="paragraph" w:styleId="905">
    <w:name w:val="toc 2"/>
    <w:basedOn w:val="914"/>
    <w:next w:val="914"/>
    <w:uiPriority w:val="39"/>
    <w:unhideWhenUsed/>
    <w:pPr>
      <w:ind w:left="283" w:right="0" w:firstLine="0"/>
      <w:spacing w:after="57"/>
    </w:pPr>
  </w:style>
  <w:style w:type="paragraph" w:styleId="906">
    <w:name w:val="toc 3"/>
    <w:basedOn w:val="914"/>
    <w:next w:val="914"/>
    <w:uiPriority w:val="39"/>
    <w:unhideWhenUsed/>
    <w:pPr>
      <w:ind w:left="567"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qFormat/>
    <w:pPr>
      <w:jc w:val="both"/>
      <w:widowControl w:val="off"/>
    </w:pPr>
    <w:rPr>
      <w:sz w:val="21"/>
      <w:szCs w:val="24"/>
    </w:rPr>
  </w:style>
  <w:style w:type="paragraph" w:styleId="915">
    <w:name w:val="Heading 1"/>
    <w:basedOn w:val="914"/>
    <w:next w:val="914"/>
    <w:link w:val="966"/>
    <w:qFormat/>
    <w:pPr>
      <w:keepLines/>
      <w:keepNext/>
      <w:spacing w:before="340" w:after="330" w:line="578" w:lineRule="auto"/>
      <w:outlineLvl w:val="0"/>
    </w:pPr>
    <w:rPr>
      <w:b/>
      <w:bCs/>
      <w:sz w:val="44"/>
      <w:szCs w:val="44"/>
    </w:rPr>
  </w:style>
  <w:style w:type="paragraph" w:styleId="916">
    <w:name w:val="Heading 2"/>
    <w:basedOn w:val="914"/>
    <w:next w:val="914"/>
    <w:link w:val="967"/>
    <w:qFormat/>
    <w:pPr>
      <w:numPr>
        <w:ilvl w:val="1"/>
        <w:numId w:val="1"/>
      </w:numPr>
      <w:spacing w:before="156" w:after="156" w:line="360" w:lineRule="auto"/>
      <w:outlineLvl w:val="1"/>
    </w:pPr>
    <w:rPr>
      <w:rFonts w:ascii="Cambria" w:hAnsi="Cambria"/>
      <w:b/>
      <w:bCs/>
      <w:sz w:val="32"/>
      <w:szCs w:val="32"/>
    </w:rPr>
  </w:style>
  <w:style w:type="paragraph" w:styleId="917">
    <w:name w:val="Heading 3"/>
    <w:basedOn w:val="914"/>
    <w:next w:val="923"/>
    <w:link w:val="969"/>
    <w:qFormat/>
    <w:pPr>
      <w:keepLines/>
      <w:keepNext/>
      <w:spacing w:before="260" w:after="260" w:line="416" w:lineRule="auto"/>
      <w:outlineLvl w:val="2"/>
    </w:pPr>
    <w:rPr>
      <w:b/>
      <w:sz w:val="32"/>
      <w:szCs w:val="20"/>
    </w:rPr>
  </w:style>
  <w:style w:type="paragraph" w:styleId="918">
    <w:name w:val="Heading 5"/>
    <w:basedOn w:val="914"/>
    <w:next w:val="914"/>
    <w:link w:val="970"/>
    <w:qFormat/>
    <w:pPr>
      <w:jc w:val="left"/>
      <w:keepLines/>
      <w:keepNext/>
      <w:spacing w:before="280" w:after="290" w:line="376" w:lineRule="auto"/>
      <w:widowControl/>
      <w:outlineLvl w:val="4"/>
    </w:pPr>
    <w:rPr>
      <w:b/>
      <w:bCs/>
      <w:sz w:val="28"/>
      <w:szCs w:val="28"/>
    </w:rPr>
  </w:style>
  <w:style w:type="paragraph" w:styleId="919">
    <w:name w:val="Heading 6"/>
    <w:basedOn w:val="914"/>
    <w:next w:val="914"/>
    <w:link w:val="971"/>
    <w:uiPriority w:val="9"/>
    <w:qFormat/>
    <w:pPr>
      <w:numPr>
        <w:ilvl w:val="5"/>
        <w:numId w:val="1"/>
      </w:numPr>
      <w:keepLines/>
      <w:keepNext/>
      <w:spacing w:before="120" w:after="64" w:line="300" w:lineRule="auto"/>
      <w:outlineLvl w:val="5"/>
    </w:pPr>
    <w:rPr>
      <w:rFonts w:ascii="Arial" w:hAnsi="Arial"/>
      <w:bCs/>
      <w:sz w:val="24"/>
    </w:rPr>
  </w:style>
  <w:style w:type="character" w:styleId="920" w:default="1">
    <w:name w:val="Default Paragraph Font"/>
    <w:uiPriority w:val="1"/>
    <w:semiHidden/>
    <w:unhideWhenUsed/>
  </w:style>
  <w:style w:type="table" w:styleId="921" w:default="1">
    <w:name w:val="Normal Table"/>
    <w:uiPriority w:val="99"/>
    <w:semiHidden/>
    <w:unhideWhenUsed/>
    <w:qFormat/>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Normal Indent"/>
    <w:basedOn w:val="914"/>
    <w:link w:val="968"/>
    <w:qFormat/>
    <w:pPr>
      <w:ind w:firstLine="420"/>
    </w:pPr>
    <w:rPr>
      <w:rFonts w:eastAsia="楷体_GB2312"/>
      <w:sz w:val="24"/>
      <w:szCs w:val="20"/>
    </w:rPr>
  </w:style>
  <w:style w:type="paragraph" w:styleId="924">
    <w:name w:val="table of authorities"/>
    <w:basedOn w:val="914"/>
    <w:next w:val="914"/>
    <w:uiPriority w:val="99"/>
    <w:unhideWhenUsed/>
    <w:qFormat/>
    <w:pPr>
      <w:ind w:left="420"/>
    </w:pPr>
  </w:style>
  <w:style w:type="paragraph" w:styleId="925">
    <w:name w:val="Document Map"/>
    <w:basedOn w:val="914"/>
    <w:next w:val="926"/>
    <w:qFormat/>
    <w:rPr>
      <w:rFonts w:ascii="宋体"/>
      <w:sz w:val="18"/>
      <w:szCs w:val="18"/>
    </w:rPr>
  </w:style>
  <w:style w:type="paragraph" w:styleId="926">
    <w:name w:val="annotation subject"/>
    <w:basedOn w:val="927"/>
    <w:next w:val="914"/>
    <w:link w:val="981"/>
    <w:qFormat/>
    <w:rPr>
      <w:b/>
      <w:bCs/>
    </w:rPr>
  </w:style>
  <w:style w:type="paragraph" w:styleId="927">
    <w:name w:val="annotation text"/>
    <w:basedOn w:val="914"/>
    <w:link w:val="972"/>
    <w:qFormat/>
    <w:pPr>
      <w:jc w:val="left"/>
    </w:pPr>
  </w:style>
  <w:style w:type="paragraph" w:styleId="928">
    <w:name w:val="Body Text"/>
    <w:basedOn w:val="914"/>
    <w:link w:val="973"/>
    <w:uiPriority w:val="99"/>
    <w:unhideWhenUsed/>
    <w:qFormat/>
    <w:pPr>
      <w:spacing w:after="120"/>
    </w:pPr>
    <w:rPr>
      <w:sz w:val="20"/>
    </w:rPr>
  </w:style>
  <w:style w:type="paragraph" w:styleId="929">
    <w:name w:val="Body Text Indent"/>
    <w:basedOn w:val="914"/>
    <w:link w:val="965"/>
    <w:qFormat/>
    <w:pPr>
      <w:ind w:firstLine="425"/>
      <w:spacing w:line="360" w:lineRule="auto"/>
    </w:pPr>
    <w:rPr>
      <w:sz w:val="24"/>
    </w:rPr>
  </w:style>
  <w:style w:type="paragraph" w:styleId="930">
    <w:name w:val="Block Text"/>
    <w:basedOn w:val="915"/>
    <w:next w:val="914"/>
    <w:qFormat/>
    <w:pPr>
      <w:ind w:left="630" w:right="-609" w:firstLine="420"/>
      <w:spacing w:line="360" w:lineRule="auto"/>
    </w:pPr>
    <w:rPr>
      <w:rFonts w:hint="eastAsia" w:ascii="仿宋_GB2312" w:eastAsia="仿宋_GB2312"/>
      <w:szCs w:val="20"/>
    </w:rPr>
  </w:style>
  <w:style w:type="paragraph" w:styleId="931">
    <w:name w:val="Plain Text"/>
    <w:basedOn w:val="914"/>
    <w:link w:val="974"/>
    <w:qFormat/>
    <w:rPr>
      <w:rFonts w:ascii="宋体" w:hAnsi="Courier New" w:eastAsia="楷体_GB2312"/>
      <w:sz w:val="26"/>
    </w:rPr>
  </w:style>
  <w:style w:type="paragraph" w:styleId="932">
    <w:name w:val="Date"/>
    <w:basedOn w:val="914"/>
    <w:next w:val="914"/>
    <w:link w:val="975"/>
    <w:qFormat/>
    <w:rPr>
      <w:b/>
      <w:bCs/>
      <w:spacing w:val="20"/>
      <w:sz w:val="20"/>
    </w:rPr>
  </w:style>
  <w:style w:type="paragraph" w:styleId="933">
    <w:name w:val="Balloon Text"/>
    <w:basedOn w:val="914"/>
    <w:link w:val="976"/>
    <w:qFormat/>
    <w:rPr>
      <w:sz w:val="18"/>
      <w:szCs w:val="18"/>
    </w:rPr>
  </w:style>
  <w:style w:type="paragraph" w:styleId="934">
    <w:name w:val="Footer"/>
    <w:basedOn w:val="914"/>
    <w:link w:val="977"/>
    <w:uiPriority w:val="99"/>
    <w:qFormat/>
    <w:pPr>
      <w:jc w:val="left"/>
      <w:tabs>
        <w:tab w:val="center" w:pos="4153" w:leader="none"/>
        <w:tab w:val="right" w:pos="8306" w:leader="none"/>
      </w:tabs>
    </w:pPr>
    <w:rPr>
      <w:sz w:val="18"/>
      <w:szCs w:val="18"/>
    </w:rPr>
  </w:style>
  <w:style w:type="paragraph" w:styleId="935">
    <w:name w:val="envelope return"/>
    <w:basedOn w:val="914"/>
    <w:qFormat/>
    <w:rPr>
      <w:rFonts w:ascii="Arial" w:hAnsi="Arial" w:eastAsia="楷体_GB2312"/>
      <w:sz w:val="26"/>
    </w:rPr>
  </w:style>
  <w:style w:type="paragraph" w:styleId="936">
    <w:name w:val="Header"/>
    <w:basedOn w:val="914"/>
    <w:link w:val="978"/>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14"/>
    <w:next w:val="914"/>
    <w:qFormat/>
    <w:pPr>
      <w:jc w:val="left"/>
    </w:pPr>
    <w:rPr>
      <w:rFonts w:eastAsia="楷体_GB2312"/>
      <w:sz w:val="24"/>
      <w:szCs w:val="20"/>
    </w:rPr>
  </w:style>
  <w:style w:type="paragraph" w:styleId="938">
    <w:name w:val="toc 4"/>
    <w:basedOn w:val="914"/>
    <w:next w:val="914"/>
    <w:qFormat/>
    <w:pPr>
      <w:ind w:left="1260"/>
    </w:pPr>
  </w:style>
  <w:style w:type="paragraph" w:styleId="939">
    <w:name w:val="Subtitle"/>
    <w:basedOn w:val="914"/>
    <w:next w:val="914"/>
    <w:link w:val="979"/>
    <w:qFormat/>
    <w:pPr>
      <w:jc w:val="center"/>
      <w:spacing w:before="240" w:after="60" w:line="312" w:lineRule="auto"/>
      <w:outlineLvl w:val="1"/>
    </w:pPr>
    <w:rPr>
      <w:rFonts w:ascii="宋体" w:hAnsi="Courier New" w:eastAsia="楷体_GB2312"/>
      <w:sz w:val="26"/>
      <w:szCs w:val="20"/>
    </w:rPr>
  </w:style>
  <w:style w:type="paragraph" w:styleId="940">
    <w:name w:val="footnote text"/>
    <w:basedOn w:val="915"/>
    <w:next w:val="930"/>
    <w:qFormat/>
    <w:pPr>
      <w:ind w:firstLine="3584"/>
      <w:spacing w:before="0" w:after="0" w:line="360" w:lineRule="auto"/>
    </w:pPr>
  </w:style>
  <w:style w:type="paragraph" w:styleId="941">
    <w:name w:val="Body Text Indent 3"/>
    <w:basedOn w:val="914"/>
    <w:link w:val="980"/>
    <w:qFormat/>
    <w:pPr>
      <w:ind w:firstLine="480"/>
      <w:jc w:val="left"/>
      <w:spacing w:line="440" w:lineRule="atLeast"/>
    </w:pPr>
    <w:rPr>
      <w:sz w:val="24"/>
    </w:rPr>
  </w:style>
  <w:style w:type="paragraph" w:styleId="942">
    <w:name w:val="Normal (Web)"/>
    <w:basedOn w:val="914"/>
    <w:uiPriority w:val="99"/>
    <w:qFormat/>
    <w:pPr>
      <w:jc w:val="left"/>
      <w:spacing w:beforeAutospacing="1" w:afterAutospacing="1"/>
    </w:pPr>
    <w:rPr>
      <w:sz w:val="24"/>
    </w:rPr>
  </w:style>
  <w:style w:type="paragraph" w:styleId="943">
    <w:name w:val="Body Text First Indent"/>
    <w:basedOn w:val="928"/>
    <w:next w:val="944"/>
    <w:qFormat/>
    <w:pPr>
      <w:ind w:firstLine="420"/>
    </w:pPr>
  </w:style>
  <w:style w:type="paragraph" w:styleId="944">
    <w:name w:val="Body Text First Indent 2"/>
    <w:basedOn w:val="929"/>
    <w:next w:val="943"/>
    <w:qFormat/>
    <w:pPr>
      <w:ind w:left="420" w:firstLine="210"/>
      <w:spacing w:after="120" w:line="240" w:lineRule="auto"/>
    </w:pPr>
    <w:rPr>
      <w:rFonts w:eastAsia="仿宋_GB2312"/>
      <w:sz w:val="30"/>
    </w:rPr>
  </w:style>
  <w:style w:type="table" w:styleId="945">
    <w:name w:val="Table Grid"/>
    <w:basedOn w:val="92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qFormat/>
    <w:rPr>
      <w:rFonts w:ascii="Calibri" w:hAnsi="Calibri" w:eastAsia="宋体" w:cs="Times New Roman"/>
      <w:b/>
    </w:rPr>
  </w:style>
  <w:style w:type="character" w:styleId="947">
    <w:name w:val="page number"/>
    <w:uiPriority w:val="99"/>
    <w:unhideWhenUsed/>
    <w:qFormat/>
  </w:style>
  <w:style w:type="character" w:styleId="948">
    <w:name w:val="FollowedHyperlink"/>
    <w:qFormat/>
    <w:rPr>
      <w:color w:val="337ab7"/>
      <w:u w:val="none"/>
    </w:rPr>
  </w:style>
  <w:style w:type="character" w:styleId="949">
    <w:name w:val="Emphasis"/>
    <w:qFormat/>
    <w:rPr>
      <w:i/>
    </w:rPr>
  </w:style>
  <w:style w:type="character" w:styleId="950">
    <w:name w:val="HTML Definition"/>
    <w:qFormat/>
    <w:rPr>
      <w:i/>
    </w:rPr>
  </w:style>
  <w:style w:type="character" w:styleId="951">
    <w:name w:val="Hyperlink"/>
    <w:qFormat/>
    <w:rPr>
      <w:color w:val="337ab7"/>
      <w:u w:val="none"/>
    </w:rPr>
  </w:style>
  <w:style w:type="character" w:styleId="952">
    <w:name w:val="HTML Code"/>
    <w:qFormat/>
    <w:rPr>
      <w:rFonts w:hint="default" w:ascii="Consolas" w:hAnsi="Consolas" w:eastAsia="Consolas" w:cs="Consolas"/>
      <w:color w:val="c7254e"/>
      <w:sz w:val="21"/>
      <w:szCs w:val="21"/>
      <w:shd w:val="clear" w:color="auto" w:fill="f9f2f4"/>
    </w:rPr>
  </w:style>
  <w:style w:type="character" w:styleId="953">
    <w:name w:val="annotation reference"/>
    <w:qFormat/>
    <w:rPr>
      <w:rFonts w:ascii="Calibri" w:hAnsi="Calibri" w:eastAsia="宋体" w:cs="Times New Roman"/>
      <w:sz w:val="21"/>
      <w:szCs w:val="21"/>
    </w:rPr>
  </w:style>
  <w:style w:type="character" w:styleId="954">
    <w:name w:val="HTML Keyboard"/>
    <w:qFormat/>
    <w:rPr>
      <w:rFonts w:ascii="Consolas" w:hAnsi="Consolas" w:eastAsia="Consolas" w:cs="Consolas"/>
      <w:color w:val="ffffff"/>
      <w:sz w:val="21"/>
      <w:szCs w:val="21"/>
      <w:shd w:val="clear" w:color="auto" w:fill="333333"/>
    </w:rPr>
  </w:style>
  <w:style w:type="character" w:styleId="955">
    <w:name w:val="HTML Sample"/>
    <w:qFormat/>
    <w:rPr>
      <w:rFonts w:hint="default" w:ascii="Consolas" w:hAnsi="Consolas" w:eastAsia="Consolas" w:cs="Consolas"/>
      <w:sz w:val="21"/>
      <w:szCs w:val="21"/>
    </w:rPr>
  </w:style>
  <w:style w:type="paragraph" w:styleId="956" w:customStyle="1">
    <w:name w:val="正文文本1"/>
    <w:basedOn w:val="914"/>
    <w:next w:val="957"/>
    <w:qFormat/>
    <w:rPr>
      <w:rFonts w:ascii="楷体_GB2312" w:hAnsi="Arial" w:eastAsia="楷体_GB2312"/>
      <w:sz w:val="28"/>
    </w:rPr>
  </w:style>
  <w:style w:type="paragraph" w:styleId="957" w:customStyle="1">
    <w:name w:val="正文首行缩进1"/>
    <w:basedOn w:val="956"/>
    <w:next w:val="958"/>
    <w:uiPriority w:val="99"/>
    <w:unhideWhenUsed/>
    <w:qFormat/>
    <w:pPr>
      <w:ind w:firstLine="420"/>
    </w:pPr>
  </w:style>
  <w:style w:type="paragraph" w:styleId="958" w:customStyle="1">
    <w:name w:val="正文首行缩进 21"/>
    <w:basedOn w:val="959"/>
    <w:next w:val="957"/>
    <w:qFormat/>
    <w:pPr>
      <w:ind w:firstLine="420"/>
    </w:pPr>
  </w:style>
  <w:style w:type="paragraph" w:styleId="959" w:customStyle="1">
    <w:name w:val="正文文本缩进1"/>
    <w:basedOn w:val="914"/>
    <w:next w:val="960"/>
    <w:uiPriority w:val="99"/>
    <w:unhideWhenUsed/>
    <w:qFormat/>
    <w:pPr>
      <w:ind w:left="420"/>
      <w:spacing w:after="120"/>
    </w:pPr>
  </w:style>
  <w:style w:type="paragraph" w:styleId="960" w:customStyle="1">
    <w:name w:val="寄信人地址1"/>
    <w:basedOn w:val="914"/>
    <w:qFormat/>
    <w:rPr>
      <w:rFonts w:ascii="Arial" w:hAnsi="Arial"/>
    </w:rPr>
  </w:style>
  <w:style w:type="paragraph" w:styleId="961" w:customStyle="1">
    <w:name w:val="段"/>
    <w:next w:val="914"/>
    <w:qFormat/>
    <w:pPr>
      <w:ind w:firstLine="420"/>
      <w:jc w:val="both"/>
      <w:tabs>
        <w:tab w:val="center" w:pos="4201" w:leader="none"/>
        <w:tab w:val="right" w:pos="9298" w:leader="dot"/>
      </w:tabs>
    </w:pPr>
    <w:rPr>
      <w:rFonts w:ascii="宋体" w:eastAsia="Times New Roman"/>
    </w:rPr>
  </w:style>
  <w:style w:type="paragraph" w:styleId="962" w:customStyle="1">
    <w:name w:val="正文 A"/>
    <w:next w:val="961"/>
    <w:qFormat/>
    <w:pPr>
      <w:jc w:val="both"/>
      <w:widowControl w:val="off"/>
    </w:pPr>
    <w:rPr>
      <w:rFonts w:ascii="Arial Unicode MS" w:hAnsi="Arial Unicode MS" w:eastAsia="Times New Roman" w:cs="Arial Unicode MS"/>
      <w:color w:val="000000"/>
      <w:sz w:val="21"/>
      <w:szCs w:val="21"/>
    </w:rPr>
  </w:style>
  <w:style w:type="paragraph" w:styleId="963" w:customStyle="1">
    <w:name w:val="AONormal"/>
    <w:qFormat/>
    <w:pPr>
      <w:ind w:firstLine="440"/>
      <w:spacing w:line="400" w:lineRule="exact"/>
    </w:pPr>
    <w:rPr>
      <w:rFonts w:ascii="华文楷体" w:hAnsi="华文楷体" w:eastAsia="华文楷体" w:cs="华文楷体"/>
      <w:sz w:val="22"/>
      <w:szCs w:val="21"/>
    </w:rPr>
  </w:style>
  <w:style w:type="paragraph" w:styleId="964" w:customStyle="1">
    <w:name w:val="首行缩进"/>
    <w:basedOn w:val="914"/>
    <w:uiPriority w:val="99"/>
    <w:qFormat/>
    <w:pPr>
      <w:ind w:firstLine="480"/>
    </w:pPr>
    <w:rPr>
      <w:szCs w:val="20"/>
      <w:lang w:val="zh-CN"/>
    </w:rPr>
  </w:style>
  <w:style w:type="character" w:styleId="965" w:customStyle="1">
    <w:name w:val="正文文本缩进 Char"/>
    <w:basedOn w:val="920"/>
    <w:link w:val="929"/>
    <w:qFormat/>
    <w:rPr>
      <w:rFonts w:ascii="Times New Roman" w:hAnsi="Times New Roman" w:eastAsia="宋体" w:cs="Times New Roman"/>
      <w:sz w:val="24"/>
      <w:szCs w:val="24"/>
    </w:rPr>
  </w:style>
  <w:style w:type="character" w:styleId="966" w:customStyle="1">
    <w:name w:val="标题 1 Char"/>
    <w:basedOn w:val="920"/>
    <w:link w:val="915"/>
    <w:qFormat/>
    <w:rPr>
      <w:rFonts w:ascii="Times New Roman" w:hAnsi="Times New Roman" w:eastAsia="宋体" w:cs="Times New Roman"/>
      <w:b/>
      <w:bCs/>
      <w:sz w:val="44"/>
      <w:szCs w:val="44"/>
    </w:rPr>
  </w:style>
  <w:style w:type="character" w:styleId="967" w:customStyle="1">
    <w:name w:val="标题 2 Char"/>
    <w:basedOn w:val="920"/>
    <w:link w:val="916"/>
    <w:qFormat/>
    <w:rPr>
      <w:rFonts w:ascii="Cambria" w:hAnsi="Cambria" w:eastAsia="宋体" w:cs="Times New Roman"/>
      <w:b/>
      <w:bCs/>
      <w:sz w:val="32"/>
      <w:szCs w:val="32"/>
    </w:rPr>
  </w:style>
  <w:style w:type="character" w:styleId="968" w:customStyle="1">
    <w:name w:val="正文缩进 Char"/>
    <w:link w:val="923"/>
    <w:qFormat/>
    <w:rPr>
      <w:rFonts w:ascii="Times New Roman" w:hAnsi="Times New Roman" w:eastAsia="楷体_GB2312" w:cs="Times New Roman"/>
      <w:sz w:val="24"/>
      <w:szCs w:val="20"/>
    </w:rPr>
  </w:style>
  <w:style w:type="character" w:styleId="969" w:customStyle="1">
    <w:name w:val="标题 3 Char"/>
    <w:basedOn w:val="920"/>
    <w:link w:val="917"/>
    <w:qFormat/>
    <w:rPr>
      <w:rFonts w:ascii="Times New Roman" w:hAnsi="Times New Roman" w:eastAsia="宋体" w:cs="Times New Roman"/>
      <w:b/>
      <w:sz w:val="32"/>
      <w:szCs w:val="20"/>
    </w:rPr>
  </w:style>
  <w:style w:type="character" w:styleId="970" w:customStyle="1">
    <w:name w:val="标题 5 Char"/>
    <w:basedOn w:val="920"/>
    <w:link w:val="918"/>
    <w:qFormat/>
    <w:rPr>
      <w:rFonts w:ascii="Times New Roman" w:hAnsi="Times New Roman" w:eastAsia="宋体" w:cs="Times New Roman"/>
      <w:b/>
      <w:bCs/>
      <w:sz w:val="28"/>
      <w:szCs w:val="28"/>
    </w:rPr>
  </w:style>
  <w:style w:type="character" w:styleId="971" w:customStyle="1">
    <w:name w:val="标题 6 Char"/>
    <w:basedOn w:val="920"/>
    <w:link w:val="919"/>
    <w:uiPriority w:val="9"/>
    <w:qFormat/>
    <w:rPr>
      <w:rFonts w:ascii="Arial" w:hAnsi="Arial" w:eastAsia="宋体" w:cs="Times New Roman"/>
      <w:bCs/>
      <w:sz w:val="24"/>
      <w:szCs w:val="24"/>
    </w:rPr>
  </w:style>
  <w:style w:type="character" w:styleId="972" w:customStyle="1">
    <w:name w:val="批注文字 Char"/>
    <w:basedOn w:val="920"/>
    <w:link w:val="927"/>
    <w:qFormat/>
    <w:rPr>
      <w:rFonts w:ascii="Times New Roman" w:hAnsi="Times New Roman" w:eastAsia="宋体" w:cs="Times New Roman"/>
      <w:szCs w:val="24"/>
    </w:rPr>
  </w:style>
  <w:style w:type="character" w:styleId="973" w:customStyle="1">
    <w:name w:val="正文文本 Char1"/>
    <w:basedOn w:val="920"/>
    <w:link w:val="928"/>
    <w:uiPriority w:val="99"/>
    <w:qFormat/>
    <w:rPr>
      <w:rFonts w:ascii="Times New Roman" w:hAnsi="Times New Roman" w:eastAsia="宋体" w:cs="Times New Roman"/>
      <w:sz w:val="20"/>
      <w:szCs w:val="24"/>
    </w:rPr>
  </w:style>
  <w:style w:type="character" w:styleId="974" w:customStyle="1">
    <w:name w:val="纯文本 Char1"/>
    <w:basedOn w:val="920"/>
    <w:link w:val="931"/>
    <w:qFormat/>
    <w:rPr>
      <w:rFonts w:ascii="宋体" w:hAnsi="Courier New" w:eastAsia="楷体_GB2312" w:cs="Times New Roman"/>
      <w:sz w:val="26"/>
      <w:szCs w:val="24"/>
    </w:rPr>
  </w:style>
  <w:style w:type="character" w:styleId="975" w:customStyle="1">
    <w:name w:val="日期 Char"/>
    <w:basedOn w:val="920"/>
    <w:link w:val="932"/>
    <w:qFormat/>
    <w:rPr>
      <w:rFonts w:ascii="Times New Roman" w:hAnsi="Times New Roman" w:eastAsia="宋体" w:cs="Times New Roman"/>
      <w:b/>
      <w:bCs/>
      <w:spacing w:val="20"/>
      <w:sz w:val="20"/>
      <w:szCs w:val="24"/>
    </w:rPr>
  </w:style>
  <w:style w:type="character" w:styleId="976" w:customStyle="1">
    <w:name w:val="批注框文本 Char"/>
    <w:basedOn w:val="920"/>
    <w:link w:val="933"/>
    <w:qFormat/>
    <w:rPr>
      <w:rFonts w:ascii="Times New Roman" w:hAnsi="Times New Roman" w:eastAsia="宋体" w:cs="Times New Roman"/>
      <w:sz w:val="18"/>
      <w:szCs w:val="18"/>
    </w:rPr>
  </w:style>
  <w:style w:type="character" w:styleId="977" w:customStyle="1">
    <w:name w:val="页脚 Char"/>
    <w:basedOn w:val="920"/>
    <w:link w:val="934"/>
    <w:uiPriority w:val="99"/>
    <w:qFormat/>
    <w:rPr>
      <w:rFonts w:ascii="Times New Roman" w:hAnsi="Times New Roman" w:eastAsia="宋体" w:cs="Times New Roman"/>
      <w:sz w:val="18"/>
      <w:szCs w:val="18"/>
    </w:rPr>
  </w:style>
  <w:style w:type="character" w:styleId="978" w:customStyle="1">
    <w:name w:val="页眉 Char"/>
    <w:basedOn w:val="920"/>
    <w:link w:val="936"/>
    <w:qFormat/>
    <w:rPr>
      <w:rFonts w:ascii="Times New Roman" w:hAnsi="Times New Roman" w:eastAsia="宋体" w:cs="Times New Roman"/>
      <w:sz w:val="18"/>
      <w:szCs w:val="18"/>
    </w:rPr>
  </w:style>
  <w:style w:type="character" w:styleId="979" w:customStyle="1">
    <w:name w:val="副标题 Char"/>
    <w:basedOn w:val="920"/>
    <w:link w:val="939"/>
    <w:qFormat/>
    <w:rPr>
      <w:rFonts w:ascii="宋体" w:hAnsi="Courier New" w:eastAsia="楷体_GB2312" w:cs="Times New Roman"/>
      <w:sz w:val="26"/>
      <w:szCs w:val="20"/>
    </w:rPr>
  </w:style>
  <w:style w:type="character" w:styleId="980" w:customStyle="1">
    <w:name w:val="正文文本缩进 3 Char"/>
    <w:basedOn w:val="920"/>
    <w:link w:val="941"/>
    <w:qFormat/>
    <w:rPr>
      <w:rFonts w:ascii="Times New Roman" w:hAnsi="Times New Roman" w:eastAsia="宋体" w:cs="Times New Roman"/>
      <w:sz w:val="24"/>
      <w:szCs w:val="24"/>
    </w:rPr>
  </w:style>
  <w:style w:type="character" w:styleId="981" w:customStyle="1">
    <w:name w:val="批注主题 Char"/>
    <w:basedOn w:val="972"/>
    <w:link w:val="926"/>
    <w:qFormat/>
    <w:rPr>
      <w:rFonts w:ascii="Times New Roman" w:hAnsi="Times New Roman" w:eastAsia="宋体" w:cs="Times New Roman"/>
      <w:b/>
      <w:bCs/>
      <w:szCs w:val="24"/>
    </w:rPr>
  </w:style>
  <w:style w:type="character" w:styleId="982" w:customStyle="1">
    <w:name w:val="hover14"/>
    <w:qFormat/>
    <w:rPr>
      <w:shd w:val="clear" w:color="auto" w:fill="eeeeee"/>
    </w:rPr>
  </w:style>
  <w:style w:type="character" w:styleId="983" w:customStyle="1">
    <w:name w:val="hour_pm"/>
    <w:qFormat/>
  </w:style>
  <w:style w:type="character" w:styleId="984" w:customStyle="1">
    <w:name w:val="first-child"/>
    <w:qFormat/>
  </w:style>
  <w:style w:type="character" w:styleId="985" w:customStyle="1">
    <w:name w:val="正文文本 Char"/>
    <w:uiPriority w:val="99"/>
    <w:qFormat/>
    <w:rPr>
      <w:rFonts w:ascii="Calibri" w:hAnsi="Calibri" w:eastAsia="宋体" w:cs="Times New Roman"/>
      <w:szCs w:val="24"/>
    </w:rPr>
  </w:style>
  <w:style w:type="character" w:styleId="986" w:customStyle="1">
    <w:name w:val="font81"/>
    <w:qFormat/>
    <w:rPr>
      <w:rFonts w:hint="eastAsia" w:ascii="宋体" w:hAnsi="宋体" w:eastAsia="宋体" w:cs="宋体"/>
      <w:b/>
      <w:color w:val="000000"/>
      <w:sz w:val="22"/>
      <w:szCs w:val="22"/>
      <w:u w:val="none"/>
    </w:rPr>
  </w:style>
  <w:style w:type="character" w:styleId="987" w:customStyle="1">
    <w:name w:val="日期 Char1"/>
    <w:qFormat/>
    <w:rPr>
      <w:rFonts w:ascii="Calibri" w:hAnsi="Calibri" w:eastAsia="宋体" w:cs="Times New Roman"/>
      <w:szCs w:val="24"/>
    </w:rPr>
  </w:style>
  <w:style w:type="character" w:styleId="988" w:customStyle="1">
    <w:name w:val="hover13"/>
    <w:qFormat/>
    <w:rPr>
      <w:shd w:val="clear" w:color="auto" w:fill="eeeeee"/>
    </w:rPr>
  </w:style>
  <w:style w:type="character" w:styleId="989" w:customStyle="1">
    <w:name w:val="font71"/>
    <w:qFormat/>
    <w:rPr>
      <w:rFonts w:hint="eastAsia" w:ascii="宋体" w:hAnsi="宋体" w:eastAsia="宋体" w:cs="宋体"/>
      <w:b/>
      <w:color w:val="000000"/>
      <w:sz w:val="22"/>
      <w:szCs w:val="22"/>
      <w:u w:val="none"/>
      <w:vertAlign w:val="superscript"/>
    </w:rPr>
  </w:style>
  <w:style w:type="character" w:styleId="990" w:customStyle="1">
    <w:name w:val="纯文本 Char"/>
    <w:qFormat/>
    <w:rPr>
      <w:rFonts w:ascii="宋体" w:hAnsi="Courier New" w:eastAsia="宋体" w:cs="Courier New"/>
      <w:szCs w:val="21"/>
    </w:rPr>
  </w:style>
  <w:style w:type="character" w:styleId="991" w:customStyle="1">
    <w:name w:val="select2-selection__rendered"/>
    <w:qFormat/>
    <w:rPr>
      <w:sz w:val="18"/>
      <w:szCs w:val="18"/>
    </w:rPr>
  </w:style>
  <w:style w:type="character" w:styleId="992" w:customStyle="1">
    <w:name w:val="first-child1"/>
    <w:qFormat/>
  </w:style>
  <w:style w:type="character" w:styleId="993" w:customStyle="1">
    <w:name w:val="old"/>
    <w:qFormat/>
    <w:rPr>
      <w:color w:val="999999"/>
    </w:rPr>
  </w:style>
  <w:style w:type="character" w:styleId="994" w:customStyle="1">
    <w:name w:val="time"/>
    <w:qFormat/>
    <w:rPr>
      <w:rFonts w:ascii="Arial" w:hAnsi="Arial" w:cs="Arial"/>
    </w:rPr>
  </w:style>
  <w:style w:type="character" w:styleId="995" w:customStyle="1">
    <w:name w:val="Plain Text Char"/>
    <w:link w:val="996"/>
    <w:qFormat/>
    <w:rPr>
      <w:rFonts w:ascii="宋体" w:hAnsi="Courier New" w:eastAsia="楷体_GB2312" w:cs="Times New Roman"/>
      <w:sz w:val="26"/>
    </w:rPr>
  </w:style>
  <w:style w:type="paragraph" w:styleId="996" w:customStyle="1">
    <w:name w:val="纯文本3"/>
    <w:basedOn w:val="914"/>
    <w:link w:val="995"/>
    <w:qFormat/>
    <w:rPr>
      <w:rFonts w:ascii="宋体" w:hAnsi="Courier New" w:eastAsia="楷体_GB2312"/>
      <w:sz w:val="26"/>
      <w:szCs w:val="22"/>
    </w:rPr>
  </w:style>
  <w:style w:type="character" w:styleId="997" w:customStyle="1">
    <w:name w:val="hour_am"/>
    <w:qFormat/>
  </w:style>
  <w:style w:type="character" w:styleId="998" w:customStyle="1">
    <w:name w:val="NormalCharacter"/>
    <w:semiHidden/>
    <w:qFormat/>
    <w:rPr>
      <w:rFonts w:ascii="Times New Roman" w:hAnsi="Times New Roman" w:eastAsia="宋体" w:cs="Times New Roman"/>
    </w:rPr>
  </w:style>
  <w:style w:type="paragraph" w:styleId="999" w:customStyle="1">
    <w:name w:val="纯文本2"/>
    <w:basedOn w:val="914"/>
    <w:qFormat/>
    <w:rPr>
      <w:rFonts w:ascii="宋体" w:hAnsi="Courier New"/>
    </w:rPr>
  </w:style>
  <w:style w:type="paragraph" w:styleId="1000" w:customStyle="1">
    <w:name w:val="文本正文"/>
    <w:basedOn w:val="914"/>
    <w:qFormat/>
    <w:pPr>
      <w:ind w:firstLine="560"/>
      <w:jc w:val="left"/>
      <w:spacing w:line="360" w:lineRule="auto"/>
    </w:pPr>
    <w:rPr>
      <w:sz w:val="28"/>
      <w:szCs w:val="28"/>
    </w:rPr>
  </w:style>
  <w:style w:type="paragraph" w:styleId="1001" w:customStyle="1">
    <w:name w:val="Plain Text1"/>
    <w:basedOn w:val="914"/>
    <w:qFormat/>
    <w:pPr>
      <w:jc w:val="left"/>
      <w:widowControl/>
    </w:pPr>
    <w:rPr>
      <w:rFonts w:ascii="宋体" w:hAnsi="Courier New" w:eastAsia="楷体_GB2312"/>
      <w:sz w:val="26"/>
      <w:szCs w:val="20"/>
    </w:rPr>
  </w:style>
  <w:style w:type="paragraph" w:styleId="1002" w:customStyle="1">
    <w:name w:val="纯文本4"/>
    <w:basedOn w:val="914"/>
    <w:qFormat/>
    <w:rPr>
      <w:rFonts w:ascii="宋体" w:hAnsi="Courier New" w:eastAsia="楷体_GB2312"/>
      <w:sz w:val="26"/>
      <w:szCs w:val="20"/>
    </w:rPr>
  </w:style>
  <w:style w:type="paragraph" w:styleId="1003" w:customStyle="1">
    <w:name w:val="Default"/>
    <w:qFormat/>
    <w:pPr>
      <w:widowControl w:val="off"/>
    </w:pPr>
    <w:rPr>
      <w:rFonts w:ascii="宋体"/>
      <w:color w:val="000000"/>
      <w:sz w:val="24"/>
      <w:szCs w:val="24"/>
    </w:rPr>
  </w:style>
  <w:style w:type="paragraph" w:styleId="1004">
    <w:name w:val="List Paragraph"/>
    <w:basedOn w:val="914"/>
    <w:uiPriority w:val="99"/>
    <w:qFormat/>
    <w:pPr>
      <w:ind w:firstLine="420"/>
    </w:pPr>
  </w:style>
  <w:style w:type="paragraph" w:styleId="1005" w:customStyle="1">
    <w:name w:val="纯文本1"/>
    <w:basedOn w:val="914"/>
    <w:qFormat/>
    <w:rPr>
      <w:rFonts w:ascii="宋体" w:hAnsi="Courier New" w:eastAsia="楷体_GB2312"/>
      <w:sz w:val="28"/>
      <w:szCs w:val="20"/>
    </w:rPr>
  </w:style>
  <w:style w:type="paragraph" w:styleId="1006" w:customStyle="1">
    <w:name w:val="修订1"/>
    <w:uiPriority w:val="99"/>
    <w:unhideWhenUsed/>
    <w:qFormat/>
    <w:rPr>
      <w:sz w:val="21"/>
      <w:szCs w:val="24"/>
    </w:rPr>
  </w:style>
  <w:style w:type="paragraph" w:styleId="1007" w:customStyle="1">
    <w:name w:val="纯文本5"/>
    <w:basedOn w:val="914"/>
    <w:qFormat/>
    <w:rPr>
      <w:rFonts w:ascii="宋体" w:hAnsi="Courier New" w:eastAsia="楷体_GB2312"/>
      <w:sz w:val="26"/>
      <w:szCs w:val="20"/>
    </w:rPr>
  </w:style>
  <w:style w:type="paragraph" w:styleId="1008" w:customStyle="1">
    <w:name w:val="纯文本6"/>
    <w:basedOn w:val="914"/>
    <w:qFormat/>
    <w:rPr>
      <w:rFonts w:ascii="宋体" w:hAnsi="Courier New" w:eastAsia="楷体_GB2312"/>
      <w:sz w:val="26"/>
      <w:szCs w:val="20"/>
    </w:rPr>
  </w:style>
  <w:style w:type="character" w:styleId="1009" w:customStyle="1">
    <w:name w:val="font21"/>
    <w:basedOn w:val="920"/>
    <w:qFormat/>
    <w:rPr>
      <w:rFonts w:hint="eastAsia" w:ascii="宋体" w:hAnsi="宋体" w:eastAsia="宋体" w:cs="宋体"/>
      <w:color w:val="000000"/>
      <w:sz w:val="22"/>
      <w:szCs w:val="22"/>
      <w:u w:val="none"/>
    </w:rPr>
  </w:style>
  <w:style w:type="paragraph" w:styleId="1010" w:customStyle="1">
    <w:name w:val="正文1"/>
    <w:basedOn w:val="914"/>
    <w:qFormat/>
    <w:rPr>
      <w:rFonts w:ascii="宋体" w:hAnsi="宋体" w:cs="宋体"/>
      <w:sz w:val="24"/>
      <w:szCs w:val="20"/>
      <w:lang w:eastAsia="en-US"/>
    </w:rPr>
  </w:style>
  <w:style w:type="paragraph" w:styleId="1011" w:customStyle="1">
    <w:name w:val="Table Paragraph"/>
    <w:basedOn w:val="914"/>
    <w:uiPriority w:val="1"/>
    <w:qFormat/>
    <w:rPr>
      <w:rFonts w:ascii="宋体" w:hAnsi="宋体" w:cs="宋体"/>
      <w:lang w:val="zh-CN" w:bidi="zh-CN"/>
    </w:rPr>
  </w:style>
  <w:style w:type="paragraph" w:styleId="1012" w:customStyle="1">
    <w:name w:val="Andy_3级"/>
    <w:basedOn w:val="914"/>
    <w:qFormat/>
    <w:pPr>
      <w:ind w:firstLine="510"/>
      <w:spacing w:line="360" w:lineRule="auto"/>
    </w:pPr>
    <w:rPr>
      <w:rFonts w:ascii="Calibri" w:hAnsi="Calibri"/>
      <w:sz w:val="24"/>
    </w:rPr>
  </w:style>
  <w:style w:type="character" w:styleId="1013" w:customStyle="1">
    <w:name w:val="font51"/>
    <w:basedOn w:val="920"/>
    <w:qFormat/>
    <w:rPr>
      <w:rFonts w:hint="eastAsia" w:ascii="宋体" w:hAnsi="宋体" w:eastAsia="宋体" w:cs="宋体"/>
      <w:color w:val="000000"/>
      <w:sz w:val="22"/>
      <w:szCs w:val="22"/>
      <w:u w:val="none"/>
    </w:rPr>
  </w:style>
  <w:style w:type="character" w:styleId="1014" w:customStyle="1">
    <w:name w:val="font31"/>
    <w:basedOn w:val="920"/>
    <w:qFormat/>
    <w:rPr>
      <w:rFonts w:hint="default" w:ascii="Times New Roman" w:hAnsi="Times New Roman" w:cs="Times New Roman"/>
      <w:color w:val="000000"/>
      <w:sz w:val="22"/>
      <w:szCs w:val="22"/>
      <w:u w:val="none"/>
    </w:rPr>
  </w:style>
  <w:style w:type="character" w:styleId="1015" w:customStyle="1">
    <w:name w:val="font11"/>
    <w:basedOn w:val="920"/>
    <w:qFormat/>
    <w:rPr>
      <w:rFonts w:hint="eastAsia" w:ascii="宋体" w:hAnsi="宋体" w:eastAsia="宋体" w:cs="宋体"/>
      <w:color w:val="000000"/>
      <w:sz w:val="22"/>
      <w:szCs w:val="22"/>
      <w:u w:val="none"/>
    </w:rPr>
  </w:style>
  <w:style w:type="paragraph" w:styleId="1016" w:customStyle="1">
    <w:name w:val="文档结构图1"/>
    <w:basedOn w:val="914"/>
    <w:uiPriority w:val="99"/>
    <w:qFormat/>
    <w:pPr>
      <w:shd w:val="clear" w:color="auto" w:fill="000080"/>
    </w:pPr>
  </w:style>
  <w:style w:type="paragraph" w:styleId="1017" w:customStyle="1">
    <w:name w:val="纯文本7"/>
    <w:basedOn w:val="914"/>
    <w:qFormat/>
    <w:rPr>
      <w:rFonts w:ascii="宋体" w:hAnsi="Courier New" w:eastAsia="楷体_GB2312"/>
      <w:sz w:val="26"/>
      <w:szCs w:val="20"/>
    </w:rPr>
  </w:style>
  <w:style w:type="paragraph" w:styleId="1018" w:customStyle="1">
    <w:name w:val="列出段落1"/>
    <w:basedOn w:val="914"/>
    <w:qFormat/>
    <w:pPr>
      <w:ind w:firstLine="420"/>
    </w:pPr>
    <w:rPr>
      <w:szCs w:val="21"/>
    </w:rPr>
  </w:style>
  <w:style w:type="paragraph" w:styleId="1019" w:customStyle="1">
    <w:name w:val="正文缩进1"/>
    <w:basedOn w:val="914"/>
    <w:qFormat/>
    <w:pPr>
      <w:ind w:firstLine="420"/>
      <w:jc w:val="left"/>
    </w:pPr>
    <w:rPr>
      <w:rFonts w:eastAsia="楷体_GB2312"/>
    </w:rPr>
  </w:style>
  <w:style w:type="paragraph" w:styleId="1020" w:customStyle="1">
    <w:name w:val="纯文本8"/>
    <w:basedOn w:val="914"/>
    <w:qFormat/>
    <w:rPr>
      <w:rFonts w:ascii="宋体" w:hAnsi="Courier New" w:eastAsia="楷体_GB2312"/>
      <w:sz w:val="26"/>
    </w:rPr>
  </w:style>
  <w:style w:type="character" w:styleId="1021" w:customStyle="1">
    <w:name w:val="font61"/>
    <w:qFormat/>
    <w:rPr>
      <w:rFonts w:hint="eastAsia" w:ascii="微软雅黑" w:hAnsi="微软雅黑" w:eastAsia="微软雅黑" w:cs="微软雅黑"/>
      <w:color w:val="000000"/>
      <w:sz w:val="18"/>
      <w:szCs w:val="18"/>
      <w:u w:val="none"/>
    </w:rPr>
  </w:style>
  <w:style w:type="paragraph" w:styleId="1022" w:customStyle="1">
    <w:name w:val="批注文字1"/>
    <w:basedOn w:val="914"/>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庄天扬</cp:lastModifiedBy>
  <cp:revision>11</cp:revision>
  <dcterms:created xsi:type="dcterms:W3CDTF">2024-06-01T03:03:00Z</dcterms:created>
  <dcterms:modified xsi:type="dcterms:W3CDTF">2026-08-13T09:30:55Z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8E5A00234069439B8635C66FA4D5BC5A_13</vt:lpwstr>
  </property>
  <property fmtid="{D5CDD505-2E9C-101B-9397-08002B2CF9AE}" pid="4" name="KSOTemplateDocerSaveRecord">
    <vt:lpwstr>eyJoZGlkIjoiZGRlNGE1OWE1NDIxZDAwMTQwZTBiZjRjOWQyYjZkMDIiLCJ1c2VySWQiOiIxMDQzMzQ5ODU4In0=</vt:lpwstr>
  </property>
</Properties>
</file>