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default" w:ascii="宋体" w:hAnsi="宋体" w:eastAsia="宋体"/>
          <w:b/>
          <w:color w:val="auto"/>
          <w:sz w:val="15"/>
          <w:szCs w:val="15"/>
          <w:highlight w:val="none"/>
          <w:lang w:val="en-US" w:eastAsia="zh-CN"/>
        </w:rPr>
      </w:pPr>
      <w:r>
        <w:rPr>
          <w:rFonts w:hint="default" w:ascii="宋体" w:hAnsi="宋体" w:eastAsia="宋体"/>
          <w:b/>
          <w:color w:val="auto"/>
          <w:sz w:val="15"/>
          <w:szCs w:val="15"/>
          <w:highlight w:val="none"/>
          <w:lang w:val="en-US" w:eastAsia="zh-CN"/>
        </w:rPr>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both"/>
        <w:spacing w:line="360" w:lineRule="auto"/>
        <w:rPr>
          <w:rFonts w:hint="eastAsia" w:ascii="宋体" w:hAnsi="宋体"/>
          <w:color w:val="auto"/>
          <w:highlight w:val="none"/>
        </w:rPr>
      </w:pPr>
      <w:r>
        <w:rPr>
          <w:rFonts w:hint="eastAsia" w:ascii="宋体" w:hAnsi="宋体"/>
          <w:color w:val="auto"/>
          <w:highlight w:val="none"/>
        </w:rPr>
      </w:r>
      <w:r/>
    </w:p>
    <w:p>
      <w:pPr>
        <w:spacing w:line="360" w:lineRule="auto"/>
        <w:tabs>
          <w:tab w:val="left" w:pos="3570" w:leader="none"/>
        </w:tabs>
        <w:rPr>
          <w:rFonts w:ascii="宋体" w:hAnsi="宋体"/>
          <w:color w:val="auto"/>
          <w:highlight w:val="none"/>
        </w:rPr>
      </w:pPr>
      <w:r>
        <w:rPr>
          <w:rFonts w:ascii="宋体" w:hAnsi="宋体"/>
          <w:color w:val="auto"/>
          <w:highlight w:val="none"/>
        </w:rPr>
      </w:r>
      <w:r/>
    </w:p>
    <w:p>
      <w:pPr>
        <w:pStyle w:val="851"/>
        <w:ind w:left="0" w:firstLine="0"/>
        <w:rPr>
          <w:rFonts w:hint="eastAsia"/>
          <w:color w:val="auto"/>
          <w:highlight w:val="none"/>
        </w:rPr>
      </w:pPr>
      <w:r>
        <w:rPr>
          <w:rFonts w:hint="eastAsia"/>
          <w:color w:val="auto"/>
          <w:highlight w:val="none"/>
        </w:rPr>
      </w:r>
      <w:r/>
    </w:p>
    <w:p>
      <w:pPr>
        <w:jc w:val="both"/>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606"/>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招标编号</w:t>
      </w:r>
      <w:r>
        <w:rPr>
          <w:rFonts w:hint="eastAsia" w:ascii="宋体" w:hAnsi="宋体"/>
          <w:b/>
          <w:color w:val="auto"/>
          <w:sz w:val="32"/>
          <w:szCs w:val="32"/>
          <w:highlight w:val="none"/>
          <w:lang w:eastAsia="zh-CN"/>
        </w:rPr>
        <w:t xml:space="preserve">：JSZC-320585-ZFXM-G2026-0008</w:t>
      </w:r>
      <w:r/>
    </w:p>
    <w:p>
      <w:pPr>
        <w:ind w:firstLine="1606"/>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：2026年人身保险服务</w:t>
      </w:r>
      <w:r/>
    </w:p>
    <w:p>
      <w:pPr>
        <w:ind w:firstLine="1606"/>
        <w:spacing w:line="360" w:lineRule="auto"/>
        <w:rPr>
          <w:rFonts w:hint="eastAsia" w:ascii="宋体" w:hAnsi="宋体" w:eastAsia="宋体" w:cs="Times New Roman"/>
          <w:b/>
          <w:color w:val="auto"/>
          <w:sz w:val="32"/>
          <w:szCs w:val="32"/>
          <w:highlight w:val="none"/>
          <w:lang w:eastAsia="zh-CN"/>
        </w:rPr>
      </w:pPr>
      <w:r>
        <w:rPr>
          <w:rFonts w:hint="eastAsia" w:ascii="宋体" w:hAnsi="宋体"/>
          <w:b/>
          <w:color w:val="auto"/>
          <w:sz w:val="32"/>
          <w:szCs w:val="32"/>
          <w:highlight w:val="none"/>
        </w:rPr>
        <w:t xml:space="preserve">采购单</w:t>
      </w:r>
      <w:r>
        <w:rPr>
          <w:rFonts w:hint="eastAsia" w:ascii="宋体" w:hAnsi="宋体" w:eastAsia="宋体" w:cs="Times New Roman"/>
          <w:b/>
          <w:color w:val="auto"/>
          <w:sz w:val="32"/>
          <w:szCs w:val="32"/>
          <w:highlight w:val="none"/>
          <w:lang w:eastAsia="zh-CN"/>
        </w:rPr>
        <w:t xml:space="preserve">位</w:t>
      </w:r>
      <w:r>
        <w:rPr>
          <w:rFonts w:hint="eastAsia" w:ascii="宋体" w:hAnsi="宋体"/>
          <w:b/>
          <w:color w:val="auto"/>
          <w:sz w:val="32"/>
          <w:szCs w:val="32"/>
          <w:highlight w:val="none"/>
          <w:lang w:eastAsia="zh-CN"/>
        </w:rPr>
        <w:t xml:space="preserve">：</w:t>
      </w:r>
      <w:r>
        <w:rPr>
          <w:rFonts w:hint="eastAsia" w:ascii="宋体" w:hAnsi="宋体" w:eastAsia="宋体" w:cs="Times New Roman"/>
          <w:b/>
          <w:color w:val="auto"/>
          <w:sz w:val="32"/>
          <w:szCs w:val="32"/>
          <w:highlight w:val="none"/>
          <w:lang w:eastAsia="zh-CN"/>
        </w:rPr>
        <w:t xml:space="preserve">太仓市公安局</w:t>
      </w:r>
      <w:r/>
    </w:p>
    <w:p>
      <w:pPr>
        <w:ind w:firstLine="1606"/>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采购项目类别：</w:t>
      </w:r>
      <w:r>
        <w:rPr>
          <w:rFonts w:hint="eastAsia" w:ascii="宋体" w:hAnsi="宋体"/>
          <w:b/>
          <w:color w:val="auto"/>
          <w:sz w:val="32"/>
          <w:szCs w:val="32"/>
          <w:highlight w:val="none"/>
          <w:lang w:eastAsia="zh-CN"/>
        </w:rPr>
        <w:t xml:space="preserve">服务</w:t>
      </w:r>
      <w:r>
        <w:rPr>
          <w:rFonts w:hint="eastAsia" w:ascii="宋体" w:hAnsi="宋体"/>
          <w:b/>
          <w:color w:val="auto"/>
          <w:sz w:val="32"/>
          <w:szCs w:val="32"/>
          <w:highlight w:val="none"/>
        </w:rPr>
        <w:t xml:space="preserve">类</w:t>
      </w:r>
      <w:r/>
    </w:p>
    <w:p>
      <w:pPr>
        <w:ind w:firstLine="1606"/>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标的所属行业：</w:t>
      </w:r>
      <w:r>
        <w:rPr>
          <w:rFonts w:hint="eastAsia" w:ascii="宋体" w:hAnsi="宋体" w:eastAsia="宋体" w:cs="Times New Roman"/>
          <w:b/>
          <w:color w:val="auto"/>
          <w:sz w:val="32"/>
          <w:szCs w:val="32"/>
          <w:highlight w:val="none"/>
        </w:rPr>
        <w:t xml:space="preserve">（十六）其他未列明行业</w:t>
      </w:r>
      <w:r>
        <w:rPr>
          <w:rFonts w:hint="eastAsia" w:ascii="宋体" w:hAnsi="宋体"/>
          <w:b/>
          <w:color w:val="auto"/>
          <w:sz w:val="32"/>
          <w:szCs w:val="32"/>
          <w:highlight w:val="none"/>
        </w:rPr>
        <w:t xml:space="preserve"> </w:t>
      </w:r>
      <w:r/>
    </w:p>
    <w:p>
      <w:pPr>
        <w:spacing w:line="360" w:lineRule="auto"/>
        <w:rPr>
          <w:rFonts w:hint="eastAsia" w:ascii="宋体" w:hAnsi="宋体" w:eastAsia="宋体" w:cs="Times New Roman"/>
          <w:b/>
          <w:color w:val="auto"/>
          <w:sz w:val="36"/>
          <w:szCs w:val="36"/>
          <w:highlight w:val="none"/>
          <w:lang w:eastAsia="zh-CN"/>
        </w:rPr>
      </w:pPr>
      <w:r>
        <w:rPr>
          <w:rFonts w:hint="eastAsia" w:ascii="宋体" w:hAnsi="宋体" w:eastAsia="宋体" w:cs="Times New Roman"/>
          <w:b/>
          <w:color w:val="auto"/>
          <w:sz w:val="36"/>
          <w:szCs w:val="36"/>
          <w:highlight w:val="none"/>
          <w:lang w:eastAsia="zh-CN"/>
        </w:rPr>
      </w:r>
      <w:r/>
    </w:p>
    <w:p>
      <w:pPr>
        <w:pStyle w:val="816"/>
        <w:rPr>
          <w:rFonts w:hint="eastAsia" w:ascii="宋体" w:hAnsi="宋体"/>
          <w:color w:val="auto"/>
          <w:highlight w:val="none"/>
        </w:rPr>
      </w:pPr>
      <w:r>
        <w:rPr>
          <w:rFonts w:hint="eastAsia" w:ascii="宋体" w:hAnsi="宋体"/>
          <w:color w:val="auto"/>
          <w:highlight w:val="none"/>
        </w:rPr>
      </w:r>
      <w:r/>
    </w:p>
    <w:p>
      <w:pPr>
        <w:pStyle w:val="812"/>
        <w:rPr>
          <w:rFonts w:hint="eastAsia"/>
          <w:color w:val="auto"/>
          <w:highlight w:val="none"/>
        </w:rPr>
      </w:pPr>
      <w:r>
        <w:rPr>
          <w:rFonts w:hint="eastAsia"/>
          <w:color w:val="auto"/>
          <w:highlight w:val="none"/>
        </w:rPr>
      </w:r>
      <w:r/>
    </w:p>
    <w:p>
      <w:pPr>
        <w:jc w:val="center"/>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lang w:eastAsia="zh-CN"/>
        </w:rPr>
        <w:t xml:space="preserve">江苏兆丰项目管理有限公司</w:t>
      </w:r>
      <w:r/>
    </w:p>
    <w:p>
      <w:pPr>
        <w:jc w:val="center"/>
        <w:spacing w:line="360" w:lineRule="auto"/>
        <w:rPr>
          <w:rFonts w:hint="eastAsia" w:ascii="宋体" w:hAnsi="宋体"/>
          <w:b/>
          <w:color w:val="auto"/>
          <w:sz w:val="30"/>
          <w:szCs w:val="30"/>
          <w:highlight w:val="none"/>
        </w:rPr>
      </w:pPr>
      <w:r>
        <w:rPr>
          <w:rFonts w:hint="eastAsia" w:ascii="宋体" w:hAnsi="宋体"/>
          <w:b/>
          <w:color w:val="auto"/>
          <w:sz w:val="32"/>
          <w:szCs w:val="32"/>
          <w:highlight w:val="none"/>
        </w:rPr>
        <w:t xml:space="preserve">二〇二</w:t>
      </w: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七</w:t>
      </w:r>
      <w:r>
        <w:rPr>
          <w:rFonts w:hint="eastAsia" w:ascii="宋体" w:hAnsi="宋体"/>
          <w:b/>
          <w:color w:val="auto"/>
          <w:sz w:val="32"/>
          <w:szCs w:val="32"/>
          <w:highlight w:val="none"/>
        </w:rPr>
        <w:t xml:space="preserve">月</w:t>
      </w:r>
      <w:r>
        <w:rPr>
          <w:rFonts w:hint="eastAsia" w:ascii="宋体" w:hAnsi="宋体"/>
          <w:b/>
          <w:color w:val="auto"/>
          <w:sz w:val="30"/>
          <w:szCs w:val="30"/>
          <w:highlight w:val="none"/>
        </w:rPr>
        <w:br w:type="page" w:clear="all"/>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第一部分：招标公告</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第二部分：投标人须知</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第三部分：项目需求</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第四部分：投标文件格式</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第五部分：评标方法与评标标准</w:t>
      </w:r>
      <w:r/>
    </w:p>
    <w:p>
      <w:pPr>
        <w:rPr>
          <w:rFonts w:hint="eastAsia" w:ascii="宋体"/>
          <w:color w:val="auto"/>
          <w:sz w:val="30"/>
          <w:szCs w:val="30"/>
          <w:highlight w:val="none"/>
        </w:rPr>
      </w:pPr>
      <w:r>
        <w:rPr>
          <w:rFonts w:hint="eastAsia" w:ascii="宋体"/>
          <w:color w:val="auto"/>
          <w:sz w:val="30"/>
          <w:szCs w:val="30"/>
          <w:highlight w:val="none"/>
        </w:rPr>
        <w:t xml:space="preserve">第六部分：合同主要条款</w:t>
      </w:r>
      <w:r/>
    </w:p>
    <w:p>
      <w:pPr>
        <w:jc w:val="center"/>
        <w:rPr>
          <w:rFonts w:hint="eastAsia" w:hAnsi="宋体" w:eastAsia="宋体"/>
          <w:b/>
          <w:color w:val="auto"/>
          <w:sz w:val="32"/>
          <w:szCs w:val="32"/>
          <w:highlight w:val="none"/>
        </w:rPr>
      </w:pPr>
      <w:r>
        <w:rPr>
          <w:rFonts w:hint="eastAsia" w:ascii="宋体"/>
          <w:color w:val="auto"/>
          <w:sz w:val="30"/>
          <w:szCs w:val="30"/>
          <w:highlight w:val="none"/>
        </w:rPr>
        <w:br w:type="page" w:clear="all"/>
      </w:r>
      <w:bookmarkStart w:id="1" w:name="_Toc315875312"/>
      <w:r/>
      <w:bookmarkStart w:id="2" w:name="_Toc467507028"/>
      <w:r/>
      <w:bookmarkStart w:id="3" w:name="_Toc315868049"/>
      <w:r>
        <w:rPr>
          <w:rFonts w:hint="eastAsia" w:ascii="宋体" w:hAnsi="宋体" w:eastAsia="宋体"/>
          <w:b/>
          <w:color w:val="auto"/>
          <w:sz w:val="32"/>
          <w:szCs w:val="32"/>
          <w:highlight w:val="none"/>
          <w:lang w:val="en-US" w:eastAsia="zh-CN" w:bidi="ar-SA"/>
        </w:rPr>
        <w:t xml:space="preserve">第一部分 </w:t>
      </w:r>
      <w:r>
        <w:rPr>
          <w:rFonts w:hAnsi="宋体" w:eastAsia="宋体"/>
          <w:b/>
          <w:color w:val="auto"/>
          <w:sz w:val="32"/>
          <w:szCs w:val="32"/>
          <w:highlight w:val="none"/>
        </w:rPr>
        <w:t xml:space="preserve"> </w:t>
      </w:r>
      <w:r>
        <w:rPr>
          <w:rFonts w:hint="eastAsia" w:hAnsi="宋体" w:eastAsia="宋体"/>
          <w:b/>
          <w:color w:val="auto"/>
          <w:sz w:val="32"/>
          <w:szCs w:val="32"/>
          <w:highlight w:val="none"/>
        </w:rPr>
        <w:t xml:space="preserve">招标公告</w:t>
      </w:r>
      <w:bookmarkEnd w:id="0"/>
      <w:r/>
      <w:bookmarkEnd w:id="1"/>
      <w:r/>
      <w:bookmarkEnd w:id="2"/>
      <w:r/>
      <w:bookmarkEnd w:id="3"/>
      <w:r/>
      <w:r/>
    </w:p>
    <w:p>
      <w:pPr>
        <w:ind w:firstLine="420"/>
        <w:spacing w:line="360" w:lineRule="auto"/>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pBdr>
      </w:pPr>
      <w:r/>
      <w:bookmarkStart w:id="4" w:name="_Toc315875314"/>
      <w:r/>
      <w:bookmarkStart w:id="5" w:name="_Toc315868051"/>
      <w:r/>
      <w:bookmarkStart w:id="6" w:name="_Toc158691767"/>
      <w:r/>
      <w:bookmarkStart w:id="7" w:name="_Toc467507030"/>
      <w:r>
        <w:rPr>
          <w:rFonts w:hint="eastAsia" w:ascii="宋体" w:hAnsi="宋体" w:eastAsia="宋体" w:cs="宋体"/>
          <w:color w:val="auto"/>
          <w:sz w:val="21"/>
          <w:szCs w:val="21"/>
          <w:highlight w:val="none"/>
          <w:u w:val="single"/>
          <w:lang w:eastAsia="zh-CN"/>
        </w:rPr>
        <w:t xml:space="preserve">2026年人身保险服务</w:t>
      </w:r>
      <w:r>
        <w:rPr>
          <w:rFonts w:hint="eastAsia" w:ascii="宋体" w:hAnsi="宋体" w:eastAsia="宋体" w:cs="宋体"/>
          <w:color w:val="auto"/>
          <w:sz w:val="21"/>
          <w:szCs w:val="21"/>
          <w:highlight w:val="none"/>
          <w:u w:val="single"/>
          <w:lang w:val="en-US" w:eastAsia="zh-CN"/>
        </w:rPr>
        <w:t xml:space="preserve">JSZC-320585-ZFXM-G2026-0008招标项目</w:t>
      </w:r>
      <w:r>
        <w:rPr>
          <w:rFonts w:hint="eastAsia" w:ascii="宋体" w:hAnsi="宋体" w:eastAsia="宋体" w:cs="宋体"/>
          <w:color w:val="auto"/>
          <w:sz w:val="21"/>
          <w:szCs w:val="21"/>
          <w:highlight w:val="none"/>
        </w:rPr>
        <w:t xml:space="preserve">的潜在投标人应在苏采云政府采购一体化平台获取招标文件，并于</w:t>
      </w:r>
      <w:r>
        <w:rPr>
          <w:rFonts w:hint="eastAsia" w:ascii="宋体" w:hAnsi="宋体" w:eastAsia="宋体" w:cs="宋体"/>
          <w:b/>
          <w:bCs/>
          <w:color w:val="auto"/>
          <w:sz w:val="21"/>
          <w:szCs w:val="21"/>
          <w:highlight w:val="none"/>
          <w:u w:val="single"/>
        </w:rPr>
        <w:t xml:space="preserve">202</w:t>
      </w:r>
      <w:r>
        <w:rPr>
          <w:rFonts w:hint="eastAsia" w:ascii="宋体" w:hAnsi="宋体" w:eastAsia="宋体" w:cs="宋体"/>
          <w:b/>
          <w:bCs/>
          <w:color w:val="auto"/>
          <w:sz w:val="21"/>
          <w:szCs w:val="21"/>
          <w:highlight w:val="none"/>
          <w:u w:val="single"/>
          <w:lang w:val="en-US" w:eastAsia="zh-CN"/>
        </w:rPr>
        <w:t xml:space="preserve">6</w:t>
      </w:r>
      <w:r>
        <w:rPr>
          <w:rFonts w:hint="eastAsia" w:ascii="宋体" w:hAnsi="宋体" w:eastAsia="宋体" w:cs="宋体"/>
          <w:b/>
          <w:bCs/>
          <w:color w:val="auto"/>
          <w:sz w:val="21"/>
          <w:szCs w:val="21"/>
          <w:highlight w:val="none"/>
          <w:u w:val="single"/>
        </w:rPr>
        <w:t xml:space="preserve">年</w:t>
      </w:r>
      <w:r>
        <w:rPr>
          <w:rFonts w:hint="eastAsia" w:ascii="宋体" w:hAnsi="宋体" w:cs="宋体"/>
          <w:b/>
          <w:bCs/>
          <w:color w:val="auto"/>
          <w:sz w:val="21"/>
          <w:szCs w:val="21"/>
          <w:highlight w:val="none"/>
          <w:u w:val="single"/>
          <w:lang w:val="en-US" w:eastAsia="zh-CN"/>
        </w:rPr>
        <w:t xml:space="preserve">8</w:t>
      </w:r>
      <w:r>
        <w:rPr>
          <w:rFonts w:hint="eastAsia" w:ascii="宋体" w:hAnsi="宋体" w:eastAsia="宋体" w:cs="宋体"/>
          <w:b/>
          <w:bCs/>
          <w:color w:val="auto"/>
          <w:sz w:val="21"/>
          <w:szCs w:val="21"/>
          <w:highlight w:val="none"/>
          <w:u w:val="single"/>
        </w:rPr>
        <w:t xml:space="preserve">月</w:t>
      </w:r>
      <w:r>
        <w:rPr>
          <w:rFonts w:hint="eastAsia" w:ascii="宋体" w:hAnsi="宋体" w:cs="宋体"/>
          <w:b/>
          <w:bCs/>
          <w:color w:val="auto"/>
          <w:sz w:val="21"/>
          <w:szCs w:val="21"/>
          <w:highlight w:val="none"/>
          <w:u w:val="single"/>
          <w:lang w:val="en-US" w:eastAsia="zh-CN"/>
        </w:rPr>
        <w:t xml:space="preserve">21</w:t>
      </w:r>
      <w:r>
        <w:rPr>
          <w:rFonts w:hint="eastAsia" w:ascii="宋体" w:hAnsi="宋体" w:eastAsia="宋体" w:cs="宋体"/>
          <w:b/>
          <w:bCs/>
          <w:color w:val="auto"/>
          <w:sz w:val="21"/>
          <w:szCs w:val="21"/>
          <w:highlight w:val="none"/>
          <w:u w:val="single"/>
        </w:rPr>
        <w:t xml:space="preserve">日</w:t>
      </w:r>
      <w:r>
        <w:rPr>
          <w:rFonts w:hint="eastAsia" w:ascii="宋体" w:hAnsi="宋体" w:cs="宋体"/>
          <w:b/>
          <w:bCs/>
          <w:color w:val="auto"/>
          <w:sz w:val="21"/>
          <w:szCs w:val="21"/>
          <w:highlight w:val="none"/>
          <w:u w:val="single"/>
          <w:lang w:val="en-US" w:eastAsia="zh-CN"/>
        </w:rPr>
        <w:t xml:space="preserve">09:30</w:t>
      </w:r>
      <w:r>
        <w:rPr>
          <w:rFonts w:hint="eastAsia" w:ascii="宋体" w:hAnsi="宋体" w:eastAsia="宋体" w:cs="宋体"/>
          <w:color w:val="auto"/>
          <w:sz w:val="21"/>
          <w:szCs w:val="21"/>
          <w:highlight w:val="none"/>
        </w:rPr>
        <w:t xml:space="preserve">（北京时间）前</w:t>
      </w:r>
      <w:r>
        <w:rPr>
          <w:rFonts w:hint="eastAsia" w:ascii="宋体" w:hAnsi="宋体" w:eastAsia="宋体" w:cs="宋体"/>
          <w:color w:val="auto"/>
          <w:sz w:val="21"/>
          <w:szCs w:val="21"/>
          <w:highlight w:val="none"/>
          <w:lang w:val="en-US" w:eastAsia="zh-CN"/>
        </w:rPr>
        <w:t xml:space="preserve">递交投标文件</w:t>
      </w:r>
      <w:r>
        <w:rPr>
          <w:rFonts w:hint="eastAsia" w:ascii="宋体" w:hAnsi="宋体" w:eastAsia="宋体" w:cs="宋体"/>
          <w:color w:val="auto"/>
          <w:sz w:val="21"/>
          <w:szCs w:val="21"/>
          <w:highlight w:val="none"/>
        </w:rPr>
        <w:t xml:space="preserve">。</w:t>
      </w:r>
      <w:r/>
    </w:p>
    <w:p>
      <w:pPr>
        <w:pStyle w:val="796"/>
        <w:ind w:firstLine="422"/>
        <w:jc w:val="both"/>
        <w:keepLines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一、项目基本情况</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JSZC-320585-ZFXM-G2026-0008</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2026年人身保险服务</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eastAsia="zh-CN"/>
        </w:rPr>
        <w:t xml:space="preserve">133.800000万元，（采购包1：50.800000万元；采购包2：50.000000万元；采购包3：33.000000万元）</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最高限价（如有）：</w:t>
      </w:r>
      <w:r>
        <w:rPr>
          <w:rFonts w:hint="eastAsia" w:ascii="宋体" w:hAnsi="宋体" w:eastAsia="宋体" w:cs="宋体"/>
          <w:color w:val="auto"/>
          <w:sz w:val="21"/>
          <w:szCs w:val="21"/>
          <w:highlight w:val="none"/>
          <w:lang w:val="en-US" w:eastAsia="zh-CN"/>
        </w:rPr>
        <w:t xml:space="preserve">采用</w:t>
      </w:r>
      <w:r>
        <w:rPr>
          <w:rFonts w:hint="eastAsia" w:ascii="宋体" w:hAnsi="宋体" w:eastAsia="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lang w:val="en-US" w:eastAsia="zh-CN"/>
        </w:rPr>
        <w:t xml:space="preserve">报价，单价最高限价：采购包1：民警300元/人，民警子女200元/人；采购包2/采购包3：辅警200元/人，民警配偶200元/人</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采购方式：公开招标 </w:t>
      </w:r>
      <w:r/>
    </w:p>
    <w:p>
      <w:pPr>
        <w:ind w:firstLine="420"/>
        <w:keepLines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采购需求：太仓市公安局民警、民警配偶、民警子女、辅警202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年人身保险采购。本项目共分3个采购包，各采购包划分情况见下表：</w:t>
      </w:r>
      <w:r/>
    </w:p>
    <w:tbl>
      <w:tblPr>
        <w:tblStyle w:val="805"/>
        <w:tblW w:w="46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857"/>
        <w:gridCol w:w="1571"/>
        <w:gridCol w:w="1458"/>
      </w:tblGrid>
      <w:tr>
        <w:trPr>
          <w:cantSplit/>
          <w:jc w:val="center"/>
          <w:trHeight w:val="907" w:hRule="exact"/>
          <w:tblHeader/>
        </w:trPr>
        <w:tc>
          <w:tcPr>
            <w:tcW w:w="68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采购包号</w:t>
            </w:r>
            <w:r/>
          </w:p>
        </w:tc>
        <w:tc>
          <w:tcPr>
            <w:tcW w:w="2659"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服务内容</w:t>
            </w:r>
            <w:r/>
          </w:p>
        </w:tc>
        <w:tc>
          <w:tcPr>
            <w:tcW w:w="86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是否专门面向中小企业采购</w:t>
            </w:r>
            <w:r/>
          </w:p>
        </w:tc>
        <w:tc>
          <w:tcPr>
            <w:tcW w:w="79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采购预算</w:t>
            </w:r>
            <w:r/>
          </w:p>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（万元）</w:t>
            </w:r>
            <w:r/>
          </w:p>
        </w:tc>
      </w:tr>
      <w:tr>
        <w:trPr>
          <w:cantSplit/>
          <w:jc w:val="center"/>
          <w:trHeight w:val="936"/>
        </w:trPr>
        <w:tc>
          <w:tcPr>
            <w:shd w:val="clear" w:color="auto" w:fill="auto"/>
            <w:tcW w:w="68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采购包1</w:t>
            </w:r>
            <w:r/>
          </w:p>
        </w:tc>
        <w:tc>
          <w:tcPr>
            <w:shd w:val="clear" w:color="auto" w:fill="auto"/>
            <w:tcW w:w="2659" w:type="pct"/>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rPr>
              <w:t xml:space="preserve">民警</w:t>
            </w:r>
            <w:r>
              <w:rPr>
                <w:rFonts w:hint="eastAsia" w:ascii="宋体" w:hAnsi="宋体" w:eastAsia="宋体" w:cs="宋体"/>
                <w:b w:val="0"/>
                <w:bCs w:val="0"/>
                <w:color w:val="auto"/>
                <w:sz w:val="21"/>
                <w:szCs w:val="21"/>
                <w:highlight w:val="none"/>
                <w:lang w:val="en-US" w:eastAsia="zh-CN"/>
              </w:rPr>
              <w:t xml:space="preserve">1100</w:t>
            </w:r>
            <w:r>
              <w:rPr>
                <w:rFonts w:hint="eastAsia" w:ascii="宋体" w:hAnsi="宋体" w:eastAsia="宋体" w:cs="宋体"/>
                <w:b w:val="0"/>
                <w:bCs w:val="0"/>
                <w:color w:val="auto"/>
                <w:sz w:val="21"/>
                <w:szCs w:val="21"/>
                <w:highlight w:val="none"/>
              </w:rPr>
              <w:t xml:space="preserve">人，民警子女</w:t>
            </w:r>
            <w:r>
              <w:rPr>
                <w:rFonts w:hint="eastAsia" w:ascii="宋体" w:hAnsi="宋体" w:eastAsia="宋体" w:cs="宋体"/>
                <w:b w:val="0"/>
                <w:bCs w:val="0"/>
                <w:color w:val="auto"/>
                <w:sz w:val="21"/>
                <w:szCs w:val="21"/>
                <w:highlight w:val="none"/>
                <w:lang w:val="en-US" w:eastAsia="zh-CN"/>
              </w:rPr>
              <w:t xml:space="preserve">1000</w:t>
            </w:r>
            <w:r>
              <w:rPr>
                <w:rFonts w:hint="eastAsia" w:ascii="宋体" w:hAnsi="宋体" w:eastAsia="宋体" w:cs="宋体"/>
                <w:b w:val="0"/>
                <w:bCs w:val="0"/>
                <w:color w:val="auto"/>
                <w:sz w:val="21"/>
                <w:szCs w:val="21"/>
                <w:highlight w:val="none"/>
              </w:rPr>
              <w:t xml:space="preserve">人，共计</w:t>
            </w:r>
            <w:r>
              <w:rPr>
                <w:rFonts w:hint="eastAsia" w:ascii="宋体" w:hAnsi="宋体" w:eastAsia="宋体" w:cs="宋体"/>
                <w:b w:val="0"/>
                <w:bCs w:val="0"/>
                <w:color w:val="auto"/>
                <w:sz w:val="21"/>
                <w:szCs w:val="21"/>
                <w:highlight w:val="none"/>
                <w:lang w:val="en-US" w:eastAsia="zh-CN"/>
              </w:rPr>
              <w:t xml:space="preserve">2100</w:t>
            </w:r>
            <w:r>
              <w:rPr>
                <w:rFonts w:hint="eastAsia" w:ascii="宋体" w:hAnsi="宋体" w:eastAsia="宋体" w:cs="宋体"/>
                <w:b w:val="0"/>
                <w:bCs w:val="0"/>
                <w:color w:val="auto"/>
                <w:sz w:val="21"/>
                <w:szCs w:val="21"/>
                <w:highlight w:val="none"/>
              </w:rPr>
              <w:t xml:space="preserve">人。</w:t>
            </w:r>
            <w:r/>
          </w:p>
        </w:tc>
        <w:tc>
          <w:tcPr>
            <w:shd w:val="clear" w:color="auto" w:fill="auto"/>
            <w:tcW w:w="86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否</w:t>
            </w:r>
            <w:r/>
          </w:p>
        </w:tc>
        <w:tc>
          <w:tcPr>
            <w:shd w:val="clear" w:color="auto" w:fill="ffffff"/>
            <w:tcW w:w="79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50.8</w:t>
            </w:r>
            <w:r/>
          </w:p>
        </w:tc>
      </w:tr>
      <w:tr>
        <w:trPr>
          <w:cantSplit/>
          <w:jc w:val="center"/>
          <w:trHeight w:val="936"/>
        </w:trPr>
        <w:tc>
          <w:tcPr>
            <w:shd w:val="clear" w:color="auto" w:fill="auto"/>
            <w:tcW w:w="68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采购包2</w:t>
            </w:r>
            <w:r/>
          </w:p>
        </w:tc>
        <w:tc>
          <w:tcPr>
            <w:shd w:val="clear" w:color="auto" w:fill="auto"/>
            <w:tcW w:w="2659" w:type="pct"/>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rPr>
              <w:t xml:space="preserve">辅警2000人，民警配偶500人，共计2500人</w:t>
            </w:r>
            <w:r>
              <w:rPr>
                <w:rFonts w:hint="eastAsia" w:ascii="宋体" w:hAnsi="宋体" w:eastAsia="宋体" w:cs="宋体"/>
                <w:b w:val="0"/>
                <w:bCs w:val="0"/>
                <w:color w:val="auto"/>
                <w:sz w:val="21"/>
                <w:szCs w:val="21"/>
                <w:highlight w:val="none"/>
                <w:lang w:eastAsia="zh-CN"/>
              </w:rPr>
              <w:t xml:space="preserve">。</w:t>
            </w:r>
            <w:r/>
          </w:p>
        </w:tc>
        <w:tc>
          <w:tcPr>
            <w:shd w:val="clear" w:color="auto" w:fill="auto"/>
            <w:tcW w:w="86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否</w:t>
            </w:r>
            <w:r/>
          </w:p>
        </w:tc>
        <w:tc>
          <w:tcPr>
            <w:shd w:val="clear" w:color="auto" w:fill="ffffff"/>
            <w:tcW w:w="79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50</w:t>
            </w:r>
            <w:r/>
          </w:p>
        </w:tc>
      </w:tr>
      <w:tr>
        <w:trPr>
          <w:cantSplit/>
          <w:jc w:val="center"/>
          <w:trHeight w:val="936"/>
        </w:trPr>
        <w:tc>
          <w:tcPr>
            <w:shd w:val="clear" w:color="auto" w:fill="auto"/>
            <w:tcW w:w="68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采购包3</w:t>
            </w:r>
            <w:r/>
          </w:p>
        </w:tc>
        <w:tc>
          <w:tcPr>
            <w:shd w:val="clear" w:color="auto" w:fill="auto"/>
            <w:tcW w:w="2659" w:type="pct"/>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rPr>
              <w:t xml:space="preserve">辅警</w:t>
            </w:r>
            <w:r>
              <w:rPr>
                <w:rFonts w:hint="eastAsia" w:ascii="宋体" w:hAnsi="宋体" w:eastAsia="宋体" w:cs="宋体"/>
                <w:b w:val="0"/>
                <w:bCs w:val="0"/>
                <w:color w:val="auto"/>
                <w:sz w:val="21"/>
                <w:szCs w:val="21"/>
                <w:highlight w:val="none"/>
                <w:lang w:val="en-US" w:eastAsia="zh-CN"/>
              </w:rPr>
              <w:t xml:space="preserve">1250</w:t>
            </w:r>
            <w:r>
              <w:rPr>
                <w:rFonts w:hint="eastAsia" w:ascii="宋体" w:hAnsi="宋体" w:eastAsia="宋体" w:cs="宋体"/>
                <w:b w:val="0"/>
                <w:bCs w:val="0"/>
                <w:color w:val="auto"/>
                <w:sz w:val="21"/>
                <w:szCs w:val="21"/>
                <w:highlight w:val="none"/>
              </w:rPr>
              <w:t xml:space="preserve">人，民警配偶</w:t>
            </w:r>
            <w:r>
              <w:rPr>
                <w:rFonts w:hint="eastAsia" w:ascii="宋体" w:hAnsi="宋体" w:eastAsia="宋体" w:cs="宋体"/>
                <w:b w:val="0"/>
                <w:bCs w:val="0"/>
                <w:color w:val="auto"/>
                <w:sz w:val="21"/>
                <w:szCs w:val="21"/>
                <w:highlight w:val="none"/>
                <w:lang w:val="en-US" w:eastAsia="zh-CN"/>
              </w:rPr>
              <w:t xml:space="preserve">400</w:t>
            </w:r>
            <w:r>
              <w:rPr>
                <w:rFonts w:hint="eastAsia" w:ascii="宋体" w:hAnsi="宋体" w:eastAsia="宋体" w:cs="宋体"/>
                <w:b w:val="0"/>
                <w:bCs w:val="0"/>
                <w:color w:val="auto"/>
                <w:sz w:val="21"/>
                <w:szCs w:val="21"/>
                <w:highlight w:val="none"/>
              </w:rPr>
              <w:t xml:space="preserve">人，共计1650人</w:t>
            </w:r>
            <w:r>
              <w:rPr>
                <w:rFonts w:hint="eastAsia" w:ascii="宋体" w:hAnsi="宋体" w:eastAsia="宋体" w:cs="宋体"/>
                <w:b w:val="0"/>
                <w:bCs w:val="0"/>
                <w:color w:val="auto"/>
                <w:sz w:val="21"/>
                <w:szCs w:val="21"/>
                <w:highlight w:val="none"/>
                <w:lang w:eastAsia="zh-CN"/>
              </w:rPr>
              <w:t xml:space="preserve">。</w:t>
            </w:r>
            <w:r/>
          </w:p>
        </w:tc>
        <w:tc>
          <w:tcPr>
            <w:shd w:val="clear" w:color="auto" w:fill="auto"/>
            <w:tcW w:w="860"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否</w:t>
            </w:r>
            <w:r/>
          </w:p>
        </w:tc>
        <w:tc>
          <w:tcPr>
            <w:shd w:val="clear" w:color="auto" w:fill="ffffff"/>
            <w:tcW w:w="798"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33</w:t>
            </w:r>
            <w:r/>
          </w:p>
        </w:tc>
      </w:tr>
    </w:tbl>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中标单位数量及方法：</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本项目共分为三个采购包，每个采购包确定1家中标供应商。每家投标单位自行选择采购包报名,可同时参与多个采购包投标，但只允</w:t>
      </w:r>
      <w:r>
        <w:rPr>
          <w:rFonts w:hint="eastAsia" w:ascii="宋体" w:hAnsi="宋体" w:eastAsia="宋体" w:cs="宋体"/>
          <w:color w:val="auto"/>
          <w:sz w:val="21"/>
          <w:szCs w:val="21"/>
          <w:highlight w:val="none"/>
        </w:rPr>
        <w:t xml:space="preserve">许中标一个采购包。各采购包以评标总得分从高到低为相应采购包中标候选人排名，排名第一的为中标供应商，定标的顺序按采购包一至采购包三确定中标供应商。前面采购包已中标的供应商在后面的采购包中失去成为中标候选人的资格，由该采购包具有中标候选人资格且评标总得分最高的为该采购包中标供应商，进入每个采购包评审的实质性响应且具有中标候选人资格的供应商不得少于3家，否则将导致废标。如因实质性响应不足三家等情况出现废标，而导致重新招标的，其他采购包已中标单位也不再具有该采购包重新招标的中标候选人的资格。如已中标单位因质疑投诉或</w:t>
      </w:r>
      <w:r>
        <w:rPr>
          <w:rFonts w:hint="eastAsia" w:ascii="宋体" w:hAnsi="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原因被取消中标资格或不能签订合同而影响其他采购包中标的，风险自行承担。</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一年。</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本项目（是/否）接受联合体投标：否</w:t>
      </w:r>
      <w:r/>
    </w:p>
    <w:p>
      <w:pPr>
        <w:ind w:firstLine="422"/>
        <w:keepLines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（一）满足《中华人民共和国政府采购法》第二十二条规定</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1、具有独立承担民事责任的能力</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2、具有良好的商业信誉和健全的财务会计制度</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6、法律、行政法规规定的其他条件</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rPr>
        <w:t xml:space="preserve">（二）落实政府采购政策需满足的资格</w:t>
      </w:r>
      <w:r>
        <w:rPr>
          <w:rFonts w:hint="eastAsia" w:ascii="宋体" w:hAnsi="宋体" w:eastAsia="宋体" w:cs="宋体"/>
          <w:b w:val="0"/>
          <w:bCs w:val="0"/>
          <w:color w:val="auto"/>
          <w:sz w:val="21"/>
          <w:szCs w:val="21"/>
          <w:highlight w:val="none"/>
        </w:rPr>
        <w:t xml:space="preserve">要求：</w:t>
      </w:r>
      <w:r>
        <w:rPr>
          <w:rStyle w:val="853"/>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无</w:t>
      </w:r>
      <w:r>
        <w:rPr>
          <w:rStyle w:val="853"/>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w:t>
      </w:r>
      <w:r/>
    </w:p>
    <w:p>
      <w:pPr>
        <w:ind w:firstLine="401"/>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p>
      <w:pPr>
        <w:ind w:firstLine="401"/>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未被“信用中国”网站（www.creditchina.gov.cn）或中国政府采购网（https://www.ccgp.gov.cn/search/cr/）列入失信被执行人、重大税收违法案件当事人名单、政府采购严重违法失信行为记录名单。</w:t>
      </w:r>
      <w:r/>
    </w:p>
    <w:p>
      <w:pPr>
        <w:ind w:firstLine="401"/>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具有《保险许可证》；</w:t>
      </w:r>
      <w:r/>
    </w:p>
    <w:p>
      <w:pPr>
        <w:ind w:firstLine="401"/>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具有独立承担民事责任的能力，保险属于特殊行业的分支机构可参与本次投标，但同一家总公司只能有一家分支机构参与投标，且总公司不能与下属分支机构同时参与投标。</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（四）拒绝下述供应商参加本次采购活动：</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1、供应商单位负责人为同一人或者存在直接控股、管理关系的不同供应商，不得参加同一合同项下的政府采购活动。</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2、凡为采购项目提供整体设计、规范编制或者项目管理、监理、检测等服务的供应商，不得再参加本项目的采购活动。</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3、法人的分支机构不得参加投标（除银行、保险、石油石化、电力、电信等行业特殊情况外）</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816"/>
        <w:ind w:firstLine="422"/>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三、获取招标文件</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时间：自招标文件公告发布之日起5个工作日</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地点：苏采云政府采购一体化平台</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方式：网上下载电子采购文件</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售价：0.00元</w:t>
      </w:r>
      <w:r/>
    </w:p>
    <w:p>
      <w:pPr>
        <w:pStyle w:val="816"/>
        <w:ind w:firstLine="422"/>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四、提交</w:t>
      </w:r>
      <w:r>
        <w:rPr>
          <w:rFonts w:hint="eastAsia" w:ascii="宋体" w:hAnsi="宋体" w:eastAsia="宋体" w:cs="宋体"/>
          <w:b/>
          <w:color w:val="auto"/>
          <w:sz w:val="21"/>
          <w:szCs w:val="21"/>
          <w:highlight w:val="none"/>
        </w:rPr>
        <w:t xml:space="preserve">投标文件截止时间、开标时间和地点</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2026年8月2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bookmarkStart w:id="23" w:name="_GoBack"/>
      <w:r/>
      <w:bookmarkEnd w:id="23"/>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rPr>
        <w:t xml:space="preserve">（北京时间）</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地点：苏采云政府采购一体化平台</w:t>
      </w:r>
      <w:r/>
    </w:p>
    <w:p>
      <w:pPr>
        <w:pStyle w:val="816"/>
        <w:ind w:firstLine="422"/>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五、公告期限</w:t>
      </w:r>
      <w:r>
        <w:rPr>
          <w:rFonts w:hint="eastAsia" w:ascii="宋体" w:hAnsi="宋体" w:eastAsia="宋体" w:cs="宋体"/>
          <w:color w:val="auto"/>
          <w:sz w:val="21"/>
          <w:szCs w:val="21"/>
          <w:highlight w:val="none"/>
        </w:rPr>
        <w:t xml:space="preserve">：</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pStyle w:val="816"/>
        <w:ind w:firstLine="422"/>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六、其他补充事宜</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1、本项目需要使用CA数字证书制作、上传电子投标文件完成电子投标，请供应商在参加投标活动前办理好CA数字证书申领及电子签章等操作。</w:t>
      </w:r>
      <w:r/>
    </w:p>
    <w:p>
      <w:pPr>
        <w:pStyle w:val="816"/>
        <w:ind w:firstLine="422"/>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16"/>
        <w:ind w:firstLine="422"/>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、本项目采用不见面开标，采取网上开标大厅解密电子投标文件，投标人远程解密要求如下：</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2）投标人登录苏采云系统，点击开标大厅，选择开标项目，完成不见面开标流程。</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3）投标截止时间后根据系统提示解密电子投标文件。</w:t>
      </w:r>
      <w:r>
        <w:rPr>
          <w:rFonts w:hint="eastAsia" w:ascii="宋体" w:hAnsi="宋体" w:eastAsia="宋体" w:cs="宋体"/>
          <w:b/>
          <w:color w:val="auto"/>
          <w:sz w:val="21"/>
          <w:szCs w:val="21"/>
          <w:highlight w:val="none"/>
        </w:rPr>
        <w:t xml:space="preserve">解密时间为 15 分钟，</w:t>
      </w:r>
      <w:r>
        <w:rPr>
          <w:rFonts w:hint="eastAsia" w:ascii="宋体" w:hAnsi="宋体" w:eastAsia="宋体" w:cs="宋体"/>
          <w:color w:val="auto"/>
          <w:sz w:val="21"/>
          <w:szCs w:val="21"/>
          <w:highlight w:val="none"/>
        </w:rPr>
        <w:t xml:space="preserve">未在规定时间内完成解密，其投标文件将被拒绝，不参与后续投标流程。</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16"/>
        <w:ind w:firstLine="420"/>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bCs/>
          <w:color w:val="auto"/>
          <w:sz w:val="21"/>
          <w:szCs w:val="21"/>
          <w:highlight w:val="none"/>
        </w:rPr>
        <w:t xml:space="preserve">有关苏采云系统驱动安装</w:t>
      </w:r>
      <w:r>
        <w:rPr>
          <w:rFonts w:hint="eastAsia" w:ascii="宋体" w:hAnsi="宋体" w:eastAsia="宋体" w:cs="宋体"/>
          <w:color w:val="auto"/>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color w:val="auto"/>
          <w:sz w:val="21"/>
          <w:szCs w:val="21"/>
          <w:highlight w:val="none"/>
        </w:rPr>
        <w:t xml:space="preserve">“政务CA、方正签章控件驱动安装包及安装说明”</w:t>
      </w:r>
      <w:r>
        <w:rPr>
          <w:rFonts w:hint="eastAsia" w:ascii="宋体" w:hAnsi="宋体" w:eastAsia="宋体" w:cs="宋体"/>
          <w:color w:val="auto"/>
          <w:sz w:val="21"/>
          <w:szCs w:val="21"/>
          <w:highlight w:val="none"/>
        </w:rPr>
        <w:t xml:space="preserve">文件，按要求安装驱动。</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有关供应商注册、报名、下载电子招标文件、制作上传电子投标文件</w:t>
      </w:r>
      <w:r>
        <w:rPr>
          <w:rFonts w:hint="eastAsia" w:ascii="宋体" w:hAnsi="宋体" w:eastAsia="宋体" w:cs="宋体"/>
          <w:color w:val="auto"/>
          <w:sz w:val="21"/>
          <w:szCs w:val="21"/>
          <w:highlight w:val="none"/>
        </w:rPr>
        <w:t xml:space="preserve">、不见面开标及其他注意事项登录苏州政府采购网，在“下载中心”栏目下载</w:t>
      </w:r>
      <w:r>
        <w:rPr>
          <w:rFonts w:hint="eastAsia" w:ascii="宋体" w:hAnsi="宋体" w:eastAsia="宋体" w:cs="宋体"/>
          <w:b/>
          <w:bCs/>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查阅。</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有关办理CA数字申领及电子签章事项</w:t>
      </w:r>
      <w:r>
        <w:rPr>
          <w:rFonts w:hint="eastAsia" w:ascii="宋体" w:hAnsi="宋体" w:eastAsia="宋体" w:cs="宋体"/>
          <w:color w:val="auto"/>
          <w:sz w:val="21"/>
          <w:szCs w:val="21"/>
          <w:highlight w:val="none"/>
        </w:rPr>
        <w:t xml:space="preserve">，登录苏州政府采购网，点击页面底部苏采云图标，进入苏采云政府采购一体化平台，下载“新CA办理指南”文件查阅。</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有关电子投标制作技术疑问，请咨询苏采云软件公司客服：18261002950、0512-69820854、0519-86722802</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、本次招标投标保证金：本项目无须缴纳投标保证金。</w:t>
      </w:r>
      <w:r/>
    </w:p>
    <w:p>
      <w:pPr>
        <w:pStyle w:val="816"/>
        <w:ind w:firstLine="420"/>
        <w:keepLines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9、中标服务费：本项目中标服务费由采购人支付。</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、政府采购监督电话：0512-53512539</w:t>
      </w:r>
      <w:r/>
    </w:p>
    <w:p>
      <w:pPr>
        <w:pStyle w:val="816"/>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、政府采购信用融资政策：中标供应商可凭政府采购合同办理融资贷款，详情请见江苏政府采购网“政采贷”专栏。</w:t>
      </w:r>
      <w:r/>
    </w:p>
    <w:p>
      <w:pPr>
        <w:pStyle w:val="816"/>
        <w:ind w:firstLine="420"/>
        <w:keepLines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ascii="宋体" w:hAnsi="宋体" w:eastAsia="宋体" w:cs="宋体"/>
          <w:color w:val="auto"/>
          <w:sz w:val="21"/>
          <w:szCs w:val="21"/>
          <w:highlight w:val="none"/>
          <w:lang w:eastAsia="zh-CN"/>
        </w:rPr>
        <w:t xml:space="preserve">。</w:t>
      </w:r>
      <w:r/>
    </w:p>
    <w:p>
      <w:pPr>
        <w:pStyle w:val="816"/>
        <w:ind w:firstLine="422"/>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、对本次招标提出询问，请按以下方式联系</w:t>
      </w:r>
      <w:r>
        <w:rPr>
          <w:rFonts w:hint="eastAsia" w:ascii="宋体" w:hAnsi="宋体" w:eastAsia="宋体" w:cs="宋体"/>
          <w:b/>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采购人信息：</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采购包1、采购包2、采购包3</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太仓市公安局</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lang w:eastAsia="zh-CN"/>
        </w:rPr>
        <w:t xml:space="preserve">地址：太仓市上海东路58号 </w:t>
      </w:r>
      <w:r/>
    </w:p>
    <w:p>
      <w:pPr>
        <w:ind w:firstLine="420"/>
        <w:keepLines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lang w:val="en-US" w:eastAsia="zh-CN"/>
        </w:rPr>
        <w:t xml:space="preserve">徐钦</w:t>
      </w:r>
      <w:r/>
    </w:p>
    <w:p>
      <w:pPr>
        <w:ind w:firstLine="420"/>
        <w:keepLines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0512-33055195</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采购代理机构信息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江苏兆丰项目管理有限公司</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太仓市常胜北路16号3楼</w:t>
      </w:r>
      <w:r/>
    </w:p>
    <w:p>
      <w:pPr>
        <w:ind w:firstLine="420"/>
        <w:keepLines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联系人：陈天慧</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val="en-US" w:eastAsia="zh-CN"/>
        </w:rPr>
        <w:t xml:space="preserve">电话</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18501522989</w:t>
      </w:r>
      <w:r/>
    </w:p>
    <w:p>
      <w:pPr>
        <w:ind w:firstLine="42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default"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项目联系方式</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eastAsia="zh-CN"/>
        </w:rPr>
        <w:t xml:space="preserve">陈天慧</w:t>
      </w:r>
      <w:r/>
    </w:p>
    <w:p>
      <w:pPr>
        <w:ind w:firstLine="420"/>
        <w:keepLines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eastAsia="zh-CN"/>
        </w:rPr>
        <w:t xml:space="preserve">18501522989</w:t>
      </w:r>
      <w:r/>
    </w:p>
    <w:p>
      <w:pPr>
        <w:jc w:val="center"/>
        <w:keepLines w:val="0"/>
        <w:pageBreakBefore w:val="0"/>
        <w:spacing w:line="400" w:lineRule="exact"/>
        <w:widowControl w:val="off"/>
        <w:rPr>
          <w:rFonts w:hint="eastAsia" w:ascii="宋体" w:hAnsi="宋体" w:eastAsia="宋体" w:cs="宋体"/>
          <w:color w:val="auto"/>
          <w:sz w:val="30"/>
          <w:szCs w:val="30"/>
          <w:highlight w:val="none"/>
        </w:rPr>
      </w:pPr>
      <w:r>
        <w:rPr>
          <w:rFonts w:hint="eastAsia" w:ascii="宋体" w:hAnsi="宋体" w:cs="宋体"/>
          <w:color w:val="auto"/>
          <w:sz w:val="24"/>
          <w:szCs w:val="22"/>
          <w:highlight w:val="none"/>
        </w:rPr>
        <w:br w:type="page" w:clear="all"/>
      </w:r>
      <w:r>
        <w:rPr>
          <w:rFonts w:hint="eastAsia" w:ascii="宋体" w:hAnsi="宋体" w:eastAsia="宋体" w:cs="Times New Roman"/>
          <w:b/>
          <w:color w:val="auto"/>
          <w:sz w:val="32"/>
          <w:szCs w:val="32"/>
          <w:highlight w:val="none"/>
          <w:lang w:val="en-US" w:eastAsia="zh-CN" w:bidi="ar-SA"/>
        </w:rPr>
        <w:t xml:space="preserve">第二部分  投标人须知</w:t>
      </w:r>
      <w:bookmarkEnd w:id="4"/>
      <w:r/>
      <w:bookmarkEnd w:id="5"/>
      <w:r/>
      <w:bookmarkEnd w:id="6"/>
      <w:r/>
      <w:bookmarkEnd w:id="7"/>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一、说明和释义</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 说明</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w:t>
      </w:r>
      <w:r>
        <w:rPr>
          <w:rFonts w:hint="eastAsia" w:ascii="宋体" w:hAnsi="宋体" w:eastAsia="宋体" w:cs="宋体"/>
          <w:color w:val="auto"/>
          <w:sz w:val="21"/>
          <w:szCs w:val="21"/>
          <w:highlight w:val="none"/>
          <w:lang w:eastAsia="zh-CN"/>
        </w:rPr>
        <w:t xml:space="preserve">江苏兆丰项目管理有限公司</w:t>
      </w:r>
      <w:r>
        <w:rPr>
          <w:rFonts w:hint="eastAsia" w:ascii="宋体" w:hAnsi="宋体" w:eastAsia="宋体" w:cs="宋体"/>
          <w:color w:val="auto"/>
          <w:sz w:val="21"/>
          <w:szCs w:val="21"/>
          <w:highlight w:val="none"/>
        </w:rPr>
        <w:t xml:space="preserve">组织的招标活动。</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江苏兆丰项目管理有限公司</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 词语释义</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2.1采购人：指依法进行政府采购的国家机关、事业单位、团体组织。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eastAsia="宋体" w:cs="宋体"/>
          <w:color w:val="auto"/>
          <w:sz w:val="21"/>
          <w:szCs w:val="21"/>
          <w:highlight w:val="none"/>
          <w:lang w:eastAsia="zh-CN"/>
        </w:rPr>
        <w:t xml:space="preserve">江苏兆丰项目管理有限公司</w:t>
      </w:r>
      <w:r>
        <w:rPr>
          <w:rFonts w:hint="eastAsia" w:ascii="宋体" w:hAnsi="宋体" w:eastAsia="宋体" w:cs="宋体"/>
          <w:color w:val="auto"/>
          <w:sz w:val="21"/>
          <w:szCs w:val="21"/>
          <w:highlight w:val="none"/>
        </w:rPr>
        <w:t xml:space="preserve">。</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2.3投标人：指响应招标、参加投标竞争的法人、其他组织或自然人。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2.4投标：投标人根据采购人或采购代理机构发布的招标文件，编制投标文件并按规定投标的行为。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2.5合同：采供双方根据招标文件和中标的投标文件及中标通知书规定的内容签署的以书面形式所达成的协议，包括所有的附件、附录和构成协议的所有文件。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2.6甲方（采购人）：指招标文件中载明的，依法进行政府采购的国家机关、事业单位、团体组织。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2.7乙方（中标单位）：合同中规定的向采购人提供货物和服务的法人或其他组织和自然人。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2.8天：日历日。</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2.9时间：除特别说明，均指北京时间。</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2.10知识产权:指专利权、商标权、著作权等无形财产专有权的统称。</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2.12合同价款:根据合同规定,乙方在正确地履行合同义务后甲方应支付乙方的价款。</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2.13服务：系指本次招标文件规定乙方应承担的与提供货物和服务有关的辅助服务，比如运输、保险、安装、调试、提供技术援助、培训、配合措施、维修投标及合同中规定乙方应承担的其它义务。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2.15实质性投标：满足有关本次采购标的、数量、质量、价款或者报酬、履行期限、履行地点和方式、违约责任和解决争议方法等要求。</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2.16进口产品：指通过中国海关报关验放进入中国境内且产自境外的产品。</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2.17书面形式：指书面文字、合同书、信件和传真等可以有形地表现所载内容的形式。</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 投标人</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 合格投标人的基本条件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满足《中华人民共和国政府采购法》第二十二条规定：</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具有独立承担民事责任的能力；</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具有良好的商业信誉和健全的财务会计制度；</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具有履行合同所必需的设备和专业技术能力；</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有依法缴纳税收和社会保障资金的良好记录；</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参加政府采购活动前三年内，在经营活动中没有重大违法记录；</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法律、行政法规规定的其他条件。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4．合格投标人的特定条件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按招标公告规定。</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 投标人代表</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5.1指全权代表投标人参加投标活动并签署投标文件的人，如果投标人代表不是法人代表，须持有《法人代表授权委托书》（详见统一格式）。</w:t>
      </w:r>
      <w:r/>
    </w:p>
    <w:p>
      <w:pPr>
        <w:ind w:firstLine="315"/>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5.2招标文件中如明确要求允许法人的分支机构参加投标的，招标文件中所述法定代表人均指该投标人的负责人。</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 联合投标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6.1本次招标不接受联合体投标。</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 投标费用 </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7.1投标人应自行承担所有准备及参加投标的相关费用。不论投标结果如何，采购代理机构在任何情况下均无义务也无责任承担这些费用。</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三、招标文件说明</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 招标文件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电子投标文件将按无效处理。</w:t>
      </w:r>
      <w:r/>
    </w:p>
    <w:p>
      <w:pPr>
        <w:ind w:firstLine="315"/>
        <w:spacing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8.2</w:t>
      </w:r>
      <w:r>
        <w:rPr>
          <w:rFonts w:hint="eastAsia" w:ascii="宋体" w:hAnsi="宋体" w:eastAsia="宋体" w:cs="宋体"/>
          <w:color w:val="auto"/>
          <w:sz w:val="21"/>
          <w:szCs w:val="21"/>
          <w:highlight w:val="none"/>
          <w:lang w:bidi="ar"/>
        </w:rPr>
        <w:t xml:space="preserve">招标文件及其补充通知（包括更正公告）不是直接从政府采购信息发布媒体上下载获得的，采购人或采购代理机构对招标文件及其补遗的真实性、完整性不承担任何责任。</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 招标文件的澄清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rPr>
          <w:rFonts w:hint="eastAsia" w:ascii="宋体" w:hAnsi="宋体" w:eastAsia="宋体" w:cs="宋体"/>
          <w:color w:val="auto"/>
          <w:sz w:val="21"/>
          <w:szCs w:val="21"/>
          <w:highlight w:val="none"/>
          <w:lang w:bidi="ar"/>
        </w:rPr>
        <w:t xml:space="preserve">投标人在获取招标文件后，若有疑问，应于网上投标截止时间之前，在网上业务系统向采购代理机构提出，采购代理机构将在业务系统上予以解答。</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rPr>
          <w:rFonts w:hint="eastAsia" w:ascii="宋体" w:hAnsi="宋体" w:eastAsia="宋体" w:cs="宋体"/>
          <w:color w:val="auto"/>
          <w:sz w:val="21"/>
          <w:szCs w:val="21"/>
          <w:highlight w:val="none"/>
          <w:lang w:bidi="ar"/>
        </w:rPr>
        <w:t xml:space="preserve">如有必要，问题答复将以“变更公告”形式由采购代理机构按照本须知第10条的规定发出。</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10.招标文件的修改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10.1采购代理机构无论出于自己的考虑，还是出于对投标人提问的澄清，均可对已发出的招标文件用</w:t>
      </w:r>
      <w:r>
        <w:rPr>
          <w:rFonts w:hint="eastAsia" w:ascii="宋体" w:hAnsi="宋体" w:eastAsia="宋体" w:cs="宋体"/>
          <w:color w:val="auto"/>
          <w:sz w:val="21"/>
          <w:szCs w:val="21"/>
          <w:highlight w:val="none"/>
          <w:lang w:val="zh-CN"/>
        </w:rPr>
        <w:t xml:space="preserve">补充文件的方式</w:t>
      </w:r>
      <w:r>
        <w:rPr>
          <w:rFonts w:hint="eastAsia" w:ascii="宋体" w:hAnsi="宋体" w:eastAsia="宋体" w:cs="宋体"/>
          <w:color w:val="auto"/>
          <w:sz w:val="21"/>
          <w:szCs w:val="21"/>
          <w:highlight w:val="none"/>
        </w:rPr>
        <w:t xml:space="preserve">进行必要澄清或者修改。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10.4</w:t>
      </w:r>
      <w:r>
        <w:rPr>
          <w:rFonts w:hint="eastAsia" w:ascii="宋体" w:hAnsi="宋体" w:eastAsia="宋体" w:cs="宋体"/>
          <w:color w:val="auto"/>
          <w:sz w:val="21"/>
          <w:szCs w:val="21"/>
          <w:highlight w:val="none"/>
          <w:lang w:bidi="ar"/>
        </w:rPr>
        <w:t xml:space="preserve">招标文件的更正（含澄清、修改等）内容将在财政部门指定的政府采购信息发布媒体上发布，请投标人及时查询，更正（含澄清、修改等）内容作为招标文件的组成部分，对投标人起约束作用。</w:t>
      </w:r>
      <w:r/>
    </w:p>
    <w:p>
      <w:pPr>
        <w:ind w:firstLine="316"/>
        <w:spacing w:line="440" w:lineRule="exact"/>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rPr>
        <w:t xml:space="preserve">10.5招标文件若有</w:t>
      </w:r>
      <w:r>
        <w:rPr>
          <w:rFonts w:hint="eastAsia" w:ascii="宋体" w:hAnsi="宋体" w:eastAsia="宋体" w:cs="宋体"/>
          <w:b/>
          <w:color w:val="auto"/>
          <w:sz w:val="21"/>
          <w:szCs w:val="21"/>
          <w:highlight w:val="none"/>
          <w:lang w:bidi="ar"/>
        </w:rPr>
        <w:t xml:space="preserve">最新的答疑文件，投标供应商必须下载并使用该文件制作新的电子投标文件，否则将无法完成电子投标文件的上传及投标。</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11.质疑</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11.3上述应知其权益受到损害之日是指：</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11.3.2对采购过程提出质疑的，自采购程序环节结束之日起计算；</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11.3.3对中标结果提出质疑的，自中标结果公告期限届满之日起计算。</w:t>
      </w:r>
      <w:r/>
    </w:p>
    <w:p>
      <w:pPr>
        <w:ind w:firstLine="315"/>
        <w:spacing w:line="440" w:lineRule="exact"/>
        <w:tabs>
          <w:tab w:val="left" w:pos="85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供应商提出质疑应当提交质疑函和必要的证明材料。质疑函应当包括下列内容：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11.4.1 供应商的姓名或者名称、地址、邮编、联系人及联系电话；</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11.4.2 质疑项目的名称、编号；</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 具体、明确的质疑事项和与质疑事项相关的请求；</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11.4.4 事实依据；</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11.4.5 必要的法律依据；</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11.4.6 提出质疑的日期。</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11.5质疑函的格式和内容应当符合财政部《政府采购供应商质疑函范本》 </w:t>
      </w:r>
      <w:bookmarkStart w:id="8" w:name="baidusnap5"/>
      <w:r/>
      <w:bookmarkEnd w:id="8"/>
      <w:r>
        <w:rPr>
          <w:rFonts w:hint="eastAsia" w:ascii="宋体" w:hAnsi="宋体" w:eastAsia="宋体" w:cs="宋体"/>
          <w:color w:val="auto"/>
          <w:sz w:val="21"/>
          <w:szCs w:val="21"/>
          <w:highlight w:val="none"/>
        </w:rPr>
        <w:t xml:space="preserve">要求，质疑函范本在财政部官网上提供下载。</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 提交质疑函同时应当附如下证明材料：</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11.6.1对采购文件提出质疑的供应商提供参加本项目的“投标供应商确认函”；</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11.6.2质疑供应商的营业执照复印件加盖单位公章；</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11.6.3质疑供应商法定代表人身份证复印件加盖单位公章；</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 供应商为自然人的，应当由本人签字；供应商为法人或者其他组织的，应当由法定代表人、主要负责人，或者其授权代表签字或者盖章，并加盖公章。 </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 供应商对招标项目技术、商务及其他要求，以及评审细则、标准提出询问或质疑的，应向采购人提出；供应商对采购过程及中标结果提出询问或质疑的，应向</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代理</w:t>
      </w:r>
      <w:r>
        <w:rPr>
          <w:rFonts w:hint="eastAsia" w:ascii="宋体" w:hAnsi="宋体" w:cs="宋体"/>
          <w:color w:val="auto"/>
          <w:sz w:val="21"/>
          <w:szCs w:val="21"/>
          <w:highlight w:val="none"/>
          <w:lang w:eastAsia="zh-CN"/>
        </w:rPr>
        <w:t xml:space="preserve">机构</w:t>
      </w:r>
      <w:r>
        <w:rPr>
          <w:rFonts w:hint="eastAsia" w:ascii="宋体" w:hAnsi="宋体" w:eastAsia="宋体" w:cs="宋体"/>
          <w:color w:val="auto"/>
          <w:sz w:val="21"/>
          <w:szCs w:val="21"/>
          <w:highlight w:val="none"/>
        </w:rPr>
        <w:t xml:space="preserve">提出；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 供应商如对本项目提出质疑须在法定质疑期内一次性提出针对同一采购程序环节的质疑，否则不予受理重复质疑。</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 接受质疑函联系方式见采购公告联系事项。</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 投标文件说明</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12、提示与要求</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rPr>
          <w:rFonts w:hint="eastAsia" w:ascii="宋体" w:hAnsi="宋体" w:eastAsia="宋体" w:cs="宋体"/>
          <w:color w:val="auto"/>
          <w:sz w:val="21"/>
          <w:szCs w:val="21"/>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12.2无论是否递交投标文件，投标人都应将招标文件及以后的所有通知、文件等视为保密文件。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 投标文件计量单位和使用文字</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13.1投标文件中所使用的计量单位，除招标文件中有特殊要求外，均应使用中华人民共和国法定计量单位。</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 知识产权</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 投标文件的组成和顺序</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.1封面</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.2开标一览表（具体按照“苏采云”系统填报）</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.3投标分项报价（详见投标文件格式）</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.4资格审查文件</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.4.1关于资格文件的声明函（详见投标文件格式）；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.4.2投标人基本情况表（详见投标文件格式）；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.4.3法定代表人身份证复印件；</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.4.4法定代表人授权委托书（如有授权，详见投标文件格式）；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.4.5授权代理人身份证复印件（如有授权，详见投标文件格式）；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.4.6合格投标人资格证明材料：</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具有独立承担民事责任的能力</w:t>
      </w:r>
      <w:r>
        <w:rPr>
          <w:rFonts w:hint="eastAsia" w:ascii="宋体" w:hAnsi="宋体" w:eastAsia="宋体" w:cs="宋体"/>
          <w:b/>
          <w:bCs w:val="0"/>
          <w:color w:val="auto"/>
          <w:sz w:val="21"/>
          <w:szCs w:val="21"/>
          <w:highlight w:val="none"/>
        </w:rPr>
        <w:t xml:space="preserve">（提供法人或者其他组织的营业执照等证明文件，自然人的身份证明）</w:t>
      </w:r>
      <w:r>
        <w:rPr>
          <w:rFonts w:hint="eastAsia" w:ascii="宋体" w:hAnsi="宋体" w:eastAsia="宋体" w:cs="宋体"/>
          <w:b w:val="0"/>
          <w:bCs/>
          <w:color w:val="auto"/>
          <w:sz w:val="21"/>
          <w:szCs w:val="21"/>
          <w:highlight w:val="none"/>
        </w:rPr>
        <w:t xml:space="preserve">；</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具有良好的商业信誉和健全的财务会计制度</w:t>
      </w:r>
      <w:r>
        <w:rPr>
          <w:rFonts w:hint="eastAsia" w:ascii="宋体" w:hAnsi="宋体" w:eastAsia="宋体" w:cs="宋体"/>
          <w:b/>
          <w:bCs w:val="0"/>
          <w:color w:val="auto"/>
          <w:sz w:val="21"/>
          <w:szCs w:val="21"/>
          <w:highlight w:val="none"/>
        </w:rPr>
        <w:t xml:space="preserve">（提供最近一期的财务状况报告，其他组织、自然人提供银行出具的资信证明）</w:t>
      </w:r>
      <w:r>
        <w:rPr>
          <w:rFonts w:hint="eastAsia" w:ascii="宋体" w:hAnsi="宋体" w:eastAsia="宋体" w:cs="宋体"/>
          <w:b w:val="0"/>
          <w:bCs/>
          <w:color w:val="auto"/>
          <w:sz w:val="21"/>
          <w:szCs w:val="21"/>
          <w:highlight w:val="none"/>
        </w:rPr>
        <w:t xml:space="preserve">；</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具有履行合同所必需的设备和专业技术能力</w:t>
      </w:r>
      <w:r>
        <w:rPr>
          <w:rFonts w:hint="eastAsia" w:ascii="宋体" w:hAnsi="宋体" w:eastAsia="宋体" w:cs="宋体"/>
          <w:b/>
          <w:bCs w:val="0"/>
          <w:color w:val="auto"/>
          <w:sz w:val="21"/>
          <w:szCs w:val="21"/>
          <w:highlight w:val="none"/>
        </w:rPr>
        <w:t xml:space="preserve">（提供履行合同所必需的设备和专业技术能力的证明材料）</w:t>
      </w:r>
      <w:r>
        <w:rPr>
          <w:rFonts w:hint="eastAsia" w:ascii="宋体" w:hAnsi="宋体" w:eastAsia="宋体" w:cs="宋体"/>
          <w:b w:val="0"/>
          <w:bCs/>
          <w:color w:val="auto"/>
          <w:sz w:val="21"/>
          <w:szCs w:val="21"/>
          <w:highlight w:val="none"/>
        </w:rPr>
        <w:t xml:space="preserve">；</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有依法缴纳税收和社会保障资金的良好记录</w:t>
      </w:r>
      <w:r>
        <w:rPr>
          <w:rFonts w:hint="eastAsia" w:ascii="宋体" w:hAnsi="宋体" w:eastAsia="宋体" w:cs="宋体"/>
          <w:b/>
          <w:bCs w:val="0"/>
          <w:color w:val="auto"/>
          <w:sz w:val="21"/>
          <w:szCs w:val="21"/>
          <w:highlight w:val="none"/>
        </w:rPr>
        <w:t xml:space="preserve">（提供参加本次政府采购活动前半年（至少一个月）依法缴纳税收和社会保障资金的证明材料，如相关主管部门证明或银行代扣证明。依法免税或不需要缴纳社会保障资金的，提供相关主管部门出具的证明文件）</w:t>
      </w:r>
      <w:r>
        <w:rPr>
          <w:rFonts w:hint="eastAsia" w:ascii="宋体" w:hAnsi="宋体" w:eastAsia="宋体" w:cs="宋体"/>
          <w:b w:val="0"/>
          <w:bCs/>
          <w:color w:val="auto"/>
          <w:sz w:val="21"/>
          <w:szCs w:val="21"/>
          <w:highlight w:val="none"/>
        </w:rPr>
        <w:t xml:space="preserve">；</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参加政府采购活动前三年内，在经营活动中没有重大违法记录</w:t>
      </w:r>
      <w:r>
        <w:rPr>
          <w:rFonts w:hint="eastAsia" w:ascii="宋体" w:hAnsi="宋体" w:eastAsia="宋体" w:cs="宋体"/>
          <w:b/>
          <w:bCs w:val="0"/>
          <w:color w:val="auto"/>
          <w:sz w:val="21"/>
          <w:szCs w:val="21"/>
          <w:highlight w:val="none"/>
        </w:rPr>
        <w:t xml:space="preserve">（提供参加本次政府采购活动前3年内在经营活动中没有重大违法记录的书面声明）</w:t>
      </w:r>
      <w:r>
        <w:rPr>
          <w:rFonts w:hint="eastAsia" w:ascii="宋体" w:hAnsi="宋体" w:eastAsia="宋体" w:cs="宋体"/>
          <w:b w:val="0"/>
          <w:bCs/>
          <w:color w:val="auto"/>
          <w:sz w:val="21"/>
          <w:szCs w:val="21"/>
          <w:highlight w:val="none"/>
        </w:rPr>
        <w:t xml:space="preserve">；</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.4.7特定资格条件，投标人证明其符合招标文件规定的投标人特定资格条件的证书、证明和文件材料（如有）；</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.4.8其它有关资格证明文件（如有）。</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.5符合性审查文件</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.5.1投标函（详见投标文件格式）；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.5.</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《服务要求偏离表》（详见投标文件格式）；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.5.</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《商务条款偏离表》（详见投标文件格式）；</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.5.</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其他有关符合性证明的文件（如有）；</w:t>
      </w:r>
      <w:r/>
    </w:p>
    <w:p>
      <w:pPr>
        <w:ind w:firstLine="316"/>
        <w:spacing w:line="440" w:lineRule="exact"/>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rPr>
        <w:t xml:space="preserve">.6综合评审文件（具体模块以系统生成为准） </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.6.1</w:t>
      </w:r>
      <w:r>
        <w:rPr>
          <w:rFonts w:hint="eastAsia" w:ascii="宋体" w:hAnsi="宋体" w:eastAsia="宋体" w:cs="宋体"/>
          <w:b w:val="0"/>
          <w:bCs/>
          <w:color w:val="auto"/>
          <w:sz w:val="21"/>
          <w:szCs w:val="21"/>
          <w:highlight w:val="none"/>
          <w:lang w:val="en-US" w:eastAsia="zh-CN"/>
        </w:rPr>
        <w:t xml:space="preserve">针对本项目的</w:t>
      </w:r>
      <w:r>
        <w:rPr>
          <w:rFonts w:hint="eastAsia" w:ascii="宋体" w:hAnsi="宋体" w:eastAsia="宋体" w:cs="宋体"/>
          <w:b w:val="0"/>
          <w:bCs/>
          <w:color w:val="auto"/>
          <w:sz w:val="21"/>
          <w:szCs w:val="21"/>
          <w:highlight w:val="none"/>
        </w:rPr>
        <w:t xml:space="preserve">服务方案</w:t>
      </w:r>
      <w:r>
        <w:rPr>
          <w:rFonts w:hint="eastAsia" w:ascii="宋体" w:hAnsi="宋体" w:eastAsia="宋体" w:cs="宋体"/>
          <w:b w:val="0"/>
          <w:bCs/>
          <w:color w:val="auto"/>
          <w:sz w:val="21"/>
          <w:szCs w:val="21"/>
          <w:highlight w:val="none"/>
          <w:lang w:val="en-US" w:eastAsia="zh-CN"/>
        </w:rPr>
        <w:t xml:space="preserve">等</w:t>
      </w:r>
      <w:r>
        <w:rPr>
          <w:rFonts w:hint="eastAsia" w:ascii="宋体" w:hAnsi="宋体" w:eastAsia="宋体" w:cs="宋体"/>
          <w:b w:val="0"/>
          <w:bCs/>
          <w:color w:val="auto"/>
          <w:sz w:val="21"/>
          <w:szCs w:val="21"/>
          <w:highlight w:val="none"/>
        </w:rPr>
        <w:t xml:space="preserve">；</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.6.2项目人员配置表及证明材料；</w:t>
      </w:r>
      <w:r/>
    </w:p>
    <w:p>
      <w:pPr>
        <w:ind w:firstLine="315"/>
        <w:spacing w:line="440" w:lineRule="exact"/>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15.6.3</w:t>
      </w:r>
      <w:r>
        <w:rPr>
          <w:rFonts w:hint="eastAsia" w:ascii="宋体" w:hAnsi="宋体" w:eastAsia="宋体" w:cs="宋体"/>
          <w:color w:val="auto"/>
          <w:sz w:val="21"/>
          <w:szCs w:val="21"/>
          <w:highlight w:val="none"/>
          <w:lang w:val="en-US" w:eastAsia="zh-CN"/>
        </w:rPr>
        <w:t xml:space="preserve">相关证书一览表</w:t>
      </w:r>
      <w:r>
        <w:rPr>
          <w:rFonts w:hint="eastAsia" w:ascii="宋体" w:hAnsi="宋体" w:eastAsia="宋体" w:cs="宋体"/>
          <w:b w:val="0"/>
          <w:bCs/>
          <w:color w:val="auto"/>
          <w:sz w:val="21"/>
          <w:szCs w:val="21"/>
          <w:highlight w:val="none"/>
        </w:rPr>
        <w:t xml:space="preserve">及证明材料</w:t>
      </w:r>
      <w:r>
        <w:rPr>
          <w:rFonts w:hint="eastAsia" w:ascii="宋体" w:hAnsi="宋体" w:eastAsia="宋体" w:cs="宋体"/>
          <w:b w:val="0"/>
          <w:bCs/>
          <w:color w:val="auto"/>
          <w:sz w:val="21"/>
          <w:szCs w:val="21"/>
          <w:highlight w:val="none"/>
          <w:lang w:eastAsia="zh-CN"/>
        </w:rPr>
        <w:t xml:space="preserve">；</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.6.</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类似项目业绩一览表及证明资料；</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.6.</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招标文件及评分标准中要求提供的其他相关材料；</w:t>
      </w:r>
      <w:r/>
    </w:p>
    <w:p>
      <w:pPr>
        <w:ind w:firstLine="315"/>
        <w:spacing w:line="44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.6.</w:t>
      </w:r>
      <w:r>
        <w:rPr>
          <w:rFonts w:hint="eastAsia" w:ascii="宋体" w:hAnsi="宋体" w:eastAsia="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rPr>
        <w:t xml:space="preserve">其他需投标人对本次投标的详细说明（投标人视各自的情况自行编制）。</w:t>
      </w:r>
      <w:r/>
    </w:p>
    <w:p>
      <w:pPr>
        <w:ind w:firstLine="316"/>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注：（1）以上1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.4.1-1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ind w:firstLine="316"/>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（2）以上1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.5.1-1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.5.5为符合性审查须提供的资料，投标人必须提供并加盖电子公章。否则，投标文件将被认定为未实质性响应。</w:t>
      </w:r>
      <w:r/>
    </w:p>
    <w:p>
      <w:pPr>
        <w:ind w:firstLine="316"/>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（3）投标人所提交的资料的完整与否，将直接影响投标人的评分。</w:t>
      </w:r>
      <w:r/>
    </w:p>
    <w:p>
      <w:pPr>
        <w:ind w:firstLine="316"/>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（4）制作电子投标文件时必须与投标文件制作软件目录一一对应，将相关资料上传至相应模块。</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16. 投标文件编制要求   </w:t>
      </w:r>
      <w:r>
        <w:rPr>
          <w:rFonts w:hint="eastAsia" w:ascii="宋体" w:hAnsi="宋体" w:eastAsia="宋体" w:cs="宋体"/>
          <w:color w:val="auto"/>
          <w:sz w:val="21"/>
          <w:szCs w:val="21"/>
          <w:highlight w:val="none"/>
        </w:rPr>
        <w:t xml:space="preserve"> </w:t>
      </w:r>
      <w:r/>
    </w:p>
    <w:p>
      <w:pPr>
        <w:ind w:firstLine="371"/>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16.1</w:t>
      </w:r>
      <w:r>
        <w:rPr>
          <w:rFonts w:hint="eastAsia" w:ascii="宋体" w:hAnsi="宋体" w:eastAsia="宋体" w:cs="宋体"/>
          <w:b/>
          <w:color w:val="auto"/>
          <w:sz w:val="21"/>
          <w:szCs w:val="21"/>
          <w:highlight w:val="none"/>
        </w:rPr>
        <w:t xml:space="preserve">电子投标文件编制要求：</w:t>
      </w:r>
      <w:r>
        <w:rPr>
          <w:rFonts w:hint="eastAsia" w:ascii="宋体" w:hAnsi="宋体" w:eastAsia="宋体" w:cs="宋体"/>
          <w:color w:val="auto"/>
          <w:sz w:val="21"/>
          <w:szCs w:val="21"/>
          <w:highlight w:val="none"/>
        </w:rPr>
        <w:t xml:space="preserve">投标人应使用</w:t>
      </w:r>
      <w:r>
        <w:rPr>
          <w:rFonts w:hint="eastAsia" w:ascii="宋体" w:hAnsi="宋体" w:eastAsia="宋体" w:cs="宋体"/>
          <w:b/>
          <w:color w:val="auto"/>
          <w:sz w:val="21"/>
          <w:szCs w:val="21"/>
          <w:highlight w:val="none"/>
        </w:rPr>
        <w:t xml:space="preserve">招标文件要求的投标文件制作软件制作电子投标文件</w:t>
      </w:r>
      <w:r>
        <w:rPr>
          <w:rFonts w:hint="eastAsia" w:ascii="宋体" w:hAnsi="宋体" w:eastAsia="宋体" w:cs="宋体"/>
          <w:color w:val="auto"/>
          <w:sz w:val="21"/>
          <w:szCs w:val="21"/>
          <w:highlight w:val="none"/>
        </w:rPr>
        <w:t xml:space="preserve">，电子投标文件按招标文件规定的格式制作，如果未按要求制作上传，可能导致投标无效。投标文件制作软件会制作成两个文件，分别是加密文件（.SZTF）和非加密文件（.nSZTF），系统中上传加密文件（.SZTF）。</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 投标报价（编制）要求的说明</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17.1除非合同中另有规定，投标人对《开标一览表》中的全部货物和服务的报价应包括完成该项工作所需的人工费（包括人员工资、保险等）、</w:t>
      </w:r>
      <w:r>
        <w:rPr>
          <w:rFonts w:hint="eastAsia" w:ascii="宋体" w:hAnsi="宋体" w:eastAsia="宋体" w:cs="宋体"/>
          <w:color w:val="auto"/>
          <w:sz w:val="21"/>
          <w:szCs w:val="21"/>
          <w:highlight w:val="none"/>
          <w:lang w:val="en-US" w:eastAsia="zh-CN"/>
        </w:rPr>
        <w:t xml:space="preserve">养护费、</w:t>
      </w:r>
      <w:r>
        <w:rPr>
          <w:rFonts w:hint="eastAsia" w:ascii="宋体" w:hAnsi="宋体" w:eastAsia="宋体" w:cs="宋体"/>
          <w:color w:val="auto"/>
          <w:sz w:val="21"/>
          <w:szCs w:val="21"/>
          <w:highlight w:val="none"/>
        </w:rPr>
        <w:t xml:space="preserve">高密树枝修剪专项费、公众责任保险费、</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rPr>
        <w:t xml:space="preserve">工具和车辆等相关机械设备使用费、耗材、劳保、预留金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各种税费以及投标人企业利润和政策性文件规定及合同包含的所有风险、责任等各项应有费用以及投标人认为应纳入的其它一切费用。</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投标人应对招标文件内所要采购的全部内容进行报价，只投其中部分内容者，其标书将被拒绝。但如果招标文件要求分采购包投标的，则投标人可以按招标文件要求有选择地只投其中一个或几个采购包，也可以投全部采购包，但各采购包应分别计算填写</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一项投标内容只允许一个报价，</w:t>
      </w:r>
      <w:r>
        <w:rPr>
          <w:rFonts w:hint="eastAsia" w:ascii="宋体" w:hAnsi="宋体" w:eastAsia="宋体" w:cs="宋体"/>
          <w:color w:val="auto"/>
          <w:sz w:val="21"/>
          <w:szCs w:val="21"/>
          <w:highlight w:val="none"/>
          <w:lang w:val="en-US" w:eastAsia="zh-CN"/>
        </w:rPr>
        <w:t xml:space="preserve">采购人或</w:t>
      </w:r>
      <w:r>
        <w:rPr>
          <w:rFonts w:hint="eastAsia" w:ascii="宋体" w:hAnsi="宋体" w:eastAsia="宋体" w:cs="宋体"/>
          <w:color w:val="auto"/>
          <w:sz w:val="21"/>
          <w:szCs w:val="21"/>
          <w:highlight w:val="none"/>
        </w:rPr>
        <w:t xml:space="preserve">采购代理机构不接受任何有选择性的投标报价。</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17.4投标文件报价中的单价和总价全部采用人民币表示，除非合同的特殊条款另有规定。</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17.5最低的投标报价或最高的折扣比例是中标的重要条件，但不是中标的唯一条件。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 投标保证金</w:t>
      </w:r>
      <w:r/>
    </w:p>
    <w:p>
      <w:pPr>
        <w:ind w:firstLine="315"/>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本项目</w:t>
      </w:r>
      <w:r>
        <w:rPr>
          <w:rFonts w:hint="eastAsia" w:ascii="宋体" w:hAnsi="宋体" w:cs="宋体"/>
          <w:color w:val="auto"/>
          <w:sz w:val="21"/>
          <w:szCs w:val="21"/>
          <w:highlight w:val="none"/>
          <w:lang w:eastAsia="zh-CN"/>
        </w:rPr>
        <w:t xml:space="preserve">无需</w:t>
      </w:r>
      <w:r>
        <w:rPr>
          <w:rFonts w:hint="eastAsia" w:ascii="宋体" w:hAnsi="宋体" w:eastAsia="宋体" w:cs="宋体"/>
          <w:color w:val="auto"/>
          <w:sz w:val="21"/>
          <w:szCs w:val="21"/>
          <w:highlight w:val="none"/>
        </w:rPr>
        <w:t xml:space="preserve">缴纳投标保证金</w:t>
      </w:r>
      <w:r>
        <w:rPr>
          <w:rFonts w:hint="eastAsia" w:ascii="宋体" w:hAnsi="宋体" w:eastAsia="宋体" w:cs="宋体"/>
          <w:color w:val="auto"/>
          <w:sz w:val="21"/>
          <w:szCs w:val="21"/>
          <w:highlight w:val="none"/>
          <w:lang w:eastAsia="zh-CN"/>
        </w:rPr>
        <w:t xml:space="preserve">。</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 投标文件的有效期</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19.1在本招标文件规定的开标之日起九十（90）天内，投标人所提交的投标文件应保持有效。</w:t>
      </w:r>
      <w:r>
        <w:rPr>
          <w:rFonts w:hint="eastAsia" w:ascii="宋体" w:hAnsi="宋体" w:eastAsia="宋体" w:cs="宋体"/>
          <w:b/>
          <w:color w:val="auto"/>
          <w:sz w:val="21"/>
          <w:szCs w:val="21"/>
          <w:highlight w:val="none"/>
        </w:rPr>
        <w:t xml:space="preserve">有效期短于这个规定期限的投标文件，将被认定为未实质性响应招标文件要求。</w:t>
      </w:r>
      <w:r/>
    </w:p>
    <w:p>
      <w:pPr>
        <w:ind w:firstLine="315"/>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19.2在特殊情况下，采购代理机构可与投标人协商延长投标书的有效期。这种要求和答复都应以书面形式进行。同意延长有效期的投标人不能修改投标文件。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 投标文件的提交、</w:t>
      </w:r>
      <w:r>
        <w:rPr>
          <w:rFonts w:hint="eastAsia" w:ascii="宋体" w:hAnsi="宋体" w:eastAsia="宋体" w:cs="宋体"/>
          <w:b/>
          <w:color w:val="auto"/>
          <w:sz w:val="21"/>
          <w:szCs w:val="21"/>
          <w:highlight w:val="none"/>
          <w:lang w:val="en-US" w:eastAsia="zh-CN"/>
        </w:rPr>
        <w:t xml:space="preserve">补充、</w:t>
      </w:r>
      <w:r>
        <w:rPr>
          <w:rFonts w:hint="eastAsia" w:ascii="宋体" w:hAnsi="宋体" w:eastAsia="宋体" w:cs="宋体"/>
          <w:b/>
          <w:color w:val="auto"/>
          <w:sz w:val="21"/>
          <w:szCs w:val="21"/>
          <w:highlight w:val="none"/>
        </w:rPr>
        <w:t xml:space="preserve">撤回和修改</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20. 投标文件的上传、提交</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20.1</w:t>
      </w:r>
      <w:r>
        <w:rPr>
          <w:rFonts w:hint="eastAsia" w:ascii="宋体" w:hAnsi="宋体" w:eastAsia="宋体" w:cs="宋体"/>
          <w:b/>
          <w:color w:val="auto"/>
          <w:sz w:val="21"/>
          <w:szCs w:val="21"/>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b w:val="0"/>
          <w:bCs/>
          <w:color w:val="auto"/>
          <w:sz w:val="21"/>
          <w:szCs w:val="21"/>
          <w:highlight w:val="none"/>
        </w:rPr>
        <w:t xml:space="preserve">投标人提交投标文件的时间以系统收到上传的电子投标文件时间为准，投标人应充分考虑到网络环境</w:t>
      </w:r>
      <w:r>
        <w:rPr>
          <w:rFonts w:hint="eastAsia" w:ascii="宋体" w:hAnsi="宋体" w:eastAsia="宋体" w:cs="宋体"/>
          <w:color w:val="auto"/>
          <w:sz w:val="21"/>
          <w:szCs w:val="21"/>
          <w:highlight w:val="none"/>
        </w:rPr>
        <w:t xml:space="preserve">、网络带宽等风险因素，如因投标人自身原因造成的电子投标文件上传不成功由投标人自行承担全部责任。</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20.2投标人通过</w:t>
      </w:r>
      <w:r>
        <w:rPr>
          <w:rFonts w:hint="eastAsia" w:ascii="宋体" w:hAnsi="宋体" w:eastAsia="宋体" w:cs="宋体"/>
          <w:b/>
          <w:bCs/>
          <w:color w:val="auto"/>
          <w:sz w:val="21"/>
          <w:szCs w:val="21"/>
          <w:highlight w:val="none"/>
          <w:lang w:val="en-US" w:eastAsia="zh-CN"/>
        </w:rPr>
        <w:t xml:space="preserve">“苏采云”系统不见面开标大厅在线参与开标活动。（具体操作详见《苏采云系统供应商操作手册》，网址链接https://czju.suzhou.gov.cn/zfcg/html/content/20231220161910031.shtml）</w:t>
      </w:r>
      <w:r/>
    </w:p>
    <w:p>
      <w:pPr>
        <w:numPr>
          <w:ilvl w:val="0"/>
          <w:numId w:val="8"/>
        </w:num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投标截止时间</w:t>
      </w:r>
      <w:r/>
    </w:p>
    <w:p>
      <w:pPr>
        <w:numPr>
          <w:ilvl w:val="0"/>
          <w:numId w:val="0"/>
        </w:numPr>
        <w:ind w:firstLine="210"/>
        <w:spacing w:line="44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b/>
          <w:color w:val="auto"/>
          <w:sz w:val="21"/>
          <w:szCs w:val="21"/>
          <w:highlight w:val="none"/>
        </w:rPr>
        <w:t xml:space="preserve">电子投标文件必须按招标公告中规定的网上投标截止时间前提交</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否则投标无效</w:t>
      </w:r>
      <w:r>
        <w:rPr>
          <w:rFonts w:hint="eastAsia" w:ascii="宋体" w:hAnsi="宋体" w:eastAsia="宋体" w:cs="宋体"/>
          <w:color w:val="auto"/>
          <w:sz w:val="21"/>
          <w:szCs w:val="21"/>
          <w:highlight w:val="none"/>
        </w:rPr>
        <w:t xml:space="preserve">。</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21.2采购代理机构推迟投标截止时间时，应以更正公告的形式，通知所有投标人。在这种情况下，采购代理机构和投标人的权利和义务将受到新的截止期的约束。</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21.3在投标截止时间止，采购代理机构于本项目（或采购包）收到的电子投标文件</w:t>
      </w:r>
      <w:r>
        <w:rPr>
          <w:rFonts w:hint="eastAsia" w:ascii="宋体" w:hAnsi="宋体" w:eastAsia="宋体" w:cs="宋体"/>
          <w:b/>
          <w:color w:val="auto"/>
          <w:sz w:val="21"/>
          <w:szCs w:val="21"/>
          <w:highlight w:val="none"/>
        </w:rPr>
        <w:t xml:space="preserve">少于三份</w:t>
      </w:r>
      <w:r>
        <w:rPr>
          <w:rFonts w:hint="eastAsia" w:ascii="宋体" w:hAnsi="宋体" w:eastAsia="宋体" w:cs="宋体"/>
          <w:color w:val="auto"/>
          <w:sz w:val="21"/>
          <w:szCs w:val="21"/>
          <w:highlight w:val="none"/>
        </w:rPr>
        <w:t xml:space="preserve">的，采购代理机构有权宣布本项目（或</w:t>
      </w:r>
      <w:r>
        <w:rPr>
          <w:rFonts w:hint="eastAsia" w:ascii="宋体" w:hAnsi="宋体" w:eastAsia="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rPr>
        <w:t xml:space="preserve">）招标失败。</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 投标文件的修改和撤回</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22.1投标人在提交投标文件截止时间前，可对其投标文件进行撤回或修改。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23.2开标后投标人不得撤回投标。</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六、开标和评标</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 开标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23.1采购代理机构按采购公告规定的时间、地点主持不见面开标活动。开标仪式由采购代理机构、采购人等主持。</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w:t>
      </w:r>
      <w:r>
        <w:rPr>
          <w:rFonts w:hint="eastAsia" w:ascii="宋体" w:hAnsi="宋体" w:eastAsia="宋体" w:cs="宋体"/>
          <w:b/>
          <w:color w:val="auto"/>
          <w:sz w:val="21"/>
          <w:szCs w:val="21"/>
          <w:highlight w:val="none"/>
        </w:rPr>
        <w:t xml:space="preserve">参加开标的投标法定代表人或授权代理人须在项目开标前登录不见面开标系统，进入网上开标大厅，做好相关准备工作。</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rPr>
          <w:rFonts w:hint="eastAsia" w:ascii="宋体" w:hAnsi="宋体" w:eastAsia="宋体" w:cs="宋体"/>
          <w:b/>
          <w:color w:val="auto"/>
          <w:sz w:val="21"/>
          <w:szCs w:val="21"/>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23.4采购代理机构在开标仪式上，将公布投标人的名称、投标价格，并将作唱标记录。</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w:t>
      </w:r>
      <w:r>
        <w:rPr>
          <w:rFonts w:hint="eastAsia" w:ascii="宋体" w:hAnsi="宋体" w:eastAsia="宋体" w:cs="宋体"/>
          <w:color w:val="auto"/>
          <w:sz w:val="21"/>
          <w:szCs w:val="21"/>
          <w:highlight w:val="none"/>
        </w:rPr>
        <w:t xml:space="preserve">投标人代表对开标过程和开标记录有疑义，以及认为采购人、采购代理机构相关工作人员有需要回避的情形的，</w:t>
      </w:r>
      <w:r>
        <w:rPr>
          <w:rFonts w:hint="eastAsia" w:ascii="宋体" w:hAnsi="宋体" w:eastAsia="宋体" w:cs="宋体"/>
          <w:b/>
          <w:color w:val="auto"/>
          <w:sz w:val="21"/>
          <w:szCs w:val="21"/>
          <w:highlight w:val="none"/>
        </w:rPr>
        <w:t xml:space="preserve">应通过不见面开标大厅提出</w:t>
      </w:r>
      <w:r>
        <w:rPr>
          <w:rFonts w:hint="eastAsia" w:ascii="宋体" w:hAnsi="宋体" w:eastAsia="宋体" w:cs="宋体"/>
          <w:color w:val="auto"/>
          <w:sz w:val="21"/>
          <w:szCs w:val="21"/>
          <w:highlight w:val="none"/>
        </w:rPr>
        <w:t xml:space="preserve">询问或者回避申请。采购人、采购代理机构对投标人代表提出的询问或者回避申请应当及时处理。</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 评标委员会</w:t>
      </w:r>
      <w:r>
        <w:rPr>
          <w:rFonts w:hint="eastAsia" w:ascii="宋体" w:hAnsi="宋体" w:eastAsia="宋体" w:cs="宋体"/>
          <w:b/>
          <w:color w:val="auto"/>
          <w:sz w:val="21"/>
          <w:szCs w:val="21"/>
          <w:highlight w:val="none"/>
        </w:rPr>
        <w:tab/>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24.1评标委员会由采购人或委托采购代理机构依法组建，负责本项目的评标事务。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24.2评标委员会独立履行下列职责：</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24.2.1审查投标文件是否符合招标文件的商务、技术等实质性要求，并作出评价；</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24.2.2可以要求投标供应商对投标文件有关事项作出解释或澄清；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24.2.3推荐中标候选供应商名单，或者受采购人委托按照事先确定的办法直接确定中标供应商；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24.2.4向</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采购代理机构或者有关部门报告非法干预评标工作的行为；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24.3评标委员会成员应当履行下列义务：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24.3.1遵纪守法，客观、公正、廉洁地履行职责；</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24.3.2按照招标文件规定的评标办法和评标标准进行评标，对评审意见承担个人责任；</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24.3.3对评标过程和结果，以及投标人的商业秘密保密；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24.3.4参与评标报告的起草；</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24.3.5配合</w:t>
      </w:r>
      <w:r>
        <w:rPr>
          <w:rFonts w:hint="eastAsia" w:ascii="宋体" w:hAnsi="宋体" w:eastAsia="宋体" w:cs="宋体"/>
          <w:color w:val="auto"/>
          <w:sz w:val="21"/>
          <w:szCs w:val="21"/>
          <w:highlight w:val="none"/>
          <w:lang w:val="en-US" w:eastAsia="zh-CN"/>
        </w:rPr>
        <w:t xml:space="preserve">采购人和</w:t>
      </w:r>
      <w:r>
        <w:rPr>
          <w:rFonts w:hint="eastAsia" w:ascii="宋体" w:hAnsi="宋体" w:eastAsia="宋体" w:cs="宋体"/>
          <w:color w:val="auto"/>
          <w:sz w:val="21"/>
          <w:szCs w:val="21"/>
          <w:highlight w:val="none"/>
        </w:rPr>
        <w:t xml:space="preserve">采购代理机构答复投标供应商提出的质疑；</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24.3.6配合相关部门的投诉处理工作；</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 评标内容的保密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 在投标文件的审查、澄清、评价和比较以及授予合同的过程中，投标人对采购代理机构和评标委员会成员施加影响的任何行为，都将取消其投标资格。</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26.对投标文件初审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26.1投标文件初审分为资格性检查和符合性检查。</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26.1.1资格性检查。依据法律法规和招标文件的规定，由采购人</w:t>
      </w:r>
      <w:r>
        <w:rPr>
          <w:rFonts w:hint="eastAsia" w:ascii="宋体" w:hAnsi="宋体" w:eastAsia="宋体" w:cs="宋体"/>
          <w:color w:val="auto"/>
          <w:sz w:val="21"/>
          <w:szCs w:val="21"/>
          <w:highlight w:val="none"/>
          <w:lang w:val="en-US" w:eastAsia="zh-CN"/>
        </w:rPr>
        <w:t xml:space="preserve">或采购人委托采购代理机构</w:t>
      </w:r>
      <w:r>
        <w:rPr>
          <w:rFonts w:hint="eastAsia" w:ascii="宋体" w:hAnsi="宋体" w:eastAsia="宋体" w:cs="宋体"/>
          <w:color w:val="auto"/>
          <w:sz w:val="21"/>
          <w:szCs w:val="21"/>
          <w:highlight w:val="none"/>
        </w:rPr>
        <w:t xml:space="preserve">对投标文件中的资格证明文件进行审查，未通过资格审查的视为无效投标。</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26.1.2 </w:t>
      </w:r>
      <w:r>
        <w:rPr>
          <w:rFonts w:hint="eastAsia" w:ascii="宋体" w:hAnsi="宋体" w:eastAsia="宋体" w:cs="宋体"/>
          <w:color w:val="auto"/>
          <w:sz w:val="21"/>
          <w:szCs w:val="21"/>
          <w:highlight w:val="none"/>
          <w:lang w:val="zh-CN"/>
        </w:rPr>
        <w:t xml:space="preserve">关于信用记录查询：</w:t>
      </w:r>
      <w:r/>
    </w:p>
    <w:p>
      <w:pPr>
        <w:ind w:firstLine="50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在“信用中国”网站（www.creditchina.gov.cn）对供应商进行信用查询，以确定投标人是否具备投标资格,查询结果留存并归档。</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26.1.2.1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26.1.2.2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26.1.2.3供应商若在经营活动中受到罚款的，请携带相关地方、部门对较大数额认定标准的证明材料，与投标文件一并提交。若无法提供，则可能承担响应无效等相应不利后果。</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26.1.2.4对存在失信信息的供应商，由失信供应商进行确认。同时，采购代理机构工作人员应根据评审小组确认的失信信息，</w:t>
      </w:r>
      <w:r>
        <w:rPr>
          <w:rFonts w:hint="eastAsia" w:ascii="宋体" w:hAnsi="宋体" w:cs="宋体"/>
          <w:color w:val="auto"/>
          <w:sz w:val="21"/>
          <w:szCs w:val="21"/>
          <w:highlight w:val="none"/>
          <w:lang w:eastAsia="zh-CN"/>
        </w:rPr>
        <w:t xml:space="preserve">登录到</w:t>
      </w:r>
      <w:r>
        <w:rPr>
          <w:rFonts w:hint="eastAsia" w:ascii="宋体" w:hAnsi="宋体" w:eastAsia="宋体" w:cs="宋体"/>
          <w:color w:val="auto"/>
          <w:sz w:val="21"/>
          <w:szCs w:val="21"/>
          <w:highlight w:val="none"/>
        </w:rPr>
        <w:t xml:space="preserve">相关来源网站页面进行复核并打印，作为证据留存。</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26.1.3符合性检查。依据招标文件的规定，由评委会从投标文件的有效性、完整性和对招标文件的响应程度进行审查，以确定是否对招标文件的实质性要求作出响应。</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26.2.1 不同投标人的投标文件由同一单位或者个人编制；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26.2.2不同投</w:t>
      </w:r>
      <w:r>
        <w:rPr>
          <w:rFonts w:hint="eastAsia" w:ascii="宋体" w:hAnsi="宋体" w:eastAsia="宋体" w:cs="宋体"/>
          <w:color w:val="auto"/>
          <w:sz w:val="21"/>
          <w:szCs w:val="21"/>
          <w:highlight w:val="none"/>
        </w:rPr>
        <w:t xml:space="preserve">标人委托同一单位或者个人办理投标事宜；</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26.2.3不同投标人的投标文件载明的项目管理成员或者联系人员为同一人；</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26.2.4不同投标人的投标文件异常一致或者投标报价呈规律性差异；</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26.2.5不同投标人的投标文件相互混装；</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26.3在详细评标之前，</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26.5</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w:t>
      </w:r>
      <w:r>
        <w:rPr>
          <w:rFonts w:hint="eastAsia" w:ascii="宋体" w:hAnsi="宋体" w:eastAsia="宋体" w:cs="宋体"/>
          <w:color w:val="auto"/>
          <w:sz w:val="21"/>
          <w:szCs w:val="21"/>
          <w:highlight w:val="none"/>
        </w:rPr>
        <w:t xml:space="preserve">评标委员会</w:t>
      </w:r>
      <w:r>
        <w:rPr>
          <w:rFonts w:hint="eastAsia" w:ascii="宋体" w:hAnsi="宋体" w:eastAsia="宋体" w:cs="宋体"/>
          <w:color w:val="auto"/>
          <w:sz w:val="21"/>
          <w:szCs w:val="21"/>
          <w:highlight w:val="none"/>
          <w:lang w:val="zh-CN"/>
        </w:rPr>
        <w:t xml:space="preserve">将对确定为实质性响应的投标进行进一步审核，确定其是否有计算上或累加上的算术错误，修正错误的原则如下：</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26.6.1投标文件中开标一览表内容与投标文件中相应内容不一致的，以开标一览表为准；</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26.6.2大写金额和小写金额不一致的，以大写金额为准；</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26.6.3单价金额小数点或者百分比有明显错位的，以开标一览表的总价为准，并修改单价；</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26.6.4总价金额与按单价汇总金额不一致的，以单价金额计算结果为准。</w:t>
      </w:r>
      <w:r/>
    </w:p>
    <w:p>
      <w:pPr>
        <w:ind w:firstLine="315"/>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不一致的，按照前款规定的顺序修正。评委会将按上述修正错误的方法调整投标文件中的投标报价，并通过苏采云系统告知投标人，调整后的价格应对投标人具有约束力。如果投标人不接受修正后的价格，则其投标将被拒绝。</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26.7投标人在开、评标全过程中应保持通讯畅通，及时登录苏采云系统查阅、答复相关信息。</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26.</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rPr>
        <w:t xml:space="preserve">根据财库〔2026〕2号文件规定，评审过程中出现下列情形之一的，评审委员会应当启动异常低价投标（响应）审查程序: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（1）投标（响应）报价低于全部通过符合性审查供应商投标（响应）报价平均值50%的，即投标（响应）(1-优惠率报价)报价&lt;全部通过符合性审查供应商投标（响应）报价平均值×50%；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（2）投标（响应）报价低于通过符合性审查的次低报价供应商投标（响应）报价50%的，即投标（响应）(1-优惠率报价)报价&lt;通过符合性审查的次低报价供应商投标（响应）报价×50%；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（3）投标（响应）(1-优惠率报价)报价低于采购项目最高限价45%的，即投标（响应）报价&lt;采购项目最高限价×45%；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（4）评审委员会基于专业判断，认为供应商报价过低，有可能影响产品质量或者不能诚信履约的其他情形。 </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26.</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rPr>
        <w:t xml:space="preserve">.1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316"/>
        <w:spacing w:line="44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26.</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rPr>
        <w:t xml:space="preserve">.2、投标（响应）供应商不提供书面说明、证明材料，或者提供的书面说明、证明材料不能证明其报价合理性的，评审委员会应当将其作为无效投标（响应）处理。审查相关情况应当在评审报告中进行记录。</w:t>
      </w:r>
      <w:r/>
    </w:p>
    <w:p>
      <w:pPr>
        <w:ind w:firstLine="316"/>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26.</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lang w:val="zh-CN"/>
        </w:rPr>
        <w:t xml:space="preserve">.3、异常低价审查有关要求，均以财库〔2026〕2号为准。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26.</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CN"/>
        </w:rPr>
        <w:t xml:space="preserve">评标委员会</w:t>
      </w:r>
      <w:r>
        <w:rPr>
          <w:rFonts w:hint="eastAsia" w:ascii="宋体" w:hAnsi="宋体" w:eastAsia="宋体" w:cs="宋体"/>
          <w:color w:val="auto"/>
          <w:sz w:val="21"/>
          <w:szCs w:val="21"/>
          <w:highlight w:val="none"/>
        </w:rPr>
        <w:t xml:space="preserve">对投标文件的判定，只依据投标内容本身，不依靠开标后的任何外来证明。</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评标委员会</w:t>
      </w:r>
      <w:r>
        <w:rPr>
          <w:rFonts w:hint="eastAsia" w:ascii="宋体" w:hAnsi="宋体" w:eastAsia="宋体" w:cs="宋体"/>
          <w:color w:val="auto"/>
          <w:sz w:val="21"/>
          <w:szCs w:val="21"/>
          <w:highlight w:val="none"/>
        </w:rPr>
        <w:t xml:space="preserve">将拒绝被确定为非实质性响应的投标，投标人不能通过修正或撤销不符之处而使其投标成为实质性响应的投标。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根据苏州市财政局《关于贯彻执行绿色采购、促进残疾人就业和支持监狱企业发展有关政策的通知》（苏财购（2019）10号）文件规定（不涉及可忽略此条）：</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本次招标所涉及的产品属于财政部、国家发展改革委、生态环境部、市场监管总局等部门发布的节能产品、环境标志产品政府优先采购和强制采购品目清单的，须采购清单中的产品（含强制采购或优先采购的产品）。</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.2投标人可到中国政府采购网（www.ccgp.gov.cn）查询由国家确定的认证机构出具的、处于有效期之内的节能产品、环境标志产品认证证书和提供有效截图。”</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27.投标的澄清</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27.1</w:t>
      </w:r>
      <w:r>
        <w:rPr>
          <w:rFonts w:hint="eastAsia" w:ascii="宋体" w:hAnsi="宋体" w:eastAsia="宋体" w:cs="宋体"/>
          <w:color w:val="auto"/>
          <w:sz w:val="21"/>
          <w:szCs w:val="21"/>
          <w:highlight w:val="none"/>
          <w:lang w:val="en-US" w:eastAsia="zh-CN"/>
        </w:rPr>
        <w:t xml:space="preserve">对于</w:t>
      </w:r>
      <w:r>
        <w:rPr>
          <w:rFonts w:hint="eastAsia" w:ascii="宋体" w:hAnsi="宋体" w:eastAsia="宋体" w:cs="宋体"/>
          <w:color w:val="auto"/>
          <w:sz w:val="21"/>
          <w:szCs w:val="21"/>
          <w:highlight w:val="none"/>
        </w:rPr>
        <w:t xml:space="preserve">投标文件中含有不明确、同类问题表述不一致或者有明显文字和计算错误的内容，评标委员会应当以书面（或电子件）形式要求投标人作出必要的澄清、说明或者纠正。</w:t>
      </w:r>
      <w:r>
        <w:rPr>
          <w:rFonts w:hint="eastAsia" w:ascii="宋体" w:hAnsi="宋体" w:eastAsia="宋体" w:cs="宋体"/>
          <w:color w:val="auto"/>
          <w:sz w:val="21"/>
          <w:szCs w:val="21"/>
          <w:highlight w:val="none"/>
          <w:lang w:val="en-US" w:eastAsia="zh-CN"/>
        </w:rPr>
        <w:t xml:space="preserve"> </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投标人的澄清、说明或者补正应当采用书面（或电子件）形式，并加盖其单位电子公章。投标人的澄清、说明或者补正不得超出投标文件的范围或者改变投标文件的实质性内容。</w:t>
      </w:r>
      <w:r/>
    </w:p>
    <w:p>
      <w:pPr>
        <w:ind w:firstLine="316"/>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1"/>
          <w:szCs w:val="21"/>
          <w:highlight w:val="none"/>
        </w:rPr>
        <w:t xml:space="preserve">供应商应随时保持系统在线，如因供应商自身原因未在规定时间内提交澄清确认资料的，导致的不利后果由供应商自行承担。）</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28.无效投标和废标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28.1无效投标的具体情形有：</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投标文件未按招标文件要求签署、盖章或电子签章的；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不具备招标文件中规定的资格要求的；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报价超过招标文件中规定的预算金额或者最高限价的；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投标文件含有采购人不能接受的附加条件的；</w:t>
      </w:r>
      <w:r/>
    </w:p>
    <w:p>
      <w:pPr>
        <w:ind w:firstLine="315"/>
        <w:spacing w:line="44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机器码检查中，出现不同投标人投标文件机器码一致情形的；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法律、法规和招标文件规定的其他无效情形。</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28.2有下列情形之一的，视为投标人串通投标，其投标无效：</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28.2.1不同投标人的投标文件由同一单位或者个人编制；</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28.2.2不同投标人委托同一单位或者个人办理投标事宜；</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28.2.3不同投标人的投标文件载明的项目管理成员或者联系人员为同一人；</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28.2.4不同投标人的投标文件异常一致或者投标报价呈规律性差异；</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28.2.5不同投标人的投标文件相互混装。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在招标采购中，出现下列情形之一的，应予废标：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.1符合专业条件的供应商或者对招标文件作实质响应的供应商不足三家的；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.2出现影响采购公正的违法、违规行为的；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.3投标人的报价均超过了采购预算，采购人不能支付的；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.4因重大变故，采购任务取消的。</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废标后，采购人和采购代理机构将把废标的理由通知所有投标人。</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 投标文件的评价和比较</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29.1评标委员会按招标文件规定的评标方法和标准，仅对资格性检查和符合性检查合格的投标文件进行商务和技术评估，综合比较与评价。</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29.2.1服务的质量保证（保障）内容；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29.2.2服务配备的人员；</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29.2.3投标者的资信情况和履约能力；</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29.2.4投标者提供的其他优惠条件；</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29.2.5参与本项目政府采购工作的态度及信誉；</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29.2.6最低的投标报价或最高的折扣比例是中标的重要条件，但不是唯一条件。</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七、授予合同</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 中标供应商的确认</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30.1评标委员会按招标文件规定的评标方法和标准进行详细评审后，按采购人的委托向采购人推荐中标候选</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或根据采购人授权直接确定中标供应商。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30.2经评标委员会评审并确定中标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后，采购人或授权采购代理机构将在规定的时间内将中标结果在相关媒体上予以公告。</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30.4质疑函递交地点及联系方式详见公告内容</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 合同授予标准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31.1采购人将把合同授予其投标文件在实质上响应招标文件要求和按本须知规定评选出的投标人。确定为中标的投标人必须具有实施本合同的能力和资源。</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 中标通知书</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33.1确定出中标人后，采购代理机构在法定时间内向中标人发出中标通知书。</w:t>
      </w:r>
      <w:r>
        <w:rPr>
          <w:rFonts w:hint="eastAsia" w:ascii="宋体" w:hAnsi="宋体" w:eastAsia="宋体" w:cs="宋体"/>
          <w:b/>
          <w:bCs/>
          <w:color w:val="auto"/>
          <w:sz w:val="21"/>
          <w:szCs w:val="21"/>
          <w:highlight w:val="none"/>
        </w:rPr>
        <w:t xml:space="preserve">请中标人在中标结果公告届满之日起30日内,使用CA证书登录“苏采云”系统及时下载中标通知书。</w:t>
      </w:r>
      <w:r>
        <w:rPr>
          <w:rFonts w:hint="eastAsia" w:ascii="宋体" w:hAnsi="宋体" w:eastAsia="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33.2中标通知书将成为合同的组成部分，对采购人和中标人具有同等法律效力。</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33.3中标通知书发出后，采购人不得违法改变中标结果，中标人无正当理由不得放弃中标。</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33.4采购代理机构对未中标供应商不承担解释未中标原因的义务。</w:t>
      </w:r>
      <w:r/>
    </w:p>
    <w:p>
      <w:pPr>
        <w:spacing w:line="44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33.履约保证金</w:t>
      </w:r>
      <w:r/>
    </w:p>
    <w:p>
      <w:pPr>
        <w:ind w:firstLine="315"/>
        <w:spacing w:line="44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33.1</w:t>
      </w:r>
      <w:r>
        <w:rPr>
          <w:rFonts w:hint="eastAsia" w:ascii="宋体" w:hAnsi="宋体" w:eastAsia="宋体" w:cs="宋体"/>
          <w:color w:val="auto"/>
          <w:sz w:val="21"/>
          <w:szCs w:val="21"/>
          <w:highlight w:val="none"/>
          <w:lang w:val="en-US" w:eastAsia="zh-CN"/>
        </w:rPr>
        <w:t xml:space="preserve">本项目不涉及。</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34. 合同的签订</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 采购人与中标人原则上应当在中标通知书发出之日起三十日内，按照招标文件及投标文件确定的事项签订政府采购合同。</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34.2中标供应商应按中标通知书中规定，由法定代表人或授权代理人与采购人代表签订合同，否则按放弃中标权处理。</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34.3签订合同及合同条款应以招标文件和中标供应商的投标文件及其澄清文件为依据。</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34.5依据《政府采购促进中小企业发展管理办法》（财库〔2020〕46号）规定，依据本办法规定享受扶持政策获得政府采购合同的，小微企业不得将合同分包给大中型企业，中型企业不得将合同分包给大型企业。</w:t>
      </w:r>
      <w:r/>
    </w:p>
    <w:p>
      <w:pPr>
        <w:ind w:firstLine="211"/>
        <w:spacing w:line="440" w:lineRule="exact"/>
        <w:rPr>
          <w:rFonts w:hint="eastAsia" w:ascii="宋体" w:hAnsi="宋体" w:eastAsia="宋体" w:cs="宋体"/>
          <w:b/>
          <w:color w:val="auto"/>
          <w:sz w:val="21"/>
          <w:szCs w:val="21"/>
          <w:highlight w:val="none"/>
        </w:rPr>
      </w:pPr>
      <w:r/>
      <w:bookmarkStart w:id="9" w:name="_Toc467507043"/>
      <w:r/>
      <w:bookmarkStart w:id="10" w:name="_Toc158691774"/>
      <w:r/>
      <w:bookmarkStart w:id="11" w:name="_Toc315868058"/>
      <w:r/>
      <w:bookmarkStart w:id="12" w:name="_Toc467507037"/>
      <w:r/>
      <w:bookmarkStart w:id="13" w:name="_Toc315875321"/>
      <w:r>
        <w:rPr>
          <w:rFonts w:hint="eastAsia" w:ascii="宋体" w:hAnsi="宋体" w:eastAsia="宋体" w:cs="宋体"/>
          <w:b/>
          <w:color w:val="auto"/>
          <w:sz w:val="21"/>
          <w:szCs w:val="21"/>
          <w:highlight w:val="none"/>
        </w:rPr>
        <w:t xml:space="preserve">八、政府采购相关政策</w:t>
      </w:r>
      <w:r/>
    </w:p>
    <w:p>
      <w:pPr>
        <w:ind w:firstLine="422"/>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35.</w:t>
      </w:r>
      <w:r>
        <w:rPr>
          <w:rFonts w:hint="eastAsia" w:ascii="宋体" w:hAnsi="宋体" w:eastAsia="宋体" w:cs="宋体"/>
          <w:b/>
          <w:color w:val="auto"/>
          <w:sz w:val="21"/>
          <w:szCs w:val="21"/>
          <w:highlight w:val="none"/>
        </w:rPr>
        <w:t xml:space="preserve">采购本国货物、服务和工程</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政府采购应当采购本国货物、工程和服务。但有《中华人民共和国政府采购法》第十条规定情形的除外。</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.1本项目如接受非本国货物、工程、服务参与投标，则具体要求见《项目需求》。若《项目需求》中不接受采购进口产品，投标人所投产品为进口产品的将被认定为投标无效。</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.2进口产品指通过中国海关报关验放进入中国境内且产自关境外的产品，包括已经进入中国境内的进口产品。关于进口产品的相关规定依据《政府采购进口产品管理办法》（财库〔2007〕119 号）、《关于政府采购进口产品管理有关问题的通知》（财办库〔2008〕248 号）。投标人应保证所投产品可履行合法报通关手续进入中国关境内。</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.3按照《国务院办公厅关于在政府采购中实施本国产品标准及相关政策的通知》（国办发〔2025〕34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4在接受进口产品投标的采购项目或采购包中，提供本国生产的货物的供应商，应当对其提供的产品出具第五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35</w:t>
      </w:r>
      <w:r>
        <w:rPr>
          <w:rFonts w:hint="eastAsia" w:ascii="宋体" w:hAnsi="宋体" w:eastAsia="宋体" w:cs="宋体"/>
          <w:b w:val="0"/>
          <w:bCs/>
          <w:color w:val="auto"/>
          <w:sz w:val="21"/>
          <w:szCs w:val="21"/>
          <w:highlight w:val="none"/>
        </w:rPr>
        <w:t xml:space="preserve">.5对本国产品的支持政策的相关要求：</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36.</w:t>
      </w:r>
      <w:r>
        <w:rPr>
          <w:rFonts w:hint="eastAsia" w:ascii="宋体" w:hAnsi="宋体" w:eastAsia="宋体" w:cs="宋体"/>
          <w:b/>
          <w:color w:val="auto"/>
          <w:sz w:val="21"/>
          <w:szCs w:val="21"/>
          <w:highlight w:val="none"/>
        </w:rPr>
        <w:t xml:space="preserve">支持中小企业发展</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.2在政府采购活动中，供应商提供的服务符合下列情形的，享受中小企业扶持政策：</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（1）服务由中小企业承接，即提供服务的人员为中小企业依照《中华人民共和国劳动合同法》订立劳动合同的从业人员。</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（2）以联合体形式参加政府采购活动，联合体各方均为中小企业的，联合体视同中小企业。其中，联合体各方均为小微企业的，联合体视同小微企业。</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.3根据《财政部 司法部关于政府采购支持监狱企业发展有关问题的通知》（财库〔2014〕68 号），监狱企业视同小型、微型企业。</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.4在政府采购活动中，满足《财政部 民政部 中国残疾人联合会关于促进残疾人就业政府采购政策的通知》（财库〔2017〕141 号）所列条件的残疾人福利性单位视同小型、微型企业。</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5中小企业供应商参加政府采购活动，应当出具标准格式的《中小企业声明函》、监狱企业应当提供省级以上监狱管理局、戒毒管理局（含新疆生产建设兵团）出具的属于监狱企业的证明文件、残疾人福利性单位应当提供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.6实施预留采购份额扶持政策的相关要求：</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（1）对于将采购项目整体或者设置采购包专门面向中小企业的采购项目，投标人应提供标准格式的《中小企业声明函》或监狱企业证明文件或《残疾人福利性单位声明函》。</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（2）对于要求供应商以联合体形式参加采购活动，</w:t>
      </w:r>
      <w:r>
        <w:rPr>
          <w:rFonts w:hint="eastAsia" w:ascii="宋体" w:hAnsi="宋体" w:eastAsia="宋体" w:cs="宋体"/>
          <w:b w:val="0"/>
          <w:bCs/>
          <w:color w:val="auto"/>
          <w:sz w:val="21"/>
          <w:szCs w:val="21"/>
          <w:highlight w:val="none"/>
        </w:rPr>
        <w:t xml:space="preserve">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（3）对小微企业不再执行价格评审优惠。</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.7实施价格评审优惠扶持政策的相关要求：</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（1）对于未预留份额专门面向中小企业采购的采购项目，以及预留份额项目中的非预留部分采购包，按照《政府采购促进中小企业发展管理办法》（财库〔2020〕46 号）、《财政部关于进一步加大政府采购支持中小企业力度的通知》（财库〔2022〕19 号）的规定，对符合要求的小微企业报价给予相应的价格扣除，用扣除后的价格参加评审。投标人应提供标准格式的《中小企业声明函》或监狱企业证明文件或《残疾人福利性单位声明函》。</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（2）接受大中型企业与小微企业组成联合体或者允许大中型企业向一家或者多家小</w:t>
      </w:r>
      <w:r>
        <w:rPr>
          <w:rFonts w:hint="eastAsia" w:ascii="宋体" w:hAnsi="宋体" w:eastAsia="宋体" w:cs="宋体"/>
          <w:b w:val="0"/>
          <w:bCs/>
          <w:color w:val="auto"/>
          <w:sz w:val="21"/>
          <w:szCs w:val="21"/>
          <w:highlight w:val="none"/>
        </w:rPr>
        <w:t xml:space="preserve">微企业分包的采购项目，对于联合协议或者分包意向协议约定小微企业的合同份额占到合同总金额 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 30%。组成联合体或者接受分包的小微企业与联合体内其他企业、分包企业之间存在直接控股、管理关系的，不享受价格扣除优惠政策。</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（3）价格扣除比例对小型企业和微型企业同等对待，不作区分。</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.8本项目是否专门面向中小企业预留采购份额的资格要求：见《招标公告》。</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.9本项目小微企业价格评审优惠的价格扣除比例调整：见《评标办法及</w:t>
      </w:r>
      <w:r>
        <w:rPr>
          <w:rFonts w:hint="eastAsia" w:ascii="宋体" w:hAnsi="宋体" w:eastAsia="宋体" w:cs="宋体"/>
          <w:b w:val="0"/>
          <w:bCs/>
          <w:color w:val="auto"/>
          <w:sz w:val="21"/>
          <w:szCs w:val="21"/>
          <w:highlight w:val="none"/>
          <w:lang w:val="en-US" w:eastAsia="zh-CN"/>
        </w:rPr>
        <w:t xml:space="preserve">评标</w:t>
      </w:r>
      <w:r>
        <w:rPr>
          <w:rFonts w:hint="eastAsia" w:ascii="宋体" w:hAnsi="宋体" w:eastAsia="宋体" w:cs="宋体"/>
          <w:b w:val="0"/>
          <w:bCs/>
          <w:color w:val="auto"/>
          <w:sz w:val="21"/>
          <w:szCs w:val="21"/>
          <w:highlight w:val="none"/>
        </w:rPr>
        <w:t xml:space="preserve">标准》。</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36</w:t>
      </w:r>
      <w:r>
        <w:rPr>
          <w:rFonts w:hint="eastAsia" w:ascii="宋体" w:hAnsi="宋体" w:eastAsia="宋体" w:cs="宋体"/>
          <w:b w:val="0"/>
          <w:bCs/>
          <w:color w:val="auto"/>
          <w:sz w:val="21"/>
          <w:szCs w:val="21"/>
          <w:highlight w:val="none"/>
        </w:rPr>
        <w:t xml:space="preserve">.10采购标的对应的所属行业中小企业划分标准：见《工信部联企业〔2011〕300号通知》。</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37.</w:t>
      </w:r>
      <w:r>
        <w:rPr>
          <w:rFonts w:hint="eastAsia" w:ascii="宋体" w:hAnsi="宋体" w:eastAsia="宋体" w:cs="宋体"/>
          <w:b/>
          <w:color w:val="auto"/>
          <w:sz w:val="21"/>
          <w:szCs w:val="21"/>
          <w:highlight w:val="none"/>
        </w:rPr>
        <w:t xml:space="preserve">支持绿色采购</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37</w:t>
      </w:r>
      <w:r>
        <w:rPr>
          <w:rFonts w:hint="eastAsia" w:ascii="宋体" w:hAnsi="宋体" w:eastAsia="宋体" w:cs="宋体"/>
          <w:b w:val="0"/>
          <w:bCs/>
          <w:color w:val="auto"/>
          <w:sz w:val="21"/>
          <w:szCs w:val="21"/>
          <w:highlight w:val="none"/>
        </w:rPr>
        <w:t xml:space="preserve">.1根据《财政部 </w:t>
      </w:r>
      <w:r>
        <w:rPr>
          <w:rFonts w:hint="eastAsia" w:ascii="宋体" w:hAnsi="宋体" w:eastAsia="宋体" w:cs="宋体"/>
          <w:b w:val="0"/>
          <w:bCs/>
          <w:color w:val="auto"/>
          <w:sz w:val="21"/>
          <w:szCs w:val="21"/>
          <w:highlight w:val="none"/>
        </w:rPr>
        <w:t xml:space="preserve">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37</w:t>
      </w:r>
      <w:r>
        <w:rPr>
          <w:rFonts w:hint="eastAsia" w:ascii="宋体" w:hAnsi="宋体" w:eastAsia="宋体" w:cs="宋体"/>
          <w:b w:val="0"/>
          <w:bCs/>
          <w:color w:val="auto"/>
          <w:sz w:val="21"/>
          <w:szCs w:val="21"/>
          <w:highlight w:val="none"/>
        </w:rPr>
        <w:t xml:space="preserve">.2在《项目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认证证书，不享受优先采购政策。优先采购的具体规定见《评标办法及</w:t>
      </w:r>
      <w:r>
        <w:rPr>
          <w:rFonts w:hint="eastAsia" w:ascii="宋体" w:hAnsi="宋体" w:eastAsia="宋体" w:cs="宋体"/>
          <w:b w:val="0"/>
          <w:bCs/>
          <w:color w:val="auto"/>
          <w:sz w:val="21"/>
          <w:szCs w:val="21"/>
          <w:highlight w:val="none"/>
          <w:lang w:val="en-US" w:eastAsia="zh-CN"/>
        </w:rPr>
        <w:t xml:space="preserve">评标</w:t>
      </w:r>
      <w:r>
        <w:rPr>
          <w:rFonts w:hint="eastAsia" w:ascii="宋体" w:hAnsi="宋体" w:eastAsia="宋体" w:cs="宋体"/>
          <w:b w:val="0"/>
          <w:bCs/>
          <w:color w:val="auto"/>
          <w:sz w:val="21"/>
          <w:szCs w:val="21"/>
          <w:highlight w:val="none"/>
        </w:rPr>
        <w:t xml:space="preserve">标准》（如涉及）。</w:t>
      </w:r>
      <w:r/>
    </w:p>
    <w:p>
      <w:pPr>
        <w:ind w:firstLine="420"/>
        <w:spacing w:line="500" w:lineRule="exact"/>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37</w:t>
      </w:r>
      <w:r>
        <w:rPr>
          <w:rFonts w:hint="eastAsia" w:ascii="宋体" w:hAnsi="宋体" w:eastAsia="宋体" w:cs="宋体"/>
          <w:b w:val="0"/>
          <w:bCs/>
          <w:color w:val="auto"/>
          <w:sz w:val="21"/>
          <w:szCs w:val="21"/>
          <w:highlight w:val="none"/>
        </w:rPr>
        <w:t xml:space="preserve">.3纳入政府采购管理的修缮、装修类项目采购建材的，鼓励采购单位将绿色建材性能、指标等作为实质性条件纳入采购文件和合同，具体性能指标要求参考相关绿色建材政府采购需求标准。</w:t>
      </w:r>
      <w:r/>
    </w:p>
    <w:p>
      <w:pPr>
        <w:ind w:firstLine="420"/>
        <w:spacing w:line="500" w:lineRule="exact"/>
        <w:rPr>
          <w:rFonts w:hint="eastAsia" w:ascii="宋体" w:hAnsi="宋体" w:eastAsia="宋体" w:cs="宋体"/>
          <w:b/>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37</w:t>
      </w:r>
      <w:r>
        <w:rPr>
          <w:rFonts w:hint="eastAsia" w:ascii="宋体" w:hAnsi="宋体" w:eastAsia="宋体" w:cs="宋体"/>
          <w:b w:val="0"/>
          <w:bCs/>
          <w:color w:val="auto"/>
          <w:sz w:val="21"/>
          <w:szCs w:val="21"/>
          <w:highlight w:val="none"/>
        </w:rPr>
        <w:t xml:space="preserve">.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九、其他事项</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.代理服务费</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.1本项目的采购代理服务费和评委费由采购人承担。</w:t>
      </w:r>
      <w:r/>
    </w:p>
    <w:p>
      <w:pPr>
        <w:ind w:firstLine="31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本项目采购代理服务费及专家评审费由（甲方/中标、成交供应商）支付，代理服务费按预算金额100万元以内1.5%、100～500万元1.1%、500～1000万元0.8%、1000～5000万元0.5%按差额定率累进法计算，单个项目代理服务费最低收费标准为3500元；专家评审费按实际发生金额计算。</w:t>
      </w:r>
      <w:r/>
    </w:p>
    <w:p>
      <w:pPr>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9</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监督</w:t>
      </w:r>
      <w:r/>
    </w:p>
    <w:p>
      <w:pPr>
        <w:ind w:firstLine="315"/>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39.1政府有关监督部门将对招投标全过程进行监督。</w:t>
      </w:r>
      <w:r/>
    </w:p>
    <w:p>
      <w:pP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.未尽事宜</w:t>
      </w:r>
      <w:r/>
    </w:p>
    <w:p>
      <w:pPr>
        <w:ind w:firstLine="315"/>
        <w:spacing w:line="440" w:lineRule="exact"/>
        <w:rPr>
          <w:rFonts w:hint="eastAsia" w:ascii="宋体" w:hAnsi="宋体"/>
          <w:color w:val="auto"/>
          <w:sz w:val="24"/>
          <w:szCs w:val="24"/>
          <w:highlight w:val="none"/>
        </w:rPr>
      </w:pP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.1按《中华人民共和国政府采购法》及其他有关法律法规的规定执行。</w:t>
      </w:r>
      <w:r/>
    </w:p>
    <w:p>
      <w:pPr>
        <w:jc w:val="center"/>
        <w:keepLines w:val="0"/>
        <w:pageBreakBefore w:val="0"/>
        <w:spacing w:line="400" w:lineRule="exact"/>
        <w:widowControl w:val="off"/>
        <w:rPr>
          <w:rFonts w:hint="eastAsia" w:ascii="宋体" w:hAnsi="宋体" w:cs="宋体"/>
          <w:b/>
          <w:color w:val="auto"/>
          <w:sz w:val="44"/>
          <w:szCs w:val="44"/>
          <w:highlight w:val="none"/>
        </w:rPr>
      </w:pPr>
      <w:r>
        <w:rPr>
          <w:rFonts w:hint="eastAsia" w:ascii="宋体" w:hAnsi="宋体"/>
          <w:color w:val="auto"/>
          <w:sz w:val="24"/>
          <w:szCs w:val="24"/>
          <w:highlight w:val="none"/>
        </w:rPr>
        <w:br w:type="page" w:clear="all"/>
      </w:r>
      <w:r>
        <w:rPr>
          <w:rFonts w:hint="eastAsia" w:ascii="宋体" w:hAnsi="宋体" w:eastAsia="宋体" w:cs="Times New Roman"/>
          <w:b/>
          <w:color w:val="auto"/>
          <w:sz w:val="32"/>
          <w:szCs w:val="32"/>
          <w:highlight w:val="none"/>
          <w:lang w:val="en-US" w:eastAsia="zh-CN" w:bidi="ar-SA"/>
        </w:rPr>
        <w:t xml:space="preserve">第三部分  项目需求</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一、项目信息：</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1、采购单位：</w:t>
      </w:r>
      <w:r>
        <w:rPr>
          <w:rFonts w:hint="eastAsia" w:ascii="宋体" w:hAnsi="宋体" w:eastAsia="宋体" w:cs="宋体"/>
          <w:color w:val="auto"/>
          <w:sz w:val="21"/>
          <w:szCs w:val="21"/>
          <w:highlight w:val="none"/>
          <w:lang w:eastAsia="zh-CN"/>
        </w:rPr>
        <w:t xml:space="preserve">太仓市公安局</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2026年人身保险服务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3、项目编号：</w:t>
      </w:r>
      <w:r>
        <w:rPr>
          <w:rFonts w:hint="eastAsia" w:ascii="宋体" w:hAnsi="宋体" w:eastAsia="宋体" w:cs="宋体"/>
          <w:color w:val="auto"/>
          <w:sz w:val="21"/>
          <w:szCs w:val="21"/>
          <w:highlight w:val="none"/>
          <w:lang w:eastAsia="zh-CN"/>
        </w:rPr>
        <w:t xml:space="preserve">JSZC-320585-ZFXM-G2026-0008</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4、预算金额：</w:t>
      </w:r>
      <w:r>
        <w:rPr>
          <w:rFonts w:hint="eastAsia" w:ascii="宋体" w:hAnsi="宋体" w:eastAsia="宋体" w:cs="宋体"/>
          <w:color w:val="auto"/>
          <w:sz w:val="21"/>
          <w:szCs w:val="21"/>
          <w:highlight w:val="none"/>
          <w:lang w:eastAsia="zh-CN"/>
        </w:rPr>
        <w:t xml:space="preserve">133.800000万元，（采购包1：50.800000万元；采购包2：50.000000万元；采购包3：33.000000万元）</w:t>
      </w:r>
      <w:r/>
    </w:p>
    <w:p>
      <w:pPr>
        <w:ind w:firstLine="63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最高限价（如有）：</w:t>
      </w:r>
      <w:r>
        <w:rPr>
          <w:rFonts w:hint="eastAsia" w:ascii="宋体" w:hAnsi="宋体" w:eastAsia="宋体" w:cs="宋体"/>
          <w:color w:val="auto"/>
          <w:sz w:val="21"/>
          <w:szCs w:val="21"/>
          <w:highlight w:val="none"/>
          <w:lang w:eastAsia="zh-CN"/>
        </w:rPr>
        <w:t xml:space="preserve">采用</w:t>
      </w:r>
      <w:r>
        <w:rPr>
          <w:rFonts w:hint="eastAsia" w:ascii="宋体" w:hAnsi="宋体" w:eastAsia="宋体" w:cs="宋体"/>
          <w:color w:val="auto"/>
          <w:sz w:val="21"/>
          <w:szCs w:val="21"/>
          <w:highlight w:val="none"/>
          <w:lang w:eastAsia="zh-CN"/>
        </w:rPr>
        <w:t xml:space="preserve">优惠率</w:t>
      </w:r>
      <w:r>
        <w:rPr>
          <w:rFonts w:hint="eastAsia" w:ascii="宋体" w:hAnsi="宋体" w:eastAsia="宋体" w:cs="宋体"/>
          <w:color w:val="auto"/>
          <w:sz w:val="21"/>
          <w:szCs w:val="21"/>
          <w:highlight w:val="none"/>
          <w:lang w:eastAsia="zh-CN"/>
        </w:rPr>
        <w:t xml:space="preserve">报价，单价最高限价：采购包1：民警300元/人，民警子女200元/人；采购包2/采购包3：辅警200元/人，民警配偶200元/人</w:t>
      </w:r>
      <w:r>
        <w:rPr>
          <w:rFonts w:hint="eastAsia" w:ascii="宋体" w:hAnsi="宋体" w:eastAsia="宋体" w:cs="宋体"/>
          <w:color w:val="auto"/>
          <w:sz w:val="21"/>
          <w:szCs w:val="21"/>
          <w:highlight w:val="none"/>
        </w:rPr>
        <w:t xml:space="preserve">。</w:t>
      </w:r>
      <w:r/>
    </w:p>
    <w:p>
      <w:pPr>
        <w:numPr>
          <w:ilvl w:val="0"/>
          <w:numId w:val="0"/>
        </w:num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5、合同履行期限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一年</w:t>
      </w:r>
      <w:r/>
    </w:p>
    <w:p>
      <w:pPr>
        <w:numPr>
          <w:ilvl w:val="0"/>
          <w:numId w:val="0"/>
        </w:num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6、服务地点：采购方指定</w:t>
      </w:r>
      <w:r/>
    </w:p>
    <w:p>
      <w:pPr>
        <w:ind w:firstLine="422"/>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二、采购内容:</w:t>
      </w:r>
      <w:r/>
    </w:p>
    <w:p>
      <w:pPr>
        <w:ind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一</w:t>
      </w:r>
      <w:r>
        <w:rPr>
          <w:rFonts w:hint="eastAsia" w:ascii="宋体" w:hAnsi="宋体" w:eastAsia="宋体" w:cs="宋体"/>
          <w:b w:val="0"/>
          <w:bCs/>
          <w:color w:val="auto"/>
          <w:sz w:val="21"/>
          <w:szCs w:val="21"/>
          <w:highlight w:val="none"/>
        </w:rPr>
        <w:t xml:space="preserve">）人员配备：</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响应单位为本项目各采购包配备的服务人员应满足以下要求：</w:t>
      </w:r>
      <w:r/>
    </w:p>
    <w:p>
      <w:pPr>
        <w:ind w:firstLine="420"/>
        <w:jc w:val="left"/>
        <w:keepLines w:val="0"/>
        <w:keepNext w:val="0"/>
        <w:pageBreakBefore w:val="0"/>
        <w:spacing w:line="360" w:lineRule="auto"/>
        <w:widowControl w:val="off"/>
        <w:rPr>
          <w:rFonts w:hint="default"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1、项目经理：至少配备1名，具有相关从业经验，负责按照本次保险的有关要求为各被保险人提供承保、理赔及其他各类保险服务，包括必要的组织与协调工作。</w:t>
      </w:r>
      <w:r/>
    </w:p>
    <w:p>
      <w:pPr>
        <w:ind w:firstLine="420"/>
        <w:jc w:val="left"/>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2、客户服务专员：至少配备2名，其中有1名为项目专职承保人员，1名为项目专职核赔人员，协助项目经理提供保险服务。</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）服务内容：</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采购包1：</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民警</w:t>
      </w:r>
      <w:r>
        <w:rPr>
          <w:rFonts w:hint="eastAsia" w:ascii="宋体" w:hAnsi="宋体" w:eastAsia="宋体" w:cs="宋体"/>
          <w:color w:val="auto"/>
          <w:sz w:val="21"/>
          <w:szCs w:val="21"/>
          <w:highlight w:val="none"/>
          <w:lang w:val="en-US" w:eastAsia="zh-CN"/>
        </w:rPr>
        <w:t xml:space="preserve">1100</w:t>
      </w:r>
      <w:r>
        <w:rPr>
          <w:rFonts w:hint="eastAsia" w:ascii="宋体" w:hAnsi="宋体" w:eastAsia="宋体" w:cs="宋体"/>
          <w:color w:val="auto"/>
          <w:sz w:val="21"/>
          <w:szCs w:val="21"/>
          <w:highlight w:val="none"/>
        </w:rPr>
        <w:t xml:space="preserve">人，民警子女</w:t>
      </w:r>
      <w:r>
        <w:rPr>
          <w:rFonts w:hint="eastAsia" w:ascii="宋体" w:hAnsi="宋体" w:eastAsia="宋体" w:cs="宋体"/>
          <w:color w:val="auto"/>
          <w:sz w:val="21"/>
          <w:szCs w:val="21"/>
          <w:highlight w:val="none"/>
          <w:lang w:val="en-US" w:eastAsia="zh-CN"/>
        </w:rPr>
        <w:t xml:space="preserve">1000</w:t>
      </w:r>
      <w:r>
        <w:rPr>
          <w:rFonts w:hint="eastAsia" w:ascii="宋体" w:hAnsi="宋体" w:eastAsia="宋体" w:cs="宋体"/>
          <w:color w:val="auto"/>
          <w:sz w:val="21"/>
          <w:szCs w:val="21"/>
          <w:highlight w:val="none"/>
        </w:rPr>
        <w:t xml:space="preserve">人，共计</w:t>
      </w:r>
      <w:r>
        <w:rPr>
          <w:rFonts w:hint="eastAsia" w:ascii="宋体" w:hAnsi="宋体" w:eastAsia="宋体" w:cs="宋体"/>
          <w:color w:val="auto"/>
          <w:sz w:val="21"/>
          <w:szCs w:val="21"/>
          <w:highlight w:val="none"/>
          <w:lang w:val="en-US" w:eastAsia="zh-CN"/>
        </w:rPr>
        <w:t xml:space="preserve">2100</w:t>
      </w:r>
      <w:r>
        <w:rPr>
          <w:rFonts w:hint="eastAsia" w:ascii="宋体" w:hAnsi="宋体" w:eastAsia="宋体" w:cs="宋体"/>
          <w:color w:val="auto"/>
          <w:sz w:val="21"/>
          <w:szCs w:val="21"/>
          <w:highlight w:val="none"/>
        </w:rPr>
        <w:t xml:space="preserve">人。</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采购包2：</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辅警2000人，民警配偶500人，共计2500人。</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采购包3：</w:t>
      </w:r>
      <w:r/>
    </w:p>
    <w:p>
      <w:pPr>
        <w:ind w:firstLine="42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1"/>
          <w:szCs w:val="21"/>
          <w:highlight w:val="none"/>
        </w:rPr>
        <w:t xml:space="preserve">辅警</w:t>
      </w:r>
      <w:r>
        <w:rPr>
          <w:rFonts w:hint="eastAsia" w:ascii="宋体" w:hAnsi="宋体" w:eastAsia="宋体" w:cs="宋体"/>
          <w:color w:val="auto"/>
          <w:sz w:val="21"/>
          <w:szCs w:val="21"/>
          <w:highlight w:val="none"/>
          <w:lang w:val="en-US" w:eastAsia="zh-CN"/>
        </w:rPr>
        <w:t xml:space="preserve">1250</w:t>
      </w:r>
      <w:r>
        <w:rPr>
          <w:rFonts w:hint="eastAsia" w:ascii="宋体" w:hAnsi="宋体" w:eastAsia="宋体" w:cs="宋体"/>
          <w:color w:val="auto"/>
          <w:sz w:val="21"/>
          <w:szCs w:val="21"/>
          <w:highlight w:val="none"/>
        </w:rPr>
        <w:t xml:space="preserve">人，民警配偶</w:t>
      </w:r>
      <w:r>
        <w:rPr>
          <w:rFonts w:hint="eastAsia" w:ascii="宋体" w:hAnsi="宋体" w:eastAsia="宋体" w:cs="宋体"/>
          <w:color w:val="auto"/>
          <w:sz w:val="21"/>
          <w:szCs w:val="21"/>
          <w:highlight w:val="none"/>
          <w:lang w:val="en-US" w:eastAsia="zh-CN"/>
        </w:rPr>
        <w:t xml:space="preserve">400</w:t>
      </w:r>
      <w:r>
        <w:rPr>
          <w:rFonts w:hint="eastAsia" w:ascii="宋体" w:hAnsi="宋体" w:eastAsia="宋体" w:cs="宋体"/>
          <w:color w:val="auto"/>
          <w:sz w:val="21"/>
          <w:szCs w:val="21"/>
          <w:highlight w:val="none"/>
        </w:rPr>
        <w:t xml:space="preserve">人，共计1650人</w:t>
      </w:r>
      <w:r>
        <w:rPr>
          <w:rFonts w:hint="eastAsia" w:ascii="宋体" w:hAnsi="宋体" w:eastAsia="宋体" w:cs="宋体"/>
          <w:color w:val="auto"/>
          <w:sz w:val="21"/>
          <w:szCs w:val="21"/>
          <w:highlight w:val="none"/>
          <w:lang w:eastAsia="zh-CN"/>
        </w:rPr>
        <w:t xml:space="preserve">。</w:t>
      </w:r>
      <w:r/>
    </w:p>
    <w:p>
      <w:pPr>
        <w:ind w:left="420" w:firstLine="0"/>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（二）保险方案：</w:t>
      </w:r>
      <w:r/>
    </w:p>
    <w:p>
      <w:pPr>
        <w:ind w:left="420" w:firstLine="0"/>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采购包1：</w:t>
      </w:r>
      <w:r/>
    </w:p>
    <w:p>
      <w:pPr>
        <w:ind w:left="420" w:firstLine="0"/>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1、公安民警保险方案：</w:t>
      </w:r>
      <w:r/>
    </w:p>
    <w:tbl>
      <w:tblPr>
        <w:tblStyle w:val="805"/>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2268"/>
        <w:gridCol w:w="1276"/>
        <w:gridCol w:w="3881"/>
        <w:gridCol w:w="1017"/>
      </w:tblGrid>
      <w:tr>
        <w:trPr>
          <w:jc w:val="center"/>
          <w:trHeight w:val="536"/>
        </w:trPr>
        <w:tc>
          <w:tcPr>
            <w:shd w:val="clear" w:color="auto" w:fill="d9d9d9"/>
            <w:tcW w:w="141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保障类别</w:t>
            </w:r>
            <w:r/>
          </w:p>
        </w:tc>
        <w:tc>
          <w:tcPr>
            <w:shd w:val="clear" w:color="auto" w:fill="d9d9d9"/>
            <w:tcW w:w="22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保险责任</w:t>
            </w:r>
            <w:r/>
          </w:p>
        </w:tc>
        <w:tc>
          <w:tcPr>
            <w:shd w:val="clear" w:color="auto" w:fill="d9d9d9"/>
            <w:tcW w:w="1276" w:type="dxa"/>
            <w:vAlign w:val="center"/>
            <w:textDirection w:val="lrTb"/>
            <w:noWrap w:val="false"/>
          </w:tcPr>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保险金额</w:t>
            </w:r>
            <w:r/>
          </w:p>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（万元）</w:t>
            </w:r>
            <w:r/>
          </w:p>
        </w:tc>
        <w:tc>
          <w:tcPr>
            <w:shd w:val="clear" w:color="auto" w:fill="d9d9d9"/>
            <w:tcW w:w="38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赔付约定</w:t>
            </w:r>
            <w:r/>
          </w:p>
        </w:tc>
        <w:tc>
          <w:tcPr>
            <w:shd w:val="clear" w:color="auto" w:fill="d9d9d9"/>
            <w:tcW w:w="10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保险费限价</w:t>
            </w:r>
            <w:r/>
          </w:p>
        </w:tc>
      </w:tr>
      <w:tr>
        <w:trPr>
          <w:jc w:val="center"/>
          <w:trHeight w:val="365"/>
        </w:trPr>
        <w:tc>
          <w:tcPr>
            <w:tcW w:w="141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意外保障</w:t>
            </w:r>
            <w:r/>
          </w:p>
        </w:tc>
        <w:tc>
          <w:tcPr>
            <w:tcW w:w="22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意外身故并被评为烈士</w:t>
            </w:r>
            <w:r/>
          </w:p>
        </w:tc>
        <w:tc>
          <w:tcPr>
            <w:tcW w:w="1276" w:type="dxa"/>
            <w:vAlign w:val="center"/>
            <w:textDirection w:val="lrTb"/>
            <w:noWrap w:val="false"/>
          </w:tcPr>
          <w:p>
            <w:pPr>
              <w:ind w:left="87"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35</w:t>
            </w:r>
            <w:r/>
          </w:p>
        </w:tc>
        <w:tc>
          <w:tcPr>
            <w:tcW w:w="388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017"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300元/人/年</w:t>
            </w:r>
            <w:r/>
          </w:p>
        </w:tc>
      </w:tr>
      <w:tr>
        <w:trPr>
          <w:jc w:val="center"/>
          <w:trHeight w:val="365"/>
        </w:trPr>
        <w:tc>
          <w:tcPr>
            <w:tcW w:w="1413" w:type="dxa"/>
            <w:vAlign w:val="center"/>
            <w:vMerge w:val="continue"/>
            <w:textDirection w:val="lrTb"/>
            <w:noWrap w:val="false"/>
          </w:tcPr>
          <w:p>
            <w:pPr>
              <w:ind w:left="0" w:right="0" w:firstLine="715"/>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意外身故并被评为牺牲</w:t>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w:t>
            </w:r>
            <w:r/>
          </w:p>
        </w:tc>
        <w:tc>
          <w:tcPr>
            <w:tcW w:w="388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56"/>
        </w:trPr>
        <w:tc>
          <w:tcPr>
            <w:tcW w:w="1413" w:type="dxa"/>
            <w:vAlign w:val="center"/>
            <w:vMerge w:val="continue"/>
            <w:textDirection w:val="lrTb"/>
            <w:noWrap w:val="false"/>
          </w:tcPr>
          <w:p>
            <w:pPr>
              <w:ind w:left="0" w:right="0" w:firstLine="715"/>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一般意外身故责任</w:t>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w:t>
            </w:r>
            <w:r/>
          </w:p>
        </w:tc>
        <w:tc>
          <w:tcPr>
            <w:tcW w:w="3881" w:type="dxa"/>
            <w:vAlign w:val="top"/>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48"/>
        </w:trPr>
        <w:tc>
          <w:tcPr>
            <w:tcW w:w="1413" w:type="dxa"/>
            <w:vAlign w:val="center"/>
            <w:vMerge w:val="continue"/>
            <w:textDirection w:val="lrTb"/>
            <w:noWrap w:val="false"/>
          </w:tcPr>
          <w:p>
            <w:pPr>
              <w:ind w:left="0" w:right="0" w:firstLine="715"/>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意外伤害残疾</w:t>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w:t>
            </w:r>
            <w:r/>
          </w:p>
        </w:tc>
        <w:tc>
          <w:tcPr>
            <w:tcW w:w="3881"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按保险金额与《人身保险伤残评定标准（行业标准）伤残等级表比例赔付，并视具体情况给予一定优惠</w:t>
            </w:r>
            <w:r/>
          </w:p>
        </w:tc>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1"/>
        </w:trPr>
        <w:tc>
          <w:tcPr>
            <w:tcW w:w="141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疾病及医疗保障</w:t>
            </w:r>
            <w:r/>
          </w:p>
        </w:tc>
        <w:tc>
          <w:tcPr>
            <w:tcW w:w="22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重大疾病保障</w:t>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38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无免赔，首次投保等待期30天，续保无等待期，首次罹患重大疾病，按保险金额100%赔付，重疾根据保险公司重大疾病保险条款</w:t>
            </w:r>
            <w:r/>
          </w:p>
        </w:tc>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91"/>
        </w:trPr>
        <w:tc>
          <w:tcPr>
            <w:tcW w:w="1413"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疾病身故或全残</w:t>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w:t>
            </w:r>
            <w:r/>
          </w:p>
        </w:tc>
        <w:tc>
          <w:tcPr>
            <w:tcW w:w="38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48"/>
        </w:trPr>
        <w:tc>
          <w:tcPr>
            <w:tcW w:w="1413"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意外伤害医疗</w:t>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3881"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工作期间含自费部份100%赔付，其余情况按受理金额的100%赔付</w:t>
            </w:r>
            <w:r/>
          </w:p>
        </w:tc>
        <w:tc>
          <w:tcPr>
            <w:tcW w:w="1017" w:type="dxa"/>
            <w:vAlign w:val="center"/>
            <w:vMerge w:val="continue"/>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356"/>
        </w:trPr>
        <w:tc>
          <w:tcPr>
            <w:tcW w:w="141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6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意外住院津贴</w:t>
            </w:r>
            <w:r/>
          </w:p>
        </w:tc>
        <w:tc>
          <w:tcPr>
            <w:tcW w:w="1276" w:type="dxa"/>
            <w:vAlign w:val="center"/>
            <w:textDirection w:val="lrTb"/>
            <w:noWrap w:val="false"/>
          </w:tcPr>
          <w:p>
            <w:pPr>
              <w:ind w:left="87"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1.8</w:t>
            </w:r>
            <w:r/>
          </w:p>
        </w:tc>
        <w:tc>
          <w:tcPr>
            <w:tcW w:w="3881"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无免赔，不设等待期，因意外伤害住院每日给付100元，全年累计以180天为限</w:t>
            </w:r>
            <w:r/>
          </w:p>
        </w:tc>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注：团体意外伤害保险项下，明确执勤期间意外身故和执勤牺牲并被评为烈士的情况下一次性给付额度。</w:t>
      </w:r>
      <w:r/>
    </w:p>
    <w:p>
      <w:pPr>
        <w:ind w:left="420"/>
        <w:jc w:val="left"/>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2、民警未成年子女保险方案：</w:t>
      </w:r>
      <w:r/>
    </w:p>
    <w:tbl>
      <w:tblPr>
        <w:tblStyle w:val="805"/>
        <w:tblW w:w="9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2248"/>
        <w:gridCol w:w="1386"/>
        <w:gridCol w:w="3880"/>
        <w:gridCol w:w="1148"/>
      </w:tblGrid>
      <w:tr>
        <w:trPr>
          <w:jc w:val="center"/>
          <w:trHeight w:val="924"/>
        </w:trPr>
        <w:tc>
          <w:tcPr>
            <w:shd w:val="clear" w:color="auto" w:fill="d9d9d9"/>
            <w:tcW w:w="13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保障类别</w:t>
            </w:r>
            <w:r/>
          </w:p>
        </w:tc>
        <w:tc>
          <w:tcPr>
            <w:shd w:val="clear" w:color="auto" w:fill="d9d9d9"/>
            <w:tcW w:w="224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保险责任</w:t>
            </w:r>
            <w:r/>
          </w:p>
        </w:tc>
        <w:tc>
          <w:tcPr>
            <w:shd w:val="clear" w:color="auto" w:fill="d9d9d9"/>
            <w:tcW w:w="1386" w:type="dxa"/>
            <w:vAlign w:val="center"/>
            <w:textDirection w:val="lrTb"/>
            <w:noWrap w:val="false"/>
          </w:tcPr>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保险金额</w:t>
            </w:r>
            <w:r/>
          </w:p>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（万元）</w:t>
            </w:r>
            <w:r/>
          </w:p>
        </w:tc>
        <w:tc>
          <w:tcPr>
            <w:shd w:val="clear" w:color="auto" w:fill="d9d9d9"/>
            <w:tcW w:w="38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赔付约定</w:t>
            </w:r>
            <w:r/>
          </w:p>
        </w:tc>
        <w:tc>
          <w:tcPr>
            <w:shd w:val="clear" w:color="auto" w:fill="d9d9d9"/>
            <w:tcW w:w="114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保险费限价</w:t>
            </w:r>
            <w:r/>
          </w:p>
        </w:tc>
      </w:tr>
      <w:tr>
        <w:trPr>
          <w:cantSplit/>
          <w:jc w:val="center"/>
          <w:trHeight w:val="779"/>
        </w:trPr>
        <w:tc>
          <w:tcPr>
            <w:tcW w:w="132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意外保障</w:t>
            </w:r>
            <w:r/>
          </w:p>
        </w:tc>
        <w:tc>
          <w:tcPr>
            <w:tcW w:w="224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意外伤害身故</w:t>
            </w:r>
            <w:r/>
          </w:p>
        </w:tc>
        <w:tc>
          <w:tcPr>
            <w:tcW w:w="13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W w:w="38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148"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200元/人/年</w:t>
            </w:r>
            <w:r/>
          </w:p>
        </w:tc>
      </w:tr>
      <w:tr>
        <w:trPr>
          <w:cantSplit/>
          <w:jc w:val="center"/>
          <w:trHeight w:val="1196"/>
        </w:trPr>
        <w:tc>
          <w:tcPr>
            <w:tcW w:w="1323" w:type="dxa"/>
            <w:vAlign w:val="center"/>
            <w:vMerge w:val="continue"/>
            <w:textDirection w:val="lrTb"/>
            <w:noWrap w:val="false"/>
          </w:tcPr>
          <w:p>
            <w:pPr>
              <w:ind w:left="0" w:right="0" w:firstLine="715"/>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4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意外伤害残疾</w:t>
            </w:r>
            <w:r/>
          </w:p>
        </w:tc>
        <w:tc>
          <w:tcPr>
            <w:tcW w:w="13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W w:w="388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按保险金额与《人身保险伤残评定标准（行业标准）伤残等级表比例赔付，并视具体情况给予一定优惠</w:t>
            </w:r>
            <w:r/>
          </w:p>
        </w:tc>
        <w:tc>
          <w:tcPr>
            <w:tcW w:w="114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04"/>
        </w:trPr>
        <w:tc>
          <w:tcPr>
            <w:tcW w:w="1323" w:type="dxa"/>
            <w:vAlign w:val="center"/>
            <w:vMerge w:val="continue"/>
            <w:textDirection w:val="lrTb"/>
            <w:noWrap w:val="false"/>
          </w:tcPr>
          <w:p>
            <w:pPr>
              <w:ind w:left="0" w:right="0" w:firstLine="715"/>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4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意外医疗保障</w:t>
            </w:r>
            <w:r/>
          </w:p>
        </w:tc>
        <w:tc>
          <w:tcPr>
            <w:tcW w:w="13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0.3</w:t>
            </w:r>
            <w:r/>
          </w:p>
        </w:tc>
        <w:tc>
          <w:tcPr>
            <w:tcW w:w="388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免赔额100元，按</w:t>
            </w:r>
            <w:r>
              <w:rPr>
                <w:rFonts w:hint="eastAsia" w:ascii="宋体" w:hAnsi="宋体" w:eastAsia="宋体" w:cs="宋体"/>
                <w:i w:val="0"/>
                <w:iCs w:val="0"/>
                <w:caps w:val="0"/>
                <w:color w:val="auto"/>
                <w:spacing w:val="0"/>
                <w:sz w:val="21"/>
                <w:szCs w:val="21"/>
                <w:highlight w:val="none"/>
                <w:shd w:val="clear" w:color="auto" w:fill="ffffff"/>
              </w:rPr>
              <w:t xml:space="preserve">受理金额100%赔付</w:t>
            </w:r>
            <w:r/>
          </w:p>
        </w:tc>
        <w:tc>
          <w:tcPr>
            <w:tcW w:w="114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770"/>
        </w:trPr>
        <w:tc>
          <w:tcPr>
            <w:tcW w:w="132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疾病保障</w:t>
            </w:r>
            <w:r/>
          </w:p>
        </w:tc>
        <w:tc>
          <w:tcPr>
            <w:tcW w:w="224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重大疾病保障</w:t>
            </w:r>
            <w:r/>
          </w:p>
        </w:tc>
        <w:tc>
          <w:tcPr>
            <w:tcW w:w="13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38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无免赔，首次投保等待期30天，续保无等待期，首次罹患重大疾病，按保险金额100%赔付，重疾根据保险公司重大疾病保险条款</w:t>
            </w:r>
            <w:r/>
          </w:p>
        </w:tc>
        <w:tc>
          <w:tcPr>
            <w:tcW w:w="114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770"/>
        </w:trPr>
        <w:tc>
          <w:tcPr>
            <w:tcW w:w="1323"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4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疾病身故</w:t>
            </w:r>
            <w:r/>
          </w:p>
        </w:tc>
        <w:tc>
          <w:tcPr>
            <w:tcW w:w="13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tcW w:w="38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14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75"/>
        </w:trPr>
        <w:tc>
          <w:tcPr>
            <w:tcW w:w="132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医疗保障</w:t>
            </w:r>
            <w:r/>
          </w:p>
        </w:tc>
        <w:tc>
          <w:tcPr>
            <w:tcW w:w="224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意外住院</w:t>
            </w:r>
            <w:r/>
          </w:p>
        </w:tc>
        <w:tc>
          <w:tcPr>
            <w:tcW w:w="1386"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6</w:t>
            </w:r>
            <w:r/>
          </w:p>
        </w:tc>
        <w:tc>
          <w:tcPr>
            <w:tcW w:w="38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医保范围内每次100元免赔，90%赔付</w:t>
            </w:r>
            <w:r/>
          </w:p>
        </w:tc>
        <w:tc>
          <w:tcPr>
            <w:tcW w:w="114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95"/>
        </w:trPr>
        <w:tc>
          <w:tcPr>
            <w:tcW w:w="1323" w:type="dxa"/>
            <w:vAlign w:val="center"/>
            <w:vMerge w:val="continue"/>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4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疾病住院</w:t>
            </w:r>
            <w:r/>
          </w:p>
        </w:tc>
        <w:tc>
          <w:tcPr>
            <w:tcW w:w="1386"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8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无免赔，不设等待期，初患疾病在医保范围内的医疗费按100%赔付</w:t>
            </w:r>
            <w:r/>
          </w:p>
        </w:tc>
        <w:tc>
          <w:tcPr>
            <w:tcW w:w="114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left"/>
        <w:spacing w:line="360" w:lineRule="auto"/>
        <w:widowControl w:val="off"/>
        <w:rPr>
          <w:rFonts w:hint="eastAsia" w:ascii="宋体" w:hAnsi="宋体" w:eastAsia="宋体" w:cs="宋体"/>
          <w:color w:val="auto"/>
          <w:sz w:val="21"/>
          <w:szCs w:val="21"/>
          <w:highlight w:val="none"/>
        </w:rPr>
      </w:pPr>
      <w:r/>
      <w:bookmarkStart w:id="14" w:name="_Hlk73347882"/>
      <w:r>
        <w:rPr>
          <w:rFonts w:hint="eastAsia" w:ascii="宋体" w:hAnsi="宋体" w:eastAsia="宋体" w:cs="宋体"/>
          <w:color w:val="auto"/>
          <w:sz w:val="21"/>
          <w:szCs w:val="21"/>
          <w:highlight w:val="none"/>
        </w:rPr>
        <w:t xml:space="preserve">注：投保对象为所有民警未成年子女（详细情况以中标后太仓市公安局提供具体名单为准）。</w:t>
      </w:r>
      <w:r/>
    </w:p>
    <w:p>
      <w:pPr>
        <w:ind w:left="420"/>
        <w:jc w:val="left"/>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3、民警成年子女保险方案：</w:t>
      </w:r>
      <w:r/>
    </w:p>
    <w:tbl>
      <w:tblPr>
        <w:tblStyle w:val="805"/>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672"/>
        <w:gridCol w:w="1418"/>
        <w:gridCol w:w="3543"/>
        <w:gridCol w:w="1318"/>
      </w:tblGrid>
      <w:tr>
        <w:trPr>
          <w:jc w:val="center"/>
          <w:trHeight w:val="924"/>
        </w:trPr>
        <w:tc>
          <w:tcPr>
            <w:shd w:val="clear" w:color="auto" w:fill="d9d9d9"/>
            <w:tcW w:w="19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保障类别</w:t>
            </w:r>
            <w:r/>
          </w:p>
        </w:tc>
        <w:tc>
          <w:tcPr>
            <w:shd w:val="clear" w:color="auto" w:fill="d9d9d9"/>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保险责任</w:t>
            </w:r>
            <w:r/>
          </w:p>
        </w:tc>
        <w:tc>
          <w:tcPr>
            <w:shd w:val="clear" w:color="auto" w:fill="d9d9d9"/>
            <w:tcW w:w="1418" w:type="dxa"/>
            <w:vAlign w:val="center"/>
            <w:textDirection w:val="lrTb"/>
            <w:noWrap w:val="false"/>
          </w:tcPr>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保险金额</w:t>
            </w:r>
            <w:r/>
          </w:p>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（万元）</w:t>
            </w:r>
            <w:r/>
          </w:p>
        </w:tc>
        <w:tc>
          <w:tcPr>
            <w:shd w:val="clear" w:color="auto" w:fill="d9d9d9"/>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赔付约定</w:t>
            </w:r>
            <w:r/>
          </w:p>
        </w:tc>
        <w:tc>
          <w:tcPr>
            <w:shd w:val="clear" w:color="auto" w:fill="d9d9d9"/>
            <w:tcW w:w="13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保险费限价</w:t>
            </w:r>
            <w:r/>
          </w:p>
        </w:tc>
      </w:tr>
      <w:tr>
        <w:trPr>
          <w:cantSplit/>
          <w:jc w:val="center"/>
          <w:trHeight w:val="779"/>
        </w:trPr>
        <w:tc>
          <w:tcPr>
            <w:tcW w:w="1980"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意外保障</w:t>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意外身故</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318"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200元/人/年</w:t>
            </w:r>
            <w:r/>
          </w:p>
        </w:tc>
      </w:tr>
      <w:tr>
        <w:trPr>
          <w:cantSplit/>
          <w:jc w:val="center"/>
          <w:trHeight w:val="630"/>
        </w:trPr>
        <w:tc>
          <w:tcPr>
            <w:tcW w:w="198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意外残疾</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tcW w:w="354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按保险金额与《人身保险伤残评定标准（行业标准）》伤残等级表比例赔付</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770"/>
        </w:trPr>
        <w:tc>
          <w:tcPr>
            <w:tcW w:w="1980"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疾病及医疗保障</w:t>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疾病身故或全残</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75"/>
        </w:trPr>
        <w:tc>
          <w:tcPr>
            <w:tcW w:w="1980"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重大疾病保障</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无免赔，首次投保等待期30天，续保无等待期，首次罹患重大疾病，按保险金额100%赔付，重疾根据保险公司重大疾病保险条款</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75"/>
        </w:trPr>
        <w:tc>
          <w:tcPr>
            <w:tcW w:w="1980"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意外医疗</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每次事故无免赔，药费按100%(工作期间含自费药)赔付</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95"/>
        </w:trPr>
        <w:tc>
          <w:tcPr>
            <w:tcW w:w="1980" w:type="dxa"/>
            <w:vAlign w:val="center"/>
            <w:vMerge w:val="continue"/>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意外住院津贴</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1.8</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100元/人/天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每人每次住院天数无免赔，单次给付不超过90天，累计给付不超过180天 </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注：投保对象为所有民警成年子女（详细情况以中标后太仓市公安局提供具体名单为准）。</w:t>
      </w:r>
      <w:r/>
    </w:p>
    <w:p>
      <w:pPr>
        <w:ind w:left="440" w:firstLine="440"/>
        <w:jc w:val="left"/>
        <w:spacing w:after="12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420" w:firstLine="0"/>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采购包2/采购包3：</w:t>
      </w:r>
      <w:r/>
    </w:p>
    <w:p>
      <w:pPr>
        <w:ind w:left="420" w:firstLine="0"/>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3、辅警保险方案</w:t>
      </w:r>
      <w:r/>
    </w:p>
    <w:tbl>
      <w:tblPr>
        <w:tblStyle w:val="805"/>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2239"/>
        <w:gridCol w:w="1418"/>
        <w:gridCol w:w="3420"/>
        <w:gridCol w:w="1380"/>
      </w:tblGrid>
      <w:tr>
        <w:trPr>
          <w:jc w:val="center"/>
          <w:trHeight w:val="924"/>
        </w:trPr>
        <w:tc>
          <w:tcPr>
            <w:shd w:val="clear" w:color="auto" w:fill="d9d9d9"/>
            <w:tcW w:w="141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保障类别</w:t>
            </w:r>
            <w:r/>
          </w:p>
        </w:tc>
        <w:tc>
          <w:tcPr>
            <w:shd w:val="clear" w:color="auto" w:fill="d9d9d9"/>
            <w:tcW w:w="22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保险责任</w:t>
            </w:r>
            <w:r/>
          </w:p>
        </w:tc>
        <w:tc>
          <w:tcPr>
            <w:shd w:val="clear" w:color="auto" w:fill="d9d9d9"/>
            <w:tcW w:w="1418" w:type="dxa"/>
            <w:vAlign w:val="center"/>
            <w:textDirection w:val="lrTb"/>
            <w:noWrap w:val="false"/>
          </w:tcPr>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保险金额</w:t>
            </w:r>
            <w:r/>
          </w:p>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（万元）</w:t>
            </w:r>
            <w:r/>
          </w:p>
        </w:tc>
        <w:tc>
          <w:tcPr>
            <w:shd w:val="clear" w:color="auto" w:fill="d9d9d9"/>
            <w:tcW w:w="34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赔付约定</w:t>
            </w:r>
            <w:r/>
          </w:p>
        </w:tc>
        <w:tc>
          <w:tcPr>
            <w:shd w:val="clear" w:color="auto" w:fill="d9d9d9"/>
            <w:tcW w:w="13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保险费限价</w:t>
            </w:r>
            <w:r/>
          </w:p>
        </w:tc>
      </w:tr>
      <w:tr>
        <w:trPr>
          <w:jc w:val="center"/>
          <w:trHeight w:val="779"/>
        </w:trPr>
        <w:tc>
          <w:tcPr>
            <w:tcW w:w="141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意外保障</w:t>
            </w:r>
            <w:r/>
          </w:p>
        </w:tc>
        <w:tc>
          <w:tcPr>
            <w:tcW w:w="22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意外身故并被评为烈士</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w:t>
            </w:r>
            <w:r/>
          </w:p>
        </w:tc>
        <w:tc>
          <w:tcPr>
            <w:tcW w:w="34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380"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200元/人/年</w:t>
            </w:r>
            <w:r/>
          </w:p>
        </w:tc>
      </w:tr>
      <w:tr>
        <w:trPr>
          <w:jc w:val="center"/>
          <w:trHeight w:val="779"/>
        </w:trPr>
        <w:tc>
          <w:tcPr>
            <w:tcW w:w="1413"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意外身故并被评为牺牲</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w:t>
            </w:r>
            <w:r/>
          </w:p>
        </w:tc>
        <w:tc>
          <w:tcPr>
            <w:tcW w:w="34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38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779"/>
        </w:trPr>
        <w:tc>
          <w:tcPr>
            <w:tcW w:w="1413"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意外身故责任</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tcW w:w="34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38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630"/>
        </w:trPr>
        <w:tc>
          <w:tcPr>
            <w:tcW w:w="1413" w:type="dxa"/>
            <w:vAlign w:val="center"/>
            <w:vMerge w:val="continue"/>
            <w:textDirection w:val="lrTb"/>
            <w:noWrap w:val="false"/>
          </w:tcPr>
          <w:p>
            <w:pPr>
              <w:ind w:left="0" w:right="0" w:firstLine="715"/>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意外伤害残疾</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tcW w:w="342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按保险金额与《人身保险伤残评定标准（行业标准）》伤残等级表比例赔付</w:t>
            </w:r>
            <w:r/>
          </w:p>
        </w:tc>
        <w:tc>
          <w:tcPr>
            <w:tcW w:w="138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770"/>
        </w:trPr>
        <w:tc>
          <w:tcPr>
            <w:tcW w:w="1413"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疾病及医疗保障</w:t>
            </w:r>
            <w:r/>
          </w:p>
        </w:tc>
        <w:tc>
          <w:tcPr>
            <w:tcW w:w="22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疾病身故或全残</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W w:w="34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38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675"/>
        </w:trPr>
        <w:tc>
          <w:tcPr>
            <w:tcW w:w="1413"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重大疾病保障</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34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无免赔，首次投保等待期30天，续保无等待期，首次罹患重大疾病，按保险金额100%赔付，重疾根据保险公司重大疾病保险条款</w:t>
            </w:r>
            <w:r/>
          </w:p>
        </w:tc>
        <w:tc>
          <w:tcPr>
            <w:tcW w:w="138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675"/>
        </w:trPr>
        <w:tc>
          <w:tcPr>
            <w:tcW w:w="1413"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意外伤害医疗</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34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每次事故无免赔，药费按100%(工作期间含自费药)赔付</w:t>
            </w:r>
            <w:r/>
          </w:p>
        </w:tc>
        <w:tc>
          <w:tcPr>
            <w:tcW w:w="138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695"/>
        </w:trPr>
        <w:tc>
          <w:tcPr>
            <w:tcW w:w="1413" w:type="dxa"/>
            <w:vAlign w:val="center"/>
            <w:vMerge w:val="continue"/>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2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意外住院津贴</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1.8</w:t>
            </w:r>
            <w:r/>
          </w:p>
        </w:tc>
        <w:tc>
          <w:tcPr>
            <w:tcW w:w="34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100元/人/天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每人每次住院天数无免赔，累计给付不超过180天 </w:t>
            </w:r>
            <w:r/>
          </w:p>
        </w:tc>
        <w:tc>
          <w:tcPr>
            <w:tcW w:w="138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注：团体意外伤害保险项下，明确执勤期间意外身故和执勤牺牲并被评为烈士的情况下一次性给付额度。</w:t>
      </w:r>
      <w:r/>
    </w:p>
    <w:p>
      <w:pPr>
        <w:ind w:left="420" w:firstLine="0"/>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4、民警配偶保险方案</w:t>
      </w:r>
      <w:r/>
    </w:p>
    <w:tbl>
      <w:tblPr>
        <w:tblStyle w:val="805"/>
        <w:tblW w:w="9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672"/>
        <w:gridCol w:w="1418"/>
        <w:gridCol w:w="3543"/>
        <w:gridCol w:w="1318"/>
      </w:tblGrid>
      <w:tr>
        <w:trPr>
          <w:jc w:val="center"/>
          <w:trHeight w:val="924"/>
        </w:trPr>
        <w:tc>
          <w:tcPr>
            <w:shd w:val="clear" w:color="auto" w:fill="d9d9d9"/>
            <w:tcW w:w="19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保障类别</w:t>
            </w:r>
            <w:r/>
          </w:p>
        </w:tc>
        <w:tc>
          <w:tcPr>
            <w:shd w:val="clear" w:color="auto" w:fill="d9d9d9"/>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保险责任</w:t>
            </w:r>
            <w:r/>
          </w:p>
        </w:tc>
        <w:tc>
          <w:tcPr>
            <w:shd w:val="clear" w:color="auto" w:fill="d9d9d9"/>
            <w:tcW w:w="1418" w:type="dxa"/>
            <w:vAlign w:val="center"/>
            <w:textDirection w:val="lrTb"/>
            <w:noWrap w:val="false"/>
          </w:tcPr>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保险金额</w:t>
            </w:r>
            <w:r/>
          </w:p>
          <w:p>
            <w:pPr>
              <w:ind w:left="87"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（万元）</w:t>
            </w:r>
            <w:r/>
          </w:p>
        </w:tc>
        <w:tc>
          <w:tcPr>
            <w:shd w:val="clear" w:color="auto" w:fill="d9d9d9"/>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赔付约定</w:t>
            </w:r>
            <w:r/>
          </w:p>
        </w:tc>
        <w:tc>
          <w:tcPr>
            <w:shd w:val="clear" w:color="auto" w:fill="d9d9d9"/>
            <w:tcW w:w="13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保险费限价</w:t>
            </w:r>
            <w:r/>
          </w:p>
        </w:tc>
      </w:tr>
      <w:tr>
        <w:trPr>
          <w:cantSplit/>
          <w:jc w:val="center"/>
          <w:trHeight w:val="779"/>
        </w:trPr>
        <w:tc>
          <w:tcPr>
            <w:tcW w:w="1980"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意外保障</w:t>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意外身故</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318"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200元/人/年</w:t>
            </w:r>
            <w:r/>
          </w:p>
        </w:tc>
      </w:tr>
      <w:tr>
        <w:trPr>
          <w:cantSplit/>
          <w:jc w:val="center"/>
          <w:trHeight w:val="630"/>
        </w:trPr>
        <w:tc>
          <w:tcPr>
            <w:tcW w:w="1980"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意外残疾</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tcW w:w="3543"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按保险金额与《人身保险伤残评定标准（行业标准）》伤残等级表比例赔付</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770"/>
        </w:trPr>
        <w:tc>
          <w:tcPr>
            <w:tcW w:w="1980"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疾病及医疗保障</w:t>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疾病身故或全残</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无免赔，不设等待期，按保险金额100%赔付</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75"/>
        </w:trPr>
        <w:tc>
          <w:tcPr>
            <w:tcW w:w="1980"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重大疾病保障</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无免赔，首次投保等待期30天，续保无等待期，首次罹患重大疾病，按保险金额100%赔付，重疾根据保险公司重大疾病保险条款</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75"/>
        </w:trPr>
        <w:tc>
          <w:tcPr>
            <w:tcW w:w="1980" w:type="dxa"/>
            <w:vAlign w:val="center"/>
            <w:vMerge w:val="continue"/>
            <w:textDirection w:val="lrTb"/>
            <w:noWrap w:val="false"/>
          </w:tcPr>
          <w:p>
            <w:pPr>
              <w:ind w:left="1320" w:right="0"/>
              <w:jc w:val="left"/>
              <w:keepLines w:val="0"/>
              <w:keepNext w:val="0"/>
              <w:spacing w:before="132"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意外医疗</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rPr>
              <w:t xml:space="preserve">每次事故无免赔，药费按100%(工作期间含自费药)赔付</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695"/>
        </w:trPr>
        <w:tc>
          <w:tcPr>
            <w:tcW w:w="1980" w:type="dxa"/>
            <w:vAlign w:val="center"/>
            <w:vMerge w:val="continue"/>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意外住院津贴</w:t>
            </w:r>
            <w:r/>
          </w:p>
        </w:tc>
        <w:tc>
          <w:tcPr>
            <w:tcW w:w="14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1.8</w:t>
            </w:r>
            <w:r/>
          </w:p>
        </w:tc>
        <w:tc>
          <w:tcPr>
            <w:tcW w:w="35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100元/人/天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每人每次住院天数无免赔，单次给付不超过90天，累计给付不超过180天 </w:t>
            </w:r>
            <w:r/>
          </w:p>
        </w:tc>
        <w:tc>
          <w:tcPr>
            <w:tcW w:w="131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ind w:firstLine="0"/>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注：投保对象为在职民警的配偶。</w:t>
      </w:r>
      <w:bookmarkEnd w:id="14"/>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三、服务要求：</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险范围：民警、民警家属（民警配偶、未成年及成年子女）、辅警。本项目所有采购包的被投保人员，如自身想在本次招标范围的基础上增加其他保险内容，中标人应给予适当优惠，费用由被投保人自身承担。</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2、保险服务：</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2.1对本采购项目须设立专项小组。</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2.2乙方须随时与甲方沟通人员的被保险人上一份保单的到期时间，必须保证被保险人不脱保，否则甲方有权取消合同。</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2.3根据相应文件内容，配合投保人完成核保与出单事宜，并在收到保费的次日生效保单并在5个工作日内将保单正本和保费发票派专人送达投保人。 </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3、承保服务：</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3.1指定专门的客服人员，接受各方咨询，解释相关保险内容。</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3.2定期走访采购方，听取相关意见和建议，不断提高服务水平，为采购方分忧。</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3.3每季度按时向相关部门汇报上季度的理赔情况。</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4、理赔服务</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4.1保险服务基础标准：</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4.1.1统一实行24小时接报案；</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4.1.2统一实行24小时查勘；</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4.1.3统一实行24小时救援；</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4.1.4统一实行8小时全年无休理赔工作；</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4.1.5统一实行24小时投诉服务；</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4.1.6设立24小时保险服务专线电话，电脑录音系统和查勘调度系统保证畅通无误，及时准确。全年365天随时接受被保险人的出险报案，并立即通知保险公司本项目客户服务专员。               </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4.2设立专人专门窗口负责受理赔款案件，实行一站式服务，确保理赔、财务、信息技术等环节的高效畅通。</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4.3接到报案后应详细的告知被保险人注意事项，承保范围，保障内容及理赔时需要准备的材料等，不得欺骗、误导被保险人；</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4.4配合被保险人了解、熟悉理赔流程，指定专人上门收取索赔单证，并在约定的时间内上门收取，不得以任何理由拒绝上门服务。</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4.5保险公司接到被保险人索赔材料后立即审查核实，若认为有关证明或材料不完整，立刻以书面或口头方式通知被保险人需补充提供的有关证明或材料。若保险公司在接到索赔资料后5个工作日内未给予有关审核意见</w:t>
      </w:r>
      <w:r>
        <w:rPr>
          <w:rFonts w:hint="eastAsia" w:ascii="宋体" w:hAnsi="宋体" w:eastAsia="宋体" w:cs="宋体"/>
          <w:color w:val="auto"/>
          <w:sz w:val="21"/>
          <w:szCs w:val="21"/>
          <w:highlight w:val="none"/>
          <w:lang w:eastAsia="zh-CN"/>
        </w:rPr>
        <w:t xml:space="preserve">，不得再以资料不完整或未尽调查义务为由对甲方已提交资料提出异议</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4.6如自收到完整的索赔资料之日起10个工作日内未能确定赔偿金额，同意根据已有证明和资料将可以确定的最低赔偿数额</w:t>
      </w:r>
      <w:r>
        <w:rPr>
          <w:rFonts w:hint="eastAsia" w:ascii="宋体" w:hAnsi="宋体" w:eastAsia="宋体" w:cs="宋体"/>
          <w:color w:val="auto"/>
          <w:sz w:val="21"/>
          <w:szCs w:val="21"/>
          <w:highlight w:val="none"/>
          <w:lang w:eastAsia="zh-CN"/>
        </w:rPr>
        <w:t xml:space="preserve">先予</w:t>
      </w:r>
      <w:r>
        <w:rPr>
          <w:rFonts w:hint="eastAsia" w:ascii="宋体" w:hAnsi="宋体" w:eastAsia="宋体" w:cs="宋体"/>
          <w:color w:val="auto"/>
          <w:sz w:val="21"/>
          <w:szCs w:val="21"/>
          <w:highlight w:val="none"/>
        </w:rPr>
        <w:t xml:space="preserve">支付，待最终确定赔偿金额后及时支付相应的差额。</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4.7接到被保险人报案后，对于属于保险责任的事故，同意按照以下约定及时确定赔偿金额：</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4.7.1对于意外伤害，资料齐全后10工作日内确定赔偿金额。 </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4.8治疗医院应为中国大陆医保定点医院。急症可就近就医，待病情稳定后可转至指定医院。</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4.9对于不属于保险责任的，同意在接到被保险人赔偿请求后5个工作日内向其发出《拒赔通知书》。</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不承担既往症导致的保险责任。但如果在同一公司续保且疾病发生在首次投保起始时间之后，无论在哪个保险期限内发生事故，中标单位都须承担保险责任。</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5、其他保险服务承诺</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5.1定期沟通制</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每季度召开保险工作例会，通报保险事故情况、理赔进展情况、商定各项服务计划和共同解决需双方协调的事宜； </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5.2培训、考察机制</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定期不定期提供专项培训，培训内容主要包括保险的基础知识、保险合同责任及条款解释、保险事故索赔程序等方面的内容。</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5.3风险管理计划</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每年举办一次针对意外事故防范的活动，培训活动时间由投保人、保险人共同拟定。</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 提供业主方要求的其他保险服务。</w:t>
      </w:r>
      <w:r/>
    </w:p>
    <w:p>
      <w:pPr>
        <w:ind w:firstLine="422"/>
        <w:jc w:val="both"/>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四、其他要求</w:t>
      </w:r>
      <w:r/>
    </w:p>
    <w:p>
      <w:pPr>
        <w:ind w:firstLine="420"/>
        <w:jc w:val="both"/>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1"/>
          <w:szCs w:val="24"/>
          <w:highlight w:val="none"/>
          <w:lang w:eastAsia="zh-CN"/>
        </w:rPr>
      </w:pPr>
      <w:r>
        <w:rPr>
          <w:rFonts w:hint="eastAsia" w:ascii="宋体" w:hAnsi="宋体" w:eastAsia="宋体" w:cs="宋体"/>
          <w:b w:val="0"/>
          <w:bCs/>
          <w:color w:val="auto"/>
          <w:sz w:val="21"/>
          <w:szCs w:val="21"/>
          <w:highlight w:val="none"/>
          <w:lang w:val="en-US" w:eastAsia="zh-CN"/>
        </w:rPr>
        <w:t xml:space="preserve">（一）投标报价：</w:t>
      </w:r>
      <w:r>
        <w:rPr>
          <w:rFonts w:hint="eastAsia" w:ascii="宋体" w:hAnsi="宋体" w:eastAsia="宋体" w:cs="宋体"/>
          <w:color w:val="auto"/>
          <w:sz w:val="21"/>
          <w:szCs w:val="21"/>
          <w:highlight w:val="none"/>
          <w:lang w:val="en-US" w:eastAsia="zh-CN" w:bidi="ar-SA"/>
        </w:rPr>
        <w:t xml:space="preserve">以优惠率报价，</w:t>
      </w:r>
      <w:r>
        <w:rPr>
          <w:rFonts w:hint="eastAsia" w:ascii="宋体" w:hAnsi="宋体" w:eastAsia="宋体" w:cs="宋体"/>
          <w:b/>
          <w:bCs/>
          <w:color w:val="auto"/>
          <w:sz w:val="21"/>
          <w:szCs w:val="21"/>
          <w:highlight w:val="none"/>
          <w:lang w:val="en-US" w:eastAsia="zh-CN" w:bidi="ar-SA"/>
        </w:rPr>
        <w:t xml:space="preserve">最终结算单价=单价最高限价*（1-中标优惠率）。</w:t>
      </w:r>
      <w:r>
        <w:rPr>
          <w:rFonts w:hint="eastAsia" w:ascii="宋体" w:hAnsi="宋体" w:eastAsia="宋体" w:cs="宋体"/>
          <w:color w:val="auto"/>
          <w:sz w:val="21"/>
          <w:szCs w:val="24"/>
          <w:highlight w:val="none"/>
          <w:lang w:val="en-US" w:eastAsia="zh-CN"/>
        </w:rPr>
        <w:t xml:space="preserve">投标报价应</w:t>
      </w:r>
      <w:r>
        <w:rPr>
          <w:rFonts w:hint="eastAsia" w:ascii="宋体" w:hAnsi="宋体" w:eastAsia="宋体" w:cs="宋体"/>
          <w:color w:val="auto"/>
          <w:sz w:val="21"/>
          <w:szCs w:val="24"/>
          <w:highlight w:val="none"/>
          <w:lang w:eastAsia="zh-CN"/>
        </w:rPr>
        <w:t xml:space="preserve">包括但不限于完成该项工作所需的人工（包括工资、奖金、社保、正常节假日的加班费及完成标书合同规定服务内容发生的延时加班等费用）、</w:t>
      </w:r>
      <w:r>
        <w:rPr>
          <w:rFonts w:hint="eastAsia" w:ascii="宋体" w:hAnsi="宋体" w:eastAsia="宋体" w:cs="宋体"/>
          <w:color w:val="auto"/>
          <w:sz w:val="21"/>
          <w:szCs w:val="21"/>
          <w:highlight w:val="none"/>
        </w:rPr>
        <w:t xml:space="preserve">乙方应承担的义务及相关的后续服务，如限时理赔支付赔款、无偿提供保险知识培训、保险宣传、管理成本、劳保、利润、税金、政策性文件规定及合同包含的所有风险、责任等各项应有费用</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同时，除非合同条款中另有规定，否则，投标人所报价格在合同实施期间不因市场变化因素而变动</w:t>
      </w:r>
      <w:r>
        <w:rPr>
          <w:rFonts w:hint="eastAsia" w:ascii="宋体" w:hAnsi="宋体" w:eastAsia="宋体" w:cs="宋体"/>
          <w:color w:val="auto"/>
          <w:sz w:val="21"/>
          <w:szCs w:val="24"/>
          <w:highlight w:val="none"/>
          <w:lang w:eastAsia="zh-CN"/>
        </w:rPr>
        <w:t xml:space="preserve">。</w:t>
      </w:r>
      <w:r/>
    </w:p>
    <w:p>
      <w:pPr>
        <w:numPr>
          <w:ilvl w:val="0"/>
          <w:numId w:val="0"/>
        </w:numPr>
        <w:ind w:firstLine="420"/>
        <w:jc w:val="both"/>
        <w:keepLines w:val="0"/>
        <w:keepNext w:val="0"/>
        <w:pageBreakBefore w:val="0"/>
        <w:spacing w:before="0" w:beforeAutospacing="0" w:afterAutospacing="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outlineLvl w:val="0"/>
      </w:pPr>
      <w:r>
        <w:rPr>
          <w:rFonts w:hint="eastAsia" w:ascii="宋体" w:hAnsi="宋体" w:eastAsia="宋体" w:cs="宋体"/>
          <w:b w:val="0"/>
          <w:bCs w:val="0"/>
          <w:color w:val="auto"/>
          <w:sz w:val="21"/>
          <w:szCs w:val="21"/>
          <w:highlight w:val="none"/>
          <w:lang w:val="en-US" w:eastAsia="zh-CN" w:bidi="ar-SA"/>
        </w:rPr>
        <w:t xml:space="preserve">（二）项目验收：</w:t>
      </w:r>
      <w:r/>
    </w:p>
    <w:p>
      <w:pPr>
        <w:numPr>
          <w:ilvl w:val="0"/>
          <w:numId w:val="0"/>
        </w:numPr>
        <w:ind w:firstLine="420"/>
        <w:jc w:val="both"/>
        <w:keepLines w:val="0"/>
        <w:keepNext w:val="0"/>
        <w:pageBreakBefore w:val="0"/>
        <w:spacing w:before="0" w:beforeAutospacing="0" w:afterAutospacing="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outlineLvl w:val="0"/>
      </w:pPr>
      <w:r>
        <w:rPr>
          <w:rFonts w:hint="eastAsia" w:ascii="宋体" w:hAnsi="宋体" w:eastAsia="宋体" w:cs="宋体"/>
          <w:b w:val="0"/>
          <w:bCs w:val="0"/>
          <w:color w:val="auto"/>
          <w:sz w:val="21"/>
          <w:szCs w:val="21"/>
          <w:highlight w:val="none"/>
          <w:lang w:val="en-US" w:eastAsia="zh-CN" w:bidi="ar-SA"/>
        </w:rPr>
        <w:t xml:space="preserve">1、验收组织方式：本项目由采购人组织进行验收。</w:t>
      </w:r>
      <w:r/>
    </w:p>
    <w:p>
      <w:pPr>
        <w:numPr>
          <w:ilvl w:val="0"/>
          <w:numId w:val="0"/>
        </w:numPr>
        <w:ind w:firstLine="420"/>
        <w:jc w:val="both"/>
        <w:keepLines w:val="0"/>
        <w:keepNext w:val="0"/>
        <w:pageBreakBefore w:val="0"/>
        <w:spacing w:before="0" w:beforeAutospacing="0" w:afterAutospacing="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outlineLvl w:val="0"/>
      </w:pPr>
      <w:r>
        <w:rPr>
          <w:rFonts w:hint="eastAsia" w:ascii="宋体" w:hAnsi="宋体" w:eastAsia="宋体" w:cs="宋体"/>
          <w:b w:val="0"/>
          <w:bCs w:val="0"/>
          <w:color w:val="auto"/>
          <w:sz w:val="21"/>
          <w:szCs w:val="21"/>
          <w:highlight w:val="none"/>
          <w:lang w:val="en-US" w:eastAsia="zh-CN" w:bidi="ar-SA"/>
        </w:rPr>
        <w:t xml:space="preserve">2、履约验收时间：本项目完成后进行验收，采购人向供应商发出《政府采购履约验收通知单》（附件1），验收完成后形成《政府采购履约验收书》（附件2）。</w:t>
      </w:r>
      <w:r/>
    </w:p>
    <w:p>
      <w:pPr>
        <w:numPr>
          <w:ilvl w:val="0"/>
          <w:numId w:val="0"/>
        </w:numPr>
        <w:ind w:firstLine="420"/>
        <w:jc w:val="both"/>
        <w:keepLines w:val="0"/>
        <w:keepNext w:val="0"/>
        <w:pageBreakBefore w:val="0"/>
        <w:spacing w:before="0" w:beforeAutospacing="0" w:afterAutospacing="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outlineLvl w:val="0"/>
      </w:pPr>
      <w:r>
        <w:rPr>
          <w:rFonts w:hint="eastAsia" w:ascii="宋体" w:hAnsi="宋体" w:eastAsia="宋体" w:cs="宋体"/>
          <w:b w:val="0"/>
          <w:bCs w:val="0"/>
          <w:color w:val="auto"/>
          <w:sz w:val="21"/>
          <w:szCs w:val="21"/>
          <w:highlight w:val="none"/>
          <w:lang w:val="en-US" w:eastAsia="zh-CN" w:bidi="ar-SA"/>
        </w:rPr>
        <w:t xml:space="preserve">3、履约验收标准：为保证本项目实施的科学性、规范性和准确性，履约验收必须严格遵照项目需求、国家有关法律、法规、规章制度以及国家和行业颁布的相关技术标准和规范。</w:t>
      </w:r>
      <w:r/>
    </w:p>
    <w:p>
      <w:pPr>
        <w:ind w:firstLine="420"/>
        <w:jc w:val="both"/>
        <w:keepLines w:val="0"/>
        <w:keepNext w:val="0"/>
        <w:pageBreakBefore w:val="0"/>
        <w:spacing w:line="360" w:lineRule="auto"/>
        <w:widowControl w:val="off"/>
        <w:tabs>
          <w:tab w:val="left" w:pos="8930" w:leader="none"/>
          <w:tab w:val="left" w:pos="9306"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（三）付款方式：</w:t>
      </w:r>
      <w:r>
        <w:rPr>
          <w:rFonts w:hint="eastAsia" w:ascii="宋体" w:hAnsi="宋体" w:eastAsia="宋体" w:cs="宋体"/>
          <w:b w:val="0"/>
          <w:bCs/>
          <w:color w:val="auto"/>
          <w:sz w:val="21"/>
          <w:szCs w:val="21"/>
          <w:highlight w:val="none"/>
          <w:lang w:eastAsia="zh-CN"/>
        </w:rPr>
        <w:t xml:space="preserve">具体金额根据实际投保人数按实结算，乙方在收到款项后须在次日生效保单，并在5个工作日内交付保单和发票。</w:t>
      </w:r>
      <w:r/>
    </w:p>
    <w:p>
      <w:pPr>
        <w:numPr>
          <w:ilvl w:val="0"/>
          <w:numId w:val="0"/>
        </w:numPr>
        <w:ind w:firstLine="420"/>
        <w:jc w:val="both"/>
        <w:keepLines w:val="0"/>
        <w:keepNext w:val="0"/>
        <w:pageBreakBefore w:val="0"/>
        <w:spacing w:before="0" w:beforeAutospacing="0" w:afterAutospacing="0" w:line="360" w:lineRule="auto"/>
        <w:widowControl w:val="off"/>
        <w:tabs>
          <w:tab w:val="left" w:pos="567" w:leader="none"/>
        </w:tabs>
        <w:rPr>
          <w:rFonts w:hint="eastAsia" w:ascii="宋体" w:hAnsi="宋体" w:eastAsia="宋体" w:cs="宋体"/>
          <w:b w:val="0"/>
          <w:bCs w:val="0"/>
          <w:color w:val="auto"/>
          <w:sz w:val="21"/>
          <w:szCs w:val="21"/>
          <w:highlight w:val="none"/>
          <w:lang w:val="en-US" w:eastAsia="en-US" w:bidi="ar-SA"/>
        </w:rPr>
        <w:outlineLvl w:val="0"/>
      </w:pPr>
      <w:r>
        <w:rPr>
          <w:rFonts w:hint="eastAsia" w:ascii="宋体" w:hAnsi="宋体" w:eastAsia="宋体" w:cs="宋体"/>
          <w:b w:val="0"/>
          <w:bCs w:val="0"/>
          <w:color w:val="auto"/>
          <w:sz w:val="21"/>
          <w:szCs w:val="21"/>
          <w:highlight w:val="none"/>
          <w:lang w:val="en-US" w:eastAsia="zh-CN" w:bidi="ar-SA"/>
        </w:rPr>
        <w:t xml:space="preserve">（四）</w:t>
      </w:r>
      <w:r>
        <w:rPr>
          <w:rFonts w:hint="eastAsia" w:ascii="宋体" w:hAnsi="宋体" w:eastAsia="宋体" w:cs="宋体"/>
          <w:b w:val="0"/>
          <w:bCs w:val="0"/>
          <w:color w:val="auto"/>
          <w:sz w:val="21"/>
          <w:szCs w:val="21"/>
          <w:highlight w:val="none"/>
          <w:lang w:val="en-US" w:eastAsia="en-US" w:bidi="ar-SA"/>
        </w:rPr>
        <w:t xml:space="preserve">其他要求</w:t>
      </w:r>
      <w:r/>
    </w:p>
    <w:p>
      <w:pPr>
        <w:numPr>
          <w:ilvl w:val="0"/>
          <w:numId w:val="0"/>
        </w:numPr>
        <w:ind w:firstLine="420"/>
        <w:jc w:val="left"/>
        <w:keepLines w:val="0"/>
        <w:keepNext w:val="0"/>
        <w:pageBreakBefore w:val="0"/>
        <w:spacing w:before="0" w:beforeAutospacing="0" w:afterAutospacing="0" w:line="360" w:lineRule="auto"/>
        <w:widowControl/>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 xml:space="preserve">1、本项目</w:t>
      </w:r>
      <w:r>
        <w:rPr>
          <w:rFonts w:hint="eastAsia" w:ascii="宋体" w:hAnsi="宋体" w:eastAsia="宋体" w:cs="宋体"/>
          <w:b w:val="0"/>
          <w:bCs w:val="0"/>
          <w:color w:val="auto"/>
          <w:sz w:val="21"/>
          <w:szCs w:val="21"/>
          <w:highlight w:val="none"/>
          <w:lang w:eastAsia="en-US"/>
        </w:rPr>
        <w:t xml:space="preserve">最终投保人数及总保费金额</w:t>
      </w:r>
      <w:r>
        <w:rPr>
          <w:rFonts w:hint="eastAsia" w:ascii="宋体" w:hAnsi="宋体" w:eastAsia="宋体" w:cs="宋体"/>
          <w:b w:val="0"/>
          <w:bCs w:val="0"/>
          <w:color w:val="auto"/>
          <w:sz w:val="21"/>
          <w:szCs w:val="21"/>
          <w:highlight w:val="none"/>
          <w:lang w:val="en-US" w:eastAsia="zh-CN"/>
        </w:rPr>
        <w:t xml:space="preserve">按中标单价</w:t>
      </w:r>
      <w:r>
        <w:rPr>
          <w:rFonts w:hint="eastAsia" w:ascii="宋体" w:hAnsi="宋体" w:eastAsia="宋体" w:cs="宋体"/>
          <w:b w:val="0"/>
          <w:bCs w:val="0"/>
          <w:color w:val="auto"/>
          <w:sz w:val="21"/>
          <w:szCs w:val="21"/>
          <w:highlight w:val="none"/>
          <w:lang w:eastAsia="en-US"/>
        </w:rPr>
        <w:t xml:space="preserve">按实结算。</w:t>
      </w:r>
      <w:r/>
    </w:p>
    <w:p>
      <w:pPr>
        <w:numPr>
          <w:ilvl w:val="0"/>
          <w:numId w:val="0"/>
        </w:numPr>
        <w:ind w:firstLine="420"/>
        <w:jc w:val="left"/>
        <w:keepLines w:val="0"/>
        <w:keepNext w:val="0"/>
        <w:pageBreakBefore w:val="0"/>
        <w:spacing w:before="0" w:beforeAutospacing="0" w:afterAutospacing="0" w:line="360" w:lineRule="auto"/>
        <w:widowControl/>
        <w:tabs>
          <w:tab w:val="left" w:pos="567" w:leader="none"/>
        </w:tabs>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en-US"/>
        </w:rPr>
        <w:t xml:space="preserve">中标单位对服务缺陷不予更正，招标人有权另请其他单位更正，所发生的费用由中标单位承担。</w:t>
      </w:r>
      <w:r/>
    </w:p>
    <w:p>
      <w:pPr>
        <w:numPr>
          <w:ilvl w:val="0"/>
          <w:numId w:val="0"/>
        </w:numPr>
        <w:ind w:firstLine="420"/>
        <w:jc w:val="left"/>
        <w:keepLines w:val="0"/>
        <w:keepNext w:val="0"/>
        <w:pageBreakBefore w:val="0"/>
        <w:spacing w:before="0" w:beforeAutospacing="0" w:afterAutospacing="0" w:line="360" w:lineRule="auto"/>
        <w:widowControl/>
        <w:tabs>
          <w:tab w:val="left" w:pos="567" w:leader="none"/>
        </w:tabs>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en-US"/>
        </w:rPr>
        <w:t xml:space="preserve">中标单位须按照本招标文件的要求对该招标项目进行服务工作。</w:t>
      </w:r>
      <w:r/>
    </w:p>
    <w:p>
      <w:pPr>
        <w:numPr>
          <w:ilvl w:val="0"/>
          <w:numId w:val="0"/>
        </w:numPr>
        <w:ind w:firstLine="420"/>
        <w:jc w:val="left"/>
        <w:keepLines w:val="0"/>
        <w:keepNext w:val="0"/>
        <w:pageBreakBefore w:val="0"/>
        <w:spacing w:before="0" w:beforeAutospacing="0" w:afterAutospacing="0" w:line="360" w:lineRule="auto"/>
        <w:widowControl/>
        <w:tabs>
          <w:tab w:val="left" w:pos="567" w:leader="none"/>
        </w:tabs>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en-US"/>
        </w:rPr>
        <w:t xml:space="preserve">中标人在履行合同义务期间，应遵守国家有关法律、法规、维护委托单位的合法权益。</w:t>
      </w:r>
      <w:r/>
    </w:p>
    <w:p>
      <w:pPr>
        <w:numPr>
          <w:ilvl w:val="0"/>
          <w:numId w:val="0"/>
        </w:numPr>
        <w:ind w:firstLine="420"/>
        <w:jc w:val="left"/>
        <w:keepLines w:val="0"/>
        <w:keepNext w:val="0"/>
        <w:pageBreakBefore w:val="0"/>
        <w:spacing w:before="0" w:beforeAutospacing="0" w:afterAutospacing="0" w:line="360" w:lineRule="auto"/>
        <w:widowControl/>
        <w:tabs>
          <w:tab w:val="left" w:pos="567" w:leader="none"/>
        </w:tabs>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en-US"/>
        </w:rPr>
        <w:t xml:space="preserve">技术依据：为保证本项目实施的科学性、规范性和准确性，技术实施方案需要严格遵照国家有关法律、法规、规章制度以及国家和行业颁布的相关技术标准和规范。</w:t>
      </w:r>
      <w:r/>
    </w:p>
    <w:p>
      <w:pPr>
        <w:numPr>
          <w:ilvl w:val="0"/>
          <w:numId w:val="0"/>
        </w:numPr>
        <w:ind w:firstLine="420"/>
        <w:jc w:val="left"/>
        <w:keepLines w:val="0"/>
        <w:keepNext w:val="0"/>
        <w:pageBreakBefore w:val="0"/>
        <w:spacing w:before="0" w:beforeAutospacing="0" w:afterAutospacing="0" w:line="360" w:lineRule="auto"/>
        <w:widowControl/>
        <w:tabs>
          <w:tab w:val="left" w:pos="567" w:leader="none"/>
        </w:tabs>
        <w:rPr>
          <w:rFonts w:hint="eastAsia" w:ascii="宋体" w:hAnsi="宋体" w:eastAsia="宋体" w:cs="宋体"/>
          <w:b w:val="0"/>
          <w:bCs w:val="0"/>
          <w:color w:val="auto"/>
          <w:sz w:val="21"/>
          <w:szCs w:val="21"/>
          <w:highlight w:val="none"/>
          <w:lang w:eastAsia="en-US"/>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en-US"/>
        </w:rPr>
        <w:t xml:space="preserve">在项目成果通过验收并实施过程中，按照项目实际需求，配合采购人进一步完善成果细节，以满足</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en-US"/>
        </w:rPr>
        <w:t xml:space="preserve">要求。</w:t>
      </w:r>
      <w:r/>
    </w:p>
    <w:p>
      <w:pPr>
        <w:ind w:firstLine="420"/>
        <w:jc w:val="left"/>
        <w:keepLines w:val="0"/>
        <w:keepNext w:val="0"/>
        <w:pageBreakBefore w:val="0"/>
        <w:spacing w:before="0" w:beforeAutospacing="0" w:afterAutospacing="0" w:line="360" w:lineRule="auto"/>
        <w:widowControl/>
        <w:tabs>
          <w:tab w:val="left" w:pos="840" w:leader="none"/>
        </w:tabs>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、供应商提供针对本项目的承保服务</w:t>
      </w:r>
      <w:r>
        <w:rPr>
          <w:rFonts w:hint="eastAsia" w:ascii="宋体" w:hAnsi="宋体" w:eastAsia="宋体" w:cs="宋体"/>
          <w:b w:val="0"/>
          <w:bCs w:val="0"/>
          <w:color w:val="auto"/>
          <w:sz w:val="21"/>
          <w:szCs w:val="21"/>
          <w:highlight w:val="none"/>
          <w:lang w:val="en-US" w:eastAsia="zh-CN"/>
        </w:rPr>
        <w:t xml:space="preserve">方案</w:t>
      </w:r>
      <w:r>
        <w:rPr>
          <w:rFonts w:hint="eastAsia" w:ascii="宋体" w:hAnsi="宋体" w:eastAsia="宋体" w:cs="宋体"/>
          <w:b w:val="0"/>
          <w:bCs w:val="0"/>
          <w:color w:val="auto"/>
          <w:sz w:val="21"/>
          <w:szCs w:val="21"/>
          <w:highlight w:val="none"/>
          <w:lang w:eastAsia="zh-CN"/>
        </w:rPr>
        <w:t xml:space="preserve">，内容至少包括：①指定专门的客服人员②定期走访参保客户③组织宣传推广④便捷投保。</w:t>
      </w:r>
      <w:r/>
    </w:p>
    <w:p>
      <w:pPr>
        <w:ind w:firstLine="420"/>
        <w:jc w:val="left"/>
        <w:keepLines w:val="0"/>
        <w:keepNext w:val="0"/>
        <w:pageBreakBefore w:val="0"/>
        <w:spacing w:before="0" w:beforeAutospacing="0" w:afterAutospacing="0" w:line="360" w:lineRule="auto"/>
        <w:widowControl/>
        <w:tabs>
          <w:tab w:val="left" w:pos="840" w:leader="none"/>
        </w:tabs>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、供应商提供针对本项目的理赔服务</w:t>
      </w:r>
      <w:r>
        <w:rPr>
          <w:rFonts w:hint="eastAsia" w:ascii="宋体" w:hAnsi="宋体" w:eastAsia="宋体" w:cs="宋体"/>
          <w:b w:val="0"/>
          <w:bCs w:val="0"/>
          <w:color w:val="auto"/>
          <w:sz w:val="21"/>
          <w:szCs w:val="21"/>
          <w:highlight w:val="none"/>
          <w:lang w:val="en-US" w:eastAsia="zh-CN"/>
        </w:rPr>
        <w:t xml:space="preserve">方案</w:t>
      </w:r>
      <w:r>
        <w:rPr>
          <w:rFonts w:hint="eastAsia" w:ascii="宋体" w:hAnsi="宋体" w:eastAsia="宋体" w:cs="宋体"/>
          <w:b w:val="0"/>
          <w:bCs w:val="0"/>
          <w:color w:val="auto"/>
          <w:sz w:val="21"/>
          <w:szCs w:val="21"/>
          <w:highlight w:val="none"/>
          <w:lang w:eastAsia="zh-CN"/>
        </w:rPr>
        <w:t xml:space="preserve">，内容至少包括：①</w:t>
      </w:r>
      <w:r>
        <w:rPr>
          <w:rFonts w:hint="eastAsia" w:ascii="宋体" w:hAnsi="宋体" w:eastAsia="宋体" w:cs="宋体"/>
          <w:b w:val="0"/>
          <w:bCs w:val="0"/>
          <w:color w:val="auto"/>
          <w:sz w:val="21"/>
          <w:szCs w:val="21"/>
          <w:highlight w:val="none"/>
          <w:lang w:val="en-US" w:eastAsia="zh-CN"/>
        </w:rPr>
        <w:t xml:space="preserve">理赔服务</w:t>
      </w:r>
      <w:r>
        <w:rPr>
          <w:rFonts w:hint="eastAsia" w:ascii="宋体" w:hAnsi="宋体" w:eastAsia="宋体" w:cs="宋体"/>
          <w:b w:val="0"/>
          <w:bCs w:val="0"/>
          <w:color w:val="auto"/>
          <w:sz w:val="21"/>
          <w:szCs w:val="21"/>
          <w:highlight w:val="none"/>
          <w:lang w:eastAsia="zh-CN"/>
        </w:rPr>
        <w:t xml:space="preserve">团队配备②接报受理</w:t>
      </w:r>
      <w:r>
        <w:rPr>
          <w:rFonts w:hint="eastAsia" w:ascii="宋体" w:hAnsi="宋体" w:eastAsia="宋体" w:cs="宋体"/>
          <w:b w:val="0"/>
          <w:bCs w:val="0"/>
          <w:color w:val="auto"/>
          <w:sz w:val="21"/>
          <w:szCs w:val="21"/>
          <w:highlight w:val="none"/>
          <w:lang w:val="en-US" w:eastAsia="zh-CN"/>
        </w:rPr>
        <w:t xml:space="preserve">情况</w:t>
      </w:r>
      <w:r>
        <w:rPr>
          <w:rFonts w:hint="eastAsia" w:ascii="宋体" w:hAnsi="宋体" w:eastAsia="宋体" w:cs="宋体"/>
          <w:b w:val="0"/>
          <w:bCs w:val="0"/>
          <w:color w:val="auto"/>
          <w:sz w:val="21"/>
          <w:szCs w:val="21"/>
          <w:highlight w:val="none"/>
          <w:lang w:eastAsia="zh-CN"/>
        </w:rPr>
        <w:t xml:space="preserve">③理赔程序资料收集④理赔时效制度及后续服务。</w:t>
      </w:r>
      <w:r/>
    </w:p>
    <w:p>
      <w:pPr>
        <w:ind w:firstLine="420"/>
        <w:jc w:val="left"/>
        <w:keepLines w:val="0"/>
        <w:keepNext w:val="0"/>
        <w:pageBreakBefore w:val="0"/>
        <w:spacing w:before="0" w:beforeAutospacing="0" w:afterAutospacing="0" w:line="360" w:lineRule="auto"/>
        <w:widowControl/>
        <w:tabs>
          <w:tab w:val="left" w:pos="84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、供应商提供针对本项目的服务质量监督措施</w:t>
      </w:r>
      <w:r>
        <w:rPr>
          <w:rFonts w:hint="eastAsia" w:ascii="宋体" w:hAnsi="宋体" w:eastAsia="宋体" w:cs="宋体"/>
          <w:b w:val="0"/>
          <w:bCs w:val="0"/>
          <w:color w:val="auto"/>
          <w:sz w:val="21"/>
          <w:szCs w:val="21"/>
          <w:highlight w:val="none"/>
          <w:lang w:val="en-US" w:eastAsia="zh-CN"/>
        </w:rPr>
        <w:t xml:space="preserve">方案</w:t>
      </w:r>
      <w:r>
        <w:rPr>
          <w:rFonts w:hint="eastAsia" w:ascii="宋体" w:hAnsi="宋体" w:eastAsia="宋体" w:cs="宋体"/>
          <w:b w:val="0"/>
          <w:bCs w:val="0"/>
          <w:color w:val="auto"/>
          <w:sz w:val="21"/>
          <w:szCs w:val="21"/>
          <w:highlight w:val="none"/>
          <w:lang w:eastAsia="zh-CN"/>
        </w:rPr>
        <w:t xml:space="preserve">，内容至少包括：①服务投诉处理办法②服务监督措施③争议处理④赔款滞纳金等。</w:t>
      </w:r>
      <w:r/>
    </w:p>
    <w:p>
      <w:pPr>
        <w:ind w:firstLine="420"/>
        <w:spacing w:line="460" w:lineRule="exact"/>
        <w:tabs>
          <w:tab w:val="left" w:pos="142"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、供应商提供针对本项目的</w:t>
      </w:r>
      <w:r>
        <w:rPr>
          <w:rFonts w:hint="eastAsia" w:ascii="宋体" w:hAnsi="宋体" w:eastAsia="宋体" w:cs="宋体"/>
          <w:b w:val="0"/>
          <w:bCs w:val="0"/>
          <w:color w:val="auto"/>
          <w:sz w:val="21"/>
          <w:szCs w:val="21"/>
          <w:highlight w:val="none"/>
          <w:lang w:eastAsia="en-US"/>
        </w:rPr>
        <w:t xml:space="preserve">培训</w:t>
      </w:r>
      <w:r>
        <w:rPr>
          <w:rFonts w:hint="eastAsia" w:ascii="宋体" w:hAnsi="宋体" w:eastAsia="宋体" w:cs="宋体"/>
          <w:b w:val="0"/>
          <w:bCs w:val="0"/>
          <w:color w:val="auto"/>
          <w:sz w:val="21"/>
          <w:szCs w:val="21"/>
          <w:highlight w:val="none"/>
          <w:lang w:val="en-US" w:eastAsia="zh-CN"/>
        </w:rPr>
        <w:t xml:space="preserve">方案</w:t>
      </w:r>
      <w:r>
        <w:rPr>
          <w:rFonts w:hint="eastAsia" w:ascii="宋体" w:hAnsi="宋体" w:eastAsia="宋体" w:cs="宋体"/>
          <w:b w:val="0"/>
          <w:bCs w:val="0"/>
          <w:color w:val="auto"/>
          <w:sz w:val="21"/>
          <w:szCs w:val="21"/>
          <w:highlight w:val="none"/>
          <w:lang w:eastAsia="zh-CN"/>
        </w:rPr>
        <w:t xml:space="preserve">，内容至少包括：①回访制度②培训内容及时间计划③定期沟通</w:t>
      </w:r>
      <w:r/>
    </w:p>
    <w:p>
      <w:pPr>
        <w:ind w:firstLine="422"/>
        <w:spacing w:line="460" w:lineRule="exact"/>
        <w:tabs>
          <w:tab w:val="left" w:pos="142" w:leader="none"/>
        </w:tabs>
        <w:rPr>
          <w:rFonts w:hint="eastAsia" w:ascii="宋体" w:hAnsi="宋体" w:eastAsia="宋体" w:cs="Times New Roman"/>
          <w:b/>
          <w:bCs/>
          <w:color w:val="auto"/>
          <w:sz w:val="24"/>
          <w:szCs w:val="24"/>
          <w:highlight w:val="none"/>
          <w:lang w:val="en-US" w:eastAsia="zh-CN"/>
        </w:rPr>
        <w:sectPr>
          <w:footerReference w:type="default" r:id="rId10"/>
          <w:footerReference w:type="first" r:id="rId11"/>
          <w:footnotePr/>
          <w:endnotePr/>
          <w:type w:val="nextPage"/>
          <w:pgSz w:w="11907" w:h="16840" w:orient="portrait"/>
          <w:pgMar w:top="1077" w:right="1134" w:bottom="1077" w:left="1134" w:header="567" w:footer="567" w:gutter="0"/>
          <w:pgNumType w:start="1"/>
          <w:cols w:num="1" w:sep="0" w:space="720" w:equalWidth="1"/>
          <w:docGrid w:linePitch="360"/>
          <w:titlePg/>
        </w:sectPr>
      </w:pP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、凡涉及采购文件的补充说明和修改，均以苏州政府采购网发布的</w:t>
      </w:r>
      <w:r>
        <w:rPr>
          <w:rFonts w:hint="eastAsia" w:ascii="宋体" w:hAnsi="宋体" w:eastAsia="宋体" w:cs="宋体"/>
          <w:b/>
          <w:bCs/>
          <w:color w:val="auto"/>
          <w:sz w:val="21"/>
          <w:szCs w:val="21"/>
          <w:highlight w:val="none"/>
          <w:lang w:val="en-US" w:eastAsia="zh-CN"/>
        </w:rPr>
        <w:t xml:space="preserve">通知</w:t>
      </w:r>
      <w:r>
        <w:rPr>
          <w:rFonts w:hint="eastAsia" w:ascii="宋体" w:hAnsi="宋体" w:eastAsia="宋体" w:cs="宋体"/>
          <w:b/>
          <w:bCs/>
          <w:color w:val="auto"/>
          <w:sz w:val="21"/>
          <w:szCs w:val="21"/>
          <w:highlight w:val="none"/>
        </w:rPr>
        <w:t xml:space="preserve">为准。</w:t>
      </w:r>
      <w:r/>
    </w:p>
    <w:p>
      <w:pPr>
        <w:jc w:val="center"/>
        <w:keepLines w:val="0"/>
        <w:pageBreakBefore w:val="0"/>
        <w:spacing w:line="400" w:lineRule="exact"/>
        <w:widowControl w:val="off"/>
        <w:rPr>
          <w:rFonts w:hint="eastAsia" w:ascii="宋体" w:hAnsi="宋体" w:eastAsia="宋体" w:cs="Times New Roman"/>
          <w:b/>
          <w:color w:val="auto"/>
          <w:sz w:val="32"/>
          <w:szCs w:val="32"/>
          <w:highlight w:val="none"/>
          <w:lang w:val="en-US" w:eastAsia="zh-CN" w:bidi="ar-SA"/>
        </w:rPr>
      </w:pPr>
      <w:r>
        <w:rPr>
          <w:rFonts w:hint="eastAsia" w:ascii="宋体" w:hAnsi="宋体" w:eastAsia="宋体" w:cs="Times New Roman"/>
          <w:b/>
          <w:color w:val="auto"/>
          <w:sz w:val="32"/>
          <w:szCs w:val="32"/>
          <w:highlight w:val="none"/>
          <w:lang w:val="en-US" w:eastAsia="zh-CN" w:bidi="ar-SA"/>
        </w:rPr>
        <w:t xml:space="preserve">第四部分  投标文件格式</w:t>
      </w:r>
      <w:r/>
    </w:p>
    <w:p>
      <w:pPr>
        <w:jc w:val="both"/>
        <w:spacing w:line="380" w:lineRule="exact"/>
        <w:rPr>
          <w:rFonts w:hint="eastAsia" w:ascii="宋体" w:hAnsi="宋体" w:cs="宋体"/>
          <w:b/>
          <w:color w:val="auto"/>
          <w:sz w:val="32"/>
          <w:highlight w:val="none"/>
        </w:rPr>
      </w:pPr>
      <w:r>
        <w:rPr>
          <w:rFonts w:hint="eastAsia" w:ascii="宋体" w:hAnsi="宋体" w:cs="宋体"/>
          <w:b/>
          <w:color w:val="auto"/>
          <w:sz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对本章所有的投标书格式，投标方可根据自身情况进行补充和修改，但补充和修改不得造成与本格式内容有实质性的违背。</w:t>
      </w:r>
      <w:bookmarkEnd w:id="9"/>
      <w:r/>
    </w:p>
    <w:p>
      <w:p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封面：</w:t>
      </w:r>
      <w:r/>
    </w:p>
    <w:p>
      <w:pPr>
        <w:jc w:val="both"/>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both"/>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投   标   文   件</w:t>
      </w:r>
      <w:r/>
    </w:p>
    <w:p>
      <w:pPr>
        <w:pStyle w:val="969"/>
        <w:ind w:left="0" w:firstLine="0"/>
        <w:rPr>
          <w:rFonts w:hint="eastAsia" w:cs="宋体"/>
          <w:b/>
          <w:color w:val="auto"/>
          <w:sz w:val="72"/>
          <w:szCs w:val="72"/>
          <w:highlight w:val="none"/>
        </w:rPr>
      </w:pPr>
      <w:r>
        <w:rPr>
          <w:rFonts w:hint="eastAsia" w:cs="宋体"/>
          <w:b/>
          <w:color w:val="auto"/>
          <w:sz w:val="72"/>
          <w:szCs w:val="72"/>
          <w:highlight w:val="none"/>
        </w:rPr>
      </w:r>
      <w:r/>
    </w:p>
    <w:p>
      <w:pPr>
        <w:pStyle w:val="969"/>
        <w:ind w:left="0" w:firstLine="0"/>
        <w:rPr>
          <w:rFonts w:hint="eastAsia"/>
          <w:color w:val="auto"/>
          <w:highlight w:val="none"/>
        </w:rPr>
      </w:pPr>
      <w:r>
        <w:rPr>
          <w:rFonts w:hint="eastAsia"/>
          <w:color w:val="auto"/>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ind w:firstLine="1265"/>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采购单位：</w:t>
      </w:r>
      <w:r>
        <w:rPr>
          <w:rFonts w:hint="eastAsia" w:ascii="宋体" w:hAnsi="宋体" w:cs="宋体"/>
          <w:b/>
          <w:color w:val="auto"/>
          <w:sz w:val="36"/>
          <w:szCs w:val="36"/>
          <w:highlight w:val="none"/>
          <w:lang w:eastAsia="zh-CN"/>
        </w:rPr>
        <w:t xml:space="preserve">太仓市公安局</w:t>
      </w:r>
      <w:r/>
    </w:p>
    <w:p>
      <w:pPr>
        <w:ind w:left="2344" w:hanging="1084"/>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项目名称：</w:t>
      </w:r>
      <w:r>
        <w:rPr>
          <w:rFonts w:hint="eastAsia" w:ascii="宋体" w:hAnsi="宋体" w:cs="宋体"/>
          <w:b/>
          <w:color w:val="auto"/>
          <w:sz w:val="36"/>
          <w:szCs w:val="36"/>
          <w:highlight w:val="none"/>
          <w:lang w:eastAsia="zh-CN"/>
        </w:rPr>
        <w:t xml:space="preserve">2026年人身保险服务</w:t>
      </w:r>
      <w:r/>
    </w:p>
    <w:p>
      <w:pPr>
        <w:ind w:firstLine="1265"/>
        <w:rPr>
          <w:rFonts w:hint="eastAsia" w:ascii="宋体" w:hAnsi="宋体" w:cs="宋体"/>
          <w:b/>
          <w:color w:val="auto"/>
          <w:sz w:val="36"/>
          <w:szCs w:val="36"/>
          <w:highlight w:val="none"/>
          <w:lang w:eastAsia="zh-CN"/>
        </w:rPr>
      </w:pPr>
      <w:r>
        <w:rPr>
          <w:rFonts w:hint="eastAsia" w:ascii="宋体" w:hAnsi="宋体" w:cs="宋体"/>
          <w:b/>
          <w:color w:val="auto"/>
          <w:sz w:val="36"/>
          <w:szCs w:val="36"/>
          <w:highlight w:val="none"/>
        </w:rPr>
        <w:t xml:space="preserve">项目编号：</w:t>
      </w:r>
      <w:r>
        <w:rPr>
          <w:rFonts w:hint="eastAsia" w:ascii="宋体" w:hAnsi="宋体" w:cs="宋体"/>
          <w:b/>
          <w:color w:val="auto"/>
          <w:sz w:val="36"/>
          <w:szCs w:val="36"/>
          <w:highlight w:val="none"/>
          <w:lang w:eastAsia="zh-CN"/>
        </w:rPr>
        <w:t xml:space="preserve">JSZC-320585-ZFXM-G2026-0008</w:t>
      </w:r>
      <w:r/>
    </w:p>
    <w:p>
      <w:pPr>
        <w:ind w:firstLine="1265"/>
        <w:rPr>
          <w:rFonts w:hint="default" w:ascii="宋体" w:hAnsi="宋体" w:cs="宋体"/>
          <w:b/>
          <w:color w:val="auto"/>
          <w:sz w:val="36"/>
          <w:szCs w:val="36"/>
          <w:highlight w:val="none"/>
          <w:u w:val="single"/>
          <w:lang w:val="en-US"/>
        </w:rPr>
      </w:pPr>
      <w:r>
        <w:rPr>
          <w:rFonts w:hint="eastAsia" w:ascii="宋体" w:hAnsi="宋体" w:cs="宋体"/>
          <w:b/>
          <w:color w:val="auto"/>
          <w:sz w:val="36"/>
          <w:szCs w:val="36"/>
          <w:highlight w:val="none"/>
          <w:lang w:val="en-US" w:eastAsia="zh-CN"/>
        </w:rPr>
        <w:t xml:space="preserve">采购包号</w:t>
      </w:r>
      <w:r>
        <w:rPr>
          <w:rFonts w:hint="eastAsia" w:ascii="宋体" w:hAnsi="宋体" w:cs="宋体"/>
          <w:b/>
          <w:color w:val="auto"/>
          <w:sz w:val="36"/>
          <w:szCs w:val="36"/>
          <w:highlight w:val="none"/>
          <w:lang w:eastAsia="zh-CN"/>
        </w:rPr>
        <w:t xml:space="preserve">：</w:t>
      </w:r>
      <w:r>
        <w:rPr>
          <w:rFonts w:hint="eastAsia" w:ascii="宋体" w:hAnsi="宋体" w:cs="宋体"/>
          <w:b/>
          <w:color w:val="auto"/>
          <w:sz w:val="36"/>
          <w:szCs w:val="36"/>
          <w:highlight w:val="none"/>
          <w:u w:val="single"/>
          <w:lang w:val="en-US" w:eastAsia="zh-CN"/>
        </w:rPr>
        <w:t xml:space="preserve">    </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pStyle w:val="851"/>
        <w:ind w:left="0" w:firstLine="0"/>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542"/>
        <w:rPr>
          <w:rFonts w:hint="eastAsia" w:ascii="宋体" w:hAnsi="宋体" w:cs="宋体"/>
          <w:color w:val="auto"/>
          <w:sz w:val="32"/>
          <w:highlight w:val="none"/>
          <w:u w:val="single"/>
        </w:rPr>
      </w:pPr>
      <w:r>
        <w:rPr>
          <w:rFonts w:hint="eastAsia" w:ascii="宋体" w:hAnsi="宋体" w:cs="宋体"/>
          <w:b/>
          <w:color w:val="auto"/>
          <w:sz w:val="36"/>
          <w:szCs w:val="36"/>
          <w:highlight w:val="none"/>
        </w:rPr>
        <w:t xml:space="preserve">投 标 人(盖章)：</w:t>
      </w:r>
      <w:r>
        <w:rPr>
          <w:rFonts w:hint="eastAsia" w:ascii="宋体" w:hAnsi="宋体" w:cs="宋体"/>
          <w:color w:val="auto"/>
          <w:sz w:val="32"/>
          <w:highlight w:val="none"/>
          <w:u w:val="single"/>
        </w:rPr>
        <w:t xml:space="preserve">                                      </w:t>
      </w:r>
      <w:r/>
    </w:p>
    <w:p>
      <w:pPr>
        <w:ind w:left="540"/>
        <w:spacing w:line="720" w:lineRule="auto"/>
        <w:rPr>
          <w:rFonts w:hint="eastAsia" w:ascii="宋体" w:hAnsi="宋体" w:cs="宋体"/>
          <w:color w:val="auto"/>
          <w:sz w:val="32"/>
          <w:highlight w:val="none"/>
          <w:u w:val="single"/>
        </w:rPr>
      </w:pPr>
      <w:r>
        <w:rPr>
          <w:rFonts w:hint="eastAsia" w:ascii="宋体" w:hAnsi="宋体" w:cs="宋体"/>
          <w:b/>
          <w:color w:val="auto"/>
          <w:sz w:val="36"/>
          <w:szCs w:val="36"/>
          <w:highlight w:val="none"/>
        </w:rPr>
        <w:t xml:space="preserve">法定代表人或其委托代理人：</w:t>
      </w:r>
      <w:r>
        <w:rPr>
          <w:rFonts w:hint="eastAsia" w:ascii="宋体" w:hAnsi="宋体" w:cs="宋体"/>
          <w:color w:val="auto"/>
          <w:sz w:val="32"/>
          <w:highlight w:val="none"/>
          <w:u w:val="single"/>
        </w:rPr>
        <w:t xml:space="preserve">      （签字或盖章）</w:t>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969"/>
        <w:ind w:left="0" w:firstLine="0"/>
        <w:rPr>
          <w:rFonts w:hint="eastAsia"/>
          <w:color w:val="auto"/>
          <w:highlight w:val="none"/>
        </w:rPr>
      </w:pPr>
      <w:r>
        <w:rPr>
          <w:rFonts w:hint="eastAsia"/>
          <w:color w:val="auto"/>
          <w:highlight w:val="none"/>
        </w:rPr>
      </w:r>
      <w:r/>
    </w:p>
    <w:p>
      <w:pPr>
        <w:ind w:firstLine="542"/>
        <w:jc w:val="center"/>
        <w:spacing w:line="440" w:lineRule="exact"/>
        <w:rPr>
          <w:rFonts w:hint="default" w:ascii="宋体" w:hAnsi="宋体" w:eastAsia="宋体" w:cs="宋体"/>
          <w:b/>
          <w:color w:val="auto"/>
          <w:sz w:val="36"/>
          <w:szCs w:val="36"/>
          <w:highlight w:val="none"/>
          <w:lang w:val="en-US" w:eastAsia="zh-CN"/>
        </w:rPr>
      </w:pPr>
      <w:r>
        <w:rPr>
          <w:rFonts w:hint="eastAsia" w:ascii="宋体" w:hAnsi="宋体" w:cs="宋体"/>
          <w:b/>
          <w:color w:val="auto"/>
          <w:sz w:val="36"/>
          <w:szCs w:val="36"/>
          <w:highlight w:val="none"/>
        </w:rPr>
        <w:t xml:space="preserve">日期：二〇二</w:t>
      </w:r>
      <w:r>
        <w:rPr>
          <w:rFonts w:hint="eastAsia" w:ascii="宋体" w:hAnsi="宋体" w:cs="宋体"/>
          <w:b/>
          <w:color w:val="auto"/>
          <w:sz w:val="36"/>
          <w:szCs w:val="36"/>
          <w:highlight w:val="none"/>
          <w:lang w:val="en-US" w:eastAsia="zh-CN"/>
        </w:rPr>
        <w:t xml:space="preserve">六</w:t>
      </w:r>
      <w:r>
        <w:rPr>
          <w:rFonts w:hint="eastAsia" w:ascii="宋体" w:hAnsi="宋体" w:cs="宋体"/>
          <w:b/>
          <w:color w:val="auto"/>
          <w:sz w:val="36"/>
          <w:szCs w:val="36"/>
          <w:highlight w:val="none"/>
        </w:rPr>
        <w:t xml:space="preserve">年   月</w:t>
      </w:r>
      <w:r>
        <w:rPr>
          <w:rFonts w:hint="eastAsia" w:ascii="宋体" w:hAnsi="宋体" w:cs="宋体"/>
          <w:b/>
          <w:color w:val="auto"/>
          <w:sz w:val="36"/>
          <w:szCs w:val="36"/>
          <w:highlight w:val="none"/>
          <w:lang w:val="en-US" w:eastAsia="zh-CN"/>
        </w:rPr>
        <w:t xml:space="preserve">   日</w:t>
      </w:r>
      <w:r/>
    </w:p>
    <w:p>
      <w:pPr>
        <w:pStyle w:val="809"/>
        <w:ind w:firstLine="0"/>
        <w:spacing w:line="360" w:lineRule="auto"/>
        <w:rPr>
          <w:rFonts w:hint="eastAsia" w:ascii="宋体" w:hAnsi="宋体" w:eastAsia="宋体" w:cs="宋体"/>
          <w:color w:val="auto"/>
          <w:sz w:val="30"/>
          <w:szCs w:val="30"/>
          <w:highlight w:val="none"/>
        </w:rPr>
      </w:pPr>
      <w:r>
        <w:rPr>
          <w:rFonts w:hint="eastAsia" w:ascii="宋体" w:hAnsi="宋体" w:cs="宋体"/>
          <w:b/>
          <w:color w:val="auto"/>
          <w:sz w:val="36"/>
          <w:szCs w:val="36"/>
          <w:highlight w:val="none"/>
        </w:rPr>
        <w:br w:type="page" w:clear="all"/>
      </w:r>
      <w:bookmarkStart w:id="15" w:name="_Toc430265233"/>
      <w:r/>
      <w:bookmarkStart w:id="16" w:name="_Toc467507054"/>
      <w:r/>
      <w:bookmarkStart w:id="17" w:name="_Toc405288080"/>
      <w:r/>
      <w:bookmarkStart w:id="18" w:name="_Toc322442932"/>
      <w:r/>
      <w:bookmarkStart w:id="19" w:name="_Toc467507044"/>
      <w:r>
        <w:rPr>
          <w:rFonts w:hint="eastAsia" w:ascii="宋体" w:hAnsi="宋体" w:eastAsia="宋体" w:cs="宋体"/>
          <w:b/>
          <w:color w:val="auto"/>
          <w:sz w:val="30"/>
          <w:szCs w:val="30"/>
          <w:highlight w:val="none"/>
        </w:rPr>
        <w:t xml:space="preserve">1、关于资格文件的声明函</w:t>
      </w:r>
      <w:r/>
    </w:p>
    <w:p>
      <w:pPr>
        <w:pStyle w:val="809"/>
        <w:ind w:left="1260" w:firstLine="1777"/>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关于资格文件的声明函</w:t>
      </w:r>
      <w:r/>
    </w:p>
    <w:p>
      <w:pPr>
        <w:pStyle w:val="809"/>
        <w:jc w:val="both"/>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江苏兆丰项目管理有限公司</w:t>
      </w:r>
      <w:r>
        <w:rPr>
          <w:rFonts w:hint="eastAsia" w:ascii="宋体" w:hAnsi="宋体" w:eastAsia="宋体" w:cs="宋体"/>
          <w:color w:val="auto"/>
          <w:sz w:val="21"/>
          <w:szCs w:val="21"/>
          <w:highlight w:val="none"/>
        </w:rPr>
        <w:t xml:space="preserve">：</w:t>
      </w:r>
      <w:r/>
    </w:p>
    <w:p>
      <w:pPr>
        <w:pStyle w:val="809"/>
        <w:numPr>
          <w:ilvl w:val="0"/>
          <w:numId w:val="0"/>
        </w:numPr>
        <w:ind w:left="283" w:right="445" w:firstLine="47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本公司愿就由贵单位组织实施的编号为</w:t>
      </w:r>
      <w:r>
        <w:rPr>
          <w:rFonts w:hint="eastAsia" w:ascii="宋体" w:hAnsi="宋体" w:eastAsia="宋体" w:cs="宋体"/>
          <w:b/>
          <w:color w:val="auto"/>
          <w:sz w:val="21"/>
          <w:szCs w:val="21"/>
          <w:highlight w:val="none"/>
          <w:u w:val="single"/>
          <w:lang w:eastAsia="zh-CN"/>
        </w:rPr>
        <w:t xml:space="preserve">JSZC-320585-ZFXM-G2026-0008</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09"/>
        <w:numPr>
          <w:ilvl w:val="0"/>
          <w:numId w:val="0"/>
        </w:numPr>
        <w:ind w:left="283" w:right="445" w:firstLine="47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本公司已知晓招标文件要求并认真审核自身情况，在此郑重声明，本公司遵守如下条款的规定：</w:t>
      </w:r>
      <w:r/>
    </w:p>
    <w:p>
      <w:pPr>
        <w:pStyle w:val="809"/>
        <w:numPr>
          <w:ilvl w:val="0"/>
          <w:numId w:val="0"/>
        </w:numPr>
        <w:ind w:left="283" w:right="445" w:firstLine="47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供应商单位负责人为同一人或者存在直接控股、管理关系的不同供应商，不得参加同一合同项下的政府采购活动。</w:t>
      </w:r>
      <w:r/>
    </w:p>
    <w:p>
      <w:pPr>
        <w:pStyle w:val="809"/>
        <w:numPr>
          <w:ilvl w:val="0"/>
          <w:numId w:val="0"/>
        </w:numPr>
        <w:ind w:left="283" w:right="445" w:firstLine="472"/>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凡为采购项目提供整体设计、规范编制或者项目管理、</w:t>
      </w:r>
      <w:r>
        <w:rPr>
          <w:rFonts w:hint="eastAsia" w:ascii="宋体" w:hAnsi="宋体" w:eastAsia="宋体" w:cs="宋体"/>
          <w:color w:val="auto"/>
          <w:sz w:val="21"/>
          <w:szCs w:val="21"/>
          <w:highlight w:val="none"/>
          <w:lang w:val="en-US" w:eastAsia="zh-CN"/>
        </w:rPr>
        <w:t xml:space="preserve">监理</w:t>
      </w:r>
      <w:r>
        <w:rPr>
          <w:rFonts w:hint="eastAsia" w:ascii="宋体" w:hAnsi="宋体" w:eastAsia="宋体" w:cs="宋体"/>
          <w:color w:val="auto"/>
          <w:sz w:val="21"/>
          <w:szCs w:val="21"/>
          <w:highlight w:val="none"/>
        </w:rPr>
        <w:t xml:space="preserve">、检测等服务的供应商，不得再参加本项目的采购活动。</w:t>
      </w:r>
      <w:r/>
    </w:p>
    <w:p>
      <w:pPr>
        <w:pStyle w:val="809"/>
        <w:numPr>
          <w:ilvl w:val="0"/>
          <w:numId w:val="0"/>
        </w:numPr>
        <w:ind w:left="283" w:right="445" w:firstLine="472"/>
        <w:jc w:val="left"/>
        <w:spacing w:line="480" w:lineRule="auto"/>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本声明如有虚假或不实之处，本公司将失去合格供应商资格。</w:t>
      </w:r>
      <w:r/>
    </w:p>
    <w:p>
      <w:pPr>
        <w:ind w:firstLine="210"/>
        <w:jc w:val="center"/>
        <w:spacing w:line="48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CN"/>
        </w:rPr>
        <w:t xml:space="preserve">投标人与其他单位存在控股、管理关系情况表</w:t>
      </w:r>
      <w:r/>
    </w:p>
    <w:tbl>
      <w:tblPr>
        <w:tblStyle w:val="805"/>
        <w:tblW w:w="4408" w:type="pct"/>
        <w:tblInd w:w="5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38"/>
        <w:gridCol w:w="4550"/>
      </w:tblGrid>
      <w:tr>
        <w:trPr>
          <w:trHeight w:val="368"/>
        </w:trPr>
        <w:tc>
          <w:tcPr>
            <w:tcW w:w="3901" w:type="dxa"/>
            <w:vAlign w:val="top"/>
            <w:textDirection w:val="lrTb"/>
            <w:noWrap w:val="false"/>
          </w:tcPr>
          <w:p>
            <w:pPr>
              <w:pStyle w:val="988"/>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zh-CN" w:eastAsia="zh-CN" w:bidi="ar-SA"/>
              </w:rPr>
              <w:t xml:space="preserve">与投标人存在控股、管理关系的单位名称</w:t>
            </w:r>
            <w:r/>
          </w:p>
        </w:tc>
        <w:tc>
          <w:tcPr>
            <w:tcW w:w="4289" w:type="dxa"/>
            <w:vAlign w:val="top"/>
            <w:textDirection w:val="lrTb"/>
            <w:noWrap w:val="false"/>
          </w:tcPr>
          <w:p>
            <w:pPr>
              <w:pStyle w:val="988"/>
              <w:ind w:left="0" w:right="0" w:firstLine="0"/>
              <w:jc w:val="center"/>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zh-CN" w:eastAsia="zh-CN" w:bidi="ar-SA"/>
              </w:rPr>
              <w:t xml:space="preserve">控股、管理关系情况说明</w:t>
            </w:r>
            <w:r/>
          </w:p>
        </w:tc>
      </w:tr>
      <w:tr>
        <w:trPr>
          <w:trHeight w:val="398"/>
        </w:trPr>
        <w:tc>
          <w:tcPr>
            <w:tcW w:w="3901" w:type="dxa"/>
            <w:vAlign w:val="top"/>
            <w:textDirection w:val="lrTb"/>
            <w:noWrap w:val="false"/>
          </w:tcPr>
          <w:p>
            <w:pPr>
              <w:pStyle w:val="988"/>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4289" w:type="dxa"/>
            <w:vAlign w:val="top"/>
            <w:textDirection w:val="lrTb"/>
            <w:noWrap w:val="false"/>
          </w:tcPr>
          <w:p>
            <w:pPr>
              <w:pStyle w:val="988"/>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368"/>
        </w:trPr>
        <w:tc>
          <w:tcPr>
            <w:tcW w:w="3901" w:type="dxa"/>
            <w:vAlign w:val="top"/>
            <w:textDirection w:val="lrTb"/>
            <w:noWrap w:val="false"/>
          </w:tcPr>
          <w:p>
            <w:pPr>
              <w:pStyle w:val="988"/>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4289" w:type="dxa"/>
            <w:vAlign w:val="top"/>
            <w:textDirection w:val="lrTb"/>
            <w:noWrap w:val="false"/>
          </w:tcPr>
          <w:p>
            <w:pPr>
              <w:pStyle w:val="988"/>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383"/>
        </w:trPr>
        <w:tc>
          <w:tcPr>
            <w:tcW w:w="3901" w:type="dxa"/>
            <w:vAlign w:val="top"/>
            <w:textDirection w:val="lrTb"/>
            <w:noWrap w:val="false"/>
          </w:tcPr>
          <w:p>
            <w:pPr>
              <w:pStyle w:val="988"/>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4289" w:type="dxa"/>
            <w:vAlign w:val="top"/>
            <w:textDirection w:val="lrTb"/>
            <w:noWrap w:val="false"/>
          </w:tcPr>
          <w:p>
            <w:pPr>
              <w:pStyle w:val="988"/>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r>
        <w:trPr>
          <w:trHeight w:val="448"/>
        </w:trPr>
        <w:tc>
          <w:tcPr>
            <w:tcW w:w="3901" w:type="dxa"/>
            <w:vAlign w:val="top"/>
            <w:textDirection w:val="lrTb"/>
            <w:noWrap w:val="false"/>
          </w:tcPr>
          <w:p>
            <w:pPr>
              <w:pStyle w:val="988"/>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c>
          <w:tcPr>
            <w:tcW w:w="4289" w:type="dxa"/>
            <w:vAlign w:val="top"/>
            <w:textDirection w:val="lrTb"/>
            <w:noWrap w:val="false"/>
          </w:tcPr>
          <w:p>
            <w:pPr>
              <w:pStyle w:val="988"/>
              <w:ind w:left="0" w:right="0" w:firstLine="570"/>
              <w:jc w:val="both"/>
              <w:keepLines w:val="0"/>
              <w:keepNext w:val="0"/>
              <w:spacing w:before="0" w:beforeAutospacing="0" w:after="0" w:afterAutospacing="0"/>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r>
            <w:r/>
          </w:p>
        </w:tc>
      </w:tr>
    </w:tbl>
    <w:p>
      <w:pPr>
        <w:pStyle w:val="809"/>
        <w:numPr>
          <w:ilvl w:val="0"/>
          <w:numId w:val="0"/>
        </w:numPr>
        <w:ind w:right="445"/>
        <w:jc w:val="left"/>
        <w:spacing w:line="50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rPr>
        <w:t xml:space="preserve">注：投标人须如实填写所有与之有控股管理关系的情况。</w:t>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851"/>
        <w:ind w:left="0" w:firstLine="0"/>
        <w:rPr>
          <w:rFonts w:hint="eastAsia" w:ascii="宋体" w:hAnsi="宋体" w:cs="宋体"/>
          <w:b/>
          <w:color w:val="auto"/>
          <w:sz w:val="30"/>
          <w:szCs w:val="30"/>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0"/>
          <w:szCs w:val="30"/>
          <w:highlight w:val="none"/>
        </w:rPr>
        <w:t xml:space="preserve">2、投标函</w:t>
      </w:r>
      <w:r/>
    </w:p>
    <w:p>
      <w:pPr>
        <w:jc w:val="center"/>
        <w:spacing w:line="36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投标函</w:t>
      </w:r>
      <w:r/>
    </w:p>
    <w:p>
      <w:pPr>
        <w:ind w:firstLine="21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eastAsia="zh-CN"/>
        </w:rPr>
        <w:t xml:space="preserve">江苏兆丰项目管理有限公司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我们收到贵单位</w:t>
      </w:r>
      <w:r>
        <w:rPr>
          <w:rFonts w:hint="eastAsia" w:ascii="宋体" w:hAnsi="宋体" w:eastAsia="宋体" w:cs="宋体"/>
          <w:b/>
          <w:color w:val="auto"/>
          <w:sz w:val="21"/>
          <w:szCs w:val="21"/>
          <w:highlight w:val="none"/>
          <w:u w:val="single"/>
          <w:lang w:eastAsia="zh-CN"/>
        </w:rPr>
        <w:t xml:space="preserve">2026年人身保险服务</w:t>
      </w:r>
      <w:r>
        <w:rPr>
          <w:rFonts w:hint="eastAsia" w:ascii="宋体" w:hAnsi="宋体" w:eastAsia="宋体" w:cs="宋体"/>
          <w:color w:val="auto"/>
          <w:sz w:val="21"/>
          <w:szCs w:val="21"/>
          <w:highlight w:val="none"/>
        </w:rPr>
        <w:t xml:space="preserve">招标文件（项目编号：</w:t>
      </w:r>
      <w:r>
        <w:rPr>
          <w:rFonts w:hint="eastAsia" w:ascii="宋体" w:hAnsi="宋体" w:eastAsia="宋体" w:cs="宋体"/>
          <w:b/>
          <w:color w:val="auto"/>
          <w:sz w:val="21"/>
          <w:szCs w:val="21"/>
          <w:highlight w:val="none"/>
          <w:u w:val="single"/>
          <w:lang w:eastAsia="zh-CN"/>
        </w:rPr>
        <w:t xml:space="preserve">JSZC-320585-ZFXM-G2026-0008</w:t>
      </w:r>
      <w:r>
        <w:rPr>
          <w:rFonts w:hint="eastAsia" w:ascii="宋体" w:hAnsi="宋体" w:eastAsia="宋体" w:cs="宋体"/>
          <w:color w:val="auto"/>
          <w:sz w:val="21"/>
          <w:szCs w:val="21"/>
          <w:highlight w:val="none"/>
        </w:rPr>
        <w:t xml:space="preserve"> ），经仔细阅读和研究，我们决定参加投标。</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1、我们愿意按照招标文件的一切要求，提供包括完成该项目所需的全部内容，</w:t>
      </w:r>
      <w:r>
        <w:rPr>
          <w:rFonts w:hint="eastAsia" w:ascii="宋体" w:hAnsi="宋体" w:eastAsia="宋体" w:cs="宋体"/>
          <w:color w:val="auto"/>
          <w:sz w:val="21"/>
          <w:szCs w:val="21"/>
          <w:highlight w:val="none"/>
          <w:lang w:val="en-US" w:eastAsia="zh-CN"/>
        </w:rPr>
        <w:t xml:space="preserve">我们的投标报价</w:t>
      </w:r>
      <w:r>
        <w:rPr>
          <w:rFonts w:hint="eastAsia" w:ascii="宋体" w:hAnsi="宋体" w:eastAsia="宋体" w:cs="宋体"/>
          <w:color w:val="auto"/>
          <w:sz w:val="21"/>
          <w:szCs w:val="21"/>
          <w:highlight w:val="none"/>
        </w:rPr>
        <w:t xml:space="preserve">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2、如果我们的投标</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被接受，我们将严格履行招标文件中规定的每一项要求，按期、按质、按量履行合同的义务。</w:t>
      </w:r>
      <w:r/>
    </w:p>
    <w:p>
      <w:pPr>
        <w:ind w:firstLine="210"/>
        <w:spacing w:line="4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3、我们已详细审查全部招标文件，包括更正公告（如果有）。我们完全理解并同意放弃对这方面有不明及误解的权力。</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、我们同意按招标文件中的规定，本投标</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的有效期限为投标截止之日起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lang w:val="en-US" w:eastAsia="zh-CN"/>
        </w:rPr>
        <w:t xml:space="preserve">内</w:t>
      </w:r>
      <w:r>
        <w:rPr>
          <w:rFonts w:hint="eastAsia" w:ascii="宋体" w:hAnsi="宋体" w:eastAsia="宋体" w:cs="宋体"/>
          <w:color w:val="auto"/>
          <w:sz w:val="21"/>
          <w:szCs w:val="21"/>
          <w:highlight w:val="none"/>
        </w:rPr>
        <w:t xml:space="preserve">。</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我们愿意提供招标采购单位在招标文件中要求的所有资料。也同意向招标单位提供招标单位可能另外要求的与投标有关的任何证据或资料。并保证所提供的资料全部是真实的、有效的，若有虚假，我们愿承担一切责任。</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、我们认为你们有权决定中标者，还认为你们有权接受或拒绝所有的投标者。</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、我们完全理解贵方不一定要接受最低报价的投标或收到的任何投标。</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、我们承诺该项投标在开标后的全过程中保持有效，不作任何更改和变动。我们同意中标后若不履行</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文件的内容要求和各项承诺及义务的即被视为违约，其中标资格将被取消，并接受相应的处罚。</w:t>
      </w:r>
      <w:r/>
    </w:p>
    <w:p>
      <w:pPr>
        <w:ind w:firstLine="210"/>
        <w:spacing w:line="4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、如果我们中标，我们愿意按招标文件的规定支付代理服务费，逾期按中国人民银行公布的同期人民币贷款最高利率计付利息</w:t>
      </w:r>
      <w:r>
        <w:rPr>
          <w:rFonts w:hint="eastAsia" w:ascii="宋体" w:hAnsi="宋体" w:eastAsia="宋体" w:cs="宋体"/>
          <w:color w:val="auto"/>
          <w:sz w:val="21"/>
          <w:szCs w:val="21"/>
          <w:highlight w:val="none"/>
          <w:lang w:eastAsia="zh-CN"/>
        </w:rPr>
        <w:t xml:space="preserve">。</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b w:val="0"/>
          <w:bCs w:val="0"/>
          <w:color w:val="auto"/>
          <w:sz w:val="21"/>
          <w:szCs w:val="21"/>
          <w:highlight w:val="none"/>
        </w:rPr>
        <w:t xml:space="preserve">如果中标，我们同意并知晓中标通知书发出方式及发出时间，遵守招标文件和中标通知书规定，在指定时间和地点和采购人签订合同。</w:t>
      </w:r>
      <w:r/>
    </w:p>
    <w:p>
      <w:pPr>
        <w:ind w:firstLine="21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联系人：</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联系电话：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spacing w:line="460" w:lineRule="exact"/>
        <w:rPr>
          <w:rFonts w:hint="eastAsia" w:ascii="宋体" w:hAnsi="宋体" w:eastAsia="宋体" w:cs="宋体"/>
          <w:b/>
          <w:color w:val="auto"/>
          <w:sz w:val="32"/>
          <w:szCs w:val="32"/>
          <w:highlight w:val="none"/>
        </w:rPr>
      </w:pPr>
      <w:r>
        <w:rPr>
          <w:rFonts w:hint="eastAsia" w:ascii="宋体" w:hAnsi="宋体"/>
          <w:color w:val="auto"/>
          <w:sz w:val="21"/>
          <w:szCs w:val="21"/>
          <w:highlight w:val="none"/>
        </w:rPr>
        <w:br w:type="page" w:clear="all"/>
      </w:r>
      <w:r>
        <w:rPr>
          <w:rFonts w:hint="eastAsia" w:ascii="宋体" w:hAnsi="宋体" w:eastAsia="宋体" w:cs="宋体"/>
          <w:b/>
          <w:color w:val="auto"/>
          <w:sz w:val="32"/>
          <w:szCs w:val="32"/>
          <w:highlight w:val="none"/>
        </w:rPr>
        <w:t xml:space="preserve">3、参加政府采购活动前三年内，在经营活动中没有重大违法记录声明</w:t>
      </w:r>
      <w:r/>
    </w:p>
    <w:p>
      <w:pPr>
        <w:ind w:left="-210" w:right="-21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参加政府采购活动前三年内，在经营活动中没有重大违法记录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江苏兆丰项目管理有限公司</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 在参加政府采购活动前三年内，没有重大违法记录，特此声明。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若采购代理机构在本项目采购过程中发现我单位近三年内在政府采购活动中有重大违法记录，我单位将无条件退出本项目的招标，并承担因此引起的一</w:t>
      </w:r>
      <w:r>
        <w:rPr>
          <w:rFonts w:hint="eastAsia" w:ascii="宋体" w:hAnsi="宋体" w:eastAsia="宋体" w:cs="宋体"/>
          <w:color w:val="auto"/>
          <w:sz w:val="21"/>
          <w:szCs w:val="21"/>
          <w:highlight w:val="none"/>
          <w:lang w:val="en-US" w:eastAsia="zh-CN"/>
        </w:rPr>
        <w:t xml:space="preserve">切</w:t>
      </w:r>
      <w:r>
        <w:rPr>
          <w:rFonts w:hint="eastAsia" w:ascii="宋体" w:hAnsi="宋体" w:eastAsia="宋体" w:cs="宋体"/>
          <w:color w:val="auto"/>
          <w:sz w:val="21"/>
          <w:szCs w:val="21"/>
          <w:highlight w:val="none"/>
        </w:rPr>
        <w:t xml:space="preserve">后果。</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809"/>
        <w:ind w:firstLine="0"/>
        <w:spacing w:line="400" w:lineRule="exact"/>
        <w:rPr>
          <w:rFonts w:hint="eastAsia" w:ascii="宋体" w:hAnsi="宋体" w:eastAsia="宋体" w:cs="宋体"/>
          <w:b/>
          <w:bCs w:val="0"/>
          <w:color w:val="auto"/>
          <w:sz w:val="32"/>
          <w:szCs w:val="32"/>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bCs w:val="0"/>
          <w:color w:val="auto"/>
          <w:sz w:val="32"/>
          <w:szCs w:val="32"/>
          <w:highlight w:val="none"/>
        </w:rPr>
        <w:t xml:space="preserve">4、投标单位情况表</w:t>
      </w:r>
      <w:r/>
    </w:p>
    <w:p>
      <w:pPr>
        <w:pStyle w:val="809"/>
        <w:ind w:left="1260" w:firstLine="2329"/>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投标单位情况表</w:t>
      </w:r>
      <w:r/>
    </w:p>
    <w:tbl>
      <w:tblPr>
        <w:tblStyle w:val="805"/>
        <w:tblW w:w="96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060"/>
        <w:gridCol w:w="1980"/>
        <w:gridCol w:w="1461"/>
        <w:gridCol w:w="2056"/>
        <w:gridCol w:w="1082"/>
      </w:tblGrid>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法定代表人</w:t>
            </w:r>
            <w:r/>
          </w:p>
        </w:tc>
        <w:tc>
          <w:tcPr>
            <w:tcW w:w="1980"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61"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成立日期</w:t>
            </w:r>
            <w:r/>
          </w:p>
        </w:tc>
        <w:tc>
          <w:tcPr>
            <w:gridSpan w:val="2"/>
            <w:tcW w:w="3138"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企业地址</w:t>
            </w:r>
            <w:r/>
          </w:p>
        </w:tc>
        <w:tc>
          <w:tcPr>
            <w:tcW w:w="1980"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461"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注册资本</w:t>
            </w:r>
            <w:r/>
          </w:p>
        </w:tc>
        <w:tc>
          <w:tcPr>
            <w:gridSpan w:val="2"/>
            <w:tcW w:w="3138"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万元</w:t>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经营范围</w:t>
            </w:r>
            <w:r/>
          </w:p>
        </w:tc>
        <w:tc>
          <w:tcPr>
            <w:gridSpan w:val="4"/>
            <w:tcW w:w="6579"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职工人数</w:t>
            </w:r>
            <w:r/>
          </w:p>
        </w:tc>
        <w:tc>
          <w:tcPr>
            <w:tcW w:w="1980"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3517"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其中：有中高级以上职称的人数</w:t>
            </w:r>
            <w:r/>
          </w:p>
        </w:tc>
        <w:tc>
          <w:tcPr>
            <w:tcW w:w="1082"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资产总计</w:t>
            </w:r>
            <w:r/>
          </w:p>
        </w:tc>
        <w:tc>
          <w:tcPr>
            <w:tcW w:w="1980" w:type="dxa"/>
            <w:vAlign w:val="center"/>
            <w:textDirection w:val="lrTb"/>
            <w:noWrap w:val="false"/>
          </w:tcPr>
          <w:p>
            <w:pPr>
              <w:pStyle w:val="809"/>
              <w:ind w:left="0" w:right="0" w:firstLine="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万元</w:t>
            </w:r>
            <w:r/>
          </w:p>
        </w:tc>
        <w:tc>
          <w:tcPr>
            <w:tcW w:w="1461" w:type="dxa"/>
            <w:vAlign w:val="center"/>
            <w:textDirection w:val="lrTb"/>
            <w:noWrap w:val="false"/>
          </w:tcPr>
          <w:p>
            <w:pPr>
              <w:pStyle w:val="809"/>
              <w:ind w:left="0" w:right="0" w:firstLine="0"/>
              <w:jc w:val="both"/>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净资产</w:t>
            </w:r>
            <w:r/>
          </w:p>
        </w:tc>
        <w:tc>
          <w:tcPr>
            <w:gridSpan w:val="2"/>
            <w:tcW w:w="3138" w:type="dxa"/>
            <w:vAlign w:val="center"/>
            <w:textDirection w:val="lrTb"/>
            <w:noWrap w:val="false"/>
          </w:tcPr>
          <w:p>
            <w:pPr>
              <w:pStyle w:val="809"/>
              <w:ind w:left="0" w:right="0" w:firstLine="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万元</w:t>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股东权益</w:t>
            </w:r>
            <w:r/>
          </w:p>
        </w:tc>
        <w:tc>
          <w:tcPr>
            <w:tcW w:w="1980" w:type="dxa"/>
            <w:vAlign w:val="center"/>
            <w:textDirection w:val="lrTb"/>
            <w:noWrap w:val="false"/>
          </w:tcPr>
          <w:p>
            <w:pPr>
              <w:pStyle w:val="809"/>
              <w:ind w:left="0" w:right="0" w:firstLine="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万元</w:t>
            </w:r>
            <w:r/>
          </w:p>
        </w:tc>
        <w:tc>
          <w:tcPr>
            <w:tcW w:w="1461" w:type="dxa"/>
            <w:vAlign w:val="center"/>
            <w:textDirection w:val="lrTb"/>
            <w:noWrap w:val="false"/>
          </w:tcPr>
          <w:p>
            <w:pPr>
              <w:pStyle w:val="809"/>
              <w:ind w:left="0" w:right="0" w:firstLine="0"/>
              <w:jc w:val="both"/>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销售收入</w:t>
            </w:r>
            <w:r/>
          </w:p>
        </w:tc>
        <w:tc>
          <w:tcPr>
            <w:gridSpan w:val="2"/>
            <w:tcW w:w="3138" w:type="dxa"/>
            <w:vAlign w:val="center"/>
            <w:textDirection w:val="lrTb"/>
            <w:noWrap w:val="false"/>
          </w:tcPr>
          <w:p>
            <w:pPr>
              <w:pStyle w:val="809"/>
              <w:ind w:left="0" w:right="0" w:firstLine="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          万元</w:t>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实现利润</w:t>
            </w:r>
            <w:r/>
          </w:p>
        </w:tc>
        <w:tc>
          <w:tcPr>
            <w:tcW w:w="1980"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     万元</w:t>
            </w:r>
            <w:r/>
          </w:p>
        </w:tc>
        <w:tc>
          <w:tcPr>
            <w:tcW w:w="1461"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tcW w:w="3138"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营业面积（含厂房面积）</w:t>
            </w:r>
            <w:r/>
          </w:p>
        </w:tc>
        <w:tc>
          <w:tcPr>
            <w:tcW w:w="1980" w:type="dxa"/>
            <w:vAlign w:val="center"/>
            <w:textDirection w:val="lrTb"/>
            <w:noWrap w:val="false"/>
          </w:tcPr>
          <w:p>
            <w:pPr>
              <w:pStyle w:val="809"/>
              <w:ind w:left="0" w:right="0" w:firstLine="0"/>
              <w:jc w:val="both"/>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平方米</w:t>
            </w:r>
            <w:r/>
          </w:p>
        </w:tc>
        <w:tc>
          <w:tcPr>
            <w:tcW w:w="1461"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其中：</w:t>
            </w:r>
            <w:r/>
          </w:p>
        </w:tc>
        <w:tc>
          <w:tcPr>
            <w:gridSpan w:val="2"/>
            <w:tcW w:w="3138"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自有面积         平方米</w:t>
            </w:r>
            <w:r/>
          </w:p>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承租面积         平方米</w:t>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单位简历及内设机构情况</w:t>
            </w:r>
            <w:r/>
          </w:p>
        </w:tc>
        <w:tc>
          <w:tcPr>
            <w:gridSpan w:val="4"/>
            <w:tcW w:w="6579"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单位优势及特长</w:t>
            </w:r>
            <w:r/>
          </w:p>
        </w:tc>
        <w:tc>
          <w:tcPr>
            <w:gridSpan w:val="4"/>
            <w:tcW w:w="6579"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近三年来完成或正在履行的重大合同情况</w:t>
            </w:r>
            <w:r/>
          </w:p>
        </w:tc>
        <w:tc>
          <w:tcPr>
            <w:gridSpan w:val="4"/>
            <w:tcW w:w="6579"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579"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579"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（包括解决方式和结果）</w:t>
            </w:r>
            <w:r/>
          </w:p>
        </w:tc>
      </w:tr>
      <w:tr>
        <w:trPr>
          <w:cantSplit/>
          <w:jc w:val="center"/>
          <w:trHeight w:val="57"/>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W w:w="6579"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cantSplit/>
          <w:jc w:val="center"/>
          <w:trHeight w:val="1218"/>
        </w:trPr>
        <w:tc>
          <w:tcPr>
            <w:tcW w:w="3060" w:type="dxa"/>
            <w:vAlign w:val="center"/>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其他需要说明的情况</w:t>
            </w:r>
            <w:r/>
          </w:p>
        </w:tc>
        <w:tc>
          <w:tcPr>
            <w:gridSpan w:val="4"/>
            <w:tcW w:w="6579" w:type="dxa"/>
            <w:vAlign w:val="top"/>
            <w:textDirection w:val="lrTb"/>
            <w:noWrap w:val="false"/>
          </w:tcPr>
          <w:p>
            <w:pPr>
              <w:pStyle w:val="809"/>
              <w:ind w:left="0" w:right="0" w:firstLine="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pStyle w:val="809"/>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rPr>
          <w:rFonts w:hint="eastAsia" w:ascii="宋体" w:hAnsi="宋体" w:eastAsia="宋体" w:cs="宋体"/>
          <w:b/>
          <w:bCs w:val="0"/>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eastAsia="宋体" w:cs="宋体"/>
          <w:b/>
          <w:bCs w:val="0"/>
          <w:color w:val="auto"/>
          <w:sz w:val="32"/>
          <w:szCs w:val="32"/>
          <w:highlight w:val="none"/>
        </w:rPr>
        <w:t xml:space="preserve">5、法定代表人授权委托书</w:t>
      </w:r>
      <w:r/>
    </w:p>
    <w:p>
      <w:pPr>
        <w:ind w:firstLine="42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授权委托书</w:t>
      </w:r>
      <w:r/>
    </w:p>
    <w:p>
      <w:pPr>
        <w:jc w:val="left"/>
        <w:rPr>
          <w:rFonts w:hint="eastAsia" w:ascii="宋体" w:hAnsi="宋体" w:cs="宋体"/>
          <w:color w:val="auto"/>
          <w:sz w:val="24"/>
          <w:highlight w:val="none"/>
        </w:rPr>
      </w:pPr>
      <w:r>
        <w:rPr>
          <w:rFonts w:hint="eastAsia" w:ascii="宋体" w:hAnsi="宋体" w:cs="宋体"/>
          <w:color w:val="auto"/>
          <w:sz w:val="24"/>
          <w:highlight w:val="none"/>
        </w:rPr>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eastAsia="zh-CN"/>
        </w:rPr>
        <w:t xml:space="preserve">江苏兆丰项目管理有限公司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b/>
          <w:color w:val="auto"/>
          <w:sz w:val="21"/>
          <w:szCs w:val="21"/>
          <w:highlight w:val="none"/>
          <w:u w:val="single"/>
          <w:lang w:eastAsia="zh-CN"/>
        </w:rPr>
        <w:t xml:space="preserve">JSZC-320585-ZFXM-G2026-0008</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969"/>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注：1、投标代理人为法人的无需提供授权委托书，但需提供本人身份证复印件。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2、投标代理人不是法人的需提供授权委托书，并附</w:t>
      </w:r>
      <w:r>
        <w:rPr>
          <w:rFonts w:hint="eastAsia" w:ascii="宋体" w:hAnsi="宋体" w:eastAsia="宋体" w:cs="宋体"/>
          <w:color w:val="auto"/>
          <w:sz w:val="21"/>
          <w:szCs w:val="21"/>
          <w:highlight w:val="none"/>
          <w:lang w:val="en-US" w:eastAsia="zh-CN"/>
        </w:rPr>
        <w:t xml:space="preserve">代理人</w:t>
      </w:r>
      <w:r>
        <w:rPr>
          <w:rFonts w:hint="eastAsia" w:ascii="宋体" w:hAnsi="宋体" w:eastAsia="宋体" w:cs="宋体"/>
          <w:color w:val="auto"/>
          <w:sz w:val="21"/>
          <w:szCs w:val="21"/>
          <w:highlight w:val="none"/>
        </w:rPr>
        <w:t xml:space="preserve">身份证复印件、法人身份证复印件。</w:t>
      </w:r>
      <w:r/>
    </w:p>
    <w:p>
      <w:pPr>
        <w:rPr>
          <w:rFonts w:hint="eastAsia" w:ascii="宋体" w:hAnsi="宋体" w:eastAsia="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6、开标一览表（具体按照“苏采云”系统填报）</w:t>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开标一览表</w:t>
      </w:r>
      <w:r/>
    </w:p>
    <w:p>
      <w:pPr>
        <w:ind w:firstLine="420"/>
        <w:spacing w:line="460" w:lineRule="exact"/>
        <w:rPr>
          <w:rFonts w:hint="default" w:ascii="宋体" w:hAnsi="宋体" w:eastAsia="宋体" w:cs="宋体"/>
          <w:color w:val="auto"/>
          <w:spacing w:val="2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lang w:eastAsia="zh-CN"/>
        </w:rPr>
        <w:t xml:space="preserve">编号：JSZC-320585-ZFXM-G2026-0008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color w:val="auto"/>
          <w:spacing w:val="20"/>
          <w:sz w:val="21"/>
          <w:szCs w:val="21"/>
          <w:highlight w:val="none"/>
          <w:lang w:val="en-US" w:eastAsia="zh-CN"/>
        </w:rPr>
        <w:t xml:space="preserve">  </w:t>
      </w:r>
      <w:r/>
    </w:p>
    <w:tbl>
      <w:tblPr>
        <w:tblStyle w:val="805"/>
        <w:tblW w:w="499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525"/>
        <w:gridCol w:w="4276"/>
        <w:gridCol w:w="3052"/>
      </w:tblGrid>
      <w:tr>
        <w:trPr>
          <w:cantSplit/>
          <w:jc w:val="center"/>
          <w:trHeight w:val="984"/>
        </w:trPr>
        <w:tc>
          <w:tcPr>
            <w:tcBorders>
              <w:top w:val="single" w:color="auto" w:sz="6" w:space="0"/>
              <w:left w:val="single" w:color="auto" w:sz="6" w:space="0"/>
              <w:bottom w:val="single" w:color="auto" w:sz="6" w:space="0"/>
              <w:right w:val="single" w:color="auto" w:sz="6" w:space="0"/>
            </w:tcBorders>
            <w:tcW w:w="1281" w:type="pct"/>
            <w:vAlign w:val="center"/>
            <w:textDirection w:val="lrTb"/>
            <w:noWrap w:val="false"/>
          </w:tcPr>
          <w:p>
            <w:pPr>
              <w:pStyle w:val="846"/>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lang w:eastAsia="zh-CN"/>
              </w:rPr>
              <w:suppressLineNumbers w:val="0"/>
            </w:pPr>
            <w:r>
              <w:rPr>
                <w:rFonts w:hint="eastAsia" w:eastAsia="宋体" w:cs="宋体"/>
                <w:color w:val="auto"/>
                <w:sz w:val="21"/>
                <w:szCs w:val="21"/>
                <w:highlight w:val="none"/>
                <w:lang w:val="en-US" w:eastAsia="zh-CN"/>
              </w:rPr>
              <w:t xml:space="preserve">分包</w:t>
            </w:r>
            <w:r>
              <w:rPr>
                <w:rFonts w:hint="eastAsia" w:ascii="宋体" w:hAnsi="宋体" w:eastAsia="宋体" w:cs="宋体"/>
                <w:color w:val="auto"/>
                <w:sz w:val="21"/>
                <w:szCs w:val="21"/>
                <w:highlight w:val="none"/>
                <w:lang w:eastAsia="zh-CN"/>
              </w:rPr>
              <w:t xml:space="preserve">号</w:t>
            </w:r>
            <w:r/>
          </w:p>
        </w:tc>
        <w:tc>
          <w:tcPr>
            <w:tcBorders>
              <w:top w:val="single" w:color="auto" w:sz="6" w:space="0"/>
              <w:left w:val="single" w:color="auto" w:sz="6" w:space="0"/>
              <w:bottom w:val="single" w:color="auto" w:sz="6" w:space="0"/>
              <w:right w:val="single" w:color="auto" w:sz="4" w:space="0"/>
            </w:tcBorders>
            <w:tcW w:w="2169" w:type="pct"/>
            <w:vAlign w:val="center"/>
            <w:textDirection w:val="lrTb"/>
            <w:noWrap w:val="false"/>
          </w:tcPr>
          <w:p>
            <w:pPr>
              <w:pStyle w:val="846"/>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项目</w:t>
            </w:r>
            <w:r>
              <w:rPr>
                <w:rFonts w:hint="eastAsia" w:eastAsia="宋体" w:cs="宋体"/>
                <w:color w:val="auto"/>
                <w:sz w:val="21"/>
                <w:szCs w:val="21"/>
                <w:highlight w:val="none"/>
                <w:lang w:val="en-US" w:eastAsia="zh-CN"/>
              </w:rPr>
              <w:t xml:space="preserve">名称</w:t>
            </w:r>
            <w:r/>
          </w:p>
        </w:tc>
        <w:tc>
          <w:tcPr>
            <w:tcBorders>
              <w:top w:val="single" w:color="auto" w:sz="6" w:space="0"/>
              <w:left w:val="single" w:color="auto" w:sz="6" w:space="0"/>
              <w:bottom w:val="single" w:color="auto" w:sz="6" w:space="0"/>
              <w:right w:val="single" w:color="auto" w:sz="4" w:space="0"/>
            </w:tcBorders>
            <w:tcW w:w="1548" w:type="pct"/>
            <w:vAlign w:val="center"/>
            <w:textDirection w:val="lrTb"/>
            <w:noWrap w:val="false"/>
          </w:tcPr>
          <w:p>
            <w:pPr>
              <w:pStyle w:val="846"/>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w:t>
            </w:r>
            <w:r>
              <w:rPr>
                <w:rFonts w:hint="eastAsia" w:eastAsia="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rPr>
              <w:t xml:space="preserve">（</w:t>
            </w:r>
            <w:r>
              <w:rPr>
                <w:rFonts w:hint="eastAsia"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w:t>
            </w:r>
            <w:r/>
          </w:p>
        </w:tc>
      </w:tr>
      <w:tr>
        <w:trPr>
          <w:cantSplit/>
          <w:jc w:val="center"/>
          <w:trHeight w:val="1305"/>
        </w:trPr>
        <w:tc>
          <w:tcPr>
            <w:tcBorders>
              <w:top w:val="single" w:color="auto" w:sz="6" w:space="0"/>
              <w:left w:val="single" w:color="auto" w:sz="6" w:space="0"/>
              <w:bottom w:val="single" w:color="auto" w:sz="6" w:space="0"/>
              <w:right w:val="single" w:color="auto" w:sz="6" w:space="0"/>
            </w:tcBorders>
            <w:tcW w:w="1281" w:type="pct"/>
            <w:vAlign w:val="center"/>
            <w:textDirection w:val="lrTb"/>
            <w:noWrap w:val="false"/>
          </w:tcPr>
          <w:p>
            <w:pPr>
              <w:pStyle w:val="846"/>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采购包（  ）</w:t>
            </w:r>
            <w:r/>
          </w:p>
        </w:tc>
        <w:tc>
          <w:tcPr>
            <w:tcBorders>
              <w:top w:val="single" w:color="auto" w:sz="6" w:space="0"/>
              <w:left w:val="single" w:color="auto" w:sz="6" w:space="0"/>
              <w:right w:val="single" w:color="auto" w:sz="4" w:space="0"/>
            </w:tcBorders>
            <w:tcW w:w="2169" w:type="pct"/>
            <w:vAlign w:val="center"/>
            <w:textDirection w:val="lrTb"/>
            <w:noWrap w:val="false"/>
          </w:tcPr>
          <w:p>
            <w:pPr>
              <w:pStyle w:val="846"/>
              <w:ind w:left="0" w:right="0"/>
              <w:jc w:val="both"/>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eastAsia="宋体" w:cs="宋体"/>
                <w:color w:val="auto"/>
                <w:sz w:val="21"/>
                <w:szCs w:val="21"/>
                <w:highlight w:val="none"/>
                <w:lang w:eastAsia="zh-CN"/>
              </w:rPr>
              <w:t xml:space="preserve">2026年人身保险服务</w:t>
            </w:r>
            <w:r/>
          </w:p>
        </w:tc>
        <w:tc>
          <w:tcPr>
            <w:tcBorders>
              <w:top w:val="single" w:color="auto" w:sz="6" w:space="0"/>
              <w:left w:val="single" w:color="auto" w:sz="6" w:space="0"/>
              <w:bottom w:val="single" w:color="auto" w:sz="6" w:space="0"/>
              <w:right w:val="single" w:color="auto" w:sz="4" w:space="0"/>
            </w:tcBorders>
            <w:tcW w:w="1548" w:type="pct"/>
            <w:vAlign w:val="center"/>
            <w:textDirection w:val="lrTb"/>
            <w:noWrap w:val="false"/>
          </w:tcPr>
          <w:p>
            <w:pPr>
              <w:pStyle w:val="846"/>
              <w:ind w:left="0" w:right="0"/>
              <w:jc w:val="both"/>
              <w:keepLines w:val="0"/>
              <w:keepNext w:val="0"/>
              <w:spacing w:before="0" w:beforeAutospacing="0" w:after="0" w:afterAutospacing="0" w:line="36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822"/>
        <w:ind w:right="120"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注：1、本项目采用统一</w:t>
      </w:r>
      <w:r>
        <w:rPr>
          <w:rFonts w:hint="eastAsia" w:ascii="宋体" w:hAnsi="宋体" w:eastAsia="宋体" w:cs="宋体"/>
          <w:b/>
          <w:bCs/>
          <w:color w:val="auto"/>
          <w:sz w:val="21"/>
          <w:szCs w:val="21"/>
          <w:highlight w:val="none"/>
          <w:lang w:eastAsia="zh-CN"/>
        </w:rPr>
        <w:t xml:space="preserve">优惠率</w:t>
      </w:r>
      <w:r>
        <w:rPr>
          <w:rFonts w:hint="eastAsia" w:ascii="宋体" w:hAnsi="宋体" w:eastAsia="宋体" w:cs="宋体"/>
          <w:b/>
          <w:bCs/>
          <w:color w:val="auto"/>
          <w:sz w:val="21"/>
          <w:szCs w:val="21"/>
          <w:highlight w:val="none"/>
        </w:rPr>
        <w:t xml:space="preserve">报价方式，投标人所报</w:t>
      </w:r>
      <w:r>
        <w:rPr>
          <w:rFonts w:hint="eastAsia" w:ascii="宋体" w:hAnsi="宋体" w:eastAsia="宋体" w:cs="宋体"/>
          <w:b/>
          <w:bCs/>
          <w:color w:val="auto"/>
          <w:sz w:val="21"/>
          <w:szCs w:val="21"/>
          <w:highlight w:val="none"/>
          <w:lang w:eastAsia="zh-CN"/>
        </w:rPr>
        <w:t xml:space="preserve">优惠率</w:t>
      </w:r>
      <w:r>
        <w:rPr>
          <w:rFonts w:hint="eastAsia" w:ascii="宋体" w:hAnsi="宋体" w:eastAsia="宋体" w:cs="宋体"/>
          <w:b/>
          <w:bCs/>
          <w:color w:val="auto"/>
          <w:sz w:val="21"/>
          <w:szCs w:val="21"/>
          <w:highlight w:val="none"/>
        </w:rPr>
        <w:t xml:space="preserve">不得小于0，保留小数点后两位，否则视为无效投标。最终结算单价=单价最高限价*（1-中标优惠率）。</w:t>
      </w:r>
      <w:r/>
    </w:p>
    <w:p>
      <w:pPr>
        <w:ind w:firstLine="420"/>
        <w:spacing w:line="4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eastAsia="zh-CN"/>
        </w:rPr>
        <w:t xml:space="preserve">投标报价一次报定投标报价应包括但不限于完成该项工作所需的人工（包括工资、奖金、社保、正常节假日的加班费及完成标书合同规定服务内容发生的延时加班等费用）、乙方应承担的义务及相关的后续服务，如限时理赔支付赔款、无偿提供保险知识培训、保险宣传、管理成本、劳保、利润、税金、政策性文件规定及合同包含的所有风险、责任等各项应有费用。同时，除非合同条款中另有规定，否则，投标人所报价格在合同实施期间不因市场变化因素而变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1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（盖章）：</w:t>
      </w:r>
      <w:r/>
    </w:p>
    <w:p>
      <w:pPr>
        <w:spacing w:line="460" w:lineRule="exact"/>
        <w:tabs>
          <w:tab w:val="left" w:pos="71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 </w:t>
      </w:r>
      <w:r/>
    </w:p>
    <w:p>
      <w:pPr>
        <w:spacing w:line="460" w:lineRule="exact"/>
        <w:tabs>
          <w:tab w:val="left" w:pos="7167" w:leader="none"/>
        </w:tabs>
        <w:rPr>
          <w:rFonts w:hint="eastAsia" w:ascii="宋体" w:hAnsi="宋体" w:cs="宋体"/>
          <w:color w:val="auto"/>
          <w:sz w:val="24"/>
          <w:szCs w:val="24"/>
          <w:highlight w:val="none"/>
        </w:rPr>
      </w:pPr>
      <w:r>
        <w:rPr>
          <w:rFonts w:hint="eastAsia" w:ascii="宋体" w:hAnsi="宋体" w:eastAsia="宋体" w:cs="宋体"/>
          <w:color w:val="auto"/>
          <w:sz w:val="21"/>
          <w:szCs w:val="21"/>
          <w:highlight w:val="none"/>
        </w:rPr>
        <w:t xml:space="preserve">日期：      年     月     日</w:t>
      </w:r>
      <w:r/>
    </w:p>
    <w:p>
      <w:pPr>
        <w:pStyle w:val="851"/>
        <w:ind w:left="0" w:firstLine="0"/>
        <w:rPr>
          <w:rFonts w:hint="eastAsia" w:ascii="宋体" w:hAnsi="宋体" w:cs="宋体"/>
          <w:b/>
          <w:color w:val="auto"/>
          <w:sz w:val="24"/>
          <w:szCs w:val="24"/>
          <w:highlight w:val="none"/>
        </w:rPr>
      </w:pPr>
      <w:r>
        <w:rPr>
          <w:rFonts w:hint="eastAsia"/>
          <w:color w:val="auto"/>
          <w:highlight w:val="none"/>
        </w:rPr>
        <w:br w:type="page" w:clear="all"/>
      </w:r>
      <w:r>
        <w:rPr>
          <w:rFonts w:hint="eastAsia" w:ascii="宋体" w:hAnsi="宋体" w:cs="宋体"/>
          <w:b/>
          <w:color w:val="auto"/>
          <w:sz w:val="32"/>
          <w:szCs w:val="32"/>
          <w:highlight w:val="none"/>
        </w:rPr>
        <w:t xml:space="preserve">7、投标报价分项明细表</w:t>
      </w:r>
      <w:r/>
    </w:p>
    <w:p>
      <w:pPr>
        <w:jc w:val="center"/>
        <w:spacing w:line="360" w:lineRule="auto"/>
        <w:rPr>
          <w:rFonts w:ascii="宋体" w:hAnsi="宋体"/>
          <w:b/>
          <w:color w:val="auto"/>
          <w:sz w:val="30"/>
          <w:szCs w:val="30"/>
          <w:highlight w:val="none"/>
        </w:rPr>
      </w:pP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一）</w:t>
      </w:r>
      <w:r>
        <w:rPr>
          <w:rFonts w:ascii="宋体" w:hAnsi="宋体"/>
          <w:b/>
          <w:color w:val="auto"/>
          <w:sz w:val="30"/>
          <w:szCs w:val="30"/>
          <w:highlight w:val="none"/>
        </w:rPr>
        <w:t xml:space="preserve">投标分项报价表</w:t>
      </w:r>
      <w:r/>
    </w:p>
    <w:p>
      <w:pPr>
        <w:ind w:firstLine="420"/>
        <w:spacing w:line="4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采购</w:t>
      </w:r>
      <w:r>
        <w:rPr>
          <w:rFonts w:hint="eastAsia" w:ascii="宋体" w:hAnsi="宋体" w:eastAsia="宋体" w:cs="宋体"/>
          <w:b w:val="0"/>
          <w:bCs w:val="0"/>
          <w:color w:val="auto"/>
          <w:sz w:val="21"/>
          <w:szCs w:val="21"/>
          <w:highlight w:val="none"/>
          <w:lang w:eastAsia="zh-CN"/>
        </w:rPr>
        <w:t xml:space="preserve">编号：JSZC-320585-ZFXM-G2026-0008 </w:t>
      </w:r>
      <w:r/>
    </w:p>
    <w:p>
      <w:pPr>
        <w:ind w:firstLine="420"/>
        <w:spacing w:line="460" w:lineRule="exact"/>
        <w:rPr>
          <w:rFonts w:hint="eastAsia" w:ascii="宋体" w:hAnsi="宋体" w:eastAsia="宋体" w:cs="宋体"/>
          <w:b/>
          <w:bCs/>
          <w:color w:val="auto"/>
          <w:spacing w:val="1"/>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采购包号：采购包（）</w:t>
      </w:r>
      <w:r>
        <w:rPr>
          <w:rFonts w:hint="eastAsia" w:ascii="宋体" w:hAnsi="宋体" w:eastAsia="宋体" w:cs="宋体"/>
          <w:color w:val="auto"/>
          <w:spacing w:val="20"/>
          <w:sz w:val="21"/>
          <w:szCs w:val="21"/>
          <w:highlight w:val="none"/>
          <w:u w:val="single"/>
          <w:lang w:val="en-US" w:eastAsia="zh-CN"/>
        </w:rPr>
        <w:t xml:space="preserve">  </w:t>
      </w:r>
      <w:r/>
    </w:p>
    <w:tbl>
      <w:tblPr>
        <w:tblStyle w:val="805"/>
        <w:tblW w:w="908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3970"/>
        <w:gridCol w:w="2970"/>
        <w:gridCol w:w="1361"/>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序号</w:t>
            </w:r>
            <w:r/>
          </w:p>
        </w:tc>
        <w:tc>
          <w:tcPr>
            <w:tcBorders>
              <w:top w:val="single" w:color="auto" w:sz="6" w:space="0"/>
              <w:left w:val="single" w:color="auto" w:sz="6" w:space="0"/>
              <w:bottom w:val="single" w:color="auto" w:sz="6" w:space="0"/>
              <w:right w:val="single" w:color="auto" w:sz="6" w:space="0"/>
            </w:tcBorders>
            <w:tcW w:w="397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项目内容</w:t>
            </w:r>
            <w:r/>
          </w:p>
        </w:tc>
        <w:tc>
          <w:tcPr>
            <w:tcBorders>
              <w:top w:val="single" w:color="auto" w:sz="6" w:space="0"/>
              <w:left w:val="single" w:color="auto" w:sz="6" w:space="0"/>
              <w:bottom w:val="single" w:color="auto" w:sz="6" w:space="0"/>
              <w:right w:val="single" w:color="auto" w:sz="4" w:space="0"/>
            </w:tcBorders>
            <w:tcW w:w="297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单价投标报价</w:t>
            </w:r>
            <w:r/>
          </w:p>
        </w:tc>
        <w:tc>
          <w:tcPr>
            <w:tcBorders>
              <w:top w:val="single" w:color="auto" w:sz="6" w:space="0"/>
              <w:left w:val="single" w:color="auto" w:sz="6" w:space="0"/>
              <w:bottom w:val="single" w:color="auto" w:sz="6" w:space="0"/>
              <w:right w:val="single" w:color="auto" w:sz="4" w:space="0"/>
            </w:tcBorders>
            <w:tcW w:w="136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397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297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元/人</w:t>
            </w:r>
            <w:r/>
          </w:p>
        </w:tc>
        <w:tc>
          <w:tcPr>
            <w:tcBorders>
              <w:top w:val="single" w:color="auto" w:sz="6" w:space="0"/>
              <w:left w:val="single" w:color="auto" w:sz="6" w:space="0"/>
              <w:bottom w:val="single" w:color="auto" w:sz="6" w:space="0"/>
              <w:right w:val="single" w:color="auto" w:sz="4" w:space="0"/>
            </w:tcBorders>
            <w:tcW w:w="136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2</w:t>
            </w:r>
            <w:r/>
          </w:p>
        </w:tc>
        <w:tc>
          <w:tcPr>
            <w:tcBorders>
              <w:top w:val="single" w:color="auto" w:sz="6" w:space="0"/>
              <w:left w:val="single" w:color="auto" w:sz="6" w:space="0"/>
              <w:bottom w:val="single" w:color="auto" w:sz="6" w:space="0"/>
              <w:right w:val="single" w:color="auto" w:sz="6" w:space="0"/>
            </w:tcBorders>
            <w:tcW w:w="397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w:t>
            </w:r>
            <w:r/>
          </w:p>
        </w:tc>
        <w:tc>
          <w:tcPr>
            <w:tcBorders>
              <w:top w:val="single" w:color="auto" w:sz="6" w:space="0"/>
              <w:left w:val="single" w:color="auto" w:sz="6" w:space="0"/>
              <w:bottom w:val="single" w:color="auto" w:sz="6" w:space="0"/>
              <w:right w:val="single" w:color="auto" w:sz="4" w:space="0"/>
            </w:tcBorders>
            <w:tcW w:w="2970"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元/人</w:t>
            </w:r>
            <w:r/>
          </w:p>
        </w:tc>
        <w:tc>
          <w:tcPr>
            <w:tcBorders>
              <w:top w:val="single" w:color="auto" w:sz="6" w:space="0"/>
              <w:left w:val="single" w:color="auto" w:sz="6" w:space="0"/>
              <w:bottom w:val="single" w:color="auto" w:sz="6" w:space="0"/>
              <w:right w:val="single" w:color="auto" w:sz="4" w:space="0"/>
            </w:tcBorders>
            <w:tcW w:w="1361"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default" w:ascii="宋体" w:hAnsi="宋体" w:eastAsia="宋体" w:cs="宋体"/>
                <w:color w:val="auto"/>
                <w:sz w:val="21"/>
                <w:szCs w:val="21"/>
                <w:highlight w:val="none"/>
                <w:lang w:val="en-US" w:eastAsia="zh-CN" w:bidi="ar-SA"/>
              </w:rPr>
              <w:suppressLineNumbers w:val="0"/>
            </w:pPr>
            <w:r>
              <w:rPr>
                <w:rFonts w:hint="default" w:ascii="宋体" w:hAnsi="宋体" w:eastAsia="宋体" w:cs="宋体"/>
                <w:color w:val="auto"/>
                <w:sz w:val="21"/>
                <w:szCs w:val="21"/>
                <w:highlight w:val="none"/>
                <w:lang w:val="en-US" w:eastAsia="zh-CN" w:bidi="ar-SA"/>
              </w:rPr>
            </w:r>
            <w:r/>
          </w:p>
        </w:tc>
      </w:tr>
    </w:tbl>
    <w:p>
      <w:pPr>
        <w:ind w:left="0" w:right="0" w:firstLine="0"/>
        <w:jc w:val="left"/>
        <w:spacing w:before="91" w:after="0" w:line="221" w:lineRule="exact"/>
        <w:rPr>
          <w:rFonts w:hint="eastAsia" w:ascii="宋体" w:hAnsi="宋体" w:eastAsia="宋体" w:cs="宋体"/>
          <w:b/>
          <w:bCs/>
          <w:color w:val="auto"/>
          <w:spacing w:val="1"/>
          <w:sz w:val="21"/>
          <w:szCs w:val="21"/>
          <w:highlight w:val="none"/>
          <w:lang w:val="en-US" w:eastAsia="zh-CN" w:bidi="ar-SA"/>
        </w:rPr>
      </w:pPr>
      <w:r>
        <w:rPr>
          <w:rFonts w:hint="eastAsia" w:ascii="宋体" w:hAnsi="宋体" w:eastAsia="宋体" w:cs="宋体"/>
          <w:b/>
          <w:bCs/>
          <w:color w:val="auto"/>
          <w:spacing w:val="1"/>
          <w:sz w:val="21"/>
          <w:szCs w:val="21"/>
          <w:highlight w:val="none"/>
          <w:lang w:val="en-US" w:eastAsia="zh-CN" w:bidi="ar-SA"/>
        </w:rPr>
      </w:r>
      <w:r/>
    </w:p>
    <w:p>
      <w:pPr>
        <w:spacing w:line="460" w:lineRule="exac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注：单价最高限价：采购包1：民警300元/人，民警子女200元/人；采购包2/采购包3：辅警200元/人，民警配偶200元/人。投标报价不得超过单价最高限价，否则为无效标。</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（盖章）：</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center"/>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center"/>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注：异常低价审查有关要求，均以财库〔2026〕2号为准</w:t>
      </w:r>
      <w:r>
        <w:rPr>
          <w:rFonts w:hint="eastAsia" w:ascii="宋体" w:hAnsi="宋体" w:eastAsia="宋体" w:cs="宋体"/>
          <w:b/>
          <w:color w:val="auto"/>
          <w:sz w:val="21"/>
          <w:szCs w:val="21"/>
          <w:highlight w:val="none"/>
          <w:lang w:eastAsia="zh-CN"/>
        </w:rPr>
        <w:t xml:space="preserve">。</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（盖章）：</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spacing w:line="500" w:lineRule="exact"/>
        <w:rPr>
          <w:rFonts w:hint="eastAsia" w:ascii="宋体" w:hAnsi="宋体" w:eastAsia="宋体" w:cs="宋体"/>
          <w:b/>
          <w:bCs/>
          <w:color w:val="auto"/>
          <w:sz w:val="32"/>
          <w:szCs w:val="32"/>
          <w:highlight w:val="none"/>
        </w:rPr>
      </w:pPr>
      <w:r>
        <w:rPr>
          <w:rFonts w:hint="eastAsia" w:ascii="宋体" w:hAnsi="宋体" w:eastAsia="宋体" w:cs="Times New Roman"/>
          <w:color w:val="auto"/>
          <w:sz w:val="24"/>
          <w:highlight w:val="none"/>
        </w:rPr>
        <w:br w:type="page" w:clear="all"/>
      </w:r>
      <w:r>
        <w:rPr>
          <w:rFonts w:hint="eastAsia" w:ascii="宋体" w:hAnsi="宋体" w:eastAsia="宋体" w:cs="宋体"/>
          <w:b/>
          <w:bCs/>
          <w:color w:val="auto"/>
          <w:sz w:val="32"/>
          <w:szCs w:val="32"/>
          <w:highlight w:val="none"/>
        </w:rPr>
        <w:t xml:space="preserve">8、</w:t>
      </w:r>
      <w:r>
        <w:rPr>
          <w:rFonts w:hint="eastAsia" w:ascii="宋体" w:hAnsi="宋体" w:eastAsia="宋体" w:cs="宋体"/>
          <w:b/>
          <w:bCs/>
          <w:color w:val="auto"/>
          <w:sz w:val="32"/>
          <w:szCs w:val="32"/>
          <w:highlight w:val="none"/>
          <w:lang w:eastAsia="zh-CN"/>
        </w:rPr>
        <w:t xml:space="preserve">服务</w:t>
      </w:r>
      <w:r>
        <w:rPr>
          <w:rFonts w:hint="eastAsia" w:ascii="宋体" w:hAnsi="宋体" w:eastAsia="宋体" w:cs="宋体"/>
          <w:b/>
          <w:bCs/>
          <w:color w:val="auto"/>
          <w:sz w:val="32"/>
          <w:szCs w:val="32"/>
          <w:highlight w:val="none"/>
        </w:rPr>
        <w:t xml:space="preserve">要求偏离表</w:t>
      </w:r>
      <w:r/>
    </w:p>
    <w:p>
      <w:pPr>
        <w:jc w:val="center"/>
        <w:spacing w:line="360" w:lineRule="auto"/>
        <w:rPr>
          <w:rFonts w:ascii="宋体" w:hAnsi="宋体"/>
          <w:color w:val="auto"/>
          <w:sz w:val="24"/>
          <w:highlight w:val="none"/>
        </w:rPr>
      </w:pPr>
      <w:r>
        <w:rPr>
          <w:rFonts w:hint="eastAsia" w:ascii="宋体" w:hAnsi="宋体" w:eastAsia="宋体" w:cs="宋体"/>
          <w:b/>
          <w:color w:val="auto"/>
          <w:sz w:val="32"/>
          <w:szCs w:val="32"/>
          <w:highlight w:val="none"/>
          <w:lang w:eastAsia="zh-CN"/>
        </w:rPr>
        <w:t xml:space="preserve">服务</w:t>
      </w:r>
      <w:r>
        <w:rPr>
          <w:rFonts w:hint="eastAsia" w:ascii="宋体" w:hAnsi="宋体" w:eastAsia="宋体" w:cs="宋体"/>
          <w:b/>
          <w:color w:val="auto"/>
          <w:sz w:val="32"/>
          <w:szCs w:val="32"/>
          <w:highlight w:val="none"/>
        </w:rPr>
        <w:t xml:space="preserve">要求偏离表</w:t>
      </w:r>
      <w:r/>
    </w:p>
    <w:tbl>
      <w:tblPr>
        <w:tblStyle w:val="80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894"/>
        <w:gridCol w:w="2036"/>
        <w:gridCol w:w="1784"/>
        <w:gridCol w:w="1764"/>
        <w:gridCol w:w="1468"/>
      </w:tblGrid>
      <w:tr>
        <w:trPr>
          <w:trHeight w:val="992"/>
        </w:trPr>
        <w:tc>
          <w:tcPr>
            <w:tcW w:w="457"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W w:w="961"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内容</w:t>
            </w:r>
            <w:r/>
          </w:p>
        </w:tc>
        <w:tc>
          <w:tcPr>
            <w:tcW w:w="1033"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招标文件</w:t>
            </w:r>
            <w:r/>
          </w:p>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rPr>
              <w:t xml:space="preserve">要求</w:t>
            </w:r>
            <w:r/>
          </w:p>
        </w:tc>
        <w:tc>
          <w:tcPr>
            <w:tcW w:w="905"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投标文件</w:t>
            </w:r>
            <w:r/>
          </w:p>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响应要求</w:t>
            </w:r>
            <w:r/>
          </w:p>
        </w:tc>
        <w:tc>
          <w:tcPr>
            <w:tcW w:w="895"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此项请填写“偏离”或“完全响应”</w:t>
            </w:r>
            <w:r/>
          </w:p>
        </w:tc>
        <w:tc>
          <w:tcPr>
            <w:tcW w:w="745" w:type="pct"/>
            <w:vAlign w:val="center"/>
            <w:textDirection w:val="lrTb"/>
            <w:noWrap w:val="false"/>
          </w:tcPr>
          <w:p>
            <w:pPr>
              <w:ind w:left="0" w:right="0"/>
              <w:jc w:val="center"/>
              <w:keepLines w:val="0"/>
              <w:keepNext w:val="0"/>
              <w:spacing w:before="0" w:beforeAutospacing="0" w:after="0" w:afterAutospacing="0" w:line="420" w:lineRule="atLeast"/>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偏离说明（如有）</w:t>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50"/>
        </w:trPr>
        <w:tc>
          <w:tcPr>
            <w:tcW w:w="457" w:type="pct"/>
            <w:vAlign w:val="top"/>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61"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033"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90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89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45" w:type="pct"/>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center"/>
        <w:spacing w:line="360" w:lineRule="auto"/>
        <w:rPr>
          <w:rFonts w:hint="eastAsia"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r>
      <w:r/>
    </w:p>
    <w:p>
      <w:pPr>
        <w:ind w:firstLine="422"/>
        <w:jc w:val="left"/>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注：1、</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lang w:val="zh-CN"/>
        </w:rPr>
        <w:t xml:space="preserve">应对照采购文件中</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lang w:val="zh-CN"/>
        </w:rPr>
        <w:t xml:space="preserve">要求等，所投标的物与采购文件的规定有偏离的，应在此表中申明与</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lang w:val="zh-CN"/>
        </w:rPr>
        <w:t xml:space="preserve">要求条文的偏差和例外。</w:t>
      </w:r>
      <w:r/>
    </w:p>
    <w:p>
      <w:p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2、未在上表中说明的，将被认为完全响应采购文件的规定。但该表不作为供应商对所投标的物关于</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lang w:val="zh-CN"/>
        </w:rPr>
        <w:t xml:space="preserve">要求等详细描述和说明的替代。</w:t>
      </w:r>
      <w:r/>
    </w:p>
    <w:p>
      <w:pPr>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：（公章）</w:t>
      </w:r>
      <w:r/>
    </w:p>
    <w:p>
      <w:pPr>
        <w:jc w:val="left"/>
        <w:spacing w:line="46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rPr>
          <w:rFonts w:hint="eastAsia" w:ascii="宋体" w:hAnsi="宋体" w:eastAsia="宋体" w:cs="宋体"/>
          <w:bCs/>
          <w:color w:val="auto"/>
          <w:sz w:val="21"/>
          <w:szCs w:val="21"/>
          <w:highlight w:val="none"/>
        </w:rPr>
        <w:t xml:space="preserve">：</w:t>
      </w:r>
      <w:r/>
    </w:p>
    <w:p>
      <w:pPr>
        <w:spacing w:line="460" w:lineRule="exact"/>
        <w:rPr>
          <w:rFonts w:hint="eastAsia" w:hAnsi="宋体" w:cs="宋体"/>
          <w:b/>
          <w:bCs/>
          <w:color w:val="auto"/>
          <w:sz w:val="32"/>
          <w:szCs w:val="32"/>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月   日</w:t>
      </w:r>
      <w:r/>
    </w:p>
    <w:p>
      <w:pPr>
        <w:pStyle w:val="896"/>
        <w:jc w:val="both"/>
        <w:spacing w:line="360" w:lineRule="auto"/>
        <w:rPr>
          <w:rFonts w:hint="eastAsia" w:ascii="宋体" w:hAnsi="宋体" w:eastAsia="宋体" w:cs="宋体"/>
          <w:color w:val="auto"/>
          <w:sz w:val="32"/>
          <w:szCs w:val="32"/>
          <w:highlight w:val="none"/>
        </w:rPr>
      </w:pPr>
      <w:r>
        <w:rPr>
          <w:rFonts w:hint="eastAsia" w:hAnsi="宋体" w:eastAsia="宋体"/>
          <w:b/>
          <w:color w:val="auto"/>
          <w:sz w:val="32"/>
          <w:szCs w:val="32"/>
          <w:highlight w:val="none"/>
        </w:rPr>
        <w:br w:type="page" w:clear="all"/>
      </w:r>
      <w:r>
        <w:rPr>
          <w:rFonts w:hint="eastAsia" w:ascii="宋体" w:hAnsi="宋体" w:eastAsia="宋体" w:cs="宋体"/>
          <w:b/>
          <w:bCs/>
          <w:color w:val="auto"/>
          <w:sz w:val="32"/>
          <w:szCs w:val="32"/>
          <w:highlight w:val="none"/>
          <w:lang w:val="en-US" w:eastAsia="zh-CN" w:bidi="ar-SA"/>
        </w:rPr>
        <w:t xml:space="preserve">9、商务条款偏离表</w:t>
      </w:r>
      <w:r/>
    </w:p>
    <w:p>
      <w:pPr>
        <w:ind w:firstLine="560"/>
        <w:jc w:val="center"/>
        <w:rPr>
          <w:rFonts w:hint="eastAsia" w:ascii="宋体" w:hAnsi="宋体"/>
          <w:color w:val="auto"/>
          <w:highlight w:val="none"/>
        </w:rPr>
      </w:pPr>
      <w:r>
        <w:rPr>
          <w:rFonts w:hint="eastAsia" w:ascii="宋体" w:hAnsi="宋体" w:eastAsia="宋体" w:cs="宋体"/>
          <w:b/>
          <w:bCs/>
          <w:color w:val="auto"/>
          <w:sz w:val="32"/>
          <w:szCs w:val="32"/>
          <w:highlight w:val="none"/>
          <w:lang w:val="en-US" w:eastAsia="zh-CN" w:bidi="ar-SA"/>
        </w:rPr>
        <w:t xml:space="preserve">商务条款偏离表</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749"/>
        <w:gridCol w:w="1390"/>
        <w:gridCol w:w="1757"/>
      </w:tblGrid>
      <w:tr>
        <w:trPr>
          <w:jc w:val="center"/>
        </w:trPr>
        <w:tc>
          <w:tcPr>
            <w:tcW w:w="828" w:type="dxa"/>
            <w:vAlign w:val="center"/>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序号</w:t>
            </w:r>
            <w:r/>
          </w:p>
        </w:tc>
        <w:tc>
          <w:tcPr>
            <w:tcW w:w="1800" w:type="dxa"/>
            <w:vAlign w:val="center"/>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商务内容</w:t>
            </w:r>
            <w:r/>
          </w:p>
        </w:tc>
        <w:tc>
          <w:tcPr>
            <w:tcW w:w="1620" w:type="dxa"/>
            <w:vAlign w:val="center"/>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招标要求</w:t>
            </w:r>
            <w:r/>
          </w:p>
        </w:tc>
        <w:tc>
          <w:tcPr>
            <w:tcW w:w="1749" w:type="dxa"/>
            <w:vAlign w:val="center"/>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投标</w:t>
            </w:r>
            <w:r>
              <w:rPr>
                <w:rFonts w:hint="eastAsia" w:hAnsi="宋体" w:eastAsia="宋体" w:cs="宋体"/>
                <w:b/>
                <w:color w:val="auto"/>
                <w:sz w:val="21"/>
                <w:szCs w:val="21"/>
                <w:highlight w:val="none"/>
                <w:lang w:val="en-US" w:eastAsia="zh-CN"/>
              </w:rPr>
              <w:t xml:space="preserve">内容</w:t>
            </w:r>
            <w:r/>
          </w:p>
        </w:tc>
        <w:tc>
          <w:tcPr>
            <w:tcW w:w="1390" w:type="dxa"/>
            <w:vAlign w:val="center"/>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此项请填写“偏离”或“完全响应”</w:t>
            </w:r>
            <w:r/>
          </w:p>
        </w:tc>
        <w:tc>
          <w:tcPr>
            <w:tcW w:w="1757" w:type="dxa"/>
            <w:vAlign w:val="center"/>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偏离说明（如有）</w:t>
            </w:r>
            <w:r/>
          </w:p>
        </w:tc>
      </w:tr>
      <w:tr>
        <w:trPr>
          <w:jc w:val="center"/>
        </w:trPr>
        <w:tc>
          <w:tcPr>
            <w:tcW w:w="828" w:type="dxa"/>
            <w:vAlign w:val="center"/>
            <w:textDirection w:val="lrTb"/>
            <w:noWrap w:val="false"/>
          </w:tcPr>
          <w:p>
            <w:pPr>
              <w:ind w:left="0" w:right="0"/>
              <w:jc w:val="center"/>
              <w:keepLines w:val="0"/>
              <w:keepNext w:val="0"/>
              <w:spacing w:before="240" w:beforeAutospacing="0" w:after="24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8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合同履行期限</w:t>
            </w:r>
            <w:r/>
          </w:p>
        </w:tc>
        <w:tc>
          <w:tcPr>
            <w:tcW w:w="162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center"/>
            <w:textDirection w:val="lrTb"/>
            <w:noWrap w:val="false"/>
          </w:tcPr>
          <w:p>
            <w:pPr>
              <w:ind w:left="0" w:right="0"/>
              <w:jc w:val="center"/>
              <w:keepLines w:val="0"/>
              <w:keepNext w:val="0"/>
              <w:spacing w:before="240" w:beforeAutospacing="0" w:after="24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8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zh-CN"/>
              </w:rPr>
              <w:t xml:space="preserve">地点</w:t>
            </w:r>
            <w:r/>
          </w:p>
        </w:tc>
        <w:tc>
          <w:tcPr>
            <w:tcW w:w="162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Height w:val="796"/>
        </w:trPr>
        <w:tc>
          <w:tcPr>
            <w:tcW w:w="828" w:type="dxa"/>
            <w:vAlign w:val="center"/>
            <w:textDirection w:val="lrTb"/>
            <w:noWrap w:val="false"/>
          </w:tcPr>
          <w:p>
            <w:pPr>
              <w:ind w:left="0" w:right="0"/>
              <w:jc w:val="center"/>
              <w:keepLines w:val="0"/>
              <w:keepNext w:val="0"/>
              <w:spacing w:before="240" w:beforeAutospacing="0" w:after="24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8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lang w:val="zh-CN"/>
              </w:rPr>
              <w:t xml:space="preserve">付款方式</w:t>
            </w:r>
            <w:r/>
          </w:p>
        </w:tc>
        <w:tc>
          <w:tcPr>
            <w:tcW w:w="162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center"/>
            <w:textDirection w:val="lrTb"/>
            <w:noWrap w:val="false"/>
          </w:tcPr>
          <w:p>
            <w:pPr>
              <w:ind w:left="0" w:right="0"/>
              <w:jc w:val="center"/>
              <w:keepLines w:val="0"/>
              <w:keepNext w:val="0"/>
              <w:spacing w:before="240" w:beforeAutospacing="0" w:after="24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180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lang w:val="zh-CN"/>
              </w:rPr>
              <w:t xml:space="preserve">其他商务要求</w:t>
            </w:r>
            <w:r/>
          </w:p>
        </w:tc>
        <w:tc>
          <w:tcPr>
            <w:tcW w:w="162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t xml:space="preserve">...</w:t>
            </w:r>
            <w:r/>
          </w:p>
        </w:tc>
        <w:tc>
          <w:tcPr>
            <w:tcW w:w="180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80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80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80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r>
        <w:trPr>
          <w:jc w:val="center"/>
        </w:trPr>
        <w:tc>
          <w:tcPr>
            <w:tcW w:w="828"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80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62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49"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390"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c>
          <w:tcPr>
            <w:tcW w:w="1757" w:type="dxa"/>
            <w:vAlign w:val="top"/>
            <w:textDirection w:val="lrTb"/>
            <w:noWrap w:val="false"/>
          </w:tcPr>
          <w:p>
            <w:pPr>
              <w:pStyle w:val="896"/>
              <w:ind w:left="0" w:right="0"/>
              <w:jc w:val="center"/>
              <w:keepLines w:val="0"/>
              <w:keepNext w:val="0"/>
              <w:spacing w:before="0" w:beforeAutospacing="0" w:after="0" w:afterAutospacing="0" w:line="400" w:lineRule="exact"/>
              <w:rPr>
                <w:rFonts w:hint="eastAsia" w:ascii="宋体" w:hAnsi="宋体" w:eastAsia="宋体" w:cs="宋体"/>
                <w:b/>
                <w:color w:val="auto"/>
                <w:sz w:val="21"/>
                <w:szCs w:val="21"/>
                <w:highlight w:val="none"/>
                <w:lang w:val="en-US" w:eastAsia="zh-CN"/>
              </w:rPr>
              <w:suppressLineNumbers w:val="0"/>
            </w:pPr>
            <w:r>
              <w:rPr>
                <w:rFonts w:hint="eastAsia" w:ascii="宋体" w:hAnsi="宋体" w:eastAsia="宋体" w:cs="宋体"/>
                <w:b/>
                <w:color w:val="auto"/>
                <w:sz w:val="21"/>
                <w:szCs w:val="21"/>
                <w:highlight w:val="none"/>
                <w:lang w:val="en-US" w:eastAsia="zh-CN"/>
              </w:rPr>
            </w:r>
            <w:r/>
          </w:p>
        </w:tc>
      </w:tr>
    </w:tbl>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注：投标人的投标文件（除</w:t>
      </w:r>
      <w:r>
        <w:rPr>
          <w:rFonts w:hint="eastAsia" w:ascii="宋体" w:hAnsi="宋体" w:eastAsia="宋体" w:cs="宋体"/>
          <w:b/>
          <w:bCs/>
          <w:color w:val="auto"/>
          <w:sz w:val="21"/>
          <w:szCs w:val="21"/>
          <w:highlight w:val="none"/>
          <w:lang w:val="en-US" w:eastAsia="zh-CN"/>
        </w:rPr>
        <w:t xml:space="preserve">服务</w:t>
      </w:r>
      <w:r>
        <w:rPr>
          <w:rFonts w:hint="eastAsia" w:ascii="宋体" w:hAnsi="宋体" w:eastAsia="宋体" w:cs="宋体"/>
          <w:b/>
          <w:bCs/>
          <w:color w:val="auto"/>
          <w:sz w:val="21"/>
          <w:szCs w:val="21"/>
          <w:highlight w:val="none"/>
        </w:rPr>
        <w:t xml:space="preserve">要求部分）与招标文件规定的有偏离的，应在此表中说明。未在上表中说明的，将被认为完全响应招标文件的规定。但该表不作为投标人对所投标的物关于商务条款等详细描述和说明的替代。</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Times New Roman"/>
          <w:color w:val="auto"/>
          <w:sz w:val="24"/>
          <w:highlight w:val="none"/>
        </w:rPr>
      </w:pPr>
      <w:r>
        <w:rPr>
          <w:rFonts w:hint="eastAsia" w:ascii="宋体" w:hAnsi="宋体" w:eastAsia="宋体" w:cs="宋体"/>
          <w:color w:val="auto"/>
          <w:sz w:val="21"/>
          <w:szCs w:val="21"/>
          <w:highlight w:val="none"/>
        </w:rPr>
        <w:t xml:space="preserve">日期：       年    月    日</w:t>
      </w:r>
      <w:r/>
    </w:p>
    <w:p>
      <w:pPr>
        <w:pStyle w:val="809"/>
        <w:ind w:firstLine="0"/>
        <w:spacing w:line="360" w:lineRule="auto"/>
        <w:rPr>
          <w:rFonts w:hint="eastAsia" w:ascii="宋体" w:hAnsi="宋体" w:eastAsia="宋体" w:cs="宋体"/>
          <w:b/>
          <w:bCs/>
          <w:color w:val="auto"/>
          <w:sz w:val="32"/>
          <w:szCs w:val="32"/>
          <w:highlight w:val="none"/>
        </w:rPr>
      </w:pPr>
      <w:r>
        <w:rPr>
          <w:rFonts w:hint="eastAsia" w:ascii="宋体" w:hAnsi="宋体" w:eastAsia="宋体" w:cs="Times New Roman"/>
          <w:b/>
          <w:bCs/>
          <w:color w:val="auto"/>
          <w:sz w:val="32"/>
          <w:szCs w:val="32"/>
          <w:highlight w:val="none"/>
          <w:lang w:val="en-US" w:eastAsia="zh-CN" w:bidi="ar-SA"/>
        </w:rPr>
        <w:br w:type="page" w:clear="all"/>
      </w:r>
      <w:r>
        <w:rPr>
          <w:rFonts w:hint="eastAsia" w:ascii="宋体" w:hAnsi="宋体" w:eastAsia="宋体" w:cs="宋体"/>
          <w:b/>
          <w:bCs/>
          <w:color w:val="auto"/>
          <w:sz w:val="32"/>
          <w:szCs w:val="32"/>
          <w:highlight w:val="none"/>
          <w:lang w:val="en-US" w:eastAsia="zh-CN" w:bidi="ar-SA"/>
        </w:rPr>
        <w:t xml:space="preserve">10、项目人员安排一览表</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项目人员安排一览表</w:t>
      </w:r>
      <w:r/>
    </w:p>
    <w:tbl>
      <w:tblPr>
        <w:tblStyle w:val="805"/>
        <w:tblW w:w="973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620"/>
        <w:gridCol w:w="1688"/>
        <w:gridCol w:w="1755"/>
        <w:gridCol w:w="1480"/>
        <w:gridCol w:w="900"/>
      </w:tblGrid>
      <w:tr>
        <w:trPr>
          <w:jc w:val="center"/>
        </w:trPr>
        <w:tc>
          <w:tcPr>
            <w:tcBorders>
              <w:top w:val="single" w:color="000000" w:sz="8" w:space="0"/>
              <w:left w:val="single" w:color="000000" w:sz="8"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8" w:space="0"/>
              <w:left w:val="single" w:color="000000" w:sz="4" w:space="0"/>
              <w:bottom w:val="single" w:color="000000" w:sz="4" w:space="0"/>
              <w:right w:val="single" w:color="000000" w:sz="4" w:space="0"/>
            </w:tcBorders>
            <w:tcW w:w="142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岗位</w:t>
            </w:r>
            <w:r/>
          </w:p>
        </w:tc>
        <w:tc>
          <w:tcPr>
            <w:tcBorders>
              <w:top w:val="single" w:color="000000" w:sz="8" w:space="0"/>
              <w:left w:val="single" w:color="000000" w:sz="4" w:space="0"/>
              <w:bottom w:val="single" w:color="000000" w:sz="4" w:space="0"/>
              <w:right w:val="single" w:color="000000" w:sz="4" w:space="0"/>
            </w:tcBorders>
            <w:tcW w:w="1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姓名</w:t>
            </w:r>
            <w:r/>
          </w:p>
        </w:tc>
        <w:tc>
          <w:tcPr>
            <w:tcBorders>
              <w:top w:val="single" w:color="000000" w:sz="8" w:space="0"/>
              <w:left w:val="single" w:color="000000" w:sz="4" w:space="0"/>
              <w:bottom w:val="single" w:color="000000" w:sz="4" w:space="0"/>
              <w:right w:val="single" w:color="000000" w:sz="4" w:space="0"/>
            </w:tcBorders>
            <w:tcW w:w="168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性别</w:t>
            </w:r>
            <w:r/>
          </w:p>
        </w:tc>
        <w:tc>
          <w:tcPr>
            <w:tcBorders>
              <w:top w:val="single" w:color="000000" w:sz="8"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相关证书</w:t>
            </w:r>
            <w:r/>
          </w:p>
        </w:tc>
        <w:tc>
          <w:tcPr>
            <w:tcBorders>
              <w:top w:val="single" w:color="000000" w:sz="8"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资历</w:t>
            </w:r>
            <w:r/>
          </w:p>
        </w:tc>
        <w:tc>
          <w:tcPr>
            <w:tcBorders>
              <w:top w:val="single" w:color="000000" w:sz="8"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备注</w:t>
            </w:r>
            <w:r/>
          </w:p>
        </w:tc>
      </w:tr>
      <w:tr>
        <w:trPr>
          <w:jc w:val="center"/>
        </w:trPr>
        <w:tc>
          <w:tcPr>
            <w:tcBorders>
              <w:top w:val="single" w:color="000000" w:sz="4" w:space="0"/>
              <w:left w:val="single" w:color="000000" w:sz="8"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8"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688"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Pr>
        <w:tc>
          <w:tcPr>
            <w:tcBorders>
              <w:top w:val="single" w:color="000000" w:sz="4" w:space="0"/>
              <w:left w:val="single" w:color="000000" w:sz="8" w:space="0"/>
              <w:bottom w:val="single" w:color="000000" w:sz="8"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8" w:space="0"/>
              <w:right w:val="single" w:color="000000" w:sz="4" w:space="0"/>
            </w:tcBorders>
            <w:tcW w:w="1427"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8" w:space="0"/>
              <w:right w:val="single" w:color="000000" w:sz="4" w:space="0"/>
            </w:tcBorders>
            <w:tcW w:w="162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8" w:space="0"/>
              <w:right w:val="single" w:color="000000" w:sz="4" w:space="0"/>
            </w:tcBorders>
            <w:tcW w:w="1688"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8" w:space="0"/>
              <w:right w:val="single" w:color="000000" w:sz="4" w:space="0"/>
            </w:tcBorders>
            <w:tcW w:w="1755"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8" w:space="0"/>
              <w:right w:val="single" w:color="000000" w:sz="4" w:space="0"/>
            </w:tcBorders>
            <w:tcW w:w="148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8" w:space="0"/>
              <w:right w:val="single" w:color="000000" w:sz="4" w:space="0"/>
            </w:tcBorders>
            <w:tcW w:w="900" w:type="dxa"/>
            <w:vAlign w:val="center"/>
            <w:textDirection w:val="lrTb"/>
            <w:noWrap w:val="false"/>
          </w:tcPr>
          <w:p>
            <w:pPr>
              <w:ind w:left="0" w:right="0" w:firstLine="21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pStyle w:val="809"/>
        <w:ind w:firstLine="211"/>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注：本表后附招标文件及评分标准中要求提供的证明材料。</w:t>
      </w:r>
      <w:r/>
    </w:p>
    <w:p>
      <w:pPr>
        <w:pStyle w:val="809"/>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809"/>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投标人（单位盖章）：</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500" w:lineRule="exact"/>
        <w:rPr>
          <w:rFonts w:hint="eastAsia" w:ascii="宋体" w:hAnsi="宋体" w:eastAsia="宋体" w:cs="Times New Roman"/>
          <w:color w:val="auto"/>
          <w:sz w:val="24"/>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ind w:firstLine="422"/>
        <w:jc w:val="left"/>
        <w:spacing w:line="400" w:lineRule="exact"/>
        <w:widowControl/>
        <w:rPr>
          <w:rFonts w:hint="default" w:ascii="宋体" w:hAnsi="宋体" w:eastAsia="宋体" w:cs="宋体"/>
          <w:b/>
          <w:bCs/>
          <w:color w:val="auto"/>
          <w:sz w:val="21"/>
          <w:szCs w:val="21"/>
          <w:highlight w:val="none"/>
          <w:lang w:val="zh-CN"/>
        </w:rPr>
      </w:pPr>
      <w:r>
        <w:rPr>
          <w:rFonts w:hint="eastAsia" w:ascii="宋体" w:hAnsi="宋体" w:eastAsia="宋体" w:cs="宋体"/>
          <w:b/>
          <w:bCs/>
          <w:color w:val="auto"/>
          <w:sz w:val="32"/>
          <w:szCs w:val="32"/>
          <w:highlight w:val="none"/>
          <w:lang w:val="en-US" w:eastAsia="zh-CN" w:bidi="ar-SA"/>
        </w:rPr>
        <w:br w:type="page" w:clear="all"/>
      </w:r>
      <w:r>
        <w:rPr>
          <w:rFonts w:hint="eastAsia" w:ascii="宋体" w:hAnsi="宋体" w:eastAsia="宋体" w:cs="宋体"/>
          <w:b/>
          <w:bCs/>
          <w:color w:val="auto"/>
          <w:sz w:val="32"/>
          <w:szCs w:val="32"/>
          <w:highlight w:val="none"/>
          <w:lang w:val="en-US" w:eastAsia="zh-CN" w:bidi="ar-SA"/>
        </w:rPr>
        <w:t xml:space="preserve">11、相关证书一览表</w:t>
      </w:r>
      <w:r/>
    </w:p>
    <w:p>
      <w:pPr>
        <w:ind w:firstLine="422"/>
        <w:jc w:val="left"/>
        <w:spacing w:line="400" w:lineRule="exact"/>
        <w:widowControl/>
        <w:rPr>
          <w:rFonts w:hint="default" w:ascii="宋体" w:hAnsi="宋体" w:eastAsia="宋体" w:cs="宋体"/>
          <w:b/>
          <w:bCs/>
          <w:color w:val="auto"/>
          <w:sz w:val="32"/>
          <w:szCs w:val="32"/>
          <w:highlight w:val="none"/>
          <w:lang w:val="en-US" w:eastAsia="zh-CN" w:bidi="ar-SA"/>
        </w:rPr>
      </w:pPr>
      <w:r>
        <w:rPr>
          <w:rFonts w:hint="default" w:ascii="宋体" w:hAnsi="宋体" w:eastAsia="宋体" w:cs="宋体"/>
          <w:b/>
          <w:bCs/>
          <w:color w:val="auto"/>
          <w:sz w:val="32"/>
          <w:szCs w:val="32"/>
          <w:highlight w:val="none"/>
          <w:lang w:val="en-US" w:eastAsia="zh-CN" w:bidi="ar-SA"/>
        </w:rPr>
      </w:r>
      <w:r/>
    </w:p>
    <w:p>
      <w:pPr>
        <w:ind w:firstLine="422"/>
        <w:jc w:val="center"/>
        <w:spacing w:line="400" w:lineRule="exact"/>
        <w:widowControl/>
        <w:rPr>
          <w:rFonts w:hint="default"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证书一览表</w:t>
      </w:r>
      <w:r/>
    </w:p>
    <w:tbl>
      <w:tblPr>
        <w:tblStyle w:val="80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05"/>
        <w:gridCol w:w="2719"/>
        <w:gridCol w:w="1800"/>
        <w:gridCol w:w="1765"/>
        <w:gridCol w:w="1823"/>
      </w:tblGrid>
      <w:tr>
        <w:trPr>
          <w:cantSplit/>
          <w:jc w:val="center"/>
          <w:trHeight w:val="740"/>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序号</w:t>
            </w:r>
            <w:r/>
          </w:p>
        </w:tc>
        <w:tc>
          <w:tcPr>
            <w:tcW w:w="271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证书名称</w:t>
            </w:r>
            <w:r/>
          </w:p>
        </w:tc>
        <w:tc>
          <w:tcPr>
            <w:tcW w:w="180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证书级别</w:t>
            </w:r>
            <w:r/>
          </w:p>
        </w:tc>
        <w:tc>
          <w:tcPr>
            <w:tcW w:w="176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包含项目</w:t>
            </w:r>
            <w:r/>
          </w:p>
        </w:tc>
        <w:tc>
          <w:tcPr>
            <w:tcW w:w="182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备注</w:t>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cantSplit/>
          <w:jc w:val="center"/>
          <w:trHeight w:val="510" w:hRule="exact"/>
        </w:trPr>
        <w:tc>
          <w:tcPr>
            <w:tcW w:w="120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2719"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00"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765"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c>
          <w:tcPr>
            <w:tcW w:w="1823" w:type="dxa"/>
            <w:vAlign w:val="center"/>
            <w:textDirection w:val="lrTb"/>
            <w:noWrap w:val="false"/>
          </w:tcPr>
          <w:p>
            <w:pPr>
              <w:ind w:left="0" w:right="0"/>
              <w:jc w:val="left"/>
              <w:keepLines w:val="0"/>
              <w:keepNext w:val="0"/>
              <w:spacing w:before="0" w:beforeAutospacing="0" w:after="0" w:afterAutospacing="0" w:line="360" w:lineRule="auto"/>
              <w:widowControl/>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jc w:val="left"/>
        <w:spacing w:line="360" w:lineRule="auto"/>
        <w:widowControl/>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注：本表后附招标文件及评分标准中要求提供的证明材料。</w:t>
      </w:r>
      <w:r/>
    </w:p>
    <w:p>
      <w:pPr>
        <w:pStyle w:val="809"/>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809"/>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投标人（单位盖章）：</w:t>
      </w:r>
      <w:r/>
    </w:p>
    <w:p>
      <w:pPr>
        <w:pStyle w:val="809"/>
        <w:ind w:left="0" w:firstLine="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法定代表人或代理人（签字或盖章）：</w:t>
      </w:r>
      <w:r/>
    </w:p>
    <w:p>
      <w:pPr>
        <w:pStyle w:val="809"/>
        <w:ind w:left="0" w:firstLine="0"/>
        <w:spacing w:line="360"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rPr>
          <w:rFonts w:hint="eastAsia" w:ascii="宋体" w:hAnsi="宋体" w:eastAsia="宋体" w:cs="Times New Roman"/>
          <w:b/>
          <w:bCs/>
          <w:color w:val="auto"/>
          <w:sz w:val="32"/>
          <w:szCs w:val="32"/>
          <w:highlight w:val="none"/>
          <w:lang w:val="en-US" w:eastAsia="zh-CN" w:bidi="ar-SA"/>
        </w:rPr>
        <w:br w:type="page" w:clear="all"/>
      </w:r>
      <w:r>
        <w:rPr>
          <w:rFonts w:hint="eastAsia" w:ascii="宋体" w:hAnsi="宋体" w:eastAsia="宋体" w:cs="宋体"/>
          <w:b/>
          <w:bCs/>
          <w:color w:val="auto"/>
          <w:sz w:val="32"/>
          <w:szCs w:val="32"/>
          <w:highlight w:val="none"/>
          <w:lang w:val="en-US" w:eastAsia="zh-CN" w:bidi="ar-SA"/>
        </w:rPr>
        <w:t xml:space="preserve">12、类似业绩证明材料</w:t>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类似业绩证明材料</w:t>
      </w:r>
      <w:r/>
    </w:p>
    <w:tbl>
      <w:tblPr>
        <w:tblStyle w:val="80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jc w:val="center"/>
          <w:trHeight w:val="740"/>
        </w:trPr>
        <w:tc>
          <w:tcPr>
            <w:tcW w:w="100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t xml:space="preserve">项目名称</w:t>
            </w:r>
            <w:r/>
          </w:p>
        </w:tc>
        <w:tc>
          <w:tcPr>
            <w:tcW w:w="162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eastAsia" w:ascii="宋体" w:hAnsi="宋体" w:cs="Times New Roman"/>
                <w:color w:val="auto"/>
                <w:szCs w:val="21"/>
                <w:highlight w:val="none"/>
              </w:rPr>
              <w:t xml:space="preserve">合同金额</w:t>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业主单位</w:t>
            </w:r>
            <w:r/>
          </w:p>
        </w:tc>
        <w:tc>
          <w:tcPr>
            <w:tcBorders>
              <w:left w:val="single" w:color="auto" w:sz="4" w:space="0"/>
              <w:right w:val="single" w:color="auto" w:sz="4" w:space="0"/>
            </w:tcBorders>
            <w:tcW w:w="16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Cs w:val="21"/>
                <w:highlight w:val="none"/>
                <w:lang w:val="en-US" w:eastAsia="zh-CN"/>
              </w:rPr>
              <w:suppressLineNumbers w:val="0"/>
            </w:pPr>
            <w:r>
              <w:rPr>
                <w:rFonts w:hint="eastAsia" w:ascii="宋体" w:hAnsi="宋体" w:cs="Times New Roman"/>
                <w:color w:val="auto"/>
                <w:szCs w:val="21"/>
                <w:highlight w:val="none"/>
                <w:lang w:val="en-US" w:eastAsia="zh-CN"/>
              </w:rPr>
              <w:t xml:space="preserve">合同签订时间</w:t>
            </w:r>
            <w:r/>
          </w:p>
        </w:tc>
        <w:tc>
          <w:tcPr>
            <w:tcW w:w="1467"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t xml:space="preserve">1</w:t>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right w:val="single" w:color="auto" w:sz="4" w:space="0"/>
            </w:tcBorders>
            <w:tcW w:w="1930"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left w:val="single" w:color="auto" w:sz="4" w:space="0"/>
              <w:right w:val="single" w:color="auto" w:sz="4" w:space="0"/>
            </w:tcBorders>
            <w:tcW w:w="1698"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467"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t xml:space="preserve">2</w:t>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right w:val="single" w:color="auto" w:sz="4" w:space="0"/>
            </w:tcBorders>
            <w:tcW w:w="1930"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left w:val="single" w:color="auto" w:sz="4" w:space="0"/>
              <w:right w:val="single" w:color="auto" w:sz="4" w:space="0"/>
            </w:tcBorders>
            <w:tcW w:w="1698"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467"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t xml:space="preserve">3</w:t>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right w:val="single" w:color="auto" w:sz="4" w:space="0"/>
            </w:tcBorders>
            <w:tcW w:w="1930"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left w:val="single" w:color="auto" w:sz="4" w:space="0"/>
              <w:right w:val="single" w:color="auto" w:sz="4" w:space="0"/>
            </w:tcBorders>
            <w:tcW w:w="1698"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467"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t xml:space="preserve">4</w:t>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right w:val="single" w:color="auto" w:sz="4" w:space="0"/>
            </w:tcBorders>
            <w:tcW w:w="1930"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left w:val="single" w:color="auto" w:sz="4" w:space="0"/>
              <w:right w:val="single" w:color="auto" w:sz="4" w:space="0"/>
            </w:tcBorders>
            <w:tcW w:w="1698"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467"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t xml:space="preserve">5</w:t>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right w:val="single" w:color="auto" w:sz="4" w:space="0"/>
            </w:tcBorders>
            <w:tcW w:w="1930"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left w:val="single" w:color="auto" w:sz="4" w:space="0"/>
              <w:right w:val="single" w:color="auto" w:sz="4" w:space="0"/>
            </w:tcBorders>
            <w:tcW w:w="1698"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467"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r>
      <w:tr>
        <w:trPr>
          <w:cantSplit/>
          <w:jc w:val="center"/>
          <w:trHeight w:val="510" w:hRule="exact"/>
        </w:trPr>
        <w:tc>
          <w:tcPr>
            <w:tcW w:w="1003" w:type="dxa"/>
            <w:vAlign w:val="center"/>
            <w:textDirection w:val="tbRlV"/>
            <w:noWrap w:val="false"/>
          </w:tcPr>
          <w:p>
            <w:pPr>
              <w:ind w:left="113" w:right="113"/>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right w:val="single" w:color="auto" w:sz="4" w:space="0"/>
            </w:tcBorders>
            <w:tcW w:w="1930"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left w:val="single" w:color="auto" w:sz="4" w:space="0"/>
              <w:right w:val="single" w:color="auto" w:sz="4" w:space="0"/>
            </w:tcBorders>
            <w:tcW w:w="1698"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467" w:type="dxa"/>
            <w:vAlign w:val="center"/>
            <w:textDirection w:val="lrTb"/>
            <w:noWrap w:val="false"/>
          </w:tcPr>
          <w:p>
            <w:pPr>
              <w:ind w:left="420" w:right="0"/>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left w:val="single" w:color="auto" w:sz="4" w:space="0"/>
              <w:right w:val="single" w:color="auto" w:sz="4" w:space="0"/>
            </w:tcBorders>
            <w:tcW w:w="16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r>
      <w:tr>
        <w:trPr>
          <w:cantSplit/>
          <w:jc w:val="center"/>
          <w:trHeight w:val="510" w:hRule="exact"/>
        </w:trPr>
        <w:tc>
          <w:tcPr>
            <w:tcW w:w="100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62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right w:val="single" w:color="auto" w:sz="4" w:space="0"/>
            </w:tcBorders>
            <w:tcW w:w="193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Borders>
              <w:left w:val="single" w:color="auto" w:sz="4" w:space="0"/>
              <w:right w:val="single" w:color="auto" w:sz="4" w:space="0"/>
            </w:tcBorders>
            <w:tcW w:w="16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c>
          <w:tcPr>
            <w:tcW w:w="1467"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cs="Times New Roman"/>
                <w:color w:val="auto"/>
                <w:szCs w:val="21"/>
                <w:highlight w:val="none"/>
              </w:rPr>
              <w:suppressLineNumbers w:val="0"/>
            </w:pPr>
            <w:r>
              <w:rPr>
                <w:rFonts w:hint="default" w:ascii="宋体" w:hAnsi="宋体" w:cs="Times New Roman"/>
                <w:color w:val="auto"/>
                <w:szCs w:val="21"/>
                <w:highlight w:val="none"/>
              </w:rPr>
            </w:r>
            <w:r/>
          </w:p>
        </w:tc>
      </w:tr>
    </w:tbl>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注：本表后附招标文件及评分标准中要求提供的证明材料。</w:t>
      </w:r>
      <w:r/>
    </w:p>
    <w:p>
      <w:pPr>
        <w:jc w:val="both"/>
        <w:rPr>
          <w:color w:val="auto"/>
          <w:highlight w:val="none"/>
        </w:rPr>
      </w:pPr>
      <w:r>
        <w:rPr>
          <w:color w:val="auto"/>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（单位盖章）：</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500" w:lineRule="exact"/>
        <w:rPr>
          <w:rFonts w:hint="eastAsia" w:ascii="宋体" w:hAnsi="宋体" w:eastAsia="宋体" w:cs="Times New Roman"/>
          <w:color w:val="auto"/>
          <w:sz w:val="24"/>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rPr>
          <w:rFonts w:ascii="宋体" w:hAnsi="宋体"/>
          <w:b/>
          <w:bCs/>
          <w:color w:val="auto"/>
          <w:sz w:val="32"/>
          <w:szCs w:val="32"/>
          <w:highlight w:val="none"/>
        </w:rPr>
      </w:pPr>
      <w:r>
        <w:rPr>
          <w:rFonts w:hint="eastAsia" w:ascii="宋体" w:hAnsi="宋体"/>
          <w:b/>
          <w:bCs/>
          <w:color w:val="auto"/>
          <w:sz w:val="32"/>
          <w:szCs w:val="32"/>
          <w:highlight w:val="none"/>
        </w:rPr>
        <w:t xml:space="preserve">1</w:t>
      </w:r>
      <w:r>
        <w:rPr>
          <w:rFonts w:hint="eastAsia" w:ascii="宋体" w:hAnsi="宋体"/>
          <w:b/>
          <w:bCs/>
          <w:color w:val="auto"/>
          <w:sz w:val="32"/>
          <w:szCs w:val="32"/>
          <w:highlight w:val="none"/>
          <w:lang w:val="en-US" w:eastAsia="zh-CN"/>
        </w:rPr>
        <w:t xml:space="preserve">3</w:t>
      </w:r>
      <w:r>
        <w:rPr>
          <w:rFonts w:hint="eastAsia" w:ascii="宋体" w:hAnsi="宋体"/>
          <w:b/>
          <w:bCs/>
          <w:color w:val="auto"/>
          <w:sz w:val="32"/>
          <w:szCs w:val="32"/>
          <w:highlight w:val="none"/>
        </w:rPr>
        <w:t xml:space="preserve">、项目服务方案</w:t>
      </w:r>
      <w:r/>
    </w:p>
    <w:p>
      <w:pPr>
        <w:rPr>
          <w:rFonts w:ascii="宋体" w:hAnsi="宋体" w:cs="Arial"/>
          <w:color w:val="auto"/>
          <w:sz w:val="24"/>
          <w:szCs w:val="21"/>
          <w:highlight w:val="none"/>
        </w:rPr>
      </w:pPr>
      <w:r>
        <w:rPr>
          <w:rFonts w:ascii="宋体" w:hAnsi="宋体" w:cs="Arial"/>
          <w:color w:val="auto"/>
          <w:sz w:val="24"/>
          <w:szCs w:val="21"/>
          <w:highlight w:val="none"/>
        </w:rPr>
      </w:r>
      <w:r/>
    </w:p>
    <w:p>
      <w:pPr>
        <w:ind w:firstLine="420"/>
        <w:rPr>
          <w:rFonts w:hint="eastAsia" w:ascii="宋体" w:hAnsi="宋体" w:eastAsia="宋体"/>
          <w:b/>
          <w:bCs/>
          <w:color w:val="auto"/>
          <w:sz w:val="21"/>
          <w:szCs w:val="21"/>
          <w:highlight w:val="none"/>
          <w:lang w:eastAsia="zh-CN"/>
        </w:rPr>
      </w:pPr>
      <w:r>
        <w:rPr>
          <w:rFonts w:hint="eastAsia" w:ascii="宋体" w:hAnsi="宋体" w:cs="Arial"/>
          <w:color w:val="auto"/>
          <w:sz w:val="21"/>
          <w:szCs w:val="21"/>
          <w:highlight w:val="none"/>
        </w:rPr>
        <w:t xml:space="preserve">投标人根据项目需求</w:t>
      </w:r>
      <w:r>
        <w:rPr>
          <w:rFonts w:hint="eastAsia" w:ascii="宋体" w:hAnsi="宋体" w:cs="Arial"/>
          <w:color w:val="auto"/>
          <w:sz w:val="21"/>
          <w:szCs w:val="21"/>
          <w:highlight w:val="none"/>
          <w:lang w:val="en-US" w:eastAsia="zh-CN"/>
        </w:rPr>
        <w:t xml:space="preserve">及评分标准</w:t>
      </w:r>
      <w:r>
        <w:rPr>
          <w:rFonts w:hint="eastAsia" w:ascii="宋体" w:hAnsi="宋体" w:cs="Arial"/>
          <w:color w:val="auto"/>
          <w:sz w:val="21"/>
          <w:szCs w:val="21"/>
          <w:highlight w:val="none"/>
        </w:rPr>
        <w:t xml:space="preserve">编写针对本项目的服务方案</w:t>
      </w:r>
      <w:r>
        <w:rPr>
          <w:rFonts w:hint="eastAsia" w:ascii="宋体" w:hAnsi="宋体" w:cs="Arial"/>
          <w:color w:val="auto"/>
          <w:sz w:val="21"/>
          <w:szCs w:val="21"/>
          <w:highlight w:val="none"/>
          <w:lang w:val="en-US" w:eastAsia="zh-CN"/>
        </w:rPr>
        <w:t xml:space="preserve">等</w:t>
      </w:r>
      <w:r>
        <w:rPr>
          <w:rFonts w:hint="eastAsia" w:ascii="宋体" w:hAnsi="宋体" w:cs="Arial"/>
          <w:color w:val="auto"/>
          <w:sz w:val="21"/>
          <w:szCs w:val="21"/>
          <w:highlight w:val="none"/>
          <w:lang w:eastAsia="zh-CN"/>
        </w:rPr>
        <w:t xml:space="preserve">，</w:t>
      </w:r>
      <w:r>
        <w:rPr>
          <w:rFonts w:hint="eastAsia" w:ascii="宋体" w:hAnsi="宋体" w:cs="Arial"/>
          <w:color w:val="auto"/>
          <w:sz w:val="21"/>
          <w:szCs w:val="21"/>
          <w:highlight w:val="none"/>
          <w:lang w:val="en-US" w:eastAsia="zh-CN"/>
        </w:rPr>
        <w:t xml:space="preserve">格式自拟</w:t>
      </w:r>
      <w:r>
        <w:rPr>
          <w:rFonts w:hint="eastAsia" w:ascii="宋体" w:hAnsi="宋体" w:cs="Arial"/>
          <w:color w:val="auto"/>
          <w:sz w:val="21"/>
          <w:szCs w:val="21"/>
          <w:highlight w:val="none"/>
          <w:lang w:eastAsia="zh-CN"/>
        </w:rPr>
        <w:t xml:space="preserve">。</w:t>
      </w:r>
      <w:r/>
    </w:p>
    <w:p>
      <w:pPr>
        <w:rPr>
          <w:rFonts w:ascii="宋体" w:hAnsi="宋体"/>
          <w:b/>
          <w:bCs/>
          <w:color w:val="auto"/>
          <w:sz w:val="32"/>
          <w:szCs w:val="32"/>
          <w:highlight w:val="none"/>
        </w:rPr>
      </w:pPr>
      <w:r>
        <w:rPr>
          <w:rFonts w:ascii="宋体" w:hAnsi="宋体"/>
          <w:b/>
          <w:bCs/>
          <w:color w:val="auto"/>
          <w:sz w:val="32"/>
          <w:szCs w:val="32"/>
          <w:highlight w:val="none"/>
        </w:rPr>
      </w:r>
      <w:r/>
    </w:p>
    <w:p>
      <w:pPr>
        <w:pStyle w:val="969"/>
        <w:ind w:left="0" w:firstLine="0"/>
        <w:rPr>
          <w:rFonts w:hint="eastAsia"/>
          <w:color w:val="auto"/>
          <w:highlight w:val="none"/>
        </w:rPr>
      </w:pPr>
      <w:r>
        <w:rPr>
          <w:rFonts w:hint="eastAsia"/>
          <w:color w:val="auto"/>
          <w:highlight w:val="none"/>
        </w:rPr>
      </w:r>
      <w:r/>
    </w:p>
    <w:p>
      <w:pPr>
        <w:spacing w:line="360" w:lineRule="auto"/>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br w:type="page" w:clear="all"/>
      </w:r>
      <w:r>
        <w:rPr>
          <w:rFonts w:hint="eastAsia" w:ascii="宋体" w:hAnsi="宋体" w:eastAsia="宋体" w:cs="Times New Roman"/>
          <w:b/>
          <w:bCs/>
          <w:color w:val="auto"/>
          <w:sz w:val="32"/>
          <w:szCs w:val="32"/>
          <w:highlight w:val="none"/>
        </w:rPr>
        <w:t xml:space="preserve">1</w:t>
      </w:r>
      <w:r>
        <w:rPr>
          <w:rFonts w:hint="eastAsia" w:ascii="宋体" w:hAnsi="宋体" w:eastAsia="宋体" w:cs="Times New Roman"/>
          <w:b/>
          <w:bCs/>
          <w:color w:val="auto"/>
          <w:sz w:val="32"/>
          <w:szCs w:val="32"/>
          <w:highlight w:val="none"/>
          <w:lang w:val="en-US" w:eastAsia="zh-CN"/>
        </w:rPr>
        <w:t xml:space="preserve">4</w:t>
      </w:r>
      <w:r>
        <w:rPr>
          <w:rFonts w:hint="eastAsia" w:ascii="宋体" w:hAnsi="宋体" w:eastAsia="宋体" w:cs="Times New Roman"/>
          <w:b/>
          <w:bCs/>
          <w:color w:val="auto"/>
          <w:sz w:val="32"/>
          <w:szCs w:val="32"/>
          <w:highlight w:val="none"/>
        </w:rPr>
        <w:t xml:space="preserve">、中小企业声明函（如有）</w:t>
      </w:r>
      <w:r/>
    </w:p>
    <w:p>
      <w:pPr>
        <w:jc w:val="center"/>
        <w:spacing w:line="360" w:lineRule="auto"/>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中小企业声明函（</w:t>
      </w:r>
      <w:r>
        <w:rPr>
          <w:rFonts w:hint="eastAsia" w:ascii="宋体" w:hAnsi="宋体" w:eastAsia="宋体" w:cs="Times New Roman"/>
          <w:b/>
          <w:bCs/>
          <w:color w:val="auto"/>
          <w:sz w:val="32"/>
          <w:szCs w:val="32"/>
          <w:highlight w:val="none"/>
          <w:lang w:eastAsia="zh-CN"/>
        </w:rPr>
        <w:t xml:space="preserve">服务</w:t>
      </w:r>
      <w:r>
        <w:rPr>
          <w:rFonts w:hint="eastAsia" w:ascii="宋体" w:hAnsi="宋体" w:eastAsia="宋体" w:cs="Times New Roman"/>
          <w:b/>
          <w:bCs/>
          <w:color w:val="auto"/>
          <w:sz w:val="32"/>
          <w:szCs w:val="32"/>
          <w:highlight w:val="none"/>
        </w:rPr>
        <w:t xml:space="preserve">）</w:t>
      </w:r>
      <w:r/>
    </w:p>
    <w:p>
      <w:pPr>
        <w:ind w:right="355" w:firstLine="412"/>
        <w:jc w:val="both"/>
        <w:spacing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本公司</w:t>
      </w:r>
      <w:r>
        <w:rPr>
          <w:rFonts w:hint="eastAsia" w:ascii="宋体" w:hAnsi="宋体" w:eastAsia="宋体" w:cs="宋体"/>
          <w:color w:val="auto"/>
          <w:sz w:val="21"/>
          <w:szCs w:val="21"/>
          <w:highlight w:val="none"/>
          <w:lang w:val="en-US" w:eastAsia="zh-CN" w:bidi="ar-SA"/>
        </w:rPr>
        <w:t xml:space="preserve">（联合体）</w:t>
      </w:r>
      <w:r>
        <w:rPr>
          <w:rFonts w:hint="eastAsia" w:ascii="宋体" w:hAnsi="宋体" w:eastAsia="宋体" w:cs="宋体"/>
          <w:color w:val="auto"/>
          <w:spacing w:val="-2"/>
          <w:sz w:val="21"/>
          <w:szCs w:val="21"/>
          <w:highlight w:val="none"/>
          <w:lang w:val="en-US" w:eastAsia="zh-CN" w:bidi="ar-SA"/>
        </w:rPr>
        <w:t xml:space="preserve">郑重声明，根据《政府采购促进中小</w:t>
      </w:r>
      <w:r>
        <w:rPr>
          <w:rFonts w:hint="eastAsia" w:ascii="宋体" w:hAnsi="宋体" w:eastAsia="宋体" w:cs="宋体"/>
          <w:color w:val="auto"/>
          <w:spacing w:val="-18"/>
          <w:sz w:val="21"/>
          <w:szCs w:val="21"/>
          <w:highlight w:val="none"/>
          <w:lang w:val="en-US" w:eastAsia="zh-CN" w:bidi="ar-SA"/>
        </w:rPr>
        <w:t xml:space="preserve">企业发展管理办法》</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pacing w:val="5"/>
          <w:sz w:val="21"/>
          <w:szCs w:val="21"/>
          <w:highlight w:val="none"/>
          <w:lang w:val="en-US" w:eastAsia="zh-CN" w:bidi="ar-SA"/>
        </w:rPr>
        <w:t xml:space="preserve">财库</w:t>
      </w:r>
      <w:r>
        <w:rPr>
          <w:rFonts w:hint="eastAsia" w:ascii="宋体" w:hAnsi="宋体" w:eastAsia="宋体" w:cs="宋体"/>
          <w:color w:val="auto"/>
          <w:sz w:val="21"/>
          <w:szCs w:val="21"/>
          <w:highlight w:val="none"/>
          <w:lang w:val="en-US" w:eastAsia="zh-CN" w:bidi="ar-SA"/>
        </w:rPr>
        <w:t xml:space="preserve">﹝2020﹞46</w:t>
      </w:r>
      <w:r>
        <w:rPr>
          <w:rFonts w:hint="eastAsia" w:ascii="宋体" w:hAnsi="宋体" w:eastAsia="宋体" w:cs="宋体"/>
          <w:color w:val="auto"/>
          <w:spacing w:val="-38"/>
          <w:sz w:val="21"/>
          <w:szCs w:val="21"/>
          <w:highlight w:val="none"/>
          <w:lang w:val="en-US" w:eastAsia="zh-CN" w:bidi="ar-SA"/>
        </w:rPr>
        <w:t xml:space="preserve"> 号</w:t>
      </w:r>
      <w:r>
        <w:rPr>
          <w:rFonts w:hint="eastAsia" w:ascii="宋体" w:hAnsi="宋体" w:eastAsia="宋体" w:cs="宋体"/>
          <w:color w:val="auto"/>
          <w:spacing w:val="5"/>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的规定，本公司（联合体）</w:t>
      </w:r>
      <w:r>
        <w:rPr>
          <w:rFonts w:hint="eastAsia" w:ascii="宋体" w:hAnsi="宋体" w:eastAsia="宋体" w:cs="宋体"/>
          <w:color w:val="auto"/>
          <w:spacing w:val="-8"/>
          <w:sz w:val="21"/>
          <w:szCs w:val="21"/>
          <w:highlight w:val="none"/>
          <w:lang w:val="en-US" w:eastAsia="zh-CN" w:bidi="ar-SA"/>
        </w:rPr>
        <w:t xml:space="preserve">参加</w:t>
      </w:r>
      <w:r>
        <w:rPr>
          <w:rFonts w:hint="eastAsia" w:ascii="宋体" w:hAnsi="宋体" w:eastAsia="宋体" w:cs="宋体"/>
          <w:color w:val="auto"/>
          <w:spacing w:val="-8"/>
          <w:sz w:val="21"/>
          <w:szCs w:val="21"/>
          <w:highlight w:val="none"/>
          <w:u w:val="single"/>
          <w:lang w:val="en-US" w:eastAsia="zh-CN" w:bidi="ar-SA"/>
        </w:rPr>
        <w:t xml:space="preserve">招标单位</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w:t>
      </w:r>
      <w:r>
        <w:rPr>
          <w:rFonts w:hint="eastAsia" w:ascii="宋体" w:hAnsi="宋体" w:eastAsia="宋体" w:cs="宋体"/>
          <w:color w:val="auto"/>
          <w:spacing w:val="-1"/>
          <w:sz w:val="21"/>
          <w:szCs w:val="21"/>
          <w:highlight w:val="none"/>
          <w:lang w:val="en-US" w:eastAsia="zh-CN" w:bidi="ar-SA"/>
        </w:rPr>
        <w:t xml:space="preserve">购活动，</w:t>
      </w:r>
      <w:r>
        <w:rPr>
          <w:rFonts w:hint="eastAsia" w:ascii="宋体" w:hAnsi="宋体" w:eastAsia="宋体" w:cs="宋体"/>
          <w:color w:val="auto"/>
          <w:spacing w:val="-2"/>
          <w:sz w:val="21"/>
          <w:szCs w:val="21"/>
          <w:highlight w:val="none"/>
          <w:lang w:val="en-US" w:eastAsia="zh-CN" w:bidi="ar-SA"/>
        </w:rPr>
        <w:t xml:space="preserve">服务全部由符合政策要求的中小企业承接。相关企业（含联合体中的中小企业、签订分包意向协议的中小企业）</w:t>
      </w:r>
      <w:r>
        <w:rPr>
          <w:rFonts w:hint="eastAsia" w:ascii="宋体" w:hAnsi="宋体" w:eastAsia="宋体" w:cs="宋体"/>
          <w:color w:val="auto"/>
          <w:sz w:val="21"/>
          <w:szCs w:val="21"/>
          <w:highlight w:val="none"/>
          <w:lang w:val="en-US" w:eastAsia="zh-CN" w:bidi="ar-SA"/>
        </w:rPr>
        <w:t xml:space="preserve">的具体情况如下：</w:t>
      </w:r>
      <w:r/>
    </w:p>
    <w:p>
      <w:pPr>
        <w:numPr>
          <w:ilvl w:val="0"/>
          <w:numId w:val="9"/>
        </w:numPr>
        <w:ind w:firstLine="420"/>
        <w:jc w:val="both"/>
        <w:spacing w:line="360" w:lineRule="auto"/>
        <w:widowControl w:val="off"/>
        <w:tabs>
          <w:tab w:val="left" w:pos="1243" w:leader="none"/>
        </w:tabs>
        <w:rPr>
          <w:rFonts w:hint="default" w:ascii="宋体" w:hAnsi="宋体" w:eastAsia="宋体" w:cs="宋体"/>
          <w:color w:val="auto"/>
          <w:sz w:val="21"/>
          <w:szCs w:val="21"/>
          <w:highlight w:val="none"/>
          <w:u w:val="single"/>
          <w:lang w:val="zh-CN" w:eastAsia="zh-CN" w:bidi="zh-CN"/>
        </w:rPr>
      </w:pP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pacing w:val="-2"/>
          <w:sz w:val="21"/>
          <w:szCs w:val="21"/>
          <w:highlight w:val="none"/>
          <w:lang w:val="zh-CN" w:eastAsia="zh-CN" w:bidi="zh-CN"/>
        </w:rPr>
        <w:t xml:space="preserve">属于</w:t>
      </w:r>
      <w:r>
        <w:rPr>
          <w:rFonts w:hint="eastAsia" w:ascii="宋体" w:hAnsi="宋体" w:eastAsia="宋体" w:cs="宋体"/>
          <w:color w:val="auto"/>
          <w:sz w:val="21"/>
          <w:szCs w:val="21"/>
          <w:highlight w:val="none"/>
          <w:u w:val="single"/>
          <w:lang w:val="zh-CN" w:eastAsia="zh-CN" w:bidi="zh-CN"/>
        </w:rPr>
        <w:t xml:space="preserve">（采购文件中明确的所属行业）</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2"/>
          <w:sz w:val="21"/>
          <w:szCs w:val="21"/>
          <w:highlight w:val="none"/>
          <w:lang w:val="zh-CN" w:eastAsia="zh-CN" w:bidi="zh-CN"/>
        </w:rPr>
        <w:t xml:space="preserve">承接企业为</w:t>
      </w:r>
      <w:r>
        <w:rPr>
          <w:rFonts w:hint="eastAsia" w:ascii="宋体" w:hAnsi="宋体" w:eastAsia="宋体" w:cs="宋体"/>
          <w:color w:val="auto"/>
          <w:sz w:val="21"/>
          <w:szCs w:val="21"/>
          <w:highlight w:val="none"/>
          <w:u w:val="single"/>
          <w:lang w:val="zh-CN" w:eastAsia="zh-CN" w:bidi="zh-CN"/>
        </w:rPr>
        <w:t xml:space="preserve">（企业名称）</w:t>
      </w:r>
      <w:r>
        <w:rPr>
          <w:rFonts w:hint="eastAsia" w:ascii="宋体" w:hAnsi="宋体" w:eastAsia="宋体" w:cs="宋体"/>
          <w:color w:val="auto"/>
          <w:spacing w:val="-2"/>
          <w:sz w:val="21"/>
          <w:szCs w:val="21"/>
          <w:highlight w:val="none"/>
          <w:lang w:val="zh-CN" w:eastAsia="zh-CN" w:bidi="zh-CN"/>
        </w:rPr>
        <w:t xml:space="preserve">，从业人员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万元，属于</w:t>
      </w:r>
      <w:r>
        <w:rPr>
          <w:rFonts w:hint="eastAsia" w:ascii="宋体" w:hAnsi="宋体" w:eastAsia="宋体" w:cs="宋体"/>
          <w:color w:val="auto"/>
          <w:sz w:val="21"/>
          <w:szCs w:val="21"/>
          <w:highlight w:val="none"/>
          <w:u w:val="single"/>
          <w:lang w:val="zh-CN" w:eastAsia="zh-CN" w:bidi="zh-CN"/>
        </w:rPr>
        <w:t xml:space="preserve">（中型企业、小型企业、微型企业）</w:t>
      </w:r>
      <w:r>
        <w:rPr>
          <w:rFonts w:hint="eastAsia" w:ascii="宋体" w:hAnsi="宋体" w:eastAsia="宋体" w:cs="宋体"/>
          <w:color w:val="auto"/>
          <w:sz w:val="21"/>
          <w:szCs w:val="21"/>
          <w:highlight w:val="none"/>
          <w:lang w:val="zh-CN" w:eastAsia="zh-CN" w:bidi="zh-CN"/>
        </w:rPr>
        <w:t xml:space="preserve">；</w:t>
      </w:r>
      <w:r/>
    </w:p>
    <w:p>
      <w:pPr>
        <w:numPr>
          <w:ilvl w:val="0"/>
          <w:numId w:val="9"/>
        </w:numPr>
        <w:ind w:firstLine="420"/>
        <w:jc w:val="both"/>
        <w:spacing w:line="360" w:lineRule="auto"/>
        <w:widowControl w:val="off"/>
        <w:tabs>
          <w:tab w:val="left" w:pos="1243" w:leader="none"/>
        </w:tabs>
        <w:rPr>
          <w:rFonts w:hint="default" w:ascii="宋体" w:hAnsi="宋体" w:eastAsia="宋体" w:cs="宋体"/>
          <w:color w:val="auto"/>
          <w:sz w:val="21"/>
          <w:szCs w:val="21"/>
          <w:highlight w:val="none"/>
          <w:u w:val="single"/>
          <w:lang w:val="zh-CN" w:eastAsia="zh-CN" w:bidi="zh-CN"/>
        </w:rPr>
      </w:pP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pacing w:val="-2"/>
          <w:sz w:val="21"/>
          <w:szCs w:val="21"/>
          <w:highlight w:val="none"/>
          <w:lang w:val="zh-CN" w:eastAsia="zh-CN" w:bidi="zh-CN"/>
        </w:rPr>
        <w:t xml:space="preserve">属于</w:t>
      </w:r>
      <w:r>
        <w:rPr>
          <w:rFonts w:hint="eastAsia" w:ascii="宋体" w:hAnsi="宋体" w:eastAsia="宋体" w:cs="宋体"/>
          <w:color w:val="auto"/>
          <w:sz w:val="21"/>
          <w:szCs w:val="21"/>
          <w:highlight w:val="none"/>
          <w:u w:val="single"/>
          <w:lang w:val="zh-CN" w:eastAsia="zh-CN" w:bidi="zh-CN"/>
        </w:rPr>
        <w:t xml:space="preserve">（采购文件中明确的所属行业）</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2"/>
          <w:sz w:val="21"/>
          <w:szCs w:val="21"/>
          <w:highlight w:val="none"/>
          <w:lang w:val="zh-CN" w:eastAsia="zh-CN" w:bidi="zh-CN"/>
        </w:rPr>
        <w:t xml:space="preserve">承接企业为</w:t>
      </w:r>
      <w:r>
        <w:rPr>
          <w:rFonts w:hint="eastAsia" w:ascii="宋体" w:hAnsi="宋体" w:eastAsia="宋体" w:cs="宋体"/>
          <w:color w:val="auto"/>
          <w:sz w:val="21"/>
          <w:szCs w:val="21"/>
          <w:highlight w:val="none"/>
          <w:u w:val="single"/>
          <w:lang w:val="zh-CN" w:eastAsia="zh-CN" w:bidi="zh-CN"/>
        </w:rPr>
        <w:t xml:space="preserve">（企业名称）</w:t>
      </w:r>
      <w:r>
        <w:rPr>
          <w:rFonts w:hint="eastAsia" w:ascii="宋体" w:hAnsi="宋体" w:eastAsia="宋体" w:cs="宋体"/>
          <w:color w:val="auto"/>
          <w:spacing w:val="-2"/>
          <w:sz w:val="21"/>
          <w:szCs w:val="21"/>
          <w:highlight w:val="none"/>
          <w:lang w:val="zh-CN" w:eastAsia="zh-CN" w:bidi="zh-CN"/>
        </w:rPr>
        <w:t xml:space="preserve">，从业人员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万元，属于</w:t>
      </w:r>
      <w:r>
        <w:rPr>
          <w:rFonts w:hint="eastAsia" w:ascii="宋体" w:hAnsi="宋体" w:eastAsia="宋体" w:cs="宋体"/>
          <w:color w:val="auto"/>
          <w:sz w:val="21"/>
          <w:szCs w:val="21"/>
          <w:highlight w:val="none"/>
          <w:u w:val="single"/>
          <w:lang w:val="zh-CN" w:eastAsia="zh-CN" w:bidi="zh-CN"/>
        </w:rPr>
        <w:t xml:space="preserve">（中型企业、小型企业、微型企业）</w:t>
      </w:r>
      <w:r>
        <w:rPr>
          <w:rFonts w:hint="eastAsia" w:ascii="宋体" w:hAnsi="宋体" w:eastAsia="宋体" w:cs="宋体"/>
          <w:color w:val="auto"/>
          <w:sz w:val="21"/>
          <w:szCs w:val="21"/>
          <w:highlight w:val="none"/>
          <w:lang w:val="zh-CN" w:eastAsia="zh-CN" w:bidi="zh-CN"/>
        </w:rPr>
        <w:t xml:space="preserve">；</w:t>
      </w:r>
      <w:r/>
    </w:p>
    <w:p>
      <w:pPr>
        <w:ind w:left="860"/>
        <w:jc w:val="left"/>
        <w:spacing w:before="11"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p>
      <w:pPr>
        <w:ind w:right="357" w:firstLine="645"/>
        <w:jc w:val="both"/>
        <w:spacing w:before="108"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bidi="ar-SA"/>
        </w:rPr>
        <w:t xml:space="preserve">以上企业，不属于大企业的分支机构，不存在控股股东</w:t>
      </w:r>
      <w:r>
        <w:rPr>
          <w:rFonts w:hint="eastAsia" w:ascii="宋体" w:hAnsi="宋体" w:eastAsia="宋体" w:cs="宋体"/>
          <w:color w:val="auto"/>
          <w:spacing w:val="-5"/>
          <w:sz w:val="21"/>
          <w:szCs w:val="21"/>
          <w:highlight w:val="none"/>
          <w:lang w:val="en-US" w:eastAsia="zh-CN" w:bidi="ar-SA"/>
        </w:rPr>
        <w:t xml:space="preserve">为大企业的情形，也不存在与大企业的负责人为同一人的情形。</w:t>
      </w:r>
      <w:r/>
    </w:p>
    <w:p>
      <w:pPr>
        <w:ind w:right="315" w:firstLine="640"/>
        <w:jc w:val="left"/>
        <w:spacing w:after="120"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本企业对上述声明内容的真实性负责。如有虚假，将依法承担相应责任。</w:t>
      </w:r>
      <w:r/>
    </w:p>
    <w:p>
      <w:pPr>
        <w:ind w:firstLine="420"/>
        <w:jc w:val="center"/>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p>
    <w:p>
      <w:pPr>
        <w:ind w:firstLine="420"/>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企业名称（盖章）：</w:t>
      </w:r>
      <w:r/>
    </w:p>
    <w:p>
      <w:pPr>
        <w:ind w:firstLine="420"/>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、若供应商中标（成交），供应商提供的“中小企业声明函” 将在中标（成交）公告中公示。</w:t>
      </w:r>
      <w:r/>
    </w:p>
    <w:p>
      <w:pPr>
        <w:ind w:firstLine="420"/>
        <w:jc w:val="left"/>
        <w:spacing w:line="400" w:lineRule="exact"/>
        <w:widowControl/>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从业人员、营业收入、资产总额填报上一年度数据，无上一年度数据的新成立企业可不填报。</w:t>
      </w:r>
      <w:r/>
    </w:p>
    <w:p>
      <w:pPr>
        <w:ind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6"/>
        <w:spacing w:before="0" w:beforeAutospacing="0" w:after="0" w:afterAutospacing="0" w:line="480" w:lineRule="atLeast"/>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32"/>
          <w:szCs w:val="32"/>
          <w:highlight w:val="none"/>
        </w:rPr>
        <w:br w:type="page" w:clear="all"/>
      </w:r>
      <w:r>
        <w:rPr>
          <w:rFonts w:hint="eastAsia" w:ascii="宋体" w:hAnsi="宋体" w:eastAsia="宋体" w:cs="宋体"/>
          <w:b/>
          <w:bCs w:val="0"/>
          <w:color w:val="auto"/>
          <w:sz w:val="32"/>
          <w:szCs w:val="32"/>
          <w:highlight w:val="none"/>
        </w:rPr>
        <w:t xml:space="preserve">1</w:t>
      </w:r>
      <w:r>
        <w:rPr>
          <w:rFonts w:hint="eastAsia" w:ascii="宋体" w:hAnsi="宋体" w:eastAsia="宋体" w:cs="宋体"/>
          <w:b/>
          <w:bCs w:val="0"/>
          <w:color w:val="auto"/>
          <w:sz w:val="32"/>
          <w:szCs w:val="32"/>
          <w:highlight w:val="none"/>
          <w:lang w:val="en-US" w:eastAsia="zh-CN"/>
        </w:rPr>
        <w:t xml:space="preserve">5</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rPr>
        <w:t xml:space="preserve">残疾人福利性单位声明函</w:t>
      </w:r>
      <w:r>
        <w:rPr>
          <w:rFonts w:hint="eastAsia" w:eastAsia="宋体" w:cs="宋体"/>
          <w:b/>
          <w:bCs w:val="0"/>
          <w:color w:val="auto"/>
          <w:sz w:val="32"/>
          <w:szCs w:val="32"/>
          <w:highlight w:val="none"/>
          <w:lang w:eastAsia="zh-CN"/>
        </w:rPr>
        <w:t xml:space="preserve">（</w:t>
      </w:r>
      <w:r>
        <w:rPr>
          <w:rFonts w:hint="eastAsia" w:eastAsia="宋体" w:cs="宋体"/>
          <w:b/>
          <w:bCs w:val="0"/>
          <w:color w:val="auto"/>
          <w:sz w:val="32"/>
          <w:szCs w:val="32"/>
          <w:highlight w:val="none"/>
          <w:lang w:val="en-US" w:eastAsia="zh-CN"/>
        </w:rPr>
        <w:t xml:space="preserve">如有</w:t>
      </w:r>
      <w:r>
        <w:rPr>
          <w:rFonts w:hint="eastAsia" w:eastAsia="宋体" w:cs="宋体"/>
          <w:b/>
          <w:bCs w:val="0"/>
          <w:color w:val="auto"/>
          <w:sz w:val="32"/>
          <w:szCs w:val="32"/>
          <w:highlight w:val="none"/>
          <w:lang w:eastAsia="zh-CN"/>
        </w:rPr>
        <w:t xml:space="preserve">）</w:t>
      </w:r>
      <w:r/>
    </w:p>
    <w:p>
      <w:pPr>
        <w:ind w:firstLine="2570"/>
        <w:jc w:val="left"/>
        <w:spacing w:line="480" w:lineRule="atLeast"/>
        <w:widowControl/>
        <w:rPr>
          <w:rFonts w:ascii="宋体" w:hAnsi="宋体"/>
          <w:b/>
          <w:color w:val="auto"/>
          <w:sz w:val="32"/>
          <w:szCs w:val="32"/>
          <w:highlight w:val="none"/>
        </w:rPr>
      </w:pPr>
      <w:r>
        <w:rPr>
          <w:rFonts w:hint="eastAsia" w:ascii="宋体" w:hAnsi="宋体" w:eastAsia="宋体" w:cs="宋体"/>
          <w:b/>
          <w:bCs w:val="0"/>
          <w:color w:val="auto"/>
          <w:sz w:val="32"/>
          <w:szCs w:val="32"/>
          <w:highlight w:val="none"/>
        </w:rPr>
        <w:t xml:space="preserve">残疾人福利性单位声明函</w:t>
      </w:r>
      <w:r/>
    </w:p>
    <w:p>
      <w:pPr>
        <w:ind w:firstLine="420"/>
        <w:jc w:val="left"/>
        <w:spacing w:line="48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8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firstLine="4830"/>
        <w:spacing w:line="480" w:lineRule="atLeas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3400" w:firstLine="425"/>
        <w:jc w:val="left"/>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left="3825"/>
        <w:jc w:val="left"/>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w:t>
      </w:r>
      <w:r>
        <w:rPr>
          <w:rFonts w:hint="eastAsia" w:ascii="宋体" w:hAnsi="宋体" w:eastAsia="宋体" w:cs="Times New Roman"/>
          <w:color w:val="auto"/>
          <w:sz w:val="21"/>
          <w:szCs w:val="21"/>
          <w:highlight w:val="none"/>
          <w:lang w:val="zh-CN"/>
        </w:rPr>
        <w:t xml:space="preserve">（</w:t>
      </w:r>
      <w:r>
        <w:rPr>
          <w:rFonts w:hint="eastAsia" w:ascii="宋体" w:hAnsi="宋体" w:eastAsia="宋体" w:cs="Times New Roman"/>
          <w:color w:val="auto"/>
          <w:sz w:val="21"/>
          <w:szCs w:val="21"/>
          <w:highlight w:val="none"/>
          <w:lang w:val="en-US" w:eastAsia="zh-CN"/>
        </w:rPr>
        <w:t xml:space="preserve">负责人</w:t>
      </w:r>
      <w:r>
        <w:rPr>
          <w:rFonts w:hint="eastAsia" w:ascii="宋体" w:hAnsi="宋体" w:eastAsia="宋体" w:cs="Times New Roman"/>
          <w:color w:val="auto"/>
          <w:sz w:val="21"/>
          <w:szCs w:val="21"/>
          <w:highlight w:val="none"/>
          <w:lang w:val="zh-CN"/>
        </w:rPr>
        <w:t xml:space="preserve">）</w:t>
      </w:r>
      <w:r>
        <w:rPr>
          <w:rFonts w:hint="eastAsia" w:ascii="宋体" w:hAnsi="宋体" w:eastAsia="宋体" w:cs="宋体"/>
          <w:color w:val="auto"/>
          <w:sz w:val="21"/>
          <w:szCs w:val="21"/>
          <w:highlight w:val="none"/>
          <w:lang w:val="en-US" w:eastAsia="zh-CN" w:bidi="ar-SA"/>
        </w:rPr>
        <w:t xml:space="preserve">或其委托代理人：（盖章或签字）</w:t>
      </w:r>
      <w:r/>
    </w:p>
    <w:p>
      <w:pPr>
        <w:ind w:firstLine="5250"/>
        <w:jc w:val="left"/>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     日</w:t>
      </w:r>
      <w:r/>
    </w:p>
    <w:p>
      <w:pPr>
        <w:ind w:right="1560" w:firstLine="420"/>
        <w:jc w:val="center"/>
        <w:spacing w:line="588" w:lineRule="exact"/>
        <w:widowControl/>
        <w:tabs>
          <w:tab w:val="left" w:pos="4860" w:leader="none"/>
        </w:tabs>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r>
      <w:r/>
    </w:p>
    <w:p>
      <w:pPr>
        <w:jc w:val="left"/>
        <w:spacing w:before="0" w:beforeAutospacing="0" w:after="0" w:afterAutospacing="0" w:line="360" w:lineRule="auto"/>
        <w:widowControl/>
        <w:rPr>
          <w:rFonts w:hint="default" w:ascii="宋体" w:hAnsi="宋体" w:eastAsia="宋体" w:cs="宋体"/>
          <w:color w:val="auto"/>
          <w:sz w:val="21"/>
          <w:szCs w:val="21"/>
          <w:highlight w:val="none"/>
          <w:lang w:val="en-US" w:eastAsia="zh-CN" w:bidi="ar-SA"/>
        </w:rPr>
      </w:pPr>
      <w:r/>
      <w:bookmarkStart w:id="20" w:name="_Toc5165"/>
      <w:r>
        <w:rPr>
          <w:rFonts w:hint="eastAsia" w:ascii="宋体" w:hAnsi="宋体" w:eastAsia="宋体" w:cs="宋体"/>
          <w:color w:val="auto"/>
          <w:sz w:val="21"/>
          <w:szCs w:val="21"/>
          <w:highlight w:val="none"/>
          <w:lang w:val="en-US" w:eastAsia="zh-CN" w:bidi="ar-SA"/>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0"/>
      <w:r/>
      <w:bookmarkEnd w:id="15"/>
      <w:bookmarkEnd w:id="16"/>
      <w:bookmarkEnd w:id="17"/>
      <w:bookmarkEnd w:id="18"/>
      <w:bookmarkEnd w:id="19"/>
      <w:r/>
    </w:p>
    <w:p>
      <w:pPr>
        <w:jc w:val="center"/>
        <w:keepLines w:val="0"/>
        <w:pageBreakBefore w:val="0"/>
        <w:spacing w:line="480" w:lineRule="auto"/>
        <w:widowControl w:val="off"/>
        <w:rPr>
          <w:rFonts w:hint="eastAsia" w:ascii="宋体" w:hAnsi="宋体" w:cs="宋体"/>
          <w:b/>
          <w:color w:val="auto"/>
          <w:sz w:val="32"/>
          <w:szCs w:val="32"/>
          <w:highlight w:val="none"/>
        </w:rPr>
      </w:pPr>
      <w:r>
        <w:rPr>
          <w:rFonts w:hint="eastAsia" w:ascii="宋体" w:hAnsi="宋体" w:cs="宋体"/>
          <w:b/>
          <w:color w:val="auto"/>
          <w:sz w:val="44"/>
          <w:szCs w:val="44"/>
          <w:highlight w:val="none"/>
        </w:rPr>
        <w:br w:type="page" w:clear="all"/>
      </w:r>
      <w:r>
        <w:rPr>
          <w:rFonts w:hint="eastAsia" w:ascii="宋体" w:hAnsi="宋体" w:eastAsia="宋体" w:cs="Times New Roman"/>
          <w:b/>
          <w:color w:val="auto"/>
          <w:sz w:val="32"/>
          <w:szCs w:val="32"/>
          <w:highlight w:val="none"/>
          <w:lang w:val="en-US" w:eastAsia="zh-CN" w:bidi="ar-SA"/>
        </w:rPr>
        <w:t xml:space="preserve">第五部分 评标方法与评标标准</w:t>
      </w:r>
      <w:r/>
    </w:p>
    <w:p>
      <w:pPr>
        <w:ind w:firstLine="211"/>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评标方法</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4、如出现评标总得分最高的投标人有两个或两个以上的，以投标报价较低者优先作为中标候选人，如果投标报价也相同的，则由评标委员会组织以抽签方式确定中标候选人。</w:t>
      </w:r>
      <w:r/>
    </w:p>
    <w:p>
      <w:pPr>
        <w:ind w:firstLine="42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5、</w:t>
      </w:r>
      <w:r>
        <w:rPr>
          <w:rFonts w:hint="eastAsia" w:ascii="宋体" w:hAnsi="宋体" w:eastAsia="宋体" w:cs="宋体"/>
          <w:b/>
          <w:color w:val="auto"/>
          <w:sz w:val="21"/>
          <w:szCs w:val="21"/>
          <w:highlight w:val="none"/>
        </w:rPr>
        <w:t xml:space="preserve">政府采购政策的价格扣除</w:t>
      </w:r>
      <w:r/>
    </w:p>
    <w:p>
      <w:pPr>
        <w:ind w:firstLine="420"/>
        <w:jc w:val="left"/>
        <w:spacing w:line="360" w:lineRule="auto"/>
        <w:rPr>
          <w:rFonts w:hint="eastAsia" w:ascii="宋体" w:hAnsi="宋体" w:eastAsia="宋体" w:cs="宋体"/>
          <w:color w:val="auto"/>
          <w:sz w:val="21"/>
          <w:szCs w:val="21"/>
          <w:highlight w:val="none"/>
        </w:rPr>
      </w:pPr>
      <w:r>
        <w:rPr>
          <w:rFonts w:ascii="Wingdings 2" w:hAnsi="Wingdings 2" w:eastAsia="Wingdings 2" w:cs="Wingdings 2"/>
          <w:color w:val="auto"/>
          <w:sz w:val="21"/>
          <w:szCs w:val="21"/>
          <w:highlight w:val="none"/>
        </w:rPr>
        <w:t xml:space="preserve">£</w:t>
      </w:r>
      <w:r>
        <w:rPr>
          <w:rFonts w:hint="eastAsia" w:ascii="宋体" w:hAnsi="宋体" w:eastAsia="宋体" w:cs="宋体"/>
          <w:color w:val="auto"/>
          <w:sz w:val="21"/>
          <w:szCs w:val="21"/>
          <w:highlight w:val="none"/>
        </w:rPr>
        <w:t xml:space="preserve">本项目专门面向中小企业采购的项目，不再执行价格评审优惠的扶持政策。</w:t>
      </w:r>
      <w:r/>
    </w:p>
    <w:p>
      <w:pPr>
        <w:ind w:firstLine="420"/>
        <w:jc w:val="left"/>
        <w:spacing w:line="360" w:lineRule="auto"/>
        <w:rPr>
          <w:rFonts w:hint="eastAsia" w:ascii="宋体" w:hAnsi="宋体" w:eastAsia="宋体" w:cs="宋体"/>
          <w:color w:val="auto"/>
          <w:sz w:val="21"/>
          <w:szCs w:val="21"/>
          <w:highlight w:val="none"/>
        </w:rPr>
      </w:pPr>
      <w:r>
        <w:rPr>
          <w:rFonts w:ascii="Wingdings 2" w:hAnsi="Wingdings 2" w:eastAsia="Wingdings 2" w:cs="Wingdings 2"/>
          <w:b/>
          <w:color w:val="auto"/>
          <w:sz w:val="21"/>
          <w:szCs w:val="21"/>
          <w:highlight w:val="none"/>
        </w:rPr>
        <w:t xml:space="preserve">R</w:t>
      </w:r>
      <w:r>
        <w:rPr>
          <w:rFonts w:hint="eastAsia" w:ascii="宋体" w:hAnsi="宋体" w:eastAsia="宋体" w:cs="宋体"/>
          <w:color w:val="auto"/>
          <w:sz w:val="21"/>
          <w:szCs w:val="21"/>
          <w:highlight w:val="none"/>
        </w:rPr>
        <w:t xml:space="preserve">未预留份额专门面向中小企业采购的采购项目，以及预留份额项目中的非预留部分采购包，对符合规定的小微企业（监狱企业、残疾人福利性单位）报价按照下表中的规定扣除，用扣除后的价格参加评审。</w:t>
      </w:r>
      <w:r/>
    </w:p>
    <w:tbl>
      <w:tblPr>
        <w:tblStyle w:val="989"/>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9"/>
        <w:gridCol w:w="1554"/>
        <w:gridCol w:w="1134"/>
        <w:gridCol w:w="1510"/>
        <w:gridCol w:w="4677"/>
      </w:tblGrid>
      <w:tr>
        <w:trPr>
          <w:jc w:val="center"/>
        </w:trPr>
        <w:tc>
          <w:tcPr>
            <w:shd w:val="clear" w:color="auto" w:fill="e7e6e6"/>
            <w:tcW w:w="759"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6"/>
                <w:sz w:val="21"/>
                <w:szCs w:val="21"/>
                <w:highlight w:val="none"/>
                <w:lang w:eastAsia="en-US"/>
              </w:rPr>
              <w:t xml:space="preserve">序号</w:t>
            </w:r>
            <w:r/>
          </w:p>
        </w:tc>
        <w:tc>
          <w:tcPr>
            <w:shd w:val="clear" w:color="auto" w:fill="e7e6e6"/>
            <w:tcW w:w="1554"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情形</w:t>
            </w:r>
            <w:r/>
          </w:p>
        </w:tc>
        <w:tc>
          <w:tcPr>
            <w:shd w:val="clear" w:color="auto" w:fill="e7e6e6"/>
            <w:tcW w:w="1134"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适用对象</w:t>
            </w:r>
            <w:r/>
          </w:p>
        </w:tc>
        <w:tc>
          <w:tcPr>
            <w:shd w:val="clear" w:color="auto" w:fill="e7e6e6"/>
            <w:tcW w:w="1510"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价格扣除</w:t>
            </w:r>
            <w:r>
              <w:rPr>
                <w:rFonts w:hint="eastAsia" w:ascii="宋体" w:hAnsi="宋体" w:eastAsia="宋体" w:cs="宋体"/>
                <w:color w:val="auto"/>
                <w:spacing w:val="-6"/>
                <w:sz w:val="21"/>
                <w:szCs w:val="21"/>
                <w:highlight w:val="none"/>
                <w:lang w:eastAsia="en-US"/>
              </w:rPr>
              <w:t xml:space="preserve">比例（C1）</w:t>
            </w:r>
            <w:r/>
          </w:p>
        </w:tc>
        <w:tc>
          <w:tcPr>
            <w:shd w:val="clear" w:color="auto" w:fill="e7e6e6"/>
            <w:tcW w:w="4677" w:type="dxa"/>
            <w:vAlign w:val="center"/>
            <w:textDirection w:val="lrTb"/>
            <w:noWrap w:val="false"/>
          </w:tcPr>
          <w:p>
            <w:pPr>
              <w:ind w:left="-3" w:right="67" w:firstLine="3"/>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计算公式</w:t>
            </w:r>
            <w:r/>
          </w:p>
        </w:tc>
      </w:tr>
      <w:tr>
        <w:trPr>
          <w:jc w:val="center"/>
        </w:trPr>
        <w:tc>
          <w:tcPr>
            <w:tcW w:w="759"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p>
        </w:tc>
        <w:tc>
          <w:tcPr>
            <w:tcW w:w="1554" w:type="dxa"/>
            <w:vAlign w:val="center"/>
            <w:textDirection w:val="lrTb"/>
            <w:noWrap w:val="false"/>
          </w:tcPr>
          <w:p>
            <w:pPr>
              <w:ind w:left="13"/>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5"/>
                <w:sz w:val="21"/>
                <w:szCs w:val="21"/>
                <w:highlight w:val="none"/>
                <w:lang w:eastAsia="zh-CN"/>
              </w:rPr>
              <w:t xml:space="preserve">小型、微型企业，监狱企业，残疾人福利性单位、</w:t>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非联合体</w:t>
            </w:r>
            <w:r/>
          </w:p>
        </w:tc>
        <w:tc>
          <w:tcPr>
            <w:tcW w:w="1510"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20%</w:t>
            </w:r>
            <w:r/>
          </w:p>
        </w:tc>
        <w:tc>
          <w:tcPr>
            <w:tcW w:w="4677" w:type="dxa"/>
            <w:vAlign w:val="center"/>
            <w:textDirection w:val="lrTb"/>
            <w:noWrap w:val="false"/>
          </w:tcPr>
          <w:p>
            <w:pPr>
              <w:ind w:left="13" w:right="3"/>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7"/>
                <w:sz w:val="21"/>
                <w:szCs w:val="21"/>
                <w:highlight w:val="none"/>
                <w:lang w:eastAsia="zh-CN"/>
              </w:rPr>
              <w:t xml:space="preserve">承接本项目的投标人或联合体成员均为小型、微</w:t>
            </w:r>
            <w:r>
              <w:rPr>
                <w:rFonts w:hint="eastAsia" w:ascii="宋体" w:hAnsi="宋体" w:eastAsia="宋体" w:cs="宋体"/>
                <w:color w:val="auto"/>
                <w:spacing w:val="-3"/>
                <w:sz w:val="21"/>
                <w:szCs w:val="21"/>
                <w:highlight w:val="none"/>
                <w:lang w:eastAsia="zh-CN"/>
              </w:rPr>
              <w:t xml:space="preserve">型企业时，给予 </w:t>
            </w:r>
            <w:r>
              <w:rPr>
                <w:rFonts w:hint="eastAsia" w:ascii="宋体" w:hAnsi="宋体" w:eastAsia="宋体" w:cs="宋体"/>
                <w:color w:val="auto"/>
                <w:sz w:val="21"/>
                <w:szCs w:val="21"/>
                <w:highlight w:val="none"/>
                <w:lang w:eastAsia="zh-CN"/>
              </w:rPr>
              <w:t xml:space="preserve">C1</w:t>
            </w:r>
            <w:r>
              <w:rPr>
                <w:rFonts w:hint="eastAsia" w:ascii="宋体" w:hAnsi="宋体" w:eastAsia="宋体" w:cs="宋体"/>
                <w:color w:val="auto"/>
                <w:spacing w:val="-5"/>
                <w:sz w:val="21"/>
                <w:szCs w:val="21"/>
                <w:highlight w:val="none"/>
                <w:lang w:eastAsia="zh-CN"/>
              </w:rPr>
              <w:t xml:space="preserve"> 的价格扣除，即：评标价=</w:t>
            </w:r>
            <w:r>
              <w:rPr>
                <w:rFonts w:hint="eastAsia" w:ascii="宋体" w:hAnsi="宋体" w:eastAsia="宋体" w:cs="宋体"/>
                <w:color w:val="auto"/>
                <w:spacing w:val="-6"/>
                <w:sz w:val="21"/>
                <w:szCs w:val="21"/>
                <w:highlight w:val="none"/>
                <w:lang w:eastAsia="zh-CN"/>
              </w:rPr>
              <w:t xml:space="preserve">核实价×（1-C1）；监狱企业与残疾人福利性单位视同小型、微型企业，享受同等价格扣除，当</w:t>
            </w:r>
            <w:r>
              <w:rPr>
                <w:rFonts w:hint="eastAsia" w:ascii="宋体" w:hAnsi="宋体" w:eastAsia="宋体" w:cs="宋体"/>
                <w:color w:val="auto"/>
                <w:spacing w:val="-2"/>
                <w:sz w:val="21"/>
                <w:szCs w:val="21"/>
                <w:highlight w:val="none"/>
                <w:lang w:eastAsia="zh-CN"/>
              </w:rPr>
              <w:t xml:space="preserve">企业属性重复时，不重复价格扣除。</w:t>
            </w:r>
            <w:r/>
          </w:p>
        </w:tc>
      </w:tr>
    </w:tbl>
    <w:p>
      <w:pPr>
        <w:ind w:firstLine="422"/>
        <w:spacing w:line="4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211"/>
        <w:spacing w:line="4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评分标准</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color w:val="auto"/>
          <w:sz w:val="21"/>
          <w:szCs w:val="21"/>
          <w:highlight w:val="none"/>
        </w:rPr>
        <w:t xml:space="preserve">适用于采购包</w:t>
      </w: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（一）投标报价（20分）</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第一步：投标报价采用优惠率报价方式，投标优惠率不小于0的，为有效投标报价。投标优惠率小于0的为无效投标报价。无效投标报价的投标文件不进行评审，也不得标。</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第二步：在所有有效投标报价中满足招标文件要求，且投标优惠率最高的投标报价为评标基准优惠率，其价格分为20分，其他投标人的价格分按照下列公式计算（计算结果四舍五入保留两位小数）</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投标报价得分＝[（1-评标基准优惠率)/(1-投标优惠率）]×20％×100</w:t>
      </w:r>
      <w:r/>
    </w:p>
    <w:tbl>
      <w:tblPr>
        <w:tblStyle w:val="805"/>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266"/>
        <w:gridCol w:w="7161"/>
      </w:tblGrid>
      <w:tr>
        <w:trPr>
          <w:jc w:val="center"/>
        </w:trPr>
        <w:tc>
          <w:tcPr>
            <w:tcW w:w="1187"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t xml:space="preserve">评审项</w:t>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t xml:space="preserve">分值</w:t>
            </w:r>
            <w:r/>
          </w:p>
        </w:tc>
        <w:tc>
          <w:tcPr>
            <w:tcW w:w="7161"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t xml:space="preserve">评审标准</w:t>
            </w:r>
            <w:r/>
          </w:p>
        </w:tc>
      </w:tr>
      <w:tr>
        <w:trPr>
          <w:jc w:val="center"/>
        </w:trPr>
        <w:tc>
          <w:tcPr>
            <w:tcW w:w="1187" w:type="dxa"/>
            <w:vAlign w:val="center"/>
            <w:vMerge w:val="restart"/>
            <w:textDirection w:val="lrTb"/>
            <w:noWrap w:val="false"/>
          </w:tcPr>
          <w:p>
            <w:pPr>
              <w:ind w:left="0" w:right="0"/>
              <w:jc w:val="left"/>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p>
            <w:pPr>
              <w:ind w:left="0" w:right="0"/>
              <w:jc w:val="center"/>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r>
            <w:r/>
          </w:p>
          <w:p>
            <w:pPr>
              <w:ind w:left="0" w:right="0"/>
              <w:jc w:val="center"/>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r>
            <w:r/>
          </w:p>
          <w:p>
            <w:pPr>
              <w:ind w:left="0" w:right="0"/>
              <w:jc w:val="left"/>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p>
            <w:pPr>
              <w:ind w:left="0" w:right="0"/>
              <w:jc w:val="center"/>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eastAsia="en-US"/>
              </w:rPr>
              <w:t xml:space="preserve">服务方案（</w:t>
            </w:r>
            <w:r>
              <w:rPr>
                <w:rFonts w:hint="eastAsia" w:ascii="宋体" w:hAnsi="宋体" w:eastAsia="宋体" w:cs="宋体"/>
                <w:bCs/>
                <w:color w:val="auto"/>
                <w:sz w:val="21"/>
                <w:szCs w:val="21"/>
                <w:highlight w:val="none"/>
              </w:rPr>
              <w:t xml:space="preserve">38</w:t>
            </w:r>
            <w:r>
              <w:rPr>
                <w:rFonts w:hint="eastAsia" w:ascii="宋体" w:hAnsi="宋体" w:eastAsia="宋体" w:cs="宋体"/>
                <w:bCs/>
                <w:color w:val="auto"/>
                <w:sz w:val="21"/>
                <w:szCs w:val="21"/>
                <w:highlight w:val="none"/>
                <w:lang w:eastAsia="en-US"/>
              </w:rPr>
              <w:t xml:space="preserve">）</w:t>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t xml:space="preserve">承保服务（</w:t>
            </w:r>
            <w:r>
              <w:rPr>
                <w:rFonts w:hint="eastAsia" w:ascii="宋体" w:hAnsi="宋体" w:eastAsia="宋体" w:cs="宋体"/>
                <w:bCs/>
                <w:color w:val="auto"/>
                <w:sz w:val="21"/>
                <w:szCs w:val="21"/>
                <w:highlight w:val="none"/>
              </w:rPr>
              <w:t xml:space="preserve">12</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jc w:val="left"/>
              <w:keepLines w:val="0"/>
              <w:keepNext w:val="0"/>
              <w:spacing w:before="0" w:beforeAutospacing="0" w:after="20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承保服务：根据投标人针对本项目提供的承保服务进行评分，方案内容至少包括：①指定专门的客服人员②</w:t>
            </w:r>
            <w:r>
              <w:rPr>
                <w:rFonts w:hint="eastAsia" w:ascii="宋体" w:hAnsi="宋体" w:eastAsia="宋体" w:cs="宋体"/>
                <w:color w:val="auto"/>
                <w:sz w:val="21"/>
                <w:szCs w:val="21"/>
                <w:highlight w:val="none"/>
                <w:lang w:val="en-US" w:eastAsia="zh-CN"/>
              </w:rPr>
              <w:t xml:space="preserve">人员异动服务</w:t>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rPr>
              <w:t xml:space="preserve">组织宣传推广④便捷投保。</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方案内容针对本项目且符合本项目实际需求的，每满足1项得3分，本项总分为12分</w:t>
            </w:r>
            <w:r>
              <w:rPr>
                <w:rFonts w:hint="eastAsia" w:ascii="宋体" w:hAnsi="宋体" w:eastAsia="宋体" w:cs="宋体"/>
                <w:color w:val="auto"/>
                <w:sz w:val="21"/>
                <w:szCs w:val="21"/>
                <w:highlight w:val="none"/>
                <w:lang w:eastAsia="zh-CN"/>
              </w:rPr>
              <w:t xml:space="preserve">。</w:t>
            </w:r>
            <w:r/>
          </w:p>
        </w:tc>
      </w:tr>
      <w:tr>
        <w:trPr>
          <w:jc w:val="center"/>
          <w:trHeight w:val="1899"/>
        </w:trPr>
        <w:tc>
          <w:tcPr>
            <w:tcW w:w="1187" w:type="dxa"/>
            <w:vAlign w:val="center"/>
            <w:vMerge w:val="continue"/>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t xml:space="preserve">理赔服务（</w:t>
            </w:r>
            <w:r>
              <w:rPr>
                <w:rFonts w:hint="eastAsia" w:ascii="宋体" w:hAnsi="宋体" w:eastAsia="宋体" w:cs="宋体"/>
                <w:bCs/>
                <w:color w:val="auto"/>
                <w:sz w:val="21"/>
                <w:szCs w:val="21"/>
                <w:highlight w:val="none"/>
              </w:rPr>
              <w:t xml:space="preserve">12</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jc w:val="left"/>
              <w:keepLines w:val="0"/>
              <w:keepNext w:val="0"/>
              <w:spacing w:before="0" w:beforeAutospacing="0" w:after="20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理赔服务：根据投标人针对本项目提供的理赔服务进行评分，方案内容至少包括：①理赔服务团队配备②接报受理情况③理赔程序资料收集④理赔时效制度及后续服务。</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方案内容针对本项目且符合本项目实际需求的，每满足1项得3分，本项总分为12分</w:t>
            </w:r>
            <w:r>
              <w:rPr>
                <w:rFonts w:hint="eastAsia" w:ascii="宋体" w:hAnsi="宋体" w:eastAsia="宋体" w:cs="宋体"/>
                <w:color w:val="auto"/>
                <w:sz w:val="21"/>
                <w:szCs w:val="21"/>
                <w:highlight w:val="none"/>
                <w:lang w:eastAsia="zh-CN"/>
              </w:rPr>
              <w:t xml:space="preserve">。</w:t>
            </w:r>
            <w:r/>
          </w:p>
        </w:tc>
      </w:tr>
      <w:tr>
        <w:trPr>
          <w:jc w:val="center"/>
          <w:trHeight w:val="460"/>
        </w:trPr>
        <w:tc>
          <w:tcPr>
            <w:tcW w:w="1187" w:type="dxa"/>
            <w:vAlign w:val="center"/>
            <w:vMerge w:val="continue"/>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服务质量监督措施（8）</w:t>
            </w:r>
            <w:r/>
          </w:p>
        </w:tc>
        <w:tc>
          <w:tcPr>
            <w:tcW w:w="7161" w:type="dxa"/>
            <w:vAlign w:val="top"/>
            <w:textDirection w:val="lrTb"/>
            <w:noWrap w:val="false"/>
          </w:tcPr>
          <w:p>
            <w:pPr>
              <w:ind w:left="0" w:right="0" w:firstLine="480"/>
              <w:jc w:val="left"/>
              <w:keepLines w:val="0"/>
              <w:keepNext w:val="0"/>
              <w:spacing w:before="0" w:beforeAutospacing="0" w:after="20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根据投标人针对本项目提供的服务质量监督措施进行评分，措施内容至少包括：①服务投诉处理办法②服务监督措施③争议处理④赔款滞纳金等。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方案内容针对本项目且符合本项目实际需求的，每满足1项得2分，本项总分为8分</w:t>
            </w:r>
            <w:r>
              <w:rPr>
                <w:rFonts w:hint="eastAsia" w:ascii="宋体" w:hAnsi="宋体" w:eastAsia="宋体" w:cs="宋体"/>
                <w:color w:val="auto"/>
                <w:sz w:val="21"/>
                <w:szCs w:val="21"/>
                <w:highlight w:val="none"/>
                <w:lang w:eastAsia="zh-CN"/>
              </w:rPr>
              <w:t xml:space="preserve">。</w:t>
            </w:r>
            <w:r/>
          </w:p>
        </w:tc>
      </w:tr>
      <w:tr>
        <w:trPr>
          <w:jc w:val="center"/>
          <w:trHeight w:val="1554"/>
        </w:trPr>
        <w:tc>
          <w:tcPr>
            <w:tcW w:w="1187" w:type="dxa"/>
            <w:vAlign w:val="center"/>
            <w:vMerge w:val="continue"/>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eastAsia="en-US"/>
              </w:rPr>
              <w:t xml:space="preserve">培训方案（</w:t>
            </w:r>
            <w:r>
              <w:rPr>
                <w:rFonts w:hint="eastAsia" w:ascii="宋体" w:hAnsi="宋体" w:eastAsia="宋体" w:cs="宋体"/>
                <w:bCs/>
                <w:color w:val="auto"/>
                <w:sz w:val="21"/>
                <w:szCs w:val="21"/>
                <w:highlight w:val="none"/>
              </w:rPr>
              <w:t xml:space="preserve">6</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firstLine="48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根据投标人针对本项目提供的培训方案进行评分，方案内容至少包括：①回访制度②培训内容及时间计划③定期沟通。</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方案内容针对本项目且符合本项目实际需求的，每满足1项得2分，本项总分为6分</w:t>
            </w:r>
            <w:r>
              <w:rPr>
                <w:rFonts w:hint="eastAsia" w:ascii="宋体" w:hAnsi="宋体" w:eastAsia="宋体" w:cs="宋体"/>
                <w:color w:val="auto"/>
                <w:sz w:val="21"/>
                <w:szCs w:val="21"/>
                <w:highlight w:val="none"/>
                <w:lang w:eastAsia="zh-CN"/>
              </w:rPr>
              <w:t xml:space="preserve">。</w:t>
            </w:r>
            <w:r/>
          </w:p>
        </w:tc>
      </w:tr>
      <w:tr>
        <w:trPr>
          <w:jc w:val="center"/>
        </w:trPr>
        <w:tc>
          <w:tcPr>
            <w:tcW w:w="1187"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t xml:space="preserve">人员配备（</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eastAsia="en-US"/>
              </w:rPr>
              <w:t xml:space="preserve">）</w:t>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服务团队匹配情况（</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w:t>
            </w:r>
            <w:r/>
          </w:p>
        </w:tc>
        <w:tc>
          <w:tcPr>
            <w:tcW w:w="7161" w:type="dxa"/>
            <w:vAlign w:val="top"/>
            <w:textDirection w:val="lrTb"/>
            <w:noWrap w:val="false"/>
          </w:tcPr>
          <w:p>
            <w:pPr>
              <w:ind w:left="0" w:right="0" w:firstLine="42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（1）拟投入本项目的项目经理保险从业经验5年以内的得1分，5（含）-15年的得3分，15（含）年以上的得5分。（提供人员简历及投标单位为该员工缴纳的近期社保证明的扫描件并加盖公章）。</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（2）项目设立服务团队人员在满足基本要求的基础上，每增加1人加1分，最高得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分。投标文件中提供服务团队人员名单。</w:t>
            </w:r>
            <w:r/>
          </w:p>
        </w:tc>
      </w:tr>
      <w:tr>
        <w:trPr>
          <w:jc w:val="center"/>
        </w:trPr>
        <w:tc>
          <w:tcPr>
            <w:tcW w:w="1187" w:type="dxa"/>
            <w:vAlign w:val="center"/>
            <w:vMerge w:val="restart"/>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t xml:space="preserve">履约能力（</w:t>
            </w: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en-US"/>
              </w:rPr>
              <w:t xml:space="preserve">）</w:t>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t xml:space="preserve">类似项目业绩（</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firstLine="42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提供投标单位202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年1月1日以来（以合同签订日期或保单核发日期为准）承保的类似</w:t>
            </w:r>
            <w:r>
              <w:rPr>
                <w:rFonts w:hint="eastAsia" w:ascii="宋体" w:hAnsi="宋体" w:eastAsia="宋体" w:cs="宋体"/>
                <w:bCs/>
                <w:color w:val="auto"/>
                <w:sz w:val="21"/>
                <w:szCs w:val="21"/>
                <w:highlight w:val="none"/>
              </w:rPr>
              <w:t xml:space="preserve">人身保险</w:t>
            </w:r>
            <w:r>
              <w:rPr>
                <w:rFonts w:hint="eastAsia" w:ascii="宋体" w:hAnsi="宋体" w:eastAsia="宋体" w:cs="宋体"/>
                <w:color w:val="auto"/>
                <w:sz w:val="21"/>
                <w:szCs w:val="21"/>
                <w:highlight w:val="none"/>
              </w:rPr>
              <w:t xml:space="preserve">项目，有一个得1分，最多得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分。同一保险或服务项目的数量不重复计算。（提供保单或合同的扫描件并加盖公章，不提供不得分）。</w:t>
            </w:r>
            <w:r/>
          </w:p>
        </w:tc>
      </w:tr>
      <w:tr>
        <w:trPr>
          <w:jc w:val="center"/>
        </w:trPr>
        <w:tc>
          <w:tcPr>
            <w:tcW w:w="1187" w:type="dxa"/>
            <w:vAlign w:val="center"/>
            <w:vMerge w:val="continue"/>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rPr>
              <w:t xml:space="preserve">综合</w:t>
            </w:r>
            <w:r>
              <w:rPr>
                <w:rFonts w:hint="eastAsia" w:ascii="宋体" w:hAnsi="宋体" w:eastAsia="宋体" w:cs="宋体"/>
                <w:bCs/>
                <w:color w:val="auto"/>
                <w:sz w:val="21"/>
                <w:szCs w:val="21"/>
                <w:highlight w:val="none"/>
                <w:lang w:eastAsia="en-US"/>
              </w:rPr>
              <w:t xml:space="preserve">偿付能力（</w:t>
            </w:r>
            <w:r>
              <w:rPr>
                <w:rFonts w:hint="eastAsia" w:ascii="宋体" w:hAnsi="宋体" w:eastAsia="宋体" w:cs="宋体"/>
                <w:bCs/>
                <w:color w:val="auto"/>
                <w:sz w:val="21"/>
                <w:szCs w:val="21"/>
                <w:highlight w:val="none"/>
              </w:rPr>
              <w:t xml:space="preserve">12</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firstLine="42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pacing w:val="-2"/>
                <w:sz w:val="21"/>
                <w:szCs w:val="21"/>
                <w:highlight w:val="none"/>
                <w:lang w:eastAsia="en-US"/>
              </w:rPr>
              <w:t xml:space="preserve">根据《保险公司偿付能力监管规则(第1号一第17号)》</w:t>
            </w:r>
            <w:r>
              <w:rPr>
                <w:rFonts w:hint="eastAsia" w:ascii="宋体" w:hAnsi="宋体" w:eastAsia="宋体" w:cs="宋体"/>
                <w:color w:val="auto"/>
                <w:spacing w:val="-1"/>
                <w:sz w:val="21"/>
                <w:szCs w:val="21"/>
                <w:highlight w:val="none"/>
                <w:lang w:eastAsia="en-US"/>
              </w:rPr>
              <w:t xml:space="preserve">规定，要求披露公司的偿付能力数据(官网定期公</w:t>
            </w:r>
            <w:r>
              <w:rPr>
                <w:rFonts w:hint="eastAsia" w:ascii="宋体" w:hAnsi="宋体" w:eastAsia="宋体" w:cs="宋体"/>
                <w:color w:val="auto"/>
                <w:spacing w:val="-2"/>
                <w:sz w:val="21"/>
                <w:szCs w:val="21"/>
                <w:highlight w:val="none"/>
                <w:lang w:eastAsia="en-US"/>
              </w:rPr>
              <w:t xml:space="preserve">布)。</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z w:val="21"/>
                <w:szCs w:val="21"/>
                <w:highlight w:val="none"/>
              </w:rPr>
              <w:t xml:space="preserve">根据投标单位总公司已公开披露的2025年度综合偿付能力充足率进行评审</w:t>
            </w:r>
            <w:r>
              <w:rPr>
                <w:rFonts w:hint="eastAsia" w:ascii="宋体" w:hAnsi="宋体" w:eastAsia="宋体" w:cs="宋体"/>
                <w:color w:val="auto"/>
                <w:sz w:val="21"/>
                <w:szCs w:val="21"/>
                <w:highlight w:val="none"/>
                <w:lang w:val="en-US" w:eastAsia="zh-CN"/>
              </w:rPr>
              <w:t xml:space="preserve">。</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2025年度综合偿付能力充足率≥220%，得12分；</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210%≤2025年度综合偿付能力充足率＜220%，得6分；</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200%≤2025年度综合偿付能力充足率＜210%，得2分；</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2025年度综合偿付能力充足率＜200%，不得分。</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提供投标单位总公司2025年度</w:t>
            </w:r>
            <w:r>
              <w:rPr>
                <w:rFonts w:hint="eastAsia" w:ascii="宋体" w:hAnsi="宋体" w:eastAsia="宋体" w:cs="宋体"/>
                <w:color w:val="auto"/>
                <w:sz w:val="21"/>
                <w:szCs w:val="21"/>
                <w:highlight w:val="none"/>
                <w:lang w:val="en-US" w:eastAsia="zh-CN"/>
              </w:rPr>
              <w:t xml:space="preserve">经审计的偿付能力专题报告，</w:t>
            </w:r>
            <w:r>
              <w:rPr>
                <w:rFonts w:hint="eastAsia" w:ascii="宋体" w:hAnsi="宋体" w:eastAsia="宋体" w:cs="宋体"/>
                <w:color w:val="auto"/>
                <w:sz w:val="21"/>
                <w:szCs w:val="21"/>
                <w:highlight w:val="none"/>
                <w:lang w:val="zh-CN" w:eastAsia="zh-CN"/>
              </w:rPr>
              <w:t xml:space="preserve">无综合偿付能力结果及未提供的不得分。</w:t>
            </w:r>
            <w:r/>
          </w:p>
        </w:tc>
      </w:tr>
      <w:tr>
        <w:trPr>
          <w:jc w:val="center"/>
          <w:trHeight w:val="2032"/>
        </w:trPr>
        <w:tc>
          <w:tcPr>
            <w:tcW w:w="1187" w:type="dxa"/>
            <w:vAlign w:val="center"/>
            <w:vMerge w:val="continue"/>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Cs/>
                <w:color w:val="auto"/>
                <w:sz w:val="21"/>
                <w:szCs w:val="21"/>
                <w:highlight w:val="none"/>
              </w:rPr>
              <w:t xml:space="preserve">风险综合评级评价（12）</w:t>
            </w:r>
            <w:r/>
          </w:p>
        </w:tc>
        <w:tc>
          <w:tcPr>
            <w:tcW w:w="7161" w:type="dxa"/>
            <w:vAlign w:val="top"/>
            <w:textDirection w:val="lrTb"/>
            <w:noWrap w:val="false"/>
          </w:tcPr>
          <w:p>
            <w:pPr>
              <w:ind w:left="0" w:right="0" w:firstLine="42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根据投标单位总公司已公开披露的2025年四个季度风险综合评级结果进行评分：有1个</w:t>
            </w:r>
            <w:r>
              <w:rPr>
                <w:rFonts w:hint="eastAsia" w:ascii="宋体" w:hAnsi="宋体" w:eastAsia="宋体" w:cs="宋体"/>
                <w:color w:val="auto"/>
                <w:sz w:val="21"/>
                <w:szCs w:val="21"/>
                <w:highlight w:val="none"/>
                <w:shd w:val="clear" w:color="auto" w:fill="auto"/>
              </w:rPr>
              <w:t xml:space="preserve">AAA/AA级</w:t>
            </w:r>
            <w:r>
              <w:rPr>
                <w:rFonts w:hint="eastAsia" w:ascii="宋体" w:hAnsi="宋体" w:eastAsia="宋体" w:cs="宋体"/>
                <w:color w:val="auto"/>
                <w:sz w:val="21"/>
                <w:szCs w:val="21"/>
                <w:highlight w:val="none"/>
              </w:rPr>
              <w:t xml:space="preserve">的得3分，其余不得分。本项最高得12分。</w:t>
            </w:r>
            <w:r/>
          </w:p>
          <w:p>
            <w:pPr>
              <w:ind w:left="0" w:right="0" w:firstLine="422"/>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备注：提供国家金融监督管理总局偿付能力监管信息系统最终评级结果截图，</w:t>
            </w:r>
            <w:r>
              <w:rPr>
                <w:rFonts w:hint="eastAsia" w:ascii="宋体" w:hAnsi="宋体" w:eastAsia="宋体" w:cs="宋体"/>
                <w:color w:val="auto"/>
                <w:sz w:val="21"/>
                <w:szCs w:val="21"/>
                <w:highlight w:val="none"/>
                <w:lang w:val="zh-CN"/>
              </w:rPr>
              <w:t xml:space="preserve">无风险综合评级结果及未提供的不得分</w:t>
            </w:r>
            <w:r>
              <w:rPr>
                <w:rFonts w:hint="eastAsia" w:ascii="宋体" w:hAnsi="宋体" w:eastAsia="宋体" w:cs="宋体"/>
                <w:color w:val="auto"/>
                <w:sz w:val="21"/>
                <w:szCs w:val="21"/>
                <w:highlight w:val="none"/>
              </w:rPr>
              <w:t xml:space="preserve">。</w:t>
            </w:r>
            <w:r/>
          </w:p>
        </w:tc>
      </w:tr>
      <w:tr>
        <w:trPr>
          <w:jc w:val="center"/>
          <w:trHeight w:val="1563"/>
        </w:trPr>
        <w:tc>
          <w:tcPr>
            <w:tcW w:w="1187" w:type="dxa"/>
            <w:vAlign w:val="center"/>
            <w:vMerge w:val="continue"/>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266" w:type="dxa"/>
            <w:vAlign w:val="center"/>
            <w:textDirection w:val="lrTb"/>
            <w:noWrap w:val="false"/>
          </w:tcPr>
          <w:p>
            <w:pPr>
              <w:ind w:left="0" w:right="0"/>
              <w:jc w:val="center"/>
              <w:keepLines w:val="0"/>
              <w:keepNext w:val="0"/>
              <w:spacing w:before="0" w:beforeAutospacing="0" w:after="20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合规经营（5）</w:t>
            </w:r>
            <w:r/>
          </w:p>
        </w:tc>
        <w:tc>
          <w:tcPr>
            <w:tcW w:w="7161" w:type="dxa"/>
            <w:vAlign w:val="top"/>
            <w:textDirection w:val="lrTb"/>
            <w:noWrap w:val="false"/>
          </w:tcPr>
          <w:p>
            <w:pPr>
              <w:ind w:left="0" w:right="0" w:firstLine="42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根据投标单位</w:t>
            </w:r>
            <w:bookmarkStart w:id="21" w:name="_Hlk203747465"/>
            <w:r/>
            <w:bookmarkStart w:id="22" w:name="_Hlk203728129"/>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rPr>
              <w:t xml:space="preserve">其</w:t>
            </w:r>
            <w:r>
              <w:rPr>
                <w:rFonts w:hint="eastAsia" w:ascii="宋体" w:hAnsi="宋体" w:eastAsia="宋体" w:cs="宋体"/>
                <w:color w:val="auto"/>
                <w:sz w:val="21"/>
                <w:szCs w:val="21"/>
                <w:highlight w:val="none"/>
                <w:lang w:val="en-US" w:eastAsia="zh-CN"/>
              </w:rPr>
              <w:t xml:space="preserve">总公司</w:t>
            </w:r>
            <w:r>
              <w:rPr>
                <w:rFonts w:hint="eastAsia" w:ascii="宋体" w:hAnsi="宋体" w:eastAsia="宋体" w:cs="宋体"/>
                <w:color w:val="auto"/>
                <w:sz w:val="21"/>
                <w:szCs w:val="21"/>
                <w:highlight w:val="none"/>
              </w:rPr>
              <w:t xml:space="preserve">所有分支机构</w:t>
            </w:r>
            <w:bookmarkEnd w:id="21"/>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rPr>
              <w:t xml:space="preserve">23年1月1月至今受国家金融监督管理总局苏州监管分局（机构改革前为中国银行保险监督管理委员会苏州监管分局）处罚情况进行评分，未受处罚的得</w:t>
            </w:r>
            <w:bookmarkEnd w:id="22"/>
            <w:r>
              <w:rPr>
                <w:rFonts w:hint="eastAsia" w:ascii="宋体" w:hAnsi="宋体" w:eastAsia="宋体" w:cs="宋体"/>
                <w:color w:val="auto"/>
                <w:sz w:val="21"/>
                <w:szCs w:val="21"/>
                <w:highlight w:val="none"/>
              </w:rPr>
              <w:t xml:space="preserve">5分，有受处罚的不得分。</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shd w:val="clear" w:color="auto" w:fill="auto"/>
              </w:rPr>
              <w:t xml:space="preserve">国家金融监督管理总局苏州监管分局的处罚文件为准。提供投标单位及其</w:t>
            </w:r>
            <w:r>
              <w:rPr>
                <w:rFonts w:hint="eastAsia" w:ascii="宋体" w:hAnsi="宋体" w:eastAsia="宋体" w:cs="宋体"/>
                <w:color w:val="auto"/>
                <w:sz w:val="21"/>
                <w:szCs w:val="21"/>
                <w:highlight w:val="none"/>
                <w:shd w:val="clear" w:color="auto" w:fill="auto"/>
                <w:lang w:val="en-US" w:eastAsia="zh-CN"/>
              </w:rPr>
              <w:t xml:space="preserve">总公司</w:t>
            </w:r>
            <w:r>
              <w:rPr>
                <w:rFonts w:hint="eastAsia" w:ascii="宋体" w:hAnsi="宋体" w:eastAsia="宋体" w:cs="宋体"/>
                <w:color w:val="auto"/>
                <w:sz w:val="21"/>
                <w:szCs w:val="21"/>
                <w:highlight w:val="none"/>
                <w:shd w:val="clear" w:color="auto" w:fill="auto"/>
              </w:rPr>
              <w:t xml:space="preserve">所有分支机构20</w:t>
            </w:r>
            <w:r>
              <w:rPr>
                <w:rFonts w:hint="eastAsia" w:ascii="宋体" w:hAnsi="宋体" w:eastAsia="宋体" w:cs="宋体"/>
                <w:color w:val="auto"/>
                <w:sz w:val="21"/>
                <w:szCs w:val="21"/>
                <w:highlight w:val="none"/>
                <w:shd w:val="clear" w:color="auto" w:fill="auto"/>
              </w:rPr>
              <w:t xml:space="preserve">23年1月至</w:t>
            </w:r>
            <w:r>
              <w:rPr>
                <w:rFonts w:hint="eastAsia" w:ascii="宋体" w:hAnsi="宋体" w:eastAsia="宋体" w:cs="宋体"/>
                <w:color w:val="auto"/>
                <w:sz w:val="21"/>
                <w:szCs w:val="21"/>
                <w:highlight w:val="none"/>
              </w:rPr>
              <w:t xml:space="preserve">今有无受到国家金融监督管理总局苏州监管分局（机构改革前为中国银行保险监督管理委员会苏州监管分局）处罚的承诺书，如提供虚假材料作无效投标处理。</w:t>
            </w:r>
            <w:r/>
          </w:p>
        </w:tc>
      </w:tr>
    </w:tbl>
    <w:p>
      <w:pPr>
        <w:ind w:firstLine="422"/>
        <w:jc w:val="both"/>
        <w:keepLines/>
        <w:keepNext/>
        <w:pageBreakBefore w:val="0"/>
        <w:spacing w:before="0" w:after="0" w:line="360" w:lineRule="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ind w:firstLine="422"/>
        <w:jc w:val="both"/>
        <w:keepLines/>
        <w:keepNext/>
        <w:pageBreakBefore w:val="0"/>
        <w:spacing w:before="0" w:after="0" w:line="360" w:lineRule="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ind w:firstLine="422"/>
        <w:jc w:val="both"/>
        <w:keepLines/>
        <w:keepNext/>
        <w:pageBreakBefore w:val="0"/>
        <w:spacing w:before="0" w:after="0" w:line="360" w:lineRule="auto"/>
        <w:widowControl w:val="off"/>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rPr>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适用于采购包</w:t>
      </w:r>
      <w:r>
        <w:rPr>
          <w:rFonts w:hint="eastAsia" w:ascii="宋体" w:hAnsi="宋体" w:eastAsia="宋体" w:cs="宋体"/>
          <w:b/>
          <w:color w:val="auto"/>
          <w:sz w:val="21"/>
          <w:szCs w:val="21"/>
          <w:highlight w:val="none"/>
          <w:lang w:val="en-US" w:eastAsia="zh-CN"/>
        </w:rPr>
        <w:t xml:space="preserve">2/3</w:t>
      </w:r>
      <w:r>
        <w:rPr>
          <w:rFonts w:hint="eastAsia" w:ascii="宋体" w:hAnsi="宋体" w:eastAsia="宋体" w:cs="宋体"/>
          <w:b/>
          <w:color w:val="auto"/>
          <w:sz w:val="21"/>
          <w:szCs w:val="21"/>
          <w:highlight w:val="none"/>
        </w:rPr>
        <w:t xml:space="preserve">：</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t xml:space="preserve">（一）投标报价（20分）</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第一步：投标报价采用优惠率报价方式，投标优惠率不小于0的，为有效投标报价。投标优惠率小于0的为无效投标报价。无效投标报价的投标文件不进行评审，也不得标。</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第二步：在所有有效投标报价中满足招标文件要求，且投标优惠率最高的投标报价为评标基准优惠率，其价格分为20分，其他投标人的价格分按照下列公式计算（计算结果四舍五入保留两位小数）</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投标报价得分＝[（1-评标基准优惠率)/(1-投标优惠率）]×20％×100</w:t>
      </w:r>
      <w:r/>
    </w:p>
    <w:tbl>
      <w:tblPr>
        <w:tblStyle w:val="805"/>
        <w:tblW w:w="9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266"/>
        <w:gridCol w:w="7161"/>
      </w:tblGrid>
      <w:tr>
        <w:trPr>
          <w:jc w:val="center"/>
          <w:trHeight w:val="90"/>
        </w:trPr>
        <w:tc>
          <w:tcPr>
            <w:tcW w:w="1187"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t xml:space="preserve">评审项</w:t>
            </w:r>
            <w:r/>
          </w:p>
        </w:tc>
        <w:tc>
          <w:tcPr>
            <w:tcW w:w="1266"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t xml:space="preserve">分值</w:t>
            </w:r>
            <w:r/>
          </w:p>
        </w:tc>
        <w:tc>
          <w:tcPr>
            <w:tcW w:w="7161"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t xml:space="preserve">评审标准</w:t>
            </w:r>
            <w:r/>
          </w:p>
        </w:tc>
      </w:tr>
      <w:tr>
        <w:trPr>
          <w:jc w:val="center"/>
          <w:trHeight w:val="1970"/>
        </w:trPr>
        <w:tc>
          <w:tcPr>
            <w:tcW w:w="1187" w:type="dxa"/>
            <w:vAlign w:val="center"/>
            <w:vMerge w:val="restart"/>
            <w:textDirection w:val="lrTb"/>
            <w:noWrap w:val="false"/>
          </w:tcPr>
          <w:p>
            <w:pPr>
              <w:ind w:left="0" w:right="0"/>
              <w:jc w:val="left"/>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zh-CN"/>
              </w:rPr>
            </w:r>
            <w:r/>
          </w:p>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r>
            <w:r/>
          </w:p>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r>
            <w:r/>
          </w:p>
          <w:p>
            <w:pPr>
              <w:ind w:left="0" w:right="0"/>
              <w:jc w:val="left"/>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zh-CN"/>
              </w:rPr>
            </w:r>
            <w:r/>
          </w:p>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en-US"/>
              </w:rPr>
              <w:t xml:space="preserve">服务方案（</w:t>
            </w:r>
            <w:r>
              <w:rPr>
                <w:rFonts w:hint="eastAsia" w:ascii="宋体" w:hAnsi="宋体" w:eastAsia="宋体" w:cs="宋体"/>
                <w:bCs/>
                <w:color w:val="auto"/>
                <w:sz w:val="21"/>
                <w:szCs w:val="21"/>
                <w:highlight w:val="none"/>
                <w:lang w:val="en-US" w:eastAsia="zh-CN"/>
              </w:rPr>
              <w:t xml:space="preserve">45</w:t>
            </w:r>
            <w:r>
              <w:rPr>
                <w:rFonts w:hint="eastAsia" w:ascii="宋体" w:hAnsi="宋体" w:eastAsia="宋体" w:cs="宋体"/>
                <w:bCs/>
                <w:color w:val="auto"/>
                <w:sz w:val="21"/>
                <w:szCs w:val="21"/>
                <w:highlight w:val="none"/>
                <w:lang w:eastAsia="en-US"/>
              </w:rPr>
              <w:t xml:space="preserve">）</w:t>
            </w:r>
            <w:r/>
          </w:p>
        </w:tc>
        <w:tc>
          <w:tcPr>
            <w:tcW w:w="1266"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t xml:space="preserve">承保服务（</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jc w:val="left"/>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承保服务：根据投标人针对本项目提供的承保服务进行评分，方案内容至少包括：①指定专门的客服人员②定期走访参保客户③组织宣传推广④便捷投保。</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方案内容针对本项目且符合本项目实际需求的，每满足1项得3分，本项总分为12分</w:t>
            </w:r>
            <w:r>
              <w:rPr>
                <w:rFonts w:hint="eastAsia" w:ascii="宋体" w:hAnsi="宋体" w:eastAsia="宋体" w:cs="宋体"/>
                <w:color w:val="auto"/>
                <w:sz w:val="21"/>
                <w:szCs w:val="21"/>
                <w:highlight w:val="none"/>
                <w:lang w:eastAsia="zh-CN"/>
              </w:rPr>
              <w:t xml:space="preserve">。</w:t>
            </w:r>
            <w:r/>
          </w:p>
        </w:tc>
      </w:tr>
      <w:tr>
        <w:trPr>
          <w:jc w:val="center"/>
          <w:trHeight w:val="1763"/>
        </w:trPr>
        <w:tc>
          <w:tcPr>
            <w:tcW w:w="1187" w:type="dxa"/>
            <w:vAlign w:val="center"/>
            <w:vMerge w:val="continue"/>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zh-CN"/>
              </w:rPr>
            </w:r>
            <w:r/>
          </w:p>
        </w:tc>
        <w:tc>
          <w:tcPr>
            <w:tcW w:w="1266"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t xml:space="preserve">理赔服务（</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jc w:val="left"/>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理赔服务：根据投标人针对本项目提供的理赔服务进行评分，方案内容至少包括：①</w:t>
            </w:r>
            <w:r>
              <w:rPr>
                <w:rFonts w:hint="eastAsia" w:ascii="宋体" w:hAnsi="宋体" w:eastAsia="宋体" w:cs="宋体"/>
                <w:color w:val="auto"/>
                <w:sz w:val="21"/>
                <w:szCs w:val="21"/>
                <w:highlight w:val="none"/>
                <w:lang w:val="en-US" w:eastAsia="zh-CN"/>
              </w:rPr>
              <w:t xml:space="preserve">理赔服务</w:t>
            </w:r>
            <w:r>
              <w:rPr>
                <w:rFonts w:hint="eastAsia" w:ascii="宋体" w:hAnsi="宋体" w:eastAsia="宋体" w:cs="宋体"/>
                <w:color w:val="auto"/>
                <w:sz w:val="21"/>
                <w:szCs w:val="21"/>
                <w:highlight w:val="none"/>
                <w:lang w:eastAsia="zh-CN"/>
              </w:rPr>
              <w:t xml:space="preserve">团队配备②接报受理</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eastAsia="zh-CN"/>
              </w:rPr>
              <w:t xml:space="preserve">③理赔程序资料收集④理赔时效制度及后续服务。</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方案内容针对本项目且符合本项目实际需求的，每满足1项得3分，本项总分为12分</w:t>
            </w:r>
            <w:r>
              <w:rPr>
                <w:rFonts w:hint="eastAsia" w:ascii="宋体" w:hAnsi="宋体" w:eastAsia="宋体" w:cs="宋体"/>
                <w:color w:val="auto"/>
                <w:sz w:val="21"/>
                <w:szCs w:val="21"/>
                <w:highlight w:val="none"/>
                <w:lang w:eastAsia="zh-CN"/>
              </w:rPr>
              <w:t xml:space="preserve">。</w:t>
            </w:r>
            <w:r/>
          </w:p>
        </w:tc>
      </w:tr>
      <w:tr>
        <w:trPr>
          <w:jc w:val="center"/>
          <w:trHeight w:val="1970"/>
        </w:trPr>
        <w:tc>
          <w:tcPr>
            <w:tcW w:w="1187" w:type="dxa"/>
            <w:vAlign w:val="center"/>
            <w:vMerge w:val="continue"/>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zh-CN"/>
              </w:rPr>
            </w:r>
            <w:r/>
          </w:p>
        </w:tc>
        <w:tc>
          <w:tcPr>
            <w:tcW w:w="1266"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zh-CN"/>
              </w:rPr>
              <w:t xml:space="preserve">服务质量监督措施（</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eastAsia="zh-CN"/>
              </w:rPr>
              <w:t xml:space="preserve">）</w:t>
            </w:r>
            <w:r/>
          </w:p>
        </w:tc>
        <w:tc>
          <w:tcPr>
            <w:tcW w:w="7161" w:type="dxa"/>
            <w:vAlign w:val="top"/>
            <w:textDirection w:val="lrTb"/>
            <w:noWrap w:val="false"/>
          </w:tcPr>
          <w:p>
            <w:pPr>
              <w:ind w:left="0" w:right="0" w:firstLine="480"/>
              <w:jc w:val="left"/>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根据投标人针对本项目提供的服务质量监督措施进行评分，措施内容至少包括：①服务投诉处理办法②服务监督措施③争议处理④赔款滞纳金等。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方案内容针对本项目且符合本项目实际需求的，每满足1项得3分，本项总分为12分</w:t>
            </w:r>
            <w:r>
              <w:rPr>
                <w:rFonts w:hint="eastAsia" w:ascii="宋体" w:hAnsi="宋体" w:eastAsia="宋体" w:cs="宋体"/>
                <w:color w:val="auto"/>
                <w:sz w:val="21"/>
                <w:szCs w:val="21"/>
                <w:highlight w:val="none"/>
                <w:lang w:eastAsia="zh-CN"/>
              </w:rPr>
              <w:t xml:space="preserve">。</w:t>
            </w:r>
            <w:r/>
          </w:p>
        </w:tc>
      </w:tr>
      <w:tr>
        <w:trPr>
          <w:jc w:val="center"/>
          <w:trHeight w:val="1554"/>
        </w:trPr>
        <w:tc>
          <w:tcPr>
            <w:tcW w:w="1187" w:type="dxa"/>
            <w:vAlign w:val="center"/>
            <w:vMerge w:val="continue"/>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zh-CN"/>
              </w:rPr>
            </w:r>
            <w:r/>
          </w:p>
        </w:tc>
        <w:tc>
          <w:tcPr>
            <w:tcW w:w="1266"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bCs/>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en-US"/>
              </w:rPr>
              <w:t xml:space="preserve">培训方案（</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zh-CN"/>
              </w:rPr>
              <w:t xml:space="preserve">根据投标人针对本项目提供的培训方案进行评分，方案内容至少包括：①回访制度②培训内容及时间计划③定期沟通。</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方案内容针对本项目且符合本项目实际需求的，每满足1项得3分，本项总分为9分</w:t>
            </w:r>
            <w:r>
              <w:rPr>
                <w:rFonts w:hint="eastAsia" w:ascii="宋体" w:hAnsi="宋体" w:eastAsia="宋体" w:cs="宋体"/>
                <w:color w:val="auto"/>
                <w:sz w:val="21"/>
                <w:szCs w:val="21"/>
                <w:highlight w:val="none"/>
                <w:lang w:eastAsia="zh-CN"/>
              </w:rPr>
              <w:t xml:space="preserve">。</w:t>
            </w:r>
            <w:r/>
          </w:p>
        </w:tc>
      </w:tr>
      <w:tr>
        <w:trPr>
          <w:jc w:val="center"/>
        </w:trPr>
        <w:tc>
          <w:tcPr>
            <w:tcW w:w="1187"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t xml:space="preserve">人员配备（</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eastAsia="en-US"/>
              </w:rPr>
              <w:t xml:space="preserve">）</w:t>
            </w:r>
            <w:r/>
          </w:p>
        </w:tc>
        <w:tc>
          <w:tcPr>
            <w:tcW w:w="1266"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bCs/>
                <w:color w:val="auto"/>
                <w:sz w:val="21"/>
                <w:szCs w:val="21"/>
                <w:highlight w:val="none"/>
                <w:lang w:eastAsia="zh-CN"/>
              </w:rPr>
              <w:t xml:space="preserve">服务团队匹配情况（</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eastAsia="zh-CN"/>
              </w:rPr>
              <w:t xml:space="preserve">）</w:t>
            </w:r>
            <w:r/>
          </w:p>
        </w:tc>
        <w:tc>
          <w:tcPr>
            <w:tcW w:w="7161" w:type="dxa"/>
            <w:vAlign w:val="top"/>
            <w:textDirection w:val="lrTb"/>
            <w:noWrap w:val="false"/>
          </w:tcPr>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根据投标人针对本项目成立的专门服务团队进行评分，服务团队实行专管专营、整合资源、明晰职责、强化对接、加强沟通和协作，确保保险项目的有序开展。措施内容至少包括：①专管专营措施内容，②整合资源措施内容，③明晰职责措施内容，④强化对接、加强沟通和协作措施内容。方案内容针对本项目且符合本项目实际需求的，每满足1项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分，最高得8分。</w:t>
            </w:r>
            <w:r/>
          </w:p>
        </w:tc>
      </w:tr>
      <w:tr>
        <w:trPr>
          <w:jc w:val="center"/>
        </w:trPr>
        <w:tc>
          <w:tcPr>
            <w:tcW w:w="1187" w:type="dxa"/>
            <w:vAlign w:val="center"/>
            <w:vMerge w:val="restart"/>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
                <w:bCs w:val="0"/>
                <w:color w:val="auto"/>
                <w:sz w:val="21"/>
                <w:szCs w:val="21"/>
                <w:highlight w:val="none"/>
                <w:lang w:eastAsia="en-US"/>
              </w:rPr>
              <w:t xml:space="preserve">履约能力（</w:t>
            </w:r>
            <w:r>
              <w:rPr>
                <w:rFonts w:hint="eastAsia" w:ascii="宋体" w:hAnsi="宋体" w:eastAsia="宋体" w:cs="宋体"/>
                <w:b/>
                <w:bCs w:val="0"/>
                <w:color w:val="auto"/>
                <w:sz w:val="21"/>
                <w:szCs w:val="21"/>
                <w:highlight w:val="none"/>
                <w:lang w:val="en-US" w:eastAsia="zh-CN"/>
              </w:rPr>
              <w:t xml:space="preserve">27</w:t>
            </w:r>
            <w:r>
              <w:rPr>
                <w:rFonts w:hint="eastAsia" w:ascii="宋体" w:hAnsi="宋体" w:eastAsia="宋体" w:cs="宋体"/>
                <w:b/>
                <w:bCs w:val="0"/>
                <w:color w:val="auto"/>
                <w:sz w:val="21"/>
                <w:szCs w:val="21"/>
                <w:highlight w:val="none"/>
                <w:lang w:eastAsia="en-US"/>
              </w:rPr>
              <w:t xml:space="preserve">）</w:t>
            </w:r>
            <w:r/>
          </w:p>
        </w:tc>
        <w:tc>
          <w:tcPr>
            <w:tcW w:w="1266"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en-US"/>
              </w:rPr>
              <w:t xml:space="preserve">类似项目业绩（</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lang w:eastAsia="zh-CN"/>
              </w:rPr>
              <w:t xml:space="preserve">投标单位202</w:t>
            </w:r>
            <w:r>
              <w:rPr>
                <w:rFonts w:hint="eastAsia" w:ascii="宋体" w:hAnsi="宋体" w:eastAsia="宋体" w:cs="宋体"/>
                <w:color w:val="auto"/>
                <w:sz w:val="21"/>
                <w:szCs w:val="21"/>
                <w:highlight w:val="none"/>
                <w:lang w:val="en-US" w:eastAsia="zh-CN"/>
              </w:rPr>
              <w:t xml:space="preserve">3年1月1日</w:t>
            </w:r>
            <w:r>
              <w:rPr>
                <w:rFonts w:hint="eastAsia" w:ascii="宋体" w:hAnsi="宋体" w:eastAsia="宋体" w:cs="宋体"/>
                <w:color w:val="auto"/>
                <w:sz w:val="21"/>
                <w:szCs w:val="21"/>
                <w:highlight w:val="none"/>
                <w:lang w:eastAsia="zh-CN"/>
              </w:rPr>
              <w:t xml:space="preserve">以来（以合同签订日期或保单核发日期为准）承保的类似</w:t>
            </w:r>
            <w:r>
              <w:rPr>
                <w:rFonts w:hint="eastAsia" w:ascii="Times New Roman" w:hAnsi="宋体" w:eastAsia="宋体" w:cs="Times New Roman"/>
                <w:bCs/>
                <w:color w:val="auto"/>
                <w:sz w:val="21"/>
                <w:szCs w:val="21"/>
                <w:highlight w:val="none"/>
              </w:rPr>
              <w:t xml:space="preserve">人身保险</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lang w:val="en-US" w:eastAsia="zh-CN"/>
              </w:rPr>
              <w:t xml:space="preserve">有一个</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分，最多得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分。同一保险或服务项目的数量不重复计算。（提供保单或合同的扫描件并加盖公章，不提供不得分）。</w:t>
            </w:r>
            <w:r/>
          </w:p>
        </w:tc>
      </w:tr>
      <w:tr>
        <w:trPr>
          <w:jc w:val="center"/>
        </w:trPr>
        <w:tc>
          <w:tcPr>
            <w:tcW w:w="1187" w:type="dxa"/>
            <w:vAlign w:val="center"/>
            <w:vMerge w:val="continue"/>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266"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bCs/>
                <w:color w:val="auto"/>
                <w:sz w:val="21"/>
                <w:szCs w:val="21"/>
                <w:highlight w:val="none"/>
                <w:lang w:eastAsia="zh-CN"/>
              </w:rPr>
              <w:t xml:space="preserve">综合</w:t>
            </w:r>
            <w:r>
              <w:rPr>
                <w:rFonts w:hint="eastAsia" w:ascii="宋体" w:hAnsi="宋体" w:eastAsia="宋体" w:cs="宋体"/>
                <w:bCs/>
                <w:color w:val="auto"/>
                <w:sz w:val="21"/>
                <w:szCs w:val="21"/>
                <w:highlight w:val="none"/>
                <w:lang w:eastAsia="en-US"/>
              </w:rPr>
              <w:t xml:space="preserve">偿付能力（</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lang w:eastAsia="en-US"/>
              </w:rPr>
              <w:t xml:space="preserve">）</w:t>
            </w:r>
            <w:r/>
          </w:p>
        </w:tc>
        <w:tc>
          <w:tcPr>
            <w:tcW w:w="7161" w:type="dxa"/>
            <w:vAlign w:val="top"/>
            <w:textDirection w:val="lrTb"/>
            <w:noWrap w:val="false"/>
          </w:tcPr>
          <w:p>
            <w:pPr>
              <w:ind w:left="0" w:right="0" w:firstLine="412"/>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pacing w:val="-2"/>
                <w:sz w:val="21"/>
                <w:szCs w:val="21"/>
                <w:highlight w:val="none"/>
                <w:lang w:eastAsia="en-US"/>
              </w:rPr>
              <w:t xml:space="preserve">根据《保险公司偿付能力监管规则(第1号一第17号)》</w:t>
            </w:r>
            <w:r>
              <w:rPr>
                <w:rFonts w:hint="eastAsia" w:ascii="宋体" w:hAnsi="宋体" w:eastAsia="宋体" w:cs="宋体"/>
                <w:color w:val="auto"/>
                <w:spacing w:val="-1"/>
                <w:sz w:val="21"/>
                <w:szCs w:val="21"/>
                <w:highlight w:val="none"/>
                <w:lang w:eastAsia="en-US"/>
              </w:rPr>
              <w:t xml:space="preserve">规定，要求披露公司的偿付能力数据(官网定期公</w:t>
            </w:r>
            <w:r>
              <w:rPr>
                <w:rFonts w:hint="eastAsia" w:ascii="宋体" w:hAnsi="宋体" w:eastAsia="宋体" w:cs="宋体"/>
                <w:color w:val="auto"/>
                <w:spacing w:val="-2"/>
                <w:sz w:val="21"/>
                <w:szCs w:val="21"/>
                <w:highlight w:val="none"/>
                <w:lang w:eastAsia="en-US"/>
              </w:rPr>
              <w:t xml:space="preserve">布)。</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2"/>
                <w:sz w:val="21"/>
                <w:szCs w:val="21"/>
                <w:highlight w:val="none"/>
                <w:lang w:eastAsia="en-US"/>
              </w:rPr>
              <w:t xml:space="preserve">根据投标单位或投标单位总公司202</w:t>
            </w:r>
            <w:r>
              <w:rPr>
                <w:rFonts w:hint="eastAsia" w:ascii="宋体" w:hAnsi="宋体" w:eastAsia="宋体" w:cs="宋体"/>
                <w:color w:val="auto"/>
                <w:spacing w:val="2"/>
                <w:sz w:val="21"/>
                <w:szCs w:val="21"/>
                <w:highlight w:val="none"/>
                <w:lang w:val="en-US" w:eastAsia="zh-CN"/>
              </w:rPr>
              <w:t xml:space="preserve">6</w:t>
            </w:r>
            <w:r>
              <w:rPr>
                <w:rFonts w:hint="eastAsia" w:ascii="宋体" w:hAnsi="宋体" w:eastAsia="宋体" w:cs="宋体"/>
                <w:color w:val="auto"/>
                <w:spacing w:val="2"/>
                <w:sz w:val="21"/>
                <w:szCs w:val="21"/>
                <w:highlight w:val="none"/>
                <w:lang w:eastAsia="en-US"/>
              </w:rPr>
              <w:t xml:space="preserve">年已披露的第一季度的综合偿付能力充足率进行评审：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pacing w:val="-7"/>
                <w:sz w:val="21"/>
                <w:szCs w:val="21"/>
                <w:highlight w:val="none"/>
                <w:lang w:eastAsia="en-US"/>
              </w:rPr>
              <w:suppressLineNumbers w:val="0"/>
            </w:pPr>
            <w:r>
              <w:rPr>
                <w:rFonts w:hint="eastAsia" w:ascii="宋体" w:hAnsi="宋体" w:eastAsia="宋体" w:cs="宋体"/>
                <w:color w:val="auto"/>
                <w:sz w:val="21"/>
                <w:szCs w:val="21"/>
                <w:highlight w:val="none"/>
                <w:lang w:eastAsia="en-US"/>
              </w:rPr>
              <w:t xml:space="preserve">1)</w:t>
            </w:r>
            <w:r>
              <w:rPr>
                <w:rFonts w:hint="eastAsia" w:ascii="宋体" w:hAnsi="宋体" w:eastAsia="宋体" w:cs="宋体"/>
                <w:color w:val="auto"/>
                <w:spacing w:val="2"/>
                <w:sz w:val="21"/>
                <w:szCs w:val="21"/>
                <w:highlight w:val="none"/>
                <w:lang w:eastAsia="en-US"/>
              </w:rPr>
              <w:t xml:space="preserve">202</w:t>
            </w:r>
            <w:r>
              <w:rPr>
                <w:rFonts w:hint="eastAsia" w:ascii="宋体" w:hAnsi="宋体" w:eastAsia="宋体" w:cs="宋体"/>
                <w:color w:val="auto"/>
                <w:spacing w:val="2"/>
                <w:sz w:val="21"/>
                <w:szCs w:val="21"/>
                <w:highlight w:val="none"/>
                <w:lang w:val="en-US" w:eastAsia="zh-CN"/>
              </w:rPr>
              <w:t xml:space="preserve">6</w:t>
            </w:r>
            <w:r>
              <w:rPr>
                <w:rFonts w:hint="eastAsia" w:ascii="宋体" w:hAnsi="宋体" w:eastAsia="宋体" w:cs="宋体"/>
                <w:color w:val="auto"/>
                <w:sz w:val="21"/>
                <w:szCs w:val="21"/>
                <w:highlight w:val="none"/>
                <w:lang w:eastAsia="en-US"/>
              </w:rPr>
              <w:t xml:space="preserve">年一季度综合偿付能力充足率≥230%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en-US"/>
              </w:rPr>
              <w:t xml:space="preserve">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pacing w:val="-7"/>
                <w:sz w:val="21"/>
                <w:szCs w:val="21"/>
                <w:highlight w:val="none"/>
                <w:lang w:eastAsia="en-US"/>
              </w:rPr>
              <w:t xml:space="preserve">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t xml:space="preserve">2)2</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eastAsia="en-US"/>
              </w:rPr>
              <w:t xml:space="preserve">%</w:t>
            </w:r>
            <w:r>
              <w:rPr>
                <w:rFonts w:hint="eastAsia" w:ascii="宋体" w:hAnsi="宋体" w:cs="宋体"/>
                <w:color w:val="auto"/>
                <w:sz w:val="21"/>
                <w:szCs w:val="21"/>
                <w:highlight w:val="none"/>
              </w:rPr>
              <w:t xml:space="preserve">≤</w:t>
            </w:r>
            <w:r>
              <w:rPr>
                <w:rFonts w:hint="eastAsia" w:ascii="宋体" w:hAnsi="宋体" w:eastAsia="宋体" w:cs="宋体"/>
                <w:color w:val="auto"/>
                <w:spacing w:val="2"/>
                <w:sz w:val="21"/>
                <w:szCs w:val="21"/>
                <w:highlight w:val="none"/>
                <w:lang w:eastAsia="en-US"/>
              </w:rPr>
              <w:t xml:space="preserve">202</w:t>
            </w:r>
            <w:r>
              <w:rPr>
                <w:rFonts w:hint="eastAsia" w:ascii="宋体" w:hAnsi="宋体" w:eastAsia="宋体" w:cs="宋体"/>
                <w:color w:val="auto"/>
                <w:spacing w:val="2"/>
                <w:sz w:val="21"/>
                <w:szCs w:val="21"/>
                <w:highlight w:val="none"/>
                <w:lang w:val="en-US" w:eastAsia="zh-CN"/>
              </w:rPr>
              <w:t xml:space="preserve">6</w:t>
            </w:r>
            <w:r>
              <w:rPr>
                <w:rFonts w:hint="eastAsia" w:ascii="宋体" w:hAnsi="宋体" w:eastAsia="宋体" w:cs="宋体"/>
                <w:color w:val="auto"/>
                <w:sz w:val="21"/>
                <w:szCs w:val="21"/>
                <w:highlight w:val="none"/>
                <w:lang w:eastAsia="en-US"/>
              </w:rPr>
              <w:t xml:space="preserve">年一季度综合偿付能力充足率</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lang w:eastAsia="en-US"/>
              </w:rPr>
              <w:t xml:space="preserve">230%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15"/>
                <w:sz w:val="21"/>
                <w:szCs w:val="21"/>
                <w:highlight w:val="none"/>
                <w:lang w:eastAsia="en-US"/>
              </w:rPr>
              <w:t xml:space="preserve">得</w:t>
            </w:r>
            <w:r>
              <w:rPr>
                <w:rFonts w:hint="eastAsia" w:ascii="宋体" w:hAnsi="宋体" w:eastAsia="宋体" w:cs="宋体"/>
                <w:color w:val="auto"/>
                <w:spacing w:val="15"/>
                <w:sz w:val="21"/>
                <w:szCs w:val="21"/>
                <w:highlight w:val="none"/>
                <w:lang w:val="en-US" w:eastAsia="zh-CN"/>
              </w:rPr>
              <w:t xml:space="preserve">6</w:t>
            </w:r>
            <w:r>
              <w:rPr>
                <w:rFonts w:hint="eastAsia" w:ascii="宋体" w:hAnsi="宋体" w:eastAsia="宋体" w:cs="宋体"/>
                <w:color w:val="auto"/>
                <w:spacing w:val="15"/>
                <w:sz w:val="21"/>
                <w:szCs w:val="21"/>
                <w:highlight w:val="none"/>
                <w:lang w:eastAsia="en-US"/>
              </w:rPr>
              <w:t xml:space="preserve">分；</w:t>
            </w:r>
            <w:r/>
          </w:p>
          <w:p>
            <w:pPr>
              <w:ind w:left="0" w:right="0" w:firstLine="428"/>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pacing w:val="2"/>
                <w:sz w:val="21"/>
                <w:szCs w:val="21"/>
                <w:highlight w:val="none"/>
                <w:lang w:eastAsia="en-US"/>
              </w:rPr>
              <w:t xml:space="preserve">3)2</w:t>
            </w:r>
            <w:r>
              <w:rPr>
                <w:rFonts w:hint="eastAsia" w:ascii="宋体" w:hAnsi="宋体" w:eastAsia="宋体" w:cs="宋体"/>
                <w:color w:val="auto"/>
                <w:spacing w:val="2"/>
                <w:sz w:val="21"/>
                <w:szCs w:val="21"/>
                <w:highlight w:val="none"/>
                <w:lang w:val="en-US" w:eastAsia="zh-CN"/>
              </w:rPr>
              <w:t xml:space="preserve">10</w:t>
            </w:r>
            <w:r>
              <w:rPr>
                <w:rFonts w:hint="eastAsia" w:ascii="宋体" w:hAnsi="宋体" w:eastAsia="宋体" w:cs="宋体"/>
                <w:color w:val="auto"/>
                <w:spacing w:val="2"/>
                <w:sz w:val="21"/>
                <w:szCs w:val="21"/>
                <w:highlight w:val="none"/>
                <w:lang w:eastAsia="en-US"/>
              </w:rPr>
              <w:t xml:space="preserve">%</w:t>
            </w:r>
            <w:r>
              <w:rPr>
                <w:rFonts w:hint="eastAsia" w:ascii="宋体" w:hAnsi="宋体" w:cs="宋体"/>
                <w:color w:val="auto"/>
                <w:sz w:val="21"/>
                <w:szCs w:val="21"/>
                <w:highlight w:val="none"/>
              </w:rPr>
              <w:t xml:space="preserve">≤</w:t>
            </w:r>
            <w:r>
              <w:rPr>
                <w:rFonts w:hint="eastAsia" w:ascii="宋体" w:hAnsi="宋体" w:eastAsia="宋体" w:cs="宋体"/>
                <w:color w:val="auto"/>
                <w:spacing w:val="2"/>
                <w:sz w:val="21"/>
                <w:szCs w:val="21"/>
                <w:highlight w:val="none"/>
                <w:lang w:eastAsia="en-US"/>
              </w:rPr>
              <w:t xml:space="preserve">202</w:t>
            </w:r>
            <w:r>
              <w:rPr>
                <w:rFonts w:hint="eastAsia" w:ascii="宋体" w:hAnsi="宋体" w:eastAsia="宋体" w:cs="宋体"/>
                <w:color w:val="auto"/>
                <w:spacing w:val="2"/>
                <w:sz w:val="21"/>
                <w:szCs w:val="21"/>
                <w:highlight w:val="none"/>
                <w:lang w:val="en-US" w:eastAsia="zh-CN"/>
              </w:rPr>
              <w:t xml:space="preserve">6</w:t>
            </w:r>
            <w:r>
              <w:rPr>
                <w:rFonts w:hint="eastAsia" w:ascii="宋体" w:hAnsi="宋体" w:eastAsia="宋体" w:cs="宋体"/>
                <w:color w:val="auto"/>
                <w:spacing w:val="2"/>
                <w:sz w:val="21"/>
                <w:szCs w:val="21"/>
                <w:highlight w:val="none"/>
                <w:lang w:eastAsia="en-US"/>
              </w:rPr>
              <w:t xml:space="preserve">年一季度综合偿付能力充足率</w:t>
            </w:r>
            <w:r>
              <w:rPr>
                <w:rFonts w:hint="eastAsia" w:ascii="宋体" w:hAnsi="宋体" w:cs="宋体"/>
                <w:color w:val="auto"/>
                <w:sz w:val="21"/>
                <w:szCs w:val="21"/>
                <w:highlight w:val="none"/>
              </w:rPr>
              <w:t xml:space="preserve">＜</w:t>
            </w:r>
            <w:r>
              <w:rPr>
                <w:rFonts w:hint="eastAsia" w:ascii="宋体" w:hAnsi="宋体" w:eastAsia="宋体" w:cs="宋体"/>
                <w:color w:val="auto"/>
                <w:spacing w:val="2"/>
                <w:sz w:val="21"/>
                <w:szCs w:val="21"/>
                <w:highlight w:val="none"/>
                <w:lang w:eastAsia="en-US"/>
              </w:rPr>
              <w:t xml:space="preserve">2</w:t>
            </w:r>
            <w:r>
              <w:rPr>
                <w:rFonts w:hint="eastAsia" w:ascii="宋体" w:hAnsi="宋体" w:eastAsia="宋体" w:cs="宋体"/>
                <w:color w:val="auto"/>
                <w:spacing w:val="2"/>
                <w:sz w:val="21"/>
                <w:szCs w:val="21"/>
                <w:highlight w:val="none"/>
                <w:lang w:val="en-US" w:eastAsia="zh-CN"/>
              </w:rPr>
              <w:t xml:space="preserve">20</w:t>
            </w:r>
            <w:r>
              <w:rPr>
                <w:rFonts w:hint="eastAsia" w:ascii="宋体" w:hAnsi="宋体" w:eastAsia="宋体" w:cs="宋体"/>
                <w:color w:val="auto"/>
                <w:spacing w:val="1"/>
                <w:sz w:val="21"/>
                <w:szCs w:val="21"/>
                <w:highlight w:val="none"/>
                <w:lang w:eastAsia="en-US"/>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pacing w:val="15"/>
                <w:sz w:val="21"/>
                <w:szCs w:val="21"/>
                <w:highlight w:val="none"/>
                <w:lang w:eastAsia="en-US"/>
              </w:rPr>
              <w:t xml:space="preserve">得</w:t>
            </w:r>
            <w:r>
              <w:rPr>
                <w:rFonts w:hint="eastAsia" w:ascii="宋体" w:hAnsi="宋体" w:eastAsia="宋体" w:cs="宋体"/>
                <w:color w:val="auto"/>
                <w:spacing w:val="15"/>
                <w:sz w:val="21"/>
                <w:szCs w:val="21"/>
                <w:highlight w:val="none"/>
                <w:lang w:val="en-US" w:eastAsia="zh-CN"/>
              </w:rPr>
              <w:t xml:space="preserve">2</w:t>
            </w:r>
            <w:r>
              <w:rPr>
                <w:rFonts w:hint="eastAsia" w:ascii="宋体" w:hAnsi="宋体" w:eastAsia="宋体" w:cs="宋体"/>
                <w:color w:val="auto"/>
                <w:spacing w:val="15"/>
                <w:sz w:val="21"/>
                <w:szCs w:val="21"/>
                <w:highlight w:val="none"/>
                <w:lang w:eastAsia="en-US"/>
              </w:rPr>
              <w:t xml:space="preserve">分；</w:t>
            </w:r>
            <w:r/>
          </w:p>
          <w:p>
            <w:pPr>
              <w:ind w:left="0" w:right="0" w:firstLine="428"/>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pacing w:val="2"/>
                <w:sz w:val="21"/>
                <w:szCs w:val="21"/>
                <w:highlight w:val="none"/>
                <w:lang w:eastAsia="en-US"/>
              </w:rPr>
              <w:t xml:space="preserve">4)202</w:t>
            </w:r>
            <w:r>
              <w:rPr>
                <w:rFonts w:hint="eastAsia" w:ascii="宋体" w:hAnsi="宋体" w:eastAsia="宋体" w:cs="宋体"/>
                <w:color w:val="auto"/>
                <w:spacing w:val="2"/>
                <w:sz w:val="21"/>
                <w:szCs w:val="21"/>
                <w:highlight w:val="none"/>
                <w:lang w:val="en-US" w:eastAsia="zh-CN"/>
              </w:rPr>
              <w:t xml:space="preserve">6</w:t>
            </w:r>
            <w:r>
              <w:rPr>
                <w:rFonts w:hint="eastAsia" w:ascii="宋体" w:hAnsi="宋体" w:eastAsia="宋体" w:cs="宋体"/>
                <w:color w:val="auto"/>
                <w:spacing w:val="2"/>
                <w:sz w:val="21"/>
                <w:szCs w:val="21"/>
                <w:highlight w:val="none"/>
                <w:lang w:eastAsia="en-US"/>
              </w:rPr>
              <w:t xml:space="preserve">年一季度综合偿付能力充足率</w:t>
            </w:r>
            <w:r>
              <w:rPr>
                <w:rFonts w:hint="eastAsia" w:ascii="宋体" w:hAnsi="宋体" w:cs="宋体"/>
                <w:color w:val="auto"/>
                <w:sz w:val="21"/>
                <w:szCs w:val="21"/>
                <w:highlight w:val="none"/>
              </w:rPr>
              <w:t xml:space="preserve">＜</w:t>
            </w:r>
            <w:r>
              <w:rPr>
                <w:rFonts w:hint="eastAsia" w:ascii="宋体" w:hAnsi="宋体" w:eastAsia="宋体" w:cs="宋体"/>
                <w:color w:val="auto"/>
                <w:spacing w:val="2"/>
                <w:sz w:val="21"/>
                <w:szCs w:val="21"/>
                <w:highlight w:val="none"/>
                <w:lang w:eastAsia="en-US"/>
              </w:rPr>
              <w:t xml:space="preserve">2</w:t>
            </w:r>
            <w:r>
              <w:rPr>
                <w:rFonts w:hint="eastAsia" w:ascii="宋体" w:hAnsi="宋体" w:eastAsia="宋体" w:cs="宋体"/>
                <w:color w:val="auto"/>
                <w:spacing w:val="2"/>
                <w:sz w:val="21"/>
                <w:szCs w:val="21"/>
                <w:highlight w:val="none"/>
                <w:lang w:val="en-US" w:eastAsia="zh-CN"/>
              </w:rPr>
              <w:t xml:space="preserve">10</w:t>
            </w:r>
            <w:r>
              <w:rPr>
                <w:rFonts w:hint="eastAsia" w:ascii="宋体" w:hAnsi="宋体" w:eastAsia="宋体" w:cs="宋体"/>
                <w:color w:val="auto"/>
                <w:spacing w:val="1"/>
                <w:sz w:val="21"/>
                <w:szCs w:val="21"/>
                <w:highlight w:val="none"/>
                <w:lang w:eastAsia="en-US"/>
              </w:rPr>
              <w:t xml:space="preserve">%</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1"/>
                <w:sz w:val="21"/>
                <w:szCs w:val="21"/>
                <w:highlight w:val="none"/>
                <w:lang w:eastAsia="en-US"/>
              </w:rPr>
              <w:t xml:space="preserve">不得分。</w:t>
            </w:r>
            <w:r/>
          </w:p>
          <w:p>
            <w:pPr>
              <w:ind w:left="0" w:right="0" w:firstLine="424"/>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color w:val="auto"/>
                <w:spacing w:val="20"/>
                <w:sz w:val="21"/>
                <w:szCs w:val="24"/>
                <w:highlight w:val="none"/>
                <w:lang w:val="en-US" w:eastAsia="en-US" w:bidi="ar-SA"/>
              </w:rPr>
              <w:suppressLineNumbers w:val="0"/>
            </w:pPr>
            <w:r>
              <w:rPr>
                <w:rFonts w:hint="eastAsia" w:ascii="宋体" w:hAnsi="宋体" w:eastAsia="宋体" w:cs="宋体"/>
                <w:color w:val="auto"/>
                <w:spacing w:val="1"/>
                <w:sz w:val="21"/>
                <w:szCs w:val="21"/>
                <w:highlight w:val="none"/>
                <w:lang w:val="en-US" w:eastAsia="en-US" w:bidi="ar-SA"/>
              </w:rPr>
              <w:t xml:space="preserve">注：提供投标单位总公司发布的</w:t>
            </w:r>
            <w:r>
              <w:rPr>
                <w:rFonts w:hint="eastAsia" w:ascii="宋体" w:hAnsi="宋体" w:eastAsia="宋体" w:cs="宋体"/>
                <w:color w:val="auto"/>
                <w:spacing w:val="2"/>
                <w:sz w:val="21"/>
                <w:szCs w:val="21"/>
                <w:highlight w:val="none"/>
                <w:lang w:val="en-US" w:eastAsia="en-US" w:bidi="ar-SA"/>
              </w:rPr>
              <w:t xml:space="preserve">202</w:t>
            </w:r>
            <w:r>
              <w:rPr>
                <w:rFonts w:hint="eastAsia" w:ascii="宋体" w:hAnsi="宋体" w:eastAsia="宋体" w:cs="宋体"/>
                <w:color w:val="auto"/>
                <w:spacing w:val="2"/>
                <w:sz w:val="21"/>
                <w:szCs w:val="21"/>
                <w:highlight w:val="none"/>
                <w:lang w:val="en-US" w:eastAsia="zh-CN" w:bidi="ar-SA"/>
              </w:rPr>
              <w:t xml:space="preserve">6</w:t>
            </w:r>
            <w:r>
              <w:rPr>
                <w:rFonts w:hint="eastAsia" w:ascii="宋体" w:hAnsi="宋体" w:eastAsia="宋体" w:cs="宋体"/>
                <w:color w:val="auto"/>
                <w:spacing w:val="1"/>
                <w:sz w:val="21"/>
                <w:szCs w:val="21"/>
                <w:highlight w:val="none"/>
                <w:lang w:val="en-US" w:eastAsia="en-US" w:bidi="ar-SA"/>
              </w:rPr>
              <w:t xml:space="preserve">年1季度偿付能力</w:t>
            </w:r>
            <w:r>
              <w:rPr>
                <w:rFonts w:hint="eastAsia" w:ascii="宋体" w:hAnsi="宋体" w:eastAsia="宋体" w:cs="宋体"/>
                <w:color w:val="auto"/>
                <w:spacing w:val="-1"/>
                <w:sz w:val="21"/>
                <w:szCs w:val="21"/>
                <w:highlight w:val="none"/>
                <w:lang w:val="en-US" w:eastAsia="en-US" w:bidi="ar-SA"/>
              </w:rPr>
              <w:t xml:space="preserve">情况证明材料扫描件并加盖公章。</w:t>
            </w:r>
            <w:r/>
          </w:p>
        </w:tc>
      </w:tr>
      <w:tr>
        <w:trPr>
          <w:jc w:val="center"/>
          <w:trHeight w:val="1739"/>
        </w:trPr>
        <w:tc>
          <w:tcPr>
            <w:tcW w:w="1187" w:type="dxa"/>
            <w:vAlign w:val="center"/>
            <w:vMerge w:val="continue"/>
            <w:textDirection w:val="lrTb"/>
            <w:noWrap w:val="false"/>
          </w:tcPr>
          <w:p>
            <w:pPr>
              <w:ind w:left="0" w:right="0"/>
              <w:jc w:val="center"/>
              <w:keepLines w:val="0"/>
              <w:keepNext w:val="0"/>
              <w:pageBreakBefore w:val="0"/>
              <w:spacing w:before="0" w:beforeAutospacing="0" w:after="20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1266" w:type="dxa"/>
            <w:vAlign w:val="center"/>
            <w:textDirection w:val="lrTb"/>
            <w:noWrap w:val="false"/>
          </w:tcPr>
          <w:p>
            <w:pPr>
              <w:ind w:left="0" w:right="0"/>
              <w:jc w:val="center"/>
              <w:keepLines w:val="0"/>
              <w:keepNext w:val="0"/>
              <w:pageBreakBefore w:val="0"/>
              <w:spacing w:before="0" w:beforeAutospacing="0" w:after="200" w:afterAutospacing="0" w:line="360" w:lineRule="auto"/>
              <w:widowControl/>
              <w:rPr>
                <w:rFonts w:hint="default" w:ascii="宋体" w:hAnsi="宋体" w:eastAsia="宋体" w:cs="宋体"/>
                <w:color w:val="auto"/>
                <w:sz w:val="21"/>
                <w:szCs w:val="21"/>
                <w:highlight w:val="none"/>
                <w:lang w:val="en-US" w:eastAsia="en-US"/>
              </w:rPr>
              <w:suppressLineNumbers w:val="0"/>
            </w:pPr>
            <w:r>
              <w:rPr>
                <w:rFonts w:hint="eastAsia" w:ascii="宋体" w:hAnsi="宋体" w:eastAsia="宋体" w:cs="宋体"/>
                <w:bCs/>
                <w:color w:val="auto"/>
                <w:sz w:val="21"/>
                <w:szCs w:val="21"/>
                <w:highlight w:val="none"/>
                <w:lang w:val="en-US" w:eastAsia="zh-CN"/>
              </w:rPr>
              <w:t xml:space="preserve">服务网络（10）</w:t>
            </w:r>
            <w:r/>
          </w:p>
        </w:tc>
        <w:tc>
          <w:tcPr>
            <w:tcW w:w="7161" w:type="dxa"/>
            <w:vAlign w:val="top"/>
            <w:textDirection w:val="lrTb"/>
            <w:noWrap w:val="false"/>
          </w:tcPr>
          <w:p>
            <w:pPr>
              <w:ind w:left="0" w:right="0" w:firstLine="396"/>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pacing w:val="-6"/>
                <w:sz w:val="21"/>
                <w:szCs w:val="21"/>
                <w:highlight w:val="none"/>
              </w:rPr>
              <w:t xml:space="preserve">投标单位分(支)公司或分支机构在项目所</w:t>
            </w:r>
            <w:r>
              <w:rPr>
                <w:rFonts w:hint="eastAsia" w:ascii="宋体" w:hAnsi="宋体" w:eastAsia="宋体" w:cs="宋体"/>
                <w:color w:val="auto"/>
                <w:spacing w:val="-7"/>
                <w:sz w:val="21"/>
                <w:szCs w:val="21"/>
                <w:highlight w:val="none"/>
              </w:rPr>
              <w:t xml:space="preserve">在区域(太仓市</w:t>
            </w:r>
            <w:r>
              <w:rPr>
                <w:rFonts w:hint="eastAsia" w:ascii="宋体" w:hAnsi="宋体" w:eastAsia="宋体" w:cs="宋体"/>
                <w:color w:val="auto"/>
                <w:spacing w:val="-9"/>
                <w:sz w:val="21"/>
                <w:szCs w:val="21"/>
                <w:highlight w:val="none"/>
              </w:rPr>
              <w:t xml:space="preserve">范围内)服务网点建设情况：服务网点数量为1-</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3"/>
                <w:sz w:val="21"/>
                <w:szCs w:val="21"/>
                <w:highlight w:val="none"/>
              </w:rPr>
              <w:t xml:space="preserve">家的得</w:t>
            </w:r>
            <w:r>
              <w:rPr>
                <w:rFonts w:hint="eastAsia" w:ascii="宋体" w:hAnsi="宋体" w:eastAsia="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分，服务网点数量为</w:t>
            </w:r>
            <w:r>
              <w:rPr>
                <w:rFonts w:hint="eastAsia" w:ascii="宋体" w:hAnsi="宋体" w:eastAsia="宋体" w:cs="宋体"/>
                <w:color w:val="auto"/>
                <w:spacing w:val="3"/>
                <w:sz w:val="21"/>
                <w:szCs w:val="21"/>
                <w:highlight w:val="none"/>
                <w:lang w:val="en-US" w:eastAsia="zh-CN"/>
              </w:rPr>
              <w:t xml:space="preserve">6</w:t>
            </w: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pacing w:val="3"/>
                <w:sz w:val="21"/>
                <w:szCs w:val="21"/>
                <w:highlight w:val="none"/>
                <w:lang w:val="en-US" w:eastAsia="zh-CN"/>
              </w:rPr>
              <w:t xml:space="preserve">10</w:t>
            </w:r>
            <w:r>
              <w:rPr>
                <w:rFonts w:hint="eastAsia" w:ascii="宋体" w:hAnsi="宋体" w:eastAsia="宋体" w:cs="宋体"/>
                <w:color w:val="auto"/>
                <w:spacing w:val="3"/>
                <w:sz w:val="21"/>
                <w:szCs w:val="21"/>
                <w:highlight w:val="none"/>
              </w:rPr>
              <w:t xml:space="preserve">家的得</w:t>
            </w:r>
            <w:r>
              <w:rPr>
                <w:rFonts w:hint="eastAsia" w:ascii="宋体" w:hAnsi="宋体" w:eastAsia="宋体" w:cs="宋体"/>
                <w:color w:val="auto"/>
                <w:spacing w:val="3"/>
                <w:sz w:val="21"/>
                <w:szCs w:val="21"/>
                <w:highlight w:val="none"/>
                <w:lang w:val="en-US" w:eastAsia="zh-CN"/>
              </w:rPr>
              <w:t xml:space="preserve">6</w:t>
            </w:r>
            <w:r>
              <w:rPr>
                <w:rFonts w:hint="eastAsia" w:ascii="宋体" w:hAnsi="宋体" w:eastAsia="宋体" w:cs="宋体"/>
                <w:color w:val="auto"/>
                <w:spacing w:val="-1"/>
                <w:sz w:val="21"/>
                <w:szCs w:val="21"/>
                <w:highlight w:val="none"/>
              </w:rPr>
              <w:t xml:space="preserve">分，服务网点数量</w:t>
            </w:r>
            <w:r>
              <w:rPr>
                <w:rFonts w:hint="eastAsia" w:ascii="宋体" w:hAnsi="宋体" w:eastAsia="宋体" w:cs="宋体"/>
                <w:color w:val="auto"/>
                <w:spacing w:val="-1"/>
                <w:sz w:val="21"/>
                <w:szCs w:val="21"/>
                <w:highlight w:val="none"/>
                <w:lang w:val="en-US" w:eastAsia="zh-CN"/>
              </w:rPr>
              <w:t xml:space="preserve">10</w:t>
            </w:r>
            <w:r>
              <w:rPr>
                <w:rFonts w:hint="eastAsia" w:ascii="宋体" w:hAnsi="宋体" w:eastAsia="宋体" w:cs="宋体"/>
                <w:color w:val="auto"/>
                <w:spacing w:val="-1"/>
                <w:sz w:val="21"/>
                <w:szCs w:val="21"/>
                <w:highlight w:val="none"/>
              </w:rPr>
              <w:t xml:space="preserve">家以上的得</w:t>
            </w:r>
            <w:r>
              <w:rPr>
                <w:rFonts w:hint="eastAsia" w:ascii="宋体" w:hAnsi="宋体" w:eastAsia="宋体" w:cs="宋体"/>
                <w:color w:val="auto"/>
                <w:spacing w:val="-1"/>
                <w:sz w:val="21"/>
                <w:szCs w:val="21"/>
                <w:highlight w:val="none"/>
                <w:lang w:val="en-US" w:eastAsia="zh-CN"/>
              </w:rPr>
              <w:t xml:space="preserve">10</w:t>
            </w:r>
            <w:r>
              <w:rPr>
                <w:rFonts w:hint="eastAsia" w:ascii="宋体" w:hAnsi="宋体" w:eastAsia="宋体" w:cs="宋体"/>
                <w:color w:val="auto"/>
                <w:spacing w:val="-1"/>
                <w:sz w:val="21"/>
                <w:szCs w:val="21"/>
                <w:highlight w:val="none"/>
              </w:rPr>
              <w:t xml:space="preserve">分</w:t>
            </w:r>
            <w:r>
              <w:rPr>
                <w:rFonts w:hint="eastAsia" w:ascii="宋体" w:hAnsi="宋体" w:eastAsia="宋体" w:cs="宋体"/>
                <w:color w:val="auto"/>
                <w:spacing w:val="-1"/>
                <w:sz w:val="21"/>
                <w:szCs w:val="21"/>
                <w:highlight w:val="none"/>
                <w:lang w:eastAsia="zh-CN"/>
              </w:rPr>
              <w:t xml:space="preserve">，</w:t>
            </w:r>
            <w:r>
              <w:rPr>
                <w:rFonts w:hint="eastAsia" w:ascii="宋体" w:hAnsi="宋体" w:eastAsia="宋体" w:cs="宋体"/>
                <w:color w:val="auto"/>
                <w:spacing w:val="-7"/>
                <w:sz w:val="21"/>
                <w:szCs w:val="21"/>
                <w:highlight w:val="none"/>
              </w:rPr>
              <w:t xml:space="preserve">太仓市</w:t>
            </w:r>
            <w:r>
              <w:rPr>
                <w:rFonts w:hint="eastAsia" w:ascii="宋体" w:hAnsi="宋体" w:eastAsia="宋体" w:cs="宋体"/>
                <w:color w:val="auto"/>
                <w:spacing w:val="-9"/>
                <w:sz w:val="21"/>
                <w:szCs w:val="21"/>
                <w:highlight w:val="none"/>
              </w:rPr>
              <w:t xml:space="preserve">范围内</w:t>
            </w:r>
            <w:r>
              <w:rPr>
                <w:rFonts w:hint="eastAsia" w:ascii="宋体" w:hAnsi="宋体" w:eastAsia="宋体" w:cs="宋体"/>
                <w:color w:val="auto"/>
                <w:spacing w:val="-1"/>
                <w:sz w:val="21"/>
                <w:szCs w:val="21"/>
                <w:highlight w:val="none"/>
                <w:lang w:val="en-US" w:eastAsia="zh-CN"/>
              </w:rPr>
              <w:t xml:space="preserve">没有设服务网点的投标单位不得分</w:t>
            </w:r>
            <w:r>
              <w:rPr>
                <w:rFonts w:hint="eastAsia" w:ascii="宋体" w:hAnsi="宋体" w:eastAsia="宋体" w:cs="宋体"/>
                <w:color w:val="auto"/>
                <w:spacing w:val="-1"/>
                <w:sz w:val="21"/>
                <w:szCs w:val="21"/>
                <w:highlight w:val="none"/>
              </w:rPr>
              <w:t xml:space="preserve">。(提供网</w:t>
            </w:r>
            <w:r>
              <w:rPr>
                <w:rFonts w:hint="eastAsia" w:ascii="宋体" w:hAnsi="宋体" w:eastAsia="宋体" w:cs="宋体"/>
                <w:color w:val="auto"/>
                <w:spacing w:val="8"/>
                <w:sz w:val="21"/>
                <w:szCs w:val="21"/>
                <w:highlight w:val="none"/>
              </w:rPr>
              <w:t xml:space="preserve">点营业执照并加盖公章否则不得分)</w:t>
            </w:r>
            <w:r/>
          </w:p>
        </w:tc>
      </w:tr>
    </w:tbl>
    <w:p>
      <w:pPr>
        <w:ind w:firstLine="422"/>
        <w:jc w:val="both"/>
        <w:spacing w:line="36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val="0"/>
          <w:bCs w:val="0"/>
          <w:color w:val="auto"/>
          <w:sz w:val="21"/>
          <w:szCs w:val="21"/>
          <w:highlight w:val="none"/>
          <w:lang w:val="en-US" w:eastAsia="zh-CN" w:bidi="ar-SA"/>
        </w:rPr>
        <w:t xml:space="preserve">1、报价要求、付款步骤、合同履行期限如有负偏离的不得中标。</w:t>
      </w:r>
      <w:r/>
    </w:p>
    <w:p>
      <w:pPr>
        <w:jc w:val="left"/>
        <w:spacing w:line="360" w:lineRule="auto"/>
        <w:widowControl/>
        <w:rPr>
          <w:rFonts w:hint="default"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jc w:val="left"/>
        <w:spacing w:line="360" w:lineRule="auto"/>
        <w:widowControl/>
        <w:rPr>
          <w:rFonts w:hint="default"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3、所有要求提供的扫描件字迹须清晰可见,扫描不全或字迹不清晰的，视为未提供。</w:t>
      </w:r>
      <w:r/>
    </w:p>
    <w:p>
      <w:pPr>
        <w:ind w:firstLine="422"/>
        <w:jc w:val="left"/>
        <w:spacing w:line="360" w:lineRule="auto"/>
        <w:widowControl/>
        <w:rPr>
          <w:rFonts w:hint="default"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4、防止虚假应标，招标单位保留调查的权利，并由此引发的一切调查与诉讼费用由投标方承担。</w:t>
      </w:r>
      <w:r/>
    </w:p>
    <w:p>
      <w:pPr>
        <w:ind w:firstLine="422"/>
        <w:jc w:val="left"/>
        <w:spacing w:line="360" w:lineRule="auto"/>
        <w:widowControl/>
        <w:rPr>
          <w:rFonts w:hint="default"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firstLine="211"/>
        <w:spacing w:line="4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keepLines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b/>
          <w:color w:val="auto"/>
          <w:sz w:val="30"/>
          <w:szCs w:val="30"/>
          <w:highlight w:val="none"/>
          <w:lang w:val="en-US" w:eastAsia="zh-CN" w:bidi="ar-SA"/>
        </w:rPr>
        <w:br w:type="page" w:clear="all"/>
      </w:r>
      <w:r>
        <w:rPr>
          <w:rFonts w:hint="eastAsia" w:ascii="宋体" w:hAnsi="宋体" w:eastAsia="宋体" w:cs="Times New Roman"/>
          <w:b/>
          <w:color w:val="auto"/>
          <w:sz w:val="30"/>
          <w:szCs w:val="30"/>
          <w:highlight w:val="none"/>
          <w:lang w:val="en-US" w:eastAsia="zh-CN" w:bidi="ar-SA"/>
        </w:rPr>
        <w:t xml:space="preserve">第六部分  </w:t>
      </w:r>
      <w:bookmarkEnd w:id="10"/>
      <w:r/>
      <w:bookmarkEnd w:id="11"/>
      <w:r/>
      <w:bookmarkEnd w:id="12"/>
      <w:r/>
      <w:bookmarkEnd w:id="13"/>
      <w:r>
        <w:rPr>
          <w:rFonts w:hint="eastAsia" w:ascii="宋体" w:hAnsi="宋体" w:cs="宋体"/>
          <w:b/>
          <w:bCs/>
          <w:color w:val="auto"/>
          <w:sz w:val="32"/>
          <w:szCs w:val="32"/>
          <w:highlight w:val="none"/>
        </w:rPr>
        <w:t xml:space="preserve">合同主要条款</w:t>
      </w:r>
      <w:r/>
    </w:p>
    <w:p>
      <w:pPr>
        <w:jc w:val="left"/>
        <w:keepLines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hint="eastAsia"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r>
      <w:r/>
    </w:p>
    <w:p>
      <w:pPr>
        <w:jc w:val="center"/>
        <w:widowControl/>
        <w:rPr>
          <w:rFonts w:hint="default"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t xml:space="preserve">采 购</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合</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同</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书</w:t>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960"/>
        <w:jc w:val="left"/>
        <w:spacing w:line="700" w:lineRule="exact"/>
        <w:widowControl/>
        <w:tabs>
          <w:tab w:val="left" w:pos="1276" w:leader="none"/>
        </w:tabs>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2100"/>
        <w:jc w:val="left"/>
        <w:spacing w:line="700" w:lineRule="exact"/>
        <w:widowControl/>
        <w:tabs>
          <w:tab w:val="left" w:pos="1276"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项目名称</w:t>
      </w:r>
      <w:r>
        <w:rPr>
          <w:rFonts w:hint="eastAsia" w:ascii="宋体" w:hAnsi="宋体" w:eastAsia="宋体" w:cs="Times New Roman"/>
          <w:color w:val="auto"/>
          <w:sz w:val="28"/>
          <w:szCs w:val="24"/>
          <w:highlight w:val="none"/>
          <w:lang w:eastAsia="zh-CN"/>
        </w:rPr>
        <w:t xml:space="preserve">：</w:t>
      </w:r>
      <w:r>
        <w:rPr>
          <w:rFonts w:hint="eastAsia" w:ascii="宋体" w:hAnsi="宋体" w:eastAsia="宋体" w:cs="Times New Roman"/>
          <w:color w:val="auto"/>
          <w:sz w:val="28"/>
          <w:szCs w:val="24"/>
          <w:highlight w:val="none"/>
          <w:u w:val="single"/>
          <w:lang w:val="en-US" w:eastAsia="zh-CN"/>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jc w:val="left"/>
        <w:spacing w:line="700" w:lineRule="exact"/>
        <w:widowControl/>
        <w:tabs>
          <w:tab w:val="left" w:pos="567" w:leader="none"/>
        </w:tabs>
        <w:rPr>
          <w:rFonts w:hint="default" w:ascii="宋体" w:hAnsi="宋体" w:eastAsia="宋体" w:cs="Times New Roman"/>
          <w:color w:val="auto"/>
          <w:sz w:val="28"/>
          <w:szCs w:val="24"/>
          <w:highlight w:val="none"/>
          <w:u w:val="single"/>
        </w:rPr>
      </w:pPr>
      <w:r>
        <w:rPr>
          <w:rFonts w:hint="eastAsia" w:ascii="宋体" w:hAnsi="宋体" w:eastAsia="宋体" w:cs="Times New Roman"/>
          <w:color w:val="auto"/>
          <w:sz w:val="28"/>
          <w:szCs w:val="24"/>
          <w:highlight w:val="none"/>
        </w:rPr>
        <w:t xml:space="preserve">招标单位：</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jc w:val="left"/>
        <w:spacing w:line="700" w:lineRule="exact"/>
        <w:widowControl/>
        <w:tabs>
          <w:tab w:val="left" w:pos="567"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w:t>
      </w:r>
      <w:r>
        <w:rPr>
          <w:rFonts w:hint="default" w:ascii="宋体" w:hAnsi="宋体" w:eastAsia="宋体" w:cs="Times New Roman"/>
          <w:color w:val="auto"/>
          <w:sz w:val="28"/>
          <w:szCs w:val="24"/>
          <w:highlight w:val="none"/>
          <w:u w:val="singl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4340" w:hanging="2696"/>
        <w:jc w:val="both"/>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4340" w:hanging="2696"/>
        <w:jc w:val="center"/>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1440"/>
        <w:jc w:val="both"/>
        <w:spacing w:line="700" w:lineRule="exact"/>
        <w:widowControl/>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签订日期：</w:t>
      </w:r>
      <w:r/>
    </w:p>
    <w:p>
      <w:pPr>
        <w:ind w:left="4340" w:hanging="2696"/>
        <w:jc w:val="left"/>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firstLine="480"/>
        <w:jc w:val="left"/>
        <w:widowControl/>
        <w:rPr>
          <w:rFonts w:hint="default" w:ascii="宋体" w:hAnsi="宋体" w:eastAsia="宋体" w:cs="Times New Roman"/>
          <w:color w:val="auto"/>
          <w:sz w:val="24"/>
          <w:szCs w:val="22"/>
          <w:highlight w:val="none"/>
          <w:u w:val="single"/>
        </w:rPr>
      </w:pPr>
      <w:r>
        <w:rPr>
          <w:rFonts w:hint="default" w:ascii="宋体" w:hAnsi="宋体" w:eastAsia="宋体" w:cs="Times New Roman"/>
          <w:color w:val="auto"/>
          <w:sz w:val="24"/>
          <w:szCs w:val="22"/>
          <w:highlight w:val="none"/>
          <w:u w:val="single"/>
        </w:rPr>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left"/>
        <w:spacing w:line="360" w:lineRule="auto"/>
        <w:widowControl w:val="off"/>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br w:type="page" w:clear="all"/>
      </w:r>
      <w:r>
        <w:rPr>
          <w:rFonts w:hint="eastAsia" w:ascii="宋体" w:hAnsi="宋体" w:eastAsia="宋体" w:cs="宋体"/>
          <w:bCs/>
          <w:color w:val="auto"/>
          <w:sz w:val="21"/>
          <w:szCs w:val="21"/>
          <w:highlight w:val="none"/>
        </w:rPr>
        <w:t xml:space="preserve">项目名称：</w:t>
      </w:r>
      <w:r>
        <w:rPr>
          <w:rFonts w:hint="eastAsia" w:ascii="Times New Roman" w:hAnsi="Times New Roman" w:eastAsia="宋体" w:cs="宋体"/>
          <w:color w:val="auto"/>
          <w:sz w:val="21"/>
          <w:szCs w:val="21"/>
          <w:highlight w:val="none"/>
          <w:lang w:eastAsia="zh-CN"/>
        </w:rPr>
        <w:t xml:space="preserve">2026年人身保险服务</w:t>
      </w:r>
      <w:r/>
    </w:p>
    <w:tbl>
      <w:tblPr>
        <w:tblStyle w:val="80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5"/>
      </w:tblGrid>
      <w:tr>
        <w:trPr/>
        <w:tc>
          <w:tcPr>
            <w:tcW w:w="5040" w:type="dxa"/>
            <w:vAlign w:val="top"/>
            <w:textDirection w:val="lrTb"/>
            <w:noWrap w:val="false"/>
          </w:tcPr>
          <w:p>
            <w:pPr>
              <w:ind w:left="0" w:right="0"/>
              <w:jc w:val="left"/>
              <w:keepLines w:val="0"/>
              <w:keepNext w:val="0"/>
              <w:spacing w:before="0" w:beforeAutospacing="0" w:after="0" w:afterAutospacing="0" w:line="360" w:lineRule="auto"/>
              <w:widowControl/>
              <w:tabs>
                <w:tab w:val="left" w:pos="6237" w:leader="none"/>
              </w:tabs>
              <w:rPr>
                <w:rFonts w:hint="eastAsia" w:ascii="宋体" w:hAnsi="宋体" w:eastAsia="宋体" w:cs="宋体"/>
                <w:color w:val="auto"/>
                <w:sz w:val="21"/>
                <w:szCs w:val="21"/>
                <w:highlight w:val="none"/>
                <w:lang w:eastAsia="zh-CN"/>
              </w:rPr>
              <w:outlineLvl w:val="0"/>
              <w:suppressLineNumbers w:val="0"/>
            </w:pPr>
            <w:r>
              <w:rPr>
                <w:rFonts w:hint="eastAsia" w:ascii="宋体" w:hAnsi="宋体" w:eastAsia="宋体" w:cs="宋体"/>
                <w:color w:val="auto"/>
                <w:sz w:val="21"/>
                <w:szCs w:val="21"/>
                <w:highlight w:val="none"/>
              </w:rPr>
              <w:t xml:space="preserve">甲方（买方）：</w:t>
            </w:r>
            <w:r>
              <w:rPr>
                <w:rFonts w:hint="eastAsia" w:ascii="Times New Roman" w:hAnsi="Times New Roman" w:eastAsia="宋体" w:cs="宋体"/>
                <w:bCs/>
                <w:color w:val="auto"/>
                <w:sz w:val="21"/>
                <w:szCs w:val="21"/>
                <w:highlight w:val="none"/>
                <w:lang w:eastAsia="zh-CN"/>
              </w:rPr>
              <w:t xml:space="preserve">太仓市公安局</w:t>
            </w:r>
            <w:r/>
          </w:p>
        </w:tc>
        <w:tc>
          <w:tcPr>
            <w:tcW w:w="5040" w:type="dxa"/>
            <w:vAlign w:val="top"/>
            <w:textDirection w:val="lrTb"/>
            <w:noWrap w:val="false"/>
          </w:tcPr>
          <w:p>
            <w:pPr>
              <w:ind w:left="0" w:right="0"/>
              <w:jc w:val="left"/>
              <w:keepLines w:val="0"/>
              <w:keepNext w:val="0"/>
              <w:spacing w:before="0" w:beforeAutospacing="0" w:after="0" w:afterAutospacing="0" w:line="360" w:lineRule="auto"/>
              <w:widowControl/>
              <w:tabs>
                <w:tab w:val="left" w:pos="6237" w:leader="none"/>
              </w:tabs>
              <w:rPr>
                <w:rFonts w:hint="eastAsia" w:ascii="宋体" w:hAnsi="宋体" w:eastAsia="宋体" w:cs="宋体"/>
                <w:color w:val="auto"/>
                <w:sz w:val="21"/>
                <w:szCs w:val="21"/>
                <w:highlight w:val="none"/>
              </w:rPr>
              <w:outlineLvl w:val="0"/>
              <w:suppressLineNumbers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ind w:left="0" w:right="0"/>
              <w:jc w:val="left"/>
              <w:keepLines w:val="0"/>
              <w:keepNext w:val="0"/>
              <w:spacing w:before="0" w:beforeAutospacing="0" w:after="0" w:afterAutospacing="0" w:line="360" w:lineRule="auto"/>
              <w:widowControl/>
              <w:tabs>
                <w:tab w:val="left" w:pos="6237" w:leader="none"/>
              </w:tabs>
              <w:rPr>
                <w:rFonts w:hint="eastAsia" w:ascii="宋体" w:hAnsi="宋体" w:eastAsia="宋体" w:cs="宋体"/>
                <w:color w:val="auto"/>
                <w:sz w:val="21"/>
                <w:szCs w:val="21"/>
                <w:highlight w:val="none"/>
              </w:rPr>
              <w:outlineLvl w:val="0"/>
              <w:suppressLineNumbers w:val="0"/>
            </w:pPr>
            <w:r>
              <w:rPr>
                <w:rFonts w:hint="eastAsia" w:ascii="宋体" w:hAnsi="宋体" w:eastAsia="宋体" w:cs="宋体"/>
                <w:color w:val="auto"/>
                <w:sz w:val="21"/>
                <w:szCs w:val="21"/>
                <w:highlight w:val="none"/>
              </w:rPr>
              <w:t xml:space="preserve">乙方（卖方）：</w:t>
            </w:r>
            <w:r/>
          </w:p>
        </w:tc>
        <w:tc>
          <w:tcPr>
            <w:tcW w:w="5040" w:type="dxa"/>
            <w:vAlign w:val="top"/>
            <w:textDirection w:val="lrTb"/>
            <w:noWrap w:val="false"/>
          </w:tcPr>
          <w:p>
            <w:pPr>
              <w:ind w:left="0" w:right="0"/>
              <w:jc w:val="left"/>
              <w:keepLines w:val="0"/>
              <w:keepNext w:val="0"/>
              <w:spacing w:before="0" w:beforeAutospacing="0" w:after="0" w:afterAutospacing="0" w:line="360" w:lineRule="auto"/>
              <w:widowControl/>
              <w:tabs>
                <w:tab w:val="left" w:pos="6237" w:leader="none"/>
              </w:tabs>
              <w:rPr>
                <w:rFonts w:hint="eastAsia" w:ascii="宋体" w:hAnsi="宋体" w:eastAsia="宋体" w:cs="宋体"/>
                <w:color w:val="auto"/>
                <w:sz w:val="21"/>
                <w:szCs w:val="21"/>
                <w:highlight w:val="none"/>
              </w:rPr>
              <w:outlineLvl w:val="0"/>
              <w:suppressLineNumbers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ind w:left="0" w:right="0"/>
              <w:jc w:val="left"/>
              <w:keepLines w:val="0"/>
              <w:keepNext w:val="0"/>
              <w:spacing w:before="0" w:beforeAutospacing="0" w:after="0" w:afterAutospacing="0" w:line="360" w:lineRule="auto"/>
              <w:widowControl/>
              <w:tabs>
                <w:tab w:val="left" w:pos="6237" w:leader="none"/>
              </w:tabs>
              <w:rPr>
                <w:rFonts w:hint="eastAsia" w:ascii="宋体" w:hAnsi="宋体" w:eastAsia="宋体" w:cs="宋体"/>
                <w:color w:val="auto"/>
                <w:sz w:val="21"/>
                <w:szCs w:val="21"/>
                <w:highlight w:val="none"/>
              </w:rPr>
              <w:outlineLvl w:val="0"/>
              <w:suppressLineNumbers w:val="0"/>
            </w:pPr>
            <w:r>
              <w:rPr>
                <w:rFonts w:hint="eastAsia" w:ascii="宋体" w:hAnsi="宋体" w:eastAsia="宋体" w:cs="宋体"/>
                <w:color w:val="auto"/>
                <w:sz w:val="21"/>
                <w:szCs w:val="21"/>
                <w:highlight w:val="none"/>
              </w:rPr>
              <w:t xml:space="preserve">签订时间：</w:t>
            </w:r>
            <w:r/>
          </w:p>
        </w:tc>
        <w:tc>
          <w:tcPr>
            <w:tcW w:w="5040" w:type="dxa"/>
            <w:vAlign w:val="top"/>
            <w:textDirection w:val="lrTb"/>
            <w:noWrap w:val="false"/>
          </w:tcPr>
          <w:p>
            <w:pPr>
              <w:ind w:left="0" w:right="0"/>
              <w:jc w:val="left"/>
              <w:keepLines w:val="0"/>
              <w:keepNext w:val="0"/>
              <w:spacing w:before="0" w:beforeAutospacing="0" w:after="0" w:afterAutospacing="0" w:line="360" w:lineRule="auto"/>
              <w:widowControl/>
              <w:tabs>
                <w:tab w:val="left" w:pos="6237" w:leader="none"/>
              </w:tabs>
              <w:rPr>
                <w:rFonts w:hint="eastAsia" w:ascii="宋体" w:hAnsi="宋体" w:eastAsia="宋体" w:cs="宋体"/>
                <w:color w:val="auto"/>
                <w:sz w:val="21"/>
                <w:szCs w:val="21"/>
                <w:highlight w:val="none"/>
              </w:rPr>
              <w:outlineLvl w:val="0"/>
              <w:suppressLineNumbers w:val="0"/>
            </w:pPr>
            <w:r>
              <w:rPr>
                <w:rFonts w:hint="eastAsia" w:ascii="宋体" w:hAnsi="宋体" w:eastAsia="宋体" w:cs="宋体"/>
                <w:color w:val="auto"/>
                <w:sz w:val="21"/>
                <w:szCs w:val="21"/>
                <w:highlight w:val="none"/>
              </w:rPr>
              <w:t xml:space="preserve">签订地点：</w:t>
            </w:r>
            <w:r/>
          </w:p>
        </w:tc>
      </w:tr>
    </w:tbl>
    <w:p>
      <w:pPr>
        <w:ind w:firstLine="480"/>
        <w:jc w:val="left"/>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u w:val="single"/>
          <w:lang w:eastAsia="zh-CN"/>
        </w:rPr>
        <w:t xml:space="preserve">江苏兆丰项目管理有限公司</w:t>
      </w:r>
      <w:r>
        <w:rPr>
          <w:rFonts w:hint="eastAsia" w:ascii="宋体" w:hAnsi="宋体" w:eastAsia="宋体" w:cs="宋体"/>
          <w:color w:val="auto"/>
          <w:sz w:val="21"/>
          <w:szCs w:val="21"/>
          <w:highlight w:val="none"/>
        </w:rPr>
        <w:t xml:space="preserve">采购编号</w:t>
      </w:r>
      <w:r>
        <w:rPr>
          <w:rFonts w:hint="eastAsia" w:ascii="Times New Roman" w:hAnsi="Times New Roman" w:eastAsia="宋体" w:cs="宋体"/>
          <w:color w:val="auto"/>
          <w:sz w:val="21"/>
          <w:szCs w:val="21"/>
          <w:highlight w:val="none"/>
          <w:u w:val="single"/>
          <w:lang w:eastAsia="zh-CN"/>
        </w:rPr>
        <w:t xml:space="preserve">JSZC-320585-ZFXM-G2026-0008</w:t>
      </w:r>
      <w:r>
        <w:rPr>
          <w:rFonts w:hint="eastAsia" w:ascii="宋体" w:hAnsi="宋体" w:eastAsia="宋体" w:cs="宋体"/>
          <w:color w:val="auto"/>
          <w:sz w:val="21"/>
          <w:szCs w:val="21"/>
          <w:highlight w:val="none"/>
        </w:rPr>
        <w:t xml:space="preserve">号政府采购文件及中标单位的投标文件和中标通知书，甲乙双方就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2026年人身保险服务</w:t>
      </w:r>
      <w:r>
        <w:rPr>
          <w:rFonts w:hint="eastAsia" w:ascii="宋体" w:hAnsi="宋体" w:eastAsia="宋体" w:cs="宋体"/>
          <w:color w:val="auto"/>
          <w:sz w:val="21"/>
          <w:szCs w:val="21"/>
          <w:highlight w:val="none"/>
          <w:u w:val="single"/>
          <w:lang w:val="en-US" w:eastAsia="zh-CN"/>
        </w:rPr>
        <w:t xml:space="preserve">项目（采购包 *  ）项目</w:t>
      </w:r>
      <w:r>
        <w:rPr>
          <w:rFonts w:hint="eastAsia" w:ascii="宋体" w:hAnsi="宋体" w:eastAsia="宋体" w:cs="宋体"/>
          <w:color w:val="auto"/>
          <w:sz w:val="21"/>
          <w:szCs w:val="21"/>
          <w:highlight w:val="none"/>
        </w:rPr>
        <w:t xml:space="preserve">，签订本合同书。</w:t>
      </w:r>
      <w:r/>
    </w:p>
    <w:p>
      <w:pPr>
        <w:numPr>
          <w:ilvl w:val="0"/>
          <w:numId w:val="0"/>
        </w:numPr>
        <w:ind w:right="0"/>
        <w:jc w:val="left"/>
        <w:keepLines w:val="0"/>
        <w:keepNext w:val="0"/>
        <w:pageBreakBefore w:val="0"/>
        <w:spacing w:line="360" w:lineRule="auto"/>
        <w:widowControl/>
        <w:tabs>
          <w:tab w:val="left" w:pos="567" w:leader="none"/>
        </w:tabs>
        <w:rPr>
          <w:rFonts w:hint="eastAsia" w:ascii="宋体" w:hAnsi="宋体" w:eastAsia="宋体" w:cs="宋体"/>
          <w:b/>
          <w:bCs/>
          <w:color w:val="auto"/>
          <w:sz w:val="21"/>
          <w:szCs w:val="21"/>
          <w:highlight w:val="none"/>
        </w:rPr>
      </w:pPr>
      <w:r>
        <w:rPr>
          <w:rFonts w:hint="eastAsia" w:ascii="Times New Roman" w:hAnsi="Times New Roman"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合同文件</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下列文件是构成本合同不可分割的部分，与合同具有同等法律效力：</w:t>
      </w:r>
      <w:r/>
    </w:p>
    <w:p>
      <w:pPr>
        <w:numPr>
          <w:ilvl w:val="0"/>
          <w:numId w:val="0"/>
        </w:numPr>
        <w:ind w:right="0" w:firstLine="420"/>
        <w:jc w:val="left"/>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乙方投标文件；</w:t>
      </w:r>
      <w:r/>
    </w:p>
    <w:p>
      <w:pPr>
        <w:numPr>
          <w:ilvl w:val="0"/>
          <w:numId w:val="0"/>
        </w:numPr>
        <w:ind w:right="0" w:firstLine="420"/>
        <w:jc w:val="left"/>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乙方在招标过程中所作的其它承诺、声明、书面澄清等；</w:t>
      </w:r>
      <w:r/>
    </w:p>
    <w:p>
      <w:pPr>
        <w:numPr>
          <w:ilvl w:val="0"/>
          <w:numId w:val="0"/>
        </w:numPr>
        <w:ind w:right="0" w:firstLine="420"/>
        <w:jc w:val="left"/>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中标通知书； </w:t>
      </w:r>
      <w:r/>
    </w:p>
    <w:p>
      <w:pPr>
        <w:numPr>
          <w:ilvl w:val="0"/>
          <w:numId w:val="0"/>
        </w:numPr>
        <w:ind w:right="0" w:firstLine="420"/>
        <w:jc w:val="left"/>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招标文件及相应澄清和修改；</w:t>
      </w:r>
      <w:r/>
    </w:p>
    <w:p>
      <w:pPr>
        <w:numPr>
          <w:ilvl w:val="0"/>
          <w:numId w:val="0"/>
        </w:numPr>
        <w:ind w:right="0" w:firstLine="420"/>
        <w:jc w:val="left"/>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甲方、乙方商定的其他必要文件、补充合同或协议。</w:t>
      </w:r>
      <w:r/>
    </w:p>
    <w:p>
      <w:pPr>
        <w:ind w:left="0" w:right="0" w:firstLine="420"/>
        <w:jc w:val="left"/>
        <w:keepLines w:val="0"/>
        <w:keepNext w:val="0"/>
        <w:pageBreakBefore w:val="0"/>
        <w:spacing w:line="360" w:lineRule="auto"/>
        <w:widowControl/>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合同文件是一个整体，其内容互为补充。</w:t>
      </w:r>
      <w:r/>
    </w:p>
    <w:p>
      <w:pPr>
        <w:ind w:left="0"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保险当事人</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投保人：</w:t>
      </w:r>
      <w:r>
        <w:rPr>
          <w:rFonts w:hint="eastAsia" w:ascii="宋体" w:hAnsi="宋体" w:eastAsia="宋体" w:cs="宋体"/>
          <w:color w:val="auto"/>
          <w:sz w:val="21"/>
          <w:szCs w:val="21"/>
          <w:highlight w:val="none"/>
          <w:lang w:eastAsia="zh-CN"/>
        </w:rPr>
        <w:t xml:space="preserve">太仓市公安局</w:t>
      </w:r>
      <w:r/>
    </w:p>
    <w:p>
      <w:pPr>
        <w:ind w:left="0" w:right="0" w:firstLine="420"/>
        <w:jc w:val="left"/>
        <w:keepLines w:val="0"/>
        <w:keepNext w:val="0"/>
        <w:pageBreakBefore w:val="0"/>
        <w:spacing w:line="360" w:lineRule="auto"/>
        <w:widowControl/>
        <w:rPr>
          <w:rFonts w:hint="default" w:ascii="宋体" w:hAnsi="宋体" w:eastAsia="宋体" w:cs="宋体"/>
          <w:bCs/>
          <w:color w:val="auto"/>
          <w:sz w:val="21"/>
          <w:szCs w:val="21"/>
          <w:highlight w:val="none"/>
          <w:lang w:val="en-US"/>
        </w:rPr>
      </w:pPr>
      <w:r>
        <w:rPr>
          <w:rFonts w:hint="eastAsia" w:ascii="宋体" w:hAnsi="宋体" w:eastAsia="宋体" w:cs="宋体"/>
          <w:color w:val="auto"/>
          <w:sz w:val="21"/>
          <w:szCs w:val="21"/>
          <w:highlight w:val="none"/>
        </w:rPr>
        <w:t xml:space="preserve">被保险人：</w:t>
      </w:r>
      <w:r>
        <w:rPr>
          <w:rFonts w:hint="eastAsia" w:ascii="宋体" w:hAnsi="宋体" w:eastAsia="宋体" w:cs="宋体"/>
          <w:b w:val="0"/>
          <w:bCs w:val="0"/>
          <w:color w:val="auto"/>
          <w:sz w:val="21"/>
          <w:szCs w:val="21"/>
          <w:highlight w:val="none"/>
          <w:lang w:val="en-US" w:eastAsia="zh-CN"/>
        </w:rPr>
        <w:t xml:space="preserve">由甲方提供人员清单</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保险人： </w:t>
      </w:r>
      <w:r/>
    </w:p>
    <w:p>
      <w:pPr>
        <w:ind w:left="0" w:right="0" w:firstLine="422"/>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三、保险条款 ：</w:t>
      </w:r>
      <w:r>
        <w:rPr>
          <w:rFonts w:hint="eastAsia" w:ascii="宋体" w:hAnsi="宋体" w:eastAsia="宋体" w:cs="宋体"/>
          <w:bCs/>
          <w:color w:val="auto"/>
          <w:sz w:val="21"/>
          <w:szCs w:val="21"/>
          <w:highlight w:val="none"/>
          <w:lang w:val="en-US" w:eastAsia="zh-CN"/>
        </w:rPr>
        <w:t xml:space="preserve">详见保单约定</w:t>
      </w:r>
      <w:r/>
    </w:p>
    <w:p>
      <w:pPr>
        <w:ind w:left="0"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四、</w:t>
      </w:r>
      <w:r>
        <w:rPr>
          <w:rFonts w:hint="eastAsia" w:ascii="宋体" w:hAnsi="宋体" w:eastAsia="宋体" w:cs="宋体"/>
          <w:b/>
          <w:color w:val="auto"/>
          <w:sz w:val="21"/>
          <w:szCs w:val="21"/>
          <w:highlight w:val="none"/>
          <w:lang w:val="en-US" w:eastAsia="zh-CN"/>
        </w:rPr>
        <w:t xml:space="preserve">保险内容</w:t>
      </w:r>
      <w:r/>
    </w:p>
    <w:p>
      <w:pPr>
        <w:ind w:right="0" w:firstLine="507"/>
        <w:jc w:val="both"/>
        <w:keepLines w:val="0"/>
        <w:keepNext w:val="0"/>
        <w:pageBreakBefore w:val="0"/>
        <w:spacing w:line="360" w:lineRule="auto"/>
        <w:widowControl w:val="off"/>
        <w:rPr>
          <w:rFonts w:hint="eastAsia" w:ascii="宋体" w:hAnsi="宋体" w:eastAsia="宋体" w:cs="宋体"/>
          <w:b/>
          <w:color w:val="auto"/>
          <w:spacing w:val="20"/>
          <w:sz w:val="21"/>
          <w:szCs w:val="21"/>
          <w:highlight w:val="none"/>
          <w:lang w:val="en-US" w:eastAsia="zh-CN" w:bidi="ar-SA"/>
        </w:rPr>
      </w:pPr>
      <w:r>
        <w:rPr>
          <w:rFonts w:hint="eastAsia" w:ascii="宋体" w:hAnsi="宋体" w:eastAsia="宋体" w:cs="宋体"/>
          <w:b/>
          <w:color w:val="auto"/>
          <w:spacing w:val="20"/>
          <w:sz w:val="21"/>
          <w:szCs w:val="21"/>
          <w:highlight w:val="none"/>
          <w:lang w:val="en-US" w:eastAsia="zh-CN" w:bidi="ar-SA"/>
        </w:rPr>
        <w:t xml:space="preserve">（附保险方案）</w:t>
      </w:r>
      <w:r/>
    </w:p>
    <w:p>
      <w:pPr>
        <w:ind w:left="0" w:right="0" w:firstLine="420"/>
        <w:jc w:val="both"/>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服务要求详见采购文件及乙方在投标文件中所做的承诺。</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保险责任及保险期间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保险责任：被保险人如发生保险事故，乙方即按保险金额按保单约定给付保险金。</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保险期限：1年，自202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日起至202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 月 日止。</w:t>
      </w:r>
      <w:r/>
    </w:p>
    <w:p>
      <w:pPr>
        <w:numPr>
          <w:ilvl w:val="0"/>
          <w:numId w:val="0"/>
        </w:numPr>
        <w:ind w:right="0"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六、合同价款及支付方式</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本合同为单价合同。合同总金额为</w:t>
      </w:r>
      <w:r>
        <w:rPr>
          <w:rFonts w:hint="eastAsia" w:ascii="宋体" w:hAnsi="宋体" w:eastAsia="宋体" w:cs="宋体"/>
          <w:b/>
          <w:bCs/>
          <w:color w:val="auto"/>
          <w:sz w:val="21"/>
          <w:szCs w:val="21"/>
          <w:highlight w:val="none"/>
          <w:u w:val="single"/>
          <w:shd w:val="clear" w:color="auto" w:fill="ffffff"/>
          <w:lang w:val="en-US" w:eastAsia="zh-CN" w:bidi="ar-SA"/>
        </w:rPr>
        <w:t xml:space="preserve">        元（大写：     元整）</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成交单价：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实际保费金额</w:t>
      </w:r>
      <w:r>
        <w:rPr>
          <w:rFonts w:hint="eastAsia" w:ascii="宋体" w:hAnsi="宋体" w:eastAsia="宋体" w:cs="宋体"/>
          <w:color w:val="auto"/>
          <w:sz w:val="21"/>
          <w:szCs w:val="21"/>
          <w:highlight w:val="none"/>
          <w:lang w:val="en-US" w:eastAsia="zh-CN"/>
        </w:rPr>
        <w:t xml:space="preserve">按甲方提供的人员清单按实结算）</w:t>
      </w:r>
      <w:r/>
    </w:p>
    <w:p>
      <w:pPr>
        <w:ind w:firstLine="420"/>
        <w:jc w:val="both"/>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1"/>
          <w:highlight w:val="none"/>
          <w:lang w:val="en-US" w:eastAsia="zh-CN"/>
        </w:rPr>
        <w:t xml:space="preserve">2、合同金额包括</w:t>
      </w:r>
      <w:r>
        <w:rPr>
          <w:rFonts w:hint="eastAsia" w:ascii="宋体" w:hAnsi="宋体" w:eastAsia="宋体" w:cs="宋体"/>
          <w:color w:val="auto"/>
          <w:sz w:val="21"/>
          <w:szCs w:val="24"/>
          <w:highlight w:val="none"/>
          <w:lang w:eastAsia="zh-CN"/>
        </w:rPr>
        <w:t xml:space="preserve">但不限于完成该项工作所需的人工（包括工资、奖金、社保、正常节假日的加班费及完成标书合同规定服务内容发生的延时加班等费用）、</w:t>
      </w:r>
      <w:r>
        <w:rPr>
          <w:rFonts w:hint="eastAsia" w:ascii="宋体" w:hAnsi="宋体" w:eastAsia="宋体" w:cs="宋体"/>
          <w:color w:val="auto"/>
          <w:sz w:val="21"/>
          <w:szCs w:val="21"/>
          <w:highlight w:val="none"/>
        </w:rPr>
        <w:t xml:space="preserve">乙方应承担的义务及相关的后续服务，如限时理赔支付赔款、无偿提供保险知识培训、保险宣传、管理成本、劳保、利润、税金、政策性文件规定及合同包含的所有风险、责任等各项应有费用</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同时，除非合同条款中另有规定，否则，</w:t>
      </w:r>
      <w:r>
        <w:rPr>
          <w:rFonts w:hint="eastAsia" w:ascii="宋体" w:hAnsi="宋体" w:eastAsia="宋体" w:cs="宋体"/>
          <w:color w:val="auto"/>
          <w:sz w:val="21"/>
          <w:szCs w:val="24"/>
          <w:highlight w:val="none"/>
          <w:lang w:val="en-US" w:eastAsia="zh-CN"/>
        </w:rPr>
        <w:t xml:space="preserve">合同单价</w:t>
      </w:r>
      <w:r>
        <w:rPr>
          <w:rFonts w:hint="eastAsia" w:ascii="宋体" w:hAnsi="宋体" w:eastAsia="宋体" w:cs="宋体"/>
          <w:color w:val="auto"/>
          <w:sz w:val="21"/>
          <w:szCs w:val="24"/>
          <w:highlight w:val="none"/>
        </w:rPr>
        <w:t xml:space="preserve">在合同实施期间不因市场变化因素而变动</w:t>
      </w:r>
      <w:r>
        <w:rPr>
          <w:rFonts w:hint="eastAsia" w:ascii="宋体" w:hAnsi="宋体" w:eastAsia="宋体" w:cs="宋体"/>
          <w:color w:val="auto"/>
          <w:sz w:val="21"/>
          <w:szCs w:val="24"/>
          <w:highlight w:val="none"/>
          <w:lang w:eastAsia="zh-CN"/>
        </w:rPr>
        <w:t xml:space="preserve">。</w:t>
      </w:r>
      <w:r/>
    </w:p>
    <w:p>
      <w:pPr>
        <w:ind w:firstLine="420"/>
        <w:jc w:val="both"/>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2、付款方式：</w:t>
      </w:r>
      <w:r>
        <w:rPr>
          <w:rFonts w:hint="eastAsia" w:ascii="宋体" w:hAnsi="宋体" w:eastAsia="宋体" w:cs="宋体"/>
          <w:color w:val="auto"/>
          <w:sz w:val="21"/>
          <w:szCs w:val="21"/>
          <w:highlight w:val="none"/>
          <w:lang w:eastAsia="zh-CN"/>
        </w:rPr>
        <w:t xml:space="preserve">具体金额根据实际投保人数按实结算，乙方在收到款项后须在次日生效保单，并在5个工作日内交付保单和发票。</w:t>
      </w:r>
      <w:r/>
    </w:p>
    <w:p>
      <w:pPr>
        <w:ind w:firstLine="422"/>
        <w:jc w:val="left"/>
        <w:keepLines w:val="0"/>
        <w:keepNext w:val="0"/>
        <w:pageBreakBefore w:val="0"/>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、其他</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1、甲方应积极配合乙方做好保险宣传、安全和报案理赔工作；乙方应定期对甲方提供有关培训。</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2、如遇重大突发事件发生,成交保险公司应及时介入协助做好理赔工作,并可应</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的要求特事特办,在赔付限额标准以上妥善协商解决。</w:t>
      </w:r>
      <w:r/>
    </w:p>
    <w:p>
      <w:pPr>
        <w:ind w:firstLine="422"/>
        <w:jc w:val="left"/>
        <w:keepLines w:val="0"/>
        <w:keepNext w:val="0"/>
        <w:pageBreakBefore w:val="0"/>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、理赔服务</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1、保险服务基础标准：</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1.1统一实行24小时接报案；</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1.2统一实行24小时查勘；</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1.3统一实行24小时救援；</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1.4统一实行8小时全年无休理赔工作；</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1.5统一实行24小时投诉服务；</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1.6设立24小时保险服务专线电话，电脑录音系统和查勘调度系统保证畅通无误，及时准确。全年365天随时接受被保险人的出险报案，并立即通知保险公司本项目客户服务专员。               </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2、设立专人专门窗口负责受理赔款案件，实行一站式服务，确保理赔、财务、信息技术等环节的高效畅通。</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3、接到报案后应详细的告知被保险人注意事项，承保范围，保障内容及理赔时需要准备的材料等，不得欺骗、误导被保险人；</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4、配合被保险人了解、熟悉理赔流程，指定专人上门收取索赔单证，并在约定的时间内上门收取，不得以任何理由拒绝上门服务。</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险公司接到被保险人索赔材料后立即审查核实，若认为有关证明或材料不完整，立刻以书面或口头方式通知被保险人需补充提供的有关证明或材料。若保险公司在接到索赔资料后5个工作日内未给予有关审核意见</w:t>
      </w:r>
      <w:r>
        <w:rPr>
          <w:rFonts w:hint="eastAsia" w:ascii="宋体" w:hAnsi="宋体" w:eastAsia="宋体" w:cs="宋体"/>
          <w:color w:val="auto"/>
          <w:sz w:val="21"/>
          <w:szCs w:val="21"/>
          <w:highlight w:val="none"/>
          <w:lang w:eastAsia="zh-CN"/>
        </w:rPr>
        <w:t xml:space="preserve">，不得再以资料不完整或未尽调查义务为由对甲方已提交资料提出异议</w:t>
      </w:r>
      <w:r>
        <w:rPr>
          <w:rFonts w:hint="eastAsia" w:ascii="宋体" w:hAnsi="宋体" w:eastAsia="宋体" w:cs="宋体"/>
          <w:color w:val="auto"/>
          <w:sz w:val="21"/>
          <w:szCs w:val="21"/>
          <w:highlight w:val="none"/>
        </w:rPr>
        <w:t xml:space="preserve">。</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如自收到完整的索赔资料之日起10个工作日内未能确定赔偿金额，同意根据已有证明和资料将可以确定的最低赔偿数额</w:t>
      </w:r>
      <w:r>
        <w:rPr>
          <w:rFonts w:hint="eastAsia" w:ascii="宋体" w:hAnsi="宋体" w:eastAsia="宋体" w:cs="宋体"/>
          <w:color w:val="auto"/>
          <w:sz w:val="21"/>
          <w:szCs w:val="21"/>
          <w:highlight w:val="none"/>
          <w:lang w:eastAsia="zh-CN"/>
        </w:rPr>
        <w:t xml:space="preserve">先予</w:t>
      </w:r>
      <w:r>
        <w:rPr>
          <w:rFonts w:hint="eastAsia" w:ascii="宋体" w:hAnsi="宋体" w:eastAsia="宋体" w:cs="宋体"/>
          <w:color w:val="auto"/>
          <w:sz w:val="21"/>
          <w:szCs w:val="21"/>
          <w:highlight w:val="none"/>
        </w:rPr>
        <w:t xml:space="preserve">支付，待最终确定赔偿金额后及时支付相应的差额。</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接到被保险人报案后，对于属于保险责任的事故，同意按照以下约定及时确定赔偿金额：</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7.1对于意外伤害，资料齐全后10工作日内确定赔偿金额。 </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治疗医院应为中国大陆医保定点医院。急症可就近就医，待病情稳定后可转至指定医院。</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对于不属于保险责任的，同意在接到被保险人赔偿请求后5个工作日内向其发出《拒赔通知书》。</w:t>
      </w:r>
      <w:r/>
    </w:p>
    <w:p>
      <w:pPr>
        <w:ind w:left="0" w:firstLine="420"/>
        <w:jc w:val="left"/>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不承担既往症导致的保险责任。但如果在同一公司续保且疾病发生在首次投保起始时间之后，无论在哪个保险期限内发生事故，中标单位都须承担保险责任。</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九、违约责任：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乙方有下列违约情形，违约一次，予与警告；违约二次，支付5000元违约金，全市通报；违约三次，甲方有权解除本合同，退还未到期的保费，此行为列入不良记录，同时支付20000元违约金，并取消乙方下一次参与太仓市公安局执法责任保险的资格。</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1、收到保险具体采购单位或各被保险人对乙方的投诉，经查情况属实；</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2、检查发现投保手续偏离基本服务要求中的“承保服务”部分任何一条，经查情况属实；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3、检查发现理赔服务手续偏离基本服务要求中的“理赔服务”部分任何一条，经查情况属实；</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十、合同修改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对于本合同的未尽事宜，需进行修改、补充或完善的，甲乙双方必须就所修改的内容签订书面的合同修改书，作为本合同的补充协议。补充协议与本合同具有同等法律效力。</w:t>
      </w:r>
      <w:r/>
    </w:p>
    <w:p>
      <w:pPr>
        <w:ind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rPr>
        <w:t xml:space="preserve">、不可抗力</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1、因不可抗力不能履行合同的，根据不可抗力的影响，部分或者全部免除责任。但合同一方延迟履行后发生不可抗力的，不能免除责任。</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ind w:left="0" w:right="0" w:firstLine="42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十二</w:t>
      </w:r>
      <w:r>
        <w:rPr>
          <w:rFonts w:hint="eastAsia" w:ascii="宋体" w:hAnsi="宋体" w:eastAsia="宋体" w:cs="宋体"/>
          <w:b/>
          <w:bCs/>
          <w:color w:val="auto"/>
          <w:sz w:val="21"/>
          <w:szCs w:val="21"/>
          <w:highlight w:val="none"/>
        </w:rPr>
        <w:t xml:space="preserve">、合同的解除和转让</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1、甲方和乙方协商一致，可以解除合同。</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2、有下列情形之一，合同一方可以解除合同：</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2.1因不可抗力致使不能实现合同目的，未受不可抗力影响的一方有权解除合同；</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2.2因合同一方违约导致合同不能履行，另一方有权解除合同；</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2.3因乙方在履行合同过程中造成社会不良影响的，甲方有权解除合同。</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、合同的部分和全部都不得转让。但是甲方因为政策变更、机构调整等需要转让合同的不在此列。</w:t>
      </w:r>
      <w:r/>
    </w:p>
    <w:p>
      <w:pPr>
        <w:ind w:firstLine="422"/>
        <w:jc w:val="left"/>
        <w:keepLines w:val="0"/>
        <w:keepNext w:val="0"/>
        <w:pageBreakBefore w:val="0"/>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、合同生效及其他</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1、除非合同中另有说明，本合同经甲乙双方法定代表人或授权代理人签字盖章后生效。</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2、本合同中的附件均为本合同不可分割的部分，与本合同具有同等的法律效力。</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3、本合同一式五份，甲方执二份，乙方执二份，招标代理人执一份，每份具有同等法律效力。</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4、因本合同之履行产生的一切争议，经协商无法解决的，任意一方可将争议提交至项目所在地有管辖权的法院诉讼解决。</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rPr>
        <w:t xml:space="preserve">、本合同未尽事宜按《中华人民共和国民法典》、《中华人民共和国保险法》等相关法律法规执行。</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                     </w:t>
      </w:r>
      <w:r>
        <w:rPr>
          <w:rFonts w:hint="eastAsia" w:ascii="宋体" w:hAnsi="宋体" w:eastAsia="宋体" w:cs="宋体"/>
          <w:color w:val="auto"/>
          <w:sz w:val="21"/>
          <w:szCs w:val="21"/>
          <w:highlight w:val="none"/>
          <w:lang w:val="en-US" w:eastAsia="zh-CN"/>
        </w:rPr>
        <w:t xml:space="preserve"> </w:t>
      </w:r>
      <w:r/>
    </w:p>
    <w:p>
      <w:pPr>
        <w:ind w:left="0"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法定代表人（授权代表）：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法定代表人（授权代表）：    </w:t>
      </w:r>
      <w:r/>
    </w:p>
    <w:p>
      <w:pPr>
        <w:jc w:val="center"/>
        <w:spacing w:line="360" w:lineRule="auto"/>
        <w:rPr>
          <w:rFonts w:hint="eastAsia" w:ascii="Times New Roman" w:hAnsi="Times New Roman" w:eastAsia="宋体" w:cs="Times New Roman"/>
          <w:b/>
          <w:bCs/>
          <w:color w:val="auto"/>
          <w:sz w:val="28"/>
          <w:szCs w:val="28"/>
          <w:highlight w:val="none"/>
          <w:lang w:val="en-US" w:eastAsia="zh-CN"/>
        </w:rPr>
      </w:pPr>
      <w:r>
        <w:rPr>
          <w:rFonts w:hint="eastAsia" w:ascii="宋体" w:hAnsi="宋体" w:eastAsia="宋体" w:cs="宋体"/>
          <w:color w:val="auto"/>
          <w:sz w:val="21"/>
          <w:szCs w:val="21"/>
          <w:highlight w:val="none"/>
        </w:rPr>
        <w:t xml:space="preserve">签约日期：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签约日期： </w:t>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rPr>
          <w:rFonts w:hint="eastAsia" w:ascii="宋体" w:hAnsi="宋体" w:eastAsia="宋体" w:cs="宋体"/>
          <w:b/>
          <w:bCs/>
          <w:color w:val="auto"/>
          <w:sz w:val="21"/>
          <w:szCs w:val="21"/>
          <w:highlight w:val="none"/>
          <w:lang w:val="en-US" w:eastAsia="zh-CN"/>
        </w:rPr>
        <w:t xml:space="preserve">招标文件附件1：</w:t>
      </w:r>
      <w:r/>
    </w:p>
    <w:p>
      <w:pPr>
        <w:jc w:val="center"/>
        <w:spacing w:before="104" w:line="185" w:lineRule="auto"/>
        <w:rPr>
          <w:rFonts w:hint="eastAsia" w:ascii="微软雅黑" w:hAnsi="微软雅黑" w:eastAsia="微软雅黑" w:cs="微软雅黑"/>
          <w:color w:val="auto"/>
          <w:spacing w:val="19"/>
          <w:sz w:val="36"/>
          <w:szCs w:val="36"/>
          <w:highlight w:val="none"/>
        </w:rPr>
      </w:pPr>
      <w:r>
        <w:rPr>
          <w:rFonts w:ascii="微软雅黑" w:hAnsi="微软雅黑" w:eastAsia="微软雅黑" w:cs="微软雅黑"/>
          <w:color w:val="auto"/>
          <w:spacing w:val="19"/>
          <w:sz w:val="36"/>
          <w:szCs w:val="36"/>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供应商：</w:t>
      </w:r>
      <w:r/>
    </w:p>
    <w:p>
      <w:pPr>
        <w:spacing w:line="44"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05"/>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408"/>
        <w:gridCol w:w="2409"/>
        <w:gridCol w:w="2409"/>
        <w:gridCol w:w="2417"/>
      </w:tblGrid>
      <w:tr>
        <w:trPr>
          <w:trHeight w:val="562"/>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rPr>
              <w:t xml:space="preserve">采购人</w:t>
            </w:r>
            <w:r/>
          </w:p>
        </w:tc>
        <w:tc>
          <w:tcPr>
            <w:gridSpan w:val="3"/>
            <w:tcW w:w="37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rPr>
              <w:t xml:space="preserve">项目名称</w:t>
            </w:r>
            <w:r/>
          </w:p>
        </w:tc>
        <w:tc>
          <w:tcPr>
            <w:gridSpan w:val="3"/>
            <w:tcW w:w="37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59"/>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rPr>
              <w:t xml:space="preserve">合同名称</w:t>
            </w:r>
            <w:r/>
          </w:p>
        </w:tc>
        <w:tc>
          <w:tcPr>
            <w:gridSpan w:val="3"/>
            <w:tcW w:w="37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2"/>
                <w:sz w:val="21"/>
                <w:szCs w:val="21"/>
                <w:highlight w:val="none"/>
              </w:rPr>
              <w:t xml:space="preserve">合同编号</w:t>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pacing w:val="2"/>
                <w:sz w:val="21"/>
                <w:szCs w:val="21"/>
                <w:highlight w:val="none"/>
              </w:rPr>
              <w:suppressLineNumbers w:val="0"/>
            </w:pPr>
            <w:r>
              <w:rPr>
                <w:rFonts w:hint="eastAsia" w:ascii="宋体" w:hAnsi="宋体" w:eastAsia="宋体" w:cs="宋体"/>
                <w:color w:val="auto"/>
                <w:spacing w:val="2"/>
                <w:sz w:val="21"/>
                <w:szCs w:val="21"/>
                <w:highlight w:val="none"/>
              </w:rPr>
              <w:t xml:space="preserve">合同金额</w:t>
            </w:r>
            <w:r/>
          </w:p>
        </w:tc>
        <w:tc>
          <w:tcPr>
            <w:tcW w:w="12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59"/>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4"/>
                <w:sz w:val="21"/>
                <w:szCs w:val="21"/>
                <w:highlight w:val="none"/>
              </w:rPr>
              <w:t xml:space="preserve">验收时间</w:t>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pacing w:val="2"/>
                <w:sz w:val="21"/>
                <w:szCs w:val="21"/>
                <w:highlight w:val="none"/>
              </w:rPr>
              <w:suppressLineNumbers w:val="0"/>
            </w:pPr>
            <w:r>
              <w:rPr>
                <w:rFonts w:hint="eastAsia" w:ascii="宋体" w:hAnsi="宋体" w:eastAsia="宋体" w:cs="宋体"/>
                <w:color w:val="auto"/>
                <w:spacing w:val="2"/>
                <w:sz w:val="21"/>
                <w:szCs w:val="21"/>
                <w:highlight w:val="none"/>
              </w:rPr>
              <w:t xml:space="preserve">验收地点</w:t>
            </w:r>
            <w:r/>
          </w:p>
        </w:tc>
        <w:tc>
          <w:tcPr>
            <w:tcW w:w="12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60"/>
        </w:trPr>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1"/>
                <w:sz w:val="21"/>
                <w:szCs w:val="21"/>
                <w:highlight w:val="none"/>
              </w:rPr>
              <w:t xml:space="preserve">联系人</w:t>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c>
          <w:tcPr>
            <w:tcW w:w="1249"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pacing w:val="2"/>
                <w:sz w:val="21"/>
                <w:szCs w:val="21"/>
                <w:highlight w:val="none"/>
              </w:rPr>
              <w:suppressLineNumbers w:val="0"/>
            </w:pPr>
            <w:r>
              <w:rPr>
                <w:rFonts w:hint="eastAsia" w:ascii="宋体" w:hAnsi="宋体" w:eastAsia="宋体" w:cs="宋体"/>
                <w:color w:val="auto"/>
                <w:spacing w:val="2"/>
                <w:sz w:val="21"/>
                <w:szCs w:val="21"/>
                <w:highlight w:val="none"/>
              </w:rPr>
              <w:t xml:space="preserve">联系电话</w:t>
            </w:r>
            <w:r/>
          </w:p>
        </w:tc>
        <w:tc>
          <w:tcPr>
            <w:tcW w:w="125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en-US"/>
              </w:rPr>
              <w:suppressLineNumbers w:val="0"/>
            </w:pPr>
            <w:r>
              <w:rPr>
                <w:rFonts w:hint="eastAsia" w:ascii="宋体" w:hAnsi="宋体" w:eastAsia="宋体" w:cs="宋体"/>
                <w:color w:val="auto"/>
                <w:sz w:val="21"/>
                <w:szCs w:val="21"/>
                <w:highlight w:val="none"/>
                <w:lang w:eastAsia="en-US"/>
              </w:rPr>
            </w:r>
            <w:r/>
          </w:p>
        </w:tc>
      </w:tr>
      <w:tr>
        <w:trPr>
          <w:trHeight w:val="560"/>
        </w:trPr>
        <w:tc>
          <w:tcPr>
            <w:gridSpan w:val="4"/>
            <w:tcW w:w="5000"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7"/>
                <w:sz w:val="21"/>
                <w:szCs w:val="21"/>
                <w:highlight w:val="none"/>
              </w:rPr>
              <w:t xml:space="preserve">履约验收方案及工作要求</w:t>
            </w:r>
            <w:r/>
          </w:p>
        </w:tc>
      </w:tr>
      <w:tr>
        <w:trPr>
          <w:trHeight w:val="7104"/>
        </w:trPr>
        <w:tc>
          <w:tcPr>
            <w:gridSpan w:val="4"/>
            <w:tcW w:w="5000" w:type="pct"/>
            <w:vAlign w:val="top"/>
            <w:textDirection w:val="lrTb"/>
            <w:noWrap w:val="false"/>
          </w:tcPr>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1"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spacing w:before="0" w:beforeAutospacing="0" w:after="0" w:afterAutospacing="0" w:line="242"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2893"/>
              <w:jc w:val="right"/>
              <w:keepLines w:val="0"/>
              <w:keepNext w:val="0"/>
              <w:spacing w:before="75" w:beforeAutospacing="0" w:after="0" w:afterAutospacing="0" w:line="507" w:lineRule="auto"/>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单位公章</w:t>
            </w:r>
            <w:r/>
          </w:p>
          <w:p>
            <w:pPr>
              <w:ind w:left="0" w:right="2893" w:firstLine="4356"/>
              <w:jc w:val="right"/>
              <w:keepLines w:val="0"/>
              <w:keepNext w:val="0"/>
              <w:spacing w:before="75" w:beforeAutospacing="0" w:after="0" w:afterAutospacing="0" w:line="507"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16"/>
                <w:sz w:val="21"/>
                <w:szCs w:val="21"/>
                <w:highlight w:val="none"/>
              </w:rPr>
              <w:t xml:space="preserve">年</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6"/>
                <w:sz w:val="21"/>
                <w:szCs w:val="21"/>
                <w:highlight w:val="none"/>
              </w:rPr>
              <w:t xml:space="preserve">月</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6"/>
                <w:sz w:val="21"/>
                <w:szCs w:val="21"/>
                <w:highlight w:val="none"/>
              </w:rPr>
              <w:t xml:space="preserve">日</w:t>
            </w:r>
            <w:r/>
          </w:p>
        </w:tc>
      </w:tr>
    </w:tbl>
    <w:p>
      <w:pPr>
        <w:spacing w:line="360" w:lineRule="auto"/>
        <w:rPr>
          <w:rFonts w:hint="eastAsia" w:ascii="宋体" w:hAnsi="宋体" w:eastAsia="宋体" w:cs="宋体"/>
          <w:b/>
          <w:bCs/>
          <w:color w:val="auto"/>
          <w:sz w:val="21"/>
          <w:szCs w:val="21"/>
          <w:highlight w:val="none"/>
          <w:lang w:val="en-US" w:eastAsia="zh-CN"/>
        </w:rPr>
      </w:pPr>
      <w:r>
        <w:rPr>
          <w:rFonts w:hint="default" w:ascii="宋体" w:hAnsi="宋体" w:eastAsia="宋体" w:cs="宋体"/>
          <w:color w:val="auto"/>
          <w:sz w:val="21"/>
          <w:szCs w:val="21"/>
          <w:highlight w:val="none"/>
          <w:lang w:val="en-US" w:eastAsia="zh-CN"/>
        </w:rPr>
        <w:br w:type="page" w:clear="all"/>
      </w:r>
      <w:r>
        <w:rPr>
          <w:rFonts w:hint="eastAsia" w:ascii="宋体" w:hAnsi="宋体" w:eastAsia="宋体" w:cs="宋体"/>
          <w:b/>
          <w:bCs/>
          <w:color w:val="auto"/>
          <w:sz w:val="21"/>
          <w:szCs w:val="21"/>
          <w:highlight w:val="none"/>
          <w:lang w:val="en-US" w:eastAsia="zh-CN"/>
        </w:rPr>
        <w:t xml:space="preserve">招标文件附件2：</w:t>
      </w:r>
      <w:r/>
    </w:p>
    <w:p>
      <w:pPr>
        <w:jc w:val="center"/>
        <w:spacing w:line="560" w:lineRule="exact"/>
        <w:rPr>
          <w:rFonts w:hint="eastAsia" w:ascii="宋体" w:hAnsi="宋体" w:eastAsia="宋体" w:cs="Arial"/>
          <w:b/>
          <w:color w:val="auto"/>
          <w:spacing w:val="9"/>
          <w:sz w:val="28"/>
          <w:szCs w:val="28"/>
          <w:highlight w:val="none"/>
        </w:rPr>
      </w:pPr>
      <w:r>
        <w:rPr>
          <w:rFonts w:hint="eastAsia" w:ascii="宋体" w:hAnsi="宋体" w:eastAsia="宋体" w:cs="Arial"/>
          <w:b/>
          <w:color w:val="auto"/>
          <w:spacing w:val="9"/>
          <w:sz w:val="28"/>
          <w:szCs w:val="28"/>
          <w:highlight w:val="none"/>
        </w:rPr>
        <w:t xml:space="preserve">政府采购履约验收书</w:t>
      </w:r>
      <w:r>
        <w:rPr>
          <w:rFonts w:hint="eastAsia" w:ascii="宋体" w:hAnsi="宋体" w:eastAsia="宋体" w:cs="Arial"/>
          <w:b/>
          <w:color w:val="auto"/>
          <w:spacing w:val="9"/>
          <w:sz w:val="28"/>
          <w:szCs w:val="28"/>
          <w:highlight w:val="none"/>
          <w:lang w:eastAsia="zh-CN"/>
        </w:rPr>
        <w:t xml:space="preserve">（</w:t>
      </w:r>
      <w:r>
        <w:rPr>
          <w:rFonts w:hint="eastAsia" w:ascii="宋体" w:hAnsi="宋体" w:eastAsia="宋体" w:cs="Arial"/>
          <w:b/>
          <w:color w:val="auto"/>
          <w:spacing w:val="9"/>
          <w:sz w:val="28"/>
          <w:szCs w:val="28"/>
          <w:highlight w:val="none"/>
        </w:rPr>
        <w:t xml:space="preserve">服务类</w:t>
      </w:r>
      <w:r>
        <w:rPr>
          <w:rFonts w:hint="eastAsia" w:ascii="宋体" w:hAnsi="宋体" w:eastAsia="宋体" w:cs="Arial"/>
          <w:b/>
          <w:color w:val="auto"/>
          <w:spacing w:val="9"/>
          <w:sz w:val="28"/>
          <w:szCs w:val="28"/>
          <w:highlight w:val="none"/>
          <w:lang w:eastAsia="zh-CN"/>
        </w:rPr>
        <w:t xml:space="preserve">）</w:t>
      </w:r>
      <w:r/>
    </w:p>
    <w:tbl>
      <w:tblPr>
        <w:tblStyle w:val="805"/>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1135"/>
        <w:gridCol w:w="1314"/>
        <w:gridCol w:w="1285"/>
        <w:gridCol w:w="1168"/>
        <w:gridCol w:w="1168"/>
        <w:gridCol w:w="2451"/>
      </w:tblGrid>
      <w:tr>
        <w:trPr>
          <w:jc w:val="center"/>
          <w:trHeight w:val="532"/>
        </w:trPr>
        <w:tc>
          <w:tcPr>
            <w:tcW w:w="67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采购人</w:t>
            </w:r>
            <w:r/>
          </w:p>
        </w:tc>
        <w:tc>
          <w:tcPr>
            <w:tcW w:w="57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66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项目名称</w:t>
            </w:r>
            <w:r/>
          </w:p>
        </w:tc>
        <w:tc>
          <w:tcPr>
            <w:tcW w:w="651"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gridSpan w:val="2"/>
            <w:tcW w:w="118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合同名称</w:t>
            </w:r>
            <w:r/>
          </w:p>
        </w:tc>
        <w:tc>
          <w:tcPr>
            <w:tcW w:w="124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r>
      <w:tr>
        <w:trPr>
          <w:jc w:val="center"/>
          <w:trHeight w:val="565"/>
        </w:trPr>
        <w:tc>
          <w:tcPr>
            <w:tcW w:w="67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供应商</w:t>
            </w:r>
            <w:r/>
          </w:p>
        </w:tc>
        <w:tc>
          <w:tcPr>
            <w:tcW w:w="57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66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项目及合</w:t>
            </w:r>
            <w:r/>
          </w:p>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同编号</w:t>
            </w:r>
            <w:r/>
          </w:p>
        </w:tc>
        <w:tc>
          <w:tcPr>
            <w:tcW w:w="651"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gridSpan w:val="2"/>
            <w:tcW w:w="118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合同金额</w:t>
            </w:r>
            <w:r/>
          </w:p>
        </w:tc>
        <w:tc>
          <w:tcPr>
            <w:tcW w:w="1242"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r>
      <w:tr>
        <w:trPr>
          <w:jc w:val="center"/>
          <w:trHeight w:val="410"/>
        </w:trPr>
        <w:tc>
          <w:tcPr>
            <w:tcW w:w="675"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分期（段）验收</w:t>
            </w:r>
            <w:r/>
          </w:p>
        </w:tc>
        <w:tc>
          <w:tcPr>
            <w:tcW w:w="57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是□否□</w:t>
            </w:r>
            <w:r/>
          </w:p>
        </w:tc>
        <w:tc>
          <w:tcPr>
            <w:tcW w:w="667"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分期（段）情况</w:t>
            </w:r>
            <w:r/>
          </w:p>
        </w:tc>
        <w:tc>
          <w:tcPr>
            <w:gridSpan w:val="4"/>
            <w:tcW w:w="3080"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共分   期（段），此为第   期（段）验收</w:t>
            </w:r>
            <w:r/>
          </w:p>
        </w:tc>
      </w:tr>
      <w:tr>
        <w:trPr>
          <w:jc w:val="center"/>
          <w:trHeight w:val="889"/>
        </w:trPr>
        <w:tc>
          <w:tcPr>
            <w:tcW w:w="67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验收时间</w:t>
            </w:r>
            <w:r/>
          </w:p>
        </w:tc>
        <w:tc>
          <w:tcPr>
            <w:tcW w:w="57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667"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验收地点</w:t>
            </w:r>
            <w:r/>
          </w:p>
        </w:tc>
        <w:tc>
          <w:tcPr>
            <w:tcW w:w="651"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gridSpan w:val="2"/>
            <w:tcW w:w="1186"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验收组织形式</w:t>
            </w:r>
            <w:r/>
          </w:p>
        </w:tc>
        <w:tc>
          <w:tcPr>
            <w:tcW w:w="1242"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□自行简易验收</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□验收小组验收</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□采购代理机构验收</w:t>
            </w:r>
            <w:r/>
          </w:p>
        </w:tc>
      </w:tr>
      <w:tr>
        <w:trPr>
          <w:jc w:val="center"/>
          <w:trHeight w:val="395"/>
        </w:trPr>
        <w:tc>
          <w:tcPr>
            <w:tcW w:w="675" w:type="pct"/>
            <w:vAlign w:val="center"/>
            <w:vMerge w:val="restart"/>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验收内容</w:t>
            </w:r>
            <w:r/>
          </w:p>
        </w:tc>
        <w:tc>
          <w:tcPr>
            <w:tcW w:w="57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服务质量</w:t>
            </w:r>
            <w:r/>
          </w:p>
        </w:tc>
        <w:tc>
          <w:tcPr>
            <w:tcW w:w="667"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服务进度</w:t>
            </w:r>
            <w:r/>
          </w:p>
        </w:tc>
        <w:tc>
          <w:tcPr>
            <w:tcW w:w="651"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人员、设备 配备情况</w:t>
            </w:r>
            <w:r/>
          </w:p>
        </w:tc>
        <w:tc>
          <w:tcPr>
            <w:tcW w:w="59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行业、安全标准</w:t>
            </w:r>
            <w:r/>
          </w:p>
        </w:tc>
        <w:tc>
          <w:tcPr>
            <w:tcW w:w="593"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项目需求、服务承诺</w:t>
            </w:r>
            <w:r/>
          </w:p>
        </w:tc>
        <w:tc>
          <w:tcPr>
            <w:tcW w:w="124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合同履约时间、 地点、方式</w:t>
            </w:r>
            <w:r/>
          </w:p>
        </w:tc>
      </w:tr>
      <w:tr>
        <w:trPr>
          <w:jc w:val="center"/>
          <w:trHeight w:val="828"/>
        </w:trPr>
        <w:tc>
          <w:tcPr>
            <w:tcW w:w="675" w:type="pct"/>
            <w:vAlign w:val="center"/>
            <w:vMerge w:val="continue"/>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c>
          <w:tcPr>
            <w:tcW w:w="576"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c>
          <w:tcPr>
            <w:tcW w:w="667"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按 时□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不按时□</w:t>
            </w:r>
            <w:r/>
          </w:p>
        </w:tc>
        <w:tc>
          <w:tcPr>
            <w:tcW w:w="651"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c>
          <w:tcPr>
            <w:tcW w:w="593"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c>
          <w:tcPr>
            <w:tcW w:w="593"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c>
          <w:tcPr>
            <w:tcW w:w="1242" w:type="pct"/>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w:t>
            </w:r>
            <w:r/>
          </w:p>
          <w:p>
            <w:pPr>
              <w:ind w:left="0" w:right="0"/>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不合格□</w:t>
            </w:r>
            <w:r/>
          </w:p>
        </w:tc>
      </w:tr>
      <w:tr>
        <w:trPr>
          <w:jc w:val="center"/>
          <w:trHeight w:val="565"/>
        </w:trPr>
        <w:tc>
          <w:tcPr>
            <w:tcW w:w="67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专业检测机构情况说明</w:t>
            </w:r>
            <w:r/>
          </w:p>
        </w:tc>
        <w:tc>
          <w:tcPr>
            <w:gridSpan w:val="6"/>
            <w:tcW w:w="4324"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r>
      <w:tr>
        <w:trPr>
          <w:jc w:val="center"/>
          <w:trHeight w:val="565"/>
        </w:trPr>
        <w:tc>
          <w:tcPr>
            <w:tcW w:w="67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存在问题</w:t>
            </w:r>
            <w:r/>
          </w:p>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和改进意见</w:t>
            </w:r>
            <w:r/>
          </w:p>
        </w:tc>
        <w:tc>
          <w:tcPr>
            <w:gridSpan w:val="6"/>
            <w:tcW w:w="4324"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r>
      <w:tr>
        <w:trPr>
          <w:jc w:val="center"/>
          <w:trHeight w:val="686"/>
        </w:trPr>
        <w:tc>
          <w:tcPr>
            <w:tcW w:w="67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最终结论</w:t>
            </w:r>
            <w:r/>
          </w:p>
        </w:tc>
        <w:tc>
          <w:tcPr>
            <w:gridSpan w:val="6"/>
            <w:tcW w:w="4324"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合  格□                              不合格□</w:t>
            </w:r>
            <w:r/>
          </w:p>
        </w:tc>
      </w:tr>
      <w:tr>
        <w:trPr>
          <w:jc w:val="center"/>
          <w:trHeight w:val="565"/>
        </w:trPr>
        <w:tc>
          <w:tcPr>
            <w:tcW w:w="675"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验收小组成员签字</w:t>
            </w:r>
            <w:r/>
          </w:p>
        </w:tc>
        <w:tc>
          <w:tcPr>
            <w:gridSpan w:val="6"/>
            <w:tcW w:w="4324"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tc>
      </w:tr>
      <w:tr>
        <w:trPr>
          <w:jc w:val="center"/>
          <w:trHeight w:val="519"/>
        </w:trPr>
        <w:tc>
          <w:tcPr>
            <w:gridSpan w:val="4"/>
            <w:tcW w:w="2570"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采购代理机构意见</w:t>
            </w:r>
            <w:r/>
          </w:p>
        </w:tc>
        <w:tc>
          <w:tcPr>
            <w:gridSpan w:val="3"/>
            <w:tcW w:w="2429" w:type="pct"/>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采购人意见</w:t>
            </w:r>
            <w:r/>
          </w:p>
        </w:tc>
      </w:tr>
      <w:tr>
        <w:trPr>
          <w:jc w:val="center"/>
        </w:trPr>
        <w:tc>
          <w:tcPr>
            <w:gridSpan w:val="4"/>
            <w:tcW w:w="2570" w:type="pct"/>
            <w:vAlign w:val="top"/>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w:t>
            </w:r>
            <w:r/>
          </w:p>
          <w:p>
            <w:pPr>
              <w:ind w:left="0" w:right="0" w:firstLine="273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采购代理机构公章</w:t>
            </w:r>
            <w:r>
              <w:rPr>
                <w:rFonts w:hint="eastAsia" w:ascii="宋体" w:hAnsi="宋体" w:eastAsia="宋体" w:cs="宋体"/>
                <w:color w:val="auto"/>
                <w:sz w:val="21"/>
                <w:szCs w:val="21"/>
                <w:highlight w:val="none"/>
                <w:lang w:eastAsia="zh-CN" w:bidi="ar"/>
              </w:rPr>
              <w:t xml:space="preserve">）</w:t>
            </w:r>
            <w:r/>
          </w:p>
        </w:tc>
        <w:tc>
          <w:tcPr>
            <w:gridSpan w:val="3"/>
            <w:tcW w:w="2429" w:type="pct"/>
            <w:vAlign w:val="top"/>
            <w:textDirection w:val="lrTb"/>
            <w:noWrap w:val="false"/>
          </w:tcPr>
          <w:p>
            <w:pPr>
              <w:ind w:left="2940" w:right="0" w:hanging="294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经办人：        </w:t>
            </w:r>
            <w:r>
              <w:rPr>
                <w:rFonts w:hint="eastAsia"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负责人：               （采购人公章）</w:t>
            </w:r>
            <w:r/>
          </w:p>
        </w:tc>
      </w:tr>
      <w:tr>
        <w:trPr>
          <w:jc w:val="center"/>
          <w:trHeight w:val="1455"/>
        </w:trPr>
        <w:tc>
          <w:tcPr>
            <w:gridSpan w:val="7"/>
            <w:tcW w:w="5000" w:type="pct"/>
            <w:vAlign w:val="top"/>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供应商确认：</w:t>
            </w:r>
            <w:r/>
          </w:p>
          <w:p>
            <w:pPr>
              <w:ind w:left="0" w:right="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r>
            <w:r/>
          </w:p>
          <w:p>
            <w:pPr>
              <w:ind w:left="0" w:right="0"/>
              <w:jc w:val="left"/>
              <w:keepLines w:val="0"/>
              <w:keepNext w:val="0"/>
              <w:spacing w:before="0" w:beforeAutospacing="0" w:after="0" w:afterAutospacing="0" w:line="400" w:lineRule="exact"/>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（单位公章或授权代表签字）</w:t>
            </w:r>
            <w:r/>
          </w:p>
        </w:tc>
      </w:tr>
    </w:tbl>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说明：1.该表为服务类项目履约验收的参考样表，采购人或采购代理机构可以根据工作实际进行调整。</w:t>
      </w:r>
      <w:r/>
    </w:p>
    <w:p>
      <w:pPr>
        <w:ind w:firstLine="63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2.未委托采购代理机构开展履约验收工作的，无需填写“采购代理机构意见”。</w:t>
      </w:r>
      <w:r/>
    </w:p>
    <w:p>
      <w:pPr>
        <w:pStyle w:val="851"/>
        <w:ind w:left="0" w:firstLine="0"/>
        <w:jc w:val="right"/>
        <w:rPr>
          <w:rFonts w:hint="eastAsia"/>
          <w:b/>
          <w:bCs/>
          <w:color w:val="auto"/>
          <w:sz w:val="24"/>
          <w:szCs w:val="24"/>
          <w:highlight w:val="none"/>
        </w:rPr>
      </w:pPr>
      <w:r>
        <w:rPr>
          <w:rFonts w:hint="eastAsia"/>
          <w:b/>
          <w:bCs/>
          <w:color w:val="auto"/>
          <w:sz w:val="24"/>
          <w:szCs w:val="24"/>
          <w:highlight w:val="none"/>
        </w:rPr>
      </w:r>
      <w:r/>
    </w:p>
    <w:p>
      <w:pPr>
        <w:pStyle w:val="851"/>
        <w:ind w:left="0" w:firstLine="0"/>
        <w:jc w:val="right"/>
        <w:rPr>
          <w:rFonts w:hint="eastAsia"/>
          <w:b/>
          <w:bCs/>
          <w:color w:val="auto"/>
          <w:sz w:val="24"/>
          <w:szCs w:val="24"/>
          <w:highlight w:val="none"/>
        </w:rPr>
      </w:pPr>
      <w:r>
        <w:rPr>
          <w:rFonts w:hint="eastAsia"/>
          <w:b/>
          <w:bCs/>
          <w:color w:val="auto"/>
          <w:sz w:val="24"/>
          <w:szCs w:val="24"/>
          <w:highlight w:val="none"/>
        </w:rPr>
        <w:t xml:space="preserve">（全文完）</w:t>
      </w:r>
      <w:r/>
    </w:p>
    <w:sectPr>
      <w:headerReference w:type="default" r:id="rId9"/>
      <w:footerReference w:type="default" r:id="rId12"/>
      <w:footerReference w:type="first" r:id="rId13"/>
      <w:footnotePr/>
      <w:endnotePr/>
      <w:type w:val="nextPage"/>
      <w:pgSz w:w="11907" w:h="16840" w:orient="portrait"/>
      <w:pgMar w:top="1134" w:right="1134" w:bottom="1134" w:left="1134"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Tahoma">
    <w:panose1 w:val="020B0604030504040204"/>
  </w:font>
  <w:font w:name="等线">
    <w:panose1 w:val="02010600030101010101"/>
  </w:font>
  <w:font w:name="仿宋">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0</wp:posOffset>
              </wp:positionV>
              <wp:extent cx="1244600" cy="132715"/>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244600" cy="132715"/>
                      </a:xfrm>
                      <a:prstGeom prst="rect">
                        <a:avLst/>
                      </a:prstGeom>
                      <a:noFill/>
                      <a:ln>
                        <a:noFill/>
                      </a:ln>
                    </wps:spPr>
                    <wps:txbx>
                      <w:txbxContent>
                        <w:p>
                          <w:pPr>
                            <w:pStyle w:val="82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vert="horz" wrap="square" lIns="0" tIns="0" rIns="0" bIns="0" anchor="t" anchorCtr="0" upright="0"/>
                  </wps:wsp>
                </a:graphicData>
              </a:graphic>
            </wp:anchor>
          </w:drawing>
        </mc:Choice>
        <mc:Fallback>
          <w:pict>
            <v:shape id="shape 0" o:spid="_x0000_s0" o:spt="202" type="#_x0000_t202" style="position:absolute;z-index:251661312;o:allowoverlap:true;o:allowincell:true;mso-position-horizontal-relative:margin;margin-left:202.7pt;mso-position-horizontal:absolute;mso-position-vertical-relative:text;margin-top:0.0pt;mso-position-vertical:absolute;width:98.0pt;height:10.4pt;mso-wrap-distance-left:9.0pt;mso-wrap-distance-top:0.0pt;mso-wrap-distance-right:9.0pt;mso-wrap-distance-bottom:0.0pt;v-text-anchor:top;visibility:visible;" filled="f" stroked="f">
              <v:textbox inset="0,0,0,0">
                <w:txbxContent>
                  <w:p>
                    <w:pPr>
                      <w:pStyle w:val="82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p>
                      </w:txbxContent>
                    </wps:txbx>
                    <wps:bodyPr vert="horz" wrap="none" lIns="0" tIns="0" rIns="0" bIns="0" anchor="t" anchorCtr="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28"/>
                      <w:jc w:val="center"/>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65</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p>
                      </w:txbxContent>
                    </wps:txbx>
                    <wps:bodyPr vert="horz" wrap="none" lIns="0" tIns="0" rIns="0" bIns="0" anchor="t" anchorCtr="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28"/>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66</w:t>
                    </w:r>
                    <w:r>
                      <w:rPr>
                        <w:rFonts w:hint="eastAsia"/>
                      </w:rP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Fonts w:hint="eastAsia" w:ascii="宋体" w:hAnsi="宋体" w:eastAsia="宋体"/>
        <w:color w:val="808080"/>
        <w:spacing w:val="6"/>
        <w:sz w:val="21"/>
        <w:lang w:eastAsia="zh-CN"/>
      </w:rPr>
      <w:pBdr>
        <w:bottom w:val="none" w:color="auto" w:sz="0" w:space="1"/>
      </w:pBdr>
    </w:pPr>
    <w:r>
      <w:rPr>
        <w:rFonts w:hint="eastAsia" w:ascii="宋体" w:hAnsi="宋体" w:eastAsia="宋体"/>
        <w:color w:val="808080"/>
        <w:spacing w:val="6"/>
        <w:sz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51"/>
      <w:isLgl w:val="false"/>
      <w:suff w:val="space"/>
      <w:lvlText w:val="第%1章"/>
      <w:lvlJc w:val="left"/>
      <w:pPr>
        <w:ind w:left="5807" w:hanging="420"/>
      </w:pPr>
      <w:rPr>
        <w:rFonts w:hint="eastAsia"/>
      </w:rPr>
    </w:lvl>
    <w:lvl w:ilvl="1">
      <w:start w:val="1"/>
      <w:numFmt w:val="decimal"/>
      <w:pStyle w:val="931"/>
      <w:isLgl/>
      <w:suff w:val="space"/>
      <w:lvlText w:val="%1.%2"/>
      <w:lvlJc w:val="left"/>
      <w:pPr>
        <w:ind w:left="840" w:hanging="840"/>
      </w:pPr>
      <w:rPr>
        <w:rFonts w:hint="eastAsia"/>
      </w:rPr>
    </w:lvl>
    <w:lvl w:ilvl="2">
      <w:start w:val="1"/>
      <w:numFmt w:val="decimal"/>
      <w:pStyle w:val="948"/>
      <w:isLgl/>
      <w:suff w:val="space"/>
      <w:lvlText w:val="%1.%2.%3"/>
      <w:lvlJc w:val="left"/>
      <w:pPr>
        <w:ind w:left="2948" w:hanging="680"/>
      </w:pPr>
      <w:rPr>
        <w:rFonts w:hint="default" w:ascii="宋体" w:hAnsi="宋体" w:eastAsia="宋体" w:cs="Times New Roman"/>
        <w:b w:val="0"/>
      </w:rPr>
    </w:lvl>
    <w:lvl w:ilvl="3">
      <w:start w:val="1"/>
      <w:numFmt w:val="decimal"/>
      <w:pStyle w:val="932"/>
      <w:isLgl/>
      <w:suff w:val="space"/>
      <w:lvlText w:val="%1.%2.%3.%4"/>
      <w:lvlJc w:val="left"/>
      <w:pPr>
        <w:ind w:left="511" w:hanging="114"/>
      </w:pPr>
      <w:rPr>
        <w:rFonts w:hint="default"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965"/>
      <w:isLgl w:val="false"/>
      <w:suff w:val="tab"/>
      <w:lvlText w:val=""/>
      <w:lvlJc w:val="left"/>
      <w:pPr>
        <w:ind w:left="840" w:hanging="420"/>
        <w:tabs>
          <w:tab w:val="left" w:pos="840" w:leader="none"/>
        </w:tabs>
      </w:pPr>
      <w:rPr>
        <w:rFonts w:hint="default" w:ascii="Wingdings" w:hAnsi="Wingdings"/>
        <w:color w:val="000080"/>
        <w:sz w:val="15"/>
        <w:szCs w:val="15"/>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5">
    <w:multiLevelType w:val="hybridMultilevel"/>
    <w:lvl w:ilvl="0">
      <w:start w:val="1"/>
      <w:numFmt w:val="decimal"/>
      <w:pStyle w:val="94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bullet"/>
      <w:pStyle w:val="962"/>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bullet"/>
      <w:isLgl w:val="false"/>
      <w:suff w:val="tab"/>
      <w:lvlText w:val=""/>
      <w:lvlJc w:val="left"/>
      <w:pPr>
        <w:ind w:left="660" w:hanging="420"/>
      </w:pPr>
      <w:rPr>
        <w:rFonts w:hint="default" w:ascii="Wingdings" w:hAnsi="Wingdings"/>
      </w:rPr>
    </w:lvl>
    <w:lvl w:ilvl="1">
      <w:start w:val="1"/>
      <w:numFmt w:val="bullet"/>
      <w:isLgl w:val="false"/>
      <w:suff w:val="tab"/>
      <w:lvlText w:val=""/>
      <w:lvlJc w:val="left"/>
      <w:pPr>
        <w:ind w:left="1080" w:hanging="420"/>
      </w:pPr>
      <w:rPr>
        <w:rFonts w:hint="default" w:ascii="Wingdings" w:hAnsi="Wingdings"/>
      </w:rPr>
    </w:lvl>
    <w:lvl w:ilvl="2">
      <w:start w:val="1"/>
      <w:numFmt w:val="bullet"/>
      <w:isLgl w:val="false"/>
      <w:suff w:val="tab"/>
      <w:lvlText w:val=""/>
      <w:lvlJc w:val="left"/>
      <w:pPr>
        <w:ind w:left="1500" w:hanging="420"/>
      </w:pPr>
      <w:rPr>
        <w:rFonts w:hint="default" w:ascii="Wingdings" w:hAnsi="Wingdings"/>
      </w:rPr>
    </w:lvl>
    <w:lvl w:ilvl="3">
      <w:start w:val="1"/>
      <w:numFmt w:val="bullet"/>
      <w:isLgl w:val="false"/>
      <w:suff w:val="tab"/>
      <w:lvlText w:val=""/>
      <w:lvlJc w:val="left"/>
      <w:pPr>
        <w:ind w:left="1920" w:hanging="420"/>
      </w:pPr>
      <w:rPr>
        <w:rFonts w:hint="default" w:ascii="Wingdings" w:hAnsi="Wingdings"/>
      </w:rPr>
    </w:lvl>
    <w:lvl w:ilvl="4">
      <w:start w:val="1"/>
      <w:numFmt w:val="bullet"/>
      <w:isLgl w:val="false"/>
      <w:suff w:val="tab"/>
      <w:lvlText w:val=""/>
      <w:lvlJc w:val="left"/>
      <w:pPr>
        <w:ind w:left="2340" w:hanging="420"/>
      </w:pPr>
      <w:rPr>
        <w:rFonts w:hint="default" w:ascii="Wingdings" w:hAnsi="Wingdings"/>
      </w:rPr>
    </w:lvl>
    <w:lvl w:ilvl="5">
      <w:start w:val="1"/>
      <w:numFmt w:val="bullet"/>
      <w:pStyle w:val="800"/>
      <w:isLgl w:val="false"/>
      <w:suff w:val="tab"/>
      <w:lvlText w:val=""/>
      <w:lvlJc w:val="left"/>
      <w:pPr>
        <w:ind w:left="2760" w:hanging="420"/>
      </w:pPr>
      <w:rPr>
        <w:rFonts w:hint="default" w:ascii="Wingdings" w:hAnsi="Wingdings"/>
      </w:rPr>
    </w:lvl>
    <w:lvl w:ilvl="6">
      <w:start w:val="1"/>
      <w:numFmt w:val="bullet"/>
      <w:isLgl w:val="false"/>
      <w:suff w:val="tab"/>
      <w:lvlText w:val=""/>
      <w:lvlJc w:val="left"/>
      <w:pPr>
        <w:ind w:left="3180" w:hanging="420"/>
      </w:pPr>
      <w:rPr>
        <w:rFonts w:hint="default" w:ascii="Wingdings" w:hAnsi="Wingdings"/>
      </w:rPr>
    </w:lvl>
    <w:lvl w:ilvl="7">
      <w:start w:val="1"/>
      <w:numFmt w:val="bullet"/>
      <w:isLgl w:val="false"/>
      <w:suff w:val="tab"/>
      <w:lvlText w:val=""/>
      <w:lvlJc w:val="left"/>
      <w:pPr>
        <w:ind w:left="3600" w:hanging="420"/>
      </w:pPr>
      <w:rPr>
        <w:rFonts w:hint="default" w:ascii="Wingdings" w:hAnsi="Wingdings"/>
      </w:rPr>
    </w:lvl>
    <w:lvl w:ilvl="8">
      <w:start w:val="1"/>
      <w:numFmt w:val="bullet"/>
      <w:isLgl w:val="false"/>
      <w:suff w:val="tab"/>
      <w:lvlText w:val=""/>
      <w:lvlJc w:val="left"/>
      <w:pPr>
        <w:ind w:left="4020" w:hanging="420"/>
      </w:pPr>
      <w:rPr>
        <w:rFonts w:hint="default" w:ascii="Wingdings" w:hAnsi="Wingdings"/>
      </w:rPr>
    </w:lvl>
  </w:abstractNum>
  <w:num w:numId="1">
    <w:abstractNumId w:val="8"/>
  </w:num>
  <w:num w:numId="2">
    <w:abstractNumId w:val="1"/>
  </w:num>
  <w:num w:numId="3">
    <w:abstractNumId w:val="6"/>
  </w:num>
  <w:num w:numId="4">
    <w:abstractNumId w:val="5"/>
  </w:num>
  <w:num w:numId="5">
    <w:abstractNumId w:val="7"/>
  </w:num>
  <w:num w:numId="6">
    <w:abstractNumId w:val="4"/>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4"/>
    <w:link w:val="795"/>
    <w:uiPriority w:val="9"/>
    <w:rPr>
      <w:rFonts w:ascii="Arial" w:hAnsi="Arial" w:eastAsia="Arial" w:cs="Arial"/>
      <w:sz w:val="40"/>
      <w:szCs w:val="40"/>
    </w:rPr>
  </w:style>
  <w:style w:type="character" w:styleId="15">
    <w:name w:val="Heading 2 Char"/>
    <w:basedOn w:val="804"/>
    <w:link w:val="796"/>
    <w:uiPriority w:val="9"/>
    <w:rPr>
      <w:rFonts w:ascii="Arial" w:hAnsi="Arial" w:eastAsia="Arial" w:cs="Arial"/>
      <w:sz w:val="34"/>
    </w:rPr>
  </w:style>
  <w:style w:type="character" w:styleId="17">
    <w:name w:val="Heading 3 Char"/>
    <w:basedOn w:val="804"/>
    <w:link w:val="943"/>
    <w:uiPriority w:val="9"/>
    <w:rPr>
      <w:rFonts w:ascii="Arial" w:hAnsi="Arial" w:eastAsia="Arial" w:cs="Arial"/>
      <w:sz w:val="30"/>
      <w:szCs w:val="30"/>
    </w:rPr>
  </w:style>
  <w:style w:type="character" w:styleId="19">
    <w:name w:val="Heading 4 Char"/>
    <w:basedOn w:val="804"/>
    <w:link w:val="798"/>
    <w:uiPriority w:val="9"/>
    <w:rPr>
      <w:rFonts w:ascii="Arial" w:hAnsi="Arial" w:eastAsia="Arial" w:cs="Arial"/>
      <w:b/>
      <w:bCs/>
      <w:sz w:val="26"/>
      <w:szCs w:val="26"/>
    </w:rPr>
  </w:style>
  <w:style w:type="character" w:styleId="21">
    <w:name w:val="Heading 5 Char"/>
    <w:basedOn w:val="804"/>
    <w:link w:val="799"/>
    <w:uiPriority w:val="9"/>
    <w:rPr>
      <w:rFonts w:ascii="Arial" w:hAnsi="Arial" w:eastAsia="Arial" w:cs="Arial"/>
      <w:b/>
      <w:bCs/>
      <w:sz w:val="24"/>
      <w:szCs w:val="24"/>
    </w:rPr>
  </w:style>
  <w:style w:type="character" w:styleId="23">
    <w:name w:val="Heading 6 Char"/>
    <w:basedOn w:val="804"/>
    <w:link w:val="800"/>
    <w:uiPriority w:val="9"/>
    <w:rPr>
      <w:rFonts w:ascii="Arial" w:hAnsi="Arial" w:eastAsia="Arial" w:cs="Arial"/>
      <w:b/>
      <w:bCs/>
      <w:sz w:val="22"/>
      <w:szCs w:val="22"/>
    </w:rPr>
  </w:style>
  <w:style w:type="character" w:styleId="25">
    <w:name w:val="Heading 7 Char"/>
    <w:basedOn w:val="804"/>
    <w:link w:val="801"/>
    <w:uiPriority w:val="9"/>
    <w:rPr>
      <w:rFonts w:ascii="Arial" w:hAnsi="Arial" w:eastAsia="Arial" w:cs="Arial"/>
      <w:b/>
      <w:bCs/>
      <w:i/>
      <w:iCs/>
      <w:sz w:val="22"/>
      <w:szCs w:val="22"/>
    </w:rPr>
  </w:style>
  <w:style w:type="character" w:styleId="27">
    <w:name w:val="Heading 8 Char"/>
    <w:basedOn w:val="804"/>
    <w:link w:val="802"/>
    <w:uiPriority w:val="9"/>
    <w:rPr>
      <w:rFonts w:ascii="Arial" w:hAnsi="Arial" w:eastAsia="Arial" w:cs="Arial"/>
      <w:i/>
      <w:iCs/>
      <w:sz w:val="22"/>
      <w:szCs w:val="22"/>
    </w:rPr>
  </w:style>
  <w:style w:type="character" w:styleId="29">
    <w:name w:val="Heading 9 Char"/>
    <w:basedOn w:val="804"/>
    <w:link w:val="803"/>
    <w:uiPriority w:val="9"/>
    <w:rPr>
      <w:rFonts w:ascii="Arial" w:hAnsi="Arial" w:eastAsia="Arial" w:cs="Arial"/>
      <w:i/>
      <w:iCs/>
      <w:sz w:val="21"/>
      <w:szCs w:val="21"/>
    </w:rPr>
  </w:style>
  <w:style w:type="character" w:styleId="34">
    <w:name w:val="Title Char"/>
    <w:basedOn w:val="804"/>
    <w:link w:val="848"/>
    <w:uiPriority w:val="10"/>
    <w:rPr>
      <w:sz w:val="48"/>
      <w:szCs w:val="48"/>
    </w:rPr>
  </w:style>
  <w:style w:type="character" w:styleId="36">
    <w:name w:val="Subtitle Char"/>
    <w:basedOn w:val="804"/>
    <w:link w:val="835"/>
    <w:uiPriority w:val="11"/>
    <w:rPr>
      <w:sz w:val="24"/>
      <w:szCs w:val="24"/>
    </w:rPr>
  </w:style>
  <w:style w:type="paragraph" w:styleId="37">
    <w:name w:val="Quote"/>
    <w:basedOn w:val="794"/>
    <w:next w:val="794"/>
    <w:link w:val="38"/>
    <w:uiPriority w:val="29"/>
    <w:qFormat/>
    <w:pPr>
      <w:ind w:left="720" w:right="720"/>
    </w:pPr>
    <w:rPr>
      <w:i/>
    </w:rPr>
  </w:style>
  <w:style w:type="character" w:styleId="38">
    <w:name w:val="Quote Char"/>
    <w:link w:val="37"/>
    <w:uiPriority w:val="29"/>
    <w:rPr>
      <w:i/>
    </w:rPr>
  </w:style>
  <w:style w:type="paragraph" w:styleId="39">
    <w:name w:val="Intense Quote"/>
    <w:basedOn w:val="794"/>
    <w:next w:val="7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4"/>
    <w:link w:val="829"/>
    <w:uiPriority w:val="99"/>
  </w:style>
  <w:style w:type="character" w:styleId="44">
    <w:name w:val="Footer Char"/>
    <w:basedOn w:val="804"/>
    <w:link w:val="828"/>
    <w:uiPriority w:val="99"/>
  </w:style>
  <w:style w:type="character" w:styleId="46">
    <w:name w:val="Caption Char"/>
    <w:basedOn w:val="810"/>
    <w:link w:val="828"/>
    <w:uiPriority w:val="99"/>
  </w:style>
  <w:style w:type="table" w:styleId="48">
    <w:name w:val="Table Grid Light"/>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4"/>
    <w:uiPriority w:val="99"/>
    <w:unhideWhenUsed/>
    <w:rPr>
      <w:vertAlign w:val="superscript"/>
    </w:rPr>
  </w:style>
  <w:style w:type="paragraph" w:styleId="177">
    <w:name w:val="endnote text"/>
    <w:basedOn w:val="7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4"/>
    <w:uiPriority w:val="99"/>
    <w:semiHidden/>
    <w:unhideWhenUsed/>
    <w:rPr>
      <w:vertAlign w:val="superscript"/>
    </w:rPr>
  </w:style>
  <w:style w:type="paragraph" w:styleId="189">
    <w:name w:val="TOC Heading"/>
    <w:uiPriority w:val="39"/>
    <w:unhideWhenUsed/>
  </w:style>
  <w:style w:type="paragraph" w:styleId="794" w:default="1">
    <w:name w:val="Normal"/>
    <w:next w:val="806"/>
    <w:uiPriority w:val="0"/>
    <w:qFormat/>
    <w:pPr>
      <w:jc w:val="both"/>
      <w:widowControl w:val="off"/>
    </w:pPr>
    <w:rPr>
      <w:rFonts w:ascii="Times New Roman" w:hAnsi="Times New Roman" w:eastAsia="宋体" w:cs="Times New Roman"/>
      <w:sz w:val="21"/>
      <w:lang w:val="en-US" w:eastAsia="zh-CN" w:bidi="ar-SA"/>
    </w:rPr>
  </w:style>
  <w:style w:type="paragraph" w:styleId="795">
    <w:name w:val="Heading 1"/>
    <w:basedOn w:val="794"/>
    <w:next w:val="794"/>
    <w:link w:val="860"/>
    <w:uiPriority w:val="9"/>
    <w:qFormat/>
    <w:pPr>
      <w:jc w:val="center"/>
      <w:keepNext/>
      <w:tabs>
        <w:tab w:val="left" w:pos="200" w:leader="none"/>
      </w:tabs>
      <w:outlineLvl w:val="0"/>
    </w:pPr>
    <w:rPr>
      <w:rFonts w:ascii="宋体" w:hAnsi="宋体"/>
      <w:b/>
      <w:sz w:val="36"/>
    </w:rPr>
  </w:style>
  <w:style w:type="paragraph" w:styleId="796">
    <w:name w:val="Heading 2"/>
    <w:basedOn w:val="794"/>
    <w:next w:val="794"/>
    <w:link w:val="861"/>
    <w:uiPriority w:val="9"/>
    <w:qFormat/>
    <w:pPr>
      <w:jc w:val="center"/>
      <w:keepNext/>
      <w:outlineLvl w:val="1"/>
    </w:pPr>
    <w:rPr>
      <w:rFonts w:ascii="宋体" w:hAnsi="宋体"/>
      <w:b/>
      <w:bCs/>
      <w:sz w:val="28"/>
      <w:szCs w:val="28"/>
    </w:rPr>
  </w:style>
  <w:style w:type="paragraph" w:styleId="797">
    <w:name w:val="Heading 3"/>
    <w:basedOn w:val="794"/>
    <w:next w:val="794"/>
    <w:link w:val="862"/>
    <w:uiPriority w:val="9"/>
    <w:qFormat/>
    <w:pPr>
      <w:jc w:val="center"/>
      <w:keepNext/>
      <w:outlineLvl w:val="2"/>
    </w:pPr>
    <w:rPr>
      <w:rFonts w:ascii="宋体" w:hAnsi="宋体"/>
      <w:sz w:val="28"/>
    </w:rPr>
  </w:style>
  <w:style w:type="paragraph" w:styleId="798">
    <w:name w:val="Heading 4"/>
    <w:basedOn w:val="794"/>
    <w:next w:val="794"/>
    <w:link w:val="863"/>
    <w:uiPriority w:val="0"/>
    <w:qFormat/>
    <w:pPr>
      <w:keepNext/>
      <w:outlineLvl w:val="3"/>
    </w:pPr>
    <w:rPr>
      <w:b/>
      <w:bCs/>
      <w:sz w:val="18"/>
    </w:rPr>
  </w:style>
  <w:style w:type="paragraph" w:styleId="799">
    <w:name w:val="Heading 5"/>
    <w:basedOn w:val="794"/>
    <w:next w:val="794"/>
    <w:link w:val="864"/>
    <w:uiPriority w:val="0"/>
    <w:qFormat/>
    <w:pPr>
      <w:jc w:val="center"/>
      <w:keepNext/>
      <w:outlineLvl w:val="4"/>
    </w:pPr>
    <w:rPr>
      <w:b/>
      <w:bCs/>
      <w:sz w:val="18"/>
    </w:rPr>
  </w:style>
  <w:style w:type="paragraph" w:styleId="800">
    <w:name w:val="Heading 6"/>
    <w:basedOn w:val="794"/>
    <w:next w:val="794"/>
    <w:link w:val="865"/>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801">
    <w:name w:val="Heading 7"/>
    <w:basedOn w:val="794"/>
    <w:next w:val="794"/>
    <w:link w:val="866"/>
    <w:uiPriority w:val="0"/>
    <w:qFormat/>
    <w:pPr>
      <w:keepNext/>
      <w:outlineLvl w:val="6"/>
    </w:pPr>
    <w:rPr>
      <w:rFonts w:ascii="Arial" w:hAnsi="Arial"/>
      <w:b/>
      <w:bCs/>
      <w:sz w:val="16"/>
      <w:szCs w:val="16"/>
    </w:rPr>
  </w:style>
  <w:style w:type="paragraph" w:styleId="802">
    <w:name w:val="Heading 8"/>
    <w:basedOn w:val="794"/>
    <w:next w:val="794"/>
    <w:link w:val="867"/>
    <w:uiPriority w:val="0"/>
    <w:qFormat/>
    <w:pPr>
      <w:keepNext/>
      <w:outlineLvl w:val="7"/>
    </w:pPr>
    <w:rPr>
      <w:b/>
      <w:bCs/>
      <w:sz w:val="24"/>
      <w:szCs w:val="24"/>
    </w:rPr>
  </w:style>
  <w:style w:type="paragraph" w:styleId="803">
    <w:name w:val="Heading 9"/>
    <w:basedOn w:val="794"/>
    <w:next w:val="794"/>
    <w:link w:val="868"/>
    <w:uiPriority w:val="0"/>
    <w:qFormat/>
    <w:pPr>
      <w:jc w:val="center"/>
      <w:keepNext/>
      <w:outlineLvl w:val="8"/>
    </w:pPr>
    <w:rPr>
      <w:b/>
      <w:bCs/>
      <w:szCs w:val="24"/>
    </w:rPr>
  </w:style>
  <w:style w:type="character" w:styleId="804" w:default="1">
    <w:name w:val="Default Paragraph Font"/>
    <w:uiPriority w:val="0"/>
    <w:semiHidden/>
    <w:qFormat/>
  </w:style>
  <w:style w:type="table" w:styleId="805" w:default="1">
    <w:name w:val="Normal Table"/>
    <w:uiPriority w:val="0"/>
    <w:semiHidden/>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06">
    <w:name w:val="index 4"/>
    <w:basedOn w:val="794"/>
    <w:next w:val="794"/>
    <w:uiPriority w:val="0"/>
    <w:semiHidden/>
    <w:qFormat/>
    <w:pPr>
      <w:ind w:left="600"/>
    </w:pPr>
  </w:style>
  <w:style w:type="paragraph" w:styleId="807">
    <w:name w:val="toc 7"/>
    <w:basedOn w:val="794"/>
    <w:next w:val="794"/>
    <w:uiPriority w:val="39"/>
    <w:pPr>
      <w:ind w:left="1260"/>
      <w:jc w:val="left"/>
    </w:pPr>
    <w:rPr>
      <w:szCs w:val="21"/>
    </w:rPr>
  </w:style>
  <w:style w:type="paragraph" w:styleId="808">
    <w:name w:val="index 8"/>
    <w:basedOn w:val="794"/>
    <w:next w:val="794"/>
    <w:uiPriority w:val="0"/>
    <w:semiHidden/>
    <w:qFormat/>
    <w:pPr>
      <w:ind w:left="1400"/>
    </w:pPr>
  </w:style>
  <w:style w:type="paragraph" w:styleId="809">
    <w:name w:val="Normal Indent"/>
    <w:basedOn w:val="794"/>
    <w:link w:val="869"/>
    <w:uiPriority w:val="0"/>
    <w:qFormat/>
    <w:pPr>
      <w:ind w:firstLine="420"/>
    </w:pPr>
  </w:style>
  <w:style w:type="paragraph" w:styleId="810">
    <w:name w:val="Caption"/>
    <w:basedOn w:val="794"/>
    <w:next w:val="794"/>
    <w:link w:val="870"/>
    <w:uiPriority w:val="0"/>
    <w:qFormat/>
    <w:rPr>
      <w:rFonts w:ascii="Arial" w:hAnsi="Arial" w:eastAsia="黑体"/>
      <w:sz w:val="20"/>
    </w:rPr>
  </w:style>
  <w:style w:type="paragraph" w:styleId="811">
    <w:name w:val="index 5"/>
    <w:basedOn w:val="794"/>
    <w:next w:val="794"/>
    <w:uiPriority w:val="0"/>
    <w:semiHidden/>
    <w:qFormat/>
    <w:pPr>
      <w:ind w:left="800"/>
    </w:pPr>
  </w:style>
  <w:style w:type="paragraph" w:styleId="812">
    <w:name w:val="Document Map"/>
    <w:basedOn w:val="794"/>
    <w:uiPriority w:val="0"/>
    <w:semiHidden/>
    <w:qFormat/>
    <w:pPr>
      <w:shd w:val="clear" w:color="auto" w:fill="auto"/>
    </w:pPr>
    <w:rPr>
      <w:rFonts w:ascii="Times New Roman" w:hAnsi="Times New Roman" w:eastAsia="宋体"/>
    </w:rPr>
  </w:style>
  <w:style w:type="paragraph" w:styleId="813">
    <w:name w:val="annotation text"/>
    <w:basedOn w:val="794"/>
    <w:link w:val="871"/>
    <w:uiPriority w:val="0"/>
    <w:pPr>
      <w:jc w:val="left"/>
    </w:pPr>
    <w:rPr>
      <w:rFonts w:ascii="Calibri" w:hAnsi="Calibri"/>
      <w:szCs w:val="22"/>
    </w:rPr>
  </w:style>
  <w:style w:type="paragraph" w:styleId="814">
    <w:name w:val="index 6"/>
    <w:basedOn w:val="794"/>
    <w:next w:val="794"/>
    <w:uiPriority w:val="0"/>
    <w:semiHidden/>
    <w:pPr>
      <w:ind w:left="1000"/>
    </w:pPr>
  </w:style>
  <w:style w:type="paragraph" w:styleId="815">
    <w:name w:val="Body Text 3"/>
    <w:basedOn w:val="794"/>
    <w:link w:val="872"/>
    <w:uiPriority w:val="99"/>
    <w:unhideWhenUsed/>
    <w:pPr>
      <w:jc w:val="center"/>
    </w:pPr>
    <w:rPr>
      <w:rFonts w:ascii="宋体" w:hAnsi="宋体" w:eastAsia="楷体_GB2312"/>
      <w:sz w:val="26"/>
    </w:rPr>
  </w:style>
  <w:style w:type="paragraph" w:styleId="816">
    <w:name w:val="Body Text"/>
    <w:basedOn w:val="794"/>
    <w:link w:val="873"/>
    <w:uiPriority w:val="0"/>
    <w:qFormat/>
    <w:rPr>
      <w:rFonts w:ascii="楷体_GB2312" w:hAnsi="Arial" w:eastAsia="楷体_GB2312"/>
      <w:sz w:val="28"/>
    </w:rPr>
  </w:style>
  <w:style w:type="paragraph" w:styleId="817">
    <w:name w:val="Body Text Indent"/>
    <w:basedOn w:val="794"/>
    <w:next w:val="818"/>
    <w:link w:val="874"/>
    <w:uiPriority w:val="99"/>
    <w:qFormat/>
    <w:pPr>
      <w:ind w:firstLine="574"/>
      <w:spacing w:line="312" w:lineRule="atLeast"/>
    </w:pPr>
    <w:rPr>
      <w:rFonts w:ascii="宋体"/>
      <w:sz w:val="28"/>
    </w:rPr>
  </w:style>
  <w:style w:type="paragraph" w:styleId="818">
    <w:name w:val="envelope return"/>
    <w:basedOn w:val="794"/>
    <w:uiPriority w:val="0"/>
    <w:qFormat/>
    <w:rPr>
      <w:rFonts w:ascii="Arial" w:hAnsi="Arial" w:cs="Arial"/>
    </w:rPr>
  </w:style>
  <w:style w:type="paragraph" w:styleId="819">
    <w:name w:val="Block Text"/>
    <w:basedOn w:val="794"/>
    <w:uiPriority w:val="0"/>
    <w:pPr>
      <w:ind w:left="1890" w:right="11" w:hanging="1409"/>
      <w:spacing w:before="89"/>
      <w:tabs>
        <w:tab w:val="left" w:pos="822" w:leader="none"/>
        <w:tab w:val="left" w:pos="2205" w:leader="none"/>
        <w:tab w:val="left" w:pos="9000" w:leader="none"/>
      </w:tabs>
    </w:pPr>
    <w:rPr>
      <w:sz w:val="24"/>
    </w:rPr>
  </w:style>
  <w:style w:type="paragraph" w:styleId="820">
    <w:name w:val="toc 5"/>
    <w:basedOn w:val="794"/>
    <w:next w:val="794"/>
    <w:uiPriority w:val="39"/>
    <w:qFormat/>
    <w:pPr>
      <w:ind w:left="840"/>
      <w:jc w:val="left"/>
    </w:pPr>
    <w:rPr>
      <w:szCs w:val="21"/>
    </w:rPr>
  </w:style>
  <w:style w:type="paragraph" w:styleId="821">
    <w:name w:val="toc 3"/>
    <w:basedOn w:val="794"/>
    <w:next w:val="794"/>
    <w:uiPriority w:val="39"/>
    <w:qFormat/>
    <w:pPr>
      <w:ind w:left="420"/>
      <w:jc w:val="left"/>
    </w:pPr>
    <w:rPr>
      <w:i/>
      <w:iCs/>
      <w:szCs w:val="24"/>
    </w:rPr>
  </w:style>
  <w:style w:type="paragraph" w:styleId="822">
    <w:name w:val="Plain Text"/>
    <w:basedOn w:val="794"/>
    <w:link w:val="875"/>
    <w:uiPriority w:val="0"/>
    <w:qFormat/>
    <w:rPr>
      <w:rFonts w:ascii="宋体" w:hAnsi="Courier New"/>
    </w:rPr>
  </w:style>
  <w:style w:type="paragraph" w:styleId="823">
    <w:name w:val="toc 8"/>
    <w:basedOn w:val="794"/>
    <w:next w:val="794"/>
    <w:uiPriority w:val="39"/>
    <w:pPr>
      <w:ind w:left="1470"/>
      <w:jc w:val="left"/>
    </w:pPr>
    <w:rPr>
      <w:szCs w:val="21"/>
    </w:rPr>
  </w:style>
  <w:style w:type="paragraph" w:styleId="824">
    <w:name w:val="index 3"/>
    <w:basedOn w:val="794"/>
    <w:next w:val="794"/>
    <w:uiPriority w:val="0"/>
    <w:semiHidden/>
    <w:qFormat/>
    <w:pPr>
      <w:ind w:left="400"/>
    </w:pPr>
  </w:style>
  <w:style w:type="paragraph" w:styleId="825">
    <w:name w:val="Date"/>
    <w:basedOn w:val="794"/>
    <w:next w:val="794"/>
    <w:link w:val="876"/>
    <w:uiPriority w:val="0"/>
    <w:qFormat/>
    <w:pPr>
      <w:spacing w:line="312" w:lineRule="atLeast"/>
    </w:pPr>
    <w:rPr>
      <w:rFonts w:ascii="宋体"/>
      <w:sz w:val="28"/>
    </w:rPr>
  </w:style>
  <w:style w:type="paragraph" w:styleId="826">
    <w:name w:val="Body Text Indent 2"/>
    <w:basedOn w:val="794"/>
    <w:link w:val="877"/>
    <w:uiPriority w:val="99"/>
    <w:qFormat/>
    <w:pPr>
      <w:ind w:left="1890" w:hanging="1409"/>
      <w:tabs>
        <w:tab w:val="left" w:pos="1785" w:leader="none"/>
        <w:tab w:val="left" w:pos="1887" w:leader="none"/>
        <w:tab w:val="left" w:pos="2112" w:leader="none"/>
        <w:tab w:val="left" w:pos="9000" w:leader="none"/>
      </w:tabs>
    </w:pPr>
    <w:rPr>
      <w:sz w:val="24"/>
    </w:rPr>
  </w:style>
  <w:style w:type="paragraph" w:styleId="827">
    <w:name w:val="Balloon Text"/>
    <w:basedOn w:val="794"/>
    <w:link w:val="878"/>
    <w:uiPriority w:val="0"/>
    <w:unhideWhenUsed/>
    <w:qFormat/>
    <w:rPr>
      <w:rFonts w:ascii="Calibri" w:hAnsi="Calibri"/>
      <w:sz w:val="18"/>
      <w:szCs w:val="18"/>
    </w:rPr>
  </w:style>
  <w:style w:type="paragraph" w:styleId="828">
    <w:name w:val="Footer"/>
    <w:basedOn w:val="794"/>
    <w:link w:val="879"/>
    <w:uiPriority w:val="99"/>
    <w:qFormat/>
    <w:pPr>
      <w:jc w:val="left"/>
      <w:tabs>
        <w:tab w:val="center" w:pos="4153" w:leader="none"/>
        <w:tab w:val="right" w:pos="8306" w:leader="none"/>
      </w:tabs>
    </w:pPr>
    <w:rPr>
      <w:sz w:val="18"/>
    </w:rPr>
  </w:style>
  <w:style w:type="paragraph" w:styleId="829">
    <w:name w:val="Header"/>
    <w:basedOn w:val="794"/>
    <w:link w:val="880"/>
    <w:uiPriority w:val="99"/>
    <w:qFormat/>
    <w:pPr>
      <w:jc w:val="center"/>
      <w:tabs>
        <w:tab w:val="center" w:pos="4153" w:leader="none"/>
        <w:tab w:val="right" w:pos="8306" w:leader="none"/>
      </w:tabs>
      <w:pBdr>
        <w:bottom w:val="single" w:color="auto" w:sz="6" w:space="1"/>
      </w:pBdr>
    </w:pPr>
    <w:rPr>
      <w:sz w:val="18"/>
    </w:rPr>
  </w:style>
  <w:style w:type="paragraph" w:styleId="830">
    <w:name w:val="Signature"/>
    <w:basedOn w:val="794"/>
    <w:link w:val="881"/>
    <w:uiPriority w:val="0"/>
    <w:qFormat/>
    <w:pPr>
      <w:jc w:val="center"/>
      <w:spacing w:after="600" w:line="312" w:lineRule="atLeast"/>
    </w:pPr>
    <w:rPr>
      <w:rFonts w:eastAsia="仿宋_GB2312"/>
      <w:sz w:val="24"/>
    </w:rPr>
  </w:style>
  <w:style w:type="paragraph" w:styleId="831">
    <w:name w:val="toc 1"/>
    <w:basedOn w:val="794"/>
    <w:next w:val="794"/>
    <w:uiPriority w:val="39"/>
    <w:qFormat/>
    <w:pPr>
      <w:ind w:left="210"/>
      <w:spacing w:before="100" w:beforeAutospacing="1" w:after="100" w:afterAutospacing="1" w:line="360" w:lineRule="exact"/>
      <w:tabs>
        <w:tab w:val="right" w:pos="9450" w:leader="dot"/>
      </w:tabs>
    </w:pPr>
    <w:rPr>
      <w:b/>
      <w:bCs/>
      <w:caps/>
      <w:sz w:val="28"/>
      <w:szCs w:val="36"/>
    </w:rPr>
  </w:style>
  <w:style w:type="paragraph" w:styleId="832">
    <w:name w:val="toc 4"/>
    <w:basedOn w:val="794"/>
    <w:next w:val="794"/>
    <w:uiPriority w:val="39"/>
    <w:qFormat/>
    <w:pPr>
      <w:ind w:left="630"/>
      <w:jc w:val="left"/>
    </w:pPr>
    <w:rPr>
      <w:szCs w:val="21"/>
    </w:rPr>
  </w:style>
  <w:style w:type="paragraph" w:styleId="833">
    <w:name w:val="index heading"/>
    <w:basedOn w:val="794"/>
    <w:next w:val="834"/>
    <w:uiPriority w:val="0"/>
    <w:semiHidden/>
    <w:qFormat/>
  </w:style>
  <w:style w:type="paragraph" w:styleId="834">
    <w:name w:val="index 1"/>
    <w:basedOn w:val="794"/>
    <w:next w:val="794"/>
    <w:uiPriority w:val="0"/>
    <w:semiHidden/>
    <w:qFormat/>
  </w:style>
  <w:style w:type="paragraph" w:styleId="835">
    <w:name w:val="Subtitle"/>
    <w:basedOn w:val="794"/>
    <w:next w:val="794"/>
    <w:link w:val="882"/>
    <w:uiPriority w:val="0"/>
    <w:qFormat/>
    <w:pPr>
      <w:jc w:val="center"/>
      <w:spacing w:before="240" w:after="60" w:line="312" w:lineRule="auto"/>
      <w:outlineLvl w:val="1"/>
    </w:pPr>
    <w:rPr>
      <w:rFonts w:ascii="Cambria" w:hAnsi="Cambria"/>
      <w:b/>
      <w:bCs/>
      <w:sz w:val="32"/>
      <w:szCs w:val="32"/>
    </w:rPr>
  </w:style>
  <w:style w:type="paragraph" w:styleId="836">
    <w:name w:val="List"/>
    <w:basedOn w:val="794"/>
    <w:uiPriority w:val="99"/>
    <w:qFormat/>
    <w:pPr>
      <w:ind w:left="200" w:hanging="200"/>
    </w:pPr>
    <w:rPr>
      <w:szCs w:val="24"/>
    </w:rPr>
  </w:style>
  <w:style w:type="paragraph" w:styleId="837">
    <w:name w:val="toc 6"/>
    <w:basedOn w:val="794"/>
    <w:next w:val="794"/>
    <w:uiPriority w:val="39"/>
    <w:qFormat/>
    <w:pPr>
      <w:ind w:left="1050"/>
      <w:jc w:val="left"/>
    </w:pPr>
    <w:rPr>
      <w:szCs w:val="21"/>
    </w:rPr>
  </w:style>
  <w:style w:type="paragraph" w:styleId="838">
    <w:name w:val="Body Text Indent 3"/>
    <w:basedOn w:val="794"/>
    <w:link w:val="883"/>
    <w:uiPriority w:val="0"/>
    <w:qFormat/>
    <w:pPr>
      <w:ind w:firstLine="555"/>
    </w:pPr>
    <w:rPr>
      <w:b/>
      <w:bCs/>
      <w:sz w:val="28"/>
      <w:u w:val="single"/>
    </w:rPr>
  </w:style>
  <w:style w:type="paragraph" w:styleId="839">
    <w:name w:val="index 7"/>
    <w:basedOn w:val="794"/>
    <w:next w:val="794"/>
    <w:uiPriority w:val="0"/>
    <w:semiHidden/>
    <w:qFormat/>
    <w:pPr>
      <w:ind w:left="1200"/>
    </w:pPr>
  </w:style>
  <w:style w:type="paragraph" w:styleId="840">
    <w:name w:val="index 9"/>
    <w:basedOn w:val="794"/>
    <w:next w:val="794"/>
    <w:uiPriority w:val="0"/>
    <w:semiHidden/>
    <w:qFormat/>
    <w:pPr>
      <w:ind w:left="1600"/>
    </w:pPr>
  </w:style>
  <w:style w:type="paragraph" w:styleId="841">
    <w:name w:val="table of figures"/>
    <w:basedOn w:val="794"/>
    <w:next w:val="794"/>
    <w:uiPriority w:val="0"/>
    <w:semiHidden/>
    <w:qFormat/>
    <w:pPr>
      <w:ind w:left="840" w:hanging="420"/>
    </w:pPr>
  </w:style>
  <w:style w:type="paragraph" w:styleId="842">
    <w:name w:val="toc 2"/>
    <w:basedOn w:val="794"/>
    <w:next w:val="794"/>
    <w:uiPriority w:val="39"/>
    <w:qFormat/>
    <w:pPr>
      <w:ind w:left="250"/>
      <w:jc w:val="left"/>
      <w:spacing w:line="400" w:lineRule="exact"/>
      <w:tabs>
        <w:tab w:val="right" w:pos="9450" w:leader="dot"/>
      </w:tabs>
    </w:pPr>
    <w:rPr>
      <w:bCs/>
      <w:smallCaps/>
      <w:sz w:val="24"/>
      <w:szCs w:val="24"/>
    </w:rPr>
  </w:style>
  <w:style w:type="paragraph" w:styleId="843">
    <w:name w:val="toc 9"/>
    <w:basedOn w:val="794"/>
    <w:next w:val="794"/>
    <w:uiPriority w:val="0"/>
    <w:pPr>
      <w:ind w:left="1680"/>
      <w:jc w:val="left"/>
    </w:pPr>
    <w:rPr>
      <w:szCs w:val="21"/>
    </w:rPr>
  </w:style>
  <w:style w:type="paragraph" w:styleId="844">
    <w:name w:val="Body Text 2"/>
    <w:basedOn w:val="794"/>
    <w:link w:val="884"/>
    <w:uiPriority w:val="0"/>
    <w:qFormat/>
    <w:pPr>
      <w:spacing w:after="120" w:line="480" w:lineRule="auto"/>
    </w:pPr>
  </w:style>
  <w:style w:type="paragraph" w:styleId="845">
    <w:name w:val="HTML Preformatted"/>
    <w:basedOn w:val="794"/>
    <w:link w:val="8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46">
    <w:name w:val="Normal (Web)"/>
    <w:basedOn w:val="794"/>
    <w:uiPriority w:val="99"/>
    <w:unhideWhenUsed/>
    <w:qFormat/>
    <w:pPr>
      <w:jc w:val="left"/>
      <w:spacing w:before="100" w:beforeAutospacing="1" w:after="100" w:afterAutospacing="1"/>
      <w:widowControl/>
    </w:pPr>
    <w:rPr>
      <w:rFonts w:ascii="宋体" w:hAnsi="宋体" w:eastAsia="楷体_GB2312" w:cs="宋体"/>
      <w:sz w:val="24"/>
    </w:rPr>
  </w:style>
  <w:style w:type="paragraph" w:styleId="847">
    <w:name w:val="index 2"/>
    <w:basedOn w:val="794"/>
    <w:next w:val="794"/>
    <w:uiPriority w:val="0"/>
    <w:semiHidden/>
    <w:qFormat/>
    <w:pPr>
      <w:ind w:left="200"/>
    </w:pPr>
  </w:style>
  <w:style w:type="paragraph" w:styleId="848">
    <w:name w:val="Title"/>
    <w:basedOn w:val="794"/>
    <w:next w:val="794"/>
    <w:link w:val="886"/>
    <w:uiPriority w:val="0"/>
    <w:qFormat/>
    <w:pPr>
      <w:jc w:val="center"/>
      <w:spacing w:before="240" w:after="60"/>
      <w:outlineLvl w:val="0"/>
    </w:pPr>
    <w:rPr>
      <w:rFonts w:ascii="Cambria" w:hAnsi="Cambria"/>
      <w:b/>
      <w:bCs/>
      <w:sz w:val="32"/>
      <w:szCs w:val="32"/>
    </w:rPr>
  </w:style>
  <w:style w:type="paragraph" w:styleId="849">
    <w:name w:val="annotation subject"/>
    <w:basedOn w:val="813"/>
    <w:next w:val="813"/>
    <w:link w:val="887"/>
    <w:uiPriority w:val="0"/>
    <w:qFormat/>
    <w:rPr>
      <w:rFonts w:eastAsia="楷体_GB2312"/>
      <w:b/>
      <w:bCs/>
      <w:sz w:val="26"/>
    </w:rPr>
  </w:style>
  <w:style w:type="paragraph" w:styleId="850">
    <w:name w:val="Body Text First Indent"/>
    <w:basedOn w:val="816"/>
    <w:uiPriority w:val="99"/>
    <w:qFormat/>
    <w:pPr>
      <w:ind w:firstLine="420"/>
      <w:spacing w:line="312" w:lineRule="auto"/>
    </w:pPr>
  </w:style>
  <w:style w:type="paragraph" w:styleId="851">
    <w:name w:val="Body Text First Indent 2"/>
    <w:basedOn w:val="817"/>
    <w:uiPriority w:val="99"/>
    <w:unhideWhenUsed/>
    <w:qFormat/>
    <w:pPr>
      <w:ind w:left="0" w:firstLine="210"/>
      <w:jc w:val="both"/>
      <w:keepLines w:val="0"/>
      <w:keepNext w:val="0"/>
      <w:spacing w:after="120" w:afterAutospacing="0"/>
      <w:widowControl w:val="off"/>
      <w:suppressLineNumbers w:val="0"/>
    </w:pPr>
    <w:rPr>
      <w:rFonts w:hint="default" w:ascii="Calibri" w:hAnsi="Calibri" w:eastAsia="宋体" w:cs="Times New Roman"/>
      <w:sz w:val="21"/>
      <w:szCs w:val="21"/>
      <w:lang w:val="en-US" w:eastAsia="zh-CN" w:bidi="ar"/>
    </w:rPr>
  </w:style>
  <w:style w:type="table" w:styleId="852">
    <w:name w:val="Table Grid"/>
    <w:basedOn w:val="80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uiPriority w:val="0"/>
    <w:qFormat/>
    <w:rPr>
      <w:b/>
      <w:bCs/>
    </w:rPr>
  </w:style>
  <w:style w:type="character" w:styleId="854">
    <w:name w:val="page number"/>
    <w:basedOn w:val="804"/>
    <w:uiPriority w:val="99"/>
    <w:qFormat/>
  </w:style>
  <w:style w:type="character" w:styleId="855">
    <w:name w:val="FollowedHyperlink"/>
    <w:uiPriority w:val="99"/>
    <w:qFormat/>
    <w:rPr>
      <w:color w:val="333333"/>
      <w:u w:val="none"/>
    </w:rPr>
  </w:style>
  <w:style w:type="character" w:styleId="856">
    <w:name w:val="Emphasis"/>
    <w:uiPriority w:val="20"/>
    <w:qFormat/>
    <w:rPr>
      <w:i/>
      <w:iCs/>
    </w:rPr>
  </w:style>
  <w:style w:type="character" w:styleId="857">
    <w:name w:val="HTML Typewriter"/>
    <w:uiPriority w:val="0"/>
    <w:qFormat/>
    <w:rPr>
      <w:rFonts w:ascii="黑体" w:hAnsi="Courier New" w:eastAsia="黑体"/>
      <w:sz w:val="14"/>
    </w:rPr>
  </w:style>
  <w:style w:type="character" w:styleId="858">
    <w:name w:val="Hyperlink"/>
    <w:uiPriority w:val="99"/>
    <w:qFormat/>
    <w:rPr>
      <w:color w:val="333333"/>
      <w:u w:val="none"/>
    </w:rPr>
  </w:style>
  <w:style w:type="character" w:styleId="859">
    <w:name w:val="annotation reference"/>
    <w:uiPriority w:val="0"/>
    <w:qFormat/>
    <w:rPr>
      <w:sz w:val="21"/>
      <w:szCs w:val="21"/>
    </w:rPr>
  </w:style>
  <w:style w:type="character" w:styleId="860" w:customStyle="1">
    <w:name w:val="标题 1 Char"/>
    <w:link w:val="795"/>
    <w:uiPriority w:val="9"/>
    <w:qFormat/>
    <w:rPr>
      <w:rFonts w:ascii="宋体" w:hAnsi="宋体"/>
      <w:b/>
      <w:sz w:val="36"/>
    </w:rPr>
  </w:style>
  <w:style w:type="character" w:styleId="861" w:customStyle="1">
    <w:name w:val="标题 2 Char"/>
    <w:link w:val="796"/>
    <w:uiPriority w:val="9"/>
    <w:qFormat/>
    <w:rPr>
      <w:rFonts w:ascii="宋体" w:hAnsi="宋体"/>
      <w:b/>
      <w:bCs/>
      <w:sz w:val="28"/>
      <w:szCs w:val="28"/>
    </w:rPr>
  </w:style>
  <w:style w:type="character" w:styleId="862" w:customStyle="1">
    <w:name w:val="标题 3 Char"/>
    <w:link w:val="797"/>
    <w:uiPriority w:val="9"/>
    <w:qFormat/>
    <w:rPr>
      <w:rFonts w:ascii="宋体" w:hAnsi="宋体" w:eastAsia="宋体"/>
      <w:sz w:val="28"/>
      <w:lang w:val="en-US" w:eastAsia="zh-CN" w:bidi="ar-SA"/>
    </w:rPr>
  </w:style>
  <w:style w:type="character" w:styleId="863" w:customStyle="1">
    <w:name w:val="标题 4 Char"/>
    <w:link w:val="798"/>
    <w:uiPriority w:val="0"/>
    <w:qFormat/>
    <w:rPr>
      <w:b/>
      <w:bCs/>
      <w:sz w:val="18"/>
    </w:rPr>
  </w:style>
  <w:style w:type="character" w:styleId="864" w:customStyle="1">
    <w:name w:val="标题 5 Char"/>
    <w:link w:val="799"/>
    <w:uiPriority w:val="0"/>
    <w:qFormat/>
    <w:rPr>
      <w:rFonts w:eastAsia="宋体"/>
      <w:b/>
      <w:bCs/>
      <w:sz w:val="18"/>
      <w:lang w:val="en-US" w:eastAsia="zh-CN" w:bidi="ar-SA"/>
    </w:rPr>
  </w:style>
  <w:style w:type="character" w:styleId="865" w:customStyle="1">
    <w:name w:val="标题 6 Char"/>
    <w:link w:val="800"/>
    <w:uiPriority w:val="0"/>
    <w:qFormat/>
    <w:rPr>
      <w:rFonts w:ascii="Cambria" w:hAnsi="Cambria" w:eastAsia="黑体"/>
      <w:b/>
      <w:bCs/>
      <w:sz w:val="28"/>
      <w:szCs w:val="24"/>
    </w:rPr>
  </w:style>
  <w:style w:type="character" w:styleId="866" w:customStyle="1">
    <w:name w:val="标题 7 Char"/>
    <w:link w:val="801"/>
    <w:uiPriority w:val="0"/>
    <w:qFormat/>
    <w:rPr>
      <w:rFonts w:ascii="Arial" w:hAnsi="Arial" w:cs="Arial"/>
      <w:b/>
      <w:bCs/>
      <w:sz w:val="16"/>
      <w:szCs w:val="16"/>
    </w:rPr>
  </w:style>
  <w:style w:type="character" w:styleId="867" w:customStyle="1">
    <w:name w:val="标题 8 Char"/>
    <w:link w:val="802"/>
    <w:uiPriority w:val="0"/>
    <w:qFormat/>
    <w:rPr>
      <w:b/>
      <w:bCs/>
      <w:sz w:val="24"/>
      <w:szCs w:val="24"/>
    </w:rPr>
  </w:style>
  <w:style w:type="character" w:styleId="868" w:customStyle="1">
    <w:name w:val="标题 9 Char"/>
    <w:link w:val="803"/>
    <w:uiPriority w:val="0"/>
    <w:qFormat/>
    <w:rPr>
      <w:b/>
      <w:bCs/>
      <w:sz w:val="21"/>
      <w:szCs w:val="24"/>
    </w:rPr>
  </w:style>
  <w:style w:type="character" w:styleId="869" w:customStyle="1">
    <w:name w:val="正文缩进 Char"/>
    <w:link w:val="809"/>
    <w:uiPriority w:val="0"/>
    <w:qFormat/>
    <w:rPr>
      <w:sz w:val="21"/>
    </w:rPr>
  </w:style>
  <w:style w:type="character" w:styleId="870" w:customStyle="1">
    <w:name w:val="题注 Char"/>
    <w:link w:val="810"/>
    <w:uiPriority w:val="0"/>
    <w:qFormat/>
    <w:rPr>
      <w:rFonts w:ascii="Arial" w:hAnsi="Arial" w:eastAsia="黑体"/>
    </w:rPr>
  </w:style>
  <w:style w:type="character" w:styleId="871" w:customStyle="1">
    <w:name w:val="批注文字 Char"/>
    <w:link w:val="813"/>
    <w:uiPriority w:val="0"/>
    <w:qFormat/>
    <w:rPr>
      <w:rFonts w:ascii="Calibri" w:hAnsi="Calibri"/>
      <w:sz w:val="21"/>
      <w:szCs w:val="22"/>
    </w:rPr>
  </w:style>
  <w:style w:type="character" w:styleId="872" w:customStyle="1">
    <w:name w:val="正文文本 3 Char"/>
    <w:link w:val="815"/>
    <w:uiPriority w:val="99"/>
    <w:qFormat/>
    <w:rPr>
      <w:rFonts w:ascii="宋体" w:hAnsi="宋体" w:eastAsia="楷体_GB2312"/>
      <w:sz w:val="26"/>
    </w:rPr>
  </w:style>
  <w:style w:type="character" w:styleId="873" w:customStyle="1">
    <w:name w:val="正文文本 Char"/>
    <w:link w:val="816"/>
    <w:uiPriority w:val="0"/>
    <w:qFormat/>
    <w:rPr>
      <w:rFonts w:ascii="楷体_GB2312" w:hAnsi="Arial" w:eastAsia="楷体_GB2312"/>
      <w:sz w:val="28"/>
    </w:rPr>
  </w:style>
  <w:style w:type="character" w:styleId="874" w:customStyle="1">
    <w:name w:val="正文文本缩进 Char"/>
    <w:link w:val="817"/>
    <w:uiPriority w:val="99"/>
    <w:qFormat/>
    <w:rPr>
      <w:rFonts w:ascii="宋体" w:eastAsia="宋体"/>
      <w:sz w:val="28"/>
      <w:lang w:val="en-US" w:eastAsia="zh-CN" w:bidi="ar-SA"/>
    </w:rPr>
  </w:style>
  <w:style w:type="character" w:styleId="875" w:customStyle="1">
    <w:name w:val="纯文本 Char1"/>
    <w:link w:val="822"/>
    <w:uiPriority w:val="0"/>
    <w:qFormat/>
    <w:rPr>
      <w:rFonts w:ascii="宋体" w:hAnsi="Courier New" w:eastAsia="宋体"/>
      <w:sz w:val="21"/>
      <w:lang w:val="en-US" w:eastAsia="zh-CN" w:bidi="ar-SA"/>
    </w:rPr>
  </w:style>
  <w:style w:type="character" w:styleId="876" w:customStyle="1">
    <w:name w:val="日期 Char"/>
    <w:link w:val="825"/>
    <w:uiPriority w:val="0"/>
    <w:qFormat/>
    <w:rPr>
      <w:rFonts w:ascii="宋体"/>
      <w:sz w:val="28"/>
    </w:rPr>
  </w:style>
  <w:style w:type="character" w:styleId="877" w:customStyle="1">
    <w:name w:val="正文文本缩进 2 Char"/>
    <w:link w:val="826"/>
    <w:uiPriority w:val="99"/>
    <w:qFormat/>
    <w:rPr>
      <w:sz w:val="24"/>
    </w:rPr>
  </w:style>
  <w:style w:type="character" w:styleId="878" w:customStyle="1">
    <w:name w:val="批注框文本 Char"/>
    <w:link w:val="827"/>
    <w:uiPriority w:val="0"/>
    <w:qFormat/>
    <w:rPr>
      <w:rFonts w:ascii="Calibri" w:hAnsi="Calibri" w:eastAsia="宋体"/>
      <w:sz w:val="18"/>
      <w:szCs w:val="18"/>
      <w:lang w:val="en-US" w:eastAsia="zh-CN" w:bidi="ar-SA"/>
    </w:rPr>
  </w:style>
  <w:style w:type="character" w:styleId="879" w:customStyle="1">
    <w:name w:val="页脚 Char"/>
    <w:link w:val="828"/>
    <w:uiPriority w:val="99"/>
    <w:qFormat/>
    <w:rPr>
      <w:rFonts w:eastAsia="宋体"/>
      <w:sz w:val="18"/>
      <w:lang w:val="en-US" w:eastAsia="zh-CN" w:bidi="ar-SA"/>
    </w:rPr>
  </w:style>
  <w:style w:type="character" w:styleId="880" w:customStyle="1">
    <w:name w:val="页眉 Char"/>
    <w:link w:val="829"/>
    <w:uiPriority w:val="99"/>
    <w:qFormat/>
    <w:rPr>
      <w:rFonts w:eastAsia="宋体"/>
      <w:sz w:val="18"/>
      <w:lang w:val="en-US" w:eastAsia="zh-CN" w:bidi="ar-SA"/>
    </w:rPr>
  </w:style>
  <w:style w:type="character" w:styleId="881" w:customStyle="1">
    <w:name w:val="签名 Char"/>
    <w:link w:val="830"/>
    <w:uiPriority w:val="0"/>
    <w:qFormat/>
    <w:rPr>
      <w:rFonts w:eastAsia="仿宋_GB2312"/>
      <w:sz w:val="24"/>
    </w:rPr>
  </w:style>
  <w:style w:type="character" w:styleId="882" w:customStyle="1">
    <w:name w:val="副标题 Char"/>
    <w:link w:val="835"/>
    <w:uiPriority w:val="0"/>
    <w:qFormat/>
    <w:rPr>
      <w:rFonts w:ascii="Cambria" w:hAnsi="Cambria" w:eastAsia="宋体"/>
      <w:b/>
      <w:bCs/>
      <w:sz w:val="32"/>
      <w:szCs w:val="32"/>
      <w:lang w:val="en-US" w:eastAsia="zh-CN" w:bidi="ar-SA"/>
    </w:rPr>
  </w:style>
  <w:style w:type="character" w:styleId="883" w:customStyle="1">
    <w:name w:val="正文文本缩进 3 Char"/>
    <w:link w:val="838"/>
    <w:uiPriority w:val="0"/>
    <w:qFormat/>
    <w:rPr>
      <w:b/>
      <w:bCs/>
      <w:sz w:val="28"/>
      <w:u w:val="single"/>
    </w:rPr>
  </w:style>
  <w:style w:type="character" w:styleId="884" w:customStyle="1">
    <w:name w:val="正文文本 2 Char"/>
    <w:link w:val="844"/>
    <w:uiPriority w:val="0"/>
    <w:qFormat/>
    <w:rPr>
      <w:sz w:val="21"/>
    </w:rPr>
  </w:style>
  <w:style w:type="character" w:styleId="885" w:customStyle="1">
    <w:name w:val="HTML 预设格式 Char"/>
    <w:link w:val="845"/>
    <w:uiPriority w:val="0"/>
    <w:qFormat/>
    <w:rPr>
      <w:rFonts w:ascii="黑体" w:hAnsi="Courier New" w:eastAsia="黑体" w:cs="Times New Roman"/>
      <w:szCs w:val="24"/>
    </w:rPr>
  </w:style>
  <w:style w:type="character" w:styleId="886" w:customStyle="1">
    <w:name w:val="标题 Char"/>
    <w:link w:val="848"/>
    <w:uiPriority w:val="0"/>
    <w:qFormat/>
    <w:rPr>
      <w:rFonts w:ascii="Cambria" w:hAnsi="Cambria" w:eastAsia="宋体"/>
      <w:b/>
      <w:bCs/>
      <w:sz w:val="32"/>
      <w:szCs w:val="32"/>
      <w:lang w:val="en-US" w:eastAsia="zh-CN" w:bidi="ar-SA"/>
    </w:rPr>
  </w:style>
  <w:style w:type="character" w:styleId="887" w:customStyle="1">
    <w:name w:val="批注主题 Char"/>
    <w:link w:val="849"/>
    <w:uiPriority w:val="0"/>
    <w:qFormat/>
    <w:rPr>
      <w:rFonts w:ascii="Calibri" w:hAnsi="Calibri" w:eastAsia="楷体_GB2312"/>
      <w:b/>
      <w:bCs/>
      <w:sz w:val="26"/>
      <w:szCs w:val="22"/>
    </w:rPr>
  </w:style>
  <w:style w:type="paragraph" w:styleId="888" w:customStyle="1">
    <w:name w:val="段"/>
    <w:next w:val="794"/>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89" w:customStyle="1">
    <w:name w:val="font01"/>
    <w:uiPriority w:val="0"/>
    <w:qFormat/>
    <w:rPr>
      <w:rFonts w:hint="eastAsia" w:ascii="宋体" w:hAnsi="宋体" w:eastAsia="宋体" w:cs="宋体"/>
      <w:color w:val="000000"/>
      <w:sz w:val="24"/>
      <w:szCs w:val="24"/>
      <w:u w:val="none"/>
    </w:rPr>
  </w:style>
  <w:style w:type="character" w:styleId="890" w:customStyle="1">
    <w:name w:val="font71"/>
    <w:basedOn w:val="804"/>
    <w:uiPriority w:val="0"/>
    <w:qFormat/>
    <w:rPr>
      <w:rFonts w:hint="eastAsia" w:ascii="宋体" w:hAnsi="宋体" w:eastAsia="宋体" w:cs="宋体"/>
      <w:color w:val="000000"/>
      <w:sz w:val="18"/>
      <w:szCs w:val="18"/>
      <w:u w:val="none"/>
    </w:rPr>
  </w:style>
  <w:style w:type="character" w:styleId="891" w:customStyle="1">
    <w:name w:val="列出段落 Char"/>
    <w:link w:val="892"/>
    <w:uiPriority w:val="34"/>
    <w:qFormat/>
    <w:rPr>
      <w:rFonts w:ascii="Calibri" w:hAnsi="Calibri"/>
      <w:sz w:val="24"/>
    </w:rPr>
  </w:style>
  <w:style w:type="paragraph" w:styleId="892">
    <w:name w:val="List Paragraph"/>
    <w:basedOn w:val="794"/>
    <w:link w:val="891"/>
    <w:uiPriority w:val="34"/>
    <w:qFormat/>
    <w:pPr>
      <w:ind w:firstLine="420"/>
      <w:spacing w:line="360" w:lineRule="auto"/>
    </w:pPr>
    <w:rPr>
      <w:rFonts w:ascii="Calibri" w:hAnsi="Calibri"/>
      <w:sz w:val="24"/>
    </w:rPr>
  </w:style>
  <w:style w:type="character" w:styleId="893" w:customStyle="1">
    <w:name w:val="zi61"/>
    <w:uiPriority w:val="0"/>
    <w:qFormat/>
    <w:rPr>
      <w:b/>
      <w:bCs/>
      <w:color w:val="ff0000"/>
      <w:sz w:val="24"/>
      <w:szCs w:val="24"/>
      <w:u w:val="none"/>
    </w:rPr>
  </w:style>
  <w:style w:type="character" w:styleId="894" w:customStyle="1">
    <w:name w:val="font12"/>
    <w:basedOn w:val="804"/>
    <w:uiPriority w:val="0"/>
    <w:qFormat/>
    <w:rPr>
      <w:rFonts w:hint="eastAsia" w:ascii="宋体" w:hAnsi="宋体" w:eastAsia="宋体" w:cs="宋体"/>
      <w:color w:val="000000"/>
      <w:sz w:val="20"/>
      <w:szCs w:val="20"/>
      <w:u w:val="none"/>
    </w:rPr>
  </w:style>
  <w:style w:type="character" w:styleId="895" w:customStyle="1">
    <w:name w:val="Plain Text Char Char"/>
    <w:link w:val="896"/>
    <w:uiPriority w:val="0"/>
    <w:qFormat/>
    <w:rPr>
      <w:rFonts w:ascii="宋体" w:hAnsi="Courier New" w:eastAsia="楷体_GB2312"/>
      <w:sz w:val="26"/>
    </w:rPr>
  </w:style>
  <w:style w:type="paragraph" w:styleId="896" w:customStyle="1">
    <w:name w:val="Plain Text"/>
    <w:basedOn w:val="794"/>
    <w:link w:val="895"/>
    <w:uiPriority w:val="0"/>
    <w:qFormat/>
    <w:rPr>
      <w:rFonts w:ascii="宋体" w:hAnsi="Courier New" w:eastAsia="楷体_GB2312"/>
      <w:sz w:val="26"/>
    </w:rPr>
  </w:style>
  <w:style w:type="character" w:styleId="897" w:customStyle="1">
    <w:name w:val="font11"/>
    <w:uiPriority w:val="0"/>
    <w:qFormat/>
    <w:rPr>
      <w:rFonts w:hint="eastAsia" w:ascii="宋体" w:hAnsi="宋体" w:eastAsia="宋体" w:cs="宋体"/>
      <w:color w:val="000000"/>
      <w:sz w:val="20"/>
      <w:szCs w:val="20"/>
      <w:u w:val="none"/>
    </w:rPr>
  </w:style>
  <w:style w:type="character" w:styleId="898" w:customStyle="1">
    <w:name w:val="正文缩进 Char1"/>
    <w:uiPriority w:val="0"/>
    <w:qFormat/>
    <w:rPr>
      <w:rFonts w:eastAsia="楷体_GB2312"/>
      <w:sz w:val="24"/>
    </w:rPr>
  </w:style>
  <w:style w:type="character" w:styleId="899" w:customStyle="1">
    <w:name w:val="纯文本 Char"/>
    <w:uiPriority w:val="0"/>
    <w:qFormat/>
    <w:rPr>
      <w:rFonts w:ascii="宋体" w:hAnsi="Courier New" w:eastAsia="楷体_GB2312"/>
      <w:sz w:val="28"/>
      <w:lang w:val="en-US" w:eastAsia="zh-CN" w:bidi="ar-SA"/>
    </w:rPr>
  </w:style>
  <w:style w:type="character" w:styleId="900" w:customStyle="1">
    <w:name w:val="ih151"/>
    <w:uiPriority w:val="0"/>
    <w:qFormat/>
    <w:rPr>
      <w:color w:val="666666"/>
      <w:sz w:val="18"/>
      <w:szCs w:val="18"/>
      <w:u w:val="none"/>
    </w:rPr>
  </w:style>
  <w:style w:type="character" w:styleId="901" w:customStyle="1">
    <w:name w:val="Plain Text Char"/>
    <w:uiPriority w:val="0"/>
    <w:qFormat/>
    <w:rPr>
      <w:rFonts w:ascii="宋体" w:hAnsi="Courier New" w:eastAsia="楷体_GB2312"/>
      <w:sz w:val="26"/>
    </w:rPr>
  </w:style>
  <w:style w:type="character" w:styleId="902" w:customStyle="1">
    <w:name w:val="Body Text Char"/>
    <w:uiPriority w:val="0"/>
    <w:qFormat/>
    <w:rPr>
      <w:rFonts w:ascii="楷体_GB2312" w:hAnsi="Arial" w:eastAsia="楷体_GB2312" w:cs="Times New Roman"/>
      <w:sz w:val="28"/>
      <w:szCs w:val="20"/>
    </w:rPr>
  </w:style>
  <w:style w:type="character" w:styleId="903" w:customStyle="1">
    <w:name w:val="fontstyle01"/>
    <w:basedOn w:val="804"/>
    <w:uiPriority w:val="0"/>
    <w:qFormat/>
    <w:rPr>
      <w:rFonts w:hint="eastAsia" w:ascii="宋体" w:hAnsi="宋体" w:eastAsia="宋体"/>
      <w:color w:val="333333"/>
      <w:sz w:val="24"/>
      <w:szCs w:val="24"/>
    </w:rPr>
  </w:style>
  <w:style w:type="character" w:styleId="904" w:customStyle="1">
    <w:name w:val="font31"/>
    <w:basedOn w:val="804"/>
    <w:uiPriority w:val="0"/>
    <w:qFormat/>
    <w:rPr>
      <w:rFonts w:hint="eastAsia" w:ascii="黑体" w:eastAsia="黑体" w:cs="黑体"/>
      <w:color w:val="000000"/>
      <w:sz w:val="20"/>
      <w:szCs w:val="20"/>
      <w:u w:val="none"/>
    </w:rPr>
  </w:style>
  <w:style w:type="character" w:styleId="905" w:customStyle="1">
    <w:name w:val="王兴华的论文正文 Char"/>
    <w:link w:val="906"/>
    <w:uiPriority w:val="0"/>
    <w:qFormat/>
    <w:rPr>
      <w:rFonts w:eastAsia="宋体"/>
      <w:sz w:val="24"/>
      <w:szCs w:val="24"/>
      <w:lang w:val="en-US" w:eastAsia="zh-CN" w:bidi="ar-SA"/>
    </w:rPr>
  </w:style>
  <w:style w:type="paragraph" w:styleId="906" w:customStyle="1">
    <w:name w:val="王兴华的论文正文"/>
    <w:basedOn w:val="809"/>
    <w:link w:val="905"/>
    <w:uiPriority w:val="0"/>
    <w:qFormat/>
    <w:pPr>
      <w:ind w:firstLine="200"/>
      <w:spacing w:line="360" w:lineRule="auto"/>
    </w:pPr>
    <w:rPr>
      <w:sz w:val="24"/>
      <w:szCs w:val="24"/>
    </w:rPr>
  </w:style>
  <w:style w:type="character" w:styleId="907" w:customStyle="1">
    <w:name w:val="font22"/>
    <w:basedOn w:val="804"/>
    <w:uiPriority w:val="0"/>
    <w:qFormat/>
    <w:rPr>
      <w:rFonts w:hint="eastAsia" w:ascii="宋体" w:hAnsi="宋体" w:eastAsia="宋体" w:cs="宋体"/>
      <w:color w:val="000000"/>
      <w:sz w:val="21"/>
      <w:szCs w:val="21"/>
      <w:u w:val="none"/>
    </w:rPr>
  </w:style>
  <w:style w:type="character" w:styleId="908" w:customStyle="1">
    <w:name w:val="正文2 字符"/>
    <w:link w:val="909"/>
    <w:uiPriority w:val="0"/>
    <w:qFormat/>
    <w:rPr>
      <w:sz w:val="24"/>
      <w:szCs w:val="24"/>
    </w:rPr>
  </w:style>
  <w:style w:type="paragraph" w:styleId="909" w:customStyle="1">
    <w:name w:val="正文2"/>
    <w:basedOn w:val="794"/>
    <w:link w:val="908"/>
    <w:uiPriority w:val="0"/>
    <w:qFormat/>
    <w:pPr>
      <w:ind w:firstLine="420"/>
      <w:spacing w:line="360" w:lineRule="auto"/>
    </w:pPr>
    <w:rPr>
      <w:sz w:val="24"/>
      <w:szCs w:val="24"/>
    </w:rPr>
  </w:style>
  <w:style w:type="character" w:styleId="910" w:customStyle="1">
    <w:name w:val="方案正文 Char"/>
    <w:link w:val="911"/>
    <w:uiPriority w:val="0"/>
    <w:qFormat/>
    <w:rPr>
      <w:sz w:val="24"/>
    </w:rPr>
  </w:style>
  <w:style w:type="paragraph" w:styleId="911" w:customStyle="1">
    <w:name w:val="方案正文"/>
    <w:basedOn w:val="794"/>
    <w:link w:val="910"/>
    <w:uiPriority w:val="0"/>
    <w:qFormat/>
    <w:pPr>
      <w:spacing w:line="440" w:lineRule="atLeast"/>
    </w:pPr>
    <w:rPr>
      <w:sz w:val="24"/>
    </w:rPr>
  </w:style>
  <w:style w:type="character" w:styleId="912" w:customStyle="1">
    <w:name w:val="font21"/>
    <w:basedOn w:val="804"/>
    <w:uiPriority w:val="0"/>
    <w:qFormat/>
    <w:rPr>
      <w:rFonts w:hint="eastAsia" w:ascii="宋体" w:hAnsi="宋体" w:eastAsia="宋体" w:cs="宋体"/>
      <w:color w:val="000000"/>
      <w:sz w:val="21"/>
      <w:szCs w:val="21"/>
      <w:u w:val="none"/>
    </w:rPr>
  </w:style>
  <w:style w:type="character" w:styleId="913" w:customStyle="1">
    <w:name w:val="*正文 Char"/>
    <w:link w:val="914"/>
    <w:uiPriority w:val="0"/>
    <w:qFormat/>
    <w:rPr>
      <w:rFonts w:ascii="宋体" w:hAnsi="宋体" w:eastAsia="宋体" w:cs="Times New Roman"/>
      <w:sz w:val="24"/>
      <w:szCs w:val="24"/>
    </w:rPr>
  </w:style>
  <w:style w:type="paragraph" w:styleId="914" w:customStyle="1">
    <w:name w:val="*正文"/>
    <w:basedOn w:val="794"/>
    <w:link w:val="913"/>
    <w:uiPriority w:val="0"/>
    <w:qFormat/>
    <w:pPr>
      <w:ind w:firstLine="200"/>
      <w:spacing w:line="360" w:lineRule="auto"/>
    </w:pPr>
    <w:rPr>
      <w:rFonts w:ascii="宋体" w:hAnsi="宋体"/>
      <w:sz w:val="24"/>
      <w:szCs w:val="24"/>
    </w:rPr>
  </w:style>
  <w:style w:type="character" w:styleId="915" w:customStyle="1">
    <w:name w:val="_标题3 Char"/>
    <w:link w:val="916"/>
    <w:uiPriority w:val="0"/>
    <w:qFormat/>
    <w:rPr>
      <w:rFonts w:ascii="Calibri" w:hAnsi="Calibri" w:eastAsia="宋体" w:cs="Times New Roman"/>
      <w:b/>
      <w:sz w:val="28"/>
      <w:szCs w:val="21"/>
    </w:rPr>
  </w:style>
  <w:style w:type="paragraph" w:styleId="916" w:customStyle="1">
    <w:name w:val="_标题3"/>
    <w:basedOn w:val="794"/>
    <w:next w:val="794"/>
    <w:link w:val="915"/>
    <w:uiPriority w:val="0"/>
    <w:qFormat/>
    <w:pPr>
      <w:jc w:val="left"/>
      <w:keepNext/>
      <w:spacing w:line="360" w:lineRule="auto"/>
      <w:outlineLvl w:val="2"/>
    </w:pPr>
    <w:rPr>
      <w:rFonts w:ascii="Calibri" w:hAnsi="Calibri"/>
      <w:b/>
      <w:sz w:val="28"/>
      <w:szCs w:val="21"/>
    </w:rPr>
  </w:style>
  <w:style w:type="character" w:styleId="917" w:customStyle="1">
    <w:name w:val="font122"/>
    <w:basedOn w:val="804"/>
    <w:uiPriority w:val="0"/>
    <w:qFormat/>
    <w:rPr>
      <w:rFonts w:ascii="Calibri" w:hAnsi="Calibri" w:cs="Calibri"/>
      <w:color w:val="000000"/>
      <w:sz w:val="18"/>
      <w:szCs w:val="18"/>
      <w:u w:val="none"/>
    </w:rPr>
  </w:style>
  <w:style w:type="character" w:styleId="918" w:customStyle="1">
    <w:name w:val="不明显强调1"/>
    <w:uiPriority w:val="19"/>
    <w:qFormat/>
    <w:rPr>
      <w:i/>
      <w:iCs/>
      <w:color w:val="808080"/>
    </w:rPr>
  </w:style>
  <w:style w:type="character" w:styleId="919" w:customStyle="1">
    <w:name w:val="apple-converted-space"/>
    <w:uiPriority w:val="0"/>
    <w:qFormat/>
  </w:style>
  <w:style w:type="character" w:styleId="920" w:customStyle="1">
    <w:name w:val="无间隔 Char"/>
    <w:link w:val="921"/>
    <w:uiPriority w:val="1"/>
    <w:qFormat/>
    <w:rPr>
      <w:sz w:val="22"/>
      <w:szCs w:val="22"/>
      <w:lang w:val="en-US" w:eastAsia="zh-CN" w:bidi="ar-SA"/>
    </w:rPr>
  </w:style>
  <w:style w:type="paragraph" w:styleId="921" w:customStyle="1">
    <w:name w:val="无间隔1"/>
    <w:link w:val="920"/>
    <w:uiPriority w:val="1"/>
    <w:qFormat/>
    <w:rPr>
      <w:rFonts w:ascii="Times New Roman" w:hAnsi="Times New Roman" w:eastAsia="宋体" w:cs="Times New Roman"/>
      <w:sz w:val="22"/>
      <w:szCs w:val="22"/>
      <w:lang w:val="en-US" w:eastAsia="zh-CN" w:bidi="ar-SA"/>
    </w:rPr>
  </w:style>
  <w:style w:type="character" w:styleId="922" w:customStyle="1">
    <w:name w:val="font111"/>
    <w:basedOn w:val="804"/>
    <w:uiPriority w:val="0"/>
    <w:qFormat/>
    <w:rPr>
      <w:rFonts w:hint="eastAsia" w:ascii="宋体" w:hAnsi="宋体" w:eastAsia="宋体" w:cs="宋体"/>
      <w:color w:val="000000"/>
      <w:sz w:val="18"/>
      <w:szCs w:val="18"/>
      <w:u w:val="none"/>
    </w:rPr>
  </w:style>
  <w:style w:type="character" w:styleId="923" w:customStyle="1">
    <w:name w:val="font161"/>
    <w:basedOn w:val="804"/>
    <w:uiPriority w:val="0"/>
    <w:qFormat/>
    <w:rPr>
      <w:rFonts w:hint="eastAsia" w:ascii="宋体" w:hAnsi="宋体" w:eastAsia="宋体" w:cs="宋体"/>
      <w:color w:val="000000"/>
      <w:sz w:val="20"/>
      <w:szCs w:val="20"/>
      <w:u w:val="none"/>
    </w:rPr>
  </w:style>
  <w:style w:type="character" w:styleId="924" w:customStyle="1">
    <w:name w:val="fontstyle21"/>
    <w:basedOn w:val="804"/>
    <w:uiPriority w:val="0"/>
    <w:qFormat/>
    <w:rPr>
      <w:rFonts w:hint="default" w:ascii="Times New Roman" w:hAnsi="Times New Roman" w:cs="Times New Roman"/>
      <w:color w:val="333333"/>
      <w:sz w:val="24"/>
      <w:szCs w:val="24"/>
    </w:rPr>
  </w:style>
  <w:style w:type="character" w:styleId="925" w:customStyle="1">
    <w:name w:val="列出段落 字符"/>
    <w:link w:val="926"/>
    <w:uiPriority w:val="34"/>
    <w:qFormat/>
    <w:rPr>
      <w:sz w:val="21"/>
      <w:szCs w:val="24"/>
    </w:rPr>
  </w:style>
  <w:style w:type="paragraph" w:styleId="926" w:customStyle="1">
    <w:name w:val="列出段落1"/>
    <w:basedOn w:val="794"/>
    <w:link w:val="925"/>
    <w:uiPriority w:val="34"/>
    <w:qFormat/>
    <w:pPr>
      <w:ind w:firstLine="420"/>
    </w:pPr>
    <w:rPr>
      <w:szCs w:val="24"/>
    </w:rPr>
  </w:style>
  <w:style w:type="character" w:styleId="927" w:customStyle="1">
    <w:name w:val="明显强调1"/>
    <w:uiPriority w:val="21"/>
    <w:qFormat/>
    <w:rPr>
      <w:b/>
      <w:bCs/>
      <w:i/>
      <w:iCs/>
      <w:color w:val="4f81bd"/>
    </w:rPr>
  </w:style>
  <w:style w:type="character" w:styleId="928" w:customStyle="1">
    <w:name w:val="font81"/>
    <w:basedOn w:val="804"/>
    <w:uiPriority w:val="0"/>
    <w:qFormat/>
    <w:rPr>
      <w:rFonts w:hint="eastAsia" w:ascii="宋体" w:hAnsi="宋体" w:eastAsia="宋体" w:cs="宋体"/>
      <w:b/>
      <w:color w:val="000000"/>
      <w:sz w:val="18"/>
      <w:szCs w:val="18"/>
      <w:u w:val="none"/>
    </w:rPr>
  </w:style>
  <w:style w:type="paragraph" w:styleId="929" w:customStyle="1">
    <w:name w:val="表格正文"/>
    <w:basedOn w:val="794"/>
    <w:uiPriority w:val="0"/>
    <w:qFormat/>
    <w:rPr>
      <w:rFonts w:ascii="等线" w:hAnsi="等线"/>
      <w:szCs w:val="21"/>
    </w:rPr>
  </w:style>
  <w:style w:type="paragraph" w:styleId="930" w:customStyle="1">
    <w:name w:val="标题4"/>
    <w:basedOn w:val="794"/>
    <w:uiPriority w:val="0"/>
    <w:qFormat/>
    <w:pPr>
      <w:ind w:left="851" w:hanging="851"/>
      <w:spacing w:line="360" w:lineRule="auto"/>
      <w:outlineLvl w:val="3"/>
    </w:pPr>
    <w:rPr>
      <w:rFonts w:ascii="Times New Roman" w:hAnsi="Times New Roman" w:eastAsia="宋体" w:cs="Times New Roman"/>
      <w:sz w:val="24"/>
      <w:szCs w:val="24"/>
    </w:rPr>
  </w:style>
  <w:style w:type="paragraph" w:styleId="931" w:customStyle="1">
    <w:name w:val="B"/>
    <w:basedOn w:val="794"/>
    <w:next w:val="932"/>
    <w:uiPriority w:val="0"/>
    <w:qFormat/>
    <w:pPr>
      <w:numPr>
        <w:ilvl w:val="1"/>
        <w:numId w:val="2"/>
      </w:numPr>
      <w:jc w:val="left"/>
      <w:spacing w:line="360" w:lineRule="auto"/>
      <w:outlineLvl w:val="1"/>
    </w:pPr>
    <w:rPr>
      <w:rFonts w:eastAsia="黑体"/>
      <w:sz w:val="28"/>
    </w:rPr>
  </w:style>
  <w:style w:type="paragraph" w:styleId="932" w:customStyle="1">
    <w:name w:val="D"/>
    <w:basedOn w:val="794"/>
    <w:uiPriority w:val="0"/>
    <w:qFormat/>
    <w:pPr>
      <w:numPr>
        <w:ilvl w:val="3"/>
        <w:numId w:val="2"/>
      </w:numPr>
      <w:jc w:val="left"/>
      <w:spacing w:line="360" w:lineRule="auto"/>
      <w:outlineLvl w:val="3"/>
    </w:pPr>
    <w:rPr>
      <w:rFonts w:eastAsia="宋体"/>
      <w:b/>
      <w:sz w:val="22"/>
    </w:rPr>
  </w:style>
  <w:style w:type="paragraph" w:styleId="933" w:customStyle="1">
    <w:name w:val="A正文小四"/>
    <w:basedOn w:val="794"/>
    <w:uiPriority w:val="0"/>
    <w:qFormat/>
    <w:pPr>
      <w:ind w:firstLine="200"/>
      <w:spacing w:line="360" w:lineRule="auto"/>
    </w:pPr>
    <w:rPr>
      <w:rFonts w:cs="Times New Roman"/>
      <w:sz w:val="24"/>
    </w:rPr>
  </w:style>
  <w:style w:type="paragraph" w:styleId="934" w:customStyle="1">
    <w:name w:val="正文文本缩进 21"/>
    <w:basedOn w:val="794"/>
    <w:uiPriority w:val="0"/>
    <w:qFormat/>
    <w:pPr>
      <w:ind w:left="-61" w:firstLine="458"/>
      <w:spacing w:line="360" w:lineRule="auto"/>
    </w:pPr>
    <w:rPr>
      <w:rFonts w:ascii="宋体" w:hAnsi="宋体"/>
      <w:sz w:val="20"/>
    </w:rPr>
  </w:style>
  <w:style w:type="paragraph" w:styleId="935" w:customStyle="1">
    <w:name w:val="纯文本1"/>
    <w:basedOn w:val="794"/>
    <w:uiPriority w:val="0"/>
    <w:qFormat/>
    <w:rPr>
      <w:rFonts w:ascii="宋体" w:hAnsi="Courier New" w:eastAsia="楷体_GB2312"/>
      <w:sz w:val="26"/>
    </w:rPr>
  </w:style>
  <w:style w:type="paragraph" w:styleId="936" w:customStyle="1">
    <w:name w:val="p0"/>
    <w:basedOn w:val="794"/>
    <w:uiPriority w:val="0"/>
    <w:qFormat/>
    <w:pPr>
      <w:jc w:val="left"/>
      <w:widowControl/>
    </w:pPr>
    <w:rPr>
      <w:rFonts w:eastAsia="宋体"/>
      <w:sz w:val="24"/>
      <w:szCs w:val="24"/>
    </w:rPr>
  </w:style>
  <w:style w:type="paragraph" w:styleId="937" w:customStyle="1">
    <w:name w:val="样式1"/>
    <w:basedOn w:val="794"/>
    <w:uiPriority w:val="0"/>
    <w:qFormat/>
    <w:pPr>
      <w:numPr>
        <w:ilvl w:val="0"/>
        <w:numId w:val="3"/>
      </w:numPr>
    </w:pPr>
    <w:rPr>
      <w:rFonts w:ascii="宋体" w:hAnsi="宋体"/>
      <w:szCs w:val="21"/>
    </w:rPr>
  </w:style>
  <w:style w:type="paragraph" w:styleId="938" w:customStyle="1">
    <w:name w:val="Char Char Char Char"/>
    <w:basedOn w:val="812"/>
    <w:uiPriority w:val="0"/>
    <w:qFormat/>
    <w:pPr>
      <w:spacing w:line="360" w:lineRule="auto"/>
    </w:pPr>
    <w:rPr>
      <w:rFonts w:ascii="Tahoma" w:hAnsi="Tahoma"/>
      <w:sz w:val="24"/>
      <w:szCs w:val="24"/>
    </w:rPr>
  </w:style>
  <w:style w:type="paragraph" w:styleId="939" w:customStyle="1">
    <w:name w:val="样式 首行缩进:  0 字符"/>
    <w:basedOn w:val="794"/>
    <w:uiPriority w:val="0"/>
    <w:qFormat/>
    <w:pPr>
      <w:ind w:firstLine="200"/>
      <w:spacing w:line="360" w:lineRule="auto"/>
    </w:pPr>
    <w:rPr>
      <w:rFonts w:ascii="Arial" w:hAnsi="Arial" w:eastAsia="宋体" w:cs="宋体"/>
      <w:sz w:val="24"/>
      <w:szCs w:val="20"/>
    </w:rPr>
  </w:style>
  <w:style w:type="paragraph" w:styleId="940" w:customStyle="1">
    <w:name w:val="表格非标题文字"/>
    <w:uiPriority w:val="0"/>
    <w:qFormat/>
    <w:pPr>
      <w:spacing w:before="80" w:after="40"/>
    </w:pPr>
    <w:rPr>
      <w:rFonts w:ascii="Futura Bk" w:hAnsi="Futura Bk" w:eastAsia="宋体" w:cs="Times New Roman"/>
      <w:sz w:val="18"/>
      <w:szCs w:val="21"/>
      <w:lang w:val="en-US" w:eastAsia="zh-CN" w:bidi="ar-SA"/>
    </w:rPr>
  </w:style>
  <w:style w:type="paragraph" w:styleId="941" w:customStyle="1">
    <w:name w:val="纯文本3"/>
    <w:basedOn w:val="794"/>
    <w:uiPriority w:val="0"/>
    <w:qFormat/>
    <w:rPr>
      <w:rFonts w:ascii="宋体" w:hAnsi="Courier New" w:eastAsia="楷体_GB2312"/>
      <w:sz w:val="26"/>
    </w:rPr>
  </w:style>
  <w:style w:type="paragraph" w:styleId="942" w:customStyle="1">
    <w:name w:val="font0"/>
    <w:basedOn w:val="794"/>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943" w:customStyle="1">
    <w:name w:val="Heading 3"/>
    <w:basedOn w:val="794"/>
    <w:uiPriority w:val="1"/>
    <w:qFormat/>
    <w:pPr>
      <w:ind w:left="600"/>
      <w:jc w:val="left"/>
      <w:spacing w:before="1"/>
      <w:outlineLvl w:val="3"/>
    </w:pPr>
    <w:rPr>
      <w:rFonts w:ascii="仿宋" w:hAnsi="仿宋" w:eastAsia="仿宋" w:cs="仿宋"/>
      <w:b/>
      <w:bCs/>
      <w:sz w:val="24"/>
      <w:szCs w:val="24"/>
    </w:rPr>
  </w:style>
  <w:style w:type="paragraph" w:styleId="944" w:customStyle="1">
    <w:name w:val="style1"/>
    <w:basedOn w:val="794"/>
    <w:uiPriority w:val="0"/>
    <w:qFormat/>
    <w:pPr>
      <w:jc w:val="left"/>
      <w:spacing w:before="100" w:beforeAutospacing="1" w:after="100" w:afterAutospacing="1"/>
      <w:widowControl/>
    </w:pPr>
    <w:rPr>
      <w:rFonts w:ascii="宋体" w:hAnsi="宋体" w:cs="宋体"/>
      <w:sz w:val="24"/>
      <w:szCs w:val="24"/>
    </w:rPr>
  </w:style>
  <w:style w:type="paragraph" w:styleId="945" w:customStyle="1">
    <w:name w:val="正文首行缩进两字符"/>
    <w:basedOn w:val="794"/>
    <w:uiPriority w:val="0"/>
    <w:qFormat/>
    <w:pPr>
      <w:ind w:firstLine="200"/>
      <w:spacing w:line="360" w:lineRule="auto"/>
    </w:pPr>
    <w:rPr>
      <w:szCs w:val="24"/>
    </w:rPr>
  </w:style>
  <w:style w:type="paragraph" w:styleId="946" w:customStyle="1">
    <w:name w:val="Char"/>
    <w:basedOn w:val="794"/>
    <w:uiPriority w:val="0"/>
    <w:qFormat/>
    <w:rPr>
      <w:rFonts w:ascii="Tahoma" w:hAnsi="Tahoma"/>
      <w:sz w:val="24"/>
    </w:rPr>
  </w:style>
  <w:style w:type="paragraph" w:styleId="947" w:customStyle="1">
    <w:name w:val="正文序号 3"/>
    <w:basedOn w:val="794"/>
    <w:uiPriority w:val="0"/>
    <w:qFormat/>
    <w:pPr>
      <w:ind w:left="1259" w:hanging="420"/>
      <w:spacing w:before="60"/>
      <w:tabs>
        <w:tab w:val="left" w:pos="1259" w:leader="none"/>
      </w:tabs>
    </w:pPr>
    <w:rPr>
      <w:szCs w:val="24"/>
    </w:rPr>
  </w:style>
  <w:style w:type="paragraph" w:styleId="948" w:customStyle="1">
    <w:name w:val="C"/>
    <w:basedOn w:val="794"/>
    <w:next w:val="794"/>
    <w:uiPriority w:val="0"/>
    <w:qFormat/>
    <w:pPr>
      <w:numPr>
        <w:ilvl w:val="2"/>
        <w:numId w:val="2"/>
      </w:numPr>
      <w:jc w:val="left"/>
      <w:spacing w:line="360" w:lineRule="auto"/>
      <w:outlineLvl w:val="2"/>
    </w:pPr>
    <w:rPr>
      <w:rFonts w:eastAsia="黑体"/>
      <w:color w:val="000000"/>
      <w:sz w:val="24"/>
    </w:rPr>
  </w:style>
  <w:style w:type="paragraph" w:styleId="949" w:customStyle="1">
    <w:name w:val=" Char"/>
    <w:basedOn w:val="794"/>
    <w:uiPriority w:val="0"/>
    <w:qFormat/>
    <w:pPr>
      <w:numPr>
        <w:ilvl w:val="0"/>
        <w:numId w:val="4"/>
      </w:numPr>
    </w:pPr>
    <w:rPr>
      <w:sz w:val="24"/>
      <w:szCs w:val="24"/>
    </w:rPr>
  </w:style>
  <w:style w:type="paragraph" w:styleId="950" w:customStyle="1">
    <w:name w:val="纯文本12"/>
    <w:basedOn w:val="794"/>
    <w:uiPriority w:val="0"/>
    <w:qFormat/>
    <w:rPr>
      <w:rFonts w:ascii="宋体" w:hAnsi="Courier New" w:eastAsia="楷体_GB2312"/>
      <w:sz w:val="26"/>
    </w:rPr>
  </w:style>
  <w:style w:type="paragraph" w:styleId="951" w:customStyle="1">
    <w:name w:val="A"/>
    <w:basedOn w:val="794"/>
    <w:next w:val="952"/>
    <w:uiPriority w:val="0"/>
    <w:qFormat/>
    <w:pPr>
      <w:numPr>
        <w:ilvl w:val="0"/>
        <w:numId w:val="2"/>
      </w:numPr>
      <w:jc w:val="center"/>
      <w:spacing w:line="360" w:lineRule="auto"/>
      <w:outlineLvl w:val="0"/>
    </w:pPr>
    <w:rPr>
      <w:rFonts w:eastAsia="黑体"/>
      <w:sz w:val="32"/>
    </w:rPr>
  </w:style>
  <w:style w:type="paragraph" w:styleId="952" w:customStyle="1">
    <w:name w:val="E 正文"/>
    <w:basedOn w:val="794"/>
    <w:uiPriority w:val="0"/>
    <w:qFormat/>
    <w:pPr>
      <w:ind w:firstLine="200"/>
      <w:jc w:val="left"/>
      <w:spacing w:line="360" w:lineRule="auto"/>
    </w:pPr>
    <w:rPr>
      <w:rFonts w:eastAsia="宋体"/>
      <w:color w:val="000000"/>
      <w:sz w:val="24"/>
    </w:rPr>
  </w:style>
  <w:style w:type="paragraph" w:styleId="953" w:customStyle="1">
    <w:name w:val="Char Char Char"/>
    <w:basedOn w:val="794"/>
    <w:uiPriority w:val="0"/>
    <w:qFormat/>
    <w:pPr>
      <w:ind w:left="375" w:hanging="375"/>
      <w:tabs>
        <w:tab w:val="left" w:pos="375" w:leader="none"/>
        <w:tab w:val="left" w:pos="1545" w:leader="none"/>
      </w:tabs>
    </w:pPr>
  </w:style>
  <w:style w:type="paragraph" w:styleId="954"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955" w:customStyle="1">
    <w:name w:val="_Style 161"/>
    <w:basedOn w:val="795"/>
    <w:next w:val="794"/>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956" w:customStyle="1">
    <w:name w:val="列出段落2"/>
    <w:basedOn w:val="794"/>
    <w:uiPriority w:val="99"/>
    <w:qFormat/>
    <w:pPr>
      <w:ind w:firstLine="420"/>
    </w:pPr>
    <w:rPr>
      <w:rFonts w:ascii="Calibri" w:hAnsi="Calibri" w:eastAsia="宋体" w:cs="Times New Roman"/>
      <w:sz w:val="28"/>
      <w:szCs w:val="22"/>
    </w:rPr>
  </w:style>
  <w:style w:type="paragraph" w:styleId="957" w:customStyle="1">
    <w:name w:val="纯文本4"/>
    <w:basedOn w:val="794"/>
    <w:uiPriority w:val="0"/>
    <w:qFormat/>
    <w:rPr>
      <w:rFonts w:ascii="宋体" w:hAnsi="Courier New" w:eastAsia="楷体_GB2312"/>
      <w:sz w:val="26"/>
    </w:rPr>
  </w:style>
  <w:style w:type="paragraph" w:styleId="958">
    <w:name w:val="No Spacing"/>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paragraph" w:styleId="959" w:customStyle="1">
    <w:name w:val="Plain Text1"/>
    <w:basedOn w:val="794"/>
    <w:uiPriority w:val="0"/>
    <w:qFormat/>
    <w:rPr>
      <w:rFonts w:ascii="宋体" w:hAnsi="Courier New" w:eastAsia="楷体_GB2312"/>
      <w:sz w:val="28"/>
    </w:rPr>
  </w:style>
  <w:style w:type="paragraph" w:styleId="960" w:customStyle="1">
    <w:name w:val="TOC 标题1"/>
    <w:basedOn w:val="795"/>
    <w:next w:val="794"/>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961" w:customStyle="1">
    <w:name w:val="纯文本5"/>
    <w:basedOn w:val="794"/>
    <w:uiPriority w:val="0"/>
    <w:qFormat/>
    <w:rPr>
      <w:rFonts w:ascii="宋体" w:hAnsi="Courier New"/>
    </w:rPr>
  </w:style>
  <w:style w:type="paragraph" w:styleId="962" w:customStyle="1">
    <w:name w:val="列表内容"/>
    <w:basedOn w:val="794"/>
    <w:next w:val="794"/>
    <w:uiPriority w:val="0"/>
    <w:qFormat/>
    <w:pPr>
      <w:numPr>
        <w:ilvl w:val="0"/>
        <w:numId w:val="5"/>
      </w:numPr>
      <w:jc w:val="left"/>
      <w:widowControl/>
    </w:pPr>
    <w:rPr>
      <w:sz w:val="18"/>
      <w:szCs w:val="24"/>
    </w:rPr>
  </w:style>
  <w:style w:type="paragraph" w:styleId="963" w:customStyle="1">
    <w:name w:val="正文序号 2"/>
    <w:basedOn w:val="794"/>
    <w:uiPriority w:val="0"/>
    <w:qFormat/>
    <w:pPr>
      <w:ind w:left="1049" w:hanging="420"/>
      <w:spacing w:before="60"/>
      <w:tabs>
        <w:tab w:val="left" w:pos="1049" w:leader="none"/>
      </w:tabs>
    </w:pPr>
    <w:rPr>
      <w:szCs w:val="24"/>
    </w:rPr>
  </w:style>
  <w:style w:type="paragraph" w:styleId="964" w:customStyle="1">
    <w:name w:val="纯文本2"/>
    <w:basedOn w:val="794"/>
    <w:uiPriority w:val="0"/>
    <w:qFormat/>
    <w:rPr>
      <w:rFonts w:ascii="宋体" w:hAnsi="Courier New" w:eastAsia="楷体_GB2312"/>
      <w:sz w:val="26"/>
    </w:rPr>
  </w:style>
  <w:style w:type="paragraph" w:styleId="965" w:customStyle="1">
    <w:name w:val="Item List in Table"/>
    <w:basedOn w:val="794"/>
    <w:uiPriority w:val="0"/>
    <w:qFormat/>
    <w:pPr>
      <w:numPr>
        <w:ilvl w:val="0"/>
        <w:numId w:val="6"/>
      </w:numPr>
      <w:ind w:firstLine="0"/>
      <w:jc w:val="left"/>
    </w:pPr>
    <w:rPr>
      <w:rFonts w:ascii="Tahoma" w:hAnsi="Tahoma" w:eastAsia="宋体" w:cs="Times New Roman"/>
      <w:szCs w:val="21"/>
    </w:rPr>
  </w:style>
  <w:style w:type="paragraph" w:styleId="966" w:customStyle="1">
    <w:name w:val="Default Paragraph Font Para Char"/>
    <w:basedOn w:val="794"/>
    <w:uiPriority w:val="0"/>
    <w:qFormat/>
    <w:pPr>
      <w:jc w:val="left"/>
      <w:spacing w:after="160" w:line="240" w:lineRule="exact"/>
      <w:widowControl/>
    </w:pPr>
  </w:style>
  <w:style w:type="paragraph" w:styleId="967" w:customStyle="1">
    <w:name w:val=" Char Char1 Char Char Char Char Char Char Char"/>
    <w:basedOn w:val="794"/>
    <w:uiPriority w:val="0"/>
    <w:qFormat/>
    <w:rPr>
      <w:rFonts w:ascii="Tahoma" w:hAnsi="Tahoma"/>
      <w:sz w:val="24"/>
    </w:rPr>
  </w:style>
  <w:style w:type="paragraph" w:styleId="968" w:customStyle="1">
    <w:name w:val="表1"/>
    <w:basedOn w:val="794"/>
    <w:uiPriority w:val="0"/>
    <w:qFormat/>
    <w:pPr>
      <w:jc w:val="center"/>
      <w:spacing w:line="360" w:lineRule="auto"/>
    </w:pPr>
    <w:rPr>
      <w:rFonts w:ascii="Arial" w:hAnsi="Arial" w:eastAsia="宋体" w:cs="宋体"/>
      <w:szCs w:val="20"/>
    </w:rPr>
  </w:style>
  <w:style w:type="paragraph" w:styleId="969" w:customStyle="1">
    <w:name w:val="正文1"/>
    <w:basedOn w:val="794"/>
    <w:next w:val="794"/>
    <w:uiPriority w:val="0"/>
    <w:qFormat/>
    <w:pPr>
      <w:ind w:left="420" w:firstLine="527"/>
      <w:spacing w:before="120" w:line="360" w:lineRule="auto"/>
    </w:pPr>
    <w:rPr>
      <w:rFonts w:ascii="宋体" w:hAnsi="宋体"/>
    </w:rPr>
  </w:style>
  <w:style w:type="paragraph" w:styleId="970" w:customStyle="1">
    <w:name w:val="_Style 4"/>
    <w:basedOn w:val="794"/>
    <w:uiPriority w:val="34"/>
    <w:qFormat/>
    <w:pPr>
      <w:ind w:firstLine="420"/>
    </w:pPr>
    <w:rPr>
      <w:rFonts w:ascii="Calibri" w:hAnsi="Calibri"/>
      <w:szCs w:val="22"/>
    </w:rPr>
  </w:style>
  <w:style w:type="paragraph" w:styleId="971" w:customStyle="1">
    <w:name w:val="Char1 Char Char Char"/>
    <w:basedOn w:val="794"/>
    <w:uiPriority w:val="0"/>
    <w:qFormat/>
    <w:rPr>
      <w:rFonts w:ascii="Tahoma" w:hAnsi="Tahoma"/>
      <w:sz w:val="24"/>
    </w:rPr>
  </w:style>
  <w:style w:type="paragraph" w:styleId="972" w:customStyle="1">
    <w:name w:val="表格形式1"/>
    <w:basedOn w:val="794"/>
    <w:uiPriority w:val="0"/>
    <w:qFormat/>
    <w:pPr>
      <w:jc w:val="left"/>
      <w:spacing w:line="360" w:lineRule="atLeast"/>
    </w:pPr>
    <w:rPr>
      <w:rFonts w:ascii="宋体" w:eastAsia="仿宋_GB2312"/>
      <w:sz w:val="24"/>
      <w:szCs w:val="24"/>
    </w:rPr>
  </w:style>
  <w:style w:type="paragraph" w:styleId="973" w:customStyle="1">
    <w:name w:val="正文序号 1"/>
    <w:basedOn w:val="794"/>
    <w:uiPriority w:val="0"/>
    <w:qFormat/>
    <w:pPr>
      <w:ind w:left="839" w:hanging="419"/>
      <w:spacing w:before="60"/>
      <w:tabs>
        <w:tab w:val="left" w:pos="839" w:leader="none"/>
      </w:tabs>
    </w:pPr>
    <w:rPr>
      <w:szCs w:val="24"/>
    </w:rPr>
  </w:style>
  <w:style w:type="paragraph" w:styleId="974" w:customStyle="1">
    <w:name w:val=" Char Char Char"/>
    <w:basedOn w:val="794"/>
    <w:uiPriority w:val="0"/>
    <w:qFormat/>
    <w:pPr>
      <w:numPr>
        <w:ilvl w:val="0"/>
        <w:numId w:val="7"/>
      </w:numPr>
      <w:tabs>
        <w:tab w:val="clear" w:pos="375" w:leader="none"/>
        <w:tab w:val="left" w:pos="1545" w:leader="none"/>
      </w:tabs>
    </w:pPr>
  </w:style>
  <w:style w:type="paragraph" w:styleId="975" w:customStyle="1">
    <w:name w:val="正文 1.1.1"/>
    <w:basedOn w:val="794"/>
    <w:next w:val="794"/>
    <w:uiPriority w:val="0"/>
    <w:qFormat/>
    <w:pPr>
      <w:spacing w:line="360" w:lineRule="auto"/>
      <w:tabs>
        <w:tab w:val="left" w:pos="851" w:leader="none"/>
      </w:tabs>
      <w:outlineLvl w:val="2"/>
    </w:pPr>
    <w:rPr>
      <w:rFonts w:hint="eastAsia" w:ascii="宋体" w:hAnsi="宋体"/>
      <w:color w:val="ff0000"/>
      <w:sz w:val="28"/>
      <w:szCs w:val="21"/>
    </w:rPr>
  </w:style>
  <w:style w:type="paragraph" w:styleId="976" w:customStyle="1">
    <w:name w:val="正文 1.1"/>
    <w:basedOn w:val="794"/>
    <w:next w:val="975"/>
    <w:uiPriority w:val="0"/>
    <w:qFormat/>
    <w:pPr>
      <w:ind w:left="980" w:hanging="980"/>
      <w:spacing w:line="360" w:lineRule="auto"/>
      <w:outlineLvl w:val="1"/>
    </w:pPr>
    <w:rPr>
      <w:rFonts w:hint="eastAsia" w:ascii="仿宋" w:hAnsi="仿宋" w:eastAsia="仿宋"/>
      <w:b/>
      <w:sz w:val="28"/>
      <w:szCs w:val="21"/>
    </w:rPr>
  </w:style>
  <w:style w:type="paragraph" w:styleId="977" w:customStyle="1">
    <w:name w:val="Plain Text2"/>
    <w:basedOn w:val="794"/>
    <w:uiPriority w:val="99"/>
    <w:qFormat/>
    <w:rPr>
      <w:rFonts w:ascii="宋体" w:hAnsi="Courier New" w:eastAsia="楷体_GB2312"/>
      <w:sz w:val="28"/>
    </w:rPr>
  </w:style>
  <w:style w:type="paragraph" w:styleId="978" w:customStyle="1">
    <w:name w:val="纯文本7"/>
    <w:basedOn w:val="794"/>
    <w:uiPriority w:val="0"/>
    <w:qFormat/>
    <w:pPr>
      <w:jc w:val="both"/>
      <w:widowControl w:val="off"/>
    </w:pPr>
    <w:rPr>
      <w:rFonts w:ascii="宋体" w:hAnsi="Courier New" w:eastAsia="楷体_GB2312"/>
      <w:sz w:val="26"/>
      <w:szCs w:val="20"/>
    </w:rPr>
  </w:style>
  <w:style w:type="paragraph" w:styleId="979" w:customStyle="1">
    <w:name w:val="首行缩进"/>
    <w:basedOn w:val="794"/>
    <w:uiPriority w:val="0"/>
    <w:qFormat/>
    <w:pPr>
      <w:ind w:firstLine="480"/>
      <w:jc w:val="left"/>
      <w:spacing w:line="360" w:lineRule="auto"/>
    </w:pPr>
    <w:rPr>
      <w:rFonts w:ascii="宋体" w:hAnsi="宋体" w:eastAsia="楷体_GB2312"/>
      <w:sz w:val="24"/>
      <w:szCs w:val="20"/>
    </w:rPr>
  </w:style>
  <w:style w:type="character" w:styleId="980" w:customStyle="1">
    <w:name w:val="font41"/>
    <w:basedOn w:val="804"/>
    <w:uiPriority w:val="0"/>
    <w:qFormat/>
    <w:rPr>
      <w:rFonts w:hint="eastAsia" w:ascii="黑体" w:hAnsi="宋体" w:eastAsia="黑体" w:cs="黑体"/>
      <w:color w:val="000000"/>
      <w:sz w:val="20"/>
      <w:szCs w:val="20"/>
      <w:u w:val="none"/>
    </w:rPr>
  </w:style>
  <w:style w:type="paragraph" w:styleId="98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82" w:customStyle="1">
    <w:name w:val="纯文本11"/>
    <w:basedOn w:val="794"/>
    <w:uiPriority w:val="0"/>
    <w:qFormat/>
    <w:pPr>
      <w:jc w:val="left"/>
      <w:widowControl/>
    </w:pPr>
    <w:rPr>
      <w:rFonts w:ascii="宋体" w:hAnsi="Courier New" w:eastAsia="楷体_GB2312"/>
      <w:sz w:val="26"/>
      <w:szCs w:val="24"/>
    </w:rPr>
  </w:style>
  <w:style w:type="paragraph" w:styleId="983" w:customStyle="1">
    <w:name w:val="_Style 5"/>
    <w:basedOn w:val="795"/>
    <w:next w:val="794"/>
    <w:uiPriority w:val="0"/>
    <w:qFormat/>
    <w:pPr>
      <w:jc w:val="both"/>
      <w:spacing w:line="360" w:lineRule="auto"/>
      <w:outlineLvl w:val="9"/>
    </w:pPr>
    <w:rPr>
      <w:rFonts w:ascii="Calibri" w:hAnsi="Calibri"/>
      <w:sz w:val="36"/>
    </w:rPr>
  </w:style>
  <w:style w:type="character" w:styleId="984" w:customStyle="1">
    <w:name w:val="font91"/>
    <w:basedOn w:val="804"/>
    <w:uiPriority w:val="0"/>
    <w:qFormat/>
    <w:rPr>
      <w:rFonts w:hint="default" w:ascii="Times New Roman" w:hAnsi="Times New Roman" w:cs="Times New Roman"/>
      <w:color w:val="000000"/>
      <w:sz w:val="20"/>
      <w:szCs w:val="20"/>
      <w:u w:val="none"/>
    </w:rPr>
  </w:style>
  <w:style w:type="character" w:styleId="985" w:customStyle="1">
    <w:name w:val="font51"/>
    <w:basedOn w:val="804"/>
    <w:uiPriority w:val="0"/>
    <w:qFormat/>
    <w:rPr>
      <w:rFonts w:hint="eastAsia" w:ascii="黑体" w:hAnsi="宋体" w:eastAsia="黑体" w:cs="黑体"/>
      <w:color w:val="000000"/>
      <w:sz w:val="20"/>
      <w:szCs w:val="20"/>
      <w:u w:val="none"/>
    </w:rPr>
  </w:style>
  <w:style w:type="character" w:styleId="986" w:customStyle="1">
    <w:name w:val="font61"/>
    <w:basedOn w:val="804"/>
    <w:uiPriority w:val="0"/>
    <w:qFormat/>
    <w:rPr>
      <w:rFonts w:hint="eastAsia" w:ascii="仿宋" w:hAnsi="仿宋" w:eastAsia="仿宋" w:cs="仿宋"/>
      <w:color w:val="000000"/>
      <w:sz w:val="24"/>
      <w:szCs w:val="24"/>
      <w:u w:val="none"/>
    </w:rPr>
  </w:style>
  <w:style w:type="paragraph" w:styleId="987" w:customStyle="1">
    <w:name w:val="正文缩进111"/>
    <w:basedOn w:val="794"/>
    <w:next w:val="794"/>
    <w:uiPriority w:val="0"/>
    <w:qFormat/>
    <w:pPr>
      <w:ind w:firstLine="420"/>
      <w:jc w:val="left"/>
    </w:pPr>
    <w:rPr>
      <w:sz w:val="24"/>
    </w:rPr>
  </w:style>
  <w:style w:type="paragraph" w:styleId="988" w:customStyle="1">
    <w:name w:val="正文文本缩进1"/>
    <w:basedOn w:val="794"/>
    <w:next w:val="794"/>
    <w:uiPriority w:val="99"/>
    <w:unhideWhenUsed/>
    <w:qFormat/>
    <w:pPr>
      <w:ind w:firstLine="570"/>
    </w:pPr>
    <w:rPr>
      <w:rFonts w:ascii="宋体" w:eastAsia="宋体"/>
      <w:sz w:val="28"/>
    </w:rPr>
  </w:style>
  <w:style w:type="table" w:styleId="989" w:customStyle="1">
    <w:name w:val="Table Normal4"/>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numbering" w:styleId="127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d276a5a7-f4a7-48a0-b4d2-036683df099c</errorID>
      <errorWord>：</errorWord>
      <group>L1_Format</group>
      <groupName>格式问题</groupName>
      <ability>L2_HalfPunc_CN</ability>
      <abilityName>全半角问题</abilityName>
      <candidateList>
        <item>:</item>
      </candidateList>
      <explain>文本全半角错误。</explain>
      <paraID>3EE821EF</paraID>
      <start>23</start>
      <end>24</end>
      <status>unmodified</status>
      <modifiedWord/>
      <trackRevisions>false</trackRevisions>
    </reviewItem>
    <reviewItem>
      <errorID>335e969c-b8fa-4682-aedd-1ddcd9565ba2</errorID>
      <errorWord>：</errorWord>
      <group>L1_Format</group>
      <groupName>格式问题</groupName>
      <ability>L2_HalfPunc_CN</ability>
      <abilityName>全半角问题</abilityName>
      <candidateList>
        <item>:</item>
      </candidateList>
      <explain>文本全半角错误。</explain>
      <paraID>3EE821EF</paraID>
      <start>40</start>
      <end>41</end>
      <status>unmodified</status>
      <modifiedWord/>
      <trackRevisions>false</trackRevisions>
    </reviewItem>
    <reviewItem>
      <errorID>8e836d73-c068-49b2-91a6-63a2b0f64bd1</errorID>
      <errorWord>：</errorWord>
      <group>L1_Format</group>
      <groupName>格式问题</groupName>
      <ability>L2_HalfPunc_CN</ability>
      <abilityName>全半角问题</abilityName>
      <candidateList>
        <item>:</item>
      </candidateList>
      <explain>文本全半角错误。</explain>
      <paraID>3EE821EF</paraID>
      <start>57</start>
      <end>58</end>
      <status>unmodified</status>
      <modifiedWord/>
      <trackRevisions>false</trackRevisions>
    </reviewItem>
    <reviewItem>
      <errorID>cb6d5671-f590-44ad-bc8f-cbbebf35a3f8</errorID>
      <errorWord>,</errorWord>
      <group>L1_Format</group>
      <groupName>格式问题</groupName>
      <ability>L2_HalfPunc_CN</ability>
      <abilityName>全半角问题</abilityName>
      <candidateList>
        <item>，</item>
      </candidateList>
      <explain>文本全半角错误。</explain>
      <paraID>2F40D2E0</paraID>
      <start>42</start>
      <end>43</end>
      <status>unmodified</status>
      <modifiedWord/>
      <trackRevisions>false</trackRevisions>
    </reviewItem>
    <reviewItem>
      <errorID>bf81f8c9-5dbd-4340-b461-c5bd9baac82c</errorID>
      <errorWord>其他等</errorWord>
      <group>L1_Word</group>
      <groupName>字词问题</groupName>
      <ability>L2_Typo</ability>
      <abilityName>字词错误</abilityName>
      <candidateList>
        <item>其他</item>
      </candidateList>
      <explain/>
      <paraID>2F40D2E0</paraID>
      <start>315</start>
      <end>317</end>
      <status>modified</status>
      <modifiedWord>其他</modifiedWord>
      <trackRevisions>false</trackRevisions>
    </reviewItem>
    <reviewItem>
      <errorID>c15ed2f3-4cb4-4803-b26f-4159b5867c9b</errorID>
      <errorWord>）</errorWord>
      <group>L1_Word</group>
      <groupName>字词问题</groupName>
      <ability>L2_Typo</ability>
      <abilityName>字词错误</abilityName>
      <candidateList>
        <item>）和</item>
      </candidateList>
      <explain/>
      <paraID> 1283749</paraID>
      <start>70</start>
      <end>71</end>
      <status>unmodified</status>
      <modifiedWord/>
      <trackRevisions>false</trackRevisions>
    </reviewItem>
    <reviewItem>
      <errorID>8650fff1-c099-4c09-a0c8-d8a57049da71</errorID>
      <errorWord>（</errorWord>
      <group>L1_Punc</group>
      <groupName>标点问题</groupName>
      <ability>L2_Punc_CN</ability>
      <abilityName>标点符号问题</abilityName>
      <candidateList/>
      <explain>同一形式括号套用。</explain>
      <paraID> 1283749</paraID>
      <start>105</start>
      <end>106</end>
      <status>unmodified</status>
      <modifiedWord/>
      <trackRevisions>false</trackRevisions>
    </reviewItem>
    <reviewItem>
      <errorID>41f796ad-5bd0-4fb8-bf6e-7005866c2e37</errorID>
      <errorWord>）</errorWord>
      <group>L1_Punc</group>
      <groupName>标点问题</groupName>
      <ability>L2_Punc_CN</ability>
      <abilityName>标点符号问题</abilityName>
      <candidateList/>
      <explain>同一形式括号套用。</explain>
      <paraID> 1283749</paraID>
      <start>110</start>
      <end>111</end>
      <status>unmodified</status>
      <modifiedWord/>
      <trackRevisions>false</trackRevisions>
    </reviewItem>
    <reviewItem>
      <errorID>bbc80c6d-014b-4af7-b91a-3c2bb61bdbf5</errorID>
      <errorWord>:</errorWord>
      <group>L1_Format</group>
      <groupName>格式问题</groupName>
      <ability>L2_HalfPunc_CN</ability>
      <abilityName>全半角问题</abilityName>
      <candidateList>
        <item>：</item>
      </candidateList>
      <explain>文本全半角错误。</explain>
      <paraID>16E4A26D</paraID>
      <start>8</start>
      <end>9</end>
      <status>unmodified</status>
      <modifiedWord/>
      <trackRevisions>false</trackRevisions>
    </reviewItem>
    <reviewItem>
      <errorID>b065abeb-6c3c-48eb-a901-54d32b21c6e6</errorID>
      <errorWord>:</errorWord>
      <group>L1_Format</group>
      <groupName>格式问题</groupName>
      <ability>L2_HalfPunc_CN</ability>
      <abilityName>全半角问题</abilityName>
      <candidateList>
        <item>：</item>
      </candidateList>
      <explain>文本全半角错误。</explain>
      <paraID>497C3CCF</paraID>
      <start>8</start>
      <end>9</end>
      <status>unmodified</status>
      <modifiedWord/>
      <trackRevisions>false</trackRevisions>
    </reviewItem>
    <reviewItem>
      <errorID>044a40e4-3f43-47e4-940a-e0c9ebb507be</errorID>
      <errorWord>:</errorWord>
      <group>L1_Format</group>
      <groupName>格式问题</groupName>
      <ability>L2_HalfPunc_CN</ability>
      <abilityName>全半角问题</abilityName>
      <candidateList>
        <item>：</item>
      </candidateList>
      <explain>文本全半角错误。</explain>
      <paraID>6BAB64FC</paraID>
      <start>8</start>
      <end>9</end>
      <status>unmodified</status>
      <modifiedWord/>
      <trackRevisions>false</trackRevisions>
    </reviewItem>
    <reviewItem>
      <errorID>1c76a29d-1c44-42e8-b388-55f6a79103e7</errorID>
      <errorWord>,</errorWord>
      <group>L1_Format</group>
      <groupName>格式问题</groupName>
      <ability>L2_HalfPunc_CN</ability>
      <abilityName>全半角问题</abilityName>
      <candidateList>
        <item>，</item>
      </candidateList>
      <explain>文本全半角错误。</explain>
      <paraID>6BAB64FC</paraID>
      <start>15</start>
      <end>16</end>
      <status>unmodified</status>
      <modifiedWord/>
      <trackRevisions>false</trackRevisions>
    </reviewItem>
    <reviewItem>
      <errorID>93e136a6-06ed-453b-9238-f09e620706f5</errorID>
      <errorWord>采购机</errorWord>
      <group>L1_Word</group>
      <groupName>字词问题</groupName>
      <ability>L2_Typo</ability>
      <abilityName>字词错误</abilityName>
      <candidateList>
        <item>采购</item>
      </candidateList>
      <explain/>
      <paraID>77DAED75</paraID>
      <start>74</start>
      <end>76</end>
      <status>modified</status>
      <modifiedWord>采购</modifiedWord>
      <trackRevisions>false</trackRevisions>
    </reviewItem>
    <reviewItem>
      <errorID>0622420b-27c7-47d4-bc64-635cb82e32c4</errorID>
      <errorWord>构</errorWord>
      <group>L1_Word</group>
      <groupName>字词问题</groupName>
      <ability>L2_Typo</ability>
      <abilityName>字词错误</abilityName>
      <candidateList>
        <item>机构</item>
      </candidateList>
      <explain/>
      <paraID>77DAED75</paraID>
      <start>78</start>
      <end>80</end>
      <status>modified</status>
      <modifiedWord>机构</modifiedWord>
      <trackRevisions>false</trackRevisions>
    </reviewItem>
    <reviewItem>
      <errorID>c4ffba7e-d346-4d0d-9619-50d3720e1e09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BD04F3B</paraID>
      <start>13</start>
      <end>17</end>
      <status>unmodified</status>
      <modifiedWord/>
      <trackRevisions>false</trackRevisions>
    </reviewItem>
    <reviewItem>
      <errorID>c419136d-b65d-48b1-a822-b3cf23e4215c</errorID>
      <errorWord>其它</errorWord>
      <group>L1_Word</group>
      <groupName>字词问题</groupName>
      <ability>L2_Alias</ability>
      <abilityName>也作/曾用词</abilityName>
      <candidateList>
        <item>其他</item>
      </candidateList>
      <explain>词汇[其它]为不规范表述或旧称，其规范书面表述为[其他]。</explain>
      <paraID>545F7E05</paraID>
      <start>53</start>
      <end>55</end>
      <status>unmodified</status>
      <modifiedWord/>
      <trackRevisions>false</trackRevisions>
    </reviewItem>
    <reviewItem>
      <errorID>72ed56d6-f8c6-4377-8bf3-b9c9e64b791d</errorID>
      <errorWord>其它</errorWord>
      <group>L1_Word</group>
      <groupName>字词问题</groupName>
      <ability>L2_Alias</ability>
      <abilityName>也作/曾用词</abilityName>
      <candidateList>
        <item>其他</item>
      </candidateList>
      <explain>词汇[其它]为不规范表述或旧称，其规范书面表述为[其他]。</explain>
      <paraID>545F7E05</paraID>
      <start>81</start>
      <end>83</end>
      <status>unmodified</status>
      <modifiedWord/>
      <trackRevisions>false</trackRevisions>
    </reviewItem>
    <reviewItem>
      <errorID>3e89516a-11b4-4bbd-81d5-19fab202eac0</errorID>
      <errorWord>（</errorWord>
      <group>L1_Punc</group>
      <groupName>标点问题</groupName>
      <ability>L2_Punc_CN</ability>
      <abilityName>标点符号问题</abilityName>
      <candidateList/>
      <explain>同一形式括号套用。</explain>
      <paraID>1D0733D3</paraID>
      <start>38</start>
      <end>39</end>
      <status>unmodified</status>
      <modifiedWord/>
      <trackRevisions>false</trackRevisions>
    </reviewItem>
    <reviewItem>
      <errorID>2d7b2459-4192-4094-8050-79973060dc92</errorID>
      <errorWord>）</errorWord>
      <group>L1_Punc</group>
      <groupName>标点问题</groupName>
      <ability>L2_Punc_CN</ability>
      <abilityName>标点符号问题</abilityName>
      <candidateList/>
      <explain>同一形式括号套用。</explain>
      <paraID>1D0733D3</paraID>
      <start>44</start>
      <end>45</end>
      <status>unmodified</status>
      <modifiedWord/>
      <trackRevisions>false</trackRevisions>
    </reviewItem>
    <reviewItem>
      <errorID>06f0ce29-7625-4db2-ac32-aee67991661d</errorID>
      <errorWord>.</errorWord>
      <group>L1_Format</group>
      <groupName>格式问题</groupName>
      <ability>L2_HalfPunc_CN</ability>
      <abilityName>全半角问题</abilityName>
      <candidateList>
        <item>。</item>
      </candidateList>
      <explain>文本全半角错误。</explain>
      <paraID> B4BF489</paraID>
      <start>109</start>
      <end>110</end>
      <status>unmodified</status>
      <modifiedWord/>
      <trackRevisions>false</trackRevisions>
    </reviewItem>
    <reviewItem>
      <errorID>0862fdc3-7ffb-4693-8054-e7f4dae40792</errorID>
      <errorWord>.</errorWord>
      <group>L1_Format</group>
      <groupName>格式问题</groupName>
      <ability>L2_HalfPunc_CN</ability>
      <abilityName>全半角问题</abilityName>
      <candidateList>
        <item>。</item>
      </candidateList>
      <explain>文本全半角错误。</explain>
      <paraID> B4BF489</paraID>
      <start>122</start>
      <end>123</end>
      <status>unmodified</status>
      <modifiedWord/>
      <trackRevisions>false</trackRevisions>
    </reviewItem>
    <reviewItem>
      <errorID>894e0285-3734-425e-bfa3-1533c2d07e2a</errorID>
      <errorWord>.</errorWord>
      <group>L1_Format</group>
      <groupName>格式问题</groupName>
      <ability>L2_HalfPunc_CN</ability>
      <abilityName>全半角问题</abilityName>
      <candidateList>
        <item>。</item>
      </candidateList>
      <explain>文本全半角错误。</explain>
      <paraID> B4BF489</paraID>
      <start>140</start>
      <end>141</end>
      <status>unmodified</status>
      <modifiedWord/>
      <trackRevisions>false</trackRevisions>
    </reviewItem>
    <reviewItem>
      <errorID>d776fedf-7445-4207-af0f-196cc84d6f7e</errorID>
      <errorWord>无须</errorWord>
      <group>L1_Word</group>
      <groupName>字词问题</groupName>
      <ability>L2_Typo</ability>
      <abilityName>字词错误</abilityName>
      <candidateList>
        <item>无需</item>
      </candidateList>
      <explain>存在发音相同字词的误用。</explain>
      <paraID>4AA66CA6</paraID>
      <start>3</start>
      <end>5</end>
      <status>modified</status>
      <modifiedWord>无需</modifiedWord>
      <trackRevisions>false</trackRevisions>
    </reviewItem>
    <reviewItem>
      <errorID>63ea0ca9-c070-4a60-be67-dfb34e8fe05e</errorID>
      <errorWord>）</errorWord>
      <group>L1_Word</group>
      <groupName>字词问题</groupName>
      <ability>L2_Typo</ability>
      <abilityName>字词错误</abilityName>
      <candidateList>
        <item>）和</item>
      </candidateList>
      <explain/>
      <paraID>193E3CAD</paraID>
      <start>68</start>
      <end>69</end>
      <status>unmodified</status>
      <modifiedWord/>
      <trackRevisions>false</trackRevisions>
    </reviewItem>
    <reviewItem>
      <errorID>274b080a-174a-4d75-b00b-1d908adb7f07</errorID>
      <errorWord>（</errorWord>
      <group>L1_Punc</group>
      <groupName>标点问题</groupName>
      <ability>L2_Punc_CN</ability>
      <abilityName>标点符号问题</abilityName>
      <candidateList/>
      <explain>同一形式括号套用。</explain>
      <paraID>193E3CAD</paraID>
      <start>103</start>
      <end>104</end>
      <status>unmodified</status>
      <modifiedWord/>
      <trackRevisions>false</trackRevisions>
    </reviewItem>
    <reviewItem>
      <errorID>81bd7221-a5a8-44ea-b053-8fda64c036dd</errorID>
      <errorWord>）</errorWord>
      <group>L1_Punc</group>
      <groupName>标点问题</groupName>
      <ability>L2_Punc_CN</ability>
      <abilityName>标点符号问题</abilityName>
      <candidateList/>
      <explain>同一形式括号套用。</explain>
      <paraID>193E3CAD</paraID>
      <start>108</start>
      <end>109</end>
      <status>unmodified</status>
      <modifiedWord/>
      <trackRevisions>false</trackRevisions>
    </reviewItem>
    <reviewItem>
      <errorID>f95f5d17-f015-456e-835e-8be69f0a136e</errorID>
      <errorWord>,</errorWord>
      <group>L1_Word</group>
      <groupName>字词问题</groupName>
      <ability>L2_Typo</ability>
      <abilityName>字词错误</abilityName>
      <candidateList>
        <item>,将</item>
      </candidateList>
      <explain/>
      <paraID>193E3CAD</paraID>
      <start>177</start>
      <end>178</end>
      <status>unmodified</status>
      <modifiedWord/>
      <trackRevisions>false</trackRevisions>
    </reviewItem>
    <reviewItem>
      <errorID>84fa7057-65b7-4eba-a23d-13feee36b4fa</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1C6C3357</paraID>
      <start>59</start>
      <end>62</end>
      <status>modified</status>
      <modifiedWord>登录到</modifiedWord>
      <trackRevisions>false</trackRevisions>
    </reviewItem>
    <reviewItem>
      <errorID>7f8817e2-e392-48e8-998e-d488ca137f07</errorID>
      <errorWord>保持通讯畅通</errorWord>
      <group>L1_Word</group>
      <groupName>字词问题</groupName>
      <ability>L2_Typo</ability>
      <abilityName>字词错误</abilityName>
      <candidateList>
        <item>保持通信畅通</item>
      </candidateList>
      <explain/>
      <paraID>3DBC8AB5</paraID>
      <start>17</start>
      <end>23</end>
      <status>unmodified</status>
      <modifiedWord/>
      <trackRevisions>false</trackRevisions>
    </reviewItem>
    <reviewItem>
      <errorID>4479e297-7022-4bcd-b0db-4a07256be80b</errorID>
      <errorWord>:</errorWord>
      <group>L1_Format</group>
      <groupName>格式问题</groupName>
      <ability>L2_HalfPunc_CN</ability>
      <abilityName>全半角问题</abilityName>
      <candidateList>
        <item>：</item>
      </candidateList>
      <explain>文本全半角错误。</explain>
      <paraID>1142617D</paraID>
      <start>59</start>
      <end>60</end>
      <status>unmodified</status>
      <modifiedWord/>
      <trackRevisions>false</trackRevisions>
    </reviewItem>
    <reviewItem>
      <errorID>c15968b3-33ab-4f47-970d-58ea662dd59f</errorID>
      <errorWord>(</errorWord>
      <group>L1_Format</group>
      <groupName>格式问题</groupName>
      <ability>L2_HalfPunc_CN</ability>
      <abilityName>全半角问题</abilityName>
      <candidateList>
        <item>（</item>
      </candidateList>
      <explain>文本全半角错误。</explain>
      <paraID>12FB0689</paraID>
      <start>48</start>
      <end>49</end>
      <status>unmodified</status>
      <modifiedWord/>
      <trackRevisions>false</trackRevisions>
    </reviewItem>
    <reviewItem>
      <errorID>b0391871-2228-4d29-b050-14ebf6a7ff79</errorID>
      <errorWord>-</errorWord>
      <group>L1_Format</group>
      <groupName>格式问题</groupName>
      <ability>L2_HalfPunc_CN</ability>
      <abilityName>全半角问题</abilityName>
      <candidateList>
        <item>－</item>
      </candidateList>
      <explain>文本全半角错误。</explain>
      <paraID>12FB0689</paraID>
      <start>50</start>
      <end>51</end>
      <status>unmodified</status>
      <modifiedWord/>
      <trackRevisions>false</trackRevisions>
    </reviewItem>
    <reviewItem>
      <errorID>c8667d43-0fca-43d0-95fe-c665cc775f5d</errorID>
      <errorWord>)</errorWord>
      <group>L1_Format</group>
      <groupName>格式问题</groupName>
      <ability>L2_HalfPunc_CN</ability>
      <abilityName>全半角问题</abilityName>
      <candidateList>
        <item>）</item>
      </candidateList>
      <explain>文本全半角错误。</explain>
      <paraID>12FB0689</paraID>
      <start>56</start>
      <end>57</end>
      <status>unmodified</status>
      <modifiedWord/>
      <trackRevisions>false</trackRevisions>
    </reviewItem>
    <reviewItem>
      <errorID>9c28ce86-7295-418a-8f7c-141c95552968</errorID>
      <errorWord>&lt;</errorWord>
      <group>L1_Format</group>
      <groupName>格式问题</groupName>
      <ability>L2_HalfPunc_CN</ability>
      <abilityName>全半角问题</abilityName>
      <candidateList>
        <item>〈</item>
      </candidateList>
      <explain>文本全半角错误。</explain>
      <paraID>12FB0689</paraID>
      <start>59</start>
      <end>60</end>
      <status>unmodified</status>
      <modifiedWord/>
      <trackRevisions>false</trackRevisions>
    </reviewItem>
    <reviewItem>
      <errorID>63b1d581-fc84-48a6-8714-850e2d362993</errorID>
      <errorWord>(</errorWord>
      <group>L1_Format</group>
      <groupName>格式问题</groupName>
      <ability>L2_HalfPunc_CN</ability>
      <abilityName>全半角问题</abilityName>
      <candidateList>
        <item>（</item>
      </candidateList>
      <explain>文本全半角错误。</explain>
      <paraID>3C4EB158</paraID>
      <start>48</start>
      <end>49</end>
      <status>unmodified</status>
      <modifiedWord/>
      <trackRevisions>false</trackRevisions>
    </reviewItem>
    <reviewItem>
      <errorID>e8b4d471-721b-44e3-bef4-87bb6ecf9ab4</errorID>
      <errorWord>-</errorWord>
      <group>L1_Format</group>
      <groupName>格式问题</groupName>
      <ability>L2_HalfPunc_CN</ability>
      <abilityName>全半角问题</abilityName>
      <candidateList>
        <item>－</item>
      </candidateList>
      <explain>文本全半角错误。</explain>
      <paraID>3C4EB158</paraID>
      <start>50</start>
      <end>51</end>
      <status>unmodified</status>
      <modifiedWord/>
      <trackRevisions>false</trackRevisions>
    </reviewItem>
    <reviewItem>
      <errorID>2dec37a5-56e0-45a2-9672-c3ca698b9652</errorID>
      <errorWord>)</errorWord>
      <group>L1_Format</group>
      <groupName>格式问题</groupName>
      <ability>L2_HalfPunc_CN</ability>
      <abilityName>全半角问题</abilityName>
      <candidateList>
        <item>）</item>
      </candidateList>
      <explain>文本全半角错误。</explain>
      <paraID>3C4EB158</paraID>
      <start>56</start>
      <end>57</end>
      <status>unmodified</status>
      <modifiedWord/>
      <trackRevisions>false</trackRevisions>
    </reviewItem>
    <reviewItem>
      <errorID>cbb0478f-e127-41aa-b4d1-882c2cac3029</errorID>
      <errorWord>&lt;</errorWord>
      <group>L1_Format</group>
      <groupName>格式问题</groupName>
      <ability>L2_HalfPunc_CN</ability>
      <abilityName>全半角问题</abilityName>
      <candidateList>
        <item>〈</item>
      </candidateList>
      <explain>文本全半角错误。</explain>
      <paraID>3C4EB158</paraID>
      <start>59</start>
      <end>60</end>
      <status>unmodified</status>
      <modifiedWord/>
      <trackRevisions>false</trackRevisions>
    </reviewItem>
    <reviewItem>
      <errorID>149f7692-9e59-4b07-906d-5859cf71a38b</errorID>
      <errorWord>(</errorWord>
      <group>L1_Format</group>
      <groupName>格式问题</groupName>
      <ability>L2_HalfPunc_CN</ability>
      <abilityName>全半角问题</abilityName>
      <candidateList>
        <item>（</item>
      </candidateList>
      <explain>文本全半角错误。</explain>
      <paraID>7FEBDC64</paraID>
      <start>9</start>
      <end>10</end>
      <status>unmodified</status>
      <modifiedWord/>
      <trackRevisions>false</trackRevisions>
    </reviewItem>
    <reviewItem>
      <errorID>c2f714d9-9b4e-4b17-a16d-d90552db3ad7</errorID>
      <errorWord>-</errorWord>
      <group>L1_Format</group>
      <groupName>格式问题</groupName>
      <ability>L2_HalfPunc_CN</ability>
      <abilityName>全半角问题</abilityName>
      <candidateList>
        <item>－</item>
      </candidateList>
      <explain>文本全半角错误。</explain>
      <paraID>7FEBDC64</paraID>
      <start>11</start>
      <end>12</end>
      <status>unmodified</status>
      <modifiedWord/>
      <trackRevisions>false</trackRevisions>
    </reviewItem>
    <reviewItem>
      <errorID>160acb6b-4cc0-4fdf-a81f-8bdbedb8e667</errorID>
      <errorWord>)</errorWord>
      <group>L1_Format</group>
      <groupName>格式问题</groupName>
      <ability>L2_HalfPunc_CN</ability>
      <abilityName>全半角问题</abilityName>
      <candidateList>
        <item>）</item>
      </candidateList>
      <explain>文本全半角错误。</explain>
      <paraID>7FEBDC64</paraID>
      <start>17</start>
      <end>18</end>
      <status>unmodified</status>
      <modifiedWord/>
      <trackRevisions>false</trackRevisions>
    </reviewItem>
    <reviewItem>
      <errorID>2d1fe0fd-190f-4c96-ae19-06f68fe8a2ad</errorID>
      <errorWord>&lt;</errorWord>
      <group>L1_Format</group>
      <groupName>格式问题</groupName>
      <ability>L2_HalfPunc_CN</ability>
      <abilityName>全半角问题</abilityName>
      <candidateList>
        <item>〈</item>
      </candidateList>
      <explain>文本全半角错误。</explain>
      <paraID>7FEBDC64</paraID>
      <start>44</start>
      <end>45</end>
      <status>unmodified</status>
      <modifiedWord/>
      <trackRevisions>false</trackRevisions>
    </reviewItem>
    <reviewItem>
      <errorID>19b51a84-b1ce-444d-a727-b47079eead05</errorID>
      <errorWord>（2019）10号</errorWord>
      <group>L1_Knowledge</group>
      <groupName>知识性问题</groupName>
      <ability>L2_Knowledge</ability>
      <abilityName>其他知识</abilityName>
      <candidateList>
        <item>〔2019〕10号</item>
      </candidateList>
      <explain>发文字号格式错误。</explain>
      <paraID> CB19645</paraID>
      <start>53</start>
      <end>62</end>
      <status>unmodified</status>
      <modifiedWord/>
      <trackRevisions>false</trackRevisions>
    </reviewItem>
    <reviewItem>
      <errorID>c29752db-449c-4d58-bb3b-6bef6b85dbbf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DCD8A</paraID>
      <start>83</start>
      <end>84</end>
      <status>unmodified</status>
      <modifiedWord/>
      <trackRevisions>false</trackRevisions>
    </reviewItem>
    <reviewItem>
      <errorID>b552ae01-adc4-4694-813d-af6e5d48bced</errorID>
      <errorWord>:</errorWord>
      <group>L1_Format</group>
      <groupName>格式问题</groupName>
      <ability>L2_HalfPunc_CN</ability>
      <abilityName>全半角问题</abilityName>
      <candidateList>
        <item>：</item>
      </candidateList>
      <explain>文本全半角错误。</explain>
      <paraID>7238BA9C</paraID>
      <start>22</start>
      <end>23</end>
      <status>unmodified</status>
      <modifiedWord/>
      <trackRevisions>false</trackRevisions>
    </reviewItem>
    <reviewItem>
      <errorID>28ad4d19-d191-4383-b5d1-267405ae7834</errorID>
      <errorWord>(</errorWord>
      <group>L1_Format</group>
      <groupName>格式问题</groupName>
      <ability>L2_HalfPunc_CN</ability>
      <abilityName>全半角问题</abilityName>
      <candidateList>
        <item>（</item>
      </candidateList>
      <explain>文本全半角错误。</explain>
      <paraID>7238BA9C</paraID>
      <start>127</start>
      <end>128</end>
      <status>unmodified</status>
      <modifiedWord/>
      <trackRevisions>false</trackRevisions>
    </reviewItem>
    <reviewItem>
      <errorID>ef8e48c1-673d-464f-a675-a2c6802c32ba</errorID>
      <errorWord>法律、法规</errorWord>
      <group>L1_Word</group>
      <groupName>字词问题</groupName>
      <ability>L2_Typo</ability>
      <abilityName>字词错误</abilityName>
      <candidateList>
        <item>法律法规</item>
      </candidateList>
      <explain/>
      <paraID>3AD0BE43</paraID>
      <start>6</start>
      <end>11</end>
      <status>unmodified</status>
      <modifiedWord/>
      <trackRevisions>false</trackRevisions>
    </reviewItem>
    <reviewItem>
      <errorID>e7895ded-7035-40d1-8da0-3359d2124f3e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E21957B</paraID>
      <start>74</start>
      <end>77</end>
      <status>unmodified</status>
      <modifiedWord/>
      <trackRevisions>false</trackRevisions>
    </reviewItem>
    <reviewItem>
      <errorID>6f6524de-9bd7-4f92-829e-cb45712b2a26</errorID>
      <errorWord>和</errorWord>
      <group>L1_Word</group>
      <groupName>字词问题</groupName>
      <ability>L2_Typo</ability>
      <abilityName>字词错误</abilityName>
      <candidateList>
        <item>和加</item>
      </candidateList>
      <explain/>
      <paraID> E21957B</paraID>
      <start>200</start>
      <end>201</end>
      <status>unmodified</status>
      <modifiedWord/>
      <trackRevisions>false</trackRevisions>
    </reviewItem>
    <reviewItem>
      <errorID>21b30a21-4637-4bbd-a2ca-2b077e772ae7</errorID>
      <errorWord>确定出</errorWord>
      <group>L1_Word</group>
      <groupName>字词问题</groupName>
      <ability>L2_Typo</ability>
      <abilityName>字词错误</abilityName>
      <candidateList>
        <item>确定</item>
      </candidateList>
      <explain/>
      <paraID>1D54D700</paraID>
      <start>4</start>
      <end>7</end>
      <status>unmodified</status>
      <modifiedWord/>
      <trackRevisions>false</trackRevisions>
    </reviewItem>
    <reviewItem>
      <errorID>4c6e4a6e-67fa-454a-9fb6-4ed1253a4d80</errorID>
      <errorWord>,</errorWord>
      <group>L1_Format</group>
      <groupName>格式问题</groupName>
      <ability>L2_HalfPunc_CN</ability>
      <abilityName>全半角问题</abilityName>
      <candidateList>
        <item>，</item>
      </candidateList>
      <explain>文本全半角错误。</explain>
      <paraID>1D54D700</paraID>
      <start>56</start>
      <end>57</end>
      <status>unmodified</status>
      <modifiedWord/>
      <trackRevisions>false</trackRevisions>
    </reviewItem>
    <reviewItem>
      <errorID>7d4f36eb-4ed7-41c6-b717-9ea8a62a4244</errorID>
      <errorWord>,</errorWord>
      <group>L1_Format</group>
      <groupName>格式问题</groupName>
      <ability>L2_HalfPunc_CN</ability>
      <abilityName>全半角问题</abilityName>
      <candidateList>
        <item>，</item>
      </candidateList>
      <explain>文本全半角错误。</explain>
      <paraID>1D54D700</paraID>
      <start>131</start>
      <end>132</end>
      <status>unmodified</status>
      <modifiedWord/>
      <trackRevisions>false</trackRevisions>
    </reviewItem>
    <reviewItem>
      <errorID>3338071a-3eed-40f4-938e-02b5ced809d8</errorID>
      <errorWord>式</errorWord>
      <group>L1_Word</group>
      <groupName>字词问题</groupName>
      <ability>L2_Typo</ability>
      <abilityName>字词错误</abilityName>
      <candidateList>
        <item>式的</item>
      </candidateList>
      <explain/>
      <paraID> 67D3F33</paraID>
      <start>103</start>
      <end>104</end>
      <status>unmodified</status>
      <modifiedWord/>
      <trackRevisions>false</trackRevisions>
    </reviewItem>
    <reviewItem>
      <errorID>eab15e4c-af7f-4f36-bb5f-4c087e3fa9b7</errorID>
      <errorWord>，</errorWord>
      <group>L1_Word</group>
      <groupName>字词问题</groupName>
      <ability>L2_Typo</ability>
      <abilityName>字词错误</abilityName>
      <candidateList>
        <item>，在</item>
      </candidateList>
      <explain/>
      <paraID>3D66D6B8</paraID>
      <start>171</start>
      <end>172</end>
      <status>unmodified</status>
      <modifiedWord/>
      <trackRevisions>false</trackRevisions>
    </reviewItem>
    <reviewItem>
      <errorID>489f573b-1410-4267-a971-ec8ee31370ab</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297215BB</paraID>
      <start>59</start>
      <end>67</end>
      <status>unmodified</status>
      <modifiedWord/>
      <trackRevisions>false</trackRevisions>
    </reviewItem>
    <reviewItem>
      <errorID>9bfd4a97-e479-4e8e-9355-ca0b40fc42a1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297215BB</paraID>
      <start>73</start>
      <end>82</end>
      <status>unmodified</status>
      <modifiedWord/>
      <trackRevisions>false</trackRevisions>
    </reviewItem>
    <reviewItem>
      <errorID>f559dfb3-85a2-476b-993d-a5b03986afb8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297215BB</paraID>
      <start>88</start>
      <end>98</end>
      <status>unmodified</status>
      <modifiedWord/>
      <trackRevisions>false</trackRevisions>
    </reviewItem>
    <reviewItem>
      <errorID>89ad8df6-57ae-4f9c-a895-22b452aa2d48</errorID>
      <errorWord>：</errorWord>
      <group>L1_Format</group>
      <groupName>格式问题</groupName>
      <ability>L2_HalfPunc_CN</ability>
      <abilityName>全半角问题</abilityName>
      <candidateList>
        <item>:</item>
      </candidateList>
      <explain>文本全半角错误。</explain>
      <paraID>6C8DE98E</paraID>
      <start>25</start>
      <end>26</end>
      <status>unmodified</status>
      <modifiedWord/>
      <trackRevisions>false</trackRevisions>
    </reviewItem>
    <reviewItem>
      <errorID>f2f2e88a-67e2-4b6b-8237-a5eeb0b4a97e</errorID>
      <errorWord>：</errorWord>
      <group>L1_Format</group>
      <groupName>格式问题</groupName>
      <ability>L2_HalfPunc_CN</ability>
      <abilityName>全半角问题</abilityName>
      <candidateList>
        <item>:</item>
      </candidateList>
      <explain>文本全半角错误。</explain>
      <paraID>6C8DE98E</paraID>
      <start>42</start>
      <end>43</end>
      <status>unmodified</status>
      <modifiedWord/>
      <trackRevisions>false</trackRevisions>
    </reviewItem>
    <reviewItem>
      <errorID>21080be5-e591-4477-93d0-121150a5ec51</errorID>
      <errorWord>：</errorWord>
      <group>L1_Format</group>
      <groupName>格式问题</groupName>
      <ability>L2_HalfPunc_CN</ability>
      <abilityName>全半角问题</abilityName>
      <candidateList>
        <item>:</item>
      </candidateList>
      <explain>文本全半角错误。</explain>
      <paraID>6C8DE98E</paraID>
      <start>59</start>
      <end>60</end>
      <status>unmodified</status>
      <modifiedWord/>
      <trackRevisions>false</trackRevisions>
    </reviewItem>
    <reviewItem>
      <errorID>55ca6917-afe2-4cb2-90fa-678ecb9ab639</errorID>
      <errorWord>:</errorWord>
      <group>L1_Format</group>
      <groupName>格式问题</groupName>
      <ability>L2_HalfPunc_CN</ability>
      <abilityName>全半角问题</abilityName>
      <candidateList>
        <item>：</item>
      </candidateList>
      <explain>文本全半角错误。</explain>
      <paraID>5AA5BA48</paraID>
      <start>6</start>
      <end>7</end>
      <status>unmodified</status>
      <modifiedWord/>
      <trackRevisions>false</trackRevisions>
    </reviewItem>
    <reviewItem>
      <errorID>85745637-7dc0-4a9a-abaf-eabe223022f5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3FE64297</paraID>
      <start>6</start>
      <end>7</end>
      <status>unmodified</status>
      <modifiedWord/>
      <trackRevisions>false</trackRevisions>
    </reviewItem>
    <reviewItem>
      <errorID>e8bd562a-7b96-4fda-844f-80b850b11a41</errorID>
      <errorWord>部份</errorWord>
      <group>L1_Word</group>
      <groupName>字词问题</groupName>
      <ability>L2_Typo</ability>
      <abilityName>字词错误</abilityName>
      <candidateList>
        <item>部分</item>
      </candidateList>
      <explain/>
      <paraID>6C791E2C</paraID>
      <start>7</start>
      <end>9</end>
      <status>unmodified</status>
      <modifiedWord/>
      <trackRevisions>false</trackRevisions>
    </reviewItem>
    <reviewItem>
      <errorID>cd005e68-2eec-4e57-aace-ad02251e32c0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673B13F4</paraID>
      <start>6</start>
      <end>7</end>
      <status>unmodified</status>
      <modifiedWord/>
      <trackRevisions>false</trackRevisions>
    </reviewItem>
    <reviewItem>
      <errorID>ac8d4c39-2a1e-44bd-acbc-b2bd6b3e00f5</errorID>
      <errorWord>(</errorWord>
      <group>L1_Format</group>
      <groupName>格式问题</groupName>
      <ability>L2_HalfPunc_CN</ability>
      <abilityName>全半角问题</abilityName>
      <candidateList>
        <item>（</item>
      </candidateList>
      <explain>文本全半角错误。</explain>
      <paraID>5C9CA618</paraID>
      <start>15</start>
      <end>16</end>
      <status>unmodified</status>
      <modifiedWord/>
      <trackRevisions>false</trackRevisions>
    </reviewItem>
    <reviewItem>
      <errorID>091bd9d0-08cf-4885-b88f-1d0fd2e21762</errorID>
      <errorWord>)</errorWord>
      <group>L1_Format</group>
      <groupName>格式问题</groupName>
      <ability>L2_HalfPunc_CN</ability>
      <abilityName>全半角问题</abilityName>
      <candidateList>
        <item>）</item>
      </candidateList>
      <explain>文本全半角错误。</explain>
      <paraID>5C9CA618</paraID>
      <start>24</start>
      <end>25</end>
      <status>unmodified</status>
      <modifiedWord/>
      <trackRevisions>false</trackRevisions>
    </reviewItem>
    <reviewItem>
      <errorID>b49796c2-dbc8-4153-90f7-34d2543740d8</errorID>
      <errorWord>(</errorWord>
      <group>L1_Format</group>
      <groupName>格式问题</groupName>
      <ability>L2_HalfPunc_CN</ability>
      <abilityName>全半角问题</abilityName>
      <candidateList>
        <item>（</item>
      </candidateList>
      <explain>文本全半角错误。</explain>
      <paraID>6D454DB8</paraID>
      <start>15</start>
      <end>16</end>
      <status>unmodified</status>
      <modifiedWord/>
      <trackRevisions>false</trackRevisions>
    </reviewItem>
    <reviewItem>
      <errorID>5b461bca-bc22-4b1c-84d6-b5f04de23210</errorID>
      <errorWord>)</errorWord>
      <group>L1_Format</group>
      <groupName>格式问题</groupName>
      <ability>L2_HalfPunc_CN</ability>
      <abilityName>全半角问题</abilityName>
      <candidateList>
        <item>）</item>
      </candidateList>
      <explain>文本全半角错误。</explain>
      <paraID>6D454DB8</paraID>
      <start>24</start>
      <end>25</end>
      <status>unmodified</status>
      <modifiedWord/>
      <trackRevisions>false</trackRevisions>
    </reviewItem>
    <reviewItem>
      <errorID>86cf8d96-4946-46af-a9a2-410b04db8a71</errorID>
      <errorWord>(</errorWord>
      <group>L1_Format</group>
      <groupName>格式问题</groupName>
      <ability>L2_HalfPunc_CN</ability>
      <abilityName>全半角问题</abilityName>
      <candidateList>
        <item>（</item>
      </candidateList>
      <explain>文本全半角错误。</explain>
      <paraID>15903B0C</paraID>
      <start>15</start>
      <end>16</end>
      <status>unmodified</status>
      <modifiedWord/>
      <trackRevisions>false</trackRevisions>
    </reviewItem>
    <reviewItem>
      <errorID>a1e7ad57-1e7f-4db9-ae5a-9b0ef53930b5</errorID>
      <errorWord>)</errorWord>
      <group>L1_Format</group>
      <groupName>格式问题</groupName>
      <ability>L2_HalfPunc_CN</ability>
      <abilityName>全半角问题</abilityName>
      <candidateList>
        <item>）</item>
      </candidateList>
      <explain>文本全半角错误。</explain>
      <paraID>15903B0C</paraID>
      <start>24</start>
      <end>25</end>
      <status>unmodified</status>
      <modifiedWord/>
      <trackRevisions>false</trackRevisions>
    </reviewItem>
    <reviewItem>
      <errorID>e5a1379b-21fb-4f46-aeb1-20aa75c708af</errorID>
      <errorWord>的</errorWord>
      <group>L1_Word</group>
      <groupName>字词问题</groupName>
      <ability>L2_DDD</ability>
      <abilityName>的地得用法</abilityName>
      <candidateList>
        <item>地</item>
      </candidateList>
      <explain/>
      <paraID>231B1F74</paraID>
      <start>11</start>
      <end>12</end>
      <status>unmodified</status>
      <modifiedWord/>
      <trackRevisions>false</trackRevisions>
    </reviewItem>
    <reviewItem>
      <errorID>ca4307b1-4367-4811-86e2-6318d9a60c27</errorID>
      <errorWord>法律、法规</errorWord>
      <group>L1_Word</group>
      <groupName>字词问题</groupName>
      <ability>L2_Typo</ability>
      <abilityName>字词错误</abilityName>
      <candidateList>
        <item>法律法规</item>
      </candidateList>
      <explain/>
      <paraID>6E2C27C6</paraID>
      <start>49</start>
      <end>54</end>
      <status>unmodified</status>
      <modifiedWord/>
      <trackRevisions>false</trackRevisions>
    </reviewItem>
    <reviewItem>
      <errorID>9315c79e-346a-43b1-9c60-2cabddcd4b39</errorID>
      <errorWord>法律、法规</errorWord>
      <group>L1_Word</group>
      <groupName>字词问题</groupName>
      <ability>L2_Typo</ability>
      <abilityName>字词错误</abilityName>
      <candidateList>
        <item>法律法规</item>
      </candidateList>
      <explain/>
      <paraID>1670B783</paraID>
      <start>22</start>
      <end>27</end>
      <status>unmodified</status>
      <modifiedWord/>
      <trackRevisions>false</trackRevisions>
    </reviewItem>
    <reviewItem>
      <errorID>557a7de9-d90c-4fbb-abb9-7f693d322db2</errorID>
      <errorWord>法律、法规</errorWord>
      <group>L1_Word</group>
      <groupName>字词问题</groupName>
      <ability>L2_Typo</ability>
      <abilityName>字词错误</abilityName>
      <candidateList>
        <item>法律法规</item>
      </candidateList>
      <explain/>
      <paraID>7D5990B4</paraID>
      <start>44</start>
      <end>49</end>
      <status>unmodified</status>
      <modifiedWord/>
      <trackRevisions>false</trackRevisions>
    </reviewItem>
    <reviewItem>
      <errorID>8cee3c14-2fdf-4cc9-a432-f15536066239</errorID>
      <errorWord>(</errorWord>
      <group>L1_Format</group>
      <groupName>格式问题</groupName>
      <ability>L2_HalfPunc_CN</ability>
      <abilityName>全半角问题</abilityName>
      <candidateList>
        <item>（</item>
      </candidateList>
      <explain>文本全半角错误。</explain>
      <paraID>21A162F0</paraID>
      <start>5</start>
      <end>6</end>
      <status>unmodified</status>
      <modifiedWord/>
      <trackRevisions>false</trackRevisions>
    </reviewItem>
    <reviewItem>
      <errorID>700e4de4-6f90-4ce4-8f0b-f5493c614e87</errorID>
      <errorWord>)</errorWord>
      <group>L1_Format</group>
      <groupName>格式问题</groupName>
      <ability>L2_HalfPunc_CN</ability>
      <abilityName>全半角问题</abilityName>
      <candidateList>
        <item>）</item>
      </candidateList>
      <explain>文本全半角错误。</explain>
      <paraID>21A162F0</paraID>
      <start>8</start>
      <end>9</end>
      <status>unmodified</status>
      <modifiedWord/>
      <trackRevisions>false</trackRevisions>
    </reviewItem>
    <reviewItem>
      <errorID>e11758eb-f862-455e-b45a-5aa5e82508c8</errorID>
      <errorWord>采用为</errorWord>
      <group>L1_Word</group>
      <groupName>字词问题</groupName>
      <ability>L2_Typo</ability>
      <abilityName>字词错误</abilityName>
      <candidateList>
        <item>采用</item>
      </candidateList>
      <explain/>
      <paraID>1C72BEC9</paraID>
      <start>8</start>
      <end>11</end>
      <status>unmodified</status>
      <modifiedWord/>
      <trackRevisions>false</trackRevisions>
    </reviewItem>
    <reviewItem>
      <errorID>50f4aded-a086-4544-9b41-4c5da68849ca</errorID>
      <errorWord>(</errorWord>
      <group>L1_Format</group>
      <groupName>格式问题</groupName>
      <ability>L2_HalfPunc_CN</ability>
      <abilityName>全半角问题</abilityName>
      <candidateList>
        <item>（</item>
      </candidateList>
      <explain>文本全半角错误。</explain>
      <paraID>1D4D94A6</paraID>
      <start>65</start>
      <end>66</end>
      <status>unmodified</status>
      <modifiedWord/>
      <trackRevisions>false</trackRevisions>
    </reviewItem>
    <reviewItem>
      <errorID>7cc658bf-4e61-42e7-9169-a4c8cd4efb38</errorID>
      <errorWord>)</errorWord>
      <group>L1_Format</group>
      <groupName>格式问题</groupName>
      <ability>L2_HalfPunc_CN</ability>
      <abilityName>全半角问题</abilityName>
      <candidateList>
        <item>）</item>
      </candidateList>
      <explain>文本全半角错误。</explain>
      <paraID>1D4D94A6</paraID>
      <start>71</start>
      <end>72</end>
      <status>unmodified</status>
      <modifiedWord/>
      <trackRevisions>false</trackRevisions>
    </reviewItem>
    <reviewItem>
      <errorID>eb49b902-0b02-4c65-87cc-78ab8a606747</errorID>
      <errorWord>-</errorWord>
      <group>L1_Format</group>
      <groupName>格式问题</groupName>
      <ability>L2_HalfPunc_CN</ability>
      <abilityName>全半角问题</abilityName>
      <candidateList>
        <item>－</item>
      </candidateList>
      <explain>文本全半角错误。</explain>
      <paraID>1B256268</paraID>
      <start>10</start>
      <end>11</end>
      <status>unmodified</status>
      <modifiedWord/>
      <trackRevisions>false</trackRevisions>
    </reviewItem>
    <reviewItem>
      <errorID>8d0ceed4-dcc3-4c9c-b47f-cfbfdd01aac1</errorID>
      <errorWord>)</errorWord>
      <group>L1_Format</group>
      <groupName>格式问题</groupName>
      <ability>L2_HalfPunc_CN</ability>
      <abilityName>全半角问题</abilityName>
      <candidateList>
        <item>）</item>
      </candidateList>
      <explain>文本全半角错误。</explain>
      <paraID>1B256268</paraID>
      <start>18</start>
      <end>19</end>
      <status>unmodified</status>
      <modifiedWord/>
      <trackRevisions>false</trackRevisions>
    </reviewItem>
    <reviewItem>
      <errorID>3b3c3515-25e0-410f-866a-5010a3b24359</errorID>
      <errorWord>(</errorWord>
      <group>L1_Format</group>
      <groupName>格式问题</groupName>
      <ability>L2_HalfPunc_CN</ability>
      <abilityName>全半角问题</abilityName>
      <candidateList>
        <item>（</item>
      </candidateList>
      <explain>文本全半角错误。</explain>
      <paraID>1B256268</paraID>
      <start>20</start>
      <end>21</end>
      <status>unmodified</status>
      <modifiedWord/>
      <trackRevisions>false</trackRevisions>
    </reviewItem>
    <reviewItem>
      <errorID>d958e215-93f5-44f1-a3ba-643494428fb2</errorID>
      <errorWord>-</errorWord>
      <group>L1_Format</group>
      <groupName>格式问题</groupName>
      <ability>L2_HalfPunc_CN</ability>
      <abilityName>全半角问题</abilityName>
      <candidateList>
        <item>－</item>
      </candidateList>
      <explain>文本全半角错误。</explain>
      <paraID>1B256268</paraID>
      <start>22</start>
      <end>23</end>
      <status>unmodified</status>
      <modifiedWord/>
      <trackRevisions>false</trackRevisions>
    </reviewItem>
    <reviewItem>
      <errorID>939f60ce-f62f-46ae-aff2-8acd8939f895</errorID>
      <errorWord>(</errorWord>
      <group>L1_Format</group>
      <groupName>格式问题</groupName>
      <ability>L2_HalfPunc_CN</ability>
      <abilityName>全半角问题</abilityName>
      <candidateList>
        <item>（</item>
      </candidateList>
      <explain>文本全半角错误。</explain>
      <paraID>77E79DD5</paraID>
      <start>15</start>
      <end>16</end>
      <status>unmodified</status>
      <modifiedWord/>
      <trackRevisions>false</trackRevisions>
    </reviewItem>
    <reviewItem>
      <errorID>1c482340-67dc-44fa-bea3-df2449483fbe</errorID>
      <errorWord>)</errorWord>
      <group>L1_Format</group>
      <groupName>格式问题</groupName>
      <ability>L2_HalfPunc_CN</ability>
      <abilityName>全半角问题</abilityName>
      <candidateList>
        <item>）</item>
      </candidateList>
      <explain>文本全半角错误。</explain>
      <paraID>77E79DD5</paraID>
      <start>24</start>
      <end>25</end>
      <status>unmodified</status>
      <modifiedWord/>
      <trackRevisions>false</trackRevisions>
    </reviewItem>
    <reviewItem>
      <errorID>02667879-abef-455f-8e6c-c849b71665dd</errorID>
      <errorWord>(</errorWord>
      <group>L1_Format</group>
      <groupName>格式问题</groupName>
      <ability>L2_HalfPunc_CN</ability>
      <abilityName>全半角问题</abilityName>
      <candidateList>
        <item>（</item>
      </candidateList>
      <explain>文本全半角错误。</explain>
      <paraID>77E79DD5</paraID>
      <start>42</start>
      <end>43</end>
      <status>unmodified</status>
      <modifiedWord/>
      <trackRevisions>false</trackRevisions>
    </reviewItem>
    <reviewItem>
      <errorID>97c36cef-f773-43cb-bf17-16d4b51feec7</errorID>
      <errorWord>)</errorWord>
      <group>L1_Format</group>
      <groupName>格式问题</groupName>
      <ability>L2_HalfPunc_CN</ability>
      <abilityName>全半角问题</abilityName>
      <candidateList>
        <item>）</item>
      </candidateList>
      <explain>文本全半角错误。</explain>
      <paraID>77E79DD5</paraID>
      <start>49</start>
      <end>50</end>
      <status>unmodified</status>
      <modifiedWord/>
      <trackRevisions>false</trackRevisions>
    </reviewItem>
    <reviewItem>
      <errorID>b0f5e323-40aa-4528-aa2f-78c1061a2622</errorID>
      <errorWord>-</errorWord>
      <group>L1_Format</group>
      <groupName>格式问题</groupName>
      <ability>L2_HalfPunc_CN</ability>
      <abilityName>全半角问题</abilityName>
      <candidateList>
        <item>－</item>
      </candidateList>
      <explain>文本全半角错误。</explain>
      <paraID>5FE10C2E</paraID>
      <start>10</start>
      <end>11</end>
      <status>unmodified</status>
      <modifiedWord/>
      <trackRevisions>false</trackRevisions>
    </reviewItem>
    <reviewItem>
      <errorID>fcfb9ece-779f-49ad-aa34-0105974cdbae</errorID>
      <errorWord>)</errorWord>
      <group>L1_Format</group>
      <groupName>格式问题</groupName>
      <ability>L2_HalfPunc_CN</ability>
      <abilityName>全半角问题</abilityName>
      <candidateList>
        <item>）</item>
      </candidateList>
      <explain>文本全半角错误。</explain>
      <paraID>5FE10C2E</paraID>
      <start>18</start>
      <end>19</end>
      <status>unmodified</status>
      <modifiedWord/>
      <trackRevisions>false</trackRevisions>
    </reviewItem>
    <reviewItem>
      <errorID>8b91eacc-a00b-48cf-87ff-10e10175a2f4</errorID>
      <errorWord>(</errorWord>
      <group>L1_Format</group>
      <groupName>格式问题</groupName>
      <ability>L2_HalfPunc_CN</ability>
      <abilityName>全半角问题</abilityName>
      <candidateList>
        <item>（</item>
      </candidateList>
      <explain>文本全半角错误。</explain>
      <paraID>5FE10C2E</paraID>
      <start>20</start>
      <end>21</end>
      <status>unmodified</status>
      <modifiedWord/>
      <trackRevisions>false</trackRevisions>
    </reviewItem>
    <reviewItem>
      <errorID>2bbb3cb5-4280-442b-bdb3-ca3a8262aceb</errorID>
      <errorWord>-</errorWord>
      <group>L1_Format</group>
      <groupName>格式问题</groupName>
      <ability>L2_HalfPunc_CN</ability>
      <abilityName>全半角问题</abilityName>
      <candidateList>
        <item>－</item>
      </candidateList>
      <explain>文本全半角错误。</explain>
      <paraID>5FE10C2E</paraID>
      <start>22</start>
      <end>23</end>
      <status>unmodified</status>
      <modifiedWord/>
      <trackRevisions>false</trackRevisions>
    </reviewItem>
    <reviewItem>
      <errorID>1eef140c-5dd7-4e79-835f-9e67c644a21a</errorID>
      <errorWord>(</errorWord>
      <group>L1_Format</group>
      <groupName>格式问题</groupName>
      <ability>L2_HalfPunc_CN</ability>
      <abilityName>全半角问题</abilityName>
      <candidateList>
        <item>（</item>
      </candidateList>
      <explain>文本全半角错误。</explain>
      <paraID>580CC2C8</paraID>
      <start>15</start>
      <end>16</end>
      <status>unmodified</status>
      <modifiedWord/>
      <trackRevisions>false</trackRevisions>
    </reviewItem>
    <reviewItem>
      <errorID>258d11ee-fe5d-4d13-bcbe-2870fde133e7</errorID>
      <errorWord>)</errorWord>
      <group>L1_Format</group>
      <groupName>格式问题</groupName>
      <ability>L2_HalfPunc_CN</ability>
      <abilityName>全半角问题</abilityName>
      <candidateList>
        <item>）</item>
      </candidateList>
      <explain>文本全半角错误。</explain>
      <paraID>580CC2C8</paraID>
      <start>24</start>
      <end>25</end>
      <status>unmodified</status>
      <modifiedWord/>
      <trackRevisions>false</trackRevisions>
    </reviewItem>
    <reviewItem>
      <errorID>3b48bccb-7063-44fe-998e-a63d71d37789</errorID>
      <errorWord>(</errorWord>
      <group>L1_Format</group>
      <groupName>格式问题</groupName>
      <ability>L2_HalfPunc_CN</ability>
      <abilityName>全半角问题</abilityName>
      <candidateList>
        <item>（</item>
      </candidateList>
      <explain>文本全半角错误。</explain>
      <paraID>580CC2C8</paraID>
      <start>42</start>
      <end>43</end>
      <status>unmodified</status>
      <modifiedWord/>
      <trackRevisions>false</trackRevisions>
    </reviewItem>
    <reviewItem>
      <errorID>3c49fb04-fc80-46cd-9747-2c0143cc5b1f</errorID>
      <errorWord>)</errorWord>
      <group>L1_Format</group>
      <groupName>格式问题</groupName>
      <ability>L2_HalfPunc_CN</ability>
      <abilityName>全半角问题</abilityName>
      <candidateList>
        <item>）</item>
      </candidateList>
      <explain>文本全半角错误。</explain>
      <paraID>580CC2C8</paraID>
      <start>49</start>
      <end>50</end>
      <status>unmodified</status>
      <modifiedWord/>
      <trackRevisions>false</trackRevisions>
    </reviewItem>
    <reviewItem>
      <errorID>f451ca38-8ab8-47dc-98bf-912e7e4b9f63</errorID>
      <errorWord>(</errorWord>
      <group>L1_Format</group>
      <groupName>格式问题</groupName>
      <ability>L2_HalfPunc_CN</ability>
      <abilityName>全半角问题</abilityName>
      <candidateList>
        <item>（</item>
      </candidateList>
      <explain>文本全半角错误。</explain>
      <paraID> EC45A58</paraID>
      <start>5</start>
      <end>6</end>
      <status>unmodified</status>
      <modifiedWord/>
      <trackRevisions>false</trackRevisions>
    </reviewItem>
    <reviewItem>
      <errorID>493fcebb-d0d2-49ab-95ab-dc31c9a96c5a</errorID>
      <errorWord>)</errorWord>
      <group>L1_Format</group>
      <groupName>格式问题</groupName>
      <ability>L2_HalfPunc_CN</ability>
      <abilityName>全半角问题</abilityName>
      <candidateList>
        <item>）</item>
      </candidateList>
      <explain>文本全半角错误。</explain>
      <paraID> EC45A58</paraID>
      <start>7</start>
      <end>8</end>
      <status>unmodified</status>
      <modifiedWord/>
      <trackRevisions>false</trackRevisions>
    </reviewItem>
    <reviewItem>
      <errorID>4bd131a0-8309-4034-9600-887e4235bf9f</errorID>
      <errorWord>(</errorWord>
      <group>L1_Format</group>
      <groupName>格式问题</groupName>
      <ability>L2_HalfPunc_CN</ability>
      <abilityName>全半角问题</abilityName>
      <candidateList>
        <item>（</item>
      </candidateList>
      <explain>文本全半角错误。</explain>
      <paraID> EC45A58</paraID>
      <start>22</start>
      <end>23</end>
      <status>unmodified</status>
      <modifiedWord/>
      <trackRevisions>false</trackRevisions>
    </reviewItem>
    <reviewItem>
      <errorID>e60acc6d-11ae-4160-a3ee-d281fd628dec</errorID>
      <errorWord>)</errorWord>
      <group>L1_Format</group>
      <groupName>格式问题</groupName>
      <ability>L2_HalfPunc_CN</ability>
      <abilityName>全半角问题</abilityName>
      <candidateList>
        <item>）</item>
      </candidateList>
      <explain>文本全半角错误。</explain>
      <paraID> EC45A58</paraID>
      <start>29</start>
      <end>30</end>
      <status>unmodified</status>
      <modifiedWord/>
      <trackRevisions>false</trackRevisions>
    </reviewItem>
    <reviewItem>
      <errorID>3080587c-e3e4-460e-8b38-35aaa79a36e1</errorID>
      <errorWord>(</errorWord>
      <group>L1_Format</group>
      <groupName>格式问题</groupName>
      <ability>L2_HalfPunc_CN</ability>
      <abilityName>全半角问题</abilityName>
      <candidateList>
        <item>（</item>
      </candidateList>
      <explain>文本全半角错误。</explain>
      <paraID> EC45A58</paraID>
      <start>111</start>
      <end>112</end>
      <status>unmodified</status>
      <modifiedWord/>
      <trackRevisions>false</trackRevisions>
    </reviewItem>
    <reviewItem>
      <errorID>8dc07b8f-2df9-49b9-9816-e4d7c3634218</errorID>
      <errorWord>)</errorWord>
      <group>L1_Format</group>
      <groupName>格式问题</groupName>
      <ability>L2_HalfPunc_CN</ability>
      <abilityName>全半角问题</abilityName>
      <candidateList>
        <item>）</item>
      </candidateList>
      <explain>文本全半角错误。</explain>
      <paraID> EC45A58</paraID>
      <start>130</start>
      <end>131</end>
      <status>unmodified</status>
      <modifiedWord/>
      <trackRevisions>false</trackRevisions>
    </reviewItem>
    <reviewItem>
      <errorID>4b813a4d-7381-4a4a-a5a7-06b211983315</errorID>
      <errorWord>,</errorWord>
      <group>L1_Format</group>
      <groupName>格式问题</groupName>
      <ability>L2_HalfPunc_CN</ability>
      <abilityName>全半角问题</abilityName>
      <candidateList>
        <item>，</item>
      </candidateList>
      <explain>文本全半角错误。</explain>
      <paraID>4C2FEAF7</paraID>
      <start>19</start>
      <end>20</end>
      <status>unmodified</status>
      <modifiedWord/>
      <trackRevisions>false</trackRevisions>
    </reviewItem>
    <reviewItem>
      <errorID>cf2114c2-2c34-41fc-acaf-254b0366d9c7</errorID>
      <errorWord>作必要</errorWord>
      <group>L1_Word</group>
      <groupName>字词问题</groupName>
      <ability>L2_Typo</ability>
      <abilityName>字词错误</abilityName>
      <candidateList>
        <item>做必要</item>
      </candidateList>
      <explain/>
      <paraID>7A93AA09</paraID>
      <start>53</start>
      <end>56</end>
      <status>unmodified</status>
      <modifiedWord/>
      <trackRevisions>false</trackRevisions>
    </reviewItem>
    <reviewItem>
      <errorID>0207c4c1-6e70-473a-8771-4139be146ce9</errorID>
      <errorWord>其它</errorWord>
      <group>L1_Word</group>
      <groupName>字词问题</groupName>
      <ability>L2_Alias</ability>
      <abilityName>也作/曾用词</abilityName>
      <candidateList>
        <item>其他</item>
      </candidateList>
      <explain>词汇[其它]为不规范表述或旧称，其规范书面表述为[其他]。</explain>
      <paraID>327D0F20</paraID>
      <start>13</start>
      <end>15</end>
      <status>unmodified</status>
      <modifiedWord/>
      <trackRevisions>false</trackRevisions>
    </reviewItem>
    <reviewItem>
      <errorID>248d1bf4-eb67-4563-9599-3a3b2e03ac23</errorID>
      <errorWord>,</errorWord>
      <group>L1_Format</group>
      <groupName>格式问题</groupName>
      <ability>L2_HalfPunc_CN</ability>
      <abilityName>全半角问题</abilityName>
      <candidateList>
        <item>，</item>
      </candidateList>
      <explain>文本全半角错误。</explain>
      <paraID>401FEB61</paraID>
      <start>12</start>
      <end>13</end>
      <status>unmodified</status>
      <modifiedWord/>
      <trackRevisions>false</trackRevisions>
    </reviewItem>
    <reviewItem>
      <errorID>352111a3-65ce-4738-a854-94ff80f7847f</errorID>
      <errorWord>,</errorWord>
      <group>L1_Format</group>
      <groupName>格式问题</groupName>
      <ability>L2_HalfPunc_CN</ability>
      <abilityName>全半角问题</abilityName>
      <candidateList>
        <item>，</item>
      </candidateList>
      <explain>文本全半角错误。</explain>
      <paraID>401FEB61</paraID>
      <start>32</start>
      <end>33</end>
      <status>unmodified</status>
      <modifiedWord/>
      <trackRevisions>false</trackRevisions>
    </reviewItem>
    <reviewItem>
      <errorID>8f8a3e24-44a6-41ee-9024-93056e1be82b</errorID>
      <errorWord>,</errorWord>
      <group>L1_Format</group>
      <groupName>格式问题</groupName>
      <ability>L2_HalfPunc_CN</ability>
      <abilityName>全半角问题</abilityName>
      <candidateList>
        <item>，</item>
      </candidateList>
      <explain>文本全半角错误。</explain>
      <paraID>401FEB61</paraID>
      <start>45</start>
      <end>46</end>
      <status>unmodified</status>
      <modifiedWord/>
      <trackRevisions>false</trackRevisions>
    </reviewItem>
    <reviewItem>
      <errorID>46cdf0a8-98e5-4ac2-860c-8f3fdf9e73c8</errorID>
      <errorWord>的</errorWord>
      <group>L1_Word</group>
      <groupName>字词问题</groupName>
      <ability>L2_DDD</ability>
      <abilityName>的地得用法</abilityName>
      <candidateList>
        <item>地</item>
      </candidateList>
      <explain/>
      <paraID>2247CA05</paraID>
      <start>10</start>
      <end>11</end>
      <status>unmodified</status>
      <modifiedWord/>
      <trackRevisions>false</trackRevisions>
    </reviewItem>
    <reviewItem>
      <errorID>bc18f8e9-ebb3-49cd-b4fd-dacd14461d8e</errorID>
      <errorWord>予与</errorWord>
      <group>L1_Word</group>
      <groupName>字词问题</groupName>
      <ability>L2_Typo</ability>
      <abilityName>字词错误</abilityName>
      <candidateList>
        <item>予以</item>
      </candidateList>
      <explain>存在发音相近字词的误用。</explain>
      <paraID>6EDC6208</paraID>
      <start>16</start>
      <end>18</end>
      <status>unmodified</status>
      <modifiedWord/>
      <trackRevisions>false</trackRevisions>
    </reviewItem>
    <reviewItem>
      <errorID>77487b8a-e006-438e-8159-77477929f140</errorID>
      <errorWord>，</errorWord>
      <group>L1_Word</group>
      <groupName>字词问题</groupName>
      <ability>L2_Typo</ability>
      <abilityName>字词错误</abilityName>
      <candidateList>
        <item>，并</item>
      </candidateList>
      <explain/>
      <paraID>6EDC6208</paraID>
      <start>56</start>
      <end>57</end>
      <status>unmodified</status>
      <modifiedWord/>
      <trackRevisions>false</trackRevisions>
    </reviewItem>
    <reviewItem>
      <errorID>eb659b26-7d23-48e0-8116-ae903de44f58</errorID>
      <errorWord>甲方执二份，乙方执</errorWord>
      <group>L1_Word</group>
      <groupName>字词问题</groupName>
      <ability>L2_Typo</ability>
      <abilityName>字词错误</abilityName>
      <candidateList>
        <item>甲方执两份，乙方执</item>
      </candidateList>
      <explain/>
      <paraID>174D5BAA</paraID>
      <start>10</start>
      <end>19</end>
      <status>unmodified</status>
      <modifiedWord/>
      <trackRevisions>false</trackRevisions>
    </reviewItem>
    <reviewItem>
      <errorID>62feb1a7-d398-4e93-94fe-6801241c49f6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69667956</paraID>
      <start>21</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090DC1-5D4A-49FE-9656-FC325A7B4D6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陈天慧</cp:lastModifiedBy>
  <cp:revision>2</cp:revision>
  <dcterms:created xsi:type="dcterms:W3CDTF">2019-08-09T19:13:00Z</dcterms:created>
  <dcterms:modified xsi:type="dcterms:W3CDTF">2026-07-29T08:21:08Z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19272EAA81034768BC96875C19F9C82F</vt:lpwstr>
  </property>
  <property fmtid="{D5CDD505-2E9C-101B-9397-08002B2CF9AE}" pid="4" name="KSOTemplateDocerSaveRecord">
    <vt:lpwstr>eyJoZGlkIjoiNGEwMTFkZmQ5OTkwOThmZDY4ZmZhYTRjMGVlZWM1ZjgiLCJ1c2VySWQiOiI0NDI4MzcyMTYifQ==</vt:lpwstr>
  </property>
</Properties>
</file>