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A5153">
      <w:pPr>
        <w:pBdr>
          <w:top w:val="none" w:color="000000" w:sz="0" w:space="0"/>
          <w:left w:val="none" w:color="000000" w:sz="0" w:space="0"/>
          <w:bottom w:val="none" w:color="000000" w:sz="0" w:space="0"/>
          <w:right w:val="none" w:color="000000" w:sz="0" w:space="0"/>
        </w:pBdr>
        <w:spacing w:line="85" w:lineRule="atLeast"/>
        <w:rPr>
          <w:rFonts w:ascii="宋体" w:hAnsi="宋体" w:cs="宋体"/>
          <w:b/>
          <w:sz w:val="72"/>
          <w:highlight w:val="none"/>
        </w:rPr>
      </w:pPr>
    </w:p>
    <w:p w14:paraId="3661A02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72"/>
          <w:highlight w:val="none"/>
        </w:rPr>
        <w:t>太仓市政府采购</w:t>
      </w:r>
    </w:p>
    <w:p w14:paraId="44B437B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72"/>
          <w:highlight w:val="none"/>
        </w:rPr>
        <w:t> </w:t>
      </w:r>
    </w:p>
    <w:p w14:paraId="7F64BB6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72"/>
          <w:highlight w:val="none"/>
        </w:rPr>
        <w:t>招 标 文 件</w:t>
      </w:r>
    </w:p>
    <w:p w14:paraId="42CBC36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highlight w:val="none"/>
        </w:rPr>
        <w:t> </w:t>
      </w:r>
    </w:p>
    <w:p w14:paraId="75D2178A">
      <w:pPr>
        <w:pBdr>
          <w:top w:val="none" w:color="000000" w:sz="0" w:space="0"/>
          <w:left w:val="none" w:color="000000" w:sz="0" w:space="0"/>
          <w:bottom w:val="none" w:color="000000" w:sz="0" w:space="0"/>
          <w:right w:val="none" w:color="000000" w:sz="0" w:space="0"/>
        </w:pBdr>
        <w:spacing w:line="85" w:lineRule="atLeast"/>
        <w:ind w:firstLine="630"/>
        <w:rPr>
          <w:highlight w:val="none"/>
        </w:rPr>
      </w:pPr>
      <w:r>
        <w:rPr>
          <w:rFonts w:ascii="宋体" w:hAnsi="宋体" w:cs="宋体"/>
          <w:highlight w:val="none"/>
        </w:rPr>
        <w:t> </w:t>
      </w:r>
    </w:p>
    <w:p w14:paraId="4EA85D7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 </w:t>
      </w:r>
    </w:p>
    <w:p w14:paraId="6E5BEBB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 </w:t>
      </w:r>
    </w:p>
    <w:p w14:paraId="3E10F8BA">
      <w:pPr>
        <w:pBdr>
          <w:top w:val="none" w:color="000000" w:sz="0" w:space="0"/>
          <w:left w:val="none" w:color="000000" w:sz="0" w:space="0"/>
          <w:bottom w:val="none" w:color="000000" w:sz="0" w:space="0"/>
          <w:right w:val="none" w:color="000000" w:sz="0" w:space="0"/>
        </w:pBdr>
        <w:spacing w:line="85" w:lineRule="atLeast"/>
        <w:jc w:val="right"/>
        <w:rPr>
          <w:highlight w:val="none"/>
        </w:rPr>
      </w:pPr>
      <w:r>
        <w:rPr>
          <w:rFonts w:ascii="宋体" w:hAnsi="宋体" w:cs="宋体"/>
          <w:sz w:val="32"/>
          <w:highlight w:val="none"/>
        </w:rPr>
        <w:t> </w:t>
      </w:r>
    </w:p>
    <w:p w14:paraId="10E2CA53">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sz w:val="36"/>
          <w:highlight w:val="none"/>
        </w:rPr>
      </w:pPr>
      <w:r>
        <w:rPr>
          <w:rFonts w:hint="eastAsia" w:ascii="宋体" w:hAnsi="宋体" w:cs="宋体"/>
          <w:b/>
          <w:sz w:val="36"/>
          <w:highlight w:val="none"/>
        </w:rPr>
        <w:t>项目编号：JSZC-320585-JZCG-G2026-0071</w:t>
      </w:r>
    </w:p>
    <w:p w14:paraId="7E9C5F13">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sz w:val="36"/>
          <w:highlight w:val="none"/>
        </w:rPr>
      </w:pPr>
      <w:r>
        <w:rPr>
          <w:rFonts w:hint="eastAsia" w:ascii="宋体" w:hAnsi="宋体" w:cs="宋体"/>
          <w:b/>
          <w:sz w:val="36"/>
          <w:highlight w:val="none"/>
        </w:rPr>
        <w:t>项目名称：太仓市娄江新城医院数智化建设项目(二期)算力硬件采购</w:t>
      </w:r>
    </w:p>
    <w:p w14:paraId="6D4D4ABA">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sz w:val="36"/>
          <w:highlight w:val="none"/>
        </w:rPr>
      </w:pPr>
      <w:r>
        <w:rPr>
          <w:rFonts w:hint="eastAsia" w:ascii="宋体" w:hAnsi="宋体" w:cs="宋体"/>
          <w:b/>
          <w:sz w:val="36"/>
          <w:highlight w:val="none"/>
        </w:rPr>
        <w:t>采购单位：太仓市娄江新城医院（瑞金医院太仓分院）</w:t>
      </w:r>
    </w:p>
    <w:p w14:paraId="1D181C0B">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sz w:val="36"/>
          <w:highlight w:val="none"/>
        </w:rPr>
      </w:pPr>
      <w:r>
        <w:rPr>
          <w:rFonts w:hint="eastAsia" w:ascii="宋体" w:hAnsi="宋体" w:cs="宋体"/>
          <w:b/>
          <w:sz w:val="36"/>
          <w:highlight w:val="none"/>
        </w:rPr>
        <w:t>采购项目类别：货物类</w:t>
      </w:r>
    </w:p>
    <w:p w14:paraId="1CA98875">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sz w:val="36"/>
          <w:highlight w:val="none"/>
        </w:rPr>
      </w:pPr>
      <w:r>
        <w:rPr>
          <w:rFonts w:hint="eastAsia" w:ascii="宋体" w:hAnsi="宋体" w:cs="宋体"/>
          <w:b/>
          <w:sz w:val="36"/>
          <w:highlight w:val="none"/>
        </w:rPr>
        <w:t>标的所属行业：（二）工业</w:t>
      </w:r>
    </w:p>
    <w:p w14:paraId="4F7996A7">
      <w:pPr>
        <w:pBdr>
          <w:top w:val="none" w:color="000000" w:sz="0" w:space="0"/>
          <w:left w:val="none" w:color="000000" w:sz="0" w:space="0"/>
          <w:bottom w:val="none" w:color="000000" w:sz="0" w:space="0"/>
          <w:right w:val="none" w:color="000000" w:sz="0" w:space="0"/>
        </w:pBdr>
        <w:spacing w:line="85" w:lineRule="atLeast"/>
        <w:rPr>
          <w:rFonts w:ascii="宋体" w:hAnsi="宋体" w:cs="宋体"/>
          <w:sz w:val="28"/>
          <w:highlight w:val="none"/>
        </w:rPr>
      </w:pPr>
      <w:r>
        <w:rPr>
          <w:rFonts w:ascii="宋体" w:hAnsi="宋体" w:cs="宋体"/>
          <w:sz w:val="28"/>
          <w:highlight w:val="none"/>
        </w:rPr>
        <w:t> </w:t>
      </w:r>
    </w:p>
    <w:p w14:paraId="13D9B71D">
      <w:pPr>
        <w:pStyle w:val="238"/>
        <w:rPr>
          <w:sz w:val="28"/>
          <w:highlight w:val="none"/>
        </w:rPr>
      </w:pPr>
    </w:p>
    <w:p w14:paraId="1A320971">
      <w:pPr>
        <w:rPr>
          <w:highlight w:val="none"/>
        </w:rPr>
      </w:pPr>
    </w:p>
    <w:p w14:paraId="7640A031">
      <w:pPr>
        <w:pStyle w:val="37"/>
        <w:rPr>
          <w:highlight w:val="none"/>
          <w:lang w:eastAsia="zh-CN"/>
        </w:rPr>
      </w:pPr>
    </w:p>
    <w:p w14:paraId="5B349E4F">
      <w:pPr>
        <w:pStyle w:val="37"/>
        <w:rPr>
          <w:highlight w:val="none"/>
          <w:lang w:eastAsia="zh-CN"/>
        </w:rPr>
      </w:pPr>
    </w:p>
    <w:p w14:paraId="20559095">
      <w:pPr>
        <w:pStyle w:val="37"/>
        <w:rPr>
          <w:rFonts w:eastAsiaTheme="minorEastAsia"/>
          <w:highlight w:val="none"/>
          <w:lang w:eastAsia="zh-CN"/>
        </w:rPr>
      </w:pPr>
    </w:p>
    <w:p w14:paraId="386E7E19">
      <w:pPr>
        <w:pStyle w:val="37"/>
        <w:rPr>
          <w:rFonts w:eastAsiaTheme="minorEastAsia"/>
          <w:highlight w:val="none"/>
          <w:lang w:eastAsia="zh-CN"/>
        </w:rPr>
      </w:pPr>
    </w:p>
    <w:p w14:paraId="2929D192">
      <w:pPr>
        <w:pStyle w:val="37"/>
        <w:rPr>
          <w:rFonts w:eastAsiaTheme="minorEastAsia"/>
          <w:highlight w:val="none"/>
          <w:lang w:eastAsia="zh-CN"/>
        </w:rPr>
      </w:pPr>
    </w:p>
    <w:p w14:paraId="08D5DEB4">
      <w:pPr>
        <w:pStyle w:val="37"/>
        <w:rPr>
          <w:rFonts w:eastAsiaTheme="minorEastAsia"/>
          <w:highlight w:val="none"/>
          <w:lang w:eastAsia="zh-CN"/>
        </w:rPr>
      </w:pPr>
    </w:p>
    <w:p w14:paraId="57BC3455">
      <w:pPr>
        <w:pStyle w:val="37"/>
        <w:rPr>
          <w:rFonts w:eastAsiaTheme="minorEastAsia"/>
          <w:highlight w:val="none"/>
          <w:lang w:eastAsia="zh-CN"/>
        </w:rPr>
      </w:pPr>
    </w:p>
    <w:p w14:paraId="3BCA797B">
      <w:pPr>
        <w:pStyle w:val="37"/>
        <w:rPr>
          <w:highlight w:val="none"/>
          <w:lang w:eastAsia="zh-CN"/>
        </w:rPr>
      </w:pPr>
    </w:p>
    <w:p w14:paraId="16B8D22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44"/>
          <w:highlight w:val="none"/>
        </w:rPr>
        <w:t>苏州市公共资源交易中心太仓分中心</w:t>
      </w:r>
    </w:p>
    <w:p w14:paraId="64967D7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r>
        <w:rPr>
          <w:rFonts w:ascii="宋体" w:hAnsi="宋体" w:cs="宋体"/>
          <w:sz w:val="44"/>
          <w:highlight w:val="none"/>
        </w:rPr>
        <w:t>202</w:t>
      </w:r>
      <w:r>
        <w:rPr>
          <w:rFonts w:hint="eastAsia" w:ascii="宋体" w:hAnsi="宋体" w:cs="宋体"/>
          <w:sz w:val="44"/>
          <w:highlight w:val="none"/>
        </w:rPr>
        <w:t>6</w:t>
      </w:r>
      <w:r>
        <w:rPr>
          <w:rFonts w:ascii="宋体" w:hAnsi="宋体" w:cs="宋体"/>
          <w:sz w:val="44"/>
          <w:highlight w:val="none"/>
        </w:rPr>
        <w:t>年</w:t>
      </w:r>
      <w:r>
        <w:rPr>
          <w:rFonts w:hint="eastAsia" w:ascii="宋体" w:hAnsi="宋体" w:cs="宋体"/>
          <w:sz w:val="44"/>
          <w:highlight w:val="none"/>
          <w:lang w:val="en-US" w:eastAsia="zh-CN"/>
        </w:rPr>
        <w:t>8</w:t>
      </w:r>
      <w:r>
        <w:rPr>
          <w:rFonts w:ascii="宋体" w:hAnsi="宋体" w:cs="宋体"/>
          <w:sz w:val="44"/>
          <w:highlight w:val="none"/>
        </w:rPr>
        <w:t>月</w:t>
      </w:r>
    </w:p>
    <w:p w14:paraId="55F8948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p>
    <w:p w14:paraId="53FB728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p>
    <w:p w14:paraId="770A8F6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p>
    <w:p w14:paraId="0CD7D90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p>
    <w:p w14:paraId="650E534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highlight w:val="none"/>
        </w:rPr>
      </w:pPr>
    </w:p>
    <w:p w14:paraId="65765F2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highlight w:val="none"/>
        </w:rPr>
      </w:pPr>
      <w:r>
        <w:rPr>
          <w:rFonts w:hint="eastAsia" w:ascii="宋体" w:hAnsi="宋体" w:cs="宋体"/>
          <w:b/>
          <w:sz w:val="36"/>
          <w:highlight w:val="none"/>
        </w:rPr>
        <w:t>目 录</w:t>
      </w:r>
    </w:p>
    <w:p w14:paraId="24994363">
      <w:pPr>
        <w:pBdr>
          <w:top w:val="none" w:color="000000" w:sz="0" w:space="0"/>
          <w:left w:val="none" w:color="000000" w:sz="0" w:space="0"/>
          <w:bottom w:val="none" w:color="000000" w:sz="0" w:space="0"/>
          <w:right w:val="none" w:color="000000" w:sz="0" w:space="0"/>
        </w:pBdr>
        <w:spacing w:line="85" w:lineRule="atLeast"/>
        <w:rPr>
          <w:rFonts w:ascii="宋体" w:hAnsi="宋体" w:cs="宋体"/>
          <w:sz w:val="30"/>
          <w:highlight w:val="none"/>
        </w:rPr>
      </w:pPr>
    </w:p>
    <w:p w14:paraId="7DCB3201">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第一部分：招标公告</w:t>
      </w:r>
    </w:p>
    <w:p w14:paraId="651C8E24">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第二部分：投标人须知</w:t>
      </w:r>
    </w:p>
    <w:p w14:paraId="6FB4CDBF">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第三部分：项目需求</w:t>
      </w:r>
    </w:p>
    <w:p w14:paraId="3D9303D4">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第四部分：投标文件格式</w:t>
      </w:r>
    </w:p>
    <w:p w14:paraId="23D6F445">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第五部分：评标方法与评标标准</w:t>
      </w:r>
    </w:p>
    <w:p w14:paraId="5FDFBF2F">
      <w:pPr>
        <w:pBdr>
          <w:top w:val="none" w:color="000000" w:sz="0" w:space="0"/>
          <w:left w:val="none" w:color="000000" w:sz="0" w:space="0"/>
          <w:bottom w:val="none" w:color="000000" w:sz="0" w:space="0"/>
          <w:right w:val="none" w:color="000000" w:sz="0" w:space="0"/>
        </w:pBdr>
        <w:spacing w:line="520" w:lineRule="exact"/>
        <w:rPr>
          <w:rFonts w:ascii="宋体" w:hAnsi="宋体" w:cs="宋体"/>
          <w:highlight w:val="none"/>
        </w:rPr>
      </w:pPr>
      <w:r>
        <w:rPr>
          <w:rFonts w:hint="eastAsia" w:ascii="宋体" w:hAnsi="宋体" w:cs="宋体"/>
          <w:sz w:val="30"/>
          <w:highlight w:val="none"/>
        </w:rPr>
        <w:t>第六部分：合同主要条款</w:t>
      </w:r>
    </w:p>
    <w:p w14:paraId="1AC12DE5">
      <w:pPr>
        <w:pBdr>
          <w:top w:val="none" w:color="000000" w:sz="0" w:space="0"/>
          <w:left w:val="none" w:color="000000" w:sz="0" w:space="0"/>
          <w:bottom w:val="none" w:color="000000" w:sz="0" w:space="0"/>
          <w:right w:val="none" w:color="000000" w:sz="0" w:space="0"/>
        </w:pBdr>
        <w:spacing w:before="240" w:after="240" w:line="520" w:lineRule="exact"/>
        <w:rPr>
          <w:rFonts w:ascii="宋体" w:hAnsi="宋体" w:cs="宋体"/>
          <w:highlight w:val="none"/>
        </w:rPr>
      </w:pPr>
      <w:r>
        <w:rPr>
          <w:rFonts w:hint="eastAsia" w:ascii="宋体" w:hAnsi="宋体" w:cs="宋体"/>
          <w:sz w:val="24"/>
          <w:highlight w:val="none"/>
        </w:rPr>
        <w:t> </w:t>
      </w:r>
    </w:p>
    <w:p w14:paraId="473209D4">
      <w:pPr>
        <w:pBdr>
          <w:top w:val="none" w:color="000000" w:sz="0" w:space="0"/>
          <w:left w:val="none" w:color="000000" w:sz="0" w:space="0"/>
          <w:bottom w:val="none" w:color="000000" w:sz="0" w:space="0"/>
          <w:right w:val="none" w:color="000000" w:sz="0" w:space="0"/>
        </w:pBdr>
        <w:spacing w:before="240" w:after="240"/>
        <w:rPr>
          <w:rFonts w:ascii="宋体" w:hAnsi="宋体" w:cs="宋体"/>
          <w:highlight w:val="none"/>
        </w:rPr>
      </w:pPr>
      <w:r>
        <w:rPr>
          <w:rFonts w:hint="eastAsia" w:ascii="宋体" w:hAnsi="宋体" w:cs="宋体"/>
          <w:sz w:val="24"/>
          <w:highlight w:val="none"/>
        </w:rPr>
        <w:t> </w:t>
      </w:r>
    </w:p>
    <w:p w14:paraId="338B04B3">
      <w:pPr>
        <w:pBdr>
          <w:top w:val="none" w:color="000000" w:sz="0" w:space="0"/>
          <w:left w:val="none" w:color="000000" w:sz="0" w:space="0"/>
          <w:bottom w:val="none" w:color="000000" w:sz="0" w:space="0"/>
          <w:right w:val="none" w:color="000000" w:sz="0" w:space="0"/>
        </w:pBdr>
        <w:spacing w:before="240" w:after="240"/>
        <w:rPr>
          <w:rFonts w:ascii="宋体" w:hAnsi="宋体" w:cs="宋体"/>
          <w:highlight w:val="none"/>
        </w:rPr>
      </w:pPr>
      <w:r>
        <w:rPr>
          <w:rFonts w:hint="eastAsia" w:ascii="宋体" w:hAnsi="宋体" w:cs="宋体"/>
          <w:sz w:val="24"/>
          <w:highlight w:val="none"/>
        </w:rPr>
        <w:t> </w:t>
      </w:r>
    </w:p>
    <w:p w14:paraId="36C32C98">
      <w:pPr>
        <w:pBdr>
          <w:top w:val="none" w:color="000000" w:sz="0" w:space="0"/>
          <w:left w:val="none" w:color="000000" w:sz="0" w:space="0"/>
          <w:bottom w:val="none" w:color="000000" w:sz="0" w:space="0"/>
          <w:right w:val="none" w:color="000000" w:sz="0" w:space="0"/>
        </w:pBdr>
        <w:spacing w:before="240" w:after="240"/>
        <w:rPr>
          <w:rFonts w:ascii="宋体" w:hAnsi="宋体" w:cs="宋体"/>
          <w:highlight w:val="none"/>
        </w:rPr>
      </w:pPr>
      <w:r>
        <w:rPr>
          <w:rFonts w:hint="eastAsia" w:ascii="宋体" w:hAnsi="宋体" w:cs="宋体"/>
          <w:sz w:val="24"/>
          <w:highlight w:val="none"/>
        </w:rPr>
        <w:t> </w:t>
      </w:r>
    </w:p>
    <w:p w14:paraId="49897DA2">
      <w:pPr>
        <w:pBdr>
          <w:top w:val="none" w:color="000000" w:sz="0" w:space="0"/>
          <w:left w:val="none" w:color="000000" w:sz="0" w:space="0"/>
          <w:bottom w:val="none" w:color="000000" w:sz="0" w:space="0"/>
          <w:right w:val="none" w:color="000000" w:sz="0" w:space="0"/>
        </w:pBdr>
        <w:spacing w:before="240" w:after="240"/>
        <w:rPr>
          <w:rFonts w:ascii="宋体" w:hAnsi="宋体" w:cs="宋体"/>
          <w:highlight w:val="none"/>
        </w:rPr>
      </w:pPr>
      <w:r>
        <w:rPr>
          <w:rFonts w:hint="eastAsia" w:ascii="宋体" w:hAnsi="宋体" w:cs="宋体"/>
          <w:sz w:val="24"/>
          <w:highlight w:val="none"/>
        </w:rPr>
        <w:t> </w:t>
      </w:r>
    </w:p>
    <w:p w14:paraId="79236471">
      <w:pPr>
        <w:pBdr>
          <w:top w:val="none" w:color="000000" w:sz="0" w:space="0"/>
          <w:left w:val="none" w:color="000000" w:sz="0" w:space="0"/>
          <w:bottom w:val="none" w:color="000000" w:sz="0" w:space="0"/>
          <w:right w:val="none" w:color="000000" w:sz="0" w:space="0"/>
        </w:pBdr>
        <w:spacing w:before="240" w:after="240"/>
        <w:rPr>
          <w:rFonts w:ascii="宋体" w:hAnsi="宋体" w:cs="宋体"/>
          <w:highlight w:val="none"/>
        </w:rPr>
      </w:pPr>
      <w:r>
        <w:rPr>
          <w:rFonts w:hint="eastAsia" w:ascii="宋体" w:hAnsi="宋体" w:cs="宋体"/>
          <w:sz w:val="24"/>
          <w:highlight w:val="none"/>
        </w:rPr>
        <w:t> </w:t>
      </w:r>
    </w:p>
    <w:p w14:paraId="4FA4BE1A">
      <w:pPr>
        <w:jc w:val="center"/>
        <w:rPr>
          <w:rFonts w:ascii="宋体" w:hAnsi="宋体" w:cs="宋体"/>
          <w:b/>
          <w:sz w:val="44"/>
          <w:highlight w:val="none"/>
        </w:rPr>
      </w:pPr>
      <w:r>
        <w:rPr>
          <w:rFonts w:hint="eastAsia" w:ascii="宋体" w:hAnsi="宋体" w:cs="宋体"/>
          <w:highlight w:val="none"/>
        </w:rPr>
        <w:br w:type="page" w:clear="all"/>
      </w:r>
      <w:r>
        <w:rPr>
          <w:rFonts w:ascii="宋体" w:hAnsi="宋体" w:cs="宋体"/>
          <w:b/>
          <w:sz w:val="44"/>
          <w:highlight w:val="none"/>
        </w:rPr>
        <w:t>第一部分招标公告</w:t>
      </w:r>
    </w:p>
    <w:tbl>
      <w:tblPr>
        <w:tblStyle w:val="38"/>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9AEBB9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6A967A8">
            <w:pPr>
              <w:pStyle w:val="33"/>
              <w:widowControl/>
              <w:spacing w:after="0" w:line="15" w:lineRule="atLeast"/>
              <w:jc w:val="lef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6CD241AA">
            <w:pPr>
              <w:pStyle w:val="33"/>
              <w:widowControl/>
              <w:spacing w:after="0" w:line="15" w:lineRule="atLeast"/>
              <w:jc w:val="lef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太仓市娄江新城医院数智化建设项目(二期)算力硬件采购JSZC-320585-JZCG-G2026-0071招标项目的潜在投标人应在“苏采云”系统（网址：http://jszfcg.jsczt.cn/）自行下载 获取招标文件，并于</w:t>
            </w:r>
            <w:r>
              <w:rPr>
                <w:rFonts w:hint="eastAsia" w:ascii="宋体" w:hAnsi="宋体" w:eastAsia="宋体" w:cs="宋体"/>
                <w:b/>
                <w:bCs/>
                <w:sz w:val="24"/>
                <w:szCs w:val="24"/>
                <w:highlight w:val="none"/>
                <w:lang w:eastAsia="zh-CN"/>
              </w:rPr>
              <w:t>2026-08-</w:t>
            </w:r>
            <w:r>
              <w:rPr>
                <w:rFonts w:hint="eastAsia" w:ascii="宋体" w:hAnsi="宋体" w:eastAsia="宋体" w:cs="宋体"/>
                <w:b/>
                <w:bCs/>
                <w:sz w:val="24"/>
                <w:szCs w:val="24"/>
                <w:highlight w:val="none"/>
                <w:lang w:val="en-US" w:eastAsia="zh-CN"/>
              </w:rPr>
              <w:t>28</w:t>
            </w:r>
            <w:r>
              <w:rPr>
                <w:rFonts w:ascii="宋体" w:hAnsi="宋体" w:eastAsia="宋体" w:cs="宋体"/>
                <w:b/>
                <w:bCs/>
                <w:sz w:val="24"/>
                <w:szCs w:val="24"/>
                <w:highlight w:val="none"/>
                <w:lang w:eastAsia="zh-CN"/>
              </w:rPr>
              <w:t xml:space="preserve"> 09:30</w:t>
            </w:r>
            <w:r>
              <w:rPr>
                <w:rFonts w:hint="eastAsia" w:ascii="宋体" w:hAnsi="宋体" w:eastAsia="宋体" w:cs="宋体"/>
                <w:sz w:val="24"/>
                <w:szCs w:val="24"/>
                <w:highlight w:val="none"/>
                <w:lang w:eastAsia="zh-CN"/>
              </w:rPr>
              <w:t> （北京时间）前递交投标文件。</w:t>
            </w:r>
          </w:p>
        </w:tc>
      </w:tr>
    </w:tbl>
    <w:p w14:paraId="20F9D931">
      <w:pPr>
        <w:pStyle w:val="5"/>
        <w:keepNext w:val="0"/>
        <w:keepLines w:val="0"/>
        <w:shd w:val="clear" w:color="auto" w:fill="FFFFFF"/>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一、项目基本情况</w:t>
      </w:r>
    </w:p>
    <w:p w14:paraId="3DB5F13B">
      <w:pPr>
        <w:pStyle w:val="33"/>
        <w:widowControl/>
        <w:shd w:val="clear" w:color="auto" w:fill="FFFFFF"/>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项目编号：</w:t>
      </w:r>
      <w:r>
        <w:rPr>
          <w:rFonts w:hint="eastAsia" w:ascii="宋体" w:hAnsi="宋体" w:eastAsia="宋体" w:cs="宋体"/>
          <w:sz w:val="24"/>
          <w:szCs w:val="24"/>
          <w:highlight w:val="none"/>
          <w:lang w:eastAsia="zh-CN"/>
        </w:rPr>
        <w:t>JSZC-320585-JZCG-G2026-0071</w:t>
      </w:r>
    </w:p>
    <w:p w14:paraId="787BF5E1">
      <w:pPr>
        <w:pStyle w:val="33"/>
        <w:widowControl/>
        <w:shd w:val="clear" w:color="auto" w:fill="FFFFFF"/>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项目名称：</w:t>
      </w:r>
      <w:r>
        <w:rPr>
          <w:rFonts w:hint="eastAsia" w:ascii="宋体" w:hAnsi="宋体" w:eastAsia="宋体" w:cs="宋体"/>
          <w:sz w:val="24"/>
          <w:szCs w:val="24"/>
          <w:highlight w:val="none"/>
          <w:lang w:eastAsia="zh-CN"/>
        </w:rPr>
        <w:t>太仓市娄江新城医院数智化建设项目(二期)算力硬件采购</w:t>
      </w:r>
    </w:p>
    <w:p w14:paraId="6BB41391">
      <w:pPr>
        <w:pStyle w:val="33"/>
        <w:widowControl/>
        <w:shd w:val="clear" w:color="auto" w:fill="FFFFFF"/>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预算金额：8</w:t>
      </w:r>
      <w:r>
        <w:rPr>
          <w:rFonts w:ascii="宋体" w:hAnsi="宋体" w:eastAsia="宋体" w:cs="宋体"/>
          <w:sz w:val="24"/>
          <w:szCs w:val="24"/>
          <w:highlight w:val="none"/>
          <w:shd w:val="clear" w:color="auto" w:fill="FFFFFF"/>
          <w:lang w:eastAsia="zh-CN"/>
        </w:rPr>
        <w:t>50万元；</w:t>
      </w:r>
    </w:p>
    <w:p w14:paraId="4BCCD1F9">
      <w:pPr>
        <w:pStyle w:val="33"/>
        <w:widowControl/>
        <w:shd w:val="clear" w:color="auto" w:fill="FFFFFF"/>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最高限价（如有）：无；</w:t>
      </w:r>
    </w:p>
    <w:p w14:paraId="7D17B54F">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74FD1C04">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tbl>
      <w:tblPr>
        <w:tblStyle w:val="38"/>
        <w:tblW w:w="4651" w:type="pct"/>
        <w:jc w:val="center"/>
        <w:tblBorders>
          <w:top w:val="single" w:color="auto" w:sz="4" w:space="0"/>
          <w:left w:val="single" w:color="auto" w:sz="4" w:space="0"/>
          <w:bottom w:val="single" w:color="000000"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1217"/>
        <w:gridCol w:w="3099"/>
        <w:gridCol w:w="3226"/>
        <w:gridCol w:w="1434"/>
      </w:tblGrid>
      <w:tr w14:paraId="56A9CC8E">
        <w:tblPrEx>
          <w:tblBorders>
            <w:top w:val="single" w:color="auto" w:sz="4" w:space="0"/>
            <w:left w:val="single" w:color="auto" w:sz="4" w:space="0"/>
            <w:bottom w:val="single" w:color="000000"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8" w:type="pct"/>
            <w:tcBorders>
              <w:top w:val="single" w:color="auto" w:sz="4" w:space="0"/>
            </w:tcBorders>
            <w:noWrap/>
            <w:vAlign w:val="center"/>
          </w:tcPr>
          <w:p w14:paraId="555051EA">
            <w:pPr>
              <w:jc w:val="center"/>
              <w:textAlignment w:val="center"/>
              <w:rPr>
                <w:rFonts w:cs="仿宋" w:asciiTheme="minorEastAsia" w:hAnsiTheme="minorEastAsia" w:eastAsiaTheme="minorEastAsia"/>
                <w:b/>
                <w:bCs/>
                <w:color w:val="000000" w:themeColor="text1"/>
                <w:sz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highlight w:val="none"/>
                <w14:textFill>
                  <w14:solidFill>
                    <w14:schemeClr w14:val="tx1"/>
                  </w14:solidFill>
                </w14:textFill>
              </w:rPr>
              <w:t>序号</w:t>
            </w:r>
          </w:p>
        </w:tc>
        <w:tc>
          <w:tcPr>
            <w:tcW w:w="1726" w:type="pct"/>
            <w:noWrap/>
            <w:vAlign w:val="center"/>
          </w:tcPr>
          <w:p w14:paraId="23AD9F11">
            <w:pPr>
              <w:jc w:val="center"/>
              <w:textAlignment w:val="center"/>
              <w:rPr>
                <w:rFonts w:cs="仿宋" w:asciiTheme="minorEastAsia" w:hAnsiTheme="minorEastAsia" w:eastAsiaTheme="minorEastAsia"/>
                <w:b/>
                <w:bCs/>
                <w:color w:val="000000" w:themeColor="text1"/>
                <w:sz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highlight w:val="none"/>
                <w14:textFill>
                  <w14:solidFill>
                    <w14:schemeClr w14:val="tx1"/>
                  </w14:solidFill>
                </w14:textFill>
              </w:rPr>
              <w:t>产品</w:t>
            </w:r>
          </w:p>
        </w:tc>
        <w:tc>
          <w:tcPr>
            <w:tcW w:w="1797" w:type="pct"/>
            <w:vAlign w:val="center"/>
          </w:tcPr>
          <w:p w14:paraId="54F90BA0">
            <w:pPr>
              <w:jc w:val="center"/>
              <w:textAlignment w:val="center"/>
              <w:rPr>
                <w:rFonts w:cs="仿宋" w:asciiTheme="minorEastAsia" w:hAnsiTheme="minorEastAsia" w:eastAsiaTheme="minorEastAsia"/>
                <w:b/>
                <w:bCs/>
                <w:color w:val="000000" w:themeColor="text1"/>
                <w:sz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highlight w:val="none"/>
                <w14:textFill>
                  <w14:solidFill>
                    <w14:schemeClr w14:val="tx1"/>
                  </w14:solidFill>
                </w14:textFill>
              </w:rPr>
              <w:t>参数</w:t>
            </w:r>
          </w:p>
        </w:tc>
        <w:tc>
          <w:tcPr>
            <w:tcW w:w="799" w:type="pct"/>
            <w:noWrap/>
            <w:vAlign w:val="center"/>
          </w:tcPr>
          <w:p w14:paraId="042C801B">
            <w:pPr>
              <w:jc w:val="center"/>
              <w:textAlignment w:val="center"/>
              <w:rPr>
                <w:rFonts w:cs="仿宋" w:asciiTheme="minorEastAsia" w:hAnsiTheme="minorEastAsia" w:eastAsiaTheme="minorEastAsia"/>
                <w:b/>
                <w:bCs/>
                <w:color w:val="000000" w:themeColor="text1"/>
                <w:sz w:val="24"/>
                <w:highlight w:val="none"/>
                <w14:textFill>
                  <w14:solidFill>
                    <w14:schemeClr w14:val="tx1"/>
                  </w14:solidFill>
                </w14:textFill>
              </w:rPr>
            </w:pPr>
            <w:r>
              <w:rPr>
                <w:rFonts w:hint="eastAsia" w:cs="仿宋" w:asciiTheme="minorEastAsia" w:hAnsiTheme="minorEastAsia" w:eastAsiaTheme="minorEastAsia"/>
                <w:b/>
                <w:bCs/>
                <w:color w:val="000000" w:themeColor="text1"/>
                <w:sz w:val="24"/>
                <w:highlight w:val="none"/>
                <w14:textFill>
                  <w14:solidFill>
                    <w14:schemeClr w14:val="tx1"/>
                  </w14:solidFill>
                </w14:textFill>
              </w:rPr>
              <w:t>数量</w:t>
            </w:r>
          </w:p>
        </w:tc>
      </w:tr>
      <w:tr w14:paraId="207BA149">
        <w:tblPrEx>
          <w:tblBorders>
            <w:top w:val="single" w:color="auto" w:sz="4" w:space="0"/>
            <w:left w:val="single" w:color="auto" w:sz="4" w:space="0"/>
            <w:bottom w:val="single" w:color="000000"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8" w:type="pct"/>
            <w:tcBorders>
              <w:top w:val="single" w:color="000000" w:sz="4" w:space="0"/>
            </w:tcBorders>
            <w:noWrap/>
            <w:vAlign w:val="center"/>
          </w:tcPr>
          <w:p w14:paraId="5DD0AE35">
            <w:pPr>
              <w:jc w:val="center"/>
              <w:textAlignment w:val="center"/>
              <w:rPr>
                <w:rFonts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lang w:bidi="ar"/>
                <w14:textFill>
                  <w14:solidFill>
                    <w14:schemeClr w14:val="tx1"/>
                  </w14:solidFill>
                </w14:textFill>
              </w:rPr>
              <w:t>1</w:t>
            </w:r>
          </w:p>
        </w:tc>
        <w:tc>
          <w:tcPr>
            <w:tcW w:w="1726" w:type="pct"/>
            <w:vAlign w:val="center"/>
          </w:tcPr>
          <w:p w14:paraId="237C70A1">
            <w:pPr>
              <w:jc w:val="center"/>
              <w:textAlignment w:val="center"/>
              <w:rPr>
                <w:rFonts w:cs="仿宋" w:asciiTheme="minorEastAsia" w:hAnsiTheme="minorEastAsia" w:eastAsiaTheme="minorEastAsia"/>
                <w:color w:val="000000" w:themeColor="text1"/>
                <w:sz w:val="24"/>
                <w:highlight w:val="none"/>
                <w14:textFill>
                  <w14:solidFill>
                    <w14:schemeClr w14:val="tx1"/>
                  </w14:solidFill>
                </w14:textFill>
              </w:rPr>
            </w:pPr>
            <w:r>
              <w:rPr>
                <w:rFonts w:cs="仿宋" w:asciiTheme="minorEastAsia" w:hAnsiTheme="minorEastAsia" w:eastAsiaTheme="minorEastAsia"/>
                <w:color w:val="000000" w:themeColor="text1"/>
                <w:sz w:val="24"/>
                <w:highlight w:val="none"/>
                <w:lang w:bidi="ar"/>
                <w14:textFill>
                  <w14:solidFill>
                    <w14:schemeClr w14:val="tx1"/>
                  </w14:solidFill>
                </w14:textFill>
              </w:rPr>
              <w:t>高端AI算力服务器</w:t>
            </w:r>
            <w:r>
              <w:rPr>
                <w:rFonts w:hint="eastAsia" w:cs="仿宋" w:asciiTheme="minorEastAsia" w:hAnsiTheme="minorEastAsia" w:eastAsiaTheme="minorEastAsia"/>
                <w:b/>
                <w:color w:val="000000" w:themeColor="text1"/>
                <w:sz w:val="24"/>
                <w:highlight w:val="none"/>
                <w:lang w:bidi="ar"/>
                <w14:textFill>
                  <w14:solidFill>
                    <w14:schemeClr w14:val="tx1"/>
                  </w14:solidFill>
                </w14:textFill>
              </w:rPr>
              <w:t>（核心产品）</w:t>
            </w:r>
          </w:p>
        </w:tc>
        <w:tc>
          <w:tcPr>
            <w:tcW w:w="1797" w:type="pct"/>
            <w:vAlign w:val="center"/>
          </w:tcPr>
          <w:p w14:paraId="06A0844C">
            <w:pPr>
              <w:jc w:val="center"/>
              <w:textAlignment w:val="center"/>
              <w:rPr>
                <w:rFonts w:cs="仿宋" w:asciiTheme="minorEastAsia" w:hAnsiTheme="minorEastAsia" w:eastAsiaTheme="minorEastAsia"/>
                <w:color w:val="000000" w:themeColor="text1"/>
                <w:sz w:val="24"/>
                <w:highlight w:val="none"/>
                <w14:textFill>
                  <w14:solidFill>
                    <w14:schemeClr w14:val="tx1"/>
                  </w14:solidFill>
                </w14:textFill>
              </w:rPr>
            </w:pPr>
            <w:r>
              <w:rPr>
                <w:rFonts w:cs="仿宋" w:asciiTheme="minorEastAsia" w:hAnsiTheme="minorEastAsia" w:eastAsiaTheme="minorEastAsia"/>
                <w:color w:val="000000" w:themeColor="text1"/>
                <w:sz w:val="24"/>
                <w:highlight w:val="none"/>
                <w:lang w:bidi="ar"/>
                <w14:textFill>
                  <w14:solidFill>
                    <w14:schemeClr w14:val="tx1"/>
                  </w14:solidFill>
                </w14:textFill>
              </w:rPr>
              <w:t>详细见高端AI算力服务器技术要求</w:t>
            </w:r>
          </w:p>
        </w:tc>
        <w:tc>
          <w:tcPr>
            <w:tcW w:w="799" w:type="pct"/>
            <w:noWrap/>
            <w:vAlign w:val="center"/>
          </w:tcPr>
          <w:p w14:paraId="63C659CB">
            <w:pPr>
              <w:ind w:firstLine="360" w:firstLineChars="150"/>
              <w:textAlignment w:val="center"/>
              <w:rPr>
                <w:rFonts w:cs="仿宋" w:asciiTheme="minorEastAsia" w:hAnsiTheme="minorEastAsia" w:eastAsiaTheme="minorEastAsia"/>
                <w:color w:val="000000" w:themeColor="text1"/>
                <w:sz w:val="24"/>
                <w:highlight w:val="none"/>
                <w14:textFill>
                  <w14:solidFill>
                    <w14:schemeClr w14:val="tx1"/>
                  </w14:solidFill>
                </w14:textFill>
              </w:rPr>
            </w:pPr>
            <w:r>
              <w:rPr>
                <w:rFonts w:hint="eastAsia" w:cs="仿宋" w:asciiTheme="minorEastAsia" w:hAnsiTheme="minorEastAsia" w:eastAsiaTheme="minorEastAsia"/>
                <w:color w:val="000000" w:themeColor="text1"/>
                <w:sz w:val="24"/>
                <w:highlight w:val="none"/>
                <w14:textFill>
                  <w14:solidFill>
                    <w14:schemeClr w14:val="tx1"/>
                  </w14:solidFill>
                </w14:textFill>
              </w:rPr>
              <w:t>2</w:t>
            </w:r>
          </w:p>
        </w:tc>
      </w:tr>
      <w:tr w14:paraId="333C4F1F">
        <w:tblPrEx>
          <w:tblBorders>
            <w:top w:val="single" w:color="auto" w:sz="4" w:space="0"/>
            <w:left w:val="single" w:color="auto" w:sz="4" w:space="0"/>
            <w:bottom w:val="single" w:color="000000"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8" w:type="pct"/>
            <w:tcBorders>
              <w:top w:val="single" w:color="000000" w:sz="4" w:space="0"/>
            </w:tcBorders>
            <w:noWrap/>
            <w:vAlign w:val="center"/>
          </w:tcPr>
          <w:p w14:paraId="6D8F54D4">
            <w:pPr>
              <w:jc w:val="center"/>
              <w:textAlignment w:val="center"/>
              <w:rPr>
                <w:rFonts w:cs="仿宋" w:asciiTheme="minorEastAsia" w:hAnsiTheme="minorEastAsia" w:eastAsiaTheme="minorEastAsia"/>
                <w:color w:val="000000" w:themeColor="text1"/>
                <w:sz w:val="24"/>
                <w:highlight w:val="none"/>
                <w:lang w:bidi="ar"/>
                <w14:textFill>
                  <w14:solidFill>
                    <w14:schemeClr w14:val="tx1"/>
                  </w14:solidFill>
                </w14:textFill>
              </w:rPr>
            </w:pPr>
            <w:r>
              <w:rPr>
                <w:rFonts w:hint="eastAsia" w:cs="仿宋" w:asciiTheme="minorEastAsia" w:hAnsiTheme="minorEastAsia" w:eastAsiaTheme="minorEastAsia"/>
                <w:color w:val="000000" w:themeColor="text1"/>
                <w:sz w:val="24"/>
                <w:highlight w:val="none"/>
                <w:lang w:bidi="ar"/>
                <w14:textFill>
                  <w14:solidFill>
                    <w14:schemeClr w14:val="tx1"/>
                  </w14:solidFill>
                </w14:textFill>
              </w:rPr>
              <w:t>2</w:t>
            </w:r>
          </w:p>
        </w:tc>
        <w:tc>
          <w:tcPr>
            <w:tcW w:w="1726" w:type="pct"/>
            <w:vAlign w:val="center"/>
          </w:tcPr>
          <w:p w14:paraId="6BF3D930">
            <w:pPr>
              <w:jc w:val="center"/>
              <w:textAlignment w:val="center"/>
              <w:rPr>
                <w:rFonts w:cs="仿宋" w:asciiTheme="minorEastAsia" w:hAnsiTheme="minorEastAsia" w:eastAsiaTheme="minorEastAsia"/>
                <w:color w:val="000000" w:themeColor="text1"/>
                <w:sz w:val="24"/>
                <w:highlight w:val="none"/>
                <w:lang w:bidi="ar"/>
                <w14:textFill>
                  <w14:solidFill>
                    <w14:schemeClr w14:val="tx1"/>
                  </w14:solidFill>
                </w14:textFill>
              </w:rPr>
            </w:pPr>
            <w:r>
              <w:rPr>
                <w:rFonts w:cs="宋体" w:asciiTheme="minorEastAsia" w:hAnsiTheme="minorEastAsia" w:eastAsiaTheme="minorEastAsia"/>
                <w:color w:val="000000" w:themeColor="text1"/>
                <w:sz w:val="24"/>
                <w:highlight w:val="none"/>
                <w:lang w:bidi="ar"/>
                <w14:textFill>
                  <w14:solidFill>
                    <w14:schemeClr w14:val="tx1"/>
                  </w14:solidFill>
                </w14:textFill>
              </w:rPr>
              <w:t>通用AI算力服务器</w:t>
            </w:r>
          </w:p>
        </w:tc>
        <w:tc>
          <w:tcPr>
            <w:tcW w:w="1797" w:type="pct"/>
            <w:vAlign w:val="center"/>
          </w:tcPr>
          <w:p w14:paraId="5E8C4BEC">
            <w:pPr>
              <w:jc w:val="center"/>
              <w:textAlignment w:val="center"/>
              <w:rPr>
                <w:rFonts w:cs="仿宋" w:asciiTheme="minorEastAsia" w:hAnsiTheme="minorEastAsia" w:eastAsiaTheme="minorEastAsia"/>
                <w:color w:val="000000" w:themeColor="text1"/>
                <w:sz w:val="24"/>
                <w:highlight w:val="none"/>
                <w:lang w:bidi="ar"/>
                <w14:textFill>
                  <w14:solidFill>
                    <w14:schemeClr w14:val="tx1"/>
                  </w14:solidFill>
                </w14:textFill>
              </w:rPr>
            </w:pPr>
            <w:r>
              <w:rPr>
                <w:rFonts w:cs="等线" w:asciiTheme="minorEastAsia" w:hAnsiTheme="minorEastAsia" w:eastAsiaTheme="minorEastAsia"/>
                <w:color w:val="000000" w:themeColor="text1"/>
                <w:sz w:val="24"/>
                <w:highlight w:val="none"/>
                <w:lang w:bidi="ar"/>
                <w14:textFill>
                  <w14:solidFill>
                    <w14:schemeClr w14:val="tx1"/>
                  </w14:solidFill>
                </w14:textFill>
              </w:rPr>
              <w:t>详细见通用AI算力服务器技术要求</w:t>
            </w:r>
          </w:p>
        </w:tc>
        <w:tc>
          <w:tcPr>
            <w:tcW w:w="799" w:type="pct"/>
            <w:noWrap/>
            <w:vAlign w:val="center"/>
          </w:tcPr>
          <w:p w14:paraId="58BBB5D6">
            <w:pPr>
              <w:ind w:firstLine="360" w:firstLineChars="150"/>
              <w:textAlignment w:val="center"/>
              <w:rPr>
                <w:rFonts w:cs="仿宋" w:asciiTheme="minorEastAsia" w:hAnsiTheme="minorEastAsia" w:eastAsiaTheme="minorEastAsia"/>
                <w:color w:val="000000" w:themeColor="text1"/>
                <w:sz w:val="24"/>
                <w:highlight w:val="none"/>
                <w:lang w:bidi="ar"/>
                <w14:textFill>
                  <w14:solidFill>
                    <w14:schemeClr w14:val="tx1"/>
                  </w14:solidFill>
                </w14:textFill>
              </w:rPr>
            </w:pPr>
            <w:r>
              <w:rPr>
                <w:rFonts w:hint="eastAsia" w:cs="仿宋" w:asciiTheme="minorEastAsia" w:hAnsiTheme="minorEastAsia" w:eastAsiaTheme="minorEastAsia"/>
                <w:color w:val="000000" w:themeColor="text1"/>
                <w:sz w:val="24"/>
                <w:highlight w:val="none"/>
                <w:lang w:bidi="ar"/>
                <w14:textFill>
                  <w14:solidFill>
                    <w14:schemeClr w14:val="tx1"/>
                  </w14:solidFill>
                </w14:textFill>
              </w:rPr>
              <w:t>5</w:t>
            </w:r>
          </w:p>
        </w:tc>
      </w:tr>
    </w:tbl>
    <w:p w14:paraId="011212CD">
      <w:pPr>
        <w:pStyle w:val="33"/>
        <w:widowControl/>
        <w:shd w:val="clear" w:color="auto" w:fill="FFFFFF"/>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本项目为了满足太仓市娄江新城医院数智化建设项目</w:t>
      </w:r>
      <w:r>
        <w:rPr>
          <w:rFonts w:ascii="宋体" w:hAnsi="宋体" w:eastAsia="宋体" w:cs="宋体"/>
          <w:sz w:val="24"/>
          <w:szCs w:val="24"/>
          <w:highlight w:val="none"/>
          <w:shd w:val="clear" w:color="auto" w:fill="FFFFFF"/>
          <w:lang w:eastAsia="zh-CN"/>
        </w:rPr>
        <w:t>(二期)人工智能应用场景需求的AI算力底座建设需求，新增采购7台AI算力服务器，与一期采购的4台AI算力服务器一同组成基础算力集群，助力医疗数智化高质量发展。具体内容详见第三部分项目需求。</w:t>
      </w:r>
    </w:p>
    <w:p w14:paraId="35500902">
      <w:pPr>
        <w:pStyle w:val="33"/>
        <w:widowControl/>
        <w:shd w:val="clear" w:color="auto" w:fill="FFFFFF"/>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highlight w:val="none"/>
          <w:shd w:val="clear" w:color="auto" w:fill="FFFFFF"/>
          <w:lang w:eastAsia="zh-CN"/>
        </w:rPr>
        <w:t>合同履行期限：</w:t>
      </w:r>
      <w:bookmarkStart w:id="0" w:name="OLE_LINK6"/>
      <w:r>
        <w:rPr>
          <w:rFonts w:hint="eastAsia" w:ascii="宋体" w:hAnsi="宋体" w:eastAsia="宋体" w:cs="宋体"/>
          <w:sz w:val="24"/>
          <w:highlight w:val="none"/>
          <w:shd w:val="clear" w:color="auto" w:fill="FFFFFF"/>
          <w:lang w:eastAsia="zh-CN"/>
        </w:rPr>
        <w:t>合同签订生效后</w:t>
      </w:r>
      <w:r>
        <w:rPr>
          <w:rFonts w:ascii="宋体" w:hAnsi="宋体" w:eastAsia="宋体" w:cs="宋体"/>
          <w:sz w:val="24"/>
          <w:highlight w:val="none"/>
          <w:shd w:val="clear" w:color="auto" w:fill="FFFFFF"/>
          <w:lang w:eastAsia="zh-CN"/>
        </w:rPr>
        <w:t>1个月完成硬件产品交货，到货后90天安装、调试，使其具备验收条件。系统至少提供3个月的试运行期。质保期不少于</w:t>
      </w:r>
      <w:r>
        <w:rPr>
          <w:rFonts w:hint="eastAsia" w:ascii="宋体" w:hAnsi="宋体" w:eastAsia="宋体" w:cs="宋体"/>
          <w:sz w:val="24"/>
          <w:highlight w:val="none"/>
          <w:shd w:val="clear" w:color="auto" w:fill="FFFFFF"/>
          <w:lang w:val="en-US" w:eastAsia="zh-CN"/>
        </w:rPr>
        <w:t>5</w:t>
      </w:r>
      <w:r>
        <w:rPr>
          <w:rFonts w:ascii="宋体" w:hAnsi="宋体" w:eastAsia="宋体" w:cs="宋体"/>
          <w:sz w:val="24"/>
          <w:highlight w:val="none"/>
          <w:shd w:val="clear" w:color="auto" w:fill="FFFFFF"/>
          <w:lang w:eastAsia="zh-CN"/>
        </w:rPr>
        <w:t>年。</w:t>
      </w:r>
      <w:bookmarkEnd w:id="0"/>
    </w:p>
    <w:p w14:paraId="055F0A04">
      <w:pPr>
        <w:pStyle w:val="33"/>
        <w:widowControl/>
        <w:shd w:val="clear" w:color="auto" w:fill="FFFFFF"/>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5AD2D9E4">
      <w:pPr>
        <w:pStyle w:val="5"/>
        <w:keepNext w:val="0"/>
        <w:keepLines w:val="0"/>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二、申请人的资格要求</w:t>
      </w:r>
    </w:p>
    <w:p w14:paraId="1698D579">
      <w:pPr>
        <w:pStyle w:val="33"/>
        <w:widowControl/>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5239204B">
      <w:pPr>
        <w:pStyle w:val="33"/>
        <w:widowControl/>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0DBA787">
      <w:pPr>
        <w:pStyle w:val="33"/>
        <w:widowControl/>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74B92DDE">
      <w:pPr>
        <w:pStyle w:val="33"/>
        <w:widowControl/>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732D94C0">
      <w:pPr>
        <w:pStyle w:val="33"/>
        <w:widowControl/>
        <w:spacing w:after="0" w:line="500" w:lineRule="exact"/>
        <w:ind w:firstLine="480"/>
        <w:jc w:val="lef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275552A5">
      <w:pPr>
        <w:pStyle w:val="33"/>
        <w:widowControl/>
        <w:spacing w:after="0" w:line="500" w:lineRule="exact"/>
        <w:ind w:firstLine="480"/>
        <w:jc w:val="lef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25817B8C">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1181FC96">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39DB4A87">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1E478D39">
      <w:pPr>
        <w:pStyle w:val="33"/>
        <w:widowControl/>
        <w:spacing w:after="0" w:line="500" w:lineRule="exact"/>
        <w:ind w:firstLine="72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0909C736">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4A7D0780">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2FF517F3">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2DD8CF9A">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6D481549">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4666B048">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338FC955">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04F47CD">
      <w:pPr>
        <w:pStyle w:val="5"/>
        <w:keepNext w:val="0"/>
        <w:keepLines w:val="0"/>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三、获取招标文件</w:t>
      </w:r>
    </w:p>
    <w:p w14:paraId="7658E302">
      <w:pPr>
        <w:pBdr>
          <w:top w:val="single" w:color="CCCCCC" w:sz="2" w:space="0"/>
          <w:left w:val="single" w:color="CCCCCC" w:sz="2" w:space="30"/>
          <w:bottom w:val="single" w:color="CCCCCC" w:sz="2" w:space="0"/>
          <w:right w:val="single" w:color="CCCCCC" w:sz="2" w:space="0"/>
        </w:pBdr>
        <w:shd w:val="clear" w:color="auto" w:fill="FFFFFF"/>
        <w:spacing w:line="500" w:lineRule="exact"/>
        <w:ind w:firstLine="480"/>
        <w:rPr>
          <w:rFonts w:ascii="宋体" w:hAnsi="宋体" w:cs="宋体"/>
          <w:sz w:val="24"/>
          <w:highlight w:val="none"/>
          <w:shd w:val="clear" w:color="auto" w:fill="FFFFFF"/>
        </w:rPr>
      </w:pPr>
      <w:r>
        <w:rPr>
          <w:rFonts w:hint="eastAsia" w:ascii="宋体" w:hAnsi="宋体" w:cs="宋体"/>
          <w:sz w:val="24"/>
          <w:highlight w:val="none"/>
          <w:shd w:val="clear" w:color="auto" w:fill="FFFFFF"/>
        </w:rPr>
        <w:t>时间：自本公告发布之日起5个工作日</w:t>
      </w:r>
    </w:p>
    <w:p w14:paraId="4516BACE">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08DE910B">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328BB3D8">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2048473C">
      <w:pPr>
        <w:pStyle w:val="5"/>
        <w:keepNext w:val="0"/>
        <w:keepLines w:val="0"/>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四、提交投标文件截止时间、开标时间和地点</w:t>
      </w:r>
    </w:p>
    <w:p w14:paraId="4D015D83">
      <w:pPr>
        <w:pStyle w:val="33"/>
        <w:widowControl/>
        <w:spacing w:after="0" w:line="500" w:lineRule="exact"/>
        <w:ind w:firstLine="482"/>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2026-08-</w:t>
      </w:r>
      <w:r>
        <w:rPr>
          <w:rFonts w:hint="eastAsia" w:ascii="宋体" w:hAnsi="宋体" w:eastAsia="宋体" w:cs="宋体"/>
          <w:b/>
          <w:bCs/>
          <w:sz w:val="24"/>
          <w:szCs w:val="24"/>
          <w:highlight w:val="none"/>
          <w:lang w:val="en-US" w:eastAsia="zh-CN"/>
        </w:rPr>
        <w:t>28</w:t>
      </w:r>
      <w:r>
        <w:rPr>
          <w:rFonts w:ascii="宋体" w:hAnsi="宋体" w:eastAsia="宋体" w:cs="宋体"/>
          <w:b/>
          <w:bCs/>
          <w:sz w:val="24"/>
          <w:szCs w:val="24"/>
          <w:highlight w:val="none"/>
          <w:lang w:eastAsia="zh-CN"/>
        </w:rPr>
        <w:t xml:space="preserve"> </w:t>
      </w:r>
      <w:r>
        <w:rPr>
          <w:rFonts w:ascii="宋体" w:hAnsi="宋体" w:eastAsia="宋体" w:cs="宋体"/>
          <w:b/>
          <w:bCs/>
          <w:sz w:val="24"/>
          <w:szCs w:val="24"/>
          <w:highlight w:val="none"/>
          <w:shd w:val="clear" w:color="auto" w:fill="FFFFFF"/>
          <w:lang w:eastAsia="zh-CN"/>
        </w:rPr>
        <w:t xml:space="preserve"> 09:30</w:t>
      </w:r>
      <w:r>
        <w:rPr>
          <w:rFonts w:hint="eastAsia" w:ascii="宋体" w:hAnsi="宋体" w:eastAsia="宋体" w:cs="宋体"/>
          <w:sz w:val="24"/>
          <w:szCs w:val="24"/>
          <w:highlight w:val="none"/>
          <w:shd w:val="clear" w:color="auto" w:fill="FFFFFF"/>
          <w:lang w:eastAsia="zh-CN"/>
        </w:rPr>
        <w:t> （北京时间）</w:t>
      </w:r>
    </w:p>
    <w:p w14:paraId="3DB27FB7">
      <w:pPr>
        <w:pStyle w:val="33"/>
        <w:widowControl/>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地点：苏采云系统 </w:t>
      </w:r>
    </w:p>
    <w:p w14:paraId="29AD5E18">
      <w:pPr>
        <w:pStyle w:val="5"/>
        <w:keepNext w:val="0"/>
        <w:keepLines w:val="0"/>
        <w:shd w:val="clear" w:color="auto" w:fill="FFFFFF"/>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五、公告期限</w:t>
      </w:r>
    </w:p>
    <w:p w14:paraId="6EEC12D6">
      <w:pPr>
        <w:pStyle w:val="33"/>
        <w:widowControl/>
        <w:shd w:val="clear" w:color="auto" w:fill="FFFFFF"/>
        <w:spacing w:after="0" w:line="500" w:lineRule="exact"/>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36BA7A8A">
      <w:pPr>
        <w:pStyle w:val="5"/>
        <w:keepNext w:val="0"/>
        <w:keepLines w:val="0"/>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六、其他补充事宜</w:t>
      </w:r>
    </w:p>
    <w:p w14:paraId="3DBF147D">
      <w:pPr>
        <w:spacing w:line="500" w:lineRule="exact"/>
        <w:ind w:firstLine="480"/>
        <w:rPr>
          <w:rFonts w:ascii="宋体" w:hAnsi="宋体" w:cs="宋体"/>
          <w:sz w:val="24"/>
          <w:highlight w:val="none"/>
        </w:rPr>
      </w:pPr>
      <w:r>
        <w:rPr>
          <w:rFonts w:hint="eastAsia" w:ascii="宋体" w:hAnsi="宋体" w:cs="宋体"/>
          <w:sz w:val="24"/>
          <w:highlight w:val="none"/>
        </w:rPr>
        <w:t>1、本项目需要使用CA数字证书制作、上传电子投标文件完成电子投标，请供应商在参加投标活动前办理好CA数字证书申领及电子签章等操作。</w:t>
      </w:r>
    </w:p>
    <w:p w14:paraId="7A1AE920">
      <w:pPr>
        <w:spacing w:line="500" w:lineRule="exact"/>
        <w:ind w:firstLine="482"/>
        <w:rPr>
          <w:rFonts w:ascii="宋体" w:hAnsi="宋体" w:cs="宋体"/>
          <w:b/>
          <w:sz w:val="24"/>
          <w:highlight w:val="none"/>
        </w:rPr>
      </w:pPr>
      <w:r>
        <w:rPr>
          <w:rFonts w:hint="eastAsia" w:ascii="宋体" w:hAnsi="宋体" w:cs="宋体"/>
          <w:b/>
          <w:sz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C2962F7">
      <w:pPr>
        <w:spacing w:line="500" w:lineRule="exact"/>
        <w:ind w:firstLine="482"/>
        <w:rPr>
          <w:rFonts w:ascii="宋体" w:hAnsi="宋体" w:cs="宋体"/>
          <w:sz w:val="24"/>
          <w:highlight w:val="none"/>
        </w:rPr>
      </w:pPr>
      <w:r>
        <w:rPr>
          <w:rFonts w:hint="eastAsia" w:ascii="宋体" w:hAnsi="宋体" w:cs="宋体"/>
          <w:b/>
          <w:sz w:val="24"/>
          <w:highlight w:val="none"/>
        </w:rPr>
        <w:t>3、本项目采用不见面开标，投标人开标时无需到开标现场进行解密，采取网上开标大厅解密电子投标文件，投标人远程解密要求如下：</w:t>
      </w:r>
    </w:p>
    <w:p w14:paraId="24D66353">
      <w:pPr>
        <w:spacing w:line="500" w:lineRule="exact"/>
        <w:ind w:firstLine="480"/>
        <w:rPr>
          <w:rFonts w:ascii="宋体" w:hAnsi="宋体" w:cs="宋体"/>
          <w:sz w:val="24"/>
          <w:highlight w:val="none"/>
        </w:rPr>
      </w:pPr>
      <w:r>
        <w:rPr>
          <w:rFonts w:hint="eastAsia" w:ascii="宋体" w:hAnsi="宋体" w:cs="宋体"/>
          <w:sz w:val="24"/>
          <w:highlight w:val="none"/>
        </w:rPr>
        <w:t>1）投标人使用CA数字证书进行远程解密，解密的CA数字证书与生成加密电子投标文件时的CA数字证书需为同一个CA数字证书，否则无法解密，造成的后果由投标人自行负责。</w:t>
      </w:r>
    </w:p>
    <w:p w14:paraId="533BFEA9">
      <w:pPr>
        <w:spacing w:line="500" w:lineRule="exact"/>
        <w:ind w:firstLine="480"/>
        <w:rPr>
          <w:rFonts w:ascii="宋体" w:hAnsi="宋体" w:cs="宋体"/>
          <w:sz w:val="24"/>
          <w:highlight w:val="none"/>
        </w:rPr>
      </w:pPr>
      <w:r>
        <w:rPr>
          <w:rFonts w:hint="eastAsia" w:ascii="宋体" w:hAnsi="宋体" w:cs="宋体"/>
          <w:sz w:val="24"/>
          <w:highlight w:val="none"/>
        </w:rPr>
        <w:t>2）投标人登录苏采云系统，点击开标大厅，选择开标项目，完成不见面开标流程。</w:t>
      </w:r>
    </w:p>
    <w:p w14:paraId="4A108042">
      <w:pPr>
        <w:spacing w:line="500" w:lineRule="exact"/>
        <w:ind w:firstLine="480"/>
        <w:rPr>
          <w:rFonts w:ascii="宋体" w:hAnsi="宋体" w:cs="宋体"/>
          <w:sz w:val="24"/>
          <w:highlight w:val="none"/>
        </w:rPr>
      </w:pPr>
      <w:r>
        <w:rPr>
          <w:rFonts w:hint="eastAsia" w:ascii="宋体" w:hAnsi="宋体" w:cs="宋体"/>
          <w:sz w:val="24"/>
          <w:highlight w:val="none"/>
        </w:rPr>
        <w:t>3）投标截止时间后根据系统提示解密电子投标文件。</w:t>
      </w:r>
      <w:r>
        <w:rPr>
          <w:rFonts w:hint="eastAsia" w:ascii="宋体" w:hAnsi="宋体" w:cs="宋体"/>
          <w:b/>
          <w:sz w:val="24"/>
          <w:highlight w:val="none"/>
        </w:rPr>
        <w:t>解密时间为15分钟，</w:t>
      </w:r>
      <w:r>
        <w:rPr>
          <w:rFonts w:hint="eastAsia" w:ascii="宋体" w:hAnsi="宋体" w:cs="宋体"/>
          <w:sz w:val="24"/>
          <w:highlight w:val="none"/>
        </w:rPr>
        <w:t>未在规定时间内完成解密，其投标文件将被拒绝，不参与后续投标流程。</w:t>
      </w:r>
    </w:p>
    <w:p w14:paraId="04B1335B">
      <w:pPr>
        <w:spacing w:line="500" w:lineRule="exact"/>
        <w:ind w:firstLine="480"/>
        <w:rPr>
          <w:rFonts w:ascii="宋体" w:hAnsi="宋体" w:cs="宋体"/>
          <w:sz w:val="24"/>
          <w:highlight w:val="none"/>
        </w:rPr>
      </w:pPr>
      <w:r>
        <w:rPr>
          <w:rFonts w:hint="eastAsia" w:ascii="宋体" w:hAnsi="宋体" w:cs="宋体"/>
          <w:sz w:val="24"/>
          <w:highlight w:val="none"/>
        </w:rPr>
        <w:t>4）在开标、评标过程中投标单位代表须在网上不见面开标系统中保持在线状态，以应对可能发生的澄清、说明等回复，由于投标单位代表不在线所造成的一切后果由投标人自行承担。</w:t>
      </w:r>
    </w:p>
    <w:p w14:paraId="111B7B23">
      <w:pPr>
        <w:spacing w:line="500" w:lineRule="exact"/>
        <w:ind w:firstLine="480"/>
        <w:rPr>
          <w:rFonts w:ascii="宋体" w:hAnsi="宋体" w:cs="宋体"/>
          <w:sz w:val="24"/>
          <w:highlight w:val="none"/>
        </w:rPr>
      </w:pPr>
      <w:r>
        <w:rPr>
          <w:rFonts w:hint="eastAsia" w:ascii="宋体" w:hAnsi="宋体" w:cs="宋体"/>
          <w:sz w:val="24"/>
          <w:highlight w:val="none"/>
        </w:rPr>
        <w:t>4、</w:t>
      </w:r>
      <w:r>
        <w:rPr>
          <w:rFonts w:hint="eastAsia" w:ascii="宋体" w:hAnsi="宋体" w:cs="宋体"/>
          <w:b/>
          <w:sz w:val="24"/>
          <w:highlight w:val="none"/>
        </w:rPr>
        <w:t>有关苏采云系统驱动安装，</w:t>
      </w:r>
      <w:r>
        <w:rPr>
          <w:rFonts w:hint="eastAsia" w:ascii="宋体" w:hAnsi="宋体" w:cs="宋体"/>
          <w:sz w:val="24"/>
          <w:highlight w:val="none"/>
        </w:rPr>
        <w:t>登录苏州政府采购网，点击页面底部苏采云图标，进入苏采云政府采购一体化平台，点击“驱动下载”，下载</w:t>
      </w:r>
      <w:r>
        <w:rPr>
          <w:rFonts w:hint="eastAsia" w:ascii="宋体" w:hAnsi="宋体" w:cs="宋体"/>
          <w:b/>
          <w:sz w:val="24"/>
          <w:highlight w:val="none"/>
        </w:rPr>
        <w:t>“政务CA、方正签章控件驱动安装包及安装说明”</w:t>
      </w:r>
      <w:r>
        <w:rPr>
          <w:rFonts w:hint="eastAsia" w:ascii="宋体" w:hAnsi="宋体" w:cs="宋体"/>
          <w:sz w:val="24"/>
          <w:highlight w:val="none"/>
        </w:rPr>
        <w:t>文件，按要求安装驱动。</w:t>
      </w:r>
    </w:p>
    <w:p w14:paraId="2E10FF64">
      <w:pPr>
        <w:spacing w:line="500" w:lineRule="exact"/>
        <w:ind w:firstLine="480"/>
        <w:rPr>
          <w:rFonts w:ascii="宋体" w:hAnsi="宋体" w:cs="宋体"/>
          <w:sz w:val="24"/>
          <w:highlight w:val="none"/>
        </w:rPr>
      </w:pPr>
      <w:r>
        <w:rPr>
          <w:rFonts w:hint="eastAsia" w:ascii="宋体" w:hAnsi="宋体" w:cs="宋体"/>
          <w:sz w:val="24"/>
          <w:highlight w:val="none"/>
        </w:rPr>
        <w:t>5、</w:t>
      </w:r>
      <w:r>
        <w:rPr>
          <w:rFonts w:hint="eastAsia" w:ascii="宋体" w:hAnsi="宋体" w:cs="宋体"/>
          <w:b/>
          <w:sz w:val="24"/>
          <w:highlight w:val="none"/>
        </w:rPr>
        <w:t>有关供应商注册、报名、下载电子招标文件、制作上传电子投标文件</w:t>
      </w:r>
      <w:r>
        <w:rPr>
          <w:rFonts w:hint="eastAsia" w:ascii="宋体" w:hAnsi="宋体" w:cs="宋体"/>
          <w:sz w:val="24"/>
          <w:highlight w:val="none"/>
        </w:rPr>
        <w:t>、不见面开标及其他注意事项登录苏州政府采购网，在“下载中心”栏目下载“</w:t>
      </w:r>
      <w:r>
        <w:rPr>
          <w:rFonts w:hint="eastAsia" w:ascii="宋体" w:hAnsi="宋体" w:cs="宋体"/>
          <w:b/>
          <w:sz w:val="24"/>
          <w:highlight w:val="none"/>
        </w:rPr>
        <w:t>苏采云系统供应商操作</w:t>
      </w:r>
      <w:r>
        <w:rPr>
          <w:rFonts w:hint="eastAsia" w:ascii="宋体" w:hAnsi="宋体" w:cs="宋体"/>
          <w:b/>
          <w:bCs/>
          <w:sz w:val="24"/>
          <w:highlight w:val="none"/>
        </w:rPr>
        <w:t>手册</w:t>
      </w:r>
      <w:r>
        <w:rPr>
          <w:rFonts w:hint="eastAsia" w:ascii="宋体" w:hAnsi="宋体" w:cs="宋体"/>
          <w:sz w:val="24"/>
          <w:highlight w:val="none"/>
        </w:rPr>
        <w:t>”查阅。</w:t>
      </w:r>
    </w:p>
    <w:p w14:paraId="483A5833">
      <w:pPr>
        <w:spacing w:line="500" w:lineRule="exact"/>
        <w:ind w:firstLine="480"/>
        <w:rPr>
          <w:rFonts w:ascii="宋体" w:hAnsi="宋体" w:cs="宋体"/>
          <w:sz w:val="24"/>
          <w:highlight w:val="none"/>
        </w:rPr>
      </w:pPr>
      <w:r>
        <w:rPr>
          <w:rFonts w:hint="eastAsia" w:ascii="宋体" w:hAnsi="宋体" w:cs="宋体"/>
          <w:sz w:val="24"/>
          <w:highlight w:val="none"/>
        </w:rPr>
        <w:t>6、有关办理CA数字申领及电子签章事项，登录苏州政府采购网，点击页面底部苏采云图标，进入苏采云政府采购一体化平台，下载“新CA办理指南”文件查阅。</w:t>
      </w:r>
    </w:p>
    <w:p w14:paraId="2AFA9DF1">
      <w:pPr>
        <w:spacing w:line="500" w:lineRule="exact"/>
        <w:ind w:firstLine="480"/>
        <w:rPr>
          <w:rFonts w:ascii="宋体" w:hAnsi="宋体" w:cs="宋体"/>
          <w:sz w:val="24"/>
          <w:highlight w:val="none"/>
        </w:rPr>
      </w:pPr>
      <w:r>
        <w:rPr>
          <w:rFonts w:hint="eastAsia" w:ascii="宋体" w:hAnsi="宋体" w:cs="宋体"/>
          <w:sz w:val="24"/>
          <w:highlight w:val="none"/>
        </w:rPr>
        <w:t>7、有关电子投标制作技术疑问，请咨询苏采云软件公司客服：18261002950、0512-69820854、0519-86722802</w:t>
      </w:r>
    </w:p>
    <w:p w14:paraId="40393AAA">
      <w:pPr>
        <w:spacing w:line="500" w:lineRule="exact"/>
        <w:ind w:firstLine="480"/>
        <w:rPr>
          <w:rFonts w:ascii="宋体" w:hAnsi="宋体" w:cs="宋体"/>
          <w:sz w:val="24"/>
          <w:highlight w:val="none"/>
        </w:rPr>
      </w:pPr>
      <w:r>
        <w:rPr>
          <w:rFonts w:hint="eastAsia" w:ascii="宋体" w:hAnsi="宋体" w:cs="宋体"/>
          <w:sz w:val="24"/>
          <w:highlight w:val="none"/>
        </w:rPr>
        <w:t>8、政府采购监督电话：0512-53512539</w:t>
      </w:r>
    </w:p>
    <w:p w14:paraId="29058C31">
      <w:pPr>
        <w:spacing w:line="500" w:lineRule="exact"/>
        <w:ind w:firstLine="480"/>
        <w:rPr>
          <w:rFonts w:ascii="宋体" w:hAnsi="宋体" w:cs="宋体"/>
          <w:sz w:val="24"/>
          <w:highlight w:val="none"/>
        </w:rPr>
      </w:pPr>
      <w:r>
        <w:rPr>
          <w:rFonts w:hint="eastAsia" w:ascii="宋体" w:hAnsi="宋体" w:cs="宋体"/>
          <w:sz w:val="24"/>
          <w:highlight w:val="none"/>
        </w:rPr>
        <w:t>9、本次招标投标保证金：本项目无须缴纳投标保证金。</w:t>
      </w:r>
    </w:p>
    <w:p w14:paraId="338A63D3">
      <w:pPr>
        <w:spacing w:line="500" w:lineRule="exact"/>
        <w:ind w:firstLine="480"/>
        <w:rPr>
          <w:rFonts w:ascii="宋体" w:hAnsi="宋体" w:cs="宋体"/>
          <w:sz w:val="24"/>
          <w:highlight w:val="none"/>
        </w:rPr>
      </w:pPr>
      <w:r>
        <w:rPr>
          <w:rFonts w:hint="eastAsia" w:ascii="宋体" w:hAnsi="宋体" w:cs="宋体"/>
          <w:sz w:val="24"/>
          <w:highlight w:val="none"/>
        </w:rPr>
        <w:t>10、政府采购信用融资政策：中标供应商可凭政府采购合同办理融资贷款，详情请见江苏政府采购网“政采贷”专栏。</w:t>
      </w:r>
      <w:r>
        <w:rPr>
          <w:rFonts w:hint="eastAsia" w:ascii="宋体" w:hAnsi="宋体" w:cs="宋体"/>
          <w:sz w:val="24"/>
          <w:highlight w:val="none"/>
        </w:rPr>
        <w:br w:type="textWrapping"/>
      </w:r>
      <w:r>
        <w:rPr>
          <w:rFonts w:hint="eastAsia" w:ascii="宋体" w:hAnsi="宋体" w:cs="宋体"/>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6993BE6">
      <w:pPr>
        <w:pStyle w:val="5"/>
        <w:keepNext w:val="0"/>
        <w:keepLines w:val="0"/>
        <w:spacing w:before="0" w:after="0" w:line="500" w:lineRule="exact"/>
        <w:rPr>
          <w:rFonts w:ascii="宋体" w:hAnsi="宋体" w:eastAsia="宋体" w:cs="宋体"/>
          <w:highlight w:val="none"/>
        </w:rPr>
      </w:pPr>
      <w:r>
        <w:rPr>
          <w:rStyle w:val="41"/>
          <w:rFonts w:hint="eastAsia" w:ascii="宋体" w:hAnsi="宋体" w:eastAsia="宋体" w:cs="宋体"/>
          <w:sz w:val="28"/>
          <w:szCs w:val="28"/>
          <w:highlight w:val="none"/>
          <w:shd w:val="clear" w:color="auto" w:fill="FFFFFF"/>
        </w:rPr>
        <w:t>七、对本次招标提出询问，请按以下方式联系</w:t>
      </w:r>
    </w:p>
    <w:p w14:paraId="3147D7AB">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454DD50A">
      <w:pPr>
        <w:pStyle w:val="33"/>
        <w:widowControl/>
        <w:spacing w:after="0" w:line="500" w:lineRule="exact"/>
        <w:ind w:firstLine="480"/>
        <w:jc w:val="left"/>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名称：太仓市娄江新城医院（瑞金医院太仓分院）</w:t>
      </w:r>
    </w:p>
    <w:p w14:paraId="38576C7C">
      <w:pPr>
        <w:pStyle w:val="33"/>
        <w:widowControl/>
        <w:spacing w:after="0" w:line="500" w:lineRule="exact"/>
        <w:ind w:firstLine="480"/>
        <w:jc w:val="left"/>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地</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址：太仓市上海东路</w:t>
      </w:r>
      <w:r>
        <w:rPr>
          <w:rFonts w:ascii="宋体" w:hAnsi="宋体" w:eastAsia="宋体" w:cs="宋体"/>
          <w:color w:val="333333"/>
          <w:sz w:val="24"/>
          <w:szCs w:val="24"/>
          <w:highlight w:val="none"/>
          <w:shd w:val="clear" w:color="auto" w:fill="FFFFFF"/>
          <w:lang w:eastAsia="zh-CN"/>
        </w:rPr>
        <w:t>666</w:t>
      </w:r>
      <w:r>
        <w:rPr>
          <w:rFonts w:hint="eastAsia" w:ascii="宋体" w:hAnsi="宋体" w:eastAsia="宋体" w:cs="宋体"/>
          <w:color w:val="333333"/>
          <w:sz w:val="24"/>
          <w:szCs w:val="24"/>
          <w:highlight w:val="none"/>
          <w:shd w:val="clear" w:color="auto" w:fill="FFFFFF"/>
          <w:lang w:eastAsia="zh-CN"/>
        </w:rPr>
        <w:t>号</w:t>
      </w:r>
      <w:r>
        <w:rPr>
          <w:rFonts w:ascii="宋体" w:hAnsi="宋体" w:eastAsia="宋体" w:cs="宋体"/>
          <w:color w:val="333333"/>
          <w:sz w:val="24"/>
          <w:szCs w:val="24"/>
          <w:highlight w:val="none"/>
          <w:shd w:val="clear" w:color="auto" w:fill="FFFFFF"/>
          <w:lang w:eastAsia="zh-CN"/>
        </w:rPr>
        <w:t xml:space="preserve">  </w:t>
      </w:r>
    </w:p>
    <w:p w14:paraId="50DA7CF8">
      <w:pPr>
        <w:pStyle w:val="33"/>
        <w:widowControl/>
        <w:spacing w:after="0" w:line="500" w:lineRule="exact"/>
        <w:ind w:firstLine="480"/>
        <w:jc w:val="left"/>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联系人：曹泽鑫</w:t>
      </w:r>
    </w:p>
    <w:p w14:paraId="0D60DB92">
      <w:pPr>
        <w:pStyle w:val="33"/>
        <w:widowControl/>
        <w:spacing w:after="0" w:line="500" w:lineRule="exact"/>
        <w:ind w:firstLine="480"/>
        <w:jc w:val="left"/>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联系电话</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w:t>
      </w:r>
      <w:r>
        <w:rPr>
          <w:rFonts w:ascii="宋体" w:hAnsi="宋体" w:eastAsia="宋体" w:cs="宋体"/>
          <w:color w:val="333333"/>
          <w:sz w:val="24"/>
          <w:szCs w:val="24"/>
          <w:highlight w:val="none"/>
          <w:shd w:val="clear" w:color="auto" w:fill="FFFFFF"/>
          <w:lang w:eastAsia="zh-CN"/>
        </w:rPr>
        <w:t>0512-56561770</w:t>
      </w:r>
      <w:r>
        <w:rPr>
          <w:rFonts w:hint="eastAsia" w:ascii="宋体" w:hAnsi="宋体" w:eastAsia="宋体" w:cs="宋体"/>
          <w:color w:val="333333"/>
          <w:sz w:val="24"/>
          <w:szCs w:val="24"/>
          <w:highlight w:val="none"/>
          <w:shd w:val="clear" w:color="auto" w:fill="FFFFFF"/>
          <w:lang w:eastAsia="zh-CN"/>
        </w:rPr>
        <w:t xml:space="preserve"> </w:t>
      </w:r>
    </w:p>
    <w:p w14:paraId="7DD1BB16">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3D2B37A4">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5E9726E0">
      <w:pPr>
        <w:pStyle w:val="33"/>
        <w:widowControl/>
        <w:spacing w:after="0" w:line="500" w:lineRule="exact"/>
        <w:ind w:firstLine="480"/>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491970BE">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42E586F5">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07C8289A">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1E9AA697">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1A4243C2">
      <w:pPr>
        <w:pStyle w:val="33"/>
        <w:widowControl/>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122DE368">
      <w:pPr>
        <w:spacing w:line="500" w:lineRule="exact"/>
        <w:ind w:firstLine="420"/>
        <w:rPr>
          <w:rFonts w:ascii="宋体" w:hAnsi="宋体" w:cs="宋体"/>
          <w:highlight w:val="none"/>
        </w:rPr>
      </w:pPr>
    </w:p>
    <w:p w14:paraId="6F9B18A8">
      <w:pPr>
        <w:spacing w:line="480" w:lineRule="exact"/>
        <w:rPr>
          <w:rFonts w:ascii="宋体" w:hAnsi="宋体" w:cs="宋体"/>
          <w:highlight w:val="none"/>
        </w:rPr>
      </w:pPr>
    </w:p>
    <w:p w14:paraId="36DBED9F">
      <w:pPr>
        <w:pBdr>
          <w:top w:val="none" w:color="000000" w:sz="0" w:space="0"/>
          <w:left w:val="none" w:color="000000" w:sz="0" w:space="0"/>
          <w:bottom w:val="none" w:color="000000" w:sz="0" w:space="0"/>
          <w:right w:val="none" w:color="000000" w:sz="0" w:space="0"/>
        </w:pBdr>
        <w:spacing w:line="113" w:lineRule="atLeast"/>
        <w:rPr>
          <w:rFonts w:ascii="宋体" w:hAnsi="宋体" w:cs="宋体"/>
          <w:highlight w:val="none"/>
        </w:rPr>
      </w:pPr>
    </w:p>
    <w:p w14:paraId="1F89D57C">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bCs/>
          <w:sz w:val="44"/>
          <w:szCs w:val="44"/>
          <w:highlight w:val="none"/>
        </w:rPr>
      </w:pPr>
      <w:r>
        <w:rPr>
          <w:rFonts w:hint="eastAsia" w:ascii="宋体" w:hAnsi="宋体" w:cs="宋体"/>
          <w:b/>
          <w:sz w:val="44"/>
          <w:highlight w:val="none"/>
        </w:rPr>
        <w:t>第二部分  投标人须知</w:t>
      </w:r>
    </w:p>
    <w:p w14:paraId="6F0D3F81">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一、说明和释义</w:t>
      </w:r>
    </w:p>
    <w:p w14:paraId="36A380D1">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 说明</w:t>
      </w:r>
    </w:p>
    <w:p w14:paraId="4084B5B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1.1本招标文件仅适用于苏州市公共资源交易中心太仓分中心组织的招标活动。</w:t>
      </w:r>
    </w:p>
    <w:p w14:paraId="7E95ACB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1.2本次招标活动及因本次招标产生的合同受中国法律制约和保护。</w:t>
      </w:r>
    </w:p>
    <w:p w14:paraId="5F2DB54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1.3本招标文件的解释权属于苏州市公共资源交易中心太仓分中心。</w:t>
      </w:r>
    </w:p>
    <w:p w14:paraId="3CD57F22">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 词语释义</w:t>
      </w:r>
    </w:p>
    <w:p w14:paraId="1D8C2E0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2.1采购代理机构：具体组织实施招标活动的法人。本项目采购代理机构是苏州市公共资源交易中心太仓分中心。</w:t>
      </w:r>
    </w:p>
    <w:p w14:paraId="60E7CDE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2.2投标人：经认定有资格响应招标，参加投标竞争的法人或其他组织和自然人。</w:t>
      </w:r>
    </w:p>
    <w:p w14:paraId="5EDE665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2.3响应：投标人根据采购人或采购代理机构发布的招标文件，编制投标文件并按规定投标的行为。</w:t>
      </w:r>
    </w:p>
    <w:p w14:paraId="3FBA0AC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2.4合同：采供双方根据招标文件和中标的投标文件及中标通知书规定的内容签署的以书面形式所达成的协议，包括所有的附件、附录和构成协议的所有文件。</w:t>
      </w:r>
    </w:p>
    <w:p w14:paraId="518F5A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2.5甲方（采购方）：合同中明确规定的实际购买货物和服务的法人或其他组织和自然人（采购人）</w:t>
      </w:r>
    </w:p>
    <w:p w14:paraId="6AA5E9E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2.6乙方（供应商）：合同中规定的向采购方提供货物和服务的法人或其他组织和自然人（中标人）</w:t>
      </w:r>
    </w:p>
    <w:p w14:paraId="450C273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2.7货物：系指乙方按招标采购文件规定，应向甲方提供的一切设备、备品、备件、工具、手册及其它有关技术资料和材料。</w:t>
      </w:r>
    </w:p>
    <w:p w14:paraId="0A0BF9C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3FF15F6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2.9知识产权：指专利权、商标权、著作权等无形财产专有权的统称。</w:t>
      </w:r>
    </w:p>
    <w:p w14:paraId="15C4793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2.10天：日历日。</w:t>
      </w:r>
    </w:p>
    <w:p w14:paraId="62A168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2.11交货地点：合同中明确约定的乙方提交的货物和服务最终到达地点。</w:t>
      </w:r>
    </w:p>
    <w:p w14:paraId="2DD7785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2.12 合同价款：根据合同规定，乙方在正确地履行合同义务后甲方应支付乙方的价款。</w:t>
      </w:r>
    </w:p>
    <w:p w14:paraId="5672A1E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2.13 产地：货物开采、生长、生产、最终制造、加工或提供服务的来源地。</w:t>
      </w:r>
    </w:p>
    <w:p w14:paraId="04469DF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2.14不可抗力：不能预见、不能避免并且不能克服的客观情况。</w:t>
      </w:r>
    </w:p>
    <w:p w14:paraId="4D4D7C1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2.15 实质性响应：满足有关本次采购标的、数量、质量、价款或者报酬、履行期限、履行地点和方式、违约责任和解决争议方法等要求。</w:t>
      </w:r>
    </w:p>
    <w:p w14:paraId="5C19521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5912A6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2.17进口产品：指通过中国海关报关验收进入中国境内且产自境外的产品。本项目不接受进口产品投标。</w:t>
      </w:r>
    </w:p>
    <w:p w14:paraId="53ACD6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2.18书面形式：指书面文字、合同书、信件和传真等可以有形地表现所载内容的形式。</w:t>
      </w:r>
    </w:p>
    <w:p w14:paraId="76D3CBC2">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二、 投标人</w:t>
      </w:r>
    </w:p>
    <w:p w14:paraId="772A236A">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 合格投标人的基本条件</w:t>
      </w:r>
    </w:p>
    <w:p w14:paraId="35720D8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3.1符合《中华人民共和国政府采购法》第二十二条第一款之规定；</w:t>
      </w:r>
    </w:p>
    <w:p w14:paraId="1695B70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3.2满足本文件实质性条款的规定。</w:t>
      </w:r>
    </w:p>
    <w:p w14:paraId="48C7A377">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4．合格投标人的特定条件</w:t>
      </w:r>
    </w:p>
    <w:p w14:paraId="1D58CF6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4.1 按招标公告规定。</w:t>
      </w:r>
    </w:p>
    <w:p w14:paraId="6AA31C83">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5. 投标人代表</w:t>
      </w:r>
    </w:p>
    <w:p w14:paraId="3BBB07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5.1指全权代表投标人参加投标活动并签署投标文件的人，如果投标人代表不是法人代表，须持有《法人代表授权委托书》（详见统一格式）。</w:t>
      </w:r>
    </w:p>
    <w:p w14:paraId="6A3025BC">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6. 联合投标及转包、分包</w:t>
      </w:r>
    </w:p>
    <w:p w14:paraId="17E4D10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6.1本项目不接受联合体投标。</w:t>
      </w:r>
    </w:p>
    <w:p w14:paraId="3EA241D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6.2本项目不接受转包</w:t>
      </w:r>
    </w:p>
    <w:p w14:paraId="5AF44C4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6.3本项目不接受分包。</w:t>
      </w:r>
    </w:p>
    <w:p w14:paraId="4AE99174">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 xml:space="preserve">7. 投标费用 </w:t>
      </w:r>
    </w:p>
    <w:p w14:paraId="6B2A3E0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7.1投标人应自行承担所有准备及参加投标的相关费用。不论投标结果如何，采购代理机构在任何情况下均无义务也无责任承担这些费用。</w:t>
      </w:r>
    </w:p>
    <w:p w14:paraId="355966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7.2 本次招标项目不收取标书费及中标服务费，请投标人在投标时充分考虑这一因素。</w:t>
      </w:r>
    </w:p>
    <w:p w14:paraId="4442FF4C">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三、招标文件说明</w:t>
      </w:r>
    </w:p>
    <w:p w14:paraId="14B5DFBC">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8. 招标文件</w:t>
      </w:r>
    </w:p>
    <w:p w14:paraId="639C08C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C83827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8.2招标文件及其更正文件不是直接从采购代理机构或指定媒体获得的，采购代理机构对招标文件及其补遗的真实性、完整性不承担任何责任。</w:t>
      </w:r>
    </w:p>
    <w:p w14:paraId="318E2EED">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9. 招标文件的澄清</w:t>
      </w:r>
    </w:p>
    <w:p w14:paraId="24AAC6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9.1投标人在获取招标文件后，若有疑问，应于投标截止时间之前，向采购代理机构提出，采购代理机构将予以解答。</w:t>
      </w:r>
    </w:p>
    <w:p w14:paraId="6E7E4AA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9.2如有必要，问题答复将以“变更公告”形式由采购代理机构按照本须知第10条的规定发出。</w:t>
      </w:r>
    </w:p>
    <w:p w14:paraId="77B67C05">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10.招标文件的修改</w:t>
      </w:r>
    </w:p>
    <w:p w14:paraId="0C24EE2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10.1采购代理机构无论出于自己的考虑，还是出于对投标人提问的澄清，均可对已发出的招标文件用补充文件的方式进行必要澄清或者修改。</w:t>
      </w:r>
    </w:p>
    <w:p w14:paraId="46FDDD3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54DAA6D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10.3招标文件的更正（含澄清、修改等）内容与原招标文件在同一内容上表述不一致时，以发出日期最接近开标时间的公告为准。</w:t>
      </w:r>
    </w:p>
    <w:p w14:paraId="6FB01DD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7E79BF3D">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highlight w:val="none"/>
        </w:rPr>
      </w:pPr>
      <w:r>
        <w:rPr>
          <w:rFonts w:hint="eastAsia" w:ascii="宋体" w:hAnsi="宋体" w:cs="宋体"/>
          <w:b/>
          <w:sz w:val="24"/>
          <w:highlight w:val="none"/>
        </w:rPr>
        <w:t>10.5招标文件若有最新的答疑文件，投标供应商必须下载并使用该文件制作新的电子投标文件，否则将无法完成电子投标文件的上传及投标。</w:t>
      </w:r>
    </w:p>
    <w:p w14:paraId="7DB7D68C">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11.质疑</w:t>
      </w:r>
    </w:p>
    <w:p w14:paraId="1D23315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9455D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11.2 提出质疑的供应商应当是参与所质疑项目采购活动的供应商，未参加投标活动的供应商或在投标活动中自身权益未受到损害的供应商所提出的质疑不予受理。</w:t>
      </w:r>
    </w:p>
    <w:p w14:paraId="51A8415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11.3上述应知其权益受到损害之日是指：</w:t>
      </w:r>
    </w:p>
    <w:p w14:paraId="732929A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11.3.1对采购文件提出质疑的，为获取采购文件或者采购文件公告期限届满之日起计算；</w:t>
      </w:r>
    </w:p>
    <w:p w14:paraId="6BA1CF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11.3.2对采购过程提出质疑的，自采购程序环节结束之日起计算；</w:t>
      </w:r>
    </w:p>
    <w:p w14:paraId="3A7CB53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11.3.3对中标结果提出质疑的，自中标结果公告期限届满之日起计算。</w:t>
      </w:r>
    </w:p>
    <w:p w14:paraId="5C4410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 供应商提出质疑应当提交质疑函和必要的证明材料。质疑函应当包括下列内容：</w:t>
      </w:r>
    </w:p>
    <w:p w14:paraId="43EFCFD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11.4.1 供应商的姓名或者名称、地址、邮编、联系人及联系电话；</w:t>
      </w:r>
    </w:p>
    <w:p w14:paraId="07E8202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11.4.2 质疑项目的名称、编号；</w:t>
      </w:r>
    </w:p>
    <w:p w14:paraId="54B9213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11.4.3 具体、明确的质疑事项和与质疑事项相关的请求；</w:t>
      </w:r>
    </w:p>
    <w:p w14:paraId="37DACE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11.4.4 事实依据；</w:t>
      </w:r>
    </w:p>
    <w:p w14:paraId="3788232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11.4.5 必要的法律依据；</w:t>
      </w:r>
    </w:p>
    <w:p w14:paraId="62441BD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11.4.6 提出质疑的日期。</w:t>
      </w:r>
    </w:p>
    <w:p w14:paraId="6D07B73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11.5质疑函的格式和内容应当符合财政部《政府采购供应商质疑函范本》 要求，质疑函范本在财政部官网上提供下载。</w:t>
      </w:r>
    </w:p>
    <w:p w14:paraId="7541BED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11.6 提交质疑函同时应当附如下证明材料：</w:t>
      </w:r>
    </w:p>
    <w:p w14:paraId="30B29EF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11.6.1对采购文件提出质疑的供应商提供参加本项目的《投标供应商确认函</w:t>
      </w:r>
      <w:r>
        <w:rPr>
          <w:rFonts w:hint="eastAsia" w:ascii="宋体" w:hAnsi="宋体" w:cs="宋体"/>
          <w:b/>
          <w:sz w:val="24"/>
          <w:highlight w:val="none"/>
        </w:rPr>
        <w:t>》</w:t>
      </w:r>
      <w:r>
        <w:rPr>
          <w:rFonts w:hint="eastAsia" w:ascii="宋体" w:hAnsi="宋体" w:cs="宋体"/>
          <w:sz w:val="24"/>
          <w:highlight w:val="none"/>
        </w:rPr>
        <w:t>；</w:t>
      </w:r>
    </w:p>
    <w:p w14:paraId="577367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11.6.2质疑供应商的营业执照复印件加盖单位公章；</w:t>
      </w:r>
    </w:p>
    <w:p w14:paraId="67AEAC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11.6.3质疑供应商法定代表人身份证复印件加盖单位公章；</w:t>
      </w:r>
    </w:p>
    <w:p w14:paraId="241D2C5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46FBA4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 xml:space="preserve">11.7 供应商为自然人的，应当由本人签字；供应商为法人或者其他组织的，应当由法定代表人、主要负责人，或者其授权代表签字或者盖章，并加盖公章。 </w:t>
      </w:r>
    </w:p>
    <w:p w14:paraId="31986B3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11.8供应商对招标项目技术、商务及其他要求，以及评审细则、标准提出询问或质疑的，应向采购人提出；供应商对采购过程及中标结果提出询问或质疑的，应向采购机代理构提出；</w:t>
      </w:r>
    </w:p>
    <w:p w14:paraId="2F32EEF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11.9 供应商如对本项目提出质疑须在法定质疑期内一次性提出针对同一采购程序环节的质疑。</w:t>
      </w:r>
    </w:p>
    <w:p w14:paraId="0223675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highlight w:val="none"/>
        </w:rPr>
        <w:t>（即《投标供应商确认函》）</w:t>
      </w:r>
      <w:r>
        <w:rPr>
          <w:rFonts w:hint="eastAsia" w:ascii="宋体" w:hAnsi="宋体" w:cs="宋体"/>
          <w:sz w:val="24"/>
          <w:highlight w:val="none"/>
        </w:rPr>
        <w:t>与质疑函一起递交，否则不予受理。</w:t>
      </w:r>
    </w:p>
    <w:p w14:paraId="23D790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11.11 接受质疑函联系方式见采购公告联系事项。</w:t>
      </w:r>
    </w:p>
    <w:p w14:paraId="16E7CF04">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四、 投标文件说明</w:t>
      </w:r>
    </w:p>
    <w:p w14:paraId="080887A9">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12、提示与要求</w:t>
      </w:r>
    </w:p>
    <w:p w14:paraId="6F771A9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1B74736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12.2无论是否递交投标文件，投标人都应将招标文件及以后的所有通知、文件等视为保密文件。</w:t>
      </w:r>
    </w:p>
    <w:p w14:paraId="0AF40B4F">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13. 投标文件计量单位和使用文字</w:t>
      </w:r>
    </w:p>
    <w:p w14:paraId="08E100D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13.1投标文件中所使用的计量单位，除招标文件中有特殊要求外，均应使用中华人民共和国法定计量单位。</w:t>
      </w:r>
    </w:p>
    <w:p w14:paraId="3B2A29A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146E54A">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14. 知识产权</w:t>
      </w:r>
    </w:p>
    <w:p w14:paraId="5BBF9E6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02825BA">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15. 投标文件的组成</w:t>
      </w:r>
    </w:p>
    <w:p w14:paraId="58443EDF">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highlight w:val="none"/>
        </w:rPr>
      </w:pPr>
      <w:r>
        <w:rPr>
          <w:rFonts w:hint="eastAsia" w:ascii="宋体" w:hAnsi="宋体" w:cs="宋体"/>
          <w:b/>
          <w:sz w:val="24"/>
          <w:highlight w:val="none"/>
        </w:rPr>
        <w:t>15.1报价部分（详见投标文件格式）：</w:t>
      </w:r>
    </w:p>
    <w:p w14:paraId="3242722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15.1.1封面</w:t>
      </w:r>
    </w:p>
    <w:p w14:paraId="06F252E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15.1.2《开标一览表》(统一格式)；</w:t>
      </w:r>
    </w:p>
    <w:p w14:paraId="4DB1E4C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15.1.3公开分项报价表；</w:t>
      </w:r>
    </w:p>
    <w:p w14:paraId="70BB0BA7">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highlight w:val="none"/>
        </w:rPr>
      </w:pPr>
      <w:r>
        <w:rPr>
          <w:rFonts w:hint="eastAsia" w:ascii="宋体" w:hAnsi="宋体" w:cs="宋体"/>
          <w:b/>
          <w:sz w:val="24"/>
          <w:highlight w:val="none"/>
        </w:rPr>
        <w:t>15.2 投标正文部分（包含资质证明和技术部分）</w:t>
      </w:r>
    </w:p>
    <w:p w14:paraId="01A3212A">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highlight w:val="none"/>
        </w:rPr>
      </w:pPr>
      <w:r>
        <w:rPr>
          <w:rFonts w:hint="eastAsia" w:ascii="宋体" w:hAnsi="宋体" w:cs="宋体"/>
          <w:b/>
          <w:sz w:val="24"/>
          <w:highlight w:val="none"/>
        </w:rPr>
        <w:t>15.2.1资质证明文件部分</w:t>
      </w:r>
    </w:p>
    <w:p w14:paraId="3B0CC8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15.2.1.1关于资格文件的声明函（详见投标文件格式）；</w:t>
      </w:r>
    </w:p>
    <w:p w14:paraId="01ECD5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15.2.1.2投标承诺函（详见投标文件格式）；</w:t>
      </w:r>
    </w:p>
    <w:p w14:paraId="5DE13F9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15.2.1.3投标人基本情况表（详见投标文件格式）；</w:t>
      </w:r>
    </w:p>
    <w:p w14:paraId="361D167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15.2.1.4投标人法定代表人身份证复印件；</w:t>
      </w:r>
    </w:p>
    <w:p w14:paraId="792E8DD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15.2.1.5投标人法定代表人授权委托书原件（如有授权）（详见投标文件格式）</w:t>
      </w:r>
    </w:p>
    <w:p w14:paraId="68D923D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15.2.1.6投标人授权代理人身份证复印件（如有授权）</w:t>
      </w:r>
    </w:p>
    <w:p w14:paraId="08F695A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15.2.1.7投标单位营业执照副本或三证合一营业执照复印件；</w:t>
      </w:r>
    </w:p>
    <w:p w14:paraId="312EE30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15.2.1.8投标人参加本次政府采购活动前的财务状况报告或者银行出具的资信证明；</w:t>
      </w:r>
    </w:p>
    <w:p w14:paraId="0EA8701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15.2.1.9投标人根据项目需求提供履行合同所必需的设备和专业技术能力的证明材料；</w:t>
      </w:r>
    </w:p>
    <w:p w14:paraId="22B08B3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15.2.1.10投标人参加本次政府采购活动前半年（至少一个月）依法缴纳税收和社会保障资金的证明材料；</w:t>
      </w:r>
    </w:p>
    <w:p w14:paraId="71552C9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15.2.1.11投标人参加政府采购活动前三年在经营活动中没有重大违法记录的书面申明（详见投标文件格式）；</w:t>
      </w:r>
    </w:p>
    <w:p w14:paraId="3F25854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15.2.1.12投标人证明其符合招标文件规定的投标人特定资格条件的证书、证明和文件材料；（如有）</w:t>
      </w:r>
    </w:p>
    <w:p w14:paraId="3EBFF5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15.2.1.13中小企业声明函（如有）</w:t>
      </w:r>
    </w:p>
    <w:p w14:paraId="21A8606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15.2.1.14残疾人福利性单位声明函</w:t>
      </w:r>
      <w:bookmarkStart w:id="1" w:name="_Hlk186581680"/>
      <w:r>
        <w:rPr>
          <w:rFonts w:hint="eastAsia" w:ascii="宋体" w:hAnsi="宋体" w:cs="宋体"/>
          <w:sz w:val="24"/>
          <w:highlight w:val="none"/>
        </w:rPr>
        <w:t>（如有）</w:t>
      </w:r>
      <w:bookmarkEnd w:id="1"/>
      <w:r>
        <w:rPr>
          <w:rFonts w:hint="eastAsia" w:ascii="宋体" w:hAnsi="宋体" w:cs="宋体"/>
          <w:sz w:val="24"/>
          <w:highlight w:val="none"/>
        </w:rPr>
        <w:t>；</w:t>
      </w:r>
    </w:p>
    <w:p w14:paraId="33683C3D">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b/>
          <w:sz w:val="24"/>
          <w:highlight w:val="none"/>
        </w:rPr>
      </w:pPr>
      <w:r>
        <w:rPr>
          <w:rFonts w:hint="eastAsia" w:ascii="宋体" w:hAnsi="宋体" w:cs="宋体"/>
          <w:sz w:val="24"/>
          <w:highlight w:val="none"/>
        </w:rPr>
        <w:t>15.2.1.1</w:t>
      </w:r>
      <w:r>
        <w:rPr>
          <w:rFonts w:ascii="宋体" w:hAnsi="宋体" w:cs="宋体"/>
          <w:sz w:val="24"/>
          <w:highlight w:val="none"/>
        </w:rPr>
        <w:t>5</w:t>
      </w:r>
      <w:r>
        <w:rPr>
          <w:rFonts w:hint="eastAsia" w:ascii="宋体" w:hAnsi="宋体"/>
          <w:sz w:val="24"/>
          <w:szCs w:val="21"/>
          <w:highlight w:val="none"/>
        </w:rPr>
        <w:t>关于符合本国产品标准的声明函</w:t>
      </w:r>
      <w:r>
        <w:rPr>
          <w:rFonts w:hint="eastAsia" w:ascii="宋体" w:hAnsi="宋体" w:cs="宋体"/>
          <w:sz w:val="24"/>
          <w:highlight w:val="none"/>
        </w:rPr>
        <w:t>（如有）</w:t>
      </w:r>
    </w:p>
    <w:p w14:paraId="590F12A8">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highlight w:val="none"/>
        </w:rPr>
      </w:pPr>
      <w:r>
        <w:rPr>
          <w:rFonts w:hint="eastAsia" w:ascii="宋体" w:hAnsi="宋体" w:cs="宋体"/>
          <w:b/>
          <w:sz w:val="24"/>
          <w:highlight w:val="none"/>
        </w:rPr>
        <w:t>15.2.2技术部分</w:t>
      </w:r>
    </w:p>
    <w:p w14:paraId="3B7914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15.2.2.1投标货物数量、品牌规格、材质、性能、交货期说明表（详见文件格式）；</w:t>
      </w:r>
    </w:p>
    <w:p w14:paraId="68EC81F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15.2.2.2技术要求偏离表（详见文件格式）；</w:t>
      </w:r>
    </w:p>
    <w:p w14:paraId="41C55C7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15.2.2.3商务要求偏离表（详见文件格式）；</w:t>
      </w:r>
    </w:p>
    <w:p w14:paraId="77275F4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15.2.2.4项目的技术及服务方案；</w:t>
      </w:r>
    </w:p>
    <w:p w14:paraId="04A73CC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15.2.2.5项目实施方案和进度方案</w:t>
      </w:r>
    </w:p>
    <w:p w14:paraId="5E9DBF2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15.2.2.6质量保证措施和承诺；</w:t>
      </w:r>
    </w:p>
    <w:p w14:paraId="03B60E2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15.2.2.7售后服务内容；</w:t>
      </w:r>
    </w:p>
    <w:p w14:paraId="7FCCCC6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15.2.2.8投入本项目技术（服务）人员一览表及相关证明材料（详见文件格式）；</w:t>
      </w:r>
    </w:p>
    <w:p w14:paraId="2DBB0B3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15.2.2.9类似项目业绩一览表及相关证明材料（详见文件格式）；</w:t>
      </w:r>
    </w:p>
    <w:p w14:paraId="5E3EA84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15.2.2.10其他投标人认为需要提供的材料；</w:t>
      </w:r>
    </w:p>
    <w:p w14:paraId="6793F97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7EC14162">
      <w:pPr>
        <w:pBdr>
          <w:top w:val="none" w:color="000000" w:sz="0" w:space="0"/>
          <w:left w:val="none" w:color="000000" w:sz="0" w:space="0"/>
          <w:bottom w:val="none" w:color="000000" w:sz="0" w:space="0"/>
          <w:right w:val="none" w:color="000000" w:sz="0" w:space="0"/>
        </w:pBdr>
        <w:spacing w:line="439" w:lineRule="atLeast"/>
        <w:ind w:firstLine="142"/>
        <w:rPr>
          <w:rFonts w:ascii="宋体" w:hAnsi="宋体" w:cs="宋体"/>
          <w:highlight w:val="none"/>
        </w:rPr>
      </w:pPr>
      <w:r>
        <w:rPr>
          <w:rFonts w:hint="eastAsia" w:ascii="宋体" w:hAnsi="宋体" w:cs="宋体"/>
          <w:b/>
          <w:sz w:val="24"/>
          <w:highlight w:val="none"/>
        </w:rPr>
        <w:t>15.3投标文件由15.1、15.2款规定的内容共同组成。</w:t>
      </w:r>
    </w:p>
    <w:p w14:paraId="0A8C1BDB">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16. 投标文件编制要求   </w:t>
      </w:r>
    </w:p>
    <w:p w14:paraId="7D9D57A8">
      <w:pPr>
        <w:pBdr>
          <w:top w:val="none" w:color="000000" w:sz="0" w:space="0"/>
          <w:left w:val="none" w:color="000000" w:sz="0" w:space="0"/>
          <w:bottom w:val="none" w:color="000000" w:sz="0" w:space="0"/>
          <w:right w:val="none" w:color="000000" w:sz="0" w:space="0"/>
        </w:pBdr>
        <w:spacing w:line="439" w:lineRule="atLeast"/>
        <w:ind w:firstLine="424"/>
        <w:rPr>
          <w:rFonts w:ascii="宋体" w:hAnsi="宋体" w:cs="宋体"/>
          <w:b/>
          <w:bCs/>
          <w:sz w:val="24"/>
          <w:highlight w:val="none"/>
        </w:rPr>
      </w:pPr>
      <w:r>
        <w:rPr>
          <w:rFonts w:hint="eastAsia" w:ascii="宋体" w:hAnsi="宋体" w:cs="宋体"/>
          <w:sz w:val="24"/>
          <w:highlight w:val="none"/>
        </w:rPr>
        <w:t>16.1</w:t>
      </w:r>
      <w:r>
        <w:rPr>
          <w:rFonts w:hint="eastAsia" w:ascii="宋体" w:hAnsi="宋体" w:cs="宋体"/>
          <w:b/>
          <w:sz w:val="24"/>
          <w:highlight w:val="none"/>
        </w:rPr>
        <w:t>电子投标文件编制要求：</w:t>
      </w:r>
      <w:r>
        <w:rPr>
          <w:rFonts w:hint="eastAsia" w:ascii="宋体" w:hAnsi="宋体" w:cs="宋体"/>
          <w:sz w:val="24"/>
          <w:highlight w:val="none"/>
        </w:rPr>
        <w:t>投标人应使用</w:t>
      </w:r>
      <w:r>
        <w:rPr>
          <w:rFonts w:hint="eastAsia" w:ascii="宋体" w:hAnsi="宋体" w:cs="宋体"/>
          <w:b/>
          <w:sz w:val="24"/>
          <w:highlight w:val="none"/>
        </w:rPr>
        <w:t>招标文件要求的投标文件制作软件制作电子投标文件</w:t>
      </w:r>
      <w:r>
        <w:rPr>
          <w:rFonts w:hint="eastAsia" w:ascii="宋体" w:hAnsi="宋体" w:cs="宋体"/>
          <w:sz w:val="24"/>
          <w:highlight w:val="none"/>
        </w:rPr>
        <w:t>，电子投标文件按招标文件规定的格式制作，如果未按要求制作上传，可能导致投标无效。</w:t>
      </w:r>
    </w:p>
    <w:p w14:paraId="156CEDAB">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17. 投标报价（编制）要求的说明</w:t>
      </w:r>
    </w:p>
    <w:p w14:paraId="15391DF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3F86E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08656C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17.3 一项投标内容只允许一个报价，采购代理机构不接受任何有选择性的投标报价。</w:t>
      </w:r>
    </w:p>
    <w:p w14:paraId="4BB5A59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17.4投标文件报价中的单价和总价全部采用人民币表示，除非合同的特殊条款另有规定。</w:t>
      </w:r>
    </w:p>
    <w:p w14:paraId="3F837D3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17.5最低的投标报价或最高的折扣比例是中标的重要条件，但不是中标的唯一条件。</w:t>
      </w:r>
    </w:p>
    <w:p w14:paraId="75F54724">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18. 投标保证金</w:t>
      </w:r>
    </w:p>
    <w:p w14:paraId="0EFD2B7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本项目无须缴纳投标保证金</w:t>
      </w:r>
      <w:r>
        <w:rPr>
          <w:rFonts w:hint="eastAsia" w:ascii="宋体" w:hAnsi="宋体" w:cs="宋体"/>
          <w:b/>
          <w:sz w:val="24"/>
          <w:highlight w:val="none"/>
        </w:rPr>
        <w:t>。</w:t>
      </w:r>
    </w:p>
    <w:p w14:paraId="6557CEBB">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19. 投标文件的有效期</w:t>
      </w:r>
    </w:p>
    <w:p w14:paraId="32CEA46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19.1在本招标文件规定的开标之日起九十（90）天内，投标人所提交的投标文件应保持有效。</w:t>
      </w:r>
      <w:r>
        <w:rPr>
          <w:rFonts w:hint="eastAsia" w:ascii="宋体" w:hAnsi="宋体" w:cs="宋体"/>
          <w:b/>
          <w:sz w:val="24"/>
          <w:highlight w:val="none"/>
        </w:rPr>
        <w:t>有效期短于这个规定期限的投标文件，将被认定为未实质性响应招标文件要求。</w:t>
      </w:r>
    </w:p>
    <w:p w14:paraId="1C55D2C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05A54FD0">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五、 投标文件的提交、撤回和修改</w:t>
      </w:r>
    </w:p>
    <w:p w14:paraId="6C53ADC5">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20. 投标文件的上传、提交</w:t>
      </w:r>
    </w:p>
    <w:p w14:paraId="4E3E7B5C">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sz w:val="24"/>
          <w:highlight w:val="none"/>
        </w:rPr>
        <w:t>20.</w:t>
      </w:r>
      <w:r>
        <w:rPr>
          <w:rFonts w:hint="eastAsia" w:ascii="宋体" w:hAnsi="宋体" w:cs="宋体"/>
          <w:b/>
          <w:sz w:val="24"/>
          <w:highlight w:val="none"/>
        </w:rPr>
        <w:t>1投标人应将制作好的加密电子投标文件按要求在投标截止时间前上传到交易系统平台中。</w:t>
      </w:r>
    </w:p>
    <w:p w14:paraId="03DDC53A">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21. 投标截止时间</w:t>
      </w:r>
    </w:p>
    <w:p w14:paraId="22B90AA7">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sz w:val="24"/>
          <w:highlight w:val="none"/>
        </w:rPr>
        <w:t>21.1</w:t>
      </w:r>
      <w:r>
        <w:rPr>
          <w:rFonts w:hint="eastAsia" w:ascii="宋体" w:hAnsi="宋体" w:cs="宋体"/>
          <w:b/>
          <w:sz w:val="24"/>
          <w:highlight w:val="none"/>
        </w:rPr>
        <w:t>电子投标文件必须按招标公告中规定的网上投标截止时间前提交</w:t>
      </w:r>
      <w:r>
        <w:rPr>
          <w:rFonts w:hint="eastAsia" w:ascii="宋体" w:hAnsi="宋体" w:cs="宋体"/>
          <w:sz w:val="24"/>
          <w:highlight w:val="none"/>
        </w:rPr>
        <w:t>，</w:t>
      </w:r>
      <w:r>
        <w:rPr>
          <w:rFonts w:hint="eastAsia" w:ascii="宋体" w:hAnsi="宋体" w:cs="宋体"/>
          <w:b/>
          <w:sz w:val="24"/>
          <w:highlight w:val="none"/>
        </w:rPr>
        <w:t>否则投标无效</w:t>
      </w:r>
      <w:r>
        <w:rPr>
          <w:rFonts w:hint="eastAsia" w:ascii="宋体" w:hAnsi="宋体" w:cs="宋体"/>
          <w:sz w:val="24"/>
          <w:highlight w:val="none"/>
        </w:rPr>
        <w:t>。</w:t>
      </w:r>
    </w:p>
    <w:p w14:paraId="75138BC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21.2采购代理机构推迟投标截止时间时，应以更正公告的形式，通知所有投标人。在这种情况下，采购代理机构和投标人的权利和义务将受到新的截止期的约束。</w:t>
      </w:r>
    </w:p>
    <w:p w14:paraId="5E45D64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21.3在投标截止时间止，采购代理机构于本项目（或标段）收到的电子投标文件少于三份的，采购代理机构有权宣布本项目（或标段）招标失败。</w:t>
      </w:r>
    </w:p>
    <w:p w14:paraId="0F7D2B44">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22. 投标文件的修改和撤回</w:t>
      </w:r>
    </w:p>
    <w:p w14:paraId="6FC75B4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22.1投标人在提交投标文件截止时间前，可对其投标文件进行撤回或修改。</w:t>
      </w:r>
    </w:p>
    <w:p w14:paraId="13AE6AC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23.2开标后投标人不得撤回投标。</w:t>
      </w:r>
    </w:p>
    <w:p w14:paraId="134CAAC9">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六、开标和评标</w:t>
      </w:r>
    </w:p>
    <w:p w14:paraId="68ADD336">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23. 开标</w:t>
      </w:r>
    </w:p>
    <w:p w14:paraId="04C3EE5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23.1采购代理机构按采购公告规定的时间、地点主持不见面开标活动。开标仪式由采购代理机构、采购人等主持。</w:t>
      </w:r>
    </w:p>
    <w:p w14:paraId="5E86262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23.2</w:t>
      </w:r>
      <w:r>
        <w:rPr>
          <w:rFonts w:hint="eastAsia" w:ascii="宋体" w:hAnsi="宋体" w:cs="宋体"/>
          <w:b/>
          <w:sz w:val="24"/>
          <w:highlight w:val="none"/>
        </w:rPr>
        <w:t>参加开标的投标法定代表人或授权代理人须在项目开标前登录苏采云不见面开标系统，进入网上不见面开标大厅，做好相关准备工作。</w:t>
      </w:r>
    </w:p>
    <w:p w14:paraId="6589D5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23.3</w:t>
      </w:r>
      <w:r>
        <w:rPr>
          <w:rFonts w:hint="eastAsia" w:ascii="宋体" w:hAnsi="宋体" w:cs="宋体"/>
          <w:b/>
          <w:sz w:val="24"/>
          <w:highlight w:val="none"/>
        </w:rPr>
        <w:t>本项目开标后在规定的解密时间内，投标人须自行登录网上开标大厅解密投标文件，解密时间为15分钟，因自身原因导致解密失败的，由投标人自行承担相关责任。</w:t>
      </w:r>
    </w:p>
    <w:p w14:paraId="436C3A8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23.4采购代理机构在开标仪式上，将公布投标人的名称、投标价格，并将作唱标记录。</w:t>
      </w:r>
    </w:p>
    <w:p w14:paraId="05D688B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23.5投标人代表对开标过程和开标记录有疑义，以及认为采购人、采购代理机构相关工作人员有需要回避的情形的，</w:t>
      </w:r>
      <w:r>
        <w:rPr>
          <w:rFonts w:hint="eastAsia" w:ascii="宋体" w:hAnsi="宋体" w:cs="宋体"/>
          <w:b/>
          <w:sz w:val="24"/>
          <w:highlight w:val="none"/>
        </w:rPr>
        <w:t>应通过不见面开标大厅提出</w:t>
      </w:r>
      <w:r>
        <w:rPr>
          <w:rFonts w:hint="eastAsia" w:ascii="宋体" w:hAnsi="宋体" w:cs="宋体"/>
          <w:sz w:val="24"/>
          <w:highlight w:val="none"/>
        </w:rPr>
        <w:t>询问或者回避申请。采购人、采购代理机构对投标人代表提出的询问或者回避申请应当及时处理。</w:t>
      </w:r>
    </w:p>
    <w:p w14:paraId="63DC61C7">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24. 评标委员会</w:t>
      </w:r>
    </w:p>
    <w:p w14:paraId="5C275EC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24.1评标委员会由采购人或委托采购代理机构依法组建，负责本项目的评标事务。</w:t>
      </w:r>
    </w:p>
    <w:p w14:paraId="48224A4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24.2评标委员会独立履行下列职责：</w:t>
      </w:r>
    </w:p>
    <w:p w14:paraId="39EBABE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24.2.1审查投标文件是否符合招标文件的要求，并作出评价；</w:t>
      </w:r>
    </w:p>
    <w:p w14:paraId="498DD6C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24.2.2可以要求投标供应商对投标文件有关事项作出解释或澄清；</w:t>
      </w:r>
    </w:p>
    <w:p w14:paraId="01A42C2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24.2.3推荐中标候选供应商名单，或者受采购人委托按照事先确定的办法直接确定中标供应商；</w:t>
      </w:r>
    </w:p>
    <w:p w14:paraId="06BC24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24.2.4向采购代理机构或者有关部门报告非法干预评标工作的行为；</w:t>
      </w:r>
    </w:p>
    <w:p w14:paraId="5017FAF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24.3评标委员会成员应当履行下列义务：</w:t>
      </w:r>
    </w:p>
    <w:p w14:paraId="5D7D30F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24.3.1遵纪守法，客观、公正、廉洁地履行职责；</w:t>
      </w:r>
    </w:p>
    <w:p w14:paraId="030B3BB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24.3.2按照招标文件规定的评标办法和评标标准进行评标，对评审意见承担个人责任；</w:t>
      </w:r>
    </w:p>
    <w:p w14:paraId="39C3EC7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24.3.3对评标过程和结果，以及投标人的商业秘密保密；</w:t>
      </w:r>
    </w:p>
    <w:p w14:paraId="25D211E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24.3.4参与评标报告的起草；</w:t>
      </w:r>
    </w:p>
    <w:p w14:paraId="192D6F6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24.3.5配合采购代理机构答复投标供应商提出的质疑；</w:t>
      </w:r>
    </w:p>
    <w:p w14:paraId="4005049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24.3.6配合相关部门的投诉处理工作；</w:t>
      </w:r>
    </w:p>
    <w:p w14:paraId="73CA33F3">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25. 评标内容的保密</w:t>
      </w:r>
    </w:p>
    <w:p w14:paraId="27BF7E2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25.1公开开标后，直到宣布授予中标供应商合同为止，凡属于审查、澄清、评价和比较投标的所有资料，有关授予合同的信息都不应向投标人或与评标无关的其他人泄露。</w:t>
      </w:r>
    </w:p>
    <w:p w14:paraId="4E51D76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25.2 在投标文件的审查、澄清、评价和比较以及授予合同的过程中，投标人对采购代理机构和评标委员会成员施加影响的任何行为，都将取消其投标资格。</w:t>
      </w:r>
    </w:p>
    <w:p w14:paraId="1776B3C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25.3在评标期间，采购代理机构将通过指定联络人与投标人进行联系。</w:t>
      </w:r>
    </w:p>
    <w:p w14:paraId="55FE3B0E">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26.对投标文件初审</w:t>
      </w:r>
    </w:p>
    <w:p w14:paraId="2360FBD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26.1投标文件初审分为资格性检查和符合性检查。</w:t>
      </w:r>
    </w:p>
    <w:p w14:paraId="1A5785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26.1.1资格性检查。依据法律法规和招标文件的规定，采购人或者采购代理机构依法对投标人的资格进行审查。对投标文件中的资格证明等进行审查，以确定投标供应商是否具备投标资格。</w:t>
      </w:r>
    </w:p>
    <w:p w14:paraId="03FABB7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26.1.2 关于信用记录查询：</w:t>
      </w:r>
    </w:p>
    <w:p w14:paraId="6B40E4E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3C5EDD6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26.1.2.1查询时间：评标开始前</w:t>
      </w:r>
    </w:p>
    <w:p w14:paraId="12A7B6C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26.1.2.2查询渠道：通过“信用中国”网站、中国政府采购网等渠道查询相关主体信用记录。</w:t>
      </w:r>
    </w:p>
    <w:p w14:paraId="29E5696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48A9097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26.1.2.4信用记录使用规则：评审小组在对供应商进行资格性审查时，应根据查询结果对供应商的不良信用记录逐项甄别确认。</w:t>
      </w:r>
    </w:p>
    <w:p w14:paraId="30A86EA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26.1.3符合性检查。依据招标文件的规定，从投标文件的有效性、完整性和对招标文件的响应程度进行审查，以确定是否对招标文件的实质性要求作出响应。</w:t>
      </w:r>
    </w:p>
    <w:p w14:paraId="14C3AC7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4D4721C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26.2.1 不同投标人的投标文件由同一单位或者个人编制；</w:t>
      </w:r>
    </w:p>
    <w:p w14:paraId="425DA64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26.2.2不同投标人委托同一单位或者个人办理投标事宜；</w:t>
      </w:r>
    </w:p>
    <w:p w14:paraId="619E9E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26.2.3不同投标人的投标文件载明的项目管理成员或者联系人员为同一人；</w:t>
      </w:r>
    </w:p>
    <w:p w14:paraId="2409A9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26.2.4不同投标人的投标文件异常一致或者投标报价呈规律性差异；</w:t>
      </w:r>
    </w:p>
    <w:p w14:paraId="248D6B7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26.2.5不同投标人的投标文件相互混装；</w:t>
      </w:r>
    </w:p>
    <w:p w14:paraId="69EDBE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D0A056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3DB52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2091A22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26.6评标委员会将对确定为实质性响应的投标进行审核，看其是否有计算上或累加上的算术错误，修正错误的原则如下：</w:t>
      </w:r>
    </w:p>
    <w:p w14:paraId="4AE2B30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26.6.1投标文件中开标一览表（报价表）内容与投标文件中相应内容不一致的，以开标一览表（报价表）为准；</w:t>
      </w:r>
    </w:p>
    <w:p w14:paraId="224814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26.6.2大写金额和小写金额不一致的，以大写金额为准；</w:t>
      </w:r>
    </w:p>
    <w:p w14:paraId="28DC0E5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26.6.3单价金额小数点或者百分比有明显错位的，以开标一览表的总价为准，并修改单价；</w:t>
      </w:r>
    </w:p>
    <w:p w14:paraId="4A23D83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26.6.4总价金额与按单价汇总金额不一致的，以单价金额计算结果为准。</w:t>
      </w:r>
    </w:p>
    <w:p w14:paraId="24AE5A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同时出现两种以上不一致的，按照前款规定的顺序修正。修正后的报价按照本须知26.6条规定经投标人确认后产生约束力，投标人不确认的，其投标无效。</w:t>
      </w:r>
    </w:p>
    <w:p w14:paraId="380E85D1">
      <w:pPr>
        <w:pStyle w:val="94"/>
        <w:spacing w:line="48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26</w:t>
      </w:r>
      <w:r>
        <w:rPr>
          <w:rFonts w:asciiTheme="minorEastAsia" w:hAnsiTheme="minorEastAsia" w:eastAsiaTheme="minorEastAsia"/>
          <w:b/>
          <w:sz w:val="24"/>
          <w:highlight w:val="none"/>
        </w:rPr>
        <w:t>.</w:t>
      </w:r>
      <w:r>
        <w:rPr>
          <w:rFonts w:hint="eastAsia" w:asciiTheme="minorEastAsia" w:hAnsiTheme="minorEastAsia" w:eastAsiaTheme="minorEastAsia"/>
          <w:b/>
          <w:sz w:val="24"/>
          <w:highlight w:val="none"/>
        </w:rPr>
        <w:t>7</w:t>
      </w:r>
      <w:r>
        <w:rPr>
          <w:rFonts w:hint="eastAsia" w:cs="微软雅黑" w:asciiTheme="minorEastAsia" w:hAnsiTheme="minorEastAsia" w:eastAsiaTheme="minorEastAsia"/>
          <w:b/>
          <w:sz w:val="24"/>
          <w:highlight w:val="none"/>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highlight w:val="none"/>
        </w:rPr>
        <w:t>2026</w:t>
      </w:r>
      <w:r>
        <w:rPr>
          <w:rFonts w:hint="eastAsia" w:cs="微软雅黑" w:asciiTheme="minorEastAsia" w:hAnsiTheme="minorEastAsia" w:eastAsiaTheme="minorEastAsia"/>
          <w:b/>
          <w:sz w:val="24"/>
          <w:highlight w:val="none"/>
        </w:rPr>
        <w:t>〕</w:t>
      </w:r>
      <w:r>
        <w:rPr>
          <w:rFonts w:hint="eastAsia" w:asciiTheme="minorEastAsia" w:hAnsiTheme="minorEastAsia" w:eastAsiaTheme="minorEastAsia"/>
          <w:b/>
          <w:sz w:val="24"/>
          <w:highlight w:val="none"/>
        </w:rPr>
        <w:t>2号</w:t>
      </w:r>
      <w:r>
        <w:rPr>
          <w:rFonts w:hint="eastAsia" w:cs="微软雅黑" w:asciiTheme="minorEastAsia" w:hAnsiTheme="minorEastAsia" w:eastAsiaTheme="minorEastAsia"/>
          <w:b/>
          <w:sz w:val="24"/>
          <w:highlight w:val="none"/>
        </w:rPr>
        <w:t>），应当要求其在不见面开标大厅内合理的时间内提供说明，必要时提交相关证明材料：投标人不能证明其报价合理性的，评标委员会应当将其作为无效投标处理。：</w:t>
      </w:r>
    </w:p>
    <w:p w14:paraId="30A02468">
      <w:pPr>
        <w:pStyle w:val="94"/>
        <w:spacing w:line="480" w:lineRule="exact"/>
        <w:ind w:firstLine="482" w:firstLineChars="200"/>
        <w:rPr>
          <w:rFonts w:asciiTheme="minorEastAsia" w:hAnsiTheme="minorEastAsia" w:eastAsiaTheme="minorEastAsia"/>
          <w:b/>
          <w:sz w:val="24"/>
          <w:highlight w:val="none"/>
        </w:rPr>
      </w:pPr>
      <w:r>
        <w:rPr>
          <w:rFonts w:hint="eastAsia" w:cs="微软雅黑" w:asciiTheme="minorEastAsia" w:hAnsiTheme="minorEastAsia" w:eastAsiaTheme="minorEastAsia"/>
          <w:b/>
          <w:sz w:val="24"/>
          <w:highlight w:val="none"/>
        </w:rPr>
        <w:t>异常低价投标（响应）审查的情形和具体要求如下：</w:t>
      </w:r>
    </w:p>
    <w:p w14:paraId="001EAEDB">
      <w:pPr>
        <w:pStyle w:val="94"/>
        <w:spacing w:line="480" w:lineRule="exact"/>
        <w:ind w:firstLine="482" w:firstLineChars="200"/>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26</w:t>
      </w:r>
      <w:r>
        <w:rPr>
          <w:rFonts w:asciiTheme="minorEastAsia" w:hAnsiTheme="minorEastAsia" w:eastAsiaTheme="minorEastAsia"/>
          <w:b/>
          <w:sz w:val="24"/>
          <w:highlight w:val="none"/>
        </w:rPr>
        <w:t>.</w:t>
      </w:r>
      <w:r>
        <w:rPr>
          <w:rFonts w:hint="eastAsia" w:asciiTheme="minorEastAsia" w:hAnsiTheme="minorEastAsia" w:eastAsiaTheme="minorEastAsia"/>
          <w:b/>
          <w:sz w:val="24"/>
          <w:highlight w:val="none"/>
        </w:rPr>
        <w:t>7.1</w:t>
      </w:r>
      <w:r>
        <w:rPr>
          <w:rFonts w:asciiTheme="minorEastAsia" w:hAnsiTheme="minorEastAsia" w:eastAsiaTheme="minorEastAsia"/>
          <w:b/>
          <w:sz w:val="24"/>
          <w:highlight w:val="none"/>
        </w:rPr>
        <w:t xml:space="preserve"> </w:t>
      </w:r>
      <w:r>
        <w:rPr>
          <w:rFonts w:hint="eastAsia" w:cs="微软雅黑" w:asciiTheme="minorEastAsia" w:hAnsiTheme="minorEastAsia" w:eastAsiaTheme="minorEastAsia"/>
          <w:b/>
          <w:sz w:val="24"/>
          <w:highlight w:val="none"/>
        </w:rPr>
        <w:t>投标（响应）报价低于全部通过符合性审查供应商投标（响应）报价平均值</w:t>
      </w:r>
      <w:r>
        <w:rPr>
          <w:rFonts w:asciiTheme="minorEastAsia" w:hAnsiTheme="minorEastAsia" w:eastAsiaTheme="minorEastAsia"/>
          <w:b/>
          <w:sz w:val="24"/>
          <w:highlight w:val="none"/>
        </w:rPr>
        <w:t>50%</w:t>
      </w:r>
      <w:r>
        <w:rPr>
          <w:rFonts w:hint="eastAsia" w:cs="微软雅黑" w:asciiTheme="minorEastAsia" w:hAnsiTheme="minorEastAsia" w:eastAsiaTheme="minorEastAsia"/>
          <w:b/>
          <w:sz w:val="24"/>
          <w:highlight w:val="none"/>
        </w:rPr>
        <w:t>的，即投标（响应）报价</w:t>
      </w:r>
      <w:r>
        <w:rPr>
          <w:rFonts w:asciiTheme="minorEastAsia" w:hAnsiTheme="minorEastAsia" w:eastAsiaTheme="minorEastAsia"/>
          <w:b/>
          <w:sz w:val="24"/>
          <w:highlight w:val="none"/>
        </w:rPr>
        <w:t>&lt;</w:t>
      </w:r>
      <w:r>
        <w:rPr>
          <w:rFonts w:hint="eastAsia" w:cs="微软雅黑" w:asciiTheme="minorEastAsia" w:hAnsiTheme="minorEastAsia" w:eastAsiaTheme="minorEastAsia"/>
          <w:b/>
          <w:sz w:val="24"/>
          <w:highlight w:val="none"/>
        </w:rPr>
        <w:t>全部通过符合性审查供应商投标（响应）报价平均值</w:t>
      </w:r>
      <w:r>
        <w:rPr>
          <w:rFonts w:asciiTheme="minorEastAsia" w:hAnsiTheme="minorEastAsia" w:eastAsiaTheme="minorEastAsia"/>
          <w:b/>
          <w:sz w:val="24"/>
          <w:highlight w:val="none"/>
        </w:rPr>
        <w:t>×50%</w:t>
      </w:r>
      <w:r>
        <w:rPr>
          <w:rFonts w:hint="eastAsia" w:cs="微软雅黑" w:asciiTheme="minorEastAsia" w:hAnsiTheme="minorEastAsia" w:eastAsiaTheme="minorEastAsia"/>
          <w:b/>
          <w:sz w:val="24"/>
          <w:highlight w:val="none"/>
        </w:rPr>
        <w:t>；</w:t>
      </w:r>
    </w:p>
    <w:p w14:paraId="148013CB">
      <w:pPr>
        <w:pStyle w:val="94"/>
        <w:spacing w:line="480" w:lineRule="exact"/>
        <w:ind w:firstLine="482" w:firstLineChars="200"/>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26</w:t>
      </w:r>
      <w:r>
        <w:rPr>
          <w:rFonts w:asciiTheme="minorEastAsia" w:hAnsiTheme="minorEastAsia" w:eastAsiaTheme="minorEastAsia"/>
          <w:b/>
          <w:sz w:val="24"/>
          <w:highlight w:val="none"/>
        </w:rPr>
        <w:t>.</w:t>
      </w:r>
      <w:r>
        <w:rPr>
          <w:rFonts w:hint="eastAsia" w:asciiTheme="minorEastAsia" w:hAnsiTheme="minorEastAsia" w:eastAsiaTheme="minorEastAsia"/>
          <w:b/>
          <w:sz w:val="24"/>
          <w:highlight w:val="none"/>
        </w:rPr>
        <w:t>7</w:t>
      </w:r>
      <w:r>
        <w:rPr>
          <w:rFonts w:asciiTheme="minorEastAsia" w:hAnsiTheme="minorEastAsia" w:eastAsiaTheme="minorEastAsia"/>
          <w:b/>
          <w:sz w:val="24"/>
          <w:highlight w:val="none"/>
        </w:rPr>
        <w:t xml:space="preserve">.2 </w:t>
      </w:r>
      <w:r>
        <w:rPr>
          <w:rFonts w:hint="eastAsia" w:cs="微软雅黑" w:asciiTheme="minorEastAsia" w:hAnsiTheme="minorEastAsia" w:eastAsiaTheme="minorEastAsia"/>
          <w:b/>
          <w:sz w:val="24"/>
          <w:highlight w:val="none"/>
        </w:rPr>
        <w:t>投标（响应）报价低于通过符合性审查的次低报价供应商投标（响应）报价</w:t>
      </w:r>
      <w:r>
        <w:rPr>
          <w:rFonts w:asciiTheme="minorEastAsia" w:hAnsiTheme="minorEastAsia" w:eastAsiaTheme="minorEastAsia"/>
          <w:b/>
          <w:sz w:val="24"/>
          <w:highlight w:val="none"/>
        </w:rPr>
        <w:t>50%</w:t>
      </w:r>
      <w:r>
        <w:rPr>
          <w:rFonts w:hint="eastAsia" w:cs="微软雅黑" w:asciiTheme="minorEastAsia" w:hAnsiTheme="minorEastAsia" w:eastAsiaTheme="minorEastAsia"/>
          <w:b/>
          <w:sz w:val="24"/>
          <w:highlight w:val="none"/>
        </w:rPr>
        <w:t>的，即投标（响应）报价</w:t>
      </w:r>
      <w:r>
        <w:rPr>
          <w:rFonts w:asciiTheme="minorEastAsia" w:hAnsiTheme="minorEastAsia" w:eastAsiaTheme="minorEastAsia"/>
          <w:b/>
          <w:sz w:val="24"/>
          <w:highlight w:val="none"/>
        </w:rPr>
        <w:t>&lt;</w:t>
      </w:r>
      <w:r>
        <w:rPr>
          <w:rFonts w:hint="eastAsia" w:cs="微软雅黑" w:asciiTheme="minorEastAsia" w:hAnsiTheme="minorEastAsia" w:eastAsiaTheme="minorEastAsia"/>
          <w:b/>
          <w:sz w:val="24"/>
          <w:highlight w:val="none"/>
        </w:rPr>
        <w:t>通过符合性审查的次低报价供应商投标（响应）报价</w:t>
      </w:r>
      <w:r>
        <w:rPr>
          <w:rFonts w:asciiTheme="minorEastAsia" w:hAnsiTheme="minorEastAsia" w:eastAsiaTheme="minorEastAsia"/>
          <w:b/>
          <w:sz w:val="24"/>
          <w:highlight w:val="none"/>
        </w:rPr>
        <w:t>×50%</w:t>
      </w:r>
      <w:r>
        <w:rPr>
          <w:rFonts w:hint="eastAsia" w:cs="微软雅黑" w:asciiTheme="minorEastAsia" w:hAnsiTheme="minorEastAsia" w:eastAsiaTheme="minorEastAsia"/>
          <w:b/>
          <w:sz w:val="24"/>
          <w:highlight w:val="none"/>
        </w:rPr>
        <w:t>；</w:t>
      </w:r>
    </w:p>
    <w:p w14:paraId="53DDE35A">
      <w:pPr>
        <w:pStyle w:val="94"/>
        <w:spacing w:line="480" w:lineRule="exact"/>
        <w:ind w:firstLine="482" w:firstLineChars="200"/>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26</w:t>
      </w:r>
      <w:r>
        <w:rPr>
          <w:rFonts w:asciiTheme="minorEastAsia" w:hAnsiTheme="minorEastAsia" w:eastAsiaTheme="minorEastAsia"/>
          <w:b/>
          <w:sz w:val="24"/>
          <w:highlight w:val="none"/>
        </w:rPr>
        <w:t>.</w:t>
      </w:r>
      <w:r>
        <w:rPr>
          <w:rFonts w:hint="eastAsia" w:asciiTheme="minorEastAsia" w:hAnsiTheme="minorEastAsia" w:eastAsiaTheme="minorEastAsia"/>
          <w:b/>
          <w:sz w:val="24"/>
          <w:highlight w:val="none"/>
        </w:rPr>
        <w:t>7</w:t>
      </w:r>
      <w:r>
        <w:rPr>
          <w:rFonts w:asciiTheme="minorEastAsia" w:hAnsiTheme="minorEastAsia" w:eastAsiaTheme="minorEastAsia"/>
          <w:b/>
          <w:sz w:val="24"/>
          <w:highlight w:val="none"/>
        </w:rPr>
        <w:t xml:space="preserve">.3 </w:t>
      </w:r>
      <w:r>
        <w:rPr>
          <w:rFonts w:hint="eastAsia" w:cs="微软雅黑" w:asciiTheme="minorEastAsia" w:hAnsiTheme="minorEastAsia" w:eastAsiaTheme="minorEastAsia"/>
          <w:b/>
          <w:sz w:val="24"/>
          <w:highlight w:val="none"/>
        </w:rPr>
        <w:t>投标（响应）报价低于采购项目最高限价</w:t>
      </w:r>
      <w:r>
        <w:rPr>
          <w:rFonts w:asciiTheme="minorEastAsia" w:hAnsiTheme="minorEastAsia" w:eastAsiaTheme="minorEastAsia"/>
          <w:b/>
          <w:sz w:val="24"/>
          <w:highlight w:val="none"/>
        </w:rPr>
        <w:t>45%</w:t>
      </w:r>
      <w:r>
        <w:rPr>
          <w:rFonts w:hint="eastAsia" w:cs="微软雅黑" w:asciiTheme="minorEastAsia" w:hAnsiTheme="minorEastAsia" w:eastAsiaTheme="minorEastAsia"/>
          <w:b/>
          <w:sz w:val="24"/>
          <w:highlight w:val="none"/>
        </w:rPr>
        <w:t>的，即投标（响应）报价</w:t>
      </w:r>
      <w:r>
        <w:rPr>
          <w:rFonts w:asciiTheme="minorEastAsia" w:hAnsiTheme="minorEastAsia" w:eastAsiaTheme="minorEastAsia"/>
          <w:b/>
          <w:sz w:val="24"/>
          <w:highlight w:val="none"/>
        </w:rPr>
        <w:t>&lt;</w:t>
      </w:r>
      <w:r>
        <w:rPr>
          <w:rFonts w:hint="eastAsia" w:cs="微软雅黑" w:asciiTheme="minorEastAsia" w:hAnsiTheme="minorEastAsia" w:eastAsiaTheme="minorEastAsia"/>
          <w:b/>
          <w:sz w:val="24"/>
          <w:highlight w:val="none"/>
        </w:rPr>
        <w:t>采购项目最高限价</w:t>
      </w:r>
      <w:r>
        <w:rPr>
          <w:rFonts w:asciiTheme="minorEastAsia" w:hAnsiTheme="minorEastAsia" w:eastAsiaTheme="minorEastAsia"/>
          <w:b/>
          <w:sz w:val="24"/>
          <w:highlight w:val="none"/>
        </w:rPr>
        <w:t>×45%</w:t>
      </w:r>
      <w:r>
        <w:rPr>
          <w:rFonts w:hint="eastAsia" w:cs="微软雅黑" w:asciiTheme="minorEastAsia" w:hAnsiTheme="minorEastAsia" w:eastAsiaTheme="minorEastAsia"/>
          <w:b/>
          <w:sz w:val="24"/>
          <w:highlight w:val="none"/>
        </w:rPr>
        <w:t>；</w:t>
      </w:r>
    </w:p>
    <w:p w14:paraId="21FBF14C">
      <w:pPr>
        <w:pStyle w:val="94"/>
        <w:spacing w:line="480" w:lineRule="exact"/>
        <w:ind w:firstLine="482" w:firstLineChars="200"/>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26</w:t>
      </w:r>
      <w:r>
        <w:rPr>
          <w:rFonts w:asciiTheme="minorEastAsia" w:hAnsiTheme="minorEastAsia" w:eastAsiaTheme="minorEastAsia"/>
          <w:b/>
          <w:sz w:val="24"/>
          <w:highlight w:val="none"/>
        </w:rPr>
        <w:t>.</w:t>
      </w:r>
      <w:r>
        <w:rPr>
          <w:rFonts w:hint="eastAsia" w:asciiTheme="minorEastAsia" w:hAnsiTheme="minorEastAsia" w:eastAsiaTheme="minorEastAsia"/>
          <w:b/>
          <w:sz w:val="24"/>
          <w:highlight w:val="none"/>
        </w:rPr>
        <w:t>7</w:t>
      </w:r>
      <w:r>
        <w:rPr>
          <w:rFonts w:asciiTheme="minorEastAsia" w:hAnsiTheme="minorEastAsia" w:eastAsiaTheme="minorEastAsia"/>
          <w:b/>
          <w:sz w:val="24"/>
          <w:highlight w:val="none"/>
        </w:rPr>
        <w:t xml:space="preserve">.4 </w:t>
      </w:r>
      <w:r>
        <w:rPr>
          <w:rFonts w:hint="eastAsia" w:cs="微软雅黑" w:asciiTheme="minorEastAsia" w:hAnsiTheme="minorEastAsia" w:eastAsiaTheme="minorEastAsia"/>
          <w:b/>
          <w:sz w:val="24"/>
          <w:highlight w:val="none"/>
        </w:rPr>
        <w:t>评审委员会基于专业判断，认为供应商报价过低，有可能影响产品质量或者不能诚信履约的其他情形。</w:t>
      </w:r>
    </w:p>
    <w:p w14:paraId="109AD287">
      <w:pPr>
        <w:pStyle w:val="94"/>
        <w:spacing w:line="48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26.8</w:t>
      </w:r>
      <w:r>
        <w:rPr>
          <w:rFonts w:asciiTheme="minorEastAsia" w:hAnsiTheme="minorEastAsia" w:eastAsiaTheme="minorEastAsia"/>
          <w:b/>
          <w:sz w:val="24"/>
          <w:highlight w:val="none"/>
        </w:rPr>
        <w:t xml:space="preserve"> </w:t>
      </w:r>
      <w:r>
        <w:rPr>
          <w:rFonts w:hint="eastAsia" w:ascii="宋体" w:hAnsi="宋体" w:cs="宋体"/>
          <w:b/>
          <w:bCs/>
          <w:sz w:val="24"/>
          <w:highlight w:val="none"/>
        </w:rPr>
        <w:t>评审委员会启动异常低价投标（响应）审查后，属于前述第</w:t>
      </w:r>
      <w:r>
        <w:rPr>
          <w:rFonts w:ascii="宋体" w:hAnsi="宋体" w:cs="宋体"/>
          <w:b/>
          <w:bCs/>
          <w:sz w:val="24"/>
          <w:highlight w:val="none"/>
        </w:rPr>
        <w:t>1</w:t>
      </w:r>
      <w:r>
        <w:rPr>
          <w:rFonts w:hint="eastAsia" w:ascii="宋体" w:hAnsi="宋体" w:cs="宋体"/>
          <w:b/>
          <w:bCs/>
          <w:sz w:val="24"/>
          <w:highlight w:val="none"/>
        </w:rPr>
        <w:t>项至第</w:t>
      </w:r>
      <w:r>
        <w:rPr>
          <w:rFonts w:ascii="宋体" w:hAnsi="宋体" w:cs="宋体"/>
          <w:b/>
          <w:bCs/>
          <w:sz w:val="24"/>
          <w:highlight w:val="none"/>
        </w:rPr>
        <w:t>4</w:t>
      </w:r>
      <w:r>
        <w:rPr>
          <w:rFonts w:hint="eastAsia" w:ascii="宋体" w:hAnsi="宋体" w:cs="宋体"/>
          <w:b/>
          <w:bCs/>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rPr>
        <w:t>30</w:t>
      </w:r>
      <w:r>
        <w:rPr>
          <w:rFonts w:hint="eastAsia" w:ascii="宋体" w:hAnsi="宋体" w:cs="宋体"/>
          <w:b/>
          <w:bCs/>
          <w:sz w:val="24"/>
          <w:highlight w:val="none"/>
        </w:rPr>
        <w:t>分钟。其中，属于第</w:t>
      </w:r>
      <w:r>
        <w:rPr>
          <w:rFonts w:ascii="宋体" w:hAnsi="宋体" w:cs="宋体"/>
          <w:b/>
          <w:bCs/>
          <w:sz w:val="24"/>
          <w:highlight w:val="none"/>
        </w:rPr>
        <w:t>3</w:t>
      </w:r>
      <w:r>
        <w:rPr>
          <w:rFonts w:hint="eastAsia" w:ascii="宋体" w:hAnsi="宋体" w:cs="宋体"/>
          <w:b/>
          <w:bCs/>
          <w:sz w:val="24"/>
          <w:highlight w:val="none"/>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highlight w:val="none"/>
        </w:rPr>
        <w:t>。</w:t>
      </w:r>
      <w:r>
        <w:rPr>
          <w:rFonts w:asciiTheme="minorEastAsia" w:hAnsiTheme="minorEastAsia" w:eastAsiaTheme="minorEastAsia"/>
          <w:b/>
          <w:sz w:val="24"/>
          <w:highlight w:val="none"/>
        </w:rPr>
        <w:br w:type="textWrapping"/>
      </w:r>
      <w:r>
        <w:rPr>
          <w:rFonts w:hint="eastAsia" w:asciiTheme="minorEastAsia" w:hAnsiTheme="minorEastAsia" w:eastAsiaTheme="minorEastAsia"/>
          <w:b/>
          <w:sz w:val="24"/>
          <w:highlight w:val="none"/>
        </w:rPr>
        <w:t xml:space="preserve">    26.</w:t>
      </w:r>
      <w:r>
        <w:rPr>
          <w:rFonts w:asciiTheme="minorEastAsia" w:hAnsiTheme="minorEastAsia" w:eastAsiaTheme="minorEastAsia"/>
          <w:b/>
          <w:sz w:val="24"/>
          <w:highlight w:val="none"/>
        </w:rPr>
        <w:t xml:space="preserve">9 </w:t>
      </w:r>
      <w:r>
        <w:rPr>
          <w:rFonts w:hint="eastAsia" w:ascii="宋体" w:hAnsi="宋体" w:cs="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FC12B6">
      <w:pPr>
        <w:pStyle w:val="94"/>
        <w:spacing w:line="48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26.1</w:t>
      </w:r>
      <w:r>
        <w:rPr>
          <w:rFonts w:asciiTheme="minorEastAsia" w:hAnsiTheme="minorEastAsia" w:eastAsiaTheme="minorEastAsia"/>
          <w:sz w:val="24"/>
          <w:highlight w:val="none"/>
        </w:rPr>
        <w:t xml:space="preserve">0 </w:t>
      </w:r>
      <w:r>
        <w:rPr>
          <w:rFonts w:hint="eastAsia" w:cs="微软雅黑" w:asciiTheme="minorEastAsia" w:hAnsiTheme="minorEastAsia" w:eastAsiaTheme="minorEastAsia"/>
          <w:sz w:val="24"/>
          <w:highlight w:val="none"/>
        </w:rPr>
        <w:t>评标委员会对投标文件的判定，只依据投标内容本身，不依靠开标后的任何外来证明。</w:t>
      </w:r>
    </w:p>
    <w:p w14:paraId="61542102">
      <w:pPr>
        <w:pStyle w:val="94"/>
        <w:spacing w:line="480" w:lineRule="exact"/>
        <w:ind w:firstLine="480" w:firstLineChars="200"/>
        <w:rPr>
          <w:rFonts w:ascii="宋体" w:hAnsi="宋体" w:cs="宋体"/>
          <w:highlight w:val="none"/>
        </w:rPr>
      </w:pPr>
      <w:r>
        <w:rPr>
          <w:rFonts w:hint="eastAsia" w:asciiTheme="minorEastAsia" w:hAnsiTheme="minorEastAsia" w:eastAsiaTheme="minorEastAsia"/>
          <w:sz w:val="24"/>
          <w:highlight w:val="none"/>
        </w:rPr>
        <w:t>26.1</w:t>
      </w:r>
      <w:r>
        <w:rPr>
          <w:rFonts w:asciiTheme="minorEastAsia" w:hAnsiTheme="minorEastAsia" w:eastAsiaTheme="minorEastAsia"/>
          <w:sz w:val="24"/>
          <w:highlight w:val="none"/>
        </w:rPr>
        <w:t xml:space="preserve">1 </w:t>
      </w:r>
      <w:r>
        <w:rPr>
          <w:rFonts w:hint="eastAsia" w:cs="微软雅黑" w:asciiTheme="minorEastAsia" w:hAnsiTheme="minorEastAsia" w:eastAsiaTheme="minorEastAsia"/>
          <w:sz w:val="24"/>
          <w:highlight w:val="none"/>
        </w:rPr>
        <w:t>评标委员会将拒绝被确定为非实质性响应的投标，投标人不能通过修正或撤销不符之处而使其投标成为实质性响应的投标。</w:t>
      </w:r>
    </w:p>
    <w:p w14:paraId="6C5625C1">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27.投标的澄清</w:t>
      </w:r>
    </w:p>
    <w:p w14:paraId="639A4AA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01C37850">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28.无效投标和废标</w:t>
      </w:r>
    </w:p>
    <w:p w14:paraId="5C60F60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28.1无效投标的具体情形有：  </w:t>
      </w:r>
    </w:p>
    <w:p w14:paraId="484162C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28.1.1投标文件未按招标文件要求签署、盖章或电子签章的；</w:t>
      </w:r>
    </w:p>
    <w:p w14:paraId="31B074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28.1.2不具备招标文件中规定的资格要求的；</w:t>
      </w:r>
    </w:p>
    <w:p w14:paraId="56DF9CA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28.1.3报价超过招标文件中规定的预算金额或者最高限价的；</w:t>
      </w:r>
    </w:p>
    <w:p w14:paraId="1F5C18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28.1.4</w:t>
      </w:r>
      <w:r>
        <w:rPr>
          <w:rFonts w:hint="eastAsia" w:ascii="宋体" w:hAnsi="宋体" w:cs="宋体"/>
          <w:b/>
          <w:sz w:val="24"/>
          <w:highlight w:val="none"/>
        </w:rPr>
        <w:t>不同投标人的投标文件使用同一台电脑编制的；</w:t>
      </w:r>
    </w:p>
    <w:p w14:paraId="3C2F5CE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28.1.5投标文件含有采购人不能接受的附加条件的；</w:t>
      </w:r>
    </w:p>
    <w:p w14:paraId="5CAA390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28.1.6法律、法规和招标文件规定的其他无效情形。</w:t>
      </w:r>
    </w:p>
    <w:p w14:paraId="7E79E11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28.2 在招标采购中，出现下列情形之一的，应予废标：</w:t>
      </w:r>
    </w:p>
    <w:p w14:paraId="11EF82B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28.2.1符合专业条件的供应商或者对招标文件作实质响应的供应商不足三家的；</w:t>
      </w:r>
    </w:p>
    <w:p w14:paraId="5CE32F6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28.2.2出现影响采购公正的违法、违规行为的；</w:t>
      </w:r>
    </w:p>
    <w:p w14:paraId="408257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28.2.3投标人的报价均超过了采购预算，采购人不能支付的；</w:t>
      </w:r>
    </w:p>
    <w:p w14:paraId="6C7C9F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28.2.4因重大变故，采购任务取消的。</w:t>
      </w:r>
    </w:p>
    <w:p w14:paraId="125463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28.3 废标后，采购人应当将废标理由通知所有投标人。</w:t>
      </w:r>
    </w:p>
    <w:p w14:paraId="11A45F98">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29. 投标文件的评价和比较</w:t>
      </w:r>
    </w:p>
    <w:p w14:paraId="03C39E5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29.1评标委员会按招标文件规定的评标方法和标准，仅对资格性检查和符合性检查合格的投标文件进行商务和技术评估，综合比较与评价。</w:t>
      </w:r>
    </w:p>
    <w:p w14:paraId="5BB8544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1A67BFE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29.2.1服务的质量保证（保障）内容；</w:t>
      </w:r>
    </w:p>
    <w:p w14:paraId="0EBB789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29.2.2服务配备的人员；</w:t>
      </w:r>
    </w:p>
    <w:p w14:paraId="7754A0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29.2.3投标者的资信情况和履约能力；</w:t>
      </w:r>
    </w:p>
    <w:p w14:paraId="14D7075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29.2.4投标者提供的其他优惠条件；</w:t>
      </w:r>
    </w:p>
    <w:p w14:paraId="00A3DD7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29.2.5参与本项目政府采购工作的态度及信誉；</w:t>
      </w:r>
    </w:p>
    <w:p w14:paraId="0E069EC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29.2.6最低的投标报价或最高的折扣比例是中标的重要条件，但不是唯一条件。</w:t>
      </w:r>
    </w:p>
    <w:p w14:paraId="46DD5778">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七、授予合同</w:t>
      </w:r>
    </w:p>
    <w:p w14:paraId="2AE41FB3">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30. 中标供应商的确认          </w:t>
      </w:r>
    </w:p>
    <w:p w14:paraId="451F063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30.1评标委员会按招标文件规定的评标方法和标准进行详细评审后，按采购人的委托向采购人推荐中标候选单位或根据采购人授权直接确定中标供应商。</w:t>
      </w:r>
    </w:p>
    <w:p w14:paraId="516EC1C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30.2经评标委员会评审并确定中标供应商后，采购人或授权采购代理机构将在规定的时间内将中标结果在相关媒体上予以公告。</w:t>
      </w:r>
    </w:p>
    <w:p w14:paraId="77B973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BA1D04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30.4质疑函递交地点及联系方式详见公告内容</w:t>
      </w:r>
    </w:p>
    <w:p w14:paraId="313F719E">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31. 合同授予标准</w:t>
      </w:r>
    </w:p>
    <w:p w14:paraId="1509D17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31.1采购人将把合同授予其投标文件在实质上响应招标文件要求和按本须知规定评选出的投标人。确定为中标的投标人必须具有实施本合同的能力和资源。</w:t>
      </w:r>
    </w:p>
    <w:p w14:paraId="05BDDB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254AA15">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32. 中标通知书</w:t>
      </w:r>
    </w:p>
    <w:p w14:paraId="7584488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0C518B2B">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highlight w:val="none"/>
        </w:rPr>
      </w:pPr>
      <w:r>
        <w:rPr>
          <w:rFonts w:hint="eastAsia" w:ascii="宋体" w:hAnsi="宋体" w:cs="宋体"/>
          <w:b/>
          <w:sz w:val="24"/>
          <w:highlight w:val="none"/>
        </w:rPr>
        <w:t>32.2中标通知书在中标公告发布后将发布在苏采云系统中，中标通知书发布之日视为中标供应商领取之日，中标供应商在中标结果公告届满之日起30日内自行在苏采云系统中下载打印。</w:t>
      </w:r>
    </w:p>
    <w:p w14:paraId="3E758B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b/>
          <w:sz w:val="24"/>
          <w:highlight w:val="none"/>
        </w:rPr>
        <w:t>32.3</w:t>
      </w:r>
      <w:r>
        <w:rPr>
          <w:rFonts w:hint="eastAsia" w:ascii="宋体" w:hAnsi="宋体" w:cs="宋体"/>
          <w:sz w:val="24"/>
          <w:highlight w:val="none"/>
        </w:rPr>
        <w:t>因系统存储空间有限，自中标结果公告届满之日起30日后，“苏采云”系统不再保证提供下载中标通知书服务,因未及时下载而造成的不利后果由中标供应商自行承担。</w:t>
      </w:r>
    </w:p>
    <w:p w14:paraId="2BF52DA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32.4中标通知书将成为合同的组成部分。</w:t>
      </w:r>
    </w:p>
    <w:p w14:paraId="1A9B8BF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32.5采购代理机构对未中标供应商不承担解释未中标原因的义务。</w:t>
      </w:r>
    </w:p>
    <w:p w14:paraId="75C6EC2A">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33.履约保证金</w:t>
      </w:r>
    </w:p>
    <w:p w14:paraId="5C0D58D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33.1中标供应商按合同约定要求提交履约保证金。</w:t>
      </w:r>
    </w:p>
    <w:p w14:paraId="73586CA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33.2履约保证金用以约束供应商在合同履行中的行为，弥补合同执行中由于自身行为可能给采购人带来的各种损失。</w:t>
      </w:r>
    </w:p>
    <w:p w14:paraId="42E018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highlight w:val="none"/>
        </w:rPr>
      </w:pPr>
      <w:r>
        <w:rPr>
          <w:rFonts w:hint="eastAsia" w:ascii="宋体" w:hAnsi="宋体" w:cs="宋体"/>
          <w:sz w:val="24"/>
          <w:highlight w:val="none"/>
        </w:rPr>
        <w:t>33.3履约保证金（无息）将在中标供应商合同履行完毕且质保期满后，采购人在五个工作日内退返中标供应商。</w:t>
      </w:r>
    </w:p>
    <w:p w14:paraId="732C389B">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sz w:val="24"/>
          <w:highlight w:val="none"/>
        </w:rPr>
      </w:pPr>
      <w:r>
        <w:rPr>
          <w:rFonts w:hint="eastAsia" w:ascii="宋体" w:hAnsi="宋体" w:cs="宋体"/>
          <w:bCs/>
          <w:sz w:val="24"/>
          <w:highlight w:val="none"/>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222D169">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34. 合同的签订</w:t>
      </w:r>
    </w:p>
    <w:p w14:paraId="05A3278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5F34EDF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34.2中标供应商应按中标通知书中中规定，由法定代表人或授权代理人与采购人代表签订合同，否则按放弃中标权处理。</w:t>
      </w:r>
    </w:p>
    <w:p w14:paraId="38C4B98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34.3签订合同及合同条款应以招标文件和中标供应商的投标文件及其澄清文件为依据。</w:t>
      </w:r>
    </w:p>
    <w:p w14:paraId="284B533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34.4中标人无正当理由拒签合同的，或在签订合同时向采购人提出附加条件或者更改合同实质性内容的，采购人可取消其中标资格，同时由中标人承担相应的法律责任。</w:t>
      </w:r>
    </w:p>
    <w:p w14:paraId="6CFA20B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65C147B">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八、政府采购相关政策</w:t>
      </w:r>
    </w:p>
    <w:p w14:paraId="65CF5FA3">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b/>
          <w:sz w:val="24"/>
          <w:highlight w:val="none"/>
        </w:rPr>
        <w:t>35.节能产品和环境标志产品</w:t>
      </w:r>
    </w:p>
    <w:p w14:paraId="7F8D492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6572E94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sz w:val="24"/>
          <w:highlight w:val="none"/>
        </w:rPr>
      </w:pPr>
      <w:r>
        <w:rPr>
          <w:rFonts w:hint="eastAsia" w:ascii="宋体" w:hAnsi="宋体" w:cs="宋体"/>
          <w:sz w:val="24"/>
          <w:highlight w:val="none"/>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40E7C85">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sz w:val="24"/>
          <w:highlight w:val="none"/>
        </w:rPr>
      </w:pPr>
      <w:r>
        <w:rPr>
          <w:rFonts w:hint="eastAsia" w:ascii="宋体" w:hAnsi="宋体" w:cs="宋体"/>
          <w:sz w:val="24"/>
          <w:highlight w:val="none"/>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highlight w:val="none"/>
        </w:rPr>
        <w:t>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p>
    <w:p w14:paraId="5728161A">
      <w:pPr>
        <w:widowControl/>
        <w:pBdr>
          <w:top w:val="none" w:color="000000" w:sz="0" w:space="0"/>
          <w:left w:val="none" w:color="000000" w:sz="0" w:space="0"/>
          <w:bottom w:val="none" w:color="000000" w:sz="0" w:space="0"/>
          <w:right w:val="none" w:color="000000" w:sz="0" w:space="0"/>
        </w:pBdr>
        <w:spacing w:line="460" w:lineRule="exact"/>
        <w:rPr>
          <w:rFonts w:cs="宋体" w:asciiTheme="minorEastAsia" w:hAnsiTheme="minorEastAsia"/>
          <w:bCs/>
          <w:color w:val="000000"/>
          <w:sz w:val="24"/>
          <w:highlight w:val="none"/>
        </w:rPr>
      </w:pPr>
      <w:r>
        <w:rPr>
          <w:rFonts w:hint="eastAsia" w:ascii="宋体" w:hAnsi="宋体" w:cs="宋体"/>
          <w:b/>
          <w:bCs/>
          <w:sz w:val="24"/>
          <w:highlight w:val="none"/>
        </w:rPr>
        <w:t>36.中小企业相关政策：</w:t>
      </w:r>
      <w:r>
        <w:rPr>
          <w:rFonts w:hint="eastAsia" w:ascii="宋体" w:hAnsi="宋体" w:cs="宋体"/>
          <w:sz w:val="24"/>
          <w:highlight w:val="none"/>
        </w:rPr>
        <w:br w:type="textWrapping" w:clear="all"/>
      </w:r>
      <w:r>
        <w:rPr>
          <w:rFonts w:hint="eastAsia" w:cs="宋体" w:asciiTheme="minorEastAsia" w:hAnsiTheme="minorEastAsia"/>
          <w:bCs/>
          <w:color w:val="000000"/>
          <w:sz w:val="24"/>
          <w:highlight w:val="none"/>
        </w:rPr>
        <w:t>36.1</w:t>
      </w:r>
      <w:r>
        <w:rPr>
          <w:rFonts w:hint="eastAsia" w:cs="仿宋" w:asciiTheme="minorEastAsia" w:hAnsiTheme="minorEastAsia"/>
          <w:color w:val="000000"/>
          <w:sz w:val="24"/>
          <w:highlight w:val="none"/>
        </w:rPr>
        <w:t>根据《政府采购促进中小企业发展管理办法》（财库﹝</w:t>
      </w:r>
      <w:r>
        <w:rPr>
          <w:rFonts w:cs="仿宋" w:asciiTheme="minorEastAsia" w:hAnsiTheme="minorEastAsia"/>
          <w:color w:val="000000"/>
          <w:sz w:val="24"/>
          <w:highlight w:val="none"/>
        </w:rPr>
        <w:t>2020﹞46号）</w:t>
      </w:r>
      <w:r>
        <w:rPr>
          <w:rFonts w:hint="eastAsia" w:cs="仿宋" w:asciiTheme="minorEastAsia" w:hAnsiTheme="minorEastAsia"/>
          <w:color w:val="000000"/>
          <w:sz w:val="24"/>
          <w:highlight w:val="none"/>
        </w:rPr>
        <w:t>规定，</w:t>
      </w:r>
      <w:r>
        <w:rPr>
          <w:rFonts w:cs="仿宋" w:asciiTheme="minorEastAsia" w:hAnsiTheme="minorEastAsia"/>
          <w:color w:val="000000"/>
          <w:sz w:val="24"/>
          <w:highlight w:val="none"/>
        </w:rPr>
        <w:t>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sz w:val="24"/>
          <w:highlight w:val="none"/>
        </w:rPr>
        <w:t>但与大企业的负责人为同一人，或者与大企业存在直接控股、管理关系的除外</w:t>
      </w:r>
      <w:r>
        <w:rPr>
          <w:rFonts w:cs="仿宋" w:asciiTheme="minorEastAsia" w:hAnsiTheme="minorEastAsia"/>
          <w:color w:val="000000"/>
          <w:sz w:val="24"/>
          <w:highlight w:val="none"/>
        </w:rPr>
        <w:t>。符合中小企业划分标准的个体工商户，</w:t>
      </w:r>
      <w:r>
        <w:rPr>
          <w:rFonts w:cs="仿宋" w:asciiTheme="minorEastAsia" w:hAnsiTheme="minorEastAsia"/>
          <w:sz w:val="24"/>
          <w:highlight w:val="none"/>
        </w:rPr>
        <w:t>在政府采购活动中视同中小企业。</w:t>
      </w:r>
    </w:p>
    <w:p w14:paraId="0ADC04D7">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1</w:t>
      </w:r>
      <w:r>
        <w:rPr>
          <w:rFonts w:cs="仿宋" w:asciiTheme="minorEastAsia" w:hAnsiTheme="minorEastAsia"/>
          <w:sz w:val="24"/>
          <w:highlight w:val="none"/>
        </w:rPr>
        <w:t>）在货物采购项目中，货物由小、微企业制造，即货物由小、微企业生产且使用该小、微企业商号或者注册商标。对其报价给予20%的扣除，扣除后的价格参与价格评审。</w:t>
      </w:r>
    </w:p>
    <w:p w14:paraId="7F2BFCB3">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2</w:t>
      </w:r>
      <w:r>
        <w:rPr>
          <w:rFonts w:cs="仿宋" w:asciiTheme="minorEastAsia" w:hAnsiTheme="minorEastAsia"/>
          <w:sz w:val="24"/>
          <w:highlight w:val="none"/>
        </w:rPr>
        <w:t>）在服务采购项目中，服务由小、微企业承接，即提供服务的人员为小、微企业依照《中华人民共和国劳动合同法》订立劳动合同的从业人员。对其报价给予20%的扣除，扣除后的价格参与价格评审。</w:t>
      </w:r>
    </w:p>
    <w:p w14:paraId="41AB3154">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3</w:t>
      </w:r>
      <w:r>
        <w:rPr>
          <w:rFonts w:cs="仿宋" w:asciiTheme="minorEastAsia" w:hAnsiTheme="minorEastAsia"/>
          <w:sz w:val="24"/>
          <w:highlight w:val="none"/>
        </w:rPr>
        <w:t>）在货物采购项目中，供应商提供的货物既有小、微企业制造货物，也有中、大型企业制造货物的，不享受本办法规定的小、微企业价格扶持政策。</w:t>
      </w:r>
    </w:p>
    <w:p w14:paraId="3B0302C1">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4</w:t>
      </w:r>
      <w:r>
        <w:rPr>
          <w:rFonts w:cs="仿宋" w:asciiTheme="minorEastAsia" w:hAnsiTheme="minorEastAsia"/>
          <w:sz w:val="24"/>
          <w:highlight w:val="none"/>
        </w:rPr>
        <w:t>）以联合体形式参加政府采购活动，联合体各方均为中小企业的，联合体视同中小企业。其中，联合体各方均为小微企业的，联合体视同小微企业。</w:t>
      </w:r>
    </w:p>
    <w:p w14:paraId="7DD71D8C">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5</w:t>
      </w:r>
      <w:r>
        <w:rPr>
          <w:rFonts w:cs="仿宋" w:asciiTheme="minorEastAsia" w:hAnsiTheme="minorEastAsia"/>
          <w:sz w:val="24"/>
          <w:highlight w:val="none"/>
        </w:rPr>
        <w:t>）符合中小企业划分标准的个体工商户，在政府采购活动中视同中小企业。</w:t>
      </w:r>
    </w:p>
    <w:p w14:paraId="0A58B593">
      <w:pPr>
        <w:widowControl/>
        <w:pBdr>
          <w:top w:val="none" w:color="000000" w:sz="0" w:space="0"/>
          <w:left w:val="none" w:color="000000" w:sz="0" w:space="0"/>
          <w:bottom w:val="none" w:color="000000" w:sz="0" w:space="0"/>
          <w:right w:val="none" w:color="000000" w:sz="0" w:space="0"/>
        </w:pBdr>
        <w:spacing w:line="460" w:lineRule="exact"/>
        <w:ind w:firstLine="482"/>
        <w:rPr>
          <w:rFonts w:cs="仿宋" w:asciiTheme="minorEastAsia" w:hAnsiTheme="minorEastAsia"/>
          <w:sz w:val="24"/>
          <w:highlight w:val="none"/>
        </w:rPr>
      </w:pPr>
      <w:r>
        <w:rPr>
          <w:rFonts w:cs="仿宋" w:asciiTheme="minorEastAsia" w:hAnsiTheme="minorEastAsia"/>
          <w:sz w:val="24"/>
          <w:highlight w:val="none"/>
        </w:rPr>
        <w:t>（</w:t>
      </w:r>
      <w:r>
        <w:rPr>
          <w:rFonts w:hint="eastAsia" w:cs="仿宋" w:asciiTheme="minorEastAsia" w:hAnsiTheme="minorEastAsia"/>
          <w:sz w:val="24"/>
          <w:highlight w:val="none"/>
        </w:rPr>
        <w:t>6</w:t>
      </w:r>
      <w:r>
        <w:rPr>
          <w:rFonts w:cs="仿宋" w:asciiTheme="minorEastAsia" w:hAnsiTheme="minorEastAsia"/>
          <w:sz w:val="24"/>
          <w:highlight w:val="none"/>
        </w:rPr>
        <w:t>）残疾人福利性单位及监狱企业视同小型企业，享受评审中价格扣除等促进中小企业发展的政府采购政策。</w:t>
      </w:r>
    </w:p>
    <w:p w14:paraId="07F21EBB">
      <w:pPr>
        <w:widowControl/>
        <w:pBdr>
          <w:top w:val="none" w:color="000000" w:sz="0" w:space="0"/>
          <w:left w:val="none" w:color="000000" w:sz="0" w:space="0"/>
          <w:bottom w:val="none" w:color="000000" w:sz="0" w:space="0"/>
          <w:right w:val="none" w:color="000000" w:sz="0" w:space="0"/>
        </w:pBdr>
        <w:spacing w:line="460" w:lineRule="exact"/>
        <w:ind w:firstLine="482"/>
        <w:rPr>
          <w:highlight w:val="none"/>
        </w:rPr>
      </w:pPr>
      <w:r>
        <w:rPr>
          <w:rFonts w:cs="仿宋" w:asciiTheme="minorEastAsia" w:hAnsiTheme="minorEastAsia"/>
          <w:sz w:val="24"/>
          <w:highlight w:val="none"/>
        </w:rPr>
        <w:t>（</w:t>
      </w:r>
      <w:r>
        <w:rPr>
          <w:rFonts w:hint="eastAsia" w:cs="仿宋" w:asciiTheme="minorEastAsia" w:hAnsiTheme="minorEastAsia"/>
          <w:sz w:val="24"/>
          <w:highlight w:val="none"/>
        </w:rPr>
        <w:t>7</w:t>
      </w:r>
      <w:r>
        <w:rPr>
          <w:rFonts w:cs="仿宋" w:asciiTheme="minorEastAsia" w:hAnsiTheme="minorEastAsia"/>
          <w:sz w:val="24"/>
          <w:highlight w:val="none"/>
        </w:rPr>
        <w:t xml:space="preserve">）供应商按照本办法规定提供声明函内容不实的，属于提供虚假材料谋取中标、 </w:t>
      </w:r>
      <w:r>
        <w:rPr>
          <w:rFonts w:hint="eastAsia" w:cs="仿宋" w:asciiTheme="minorEastAsia" w:hAnsiTheme="minorEastAsia"/>
          <w:sz w:val="24"/>
          <w:highlight w:val="none"/>
        </w:rPr>
        <w:t>成交，</w:t>
      </w:r>
      <w:r>
        <w:rPr>
          <w:rFonts w:cs="仿宋" w:asciiTheme="minorEastAsia" w:hAnsiTheme="minorEastAsia"/>
          <w:sz w:val="24"/>
          <w:highlight w:val="none"/>
        </w:rPr>
        <w:t xml:space="preserve"> </w:t>
      </w:r>
      <w:r>
        <w:rPr>
          <w:rFonts w:hint="eastAsia" w:cs="仿宋" w:asciiTheme="minorEastAsia" w:hAnsiTheme="minorEastAsia"/>
          <w:sz w:val="24"/>
          <w:highlight w:val="none"/>
        </w:rPr>
        <w:t>依照《中华人民共和国政府采购法》</w:t>
      </w:r>
      <w:r>
        <w:rPr>
          <w:rFonts w:cs="仿宋" w:asciiTheme="minorEastAsia" w:hAnsiTheme="minorEastAsia"/>
          <w:sz w:val="24"/>
          <w:highlight w:val="none"/>
        </w:rPr>
        <w:t xml:space="preserve"> </w:t>
      </w:r>
      <w:r>
        <w:rPr>
          <w:rFonts w:hint="eastAsia" w:cs="仿宋" w:asciiTheme="minorEastAsia" w:hAnsiTheme="minorEastAsia"/>
          <w:sz w:val="24"/>
          <w:highlight w:val="none"/>
        </w:rPr>
        <w:t>等国家有关规定追究相应责任。</w:t>
      </w:r>
    </w:p>
    <w:p w14:paraId="6EA4089F">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sz w:val="24"/>
          <w:highlight w:val="none"/>
        </w:rPr>
      </w:pPr>
      <w:r>
        <w:rPr>
          <w:rFonts w:hint="eastAsia" w:ascii="宋体" w:hAnsi="宋体" w:cs="宋体"/>
          <w:b/>
          <w:sz w:val="24"/>
          <w:highlight w:val="none"/>
        </w:rPr>
        <w:t>37.绿色数据中心政策</w:t>
      </w:r>
    </w:p>
    <w:p w14:paraId="5D409934">
      <w:pPr>
        <w:pBdr>
          <w:top w:val="none" w:color="000000" w:sz="0" w:space="0"/>
          <w:left w:val="none" w:color="000000" w:sz="0" w:space="0"/>
          <w:bottom w:val="none" w:color="000000" w:sz="0" w:space="0"/>
          <w:right w:val="none" w:color="000000" w:sz="0" w:space="0"/>
        </w:pBdr>
        <w:spacing w:line="440" w:lineRule="exact"/>
        <w:ind w:firstLine="480"/>
        <w:jc w:val="left"/>
        <w:rPr>
          <w:rFonts w:ascii="宋体" w:hAnsi="宋体" w:cs="宋体"/>
          <w:b/>
          <w:sz w:val="24"/>
          <w:highlight w:val="none"/>
        </w:rPr>
      </w:pPr>
      <w:r>
        <w:rPr>
          <w:rFonts w:hint="eastAsia" w:ascii="宋体" w:hAnsi="宋体" w:cs="宋体"/>
          <w:sz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B6DF99B">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sz w:val="24"/>
          <w:highlight w:val="none"/>
        </w:rPr>
      </w:pPr>
      <w:r>
        <w:rPr>
          <w:rFonts w:hint="eastAsia" w:ascii="宋体" w:hAnsi="宋体" w:cs="宋体"/>
          <w:b/>
          <w:sz w:val="24"/>
          <w:highlight w:val="none"/>
        </w:rPr>
        <w:t>38.商品包装、快递包装政策</w:t>
      </w:r>
    </w:p>
    <w:p w14:paraId="2321C98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b/>
          <w:sz w:val="24"/>
          <w:highlight w:val="none"/>
        </w:rPr>
      </w:pPr>
      <w:r>
        <w:rPr>
          <w:rFonts w:hint="eastAsia" w:ascii="宋体" w:hAnsi="宋体" w:cs="宋体"/>
          <w:sz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60960B4A">
      <w:pPr>
        <w:pBdr>
          <w:top w:val="none" w:color="000000" w:sz="0" w:space="0"/>
          <w:left w:val="none" w:color="000000" w:sz="0" w:space="0"/>
          <w:bottom w:val="none" w:color="000000" w:sz="0" w:space="0"/>
          <w:right w:val="none" w:color="000000" w:sz="0" w:space="0"/>
        </w:pBdr>
        <w:spacing w:line="500" w:lineRule="exact"/>
        <w:rPr>
          <w:rFonts w:ascii="宋体" w:hAnsi="宋体" w:cs="宋体"/>
          <w:b/>
          <w:sz w:val="24"/>
          <w:highlight w:val="none"/>
        </w:rPr>
      </w:pPr>
      <w:r>
        <w:rPr>
          <w:rFonts w:hint="eastAsia" w:ascii="宋体" w:hAnsi="宋体" w:cs="宋体"/>
          <w:b/>
          <w:sz w:val="24"/>
          <w:highlight w:val="none"/>
        </w:rPr>
        <w:t>3</w:t>
      </w:r>
      <w:r>
        <w:rPr>
          <w:rFonts w:ascii="宋体" w:hAnsi="宋体" w:cs="宋体"/>
          <w:b/>
          <w:sz w:val="24"/>
          <w:highlight w:val="none"/>
        </w:rPr>
        <w:t>9</w:t>
      </w:r>
      <w:r>
        <w:rPr>
          <w:rFonts w:hint="eastAsia" w:ascii="宋体" w:hAnsi="宋体" w:cs="宋体"/>
          <w:b/>
          <w:sz w:val="24"/>
          <w:highlight w:val="none"/>
        </w:rPr>
        <w:t>.采购本国产品的支持政策</w:t>
      </w:r>
    </w:p>
    <w:p w14:paraId="0F6BED5D">
      <w:pPr>
        <w:spacing w:line="500" w:lineRule="exact"/>
        <w:ind w:firstLine="480"/>
        <w:jc w:val="left"/>
        <w:rPr>
          <w:rFonts w:ascii="宋体" w:hAnsi="宋体" w:cs="宋体"/>
          <w:sz w:val="24"/>
          <w:highlight w:val="none"/>
        </w:rPr>
      </w:pPr>
      <w:r>
        <w:rPr>
          <w:rFonts w:ascii="宋体" w:hAnsi="宋体" w:cs="宋体"/>
          <w:sz w:val="24"/>
          <w:highlight w:val="none"/>
        </w:rPr>
        <w:t>39</w:t>
      </w:r>
      <w:r>
        <w:rPr>
          <w:rFonts w:hint="eastAsia" w:ascii="宋体" w:hAnsi="宋体" w:cs="宋体"/>
          <w:sz w:val="24"/>
          <w:highlight w:val="none"/>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55FFD2">
      <w:pPr>
        <w:spacing w:line="500" w:lineRule="exact"/>
        <w:ind w:firstLine="480"/>
        <w:jc w:val="left"/>
        <w:rPr>
          <w:rFonts w:ascii="宋体" w:hAnsi="宋体" w:cs="宋体"/>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2</w:t>
      </w:r>
      <w:r>
        <w:rPr>
          <w:rFonts w:hint="eastAsia" w:ascii="宋体" w:hAnsi="宋体" w:cs="宋体"/>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E0696E">
      <w:pPr>
        <w:spacing w:line="500" w:lineRule="exact"/>
        <w:ind w:firstLine="480"/>
        <w:jc w:val="left"/>
        <w:rPr>
          <w:rFonts w:ascii="宋体" w:hAnsi="宋体" w:cs="宋体"/>
          <w:b/>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3</w:t>
      </w:r>
      <w:r>
        <w:rPr>
          <w:rFonts w:hint="eastAsia" w:ascii="宋体" w:hAnsi="宋体" w:cs="宋体"/>
          <w:sz w:val="24"/>
          <w:highlight w:val="none"/>
        </w:rPr>
        <w:t xml:space="preserve"> 本项目政府采购活动中既有本国产品又有非本国产品参与竞争的，依法对本国产品给予价格评审优惠，</w:t>
      </w:r>
      <w:r>
        <w:rPr>
          <w:rFonts w:hint="eastAsia" w:ascii="宋体" w:hAnsi="宋体" w:cs="宋体"/>
          <w:b/>
          <w:sz w:val="24"/>
          <w:highlight w:val="none"/>
        </w:rPr>
        <w:t>对本国产品的报价给予20%的价格扣除，用扣除后的价格参与评审。</w:t>
      </w:r>
    </w:p>
    <w:p w14:paraId="6F623490">
      <w:pPr>
        <w:spacing w:line="500" w:lineRule="exact"/>
        <w:ind w:firstLine="480"/>
        <w:jc w:val="left"/>
        <w:rPr>
          <w:rFonts w:ascii="宋体" w:hAnsi="宋体" w:cs="宋体"/>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4</w:t>
      </w:r>
      <w:r>
        <w:rPr>
          <w:rFonts w:hint="eastAsia" w:ascii="宋体" w:hAnsi="宋体" w:cs="宋体"/>
          <w:sz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610C7BED">
      <w:pPr>
        <w:spacing w:line="500" w:lineRule="exact"/>
        <w:ind w:firstLine="480"/>
        <w:jc w:val="left"/>
        <w:rPr>
          <w:rFonts w:ascii="宋体" w:hAnsi="宋体" w:cs="宋体"/>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 xml:space="preserve"> 供应商需按照招标文件的要求提供《关于符合本国产品标准的声明函》（以下简称《声明函》），</w:t>
      </w:r>
      <w:r>
        <w:rPr>
          <w:rFonts w:hint="eastAsia" w:ascii="宋体" w:hAnsi="宋体" w:cs="宋体"/>
          <w:b/>
          <w:sz w:val="24"/>
          <w:highlight w:val="none"/>
        </w:rPr>
        <w:t>如不提供将不享受本国产品价格评审优惠。</w:t>
      </w:r>
    </w:p>
    <w:p w14:paraId="52E6A8DE">
      <w:pPr>
        <w:spacing w:line="500" w:lineRule="exact"/>
        <w:ind w:firstLine="480"/>
        <w:jc w:val="left"/>
        <w:rPr>
          <w:rFonts w:ascii="宋体" w:hAnsi="宋体" w:cs="宋体"/>
          <w:b/>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6</w:t>
      </w:r>
      <w:r>
        <w:rPr>
          <w:rFonts w:hint="eastAsia" w:ascii="宋体" w:hAnsi="宋体" w:cs="宋体"/>
          <w:b/>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0AA1D012">
      <w:pPr>
        <w:spacing w:line="500" w:lineRule="exact"/>
        <w:ind w:firstLine="480"/>
        <w:jc w:val="left"/>
        <w:rPr>
          <w:rFonts w:ascii="宋体" w:hAnsi="宋体" w:cs="宋体"/>
          <w:b/>
          <w:sz w:val="24"/>
          <w:highlight w:val="none"/>
        </w:rPr>
      </w:pPr>
      <w:r>
        <w:rPr>
          <w:rFonts w:ascii="宋体" w:hAnsi="宋体" w:cs="宋体"/>
          <w:sz w:val="24"/>
          <w:highlight w:val="none"/>
        </w:rPr>
        <w:t>39</w:t>
      </w:r>
      <w:r>
        <w:rPr>
          <w:rFonts w:hint="eastAsia" w:ascii="宋体" w:hAnsi="宋体" w:cs="宋体"/>
          <w:sz w:val="24"/>
          <w:highlight w:val="none"/>
        </w:rPr>
        <w:t>.</w:t>
      </w:r>
      <w:r>
        <w:rPr>
          <w:rFonts w:ascii="宋体" w:hAnsi="宋体" w:cs="宋体"/>
          <w:sz w:val="24"/>
          <w:highlight w:val="none"/>
        </w:rPr>
        <w:t>7</w:t>
      </w:r>
      <w:r>
        <w:rPr>
          <w:rFonts w:hint="eastAsia" w:ascii="宋体" w:hAnsi="宋体" w:cs="宋体"/>
          <w:sz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5BBB467">
      <w:pPr>
        <w:pBdr>
          <w:top w:val="none" w:color="000000" w:sz="0" w:space="0"/>
          <w:left w:val="none" w:color="000000" w:sz="0" w:space="0"/>
          <w:bottom w:val="none" w:color="000000" w:sz="0" w:space="0"/>
          <w:right w:val="none" w:color="000000" w:sz="0" w:space="0"/>
        </w:pBdr>
        <w:spacing w:line="440" w:lineRule="exact"/>
        <w:rPr>
          <w:rFonts w:ascii="宋体" w:hAnsi="宋体" w:cs="宋体"/>
          <w:sz w:val="24"/>
          <w:highlight w:val="none"/>
        </w:rPr>
      </w:pPr>
      <w:r>
        <w:rPr>
          <w:rFonts w:hint="eastAsia" w:ascii="宋体" w:hAnsi="宋体" w:cs="宋体"/>
          <w:b/>
          <w:sz w:val="24"/>
          <w:highlight w:val="none"/>
        </w:rPr>
        <w:t>九、其他事项</w:t>
      </w:r>
    </w:p>
    <w:p w14:paraId="2A51593A">
      <w:pPr>
        <w:pBdr>
          <w:top w:val="none" w:color="000000" w:sz="0" w:space="0"/>
          <w:left w:val="none" w:color="000000" w:sz="0" w:space="0"/>
          <w:bottom w:val="none" w:color="000000" w:sz="0" w:space="0"/>
          <w:right w:val="none" w:color="000000" w:sz="0" w:space="0"/>
        </w:pBdr>
        <w:spacing w:line="440" w:lineRule="exact"/>
        <w:rPr>
          <w:rFonts w:ascii="宋体" w:hAnsi="宋体" w:cs="宋体"/>
          <w:sz w:val="24"/>
          <w:highlight w:val="none"/>
        </w:rPr>
      </w:pPr>
      <w:r>
        <w:rPr>
          <w:rFonts w:ascii="宋体" w:hAnsi="宋体" w:cs="宋体"/>
          <w:b/>
          <w:sz w:val="24"/>
          <w:highlight w:val="none"/>
        </w:rPr>
        <w:t>40</w:t>
      </w:r>
      <w:r>
        <w:rPr>
          <w:rFonts w:hint="eastAsia" w:ascii="宋体" w:hAnsi="宋体" w:cs="宋体"/>
          <w:b/>
          <w:sz w:val="24"/>
          <w:highlight w:val="none"/>
        </w:rPr>
        <w:t>. 监督和公证</w:t>
      </w:r>
    </w:p>
    <w:p w14:paraId="01F31907">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sz w:val="24"/>
          <w:highlight w:val="none"/>
        </w:rPr>
      </w:pPr>
      <w:r>
        <w:rPr>
          <w:rFonts w:ascii="宋体" w:hAnsi="宋体" w:cs="宋体"/>
          <w:sz w:val="24"/>
          <w:highlight w:val="none"/>
        </w:rPr>
        <w:t>40</w:t>
      </w:r>
      <w:r>
        <w:rPr>
          <w:rFonts w:hint="eastAsia" w:ascii="宋体" w:hAnsi="宋体" w:cs="宋体"/>
          <w:sz w:val="24"/>
          <w:highlight w:val="none"/>
        </w:rPr>
        <w:t>.1政府有关监督部门将对招投标全过程进行监督。</w:t>
      </w:r>
    </w:p>
    <w:p w14:paraId="183F7259">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sz w:val="24"/>
          <w:highlight w:val="none"/>
        </w:rPr>
      </w:pPr>
      <w:r>
        <w:rPr>
          <w:rFonts w:ascii="宋体" w:hAnsi="宋体" w:cs="宋体"/>
          <w:sz w:val="24"/>
          <w:highlight w:val="none"/>
        </w:rPr>
        <w:t>40</w:t>
      </w:r>
      <w:r>
        <w:rPr>
          <w:rFonts w:hint="eastAsia" w:ascii="宋体" w:hAnsi="宋体" w:cs="宋体"/>
          <w:sz w:val="24"/>
          <w:highlight w:val="none"/>
        </w:rPr>
        <w:t>.2采购代理机构的招标过程将依采购人申请，通过公证机关进行公证。</w:t>
      </w:r>
    </w:p>
    <w:p w14:paraId="1D0ABBA7">
      <w:pPr>
        <w:pBdr>
          <w:top w:val="none" w:color="000000" w:sz="0" w:space="0"/>
          <w:left w:val="none" w:color="000000" w:sz="0" w:space="0"/>
          <w:bottom w:val="none" w:color="000000" w:sz="0" w:space="0"/>
          <w:right w:val="none" w:color="000000" w:sz="0" w:space="0"/>
        </w:pBdr>
        <w:spacing w:line="440" w:lineRule="exact"/>
        <w:rPr>
          <w:rFonts w:ascii="宋体" w:hAnsi="宋体" w:cs="宋体"/>
          <w:b/>
          <w:bCs/>
          <w:sz w:val="24"/>
          <w:highlight w:val="none"/>
        </w:rPr>
      </w:pPr>
      <w:r>
        <w:rPr>
          <w:rFonts w:hint="eastAsia" w:ascii="宋体" w:hAnsi="宋体" w:cs="宋体"/>
          <w:b/>
          <w:bCs/>
          <w:sz w:val="24"/>
          <w:highlight w:val="none"/>
        </w:rPr>
        <w:t>4</w:t>
      </w:r>
      <w:r>
        <w:rPr>
          <w:rFonts w:ascii="宋体" w:hAnsi="宋体" w:cs="宋体"/>
          <w:b/>
          <w:bCs/>
          <w:sz w:val="24"/>
          <w:highlight w:val="none"/>
        </w:rPr>
        <w:t>1</w:t>
      </w:r>
      <w:r>
        <w:rPr>
          <w:rFonts w:hint="eastAsia" w:ascii="宋体" w:hAnsi="宋体" w:cs="宋体"/>
          <w:b/>
          <w:bCs/>
          <w:sz w:val="24"/>
          <w:highlight w:val="none"/>
        </w:rPr>
        <w:t>.未尽事宜</w:t>
      </w:r>
    </w:p>
    <w:p w14:paraId="707C18A7">
      <w:pPr>
        <w:spacing w:line="440" w:lineRule="exact"/>
        <w:ind w:firstLine="480" w:firstLineChars="200"/>
        <w:rPr>
          <w:rFonts w:ascii="宋体" w:hAnsi="宋体" w:cs="宋体"/>
          <w:b/>
          <w:sz w:val="24"/>
          <w:highlight w:val="none"/>
        </w:rPr>
      </w:pPr>
      <w:r>
        <w:rPr>
          <w:rFonts w:hint="eastAsia" w:ascii="宋体" w:hAnsi="宋体" w:cs="宋体"/>
          <w:sz w:val="24"/>
          <w:highlight w:val="none"/>
        </w:rPr>
        <w:t>按《中华人民共和国政府采购法》及其他有关法律法规的规定执行。</w:t>
      </w:r>
    </w:p>
    <w:p w14:paraId="49CB10CC">
      <w:pPr>
        <w:pStyle w:val="233"/>
        <w:spacing w:line="460" w:lineRule="exact"/>
        <w:jc w:val="center"/>
        <w:rPr>
          <w:rFonts w:hAnsi="宋体" w:eastAsia="宋体" w:cs="宋体"/>
          <w:b/>
          <w:sz w:val="44"/>
          <w:szCs w:val="44"/>
          <w:highlight w:val="none"/>
        </w:rPr>
      </w:pPr>
    </w:p>
    <w:p w14:paraId="44672A88">
      <w:pPr>
        <w:pStyle w:val="233"/>
        <w:spacing w:line="460" w:lineRule="exact"/>
        <w:rPr>
          <w:rFonts w:hAnsi="宋体" w:eastAsia="宋体" w:cs="宋体"/>
          <w:b/>
          <w:sz w:val="44"/>
          <w:szCs w:val="44"/>
          <w:highlight w:val="none"/>
        </w:rPr>
      </w:pPr>
    </w:p>
    <w:p w14:paraId="14FAA803">
      <w:pPr>
        <w:pStyle w:val="233"/>
        <w:spacing w:line="460" w:lineRule="exact"/>
        <w:jc w:val="center"/>
        <w:rPr>
          <w:rFonts w:hAnsi="宋体" w:eastAsia="宋体" w:cs="宋体"/>
          <w:b/>
          <w:sz w:val="44"/>
          <w:szCs w:val="44"/>
          <w:highlight w:val="none"/>
        </w:rPr>
      </w:pPr>
    </w:p>
    <w:p w14:paraId="23773C77">
      <w:pPr>
        <w:pStyle w:val="233"/>
        <w:spacing w:line="460" w:lineRule="exact"/>
        <w:jc w:val="center"/>
        <w:rPr>
          <w:rFonts w:hAnsi="宋体" w:eastAsia="宋体" w:cs="宋体"/>
          <w:b/>
          <w:sz w:val="44"/>
          <w:szCs w:val="44"/>
          <w:highlight w:val="none"/>
        </w:rPr>
      </w:pPr>
    </w:p>
    <w:p w14:paraId="758415C3">
      <w:pPr>
        <w:pStyle w:val="233"/>
        <w:spacing w:line="460" w:lineRule="exact"/>
        <w:jc w:val="center"/>
        <w:rPr>
          <w:rFonts w:hAnsi="宋体" w:eastAsia="宋体" w:cs="宋体"/>
          <w:b/>
          <w:sz w:val="44"/>
          <w:szCs w:val="44"/>
          <w:highlight w:val="none"/>
        </w:rPr>
      </w:pPr>
    </w:p>
    <w:p w14:paraId="686AFF9E">
      <w:pPr>
        <w:pStyle w:val="233"/>
        <w:spacing w:line="460" w:lineRule="exact"/>
        <w:jc w:val="center"/>
        <w:rPr>
          <w:rFonts w:hAnsi="宋体" w:eastAsia="宋体" w:cs="宋体"/>
          <w:b/>
          <w:sz w:val="44"/>
          <w:szCs w:val="44"/>
          <w:highlight w:val="none"/>
        </w:rPr>
      </w:pPr>
    </w:p>
    <w:p w14:paraId="4A835AAC">
      <w:pPr>
        <w:pStyle w:val="233"/>
        <w:spacing w:line="460" w:lineRule="exact"/>
        <w:jc w:val="center"/>
        <w:rPr>
          <w:rFonts w:hAnsi="宋体" w:eastAsia="宋体" w:cs="宋体"/>
          <w:b/>
          <w:sz w:val="44"/>
          <w:szCs w:val="44"/>
          <w:highlight w:val="none"/>
        </w:rPr>
      </w:pPr>
    </w:p>
    <w:p w14:paraId="3F03973D">
      <w:pPr>
        <w:pStyle w:val="233"/>
        <w:spacing w:line="460" w:lineRule="exact"/>
        <w:jc w:val="center"/>
        <w:rPr>
          <w:rFonts w:hAnsi="宋体" w:eastAsia="宋体" w:cs="宋体"/>
          <w:b/>
          <w:sz w:val="44"/>
          <w:szCs w:val="44"/>
          <w:highlight w:val="none"/>
        </w:rPr>
      </w:pPr>
    </w:p>
    <w:p w14:paraId="4861A9C6">
      <w:pPr>
        <w:pStyle w:val="233"/>
        <w:spacing w:line="460" w:lineRule="exact"/>
        <w:jc w:val="center"/>
        <w:rPr>
          <w:rFonts w:hAnsi="宋体" w:eastAsia="宋体" w:cs="宋体"/>
          <w:b/>
          <w:sz w:val="44"/>
          <w:szCs w:val="44"/>
          <w:highlight w:val="none"/>
        </w:rPr>
      </w:pPr>
    </w:p>
    <w:p w14:paraId="3E111E84">
      <w:pPr>
        <w:pStyle w:val="233"/>
        <w:spacing w:line="460" w:lineRule="exact"/>
        <w:jc w:val="center"/>
        <w:rPr>
          <w:rFonts w:hAnsi="宋体" w:eastAsia="宋体" w:cs="宋体"/>
          <w:b/>
          <w:sz w:val="44"/>
          <w:szCs w:val="44"/>
          <w:highlight w:val="none"/>
        </w:rPr>
      </w:pPr>
    </w:p>
    <w:p w14:paraId="75C28E17">
      <w:pPr>
        <w:pStyle w:val="233"/>
        <w:spacing w:line="460" w:lineRule="exact"/>
        <w:jc w:val="center"/>
        <w:rPr>
          <w:rFonts w:hAnsi="宋体" w:eastAsia="宋体" w:cs="宋体"/>
          <w:b/>
          <w:sz w:val="44"/>
          <w:szCs w:val="44"/>
          <w:highlight w:val="none"/>
        </w:rPr>
      </w:pPr>
    </w:p>
    <w:p w14:paraId="39F3A269">
      <w:pPr>
        <w:pStyle w:val="233"/>
        <w:spacing w:line="460" w:lineRule="exact"/>
        <w:jc w:val="center"/>
        <w:rPr>
          <w:highlight w:val="none"/>
        </w:rPr>
      </w:pPr>
      <w:r>
        <w:rPr>
          <w:rFonts w:hint="eastAsia" w:hAnsi="宋体" w:eastAsia="宋体" w:cs="宋体"/>
          <w:b/>
          <w:sz w:val="44"/>
          <w:szCs w:val="44"/>
          <w:highlight w:val="none"/>
        </w:rPr>
        <w:t>第三部分 项目需求</w:t>
      </w:r>
    </w:p>
    <w:p w14:paraId="2BAB1C32">
      <w:pPr>
        <w:pStyle w:val="5"/>
        <w:keepNext w:val="0"/>
        <w:keepLines w:val="0"/>
        <w:spacing w:before="0" w:after="0" w:line="480" w:lineRule="exact"/>
        <w:rPr>
          <w:rStyle w:val="41"/>
          <w:rFonts w:ascii="宋体" w:hAnsi="宋体" w:eastAsia="宋体" w:cs="宋体"/>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一、项目背景</w:t>
      </w:r>
    </w:p>
    <w:p w14:paraId="0F42150D">
      <w:pPr>
        <w:pStyle w:val="254"/>
        <w:snapToGrid w:val="0"/>
        <w:spacing w:line="480" w:lineRule="exact"/>
        <w:rPr>
          <w:rFonts w:cs="宋体"/>
          <w:color w:val="000000" w:themeColor="text1"/>
          <w:highlight w:val="none"/>
          <w:shd w:val="clear" w:color="auto" w:fill="FFFFFF"/>
          <w14:textFill>
            <w14:solidFill>
              <w14:schemeClr w14:val="tx1"/>
            </w14:solidFill>
          </w14:textFill>
        </w:rPr>
      </w:pPr>
      <w:r>
        <w:rPr>
          <w:rFonts w:cs="宋体"/>
          <w:color w:val="000000" w:themeColor="text1"/>
          <w:highlight w:val="none"/>
          <w:shd w:val="clear" w:color="auto" w:fill="FFFFFF"/>
          <w14:textFill>
            <w14:solidFill>
              <w14:schemeClr w14:val="tx1"/>
            </w14:solidFill>
          </w14:textFill>
        </w:rPr>
        <w:t>随着医院“人工智能+医疗卫生”应用深度拓展、业务量持续增长，原有基础算力已无法满足现有场景深化应用及未来发展需求。为进一步强化AI算力支撑能力，持续优化就医服务、提升诊疗效能、提高管理水平、完善工程保障，夯实“算力-算法-数据”三位一体创新体系底座，现拟实施AI算力扩容建设，采购2台高端AI算力服务器、5台通用AI算力服务器，构建更强劲、更稳定的算力集群，全面支撑医院人工智能在就医、诊疗、管理、工程全场景的深度应用，持续提升医院智能化建设水平与患者就医体验。</w:t>
      </w:r>
    </w:p>
    <w:p w14:paraId="6806EA81">
      <w:pPr>
        <w:pStyle w:val="5"/>
        <w:keepNext w:val="0"/>
        <w:keepLines w:val="0"/>
        <w:spacing w:before="0" w:after="0" w:line="480" w:lineRule="exact"/>
        <w:rPr>
          <w:rStyle w:val="41"/>
          <w:rFonts w:ascii="宋体" w:hAnsi="宋体" w:eastAsia="宋体" w:cs="宋体"/>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二、项目需求</w:t>
      </w:r>
    </w:p>
    <w:p w14:paraId="38ADE248">
      <w:pPr>
        <w:tabs>
          <w:tab w:val="left" w:pos="993"/>
        </w:tabs>
        <w:snapToGrid w:val="0"/>
        <w:spacing w:line="480" w:lineRule="exact"/>
        <w:ind w:firstLine="241" w:firstLineChars="1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（一）设备清单</w:t>
      </w:r>
    </w:p>
    <w:tbl>
      <w:tblPr>
        <w:tblStyle w:val="38"/>
        <w:tblW w:w="4791" w:type="pct"/>
        <w:jc w:val="center"/>
        <w:tblLayout w:type="autofit"/>
        <w:tblCellMar>
          <w:top w:w="0" w:type="dxa"/>
          <w:left w:w="108" w:type="dxa"/>
          <w:bottom w:w="0" w:type="dxa"/>
          <w:right w:w="108" w:type="dxa"/>
        </w:tblCellMar>
      </w:tblPr>
      <w:tblGrid>
        <w:gridCol w:w="976"/>
        <w:gridCol w:w="2465"/>
        <w:gridCol w:w="3377"/>
        <w:gridCol w:w="1067"/>
        <w:gridCol w:w="1362"/>
      </w:tblGrid>
      <w:tr w14:paraId="1B1EA95F">
        <w:tblPrEx>
          <w:tblCellMar>
            <w:top w:w="0" w:type="dxa"/>
            <w:left w:w="108" w:type="dxa"/>
            <w:bottom w:w="0" w:type="dxa"/>
            <w:right w:w="108" w:type="dxa"/>
          </w:tblCellMar>
        </w:tblPrEx>
        <w:trPr>
          <w:trHeight w:val="90" w:hRule="atLeast"/>
          <w:jc w:val="center"/>
        </w:trPr>
        <w:tc>
          <w:tcPr>
            <w:tcW w:w="528" w:type="pct"/>
            <w:tcBorders>
              <w:top w:val="single" w:color="auto" w:sz="4" w:space="0"/>
              <w:left w:val="single" w:color="auto" w:sz="4" w:space="0"/>
              <w:bottom w:val="single" w:color="000000" w:sz="4" w:space="0"/>
              <w:right w:val="single" w:color="000000" w:sz="4" w:space="0"/>
            </w:tcBorders>
            <w:noWrap/>
            <w:vAlign w:val="center"/>
          </w:tcPr>
          <w:p w14:paraId="482CB28C">
            <w:pPr>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1333" w:type="pct"/>
            <w:tcBorders>
              <w:top w:val="single" w:color="auto" w:sz="4" w:space="0"/>
              <w:left w:val="single" w:color="000000" w:sz="4" w:space="0"/>
              <w:bottom w:val="single" w:color="000000" w:sz="4" w:space="0"/>
              <w:right w:val="single" w:color="000000" w:sz="4" w:space="0"/>
            </w:tcBorders>
            <w:noWrap/>
            <w:vAlign w:val="center"/>
          </w:tcPr>
          <w:p w14:paraId="50C90F82">
            <w:pPr>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产品</w:t>
            </w:r>
          </w:p>
        </w:tc>
        <w:tc>
          <w:tcPr>
            <w:tcW w:w="1826" w:type="pct"/>
            <w:tcBorders>
              <w:top w:val="single" w:color="auto" w:sz="4" w:space="0"/>
              <w:left w:val="single" w:color="000000" w:sz="4" w:space="0"/>
              <w:bottom w:val="single" w:color="000000" w:sz="4" w:space="0"/>
              <w:right w:val="single" w:color="000000" w:sz="4" w:space="0"/>
            </w:tcBorders>
            <w:vAlign w:val="center"/>
          </w:tcPr>
          <w:p w14:paraId="5A500604">
            <w:pPr>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参数</w:t>
            </w:r>
          </w:p>
        </w:tc>
        <w:tc>
          <w:tcPr>
            <w:tcW w:w="577" w:type="pct"/>
            <w:tcBorders>
              <w:top w:val="single" w:color="auto" w:sz="4" w:space="0"/>
              <w:left w:val="single" w:color="000000" w:sz="4" w:space="0"/>
              <w:bottom w:val="single" w:color="000000" w:sz="4" w:space="0"/>
              <w:right w:val="single" w:color="auto" w:sz="4" w:space="0"/>
            </w:tcBorders>
            <w:noWrap/>
            <w:vAlign w:val="center"/>
          </w:tcPr>
          <w:p w14:paraId="5FC3F907">
            <w:pPr>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数量</w:t>
            </w:r>
          </w:p>
        </w:tc>
        <w:tc>
          <w:tcPr>
            <w:tcW w:w="736" w:type="pct"/>
            <w:tcBorders>
              <w:top w:val="single" w:color="auto" w:sz="4" w:space="0"/>
              <w:left w:val="single" w:color="000000" w:sz="4" w:space="0"/>
              <w:bottom w:val="single" w:color="000000" w:sz="4" w:space="0"/>
              <w:right w:val="single" w:color="auto" w:sz="4" w:space="0"/>
            </w:tcBorders>
            <w:noWrap/>
            <w:vAlign w:val="center"/>
          </w:tcPr>
          <w:p w14:paraId="269384BD">
            <w:pPr>
              <w:jc w:val="center"/>
              <w:textAlignment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3CD6E052">
        <w:tblPrEx>
          <w:tblCellMar>
            <w:top w:w="0" w:type="dxa"/>
            <w:left w:w="108" w:type="dxa"/>
            <w:bottom w:w="0" w:type="dxa"/>
            <w:right w:w="108" w:type="dxa"/>
          </w:tblCellMar>
        </w:tblPrEx>
        <w:trPr>
          <w:trHeight w:val="404" w:hRule="atLeast"/>
          <w:jc w:val="center"/>
        </w:trPr>
        <w:tc>
          <w:tcPr>
            <w:tcW w:w="528" w:type="pct"/>
            <w:tcBorders>
              <w:top w:val="single" w:color="000000" w:sz="4" w:space="0"/>
              <w:left w:val="single" w:color="auto" w:sz="4" w:space="0"/>
              <w:bottom w:val="single" w:color="000000" w:sz="4" w:space="0"/>
              <w:right w:val="single" w:color="000000" w:sz="4" w:space="0"/>
            </w:tcBorders>
            <w:noWrap/>
            <w:vAlign w:val="center"/>
          </w:tcPr>
          <w:p w14:paraId="4146B1D9">
            <w:pPr>
              <w:jc w:val="center"/>
              <w:textAlignment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1</w:t>
            </w:r>
          </w:p>
        </w:tc>
        <w:tc>
          <w:tcPr>
            <w:tcW w:w="1333" w:type="pct"/>
            <w:tcBorders>
              <w:top w:val="single" w:color="000000" w:sz="4" w:space="0"/>
              <w:left w:val="single" w:color="000000" w:sz="4" w:space="0"/>
              <w:bottom w:val="single" w:color="000000" w:sz="4" w:space="0"/>
              <w:right w:val="single" w:color="000000" w:sz="4" w:space="0"/>
            </w:tcBorders>
            <w:vAlign w:val="center"/>
          </w:tcPr>
          <w:p w14:paraId="4F4AE633">
            <w:pPr>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高端</w:t>
            </w:r>
            <w:r>
              <w:rPr>
                <w:rFonts w:ascii="宋体" w:hAnsi="宋体" w:cs="宋体"/>
                <w:color w:val="000000" w:themeColor="text1"/>
                <w:sz w:val="24"/>
                <w:highlight w:val="none"/>
                <w:lang w:bidi="ar"/>
                <w14:textFill>
                  <w14:solidFill>
                    <w14:schemeClr w14:val="tx1"/>
                  </w14:solidFill>
                </w14:textFill>
              </w:rPr>
              <w:t>AI算力服务器</w:t>
            </w:r>
            <w:r>
              <w:rPr>
                <w:rFonts w:hint="eastAsia" w:ascii="宋体" w:hAnsi="宋体" w:cs="宋体"/>
                <w:b/>
                <w:bCs/>
                <w:color w:val="000000" w:themeColor="text1"/>
                <w:sz w:val="24"/>
                <w:highlight w:val="none"/>
                <w:lang w:bidi="ar"/>
                <w14:textFill>
                  <w14:solidFill>
                    <w14:schemeClr w14:val="tx1"/>
                  </w14:solidFill>
                </w14:textFill>
              </w:rPr>
              <w:t>（核心产品）</w:t>
            </w:r>
          </w:p>
        </w:tc>
        <w:tc>
          <w:tcPr>
            <w:tcW w:w="1826" w:type="pct"/>
            <w:tcBorders>
              <w:top w:val="single" w:color="000000" w:sz="4" w:space="0"/>
              <w:left w:val="single" w:color="000000" w:sz="4" w:space="0"/>
              <w:bottom w:val="single" w:color="000000" w:sz="4" w:space="0"/>
              <w:right w:val="single" w:color="000000" w:sz="4" w:space="0"/>
            </w:tcBorders>
            <w:vAlign w:val="center"/>
          </w:tcPr>
          <w:p w14:paraId="71D589C1">
            <w:pP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详细见高端</w:t>
            </w:r>
            <w:r>
              <w:rPr>
                <w:rFonts w:ascii="宋体" w:hAnsi="宋体" w:cs="宋体"/>
                <w:color w:val="000000" w:themeColor="text1"/>
                <w:sz w:val="24"/>
                <w:highlight w:val="none"/>
                <w14:textFill>
                  <w14:solidFill>
                    <w14:schemeClr w14:val="tx1"/>
                  </w14:solidFill>
                </w14:textFill>
              </w:rPr>
              <w:t>AI算力服务器技术要求</w:t>
            </w:r>
          </w:p>
        </w:tc>
        <w:tc>
          <w:tcPr>
            <w:tcW w:w="577" w:type="pct"/>
            <w:tcBorders>
              <w:top w:val="single" w:color="000000" w:sz="4" w:space="0"/>
              <w:left w:val="single" w:color="000000" w:sz="4" w:space="0"/>
              <w:bottom w:val="single" w:color="000000" w:sz="4" w:space="0"/>
              <w:right w:val="single" w:color="auto" w:sz="4" w:space="0"/>
            </w:tcBorders>
            <w:noWrap/>
            <w:vAlign w:val="center"/>
          </w:tcPr>
          <w:p w14:paraId="23074FDB">
            <w:pPr>
              <w:ind w:firstLine="360" w:firstLineChars="150"/>
              <w:textAlignment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w:t>
            </w:r>
          </w:p>
        </w:tc>
        <w:tc>
          <w:tcPr>
            <w:tcW w:w="736" w:type="pct"/>
            <w:tcBorders>
              <w:top w:val="single" w:color="000000" w:sz="4" w:space="0"/>
              <w:left w:val="single" w:color="000000" w:sz="4" w:space="0"/>
              <w:bottom w:val="single" w:color="000000" w:sz="4" w:space="0"/>
              <w:right w:val="single" w:color="auto" w:sz="4" w:space="0"/>
            </w:tcBorders>
            <w:noWrap/>
            <w:vAlign w:val="center"/>
          </w:tcPr>
          <w:p w14:paraId="108D5534">
            <w:pPr>
              <w:ind w:firstLine="360" w:firstLineChars="150"/>
              <w:textAlignment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工业</w:t>
            </w:r>
          </w:p>
        </w:tc>
      </w:tr>
      <w:tr w14:paraId="1C2D6501">
        <w:tblPrEx>
          <w:tblCellMar>
            <w:top w:w="0" w:type="dxa"/>
            <w:left w:w="108" w:type="dxa"/>
            <w:bottom w:w="0" w:type="dxa"/>
            <w:right w:w="108" w:type="dxa"/>
          </w:tblCellMar>
        </w:tblPrEx>
        <w:trPr>
          <w:trHeight w:val="404" w:hRule="atLeast"/>
          <w:jc w:val="center"/>
        </w:trPr>
        <w:tc>
          <w:tcPr>
            <w:tcW w:w="528" w:type="pct"/>
            <w:tcBorders>
              <w:top w:val="single" w:color="000000" w:sz="4" w:space="0"/>
              <w:left w:val="single" w:color="auto" w:sz="4" w:space="0"/>
              <w:bottom w:val="single" w:color="000000" w:sz="4" w:space="0"/>
              <w:right w:val="single" w:color="000000" w:sz="4" w:space="0"/>
            </w:tcBorders>
            <w:noWrap/>
            <w:vAlign w:val="center"/>
          </w:tcPr>
          <w:p w14:paraId="2A7F2120">
            <w:pPr>
              <w:jc w:val="center"/>
              <w:textAlignment w:val="center"/>
              <w:rPr>
                <w:rFonts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2</w:t>
            </w:r>
          </w:p>
        </w:tc>
        <w:tc>
          <w:tcPr>
            <w:tcW w:w="1333" w:type="pct"/>
            <w:tcBorders>
              <w:top w:val="single" w:color="000000" w:sz="4" w:space="0"/>
              <w:left w:val="single" w:color="000000" w:sz="4" w:space="0"/>
              <w:bottom w:val="single" w:color="000000" w:sz="4" w:space="0"/>
              <w:right w:val="single" w:color="000000" w:sz="4" w:space="0"/>
            </w:tcBorders>
            <w:vAlign w:val="center"/>
          </w:tcPr>
          <w:p w14:paraId="1151EF79">
            <w:pPr>
              <w:textAlignment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通用</w:t>
            </w:r>
            <w:r>
              <w:rPr>
                <w:rFonts w:ascii="宋体" w:hAnsi="宋体" w:cs="宋体"/>
                <w:color w:val="000000" w:themeColor="text1"/>
                <w:sz w:val="24"/>
                <w:highlight w:val="none"/>
                <w:lang w:bidi="ar"/>
                <w14:textFill>
                  <w14:solidFill>
                    <w14:schemeClr w14:val="tx1"/>
                  </w14:solidFill>
                </w14:textFill>
              </w:rPr>
              <w:t>AI算力服务器</w:t>
            </w:r>
          </w:p>
        </w:tc>
        <w:tc>
          <w:tcPr>
            <w:tcW w:w="1826" w:type="pct"/>
            <w:tcBorders>
              <w:top w:val="single" w:color="000000" w:sz="4" w:space="0"/>
              <w:left w:val="single" w:color="000000" w:sz="4" w:space="0"/>
              <w:bottom w:val="single" w:color="000000" w:sz="4" w:space="0"/>
              <w:right w:val="single" w:color="000000" w:sz="4" w:space="0"/>
            </w:tcBorders>
            <w:vAlign w:val="center"/>
          </w:tcPr>
          <w:p w14:paraId="720196B3">
            <w:pPr>
              <w:textAlignment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详细见通用</w:t>
            </w:r>
            <w:r>
              <w:rPr>
                <w:rFonts w:ascii="宋体" w:hAnsi="宋体" w:cs="宋体"/>
                <w:color w:val="000000" w:themeColor="text1"/>
                <w:sz w:val="24"/>
                <w:highlight w:val="none"/>
                <w14:textFill>
                  <w14:solidFill>
                    <w14:schemeClr w14:val="tx1"/>
                  </w14:solidFill>
                </w14:textFill>
              </w:rPr>
              <w:t>AI算力服务器技术要求</w:t>
            </w:r>
          </w:p>
        </w:tc>
        <w:tc>
          <w:tcPr>
            <w:tcW w:w="577" w:type="pct"/>
            <w:tcBorders>
              <w:top w:val="single" w:color="000000" w:sz="4" w:space="0"/>
              <w:left w:val="single" w:color="000000" w:sz="4" w:space="0"/>
              <w:bottom w:val="single" w:color="000000" w:sz="4" w:space="0"/>
              <w:right w:val="single" w:color="auto" w:sz="4" w:space="0"/>
            </w:tcBorders>
            <w:noWrap/>
            <w:vAlign w:val="center"/>
          </w:tcPr>
          <w:p w14:paraId="611CAC7B">
            <w:pPr>
              <w:ind w:firstLine="360" w:firstLineChars="150"/>
              <w:textAlignment w:val="center"/>
              <w:rPr>
                <w:rFonts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5</w:t>
            </w:r>
          </w:p>
        </w:tc>
        <w:tc>
          <w:tcPr>
            <w:tcW w:w="736" w:type="pct"/>
            <w:tcBorders>
              <w:top w:val="single" w:color="000000" w:sz="4" w:space="0"/>
              <w:left w:val="single" w:color="000000" w:sz="4" w:space="0"/>
              <w:bottom w:val="single" w:color="000000" w:sz="4" w:space="0"/>
              <w:right w:val="single" w:color="auto" w:sz="4" w:space="0"/>
            </w:tcBorders>
            <w:noWrap/>
            <w:vAlign w:val="center"/>
          </w:tcPr>
          <w:p w14:paraId="3E58B76F">
            <w:pPr>
              <w:ind w:firstLine="360" w:firstLineChars="150"/>
              <w:textAlignment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工业</w:t>
            </w:r>
          </w:p>
        </w:tc>
      </w:tr>
    </w:tbl>
    <w:p w14:paraId="5F846126">
      <w:pPr>
        <w:pStyle w:val="236"/>
        <w:spacing w:line="440" w:lineRule="exact"/>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w:t>
      </w:r>
    </w:p>
    <w:p w14:paraId="2A6F5E3D">
      <w:pPr>
        <w:pStyle w:val="236"/>
        <w:spacing w:line="440" w:lineRule="exact"/>
        <w:ind w:firstLine="480"/>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bidi="ar"/>
          <w14:textFill>
            <w14:solidFill>
              <w14:schemeClr w14:val="tx1"/>
            </w14:solidFill>
          </w14:textFill>
        </w:rPr>
        <w:t>（1）</w:t>
      </w:r>
      <w:r>
        <w:rPr>
          <w:rFonts w:ascii="宋体" w:hAnsi="宋体" w:eastAsia="宋体" w:cs="宋体"/>
          <w:b/>
          <w:color w:val="000000" w:themeColor="text1"/>
          <w:sz w:val="24"/>
          <w:szCs w:val="24"/>
          <w:highlight w:val="none"/>
          <w:lang w:bidi="ar"/>
          <w14:textFill>
            <w14:solidFill>
              <w14:schemeClr w14:val="tx1"/>
            </w14:solidFill>
          </w14:textFill>
        </w:rPr>
        <w:t>核心产品：本项目的核心产品为高端AI算力服务器。</w:t>
      </w:r>
    </w:p>
    <w:p w14:paraId="4E518286">
      <w:pPr>
        <w:pStyle w:val="236"/>
        <w:spacing w:line="440" w:lineRule="exact"/>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2）提供相同品牌核心产品且通过资格审查、符合性审查的不同投标人参加同一合同项下投标的，按一家投标人计算，评审后得分最高的同品牌投标人获得中标人推荐资格。</w:t>
      </w:r>
    </w:p>
    <w:p w14:paraId="6C772C26">
      <w:pPr>
        <w:tabs>
          <w:tab w:val="left" w:pos="993"/>
        </w:tabs>
        <w:snapToGrid w:val="0"/>
        <w:spacing w:line="480" w:lineRule="exact"/>
        <w:ind w:firstLine="241" w:firstLineChars="100"/>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w:t>
      </w:r>
      <w:r>
        <w:rPr>
          <w:rFonts w:hint="eastAsia" w:ascii="宋体" w:hAnsi="宋体" w:cs="宋体"/>
          <w:b/>
          <w:bCs/>
          <w:color w:val="000000" w:themeColor="text1"/>
          <w:sz w:val="24"/>
          <w:highlight w:val="none"/>
          <w:lang w:bidi="ar"/>
          <w14:textFill>
            <w14:solidFill>
              <w14:schemeClr w14:val="tx1"/>
            </w14:solidFill>
          </w14:textFill>
        </w:rPr>
        <w:t>主要设备具体技术参数要求</w:t>
      </w:r>
    </w:p>
    <w:p w14:paraId="7E17CEF1">
      <w:pPr>
        <w:tabs>
          <w:tab w:val="left" w:pos="993"/>
        </w:tabs>
        <w:snapToGrid w:val="0"/>
        <w:spacing w:line="480" w:lineRule="exact"/>
        <w:ind w:firstLine="482" w:firstLineChars="200"/>
        <w:rPr>
          <w:rFonts w:ascii="宋体" w:hAnsi="宋体" w:cs="宋体"/>
          <w:b/>
          <w:color w:val="000000" w:themeColor="text1"/>
          <w:sz w:val="24"/>
          <w:highlight w:val="none"/>
          <w:lang w:bidi="ar"/>
          <w14:textFill>
            <w14:solidFill>
              <w14:schemeClr w14:val="tx1"/>
            </w14:solidFill>
          </w14:textFill>
        </w:rPr>
      </w:pPr>
      <w:r>
        <w:rPr>
          <w:rFonts w:ascii="宋体" w:hAnsi="宋体" w:cs="宋体"/>
          <w:b/>
          <w:color w:val="000000" w:themeColor="text1"/>
          <w:sz w:val="24"/>
          <w:highlight w:val="none"/>
          <w:lang w:bidi="ar"/>
          <w14:textFill>
            <w14:solidFill>
              <w14:schemeClr w14:val="tx1"/>
            </w14:solidFill>
          </w14:textFill>
        </w:rPr>
        <w:t>1、高端AI算力服务器</w:t>
      </w:r>
    </w:p>
    <w:tbl>
      <w:tblPr>
        <w:tblStyle w:val="38"/>
        <w:tblpPr w:leftFromText="180" w:rightFromText="180" w:vertAnchor="text" w:horzAnchor="margin" w:tblpXSpec="center" w:tblpY="232"/>
        <w:tblW w:w="48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458"/>
        <w:gridCol w:w="1401"/>
        <w:gridCol w:w="6175"/>
      </w:tblGrid>
      <w:tr w14:paraId="6C54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shd w:val="clear" w:color="000000" w:fill="auto"/>
            <w:vAlign w:val="center"/>
          </w:tcPr>
          <w:p w14:paraId="693CCEEE">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773" w:type="pct"/>
            <w:shd w:val="clear" w:color="000000" w:fill="auto"/>
            <w:vAlign w:val="center"/>
          </w:tcPr>
          <w:p w14:paraId="37263D4B">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一级指标</w:t>
            </w:r>
          </w:p>
        </w:tc>
        <w:tc>
          <w:tcPr>
            <w:tcW w:w="743" w:type="pct"/>
            <w:shd w:val="clear" w:color="000000" w:fill="auto"/>
            <w:vAlign w:val="center"/>
          </w:tcPr>
          <w:p w14:paraId="4027850D">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二级指标</w:t>
            </w:r>
          </w:p>
        </w:tc>
        <w:tc>
          <w:tcPr>
            <w:tcW w:w="3273" w:type="pct"/>
            <w:shd w:val="clear" w:color="000000" w:fill="auto"/>
            <w:vAlign w:val="center"/>
          </w:tcPr>
          <w:p w14:paraId="72D43BD7">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技术要求</w:t>
            </w:r>
          </w:p>
        </w:tc>
      </w:tr>
      <w:tr w14:paraId="502E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FAB10D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2C51728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★CPU规格</w:t>
            </w:r>
          </w:p>
        </w:tc>
        <w:tc>
          <w:tcPr>
            <w:tcW w:w="743" w:type="pct"/>
            <w:shd w:val="clear" w:color="000000" w:fill="FFFFFF"/>
            <w:vAlign w:val="center"/>
          </w:tcPr>
          <w:p w14:paraId="1AE30F4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★CPU信息</w:t>
            </w:r>
          </w:p>
        </w:tc>
        <w:tc>
          <w:tcPr>
            <w:tcW w:w="3273" w:type="pct"/>
            <w:shd w:val="clear" w:color="000000" w:fill="FFFFFF"/>
            <w:vAlign w:val="center"/>
          </w:tcPr>
          <w:p w14:paraId="5DDE1F3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sz w:val="24"/>
                <w:highlight w:val="none"/>
              </w:rPr>
              <w:t>配置2颗符合安全可靠测评Ⅱ级要求的CPU处理器，每颗处理器核心数≥64核、≥128线程，基本主频≥3.0GHz、睿频 ≥3.1 GHz，≥256MB 三级缓存。</w:t>
            </w:r>
          </w:p>
        </w:tc>
      </w:tr>
      <w:tr w14:paraId="1B274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5E08E8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6FC799E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★主板规格</w:t>
            </w:r>
          </w:p>
        </w:tc>
        <w:tc>
          <w:tcPr>
            <w:tcW w:w="743" w:type="pct"/>
            <w:shd w:val="clear" w:color="000000" w:fill="FFFFFF"/>
            <w:vAlign w:val="center"/>
          </w:tcPr>
          <w:p w14:paraId="775287E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★主板支持的CPU和内存情况</w:t>
            </w:r>
          </w:p>
        </w:tc>
        <w:tc>
          <w:tcPr>
            <w:tcW w:w="3273" w:type="pct"/>
            <w:shd w:val="clear" w:color="000000" w:fill="FFFFFF"/>
            <w:vAlign w:val="center"/>
          </w:tcPr>
          <w:p w14:paraId="0603306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主板支持不少于 2 颗</w:t>
            </w:r>
            <w:r>
              <w:rPr>
                <w:rFonts w:hint="eastAsia" w:ascii="宋体" w:hAnsi="宋体" w:cs="宋体"/>
                <w:color w:val="000000"/>
                <w:sz w:val="24"/>
                <w:highlight w:val="none"/>
              </w:rPr>
              <w:t>符合安全可靠测评Ⅱ级要求的CPU处理器</w:t>
            </w:r>
            <w:r>
              <w:rPr>
                <w:rFonts w:hint="eastAsia" w:ascii="宋体" w:hAnsi="宋体" w:cs="宋体"/>
                <w:color w:val="000000" w:themeColor="text1"/>
                <w:sz w:val="24"/>
                <w:highlight w:val="none"/>
                <w14:textFill>
                  <w14:solidFill>
                    <w14:schemeClr w14:val="tx1"/>
                  </w14:solidFill>
                </w14:textFill>
              </w:rPr>
              <w:t>，不少于 24 根 DDR5 的内存。</w:t>
            </w:r>
          </w:p>
        </w:tc>
      </w:tr>
      <w:tr w14:paraId="178B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EE2D19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AD832CF">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327441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★主板内存槽数量</w:t>
            </w:r>
          </w:p>
        </w:tc>
        <w:tc>
          <w:tcPr>
            <w:tcW w:w="3273" w:type="pct"/>
            <w:shd w:val="clear" w:color="000000" w:fill="auto"/>
            <w:vAlign w:val="center"/>
          </w:tcPr>
          <w:p w14:paraId="01E3FD9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整机具备不少于24根DDR5内存插槽。</w:t>
            </w:r>
          </w:p>
        </w:tc>
      </w:tr>
      <w:tr w14:paraId="00F6D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657D5A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E134A3E">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A094D7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★主板存储接口</w:t>
            </w:r>
          </w:p>
        </w:tc>
        <w:tc>
          <w:tcPr>
            <w:tcW w:w="3273" w:type="pct"/>
            <w:shd w:val="clear" w:color="000000" w:fill="auto"/>
            <w:vAlign w:val="center"/>
          </w:tcPr>
          <w:p w14:paraId="2635A79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至少支持SATA、SAS、M.2、U.2等存储接口中的1种。</w:t>
            </w:r>
          </w:p>
        </w:tc>
      </w:tr>
      <w:tr w14:paraId="0EA5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E7F1F5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4DF1EC3">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C1038A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★PCIe插槽接口</w:t>
            </w:r>
          </w:p>
        </w:tc>
        <w:tc>
          <w:tcPr>
            <w:tcW w:w="3273" w:type="pct"/>
            <w:shd w:val="clear" w:color="000000" w:fill="auto"/>
            <w:vAlign w:val="center"/>
          </w:tcPr>
          <w:p w14:paraId="7D418D1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应符合PCIe5.0或以上的高速串行计算机扩展总线标准，PCIe的接口速率与位宽需保证向下兼容。</w:t>
            </w:r>
          </w:p>
        </w:tc>
      </w:tr>
      <w:tr w14:paraId="0BFE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D72329E">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F3AE67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A3241A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★主板PCIe插槽数量及规格</w:t>
            </w:r>
          </w:p>
        </w:tc>
        <w:tc>
          <w:tcPr>
            <w:tcW w:w="3273" w:type="pct"/>
            <w:shd w:val="clear" w:color="000000" w:fill="auto"/>
            <w:vAlign w:val="center"/>
          </w:tcPr>
          <w:p w14:paraId="39C316D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主板PCIe插槽数量及规格：</w:t>
            </w:r>
          </w:p>
          <w:p w14:paraId="12EC851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(1)高度大于44.45mm双路或以上服务器PCIe插槽或接口应不少于5个；</w:t>
            </w:r>
          </w:p>
          <w:p w14:paraId="32CD3A6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(2)单路服务器PCIe插槽或接口应不少于4个，可通过扩展卡进行插槽扩展符合</w:t>
            </w:r>
          </w:p>
          <w:p w14:paraId="26DE42E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(3)最大支持可扩展9个PCIe5.0插槽。</w:t>
            </w:r>
          </w:p>
        </w:tc>
      </w:tr>
      <w:tr w14:paraId="358E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73A9B3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0BCD3F3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★内存规格</w:t>
            </w:r>
          </w:p>
        </w:tc>
        <w:tc>
          <w:tcPr>
            <w:tcW w:w="743" w:type="pct"/>
            <w:shd w:val="clear" w:color="000000" w:fill="FFFFFF"/>
            <w:vAlign w:val="center"/>
          </w:tcPr>
          <w:p w14:paraId="247DF62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★内存数量</w:t>
            </w:r>
          </w:p>
        </w:tc>
        <w:tc>
          <w:tcPr>
            <w:tcW w:w="3273" w:type="pct"/>
            <w:shd w:val="clear" w:color="000000" w:fill="FFFFFF"/>
            <w:vAlign w:val="center"/>
          </w:tcPr>
          <w:p w14:paraId="68E3D70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w:t>
            </w:r>
          </w:p>
        </w:tc>
      </w:tr>
      <w:tr w14:paraId="4D01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017024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9DE66C7">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DB5126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★内存规格</w:t>
            </w:r>
          </w:p>
        </w:tc>
        <w:tc>
          <w:tcPr>
            <w:tcW w:w="3273" w:type="pct"/>
            <w:shd w:val="clear" w:color="000000" w:fill="FFFFFF"/>
            <w:vAlign w:val="center"/>
          </w:tcPr>
          <w:p w14:paraId="7486729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≥64G DDR5 5600M</w:t>
            </w:r>
            <w:r>
              <w:rPr>
                <w:rFonts w:ascii="宋体" w:hAnsi="宋体" w:cs="宋体"/>
                <w:color w:val="000000" w:themeColor="text1"/>
                <w:sz w:val="24"/>
                <w:highlight w:val="none"/>
                <w14:textFill>
                  <w14:solidFill>
                    <w14:schemeClr w14:val="tx1"/>
                  </w14:solidFill>
                </w14:textFill>
              </w:rPr>
              <w:t>Hz</w:t>
            </w:r>
            <w:r>
              <w:rPr>
                <w:rFonts w:hint="eastAsia" w:ascii="宋体" w:hAnsi="宋体" w:cs="宋体"/>
                <w:color w:val="000000" w:themeColor="text1"/>
                <w:sz w:val="24"/>
                <w:highlight w:val="none"/>
                <w14:textFill>
                  <w14:solidFill>
                    <w14:schemeClr w14:val="tx1"/>
                  </w14:solidFill>
                </w14:textFill>
              </w:rPr>
              <w:t>。</w:t>
            </w:r>
          </w:p>
        </w:tc>
      </w:tr>
      <w:tr w14:paraId="0043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9638B3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B72857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0A434E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★内存通道</w:t>
            </w:r>
          </w:p>
        </w:tc>
        <w:tc>
          <w:tcPr>
            <w:tcW w:w="3273" w:type="pct"/>
            <w:shd w:val="clear" w:color="000000" w:fill="FFFFFF"/>
            <w:vAlign w:val="center"/>
          </w:tcPr>
          <w:p w14:paraId="61AE4D8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支持≥24内存接口通道，每个通道可支持1DPC</w:t>
            </w:r>
          </w:p>
        </w:tc>
      </w:tr>
      <w:tr w14:paraId="6FDF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73D2060">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7DE3A7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★存储规格</w:t>
            </w:r>
          </w:p>
        </w:tc>
        <w:tc>
          <w:tcPr>
            <w:tcW w:w="743" w:type="pct"/>
            <w:shd w:val="clear" w:color="000000" w:fill="FFFFFF"/>
            <w:vAlign w:val="center"/>
          </w:tcPr>
          <w:p w14:paraId="474C055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★硬磁盘实配容量</w:t>
            </w:r>
          </w:p>
        </w:tc>
        <w:tc>
          <w:tcPr>
            <w:tcW w:w="3273" w:type="pct"/>
            <w:shd w:val="clear" w:color="000000" w:fill="FFFFFF"/>
            <w:vAlign w:val="center"/>
          </w:tcPr>
          <w:p w14:paraId="1DE4F209">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配备固态盘，</w:t>
            </w:r>
            <w:r>
              <w:rPr>
                <w:rFonts w:hint="eastAsia" w:ascii="宋体" w:hAnsi="宋体" w:cs="宋体"/>
                <w:color w:val="000000" w:themeColor="text1"/>
                <w:sz w:val="24"/>
                <w:highlight w:val="none"/>
                <w14:textFill>
                  <w14:solidFill>
                    <w14:schemeClr w14:val="tx1"/>
                  </w14:solidFill>
                </w14:textFill>
              </w:rPr>
              <w:t>实配固态盘单盘容量不小于</w:t>
            </w:r>
            <w:r>
              <w:rPr>
                <w:rFonts w:ascii="宋体" w:hAnsi="宋体" w:cs="宋体"/>
                <w:color w:val="000000" w:themeColor="text1"/>
                <w:sz w:val="24"/>
                <w:highlight w:val="none"/>
                <w14:textFill>
                  <w14:solidFill>
                    <w14:schemeClr w14:val="tx1"/>
                  </w14:solidFill>
                </w14:textFill>
              </w:rPr>
              <w:t>480GB，NVMe SSD</w:t>
            </w:r>
            <w:r>
              <w:rPr>
                <w:rFonts w:hint="eastAsia" w:ascii="宋体" w:hAnsi="宋体" w:cs="宋体"/>
                <w:color w:val="000000" w:themeColor="text1"/>
                <w:sz w:val="24"/>
                <w:highlight w:val="none"/>
                <w14:textFill>
                  <w14:solidFill>
                    <w14:schemeClr w14:val="tx1"/>
                  </w14:solidFill>
                </w14:textFill>
              </w:rPr>
              <w:t>单盘容量不小于</w:t>
            </w:r>
            <w:r>
              <w:rPr>
                <w:rFonts w:ascii="宋体" w:hAnsi="宋体" w:cs="宋体"/>
                <w:color w:val="000000" w:themeColor="text1"/>
                <w:sz w:val="24"/>
                <w:highlight w:val="none"/>
                <w14:textFill>
                  <w14:solidFill>
                    <w14:schemeClr w14:val="tx1"/>
                  </w14:solidFill>
                </w14:textFill>
              </w:rPr>
              <w:t>3.84TB。</w:t>
            </w:r>
          </w:p>
        </w:tc>
      </w:tr>
      <w:tr w14:paraId="4D9F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3C8F7A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BD3402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AAD520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★硬盘实配数</w:t>
            </w:r>
          </w:p>
        </w:tc>
        <w:tc>
          <w:tcPr>
            <w:tcW w:w="3273" w:type="pct"/>
            <w:shd w:val="clear" w:color="000000" w:fill="FFFFFF"/>
            <w:vAlign w:val="center"/>
          </w:tcPr>
          <w:p w14:paraId="4213CF4A">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配备固态盘，</w:t>
            </w:r>
            <w:r>
              <w:rPr>
                <w:rFonts w:hint="eastAsia" w:ascii="宋体" w:hAnsi="宋体" w:cs="宋体"/>
                <w:color w:val="000000" w:themeColor="text1"/>
                <w:sz w:val="24"/>
                <w:highlight w:val="none"/>
                <w14:textFill>
                  <w14:solidFill>
                    <w14:schemeClr w14:val="tx1"/>
                  </w14:solidFill>
                </w14:textFill>
              </w:rPr>
              <w:t>实配固态盘盘数应不小于</w:t>
            </w:r>
            <w:r>
              <w:rPr>
                <w:rFonts w:ascii="宋体" w:hAnsi="宋体" w:cs="宋体"/>
                <w:color w:val="000000" w:themeColor="text1"/>
                <w:sz w:val="24"/>
                <w:highlight w:val="none"/>
                <w14:textFill>
                  <w14:solidFill>
                    <w14:schemeClr w14:val="tx1"/>
                  </w14:solidFill>
                </w14:textFill>
              </w:rPr>
              <w:t>2块</w:t>
            </w:r>
            <w:r>
              <w:rPr>
                <w:rFonts w:hint="eastAsia" w:ascii="宋体" w:hAnsi="宋体" w:cs="宋体"/>
                <w:color w:val="000000" w:themeColor="text1"/>
                <w:sz w:val="24"/>
                <w:highlight w:val="none"/>
                <w14:textFill>
                  <w14:solidFill>
                    <w14:schemeClr w14:val="tx1"/>
                  </w14:solidFill>
                </w14:textFill>
              </w:rPr>
              <w:t>，实配</w:t>
            </w:r>
            <w:r>
              <w:rPr>
                <w:rFonts w:ascii="宋体" w:hAnsi="宋体" w:cs="宋体"/>
                <w:color w:val="000000" w:themeColor="text1"/>
                <w:sz w:val="24"/>
                <w:highlight w:val="none"/>
                <w14:textFill>
                  <w14:solidFill>
                    <w14:schemeClr w14:val="tx1"/>
                  </w14:solidFill>
                </w14:textFill>
              </w:rPr>
              <w:t>NVMe</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SSD</w:t>
            </w:r>
            <w:r>
              <w:rPr>
                <w:rFonts w:hint="eastAsia" w:ascii="宋体" w:hAnsi="宋体" w:cs="宋体"/>
                <w:color w:val="000000" w:themeColor="text1"/>
                <w:sz w:val="24"/>
                <w:highlight w:val="none"/>
                <w14:textFill>
                  <w14:solidFill>
                    <w14:schemeClr w14:val="tx1"/>
                  </w14:solidFill>
                </w14:textFill>
              </w:rPr>
              <w:t>盘数应不小于4</w:t>
            </w:r>
            <w:r>
              <w:rPr>
                <w:rFonts w:ascii="宋体" w:hAnsi="宋体" w:cs="宋体"/>
                <w:color w:val="000000" w:themeColor="text1"/>
                <w:sz w:val="24"/>
                <w:highlight w:val="none"/>
                <w14:textFill>
                  <w14:solidFill>
                    <w14:schemeClr w14:val="tx1"/>
                  </w14:solidFill>
                </w14:textFill>
              </w:rPr>
              <w:t>块。</w:t>
            </w:r>
          </w:p>
        </w:tc>
      </w:tr>
      <w:tr w14:paraId="2CDE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41E58F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E0FACAC">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7985F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★硬盘插槽数量及规格</w:t>
            </w:r>
          </w:p>
        </w:tc>
        <w:tc>
          <w:tcPr>
            <w:tcW w:w="3273" w:type="pct"/>
            <w:shd w:val="clear" w:color="000000" w:fill="FFFFFF"/>
            <w:vAlign w:val="center"/>
          </w:tcPr>
          <w:p w14:paraId="5D424D8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 12 个 2.5/3.5 寸盘位 +8 个 2.5 寸盘位，内置 2 个 M.2 插槽。</w:t>
            </w:r>
          </w:p>
        </w:tc>
      </w:tr>
      <w:tr w14:paraId="41DC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0" w:type="pct"/>
            <w:vMerge w:val="restart"/>
            <w:shd w:val="clear" w:color="000000" w:fill="FFFFFF"/>
            <w:vAlign w:val="center"/>
          </w:tcPr>
          <w:p w14:paraId="7A77B7FE">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29DDED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HBA卡规格</w:t>
            </w:r>
          </w:p>
        </w:tc>
        <w:tc>
          <w:tcPr>
            <w:tcW w:w="743" w:type="pct"/>
            <w:shd w:val="clear" w:color="000000" w:fill="FFFFFF"/>
            <w:vAlign w:val="center"/>
          </w:tcPr>
          <w:p w14:paraId="54AC273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HBA卡端口数量</w:t>
            </w:r>
          </w:p>
        </w:tc>
        <w:tc>
          <w:tcPr>
            <w:tcW w:w="3273" w:type="pct"/>
            <w:shd w:val="clear" w:color="000000" w:fill="FFFFFF"/>
            <w:vAlign w:val="center"/>
          </w:tcPr>
          <w:p w14:paraId="6482820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r>
      <w:tr w14:paraId="7A3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0" w:type="pct"/>
            <w:vMerge w:val="continue"/>
            <w:shd w:val="clear" w:color="000000" w:fill="FFFFFF"/>
            <w:vAlign w:val="center"/>
          </w:tcPr>
          <w:p w14:paraId="2C4C0BFE">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924B0BE">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D22309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RAID级别</w:t>
            </w:r>
          </w:p>
        </w:tc>
        <w:tc>
          <w:tcPr>
            <w:tcW w:w="3273" w:type="pct"/>
            <w:shd w:val="clear" w:color="000000" w:fill="FFFFFF"/>
            <w:vAlign w:val="center"/>
          </w:tcPr>
          <w:p w14:paraId="5409E11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 RAID 0/1/10/1E</w:t>
            </w:r>
          </w:p>
        </w:tc>
      </w:tr>
      <w:tr w14:paraId="1F27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8CD9790">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F2ACC8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网络规格</w:t>
            </w:r>
          </w:p>
        </w:tc>
        <w:tc>
          <w:tcPr>
            <w:tcW w:w="743" w:type="pct"/>
            <w:shd w:val="clear" w:color="000000" w:fill="FFFFFF"/>
            <w:vAlign w:val="center"/>
          </w:tcPr>
          <w:p w14:paraId="087889A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★网口速率和数量</w:t>
            </w:r>
          </w:p>
        </w:tc>
        <w:tc>
          <w:tcPr>
            <w:tcW w:w="3273" w:type="pct"/>
            <w:shd w:val="clear" w:color="000000" w:fill="FFFFFF"/>
            <w:vAlign w:val="center"/>
          </w:tcPr>
          <w:p w14:paraId="3A69737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（1）配备网口1数量不少于2个，且网口速率不少于25GE。</w:t>
            </w:r>
          </w:p>
          <w:p w14:paraId="59132E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（2）配备网口2数量不少于2个，且网口速率不少于1GE。</w:t>
            </w:r>
          </w:p>
        </w:tc>
      </w:tr>
      <w:tr w14:paraId="7015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B006E3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40D00F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9E612D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高性能独立网卡配置规格</w:t>
            </w:r>
          </w:p>
        </w:tc>
        <w:tc>
          <w:tcPr>
            <w:tcW w:w="3273" w:type="pct"/>
            <w:shd w:val="clear" w:color="000000" w:fill="FFFFFF"/>
            <w:vAlign w:val="center"/>
          </w:tcPr>
          <w:p w14:paraId="771D46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单端口200GB高性能网卡</w:t>
            </w:r>
          </w:p>
        </w:tc>
      </w:tr>
      <w:tr w14:paraId="52C3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78277B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CB2661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3F4CFF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高性能独立网卡数量</w:t>
            </w:r>
          </w:p>
        </w:tc>
        <w:tc>
          <w:tcPr>
            <w:tcW w:w="3273" w:type="pct"/>
            <w:shd w:val="clear" w:color="000000" w:fill="FFFFFF"/>
            <w:vAlign w:val="center"/>
          </w:tcPr>
          <w:p w14:paraId="29C6C1E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配置不少于8个单端口200Gb高性能网卡。</w:t>
            </w:r>
          </w:p>
        </w:tc>
      </w:tr>
      <w:tr w14:paraId="3054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238A65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F7F18C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★外部接口规格</w:t>
            </w:r>
          </w:p>
        </w:tc>
        <w:tc>
          <w:tcPr>
            <w:tcW w:w="743" w:type="pct"/>
            <w:shd w:val="clear" w:color="000000" w:fill="FFFFFF"/>
            <w:vAlign w:val="center"/>
          </w:tcPr>
          <w:p w14:paraId="06660BE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★显示接口</w:t>
            </w:r>
          </w:p>
        </w:tc>
        <w:tc>
          <w:tcPr>
            <w:tcW w:w="3273" w:type="pct"/>
            <w:shd w:val="clear" w:color="000000" w:fill="FFFFFF"/>
            <w:vAlign w:val="center"/>
          </w:tcPr>
          <w:p w14:paraId="4E0BC37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显示接口类型应不少于1种，如：VGA、DP、HDMI等。</w:t>
            </w:r>
          </w:p>
        </w:tc>
      </w:tr>
      <w:tr w14:paraId="5705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B4BDE5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276F76A">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47DB97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★USB接口</w:t>
            </w:r>
          </w:p>
        </w:tc>
        <w:tc>
          <w:tcPr>
            <w:tcW w:w="3273" w:type="pct"/>
            <w:shd w:val="clear" w:color="000000" w:fill="FFFFFF"/>
            <w:vAlign w:val="center"/>
          </w:tcPr>
          <w:p w14:paraId="64CDC22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配备USB接口，如USB2.0、USB3.0等。</w:t>
            </w:r>
          </w:p>
        </w:tc>
      </w:tr>
      <w:tr w14:paraId="699D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D31C98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3F5DC31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★电源规格</w:t>
            </w:r>
          </w:p>
        </w:tc>
        <w:tc>
          <w:tcPr>
            <w:tcW w:w="743" w:type="pct"/>
            <w:shd w:val="clear" w:color="000000" w:fill="FFFFFF"/>
            <w:vAlign w:val="center"/>
          </w:tcPr>
          <w:p w14:paraId="0440E46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★电源模块数量</w:t>
            </w:r>
          </w:p>
        </w:tc>
        <w:tc>
          <w:tcPr>
            <w:tcW w:w="3273" w:type="pct"/>
            <w:shd w:val="clear" w:color="000000" w:fill="FFFFFF"/>
            <w:vAlign w:val="center"/>
          </w:tcPr>
          <w:p w14:paraId="6C66B64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r>
      <w:tr w14:paraId="56AEF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AE6001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B740AE6">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212565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★电源功率</w:t>
            </w:r>
          </w:p>
        </w:tc>
        <w:tc>
          <w:tcPr>
            <w:tcW w:w="3273" w:type="pct"/>
            <w:shd w:val="clear" w:color="000000" w:fill="FFFFFF"/>
            <w:vAlign w:val="center"/>
          </w:tcPr>
          <w:p w14:paraId="771AB22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电源模块功率应有一定冗余，满足处理器满载时的需求。支持2700W/3300W冗余电源配置。</w:t>
            </w:r>
          </w:p>
        </w:tc>
      </w:tr>
      <w:tr w14:paraId="122A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10" w:type="pct"/>
            <w:shd w:val="clear" w:color="000000" w:fill="FFFFFF"/>
            <w:vAlign w:val="center"/>
          </w:tcPr>
          <w:p w14:paraId="23E1591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F5BE44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★整机规格</w:t>
            </w:r>
          </w:p>
        </w:tc>
        <w:tc>
          <w:tcPr>
            <w:tcW w:w="743" w:type="pct"/>
            <w:shd w:val="clear" w:color="000000" w:fill="FFFFFF"/>
            <w:vAlign w:val="center"/>
          </w:tcPr>
          <w:p w14:paraId="094AFC9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★外观和结构</w:t>
            </w:r>
          </w:p>
        </w:tc>
        <w:tc>
          <w:tcPr>
            <w:tcW w:w="3273" w:type="pct"/>
            <w:shd w:val="clear" w:color="000000" w:fill="FFFFFF"/>
            <w:vAlign w:val="center"/>
          </w:tcPr>
          <w:p w14:paraId="0552A4A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(1)服务器的零部件应紧固无松动，可插拔部件应可靠连接，开关、按钮和其它控制部件应灵活可靠，布局应方便使用；</w:t>
            </w:r>
          </w:p>
          <w:p w14:paraId="5983DB7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(2)产品表面不应有明显的凹痕、划伤、裂缝、变形和污染等。表面涂层均匀，不应起泡、龟裂、脱落和磨损，金属零部件无锈蚀及其它机械损伤；</w:t>
            </w:r>
          </w:p>
          <w:p w14:paraId="792B027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(3)产品表面说明功能的文字、符号和标志应清晰、端正且牢固；</w:t>
            </w:r>
          </w:p>
          <w:p w14:paraId="37DDEAF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(4)应在服务器的显著位置提供运行状态的指示功能，并在随机文件中明确具体含义；</w:t>
            </w:r>
          </w:p>
          <w:p w14:paraId="110DF6B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(5)机架、机箱的尺寸应符合通用机柜的安装要求，插入总线插座的电路板接口外形尺寸应符合有关总线标准的规定，将机箱固定在机柜上，机箱底面最大下垂变形不得干涉相邻机体；</w:t>
            </w:r>
          </w:p>
          <w:p w14:paraId="43ABBB4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(6)高密度服务器应给出CPU个数与机柜高度；</w:t>
            </w:r>
          </w:p>
          <w:p w14:paraId="3921773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(7)服务器尺寸具体要求在随机文件中明确。</w:t>
            </w:r>
          </w:p>
        </w:tc>
      </w:tr>
      <w:tr w14:paraId="38811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2688766">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A250CD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03F666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★尺寸（高×宽×深）</w:t>
            </w:r>
          </w:p>
        </w:tc>
        <w:tc>
          <w:tcPr>
            <w:tcW w:w="3273" w:type="pct"/>
            <w:shd w:val="clear" w:color="000000" w:fill="FFFFFF"/>
            <w:vAlign w:val="center"/>
          </w:tcPr>
          <w:p w14:paraId="3B95C2F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服务器尺寸长度应不高于</w:t>
            </w: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55</w:t>
            </w:r>
            <w:r>
              <w:rPr>
                <w:rFonts w:ascii="宋体" w:hAnsi="宋体" w:cs="宋体"/>
                <w:color w:val="000000" w:themeColor="text1"/>
                <w:sz w:val="24"/>
                <w:highlight w:val="none"/>
                <w14:textFill>
                  <w14:solidFill>
                    <w14:schemeClr w14:val="tx1"/>
                  </w14:solidFill>
                </w14:textFill>
              </w:rPr>
              <w:t>mm</w:t>
            </w:r>
            <w:r>
              <w:rPr>
                <w:rFonts w:hint="eastAsia" w:ascii="宋体" w:hAnsi="宋体" w:cs="宋体"/>
                <w:color w:val="000000" w:themeColor="text1"/>
                <w:sz w:val="24"/>
                <w:highlight w:val="none"/>
                <w14:textFill>
                  <w14:solidFill>
                    <w14:schemeClr w14:val="tx1"/>
                  </w14:solidFill>
                </w14:textFill>
              </w:rPr>
              <w:t>、宽度不高于</w:t>
            </w: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82</w:t>
            </w:r>
            <w:r>
              <w:rPr>
                <w:rFonts w:ascii="宋体" w:hAnsi="宋体" w:cs="宋体"/>
                <w:color w:val="000000" w:themeColor="text1"/>
                <w:sz w:val="24"/>
                <w:highlight w:val="none"/>
                <w14:textFill>
                  <w14:solidFill>
                    <w14:schemeClr w14:val="tx1"/>
                  </w14:solidFill>
                </w14:textFill>
              </w:rPr>
              <w:t>mm</w:t>
            </w:r>
            <w:r>
              <w:rPr>
                <w:rFonts w:hint="eastAsia" w:ascii="宋体" w:hAnsi="宋体" w:cs="宋体"/>
                <w:color w:val="000000" w:themeColor="text1"/>
                <w:sz w:val="24"/>
                <w:highlight w:val="none"/>
                <w14:textFill>
                  <w14:solidFill>
                    <w14:schemeClr w14:val="tx1"/>
                  </w14:solidFill>
                </w14:textFill>
              </w:rPr>
              <w:t>、高度不高于352</w:t>
            </w:r>
            <w:r>
              <w:rPr>
                <w:rFonts w:ascii="宋体" w:hAnsi="宋体" w:cs="宋体"/>
                <w:color w:val="000000" w:themeColor="text1"/>
                <w:sz w:val="24"/>
                <w:highlight w:val="none"/>
                <w14:textFill>
                  <w14:solidFill>
                    <w14:schemeClr w14:val="tx1"/>
                  </w14:solidFill>
                </w14:textFill>
              </w:rPr>
              <w:t>mm</w:t>
            </w:r>
            <w:r>
              <w:rPr>
                <w:rFonts w:hint="eastAsia" w:ascii="宋体" w:hAnsi="宋体" w:cs="宋体"/>
                <w:color w:val="000000" w:themeColor="text1"/>
                <w:sz w:val="24"/>
                <w:highlight w:val="none"/>
                <w14:textFill>
                  <w14:solidFill>
                    <w14:schemeClr w14:val="tx1"/>
                  </w14:solidFill>
                </w14:textFill>
              </w:rPr>
              <w:t>；设计应遵循标准化、系列化的要求；机箱的内部结构符合通用部件的安装需要</w:t>
            </w:r>
          </w:p>
        </w:tc>
      </w:tr>
      <w:tr w14:paraId="0E61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1236F8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6D540E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6C06E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★环境适应性</w:t>
            </w:r>
          </w:p>
        </w:tc>
        <w:tc>
          <w:tcPr>
            <w:tcW w:w="3273" w:type="pct"/>
            <w:shd w:val="clear" w:color="000000" w:fill="FFFFFF"/>
            <w:vAlign w:val="center"/>
          </w:tcPr>
          <w:p w14:paraId="6C324A9F">
            <w:pPr>
              <w:numPr>
                <w:ilvl w:val="255"/>
                <w:numId w:val="0"/>
              </w:num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气候环境适应性应符合GB/T9813.3的有关规定，工作温度5～35℃，工作湿度：35%～80%RH；</w:t>
            </w:r>
          </w:p>
          <w:p w14:paraId="6FC53FC2">
            <w:pPr>
              <w:numPr>
                <w:ilvl w:val="255"/>
                <w:numId w:val="0"/>
              </w:num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贮存运输：温度-40℃～60℃/湿度20%～93%RH非凝结。</w:t>
            </w:r>
          </w:p>
        </w:tc>
      </w:tr>
      <w:tr w14:paraId="4B87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7608AE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C52976C">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08EBC2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★机械环境适应性</w:t>
            </w:r>
          </w:p>
        </w:tc>
        <w:tc>
          <w:tcPr>
            <w:tcW w:w="3273" w:type="pct"/>
            <w:shd w:val="clear" w:color="000000" w:fill="FFFFFF"/>
            <w:vAlign w:val="center"/>
          </w:tcPr>
          <w:p w14:paraId="4CE26DF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机械环境适应性应符合GB/T 9813.3的有关规定。</w:t>
            </w:r>
          </w:p>
        </w:tc>
      </w:tr>
      <w:tr w14:paraId="68BD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6EA62D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0E5882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75DFFD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★噪声</w:t>
            </w:r>
          </w:p>
        </w:tc>
        <w:tc>
          <w:tcPr>
            <w:tcW w:w="3273" w:type="pct"/>
            <w:shd w:val="clear" w:color="000000" w:fill="FFFFFF"/>
            <w:vAlign w:val="center"/>
          </w:tcPr>
          <w:p w14:paraId="72DBC15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符合GB/T 9813.3的有关规定。</w:t>
            </w:r>
          </w:p>
        </w:tc>
      </w:tr>
      <w:tr w14:paraId="158E7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9FA9BB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E2B6B4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AI计算单元规格</w:t>
            </w:r>
          </w:p>
        </w:tc>
        <w:tc>
          <w:tcPr>
            <w:tcW w:w="743" w:type="pct"/>
            <w:shd w:val="clear" w:color="000000" w:fill="FFFFFF"/>
            <w:vAlign w:val="center"/>
          </w:tcPr>
          <w:p w14:paraId="6246BDD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w:t>
            </w:r>
          </w:p>
        </w:tc>
        <w:tc>
          <w:tcPr>
            <w:tcW w:w="3273" w:type="pct"/>
            <w:shd w:val="clear" w:color="000000" w:fill="FFFFFF"/>
            <w:vAlign w:val="center"/>
          </w:tcPr>
          <w:p w14:paraId="184FA4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采用GPGPU架构，单计算单元双精度浮点算力 FP64≥22 TFLOPS，单精度浮点算力FP32≥44 TFLOPS，TF32≥177 TFLOPS，半精度浮点算力FP16≥354 TFLOPS，BF16≥354 TFLOPS，低精度浮点算力FP8≥708 TFLOPS。</w:t>
            </w:r>
          </w:p>
        </w:tc>
      </w:tr>
      <w:tr w14:paraId="45A4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A8477CE">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9D5E59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CB83A8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▲AI计算单元数量类型</w:t>
            </w:r>
          </w:p>
        </w:tc>
        <w:tc>
          <w:tcPr>
            <w:tcW w:w="3273" w:type="pct"/>
            <w:shd w:val="clear" w:color="000000" w:fill="FFFFFF"/>
            <w:vAlign w:val="center"/>
          </w:tcPr>
          <w:p w14:paraId="739A31A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单台服务器配置至少8张符合国家安全可靠测评</w:t>
            </w:r>
            <w:r>
              <w:rPr>
                <w:rFonts w:ascii="宋体" w:hAnsi="宋体" w:cs="宋体"/>
                <w:color w:val="000000" w:themeColor="text1"/>
                <w:sz w:val="24"/>
                <w:highlight w:val="none"/>
                <w14:textFill>
                  <w14:solidFill>
                    <w14:schemeClr w14:val="tx1"/>
                  </w14:solidFill>
                </w14:textFill>
              </w:rPr>
              <w:t>I</w:t>
            </w:r>
            <w:r>
              <w:rPr>
                <w:rFonts w:hint="eastAsia" w:ascii="宋体" w:hAnsi="宋体" w:cs="宋体"/>
                <w:color w:val="000000" w:themeColor="text1"/>
                <w:sz w:val="24"/>
                <w:highlight w:val="none"/>
                <w14:textFill>
                  <w14:solidFill>
                    <w14:schemeClr w14:val="tx1"/>
                  </w14:solidFill>
                </w14:textFill>
              </w:rPr>
              <w:t>级要求的</w:t>
            </w:r>
            <w:r>
              <w:rPr>
                <w:rFonts w:ascii="宋体" w:hAnsi="宋体" w:cs="宋体"/>
                <w:color w:val="000000" w:themeColor="text1"/>
                <w:sz w:val="24"/>
                <w:highlight w:val="none"/>
                <w14:textFill>
                  <w14:solidFill>
                    <w14:schemeClr w14:val="tx1"/>
                  </w14:solidFill>
                </w14:textFill>
              </w:rPr>
              <w:t>AI</w:t>
            </w:r>
            <w:r>
              <w:rPr>
                <w:rFonts w:hint="eastAsia" w:ascii="宋体" w:hAnsi="宋体" w:cs="宋体"/>
                <w:color w:val="000000" w:themeColor="text1"/>
                <w:sz w:val="24"/>
                <w:highlight w:val="none"/>
                <w14:textFill>
                  <w14:solidFill>
                    <w14:schemeClr w14:val="tx1"/>
                  </w14:solidFill>
                </w14:textFill>
              </w:rPr>
              <w:t>芯片。</w:t>
            </w:r>
          </w:p>
        </w:tc>
      </w:tr>
      <w:tr w14:paraId="1095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2A4CF3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C05F583">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F82020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▲AI计算单元显存</w:t>
            </w:r>
          </w:p>
        </w:tc>
        <w:tc>
          <w:tcPr>
            <w:tcW w:w="3273" w:type="pct"/>
            <w:vAlign w:val="center"/>
          </w:tcPr>
          <w:p w14:paraId="22DF3D0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单卡显存不小于144GB HBM3，显存带宽不小于2.4TB/s。</w:t>
            </w:r>
          </w:p>
        </w:tc>
      </w:tr>
      <w:tr w14:paraId="726D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441657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FC1817E">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4CDFEC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▲AI计算单元接口</w:t>
            </w:r>
          </w:p>
        </w:tc>
        <w:tc>
          <w:tcPr>
            <w:tcW w:w="3273" w:type="pct"/>
            <w:vAlign w:val="center"/>
          </w:tcPr>
          <w:p w14:paraId="5E8969F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应支持16通道PCIe 5.0。</w:t>
            </w:r>
          </w:p>
        </w:tc>
      </w:tr>
      <w:tr w14:paraId="633B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37FE84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B24514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4FF63B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▲AI计算单元卡间互联速率</w:t>
            </w:r>
          </w:p>
        </w:tc>
        <w:tc>
          <w:tcPr>
            <w:tcW w:w="3273" w:type="pct"/>
            <w:vAlign w:val="center"/>
          </w:tcPr>
          <w:p w14:paraId="669F84C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应支持计算节点内部GPU卡间互联，支持8卡互联（卡间互联带宽不低于448GB/s）。</w:t>
            </w:r>
          </w:p>
        </w:tc>
      </w:tr>
      <w:tr w14:paraId="1144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35CD191">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74C7893">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905200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▲AI计算单元功耗规格</w:t>
            </w:r>
          </w:p>
        </w:tc>
        <w:tc>
          <w:tcPr>
            <w:tcW w:w="3273" w:type="pct"/>
            <w:vAlign w:val="center"/>
          </w:tcPr>
          <w:p w14:paraId="0B2798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单卡最大TDP功耗不超过800W。</w:t>
            </w:r>
          </w:p>
        </w:tc>
      </w:tr>
      <w:tr w14:paraId="1712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5374FA6">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2ABE3D9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AI计算单元配件规格</w:t>
            </w:r>
          </w:p>
        </w:tc>
        <w:tc>
          <w:tcPr>
            <w:tcW w:w="743" w:type="pct"/>
            <w:shd w:val="clear" w:color="000000" w:fill="FFFFFF"/>
            <w:vAlign w:val="center"/>
          </w:tcPr>
          <w:p w14:paraId="1EC23B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AI计算单元桥接器</w:t>
            </w:r>
          </w:p>
        </w:tc>
        <w:tc>
          <w:tcPr>
            <w:tcW w:w="3273" w:type="pct"/>
            <w:vAlign w:val="center"/>
          </w:tcPr>
          <w:p w14:paraId="011A0E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无需配置</w:t>
            </w:r>
          </w:p>
        </w:tc>
      </w:tr>
      <w:tr w14:paraId="7299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071FC1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2FEA10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机柜规格</w:t>
            </w:r>
          </w:p>
        </w:tc>
        <w:tc>
          <w:tcPr>
            <w:tcW w:w="743" w:type="pct"/>
            <w:shd w:val="clear" w:color="000000" w:fill="FFFFFF"/>
            <w:vAlign w:val="center"/>
          </w:tcPr>
          <w:p w14:paraId="62EB314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★机柜尺寸</w:t>
            </w:r>
          </w:p>
        </w:tc>
        <w:tc>
          <w:tcPr>
            <w:tcW w:w="3273" w:type="pct"/>
            <w:shd w:val="clear" w:color="000000" w:fill="FFFFFF"/>
            <w:vAlign w:val="center"/>
          </w:tcPr>
          <w:p w14:paraId="2B46225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无机柜要求，本次不采购机柜</w:t>
            </w:r>
          </w:p>
        </w:tc>
      </w:tr>
      <w:tr w14:paraId="0948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3983ED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F14BD1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★主板功能</w:t>
            </w:r>
          </w:p>
        </w:tc>
        <w:tc>
          <w:tcPr>
            <w:tcW w:w="743" w:type="pct"/>
            <w:shd w:val="clear" w:color="000000" w:fill="FFFFFF"/>
            <w:vAlign w:val="center"/>
          </w:tcPr>
          <w:p w14:paraId="4CBCBA2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★主板外部接口种类</w:t>
            </w:r>
          </w:p>
        </w:tc>
        <w:tc>
          <w:tcPr>
            <w:tcW w:w="3273" w:type="pct"/>
            <w:shd w:val="clear" w:color="000000" w:fill="FFFFFF"/>
            <w:vAlign w:val="center"/>
          </w:tcPr>
          <w:p w14:paraId="01EC9D6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前置：不少于2个USB、1个VGA；</w:t>
            </w:r>
          </w:p>
          <w:p w14:paraId="30081B3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后置：不少于1个VGA、2个USB、1个管理网口。</w:t>
            </w:r>
          </w:p>
        </w:tc>
      </w:tr>
      <w:tr w14:paraId="6916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1FC210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15E1E2B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★网络功能</w:t>
            </w:r>
          </w:p>
        </w:tc>
        <w:tc>
          <w:tcPr>
            <w:tcW w:w="743" w:type="pct"/>
            <w:shd w:val="clear" w:color="000000" w:fill="FFFFFF"/>
            <w:vAlign w:val="center"/>
          </w:tcPr>
          <w:p w14:paraId="70DB01A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★网络功能</w:t>
            </w:r>
          </w:p>
        </w:tc>
        <w:tc>
          <w:tcPr>
            <w:tcW w:w="3273" w:type="pct"/>
            <w:shd w:val="clear" w:color="000000" w:fill="FFFFFF"/>
            <w:vAlign w:val="center"/>
          </w:tcPr>
          <w:p w14:paraId="4E7390A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应支持网络连接、网络访问、数据交换和网络管控功能。</w:t>
            </w:r>
          </w:p>
        </w:tc>
      </w:tr>
      <w:tr w14:paraId="477C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0158D6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105FB80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★CPU功能</w:t>
            </w:r>
          </w:p>
        </w:tc>
        <w:tc>
          <w:tcPr>
            <w:tcW w:w="743" w:type="pct"/>
            <w:shd w:val="clear" w:color="000000" w:fill="FFFFFF"/>
            <w:vAlign w:val="center"/>
          </w:tcPr>
          <w:p w14:paraId="1292D26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★计算处理</w:t>
            </w:r>
          </w:p>
        </w:tc>
        <w:tc>
          <w:tcPr>
            <w:tcW w:w="3273" w:type="pct"/>
            <w:shd w:val="clear" w:color="000000" w:fill="FFFFFF"/>
            <w:vAlign w:val="center"/>
          </w:tcPr>
          <w:p w14:paraId="68819AD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应支持通用计算及虚拟化功能。处理器需集成整型计算单元、浮点计算单元、内存控制器、I/O模块等，处理器与存储部件、网络部件、I/O部件等组成计算系统，提供数据处理、网络接入等计算相关功能。</w:t>
            </w:r>
          </w:p>
        </w:tc>
      </w:tr>
      <w:tr w14:paraId="79A8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05F692E">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1EC5F8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D681E3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★密码算法实现</w:t>
            </w:r>
          </w:p>
        </w:tc>
        <w:tc>
          <w:tcPr>
            <w:tcW w:w="3273" w:type="pct"/>
            <w:shd w:val="clear" w:color="000000" w:fill="FFFFFF"/>
            <w:vAlign w:val="center"/>
          </w:tcPr>
          <w:p w14:paraId="64E7FD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CPU芯片应符合GM/T0008的相关规定，或芯片密码模块应符合GM/T 0028的相关规定。</w:t>
            </w:r>
          </w:p>
        </w:tc>
      </w:tr>
      <w:tr w14:paraId="011EE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E202C8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0F4DAB6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★电源功能</w:t>
            </w:r>
          </w:p>
        </w:tc>
        <w:tc>
          <w:tcPr>
            <w:tcW w:w="743" w:type="pct"/>
            <w:shd w:val="clear" w:color="000000" w:fill="FFFFFF"/>
            <w:vAlign w:val="center"/>
          </w:tcPr>
          <w:p w14:paraId="4D51538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★电源热插拔</w:t>
            </w:r>
          </w:p>
        </w:tc>
        <w:tc>
          <w:tcPr>
            <w:tcW w:w="3273" w:type="pct"/>
            <w:shd w:val="clear" w:color="000000" w:fill="FFFFFF"/>
            <w:vAlign w:val="center"/>
          </w:tcPr>
          <w:p w14:paraId="380110A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整机电源模块应具备热插拔功能。</w:t>
            </w:r>
          </w:p>
        </w:tc>
      </w:tr>
      <w:tr w14:paraId="0095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7F6AF56">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D0B941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91DC29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★电源过流保护</w:t>
            </w:r>
          </w:p>
        </w:tc>
        <w:tc>
          <w:tcPr>
            <w:tcW w:w="3273" w:type="pct"/>
            <w:shd w:val="clear" w:color="000000" w:fill="FFFFFF"/>
            <w:vAlign w:val="center"/>
          </w:tcPr>
          <w:p w14:paraId="0BEEF5F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应支持过流及短路保护的功能。</w:t>
            </w:r>
          </w:p>
        </w:tc>
      </w:tr>
      <w:tr w14:paraId="0EF1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8C12BA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7D762AB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★整机功能</w:t>
            </w:r>
          </w:p>
        </w:tc>
        <w:tc>
          <w:tcPr>
            <w:tcW w:w="743" w:type="pct"/>
            <w:shd w:val="clear" w:color="000000" w:fill="FFFFFF"/>
            <w:vAlign w:val="center"/>
          </w:tcPr>
          <w:p w14:paraId="548E99D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★散热方式</w:t>
            </w:r>
          </w:p>
        </w:tc>
        <w:tc>
          <w:tcPr>
            <w:tcW w:w="3273" w:type="pct"/>
            <w:shd w:val="clear" w:color="000000" w:fill="FFFFFF"/>
            <w:vAlign w:val="center"/>
          </w:tcPr>
          <w:p w14:paraId="5740D0D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应支持风冷散热方式。</w:t>
            </w:r>
          </w:p>
        </w:tc>
      </w:tr>
      <w:tr w14:paraId="1FC1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DBE87D6">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947BEC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系统运维</w:t>
            </w:r>
          </w:p>
        </w:tc>
        <w:tc>
          <w:tcPr>
            <w:tcW w:w="743" w:type="pct"/>
            <w:shd w:val="clear" w:color="000000" w:fill="FFFFFF"/>
            <w:vAlign w:val="center"/>
          </w:tcPr>
          <w:p w14:paraId="383D378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▲系统运维</w:t>
            </w:r>
          </w:p>
        </w:tc>
        <w:tc>
          <w:tcPr>
            <w:tcW w:w="3273" w:type="pct"/>
            <w:shd w:val="clear" w:color="000000" w:fill="FFFFFF"/>
            <w:vAlign w:val="center"/>
          </w:tcPr>
          <w:p w14:paraId="5A4DA7A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整机具备集成系统管理芯片，支持IPMI2.0、KVM over IP等管理功能。</w:t>
            </w:r>
          </w:p>
        </w:tc>
      </w:tr>
      <w:tr w14:paraId="41A5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F06BEA9">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07D9AA1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★管理系统功能</w:t>
            </w:r>
          </w:p>
        </w:tc>
        <w:tc>
          <w:tcPr>
            <w:tcW w:w="743" w:type="pct"/>
            <w:shd w:val="clear" w:color="000000" w:fill="FFFFFF"/>
            <w:vAlign w:val="center"/>
          </w:tcPr>
          <w:p w14:paraId="138A557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★BMC固件基础功能</w:t>
            </w:r>
          </w:p>
        </w:tc>
        <w:tc>
          <w:tcPr>
            <w:tcW w:w="3273" w:type="pct"/>
            <w:shd w:val="clear" w:color="000000" w:fill="FFFFFF"/>
            <w:vAlign w:val="center"/>
          </w:tcPr>
          <w:p w14:paraId="0533377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(1)应支持DHCP设置网络功能；</w:t>
            </w:r>
          </w:p>
          <w:p w14:paraId="66A6145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(2)应支持静态IP设置网络功能；</w:t>
            </w:r>
          </w:p>
          <w:p w14:paraId="63259F1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(3)应支持设备日志记录，包括但不限于登录日志、操作日志和报警日志等功能；</w:t>
            </w:r>
          </w:p>
          <w:p w14:paraId="3B615ED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(4)应支持日志信息导出和记录删除功能；</w:t>
            </w:r>
          </w:p>
          <w:p w14:paraId="411B5F7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(5)应支持通过管理接口向外输出准确的报警信息功能；</w:t>
            </w:r>
          </w:p>
          <w:p w14:paraId="1C7D074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(6)设备的BMC管理软件应能够按报警的严重程度进行区分；</w:t>
            </w:r>
          </w:p>
          <w:p w14:paraId="1754D2A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(7)应支持IPMI2.0、SNMP或Redfish等接口功能；</w:t>
            </w:r>
          </w:p>
          <w:p w14:paraId="3F881A9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(8)应支持键盘、鼠标和视频的重定向、文本控制台的重定向、远程虚拟媒体、高可靠的硬件监控和管理功能；</w:t>
            </w:r>
          </w:p>
          <w:p w14:paraId="42C6595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(9)应支持基于网络开启、关闭和重启设备的功能，并查询当前设备开机运行状态；</w:t>
            </w:r>
          </w:p>
          <w:p w14:paraId="741EECA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(10)应支持故障提示功能，并可通过接口读取服务器故障信息；</w:t>
            </w:r>
          </w:p>
          <w:p w14:paraId="7FD117A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(11)应支持基于网络的固件更新功能，包括BMC和BIOS等；</w:t>
            </w:r>
          </w:p>
          <w:p w14:paraId="5FAEE1B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(12)应支持基于网络安装操作系统的功能，并可通过网络控制台访问设备；</w:t>
            </w:r>
          </w:p>
          <w:p w14:paraId="15F38D4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(13)应支持通过本地的硬盘或光驱等存储设备，基于网络完成设备的操作系统安装功能；</w:t>
            </w:r>
          </w:p>
          <w:p w14:paraId="06528A5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(14)应支持通过浏览器打开管理界面并登录功能；</w:t>
            </w:r>
          </w:p>
          <w:p w14:paraId="5EE8862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(15)应支持设置口令策略功能；</w:t>
            </w:r>
          </w:p>
          <w:p w14:paraId="01E36C3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(16)应支持访问权限设置功能，并通过日志记录访问事件；</w:t>
            </w:r>
          </w:p>
          <w:p w14:paraId="2DB7393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(17)应支持对出厂默认的用户名及口令进行安全保护功能，并提供默认口令修改提示；</w:t>
            </w:r>
          </w:p>
          <w:p w14:paraId="371C1FE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(18)应支持读取设备主板的工作环境温度功能；</w:t>
            </w:r>
          </w:p>
          <w:p w14:paraId="3FEA93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(19)应支持读取服务器CPU等核心器件的温度功能；</w:t>
            </w:r>
          </w:p>
          <w:p w14:paraId="288C59A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(20)应支持通过外部管理工具进行BMC参数设置的功能，并可基于网络通过外部管理工具对BMC进行管理；</w:t>
            </w:r>
          </w:p>
          <w:p w14:paraId="520425A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(21)应支持固件版本查询、固件升级</w:t>
            </w:r>
          </w:p>
          <w:p w14:paraId="0B2E630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(22)应支持基于网络实现开关机和复位控制的功能；</w:t>
            </w:r>
          </w:p>
          <w:p w14:paraId="1EB1285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(23)BMC启动时间应不超过180s，实现功能包括网络、IPMI、散热、传感器服务可用；</w:t>
            </w:r>
          </w:p>
          <w:p w14:paraId="184A15C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(24)应支持BMC固件设置的恢复出厂功能。</w:t>
            </w:r>
          </w:p>
        </w:tc>
      </w:tr>
      <w:tr w14:paraId="13CDA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64810A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1794FD6">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CDC198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★BIOS固件基础功能</w:t>
            </w:r>
          </w:p>
        </w:tc>
        <w:tc>
          <w:tcPr>
            <w:tcW w:w="3273" w:type="pct"/>
            <w:shd w:val="clear" w:color="000000" w:fill="FFFFFF"/>
            <w:vAlign w:val="center"/>
          </w:tcPr>
          <w:p w14:paraId="15E7C15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(1)应支持查看固件版本、内存信息、主板信息、处理器信息和系统时间信息功能；</w:t>
            </w:r>
          </w:p>
          <w:p w14:paraId="03CE6F1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(2)应支持上电初始化界面显示CPU信息、内存信息、固件版本和部分快捷键信息功能；</w:t>
            </w:r>
          </w:p>
          <w:p w14:paraId="0931238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(3)应支持设置界面中英文显示切换功能；</w:t>
            </w:r>
          </w:p>
          <w:p w14:paraId="1BBDF40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(4)应支持查看PCIe设备信息，SATA设备信息功能；</w:t>
            </w:r>
          </w:p>
          <w:p w14:paraId="51AA481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(5)应支持操作系统安装和引导功能，应并向操作系统提供计算机主板信息和服务接口；</w:t>
            </w:r>
          </w:p>
          <w:p w14:paraId="699C75D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(6)应支持设置启动顺序，并按照设置的启动顺序启动功能；</w:t>
            </w:r>
          </w:p>
          <w:p w14:paraId="75A97DD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(7)应支持安全启动功能；</w:t>
            </w:r>
          </w:p>
          <w:p w14:paraId="740B605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(8)应支持设置口令、修改口令、验证口令功能；</w:t>
            </w:r>
          </w:p>
          <w:p w14:paraId="7112068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(9)应支持板载显示控制或独立显卡的显示控制功能；</w:t>
            </w:r>
          </w:p>
          <w:p w14:paraId="659C1E0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(10)应支持RAID识别和启动功能；</w:t>
            </w:r>
          </w:p>
          <w:p w14:paraId="67640D1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(11)应支持串口重定向功能；</w:t>
            </w:r>
          </w:p>
          <w:p w14:paraId="56E8569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(12)应支持固件更新功能；</w:t>
            </w:r>
          </w:p>
          <w:p w14:paraId="77D64B3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(13)应支持BIOS固件设置的恢复出厂功能；</w:t>
            </w:r>
          </w:p>
          <w:p w14:paraId="08B07E2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(14)应支持网络引导启用和关闭功能。</w:t>
            </w:r>
          </w:p>
        </w:tc>
      </w:tr>
      <w:tr w14:paraId="56EF7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DF64B1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5640E0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2CB4F1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★远程控制</w:t>
            </w:r>
          </w:p>
        </w:tc>
        <w:tc>
          <w:tcPr>
            <w:tcW w:w="3273" w:type="pct"/>
            <w:shd w:val="clear" w:color="000000" w:fill="FFFFFF"/>
            <w:vAlign w:val="center"/>
          </w:tcPr>
          <w:p w14:paraId="02469C8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应支持远程关机和重新启动功能。</w:t>
            </w:r>
          </w:p>
        </w:tc>
      </w:tr>
      <w:tr w14:paraId="0E822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979AF0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9007AC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★操作系统及驱动功能</w:t>
            </w:r>
          </w:p>
        </w:tc>
        <w:tc>
          <w:tcPr>
            <w:tcW w:w="743" w:type="pct"/>
            <w:shd w:val="clear" w:color="000000" w:fill="FFFFFF"/>
            <w:vAlign w:val="center"/>
          </w:tcPr>
          <w:p w14:paraId="0C77C13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★操作系统及驱动的升级</w:t>
            </w:r>
          </w:p>
        </w:tc>
        <w:tc>
          <w:tcPr>
            <w:tcW w:w="3273" w:type="pct"/>
            <w:shd w:val="clear" w:color="000000" w:fill="FFFFFF"/>
            <w:vAlign w:val="center"/>
          </w:tcPr>
          <w:p w14:paraId="4E697CC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应支持通过网络、闪存盘对操作系统、驱动进行升级。</w:t>
            </w:r>
          </w:p>
        </w:tc>
      </w:tr>
      <w:tr w14:paraId="72F8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5C32F6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0EC6ACF">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A2C718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★操作系统功能</w:t>
            </w:r>
          </w:p>
        </w:tc>
        <w:tc>
          <w:tcPr>
            <w:tcW w:w="3273" w:type="pct"/>
            <w:shd w:val="clear" w:color="000000" w:fill="FFFFFF"/>
            <w:vAlign w:val="center"/>
          </w:tcPr>
          <w:p w14:paraId="7496EA4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(1)应支持访问控制、安全审计、网络接入鉴别等功能；</w:t>
            </w:r>
          </w:p>
          <w:p w14:paraId="5671D63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(2)操作系统其他功能应满足操作系统政府采购需求标准中加★的指标要求。</w:t>
            </w:r>
          </w:p>
        </w:tc>
      </w:tr>
      <w:tr w14:paraId="3067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C3B048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26E3C83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★中文信息处理功能</w:t>
            </w:r>
          </w:p>
        </w:tc>
        <w:tc>
          <w:tcPr>
            <w:tcW w:w="743" w:type="pct"/>
            <w:shd w:val="clear" w:color="000000" w:fill="FFFFFF"/>
            <w:vAlign w:val="center"/>
          </w:tcPr>
          <w:p w14:paraId="315E4EB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★中文信息处理功能</w:t>
            </w:r>
          </w:p>
        </w:tc>
        <w:tc>
          <w:tcPr>
            <w:tcW w:w="3273" w:type="pct"/>
            <w:shd w:val="clear" w:color="000000" w:fill="FFFFFF"/>
            <w:vAlign w:val="center"/>
          </w:tcPr>
          <w:p w14:paraId="41FC7CC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 18030的有关规定。</w:t>
            </w:r>
          </w:p>
        </w:tc>
      </w:tr>
      <w:tr w14:paraId="1280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ABC4BF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33F0FF1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★关键部件安全要求</w:t>
            </w:r>
          </w:p>
        </w:tc>
        <w:tc>
          <w:tcPr>
            <w:tcW w:w="743" w:type="pct"/>
            <w:shd w:val="clear" w:color="000000" w:fill="FFFFFF"/>
            <w:vAlign w:val="center"/>
          </w:tcPr>
          <w:p w14:paraId="36F0129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★关键部件安全要求</w:t>
            </w:r>
          </w:p>
        </w:tc>
        <w:tc>
          <w:tcPr>
            <w:tcW w:w="3273" w:type="pct"/>
            <w:shd w:val="clear" w:color="000000" w:fill="FFFFFF"/>
            <w:vAlign w:val="center"/>
          </w:tcPr>
          <w:p w14:paraId="4734F0D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CPU和操作系统等关键部件应当符合安全可靠测评要求。</w:t>
            </w:r>
          </w:p>
        </w:tc>
      </w:tr>
      <w:tr w14:paraId="2A14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9ADC4D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2FF6365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★固件安全要求</w:t>
            </w:r>
          </w:p>
        </w:tc>
        <w:tc>
          <w:tcPr>
            <w:tcW w:w="743" w:type="pct"/>
            <w:shd w:val="clear" w:color="000000" w:fill="FFFFFF"/>
            <w:vAlign w:val="center"/>
          </w:tcPr>
          <w:p w14:paraId="059658C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★故障检测</w:t>
            </w:r>
          </w:p>
        </w:tc>
        <w:tc>
          <w:tcPr>
            <w:tcW w:w="3273" w:type="pct"/>
            <w:shd w:val="clear" w:color="000000" w:fill="FFFFFF"/>
            <w:vAlign w:val="center"/>
          </w:tcPr>
          <w:p w14:paraId="2664155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应支持故障检测功能，可以检测到具体的FRU（内存、硬盘等）的故障并发出告警。</w:t>
            </w:r>
          </w:p>
        </w:tc>
      </w:tr>
      <w:tr w14:paraId="50A9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25CF37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652F118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★系统安全要求</w:t>
            </w:r>
          </w:p>
        </w:tc>
        <w:tc>
          <w:tcPr>
            <w:tcW w:w="743" w:type="pct"/>
            <w:shd w:val="clear" w:color="000000" w:fill="FFFFFF"/>
            <w:vAlign w:val="center"/>
          </w:tcPr>
          <w:p w14:paraId="108AEE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★弱口令字典检查</w:t>
            </w:r>
          </w:p>
        </w:tc>
        <w:tc>
          <w:tcPr>
            <w:tcW w:w="3273" w:type="pct"/>
            <w:shd w:val="clear" w:color="000000" w:fill="FFFFFF"/>
            <w:vAlign w:val="center"/>
          </w:tcPr>
          <w:p w14:paraId="728F53E5">
            <w:pP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应支持弱口令字典检查功能，出现在弱口令字典中的字符串不能被设置为用户口令。</w:t>
            </w:r>
          </w:p>
        </w:tc>
      </w:tr>
      <w:tr w14:paraId="4C5CE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CA196C7">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C02BB1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3BBD16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★白名单访问控制</w:t>
            </w:r>
          </w:p>
        </w:tc>
        <w:tc>
          <w:tcPr>
            <w:tcW w:w="3273" w:type="pct"/>
            <w:shd w:val="clear" w:color="000000" w:fill="FFFFFF"/>
            <w:vAlign w:val="center"/>
          </w:tcPr>
          <w:p w14:paraId="6A8D751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应支持基于时间、IP或MAC白名单访问控制。</w:t>
            </w:r>
          </w:p>
        </w:tc>
      </w:tr>
      <w:tr w14:paraId="0DE0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AF6FD8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D3169C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69E87F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★二次鉴别</w:t>
            </w:r>
          </w:p>
        </w:tc>
        <w:tc>
          <w:tcPr>
            <w:tcW w:w="3273" w:type="pct"/>
            <w:shd w:val="clear" w:color="000000" w:fill="FFFFFF"/>
            <w:vAlign w:val="center"/>
          </w:tcPr>
          <w:p w14:paraId="74BA7EC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应支持二次鉴别功能。对于用户配置、权限配置、公钥导入等重要的管理操作，已登录用户应通过二次鉴别后，才能执行操作。</w:t>
            </w:r>
          </w:p>
        </w:tc>
      </w:tr>
      <w:tr w14:paraId="76D7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A67D40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07CFBD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68849E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★密码证书安全加密存储</w:t>
            </w:r>
          </w:p>
        </w:tc>
        <w:tc>
          <w:tcPr>
            <w:tcW w:w="3273" w:type="pct"/>
            <w:shd w:val="clear" w:color="000000" w:fill="FFFFFF"/>
            <w:vAlign w:val="center"/>
          </w:tcPr>
          <w:p w14:paraId="5414973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应支持对带外管理系统中的用户口令和证书等敏感信息进行加密存储，禁止使用私有的和业界已知不安全的密码算法。</w:t>
            </w:r>
          </w:p>
        </w:tc>
      </w:tr>
      <w:tr w14:paraId="3B9B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A4D3A04">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944858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543641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★敏感信息安全加密传输</w:t>
            </w:r>
          </w:p>
        </w:tc>
        <w:tc>
          <w:tcPr>
            <w:tcW w:w="3273" w:type="pct"/>
            <w:shd w:val="clear" w:color="000000" w:fill="FFFFFF"/>
            <w:vAlign w:val="center"/>
          </w:tcPr>
          <w:p w14:paraId="35CD2D9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应支持使用安全的传输加密协议（如SSH或HTTPS等）传输用户的敏感信息。</w:t>
            </w:r>
          </w:p>
        </w:tc>
      </w:tr>
      <w:tr w14:paraId="6388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E431C71">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A7CCFD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★信息安全要求</w:t>
            </w:r>
          </w:p>
        </w:tc>
        <w:tc>
          <w:tcPr>
            <w:tcW w:w="743" w:type="pct"/>
            <w:shd w:val="clear" w:color="000000" w:fill="FFFFFF"/>
            <w:vAlign w:val="center"/>
          </w:tcPr>
          <w:p w14:paraId="63EDE32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★研发过程安全</w:t>
            </w:r>
          </w:p>
        </w:tc>
        <w:tc>
          <w:tcPr>
            <w:tcW w:w="3273" w:type="pct"/>
            <w:shd w:val="clear" w:color="000000" w:fill="FFFFFF"/>
            <w:vAlign w:val="center"/>
          </w:tcPr>
          <w:p w14:paraId="60C87DF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投标人需提供承诺，生产商已建立从需求、设计、开发、测试、维护端到端的开发流程管理机制，输出和保存开发流程中每个阶段的产品需求清单、设计文档、开发文档、测试记录等材料，保证各个流程可追溯。</w:t>
            </w:r>
          </w:p>
        </w:tc>
      </w:tr>
      <w:tr w14:paraId="6F010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196EA8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E10431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★物理安全</w:t>
            </w:r>
          </w:p>
        </w:tc>
        <w:tc>
          <w:tcPr>
            <w:tcW w:w="743" w:type="pct"/>
            <w:shd w:val="clear" w:color="000000" w:fill="FFFFFF"/>
            <w:vAlign w:val="center"/>
          </w:tcPr>
          <w:p w14:paraId="69975CC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★物理安全</w:t>
            </w:r>
          </w:p>
        </w:tc>
        <w:tc>
          <w:tcPr>
            <w:tcW w:w="3273" w:type="pct"/>
            <w:shd w:val="clear" w:color="000000" w:fill="FFFFFF"/>
            <w:vAlign w:val="center"/>
          </w:tcPr>
          <w:p w14:paraId="2138404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安全要求应符合GB 4943.1的规定。</w:t>
            </w:r>
          </w:p>
        </w:tc>
      </w:tr>
      <w:tr w14:paraId="4723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8E0885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7AA0A15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★限用物质的限量要求</w:t>
            </w:r>
          </w:p>
        </w:tc>
        <w:tc>
          <w:tcPr>
            <w:tcW w:w="743" w:type="pct"/>
            <w:shd w:val="clear" w:color="000000" w:fill="FFFFFF"/>
            <w:vAlign w:val="center"/>
          </w:tcPr>
          <w:p w14:paraId="3FAA94B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★限用物质的限量要求</w:t>
            </w:r>
          </w:p>
        </w:tc>
        <w:tc>
          <w:tcPr>
            <w:tcW w:w="3273" w:type="pct"/>
            <w:shd w:val="clear" w:color="000000" w:fill="FFFFFF"/>
            <w:vAlign w:val="center"/>
          </w:tcPr>
          <w:p w14:paraId="38CB5EB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限用物质的限量应符合GB/T 26572的要求。</w:t>
            </w:r>
          </w:p>
        </w:tc>
      </w:tr>
      <w:tr w14:paraId="7DB4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2A49EF3">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38C5504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★CPU性能</w:t>
            </w:r>
          </w:p>
        </w:tc>
        <w:tc>
          <w:tcPr>
            <w:tcW w:w="743" w:type="pct"/>
            <w:shd w:val="clear" w:color="000000" w:fill="FFFFFF"/>
            <w:vAlign w:val="center"/>
          </w:tcPr>
          <w:p w14:paraId="321E0F7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★CPU主频</w:t>
            </w:r>
          </w:p>
        </w:tc>
        <w:tc>
          <w:tcPr>
            <w:tcW w:w="3273" w:type="pct"/>
            <w:shd w:val="clear" w:color="000000" w:fill="FFFFFF"/>
            <w:vAlign w:val="center"/>
          </w:tcPr>
          <w:p w14:paraId="0C8BDA4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≥3.0GHz。</w:t>
            </w:r>
          </w:p>
        </w:tc>
      </w:tr>
      <w:tr w14:paraId="00196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8B74288">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BBE7A76">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CC03EF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★单CPU核数</w:t>
            </w:r>
          </w:p>
        </w:tc>
        <w:tc>
          <w:tcPr>
            <w:tcW w:w="3273" w:type="pct"/>
            <w:shd w:val="clear" w:color="000000" w:fill="FFFFFF"/>
            <w:vAlign w:val="center"/>
          </w:tcPr>
          <w:p w14:paraId="72457ED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≥64核。</w:t>
            </w:r>
          </w:p>
        </w:tc>
      </w:tr>
      <w:tr w14:paraId="03CD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553BEE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0223517">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9CFBCF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★单CPU末级缓存容量</w:t>
            </w:r>
          </w:p>
        </w:tc>
        <w:tc>
          <w:tcPr>
            <w:tcW w:w="3273" w:type="pct"/>
            <w:shd w:val="clear" w:color="000000" w:fill="FFFFFF"/>
            <w:vAlign w:val="center"/>
          </w:tcPr>
          <w:p w14:paraId="31CB0A8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≥256MB。</w:t>
            </w:r>
          </w:p>
        </w:tc>
      </w:tr>
      <w:tr w14:paraId="03EF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1C987C8">
            <w:pPr>
              <w:pStyle w:val="93"/>
              <w:numPr>
                <w:ilvl w:val="0"/>
                <w:numId w:val="1"/>
              </w:numP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13C29F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内存性能</w:t>
            </w:r>
          </w:p>
        </w:tc>
        <w:tc>
          <w:tcPr>
            <w:tcW w:w="743" w:type="pct"/>
            <w:shd w:val="clear" w:color="000000" w:fill="FFFFFF"/>
            <w:vAlign w:val="center"/>
          </w:tcPr>
          <w:p w14:paraId="0EB5953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▲单内存模块容量</w:t>
            </w:r>
          </w:p>
        </w:tc>
        <w:tc>
          <w:tcPr>
            <w:tcW w:w="3273" w:type="pct"/>
            <w:shd w:val="clear" w:color="000000" w:fill="FFFFFF"/>
            <w:vAlign w:val="center"/>
          </w:tcPr>
          <w:p w14:paraId="2F21B7F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≥64GB。</w:t>
            </w:r>
          </w:p>
        </w:tc>
      </w:tr>
      <w:tr w14:paraId="28EB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DC0E29E">
            <w:pPr>
              <w:pStyle w:val="93"/>
              <w:numPr>
                <w:ilvl w:val="0"/>
                <w:numId w:val="1"/>
              </w:numP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80EBAF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A3CA51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★内存速率</w:t>
            </w:r>
          </w:p>
        </w:tc>
        <w:tc>
          <w:tcPr>
            <w:tcW w:w="3273" w:type="pct"/>
            <w:shd w:val="clear" w:color="000000" w:fill="FFFFFF"/>
            <w:vAlign w:val="center"/>
          </w:tcPr>
          <w:p w14:paraId="3F057C1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≥5600M</w:t>
            </w:r>
            <w:r>
              <w:rPr>
                <w:rFonts w:ascii="宋体" w:hAnsi="宋体" w:cs="宋体"/>
                <w:color w:val="000000" w:themeColor="text1"/>
                <w:sz w:val="24"/>
                <w:highlight w:val="none"/>
                <w14:textFill>
                  <w14:solidFill>
                    <w14:schemeClr w14:val="tx1"/>
                  </w14:solidFill>
                </w14:textFill>
              </w:rPr>
              <w:t>Hz</w:t>
            </w:r>
            <w:r>
              <w:rPr>
                <w:rFonts w:hint="eastAsia" w:ascii="宋体" w:hAnsi="宋体" w:cs="宋体"/>
                <w:color w:val="000000" w:themeColor="text1"/>
                <w:sz w:val="24"/>
                <w:highlight w:val="none"/>
                <w14:textFill>
                  <w14:solidFill>
                    <w14:schemeClr w14:val="tx1"/>
                  </w14:solidFill>
                </w14:textFill>
              </w:rPr>
              <w:t>。</w:t>
            </w:r>
          </w:p>
        </w:tc>
      </w:tr>
      <w:tr w14:paraId="6166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F54724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08EDAC5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★电源能耗</w:t>
            </w:r>
          </w:p>
        </w:tc>
        <w:tc>
          <w:tcPr>
            <w:tcW w:w="743" w:type="pct"/>
            <w:shd w:val="clear" w:color="000000" w:fill="FFFFFF"/>
            <w:vAlign w:val="center"/>
          </w:tcPr>
          <w:p w14:paraId="6E5F023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★电源能耗</w:t>
            </w:r>
          </w:p>
        </w:tc>
        <w:tc>
          <w:tcPr>
            <w:tcW w:w="3273" w:type="pct"/>
            <w:shd w:val="clear" w:color="000000" w:fill="FFFFFF"/>
            <w:vAlign w:val="center"/>
          </w:tcPr>
          <w:p w14:paraId="57D95C8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应符合GB/T 9813.3的有关规定。</w:t>
            </w:r>
          </w:p>
        </w:tc>
      </w:tr>
      <w:tr w14:paraId="51D30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09ADE8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6BC5953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★部件兼容性要求</w:t>
            </w:r>
          </w:p>
        </w:tc>
        <w:tc>
          <w:tcPr>
            <w:tcW w:w="743" w:type="pct"/>
            <w:shd w:val="clear" w:color="000000" w:fill="FFFFFF"/>
            <w:vAlign w:val="center"/>
          </w:tcPr>
          <w:p w14:paraId="14CFF9C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★内存兼容性</w:t>
            </w:r>
          </w:p>
        </w:tc>
        <w:tc>
          <w:tcPr>
            <w:tcW w:w="3273" w:type="pct"/>
            <w:shd w:val="clear" w:color="000000" w:fill="FFFFFF"/>
            <w:vAlign w:val="center"/>
          </w:tcPr>
          <w:p w14:paraId="57271CF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应适配3种及以上厂商的内存产品，且均不低于产品支持的内存规格。</w:t>
            </w:r>
          </w:p>
        </w:tc>
      </w:tr>
      <w:tr w14:paraId="5D46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913AF99">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07D244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0E98EC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★固态存储兼容性</w:t>
            </w:r>
          </w:p>
        </w:tc>
        <w:tc>
          <w:tcPr>
            <w:tcW w:w="3273" w:type="pct"/>
            <w:shd w:val="clear" w:color="000000" w:fill="FFFFFF"/>
            <w:vAlign w:val="center"/>
          </w:tcPr>
          <w:p w14:paraId="3138FD3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应适配3种或以上厂商的固态存储产品，且均不低于产品支持的固态存储设备规格。</w:t>
            </w:r>
          </w:p>
        </w:tc>
      </w:tr>
      <w:tr w14:paraId="52F5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2C71EE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8CD08B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92BDCC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★网卡兼容性</w:t>
            </w:r>
          </w:p>
        </w:tc>
        <w:tc>
          <w:tcPr>
            <w:tcW w:w="3273" w:type="pct"/>
            <w:shd w:val="clear" w:color="000000" w:fill="FFFFFF"/>
            <w:vAlign w:val="center"/>
          </w:tcPr>
          <w:p w14:paraId="33506B4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网卡应适配两种或以上厂商产品。</w:t>
            </w:r>
          </w:p>
        </w:tc>
      </w:tr>
      <w:tr w14:paraId="70CC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B760443">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DDBDCB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F4BF4B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★功能卡兼容性</w:t>
            </w:r>
          </w:p>
        </w:tc>
        <w:tc>
          <w:tcPr>
            <w:tcW w:w="3273" w:type="pct"/>
            <w:shd w:val="clear" w:color="000000" w:fill="FFFFFF"/>
            <w:vAlign w:val="center"/>
          </w:tcPr>
          <w:p w14:paraId="2D6A75F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内置或适配应符合PCIe的功能卡，如：网络功能卡、存储功能卡及图形显示功能卡。</w:t>
            </w:r>
          </w:p>
        </w:tc>
      </w:tr>
      <w:tr w14:paraId="3B6C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5A134C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08967C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★外设兼容性</w:t>
            </w:r>
          </w:p>
        </w:tc>
        <w:tc>
          <w:tcPr>
            <w:tcW w:w="743" w:type="pct"/>
            <w:shd w:val="clear" w:color="000000" w:fill="FFFFFF"/>
            <w:vAlign w:val="center"/>
          </w:tcPr>
          <w:p w14:paraId="2578C2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★外设兼容性</w:t>
            </w:r>
          </w:p>
        </w:tc>
        <w:tc>
          <w:tcPr>
            <w:tcW w:w="3273" w:type="pct"/>
            <w:shd w:val="clear" w:color="000000" w:fill="FFFFFF"/>
            <w:vAlign w:val="center"/>
          </w:tcPr>
          <w:p w14:paraId="4F4C7B5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应兼容多种主流生产商的外部设备，包括显示器、键盘、鼠标、闪存盘、移动硬盘、USB光驱及KVM等，要求使用不同厂商的外部设备时，系统均能正常识别和安装驱动。</w:t>
            </w:r>
          </w:p>
        </w:tc>
      </w:tr>
      <w:tr w14:paraId="7CF5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1E4FFAC">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E8B8C2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★软件兼容性</w:t>
            </w:r>
          </w:p>
        </w:tc>
        <w:tc>
          <w:tcPr>
            <w:tcW w:w="743" w:type="pct"/>
            <w:shd w:val="clear" w:color="000000" w:fill="FFFFFF"/>
            <w:vAlign w:val="center"/>
          </w:tcPr>
          <w:p w14:paraId="01B816B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★数据库兼容</w:t>
            </w:r>
          </w:p>
        </w:tc>
        <w:tc>
          <w:tcPr>
            <w:tcW w:w="3273" w:type="pct"/>
            <w:shd w:val="clear" w:color="000000" w:fill="FFFFFF"/>
            <w:vAlign w:val="center"/>
          </w:tcPr>
          <w:p w14:paraId="5D95FC3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应兼容3个及以上厂商的数据库产品。</w:t>
            </w:r>
          </w:p>
        </w:tc>
      </w:tr>
      <w:tr w14:paraId="7117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6655E19">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80065AF">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0C1C9E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★中间件兼容</w:t>
            </w:r>
          </w:p>
        </w:tc>
        <w:tc>
          <w:tcPr>
            <w:tcW w:w="3273" w:type="pct"/>
            <w:shd w:val="clear" w:color="000000" w:fill="FFFFFF"/>
            <w:vAlign w:val="center"/>
          </w:tcPr>
          <w:p w14:paraId="78E4BFC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应兼容3个及以上厂商的中间件产品。</w:t>
            </w:r>
          </w:p>
        </w:tc>
      </w:tr>
      <w:tr w14:paraId="19CD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1228803">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FE0205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F55A0A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★平台软件兼容</w:t>
            </w:r>
          </w:p>
        </w:tc>
        <w:tc>
          <w:tcPr>
            <w:tcW w:w="3273" w:type="pct"/>
            <w:shd w:val="clear" w:color="000000" w:fill="FFFFFF"/>
            <w:vAlign w:val="center"/>
          </w:tcPr>
          <w:p w14:paraId="0F53359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应兼容3个及以上厂商的大数据平台。</w:t>
            </w:r>
          </w:p>
        </w:tc>
      </w:tr>
      <w:tr w14:paraId="1C5D1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E44245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560702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★整机可靠性要求</w:t>
            </w:r>
          </w:p>
        </w:tc>
        <w:tc>
          <w:tcPr>
            <w:tcW w:w="743" w:type="pct"/>
            <w:shd w:val="clear" w:color="000000" w:fill="FFFFFF"/>
            <w:vAlign w:val="center"/>
          </w:tcPr>
          <w:p w14:paraId="3937F2F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★整机可靠性</w:t>
            </w:r>
          </w:p>
        </w:tc>
        <w:tc>
          <w:tcPr>
            <w:tcW w:w="3273" w:type="pct"/>
            <w:shd w:val="clear" w:color="000000" w:fill="FFFFFF"/>
            <w:vAlign w:val="center"/>
          </w:tcPr>
          <w:p w14:paraId="263661E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MTBF不得低于350000h</w:t>
            </w:r>
          </w:p>
        </w:tc>
      </w:tr>
      <w:tr w14:paraId="7E49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59D33B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3B6F9D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5104E5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★风扇可靠性</w:t>
            </w:r>
          </w:p>
        </w:tc>
        <w:tc>
          <w:tcPr>
            <w:tcW w:w="3273" w:type="pct"/>
            <w:shd w:val="clear" w:color="000000" w:fill="FFFFFF"/>
            <w:vAlign w:val="center"/>
          </w:tcPr>
          <w:p w14:paraId="076B05F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风扇寿命应不低于40000h。</w:t>
            </w:r>
          </w:p>
        </w:tc>
      </w:tr>
      <w:tr w14:paraId="765F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657DED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3EB3D00">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A4AF71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★部件可靠性</w:t>
            </w:r>
          </w:p>
        </w:tc>
        <w:tc>
          <w:tcPr>
            <w:tcW w:w="3273" w:type="pct"/>
            <w:shd w:val="clear" w:color="000000" w:fill="FFFFFF"/>
            <w:vAlign w:val="center"/>
          </w:tcPr>
          <w:p w14:paraId="7204EF4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应支持硬盘、电源、风扇热插拔(内置风扇除外)。</w:t>
            </w:r>
          </w:p>
        </w:tc>
      </w:tr>
      <w:tr w14:paraId="6B2FF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ED9B8F6">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2242BBF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★包装及运输要求</w:t>
            </w:r>
          </w:p>
        </w:tc>
        <w:tc>
          <w:tcPr>
            <w:tcW w:w="743" w:type="pct"/>
            <w:shd w:val="clear" w:color="000000" w:fill="FFFFFF"/>
            <w:vAlign w:val="center"/>
          </w:tcPr>
          <w:p w14:paraId="2FF4A64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★标志、包装、运输和贮存</w:t>
            </w:r>
          </w:p>
        </w:tc>
        <w:tc>
          <w:tcPr>
            <w:tcW w:w="3273" w:type="pct"/>
            <w:shd w:val="clear" w:color="000000" w:fill="FFFFFF"/>
            <w:vAlign w:val="center"/>
          </w:tcPr>
          <w:p w14:paraId="2209B2A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应符合GB/T 9813.3和商品包装政府采购需求标准的相关规定。</w:t>
            </w:r>
          </w:p>
        </w:tc>
      </w:tr>
      <w:tr w14:paraId="6050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13D10A0">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70495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★服务响应</w:t>
            </w:r>
          </w:p>
        </w:tc>
        <w:tc>
          <w:tcPr>
            <w:tcW w:w="743" w:type="pct"/>
            <w:shd w:val="clear" w:color="000000" w:fill="FFFFFF"/>
            <w:vAlign w:val="center"/>
          </w:tcPr>
          <w:p w14:paraId="47BF7D3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★服务响应</w:t>
            </w:r>
          </w:p>
        </w:tc>
        <w:tc>
          <w:tcPr>
            <w:tcW w:w="3273" w:type="pct"/>
            <w:shd w:val="clear" w:color="000000" w:fill="FFFFFF"/>
            <w:vAlign w:val="center"/>
          </w:tcPr>
          <w:p w14:paraId="25F6AD3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(1)需提供电话、电子邮件、远程连接等多种形式服务；</w:t>
            </w:r>
          </w:p>
          <w:p w14:paraId="7A33147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(2)需提供同城4小时、异地12小时技术响应服务，2个工作日解决问题，对于未能解决的问题和故障应提供可行的升级方案，并提供周转设备；</w:t>
            </w:r>
          </w:p>
          <w:p w14:paraId="6886DB4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(3)建立全国技术服务体系和服务团体，应符合专业服务体系标准要求，提供原厂中文服务；</w:t>
            </w:r>
          </w:p>
          <w:p w14:paraId="2F88487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(4)服务周期内需提供产品的维修、换件和升级服务</w:t>
            </w:r>
          </w:p>
        </w:tc>
      </w:tr>
      <w:tr w14:paraId="6818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5728AC1">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724431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6F3D77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★培训服务</w:t>
            </w:r>
          </w:p>
        </w:tc>
        <w:tc>
          <w:tcPr>
            <w:tcW w:w="3273" w:type="pct"/>
            <w:shd w:val="clear" w:color="000000" w:fill="FFFFFF"/>
            <w:vAlign w:val="center"/>
          </w:tcPr>
          <w:p w14:paraId="26F270C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投标人需提供培训材料、产品手册等培训相关内容</w:t>
            </w:r>
          </w:p>
        </w:tc>
      </w:tr>
      <w:tr w14:paraId="3F987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48B0DE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2B7271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★服务周期</w:t>
            </w:r>
          </w:p>
        </w:tc>
        <w:tc>
          <w:tcPr>
            <w:tcW w:w="743" w:type="pct"/>
            <w:shd w:val="clear" w:color="000000" w:fill="FFFFFF"/>
            <w:vAlign w:val="center"/>
          </w:tcPr>
          <w:p w14:paraId="2CA8E1B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★服务周期</w:t>
            </w:r>
          </w:p>
        </w:tc>
        <w:tc>
          <w:tcPr>
            <w:tcW w:w="3273" w:type="pct"/>
            <w:shd w:val="clear" w:color="000000" w:fill="FFFFFF"/>
            <w:vAlign w:val="center"/>
          </w:tcPr>
          <w:p w14:paraId="75FB561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(1)产品免费服务周期（含换件和维修）应不小于5年；</w:t>
            </w:r>
          </w:p>
          <w:p w14:paraId="4439B43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(2)设备停产后继续提供质量保障服务（含备品备件），服务终止时间与最后一批设备交付时间间隔不低于6年；</w:t>
            </w:r>
          </w:p>
          <w:p w14:paraId="4F66088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(3)产品停止服务时间应提前1年告知客户；</w:t>
            </w:r>
          </w:p>
          <w:p w14:paraId="1877F43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(4)产品发布日期需在随机文件中明确。</w:t>
            </w:r>
          </w:p>
        </w:tc>
      </w:tr>
      <w:tr w14:paraId="03C1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637AEC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1F14B2A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★服务工具要求</w:t>
            </w:r>
          </w:p>
        </w:tc>
        <w:tc>
          <w:tcPr>
            <w:tcW w:w="743" w:type="pct"/>
            <w:shd w:val="clear" w:color="000000" w:fill="FFFFFF"/>
            <w:vAlign w:val="center"/>
          </w:tcPr>
          <w:p w14:paraId="32170D0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★工具要求</w:t>
            </w:r>
          </w:p>
        </w:tc>
        <w:tc>
          <w:tcPr>
            <w:tcW w:w="3273" w:type="pct"/>
            <w:shd w:val="clear" w:color="000000" w:fill="FFFFFF"/>
            <w:vAlign w:val="center"/>
          </w:tcPr>
          <w:p w14:paraId="61A4A6A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投标人需提供设置服务器硬件、辅助操作系统安装等功能的辅助工具和管理软件。且随附软件应具有合法授权或版权。</w:t>
            </w:r>
          </w:p>
        </w:tc>
      </w:tr>
      <w:tr w14:paraId="1876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8C4EED5">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BADAB0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E283E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★驱动安装升级指引</w:t>
            </w:r>
          </w:p>
        </w:tc>
        <w:tc>
          <w:tcPr>
            <w:tcW w:w="3273" w:type="pct"/>
            <w:shd w:val="clear" w:color="000000" w:fill="FFFFFF"/>
            <w:vAlign w:val="center"/>
          </w:tcPr>
          <w:p w14:paraId="18FD85A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投标人需提供出厂安装的配件所需的驱动程序，形式包括但不限于驱动光盘、驱动下载链接等。其他配件应提供指引。</w:t>
            </w:r>
          </w:p>
        </w:tc>
      </w:tr>
      <w:tr w14:paraId="17E9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7123A82">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142353C">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5C39DC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★管理软件</w:t>
            </w:r>
          </w:p>
        </w:tc>
        <w:tc>
          <w:tcPr>
            <w:tcW w:w="3273" w:type="pct"/>
            <w:shd w:val="clear" w:color="000000" w:fill="FFFFFF"/>
            <w:vAlign w:val="center"/>
          </w:tcPr>
          <w:p w14:paraId="37B1AC3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应具备资源管理、系统管理、性能监控、健康监控、基于网络控制、报警设置功能。</w:t>
            </w:r>
          </w:p>
        </w:tc>
      </w:tr>
      <w:tr w14:paraId="352D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909360A">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0434F71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★增值服务</w:t>
            </w:r>
          </w:p>
        </w:tc>
        <w:tc>
          <w:tcPr>
            <w:tcW w:w="743" w:type="pct"/>
            <w:shd w:val="clear" w:color="000000" w:fill="FFFFFF"/>
            <w:vAlign w:val="center"/>
          </w:tcPr>
          <w:p w14:paraId="4C2469F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★厂家升级产品软件与扩容服务</w:t>
            </w:r>
          </w:p>
        </w:tc>
        <w:tc>
          <w:tcPr>
            <w:tcW w:w="3273" w:type="pct"/>
            <w:shd w:val="clear" w:color="000000" w:fill="FFFFFF"/>
            <w:vAlign w:val="center"/>
          </w:tcPr>
          <w:p w14:paraId="6B54C2F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投标人需提供原厂级的部件/软件产品升级和扩容能力。</w:t>
            </w:r>
          </w:p>
        </w:tc>
      </w:tr>
      <w:tr w14:paraId="7D77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C1D133B">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12439C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864D1B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★提供上门服务</w:t>
            </w:r>
          </w:p>
        </w:tc>
        <w:tc>
          <w:tcPr>
            <w:tcW w:w="3273" w:type="pct"/>
            <w:shd w:val="clear" w:color="000000" w:fill="FFFFFF"/>
            <w:vAlign w:val="center"/>
          </w:tcPr>
          <w:p w14:paraId="0470123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投标人需具备提供上门服务的能力(可收费)。</w:t>
            </w:r>
          </w:p>
        </w:tc>
      </w:tr>
      <w:tr w14:paraId="6CD4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035982F">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670E9AC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★供应链质量</w:t>
            </w:r>
          </w:p>
        </w:tc>
        <w:tc>
          <w:tcPr>
            <w:tcW w:w="743" w:type="pct"/>
            <w:shd w:val="clear" w:color="000000" w:fill="FFFFFF"/>
            <w:vAlign w:val="center"/>
          </w:tcPr>
          <w:p w14:paraId="0E90936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★抗干扰性</w:t>
            </w:r>
          </w:p>
        </w:tc>
        <w:tc>
          <w:tcPr>
            <w:tcW w:w="3273" w:type="pct"/>
            <w:shd w:val="clear" w:color="000000" w:fill="FFFFFF"/>
            <w:vAlign w:val="center"/>
          </w:tcPr>
          <w:p w14:paraId="3DB799A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当产品部件出现供应风险时，应通知客户并提供风险应对方案确保产品的服务保障，必要时应停止相关受影响产品的销售。</w:t>
            </w:r>
          </w:p>
        </w:tc>
      </w:tr>
      <w:tr w14:paraId="7A4C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20426FD">
            <w:pPr>
              <w:pStyle w:val="93"/>
              <w:numPr>
                <w:ilvl w:val="0"/>
                <w:numId w:val="1"/>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3D1802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6BA0A3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★供应能力证明</w:t>
            </w:r>
          </w:p>
        </w:tc>
        <w:tc>
          <w:tcPr>
            <w:tcW w:w="3273" w:type="pct"/>
            <w:shd w:val="clear" w:color="000000" w:fill="FFFFFF"/>
            <w:vAlign w:val="center"/>
          </w:tcPr>
          <w:p w14:paraId="7155DCC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投标人需提供供应链稳定承诺书，确保产品的部件在产品服务周期内稳定供货。</w:t>
            </w:r>
          </w:p>
        </w:tc>
      </w:tr>
    </w:tbl>
    <w:p w14:paraId="43709D25">
      <w:pPr>
        <w:tabs>
          <w:tab w:val="left" w:pos="993"/>
        </w:tabs>
        <w:snapToGrid w:val="0"/>
        <w:spacing w:line="480" w:lineRule="exact"/>
        <w:rPr>
          <w:rFonts w:ascii="宋体" w:hAnsi="宋体" w:cs="宋体"/>
          <w:color w:val="000000" w:themeColor="text1"/>
          <w:sz w:val="24"/>
          <w:highlight w:val="none"/>
          <w:lang w:bidi="ar"/>
          <w14:textFill>
            <w14:solidFill>
              <w14:schemeClr w14:val="tx1"/>
            </w14:solidFill>
          </w14:textFill>
        </w:rPr>
      </w:pPr>
    </w:p>
    <w:p w14:paraId="42C0B386">
      <w:pPr>
        <w:tabs>
          <w:tab w:val="left" w:pos="993"/>
        </w:tabs>
        <w:snapToGrid w:val="0"/>
        <w:spacing w:line="480" w:lineRule="exact"/>
        <w:ind w:firstLine="482" w:firstLineChars="200"/>
        <w:rPr>
          <w:rFonts w:ascii="宋体" w:hAnsi="宋体" w:cs="宋体"/>
          <w:b/>
          <w:color w:val="000000" w:themeColor="text1"/>
          <w:sz w:val="24"/>
          <w:highlight w:val="none"/>
          <w:lang w:bidi="ar"/>
          <w14:textFill>
            <w14:solidFill>
              <w14:schemeClr w14:val="tx1"/>
            </w14:solidFill>
          </w14:textFill>
        </w:rPr>
      </w:pPr>
      <w:r>
        <w:rPr>
          <w:rFonts w:ascii="宋体" w:hAnsi="宋体" w:cs="宋体"/>
          <w:b/>
          <w:color w:val="000000" w:themeColor="text1"/>
          <w:sz w:val="24"/>
          <w:highlight w:val="none"/>
          <w:lang w:bidi="ar"/>
          <w14:textFill>
            <w14:solidFill>
              <w14:schemeClr w14:val="tx1"/>
            </w14:solidFill>
          </w14:textFill>
        </w:rPr>
        <w:t>2、通用AI算力服务器</w:t>
      </w:r>
      <w:bookmarkStart w:id="2" w:name="OLE_LINK20"/>
    </w:p>
    <w:bookmarkEnd w:id="2"/>
    <w:tbl>
      <w:tblPr>
        <w:tblStyle w:val="38"/>
        <w:tblpPr w:leftFromText="180" w:rightFromText="180" w:vertAnchor="text" w:horzAnchor="margin" w:tblpXSpec="center" w:tblpY="232"/>
        <w:tblW w:w="48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458"/>
        <w:gridCol w:w="1401"/>
        <w:gridCol w:w="6175"/>
      </w:tblGrid>
      <w:tr w14:paraId="7859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shd w:val="clear" w:color="000000" w:fill="auto"/>
            <w:vAlign w:val="center"/>
          </w:tcPr>
          <w:p w14:paraId="414F10DA">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773" w:type="pct"/>
            <w:shd w:val="clear" w:color="000000" w:fill="auto"/>
            <w:vAlign w:val="center"/>
          </w:tcPr>
          <w:p w14:paraId="060897B3">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一级指标</w:t>
            </w:r>
          </w:p>
        </w:tc>
        <w:tc>
          <w:tcPr>
            <w:tcW w:w="743" w:type="pct"/>
            <w:shd w:val="clear" w:color="000000" w:fill="auto"/>
            <w:vAlign w:val="center"/>
          </w:tcPr>
          <w:p w14:paraId="7F1C5772">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二级指标</w:t>
            </w:r>
          </w:p>
        </w:tc>
        <w:tc>
          <w:tcPr>
            <w:tcW w:w="3273" w:type="pct"/>
            <w:shd w:val="clear" w:color="000000" w:fill="auto"/>
            <w:vAlign w:val="center"/>
          </w:tcPr>
          <w:p w14:paraId="3306F1CF">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技术要求</w:t>
            </w:r>
          </w:p>
        </w:tc>
      </w:tr>
      <w:tr w14:paraId="0516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57DFD49">
            <w:pPr>
              <w:pStyle w:val="93"/>
              <w:numPr>
                <w:ilvl w:val="0"/>
                <w:numId w:val="2"/>
              </w:num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773" w:type="pct"/>
            <w:shd w:val="clear" w:color="000000" w:fill="FFFFFF"/>
            <w:vAlign w:val="center"/>
          </w:tcPr>
          <w:p w14:paraId="4314D85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★CPU规格</w:t>
            </w:r>
          </w:p>
        </w:tc>
        <w:tc>
          <w:tcPr>
            <w:tcW w:w="743" w:type="pct"/>
            <w:shd w:val="clear" w:color="000000" w:fill="FFFFFF"/>
            <w:vAlign w:val="center"/>
          </w:tcPr>
          <w:p w14:paraId="79FB46D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★CPU信息</w:t>
            </w:r>
          </w:p>
        </w:tc>
        <w:tc>
          <w:tcPr>
            <w:tcW w:w="3273" w:type="pct"/>
            <w:shd w:val="clear" w:color="000000" w:fill="FFFFFF"/>
            <w:vAlign w:val="center"/>
          </w:tcPr>
          <w:p w14:paraId="3331E0B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sz w:val="24"/>
                <w:highlight w:val="none"/>
              </w:rPr>
              <w:t>配置2颗符合安全可靠测评Ⅱ级要求的CPU处理器，每颗处理器核心数≥64核、≥128线程，基本主频≥3.0GHz、睿频 ≥3.1 GHz，≥256MB 三级缓存。</w:t>
            </w:r>
          </w:p>
        </w:tc>
      </w:tr>
      <w:tr w14:paraId="53ED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A79413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6B2CD88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★主板规格</w:t>
            </w:r>
          </w:p>
        </w:tc>
        <w:tc>
          <w:tcPr>
            <w:tcW w:w="743" w:type="pct"/>
            <w:shd w:val="clear" w:color="000000" w:fill="FFFFFF"/>
            <w:vAlign w:val="center"/>
          </w:tcPr>
          <w:p w14:paraId="60EA06A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★主板支持的CPU和内存情况</w:t>
            </w:r>
          </w:p>
        </w:tc>
        <w:tc>
          <w:tcPr>
            <w:tcW w:w="3273" w:type="pct"/>
            <w:shd w:val="clear" w:color="000000" w:fill="FFFFFF"/>
            <w:vAlign w:val="center"/>
          </w:tcPr>
          <w:p w14:paraId="307E361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主板支持不少于 2 颗</w:t>
            </w:r>
            <w:r>
              <w:rPr>
                <w:rFonts w:hint="eastAsia" w:ascii="宋体" w:hAnsi="宋体" w:cs="宋体"/>
                <w:color w:val="000000"/>
                <w:sz w:val="24"/>
                <w:highlight w:val="none"/>
              </w:rPr>
              <w:t>符合安全可靠测评Ⅱ级要求的CPU处理器</w:t>
            </w:r>
            <w:r>
              <w:rPr>
                <w:rFonts w:hint="eastAsia" w:ascii="宋体" w:hAnsi="宋体" w:cs="宋体"/>
                <w:color w:val="000000" w:themeColor="text1"/>
                <w:sz w:val="24"/>
                <w:highlight w:val="none"/>
                <w14:textFill>
                  <w14:solidFill>
                    <w14:schemeClr w14:val="tx1"/>
                  </w14:solidFill>
                </w14:textFill>
              </w:rPr>
              <w:t>，不少于 24 根 DDR5 的内存。</w:t>
            </w:r>
          </w:p>
        </w:tc>
      </w:tr>
      <w:tr w14:paraId="12401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AA4C79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A90CBE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0E4AD2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★主板内存槽数量</w:t>
            </w:r>
          </w:p>
        </w:tc>
        <w:tc>
          <w:tcPr>
            <w:tcW w:w="3273" w:type="pct"/>
            <w:shd w:val="clear" w:color="000000" w:fill="auto"/>
            <w:vAlign w:val="center"/>
          </w:tcPr>
          <w:p w14:paraId="54E9788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整机具备不少于24根DDR5内存插槽。</w:t>
            </w:r>
          </w:p>
        </w:tc>
      </w:tr>
      <w:tr w14:paraId="1E18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4A8610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BF3D1CF">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CE1622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★主板存储接口</w:t>
            </w:r>
          </w:p>
        </w:tc>
        <w:tc>
          <w:tcPr>
            <w:tcW w:w="3273" w:type="pct"/>
            <w:shd w:val="clear" w:color="000000" w:fill="auto"/>
            <w:vAlign w:val="center"/>
          </w:tcPr>
          <w:p w14:paraId="320E0ED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至少支持SATA、SAS、M.2、U.2等存储接口中的1种。</w:t>
            </w:r>
          </w:p>
        </w:tc>
      </w:tr>
      <w:tr w14:paraId="3231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CC509B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DACE75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EE02BD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★PCIe插槽接口</w:t>
            </w:r>
          </w:p>
        </w:tc>
        <w:tc>
          <w:tcPr>
            <w:tcW w:w="3273" w:type="pct"/>
            <w:shd w:val="clear" w:color="000000" w:fill="auto"/>
            <w:vAlign w:val="center"/>
          </w:tcPr>
          <w:p w14:paraId="5DFD378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应符合PCIe5.0或以上的高速串行计算机扩展总线标准，PCIe的接口速率与位宽需保证向下兼容。</w:t>
            </w:r>
          </w:p>
        </w:tc>
      </w:tr>
      <w:tr w14:paraId="121B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2898386">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9312496">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7453D4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★主板PCIe插槽数量及规格</w:t>
            </w:r>
          </w:p>
        </w:tc>
        <w:tc>
          <w:tcPr>
            <w:tcW w:w="3273" w:type="pct"/>
            <w:shd w:val="clear" w:color="000000" w:fill="auto"/>
            <w:vAlign w:val="center"/>
          </w:tcPr>
          <w:p w14:paraId="0B1EA02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主板PCIe插槽数量及规格：</w:t>
            </w:r>
          </w:p>
          <w:p w14:paraId="2F26774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(1)高度大于44.45mm双路或以上服务器PCIe插槽或接口应不少于5个；</w:t>
            </w:r>
          </w:p>
          <w:p w14:paraId="19EE989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(2)单路服务器PCIe插槽或接口应不少于4个，可通过扩展卡进行插槽扩展符合</w:t>
            </w:r>
          </w:p>
          <w:p w14:paraId="6B2C9AE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(3)最大支持可扩展12个PCIe5.0插槽。</w:t>
            </w:r>
          </w:p>
        </w:tc>
      </w:tr>
      <w:tr w14:paraId="0ED0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FA70E6A">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2D4327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★内存规格</w:t>
            </w:r>
          </w:p>
        </w:tc>
        <w:tc>
          <w:tcPr>
            <w:tcW w:w="743" w:type="pct"/>
            <w:shd w:val="clear" w:color="000000" w:fill="FFFFFF"/>
            <w:vAlign w:val="center"/>
          </w:tcPr>
          <w:p w14:paraId="64C0956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★内存数量</w:t>
            </w:r>
          </w:p>
        </w:tc>
        <w:tc>
          <w:tcPr>
            <w:tcW w:w="3273" w:type="pct"/>
            <w:shd w:val="clear" w:color="000000" w:fill="FFFFFF"/>
            <w:vAlign w:val="center"/>
          </w:tcPr>
          <w:p w14:paraId="712DC1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w:t>
            </w:r>
          </w:p>
        </w:tc>
      </w:tr>
      <w:tr w14:paraId="10DF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CE5FD35">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B6405D7">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A3D416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★内存规格</w:t>
            </w:r>
          </w:p>
        </w:tc>
        <w:tc>
          <w:tcPr>
            <w:tcW w:w="3273" w:type="pct"/>
            <w:shd w:val="clear" w:color="000000" w:fill="FFFFFF"/>
            <w:vAlign w:val="center"/>
          </w:tcPr>
          <w:p w14:paraId="4F60B17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≥32G DDR5 5600MHz。</w:t>
            </w:r>
          </w:p>
        </w:tc>
      </w:tr>
      <w:tr w14:paraId="6327E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BAA1C7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8D8FE2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34CAAA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★内存通道</w:t>
            </w:r>
          </w:p>
        </w:tc>
        <w:tc>
          <w:tcPr>
            <w:tcW w:w="3273" w:type="pct"/>
            <w:shd w:val="clear" w:color="000000" w:fill="FFFFFF"/>
            <w:vAlign w:val="center"/>
          </w:tcPr>
          <w:p w14:paraId="286DC51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支持≥24内存接口通道，每个通道可支持1DPC</w:t>
            </w:r>
          </w:p>
        </w:tc>
      </w:tr>
      <w:tr w14:paraId="6DCD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D4CB15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E7473E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★存储规格</w:t>
            </w:r>
          </w:p>
        </w:tc>
        <w:tc>
          <w:tcPr>
            <w:tcW w:w="743" w:type="pct"/>
            <w:shd w:val="clear" w:color="000000" w:fill="FFFFFF"/>
            <w:vAlign w:val="center"/>
          </w:tcPr>
          <w:p w14:paraId="237068D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★硬磁盘实配容量</w:t>
            </w:r>
          </w:p>
        </w:tc>
        <w:tc>
          <w:tcPr>
            <w:tcW w:w="3273" w:type="pct"/>
            <w:shd w:val="clear" w:color="000000" w:fill="FFFFFF"/>
            <w:vAlign w:val="center"/>
          </w:tcPr>
          <w:p w14:paraId="16B9DC91">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)配备固态盘，</w:t>
            </w:r>
            <w:r>
              <w:rPr>
                <w:rFonts w:hint="eastAsia" w:ascii="宋体" w:hAnsi="宋体" w:cs="宋体"/>
                <w:color w:val="000000" w:themeColor="text1"/>
                <w:sz w:val="24"/>
                <w:highlight w:val="none"/>
                <w14:textFill>
                  <w14:solidFill>
                    <w14:schemeClr w14:val="tx1"/>
                  </w14:solidFill>
                </w14:textFill>
              </w:rPr>
              <w:t>实配固态盘单盘容量不小于</w:t>
            </w:r>
            <w:r>
              <w:rPr>
                <w:rFonts w:ascii="宋体" w:hAnsi="宋体" w:cs="宋体"/>
                <w:color w:val="000000" w:themeColor="text1"/>
                <w:sz w:val="24"/>
                <w:highlight w:val="none"/>
                <w14:textFill>
                  <w14:solidFill>
                    <w14:schemeClr w14:val="tx1"/>
                  </w14:solidFill>
                </w14:textFill>
              </w:rPr>
              <w:t>480GB，NVMe</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SSD</w:t>
            </w:r>
            <w:r>
              <w:rPr>
                <w:rFonts w:hint="eastAsia" w:ascii="宋体" w:hAnsi="宋体" w:cs="宋体"/>
                <w:color w:val="000000" w:themeColor="text1"/>
                <w:sz w:val="24"/>
                <w:highlight w:val="none"/>
                <w14:textFill>
                  <w14:solidFill>
                    <w14:schemeClr w14:val="tx1"/>
                  </w14:solidFill>
                </w14:textFill>
              </w:rPr>
              <w:t>单盘容量不小于</w:t>
            </w:r>
            <w:r>
              <w:rPr>
                <w:rFonts w:ascii="宋体" w:hAnsi="宋体" w:cs="宋体"/>
                <w:color w:val="000000" w:themeColor="text1"/>
                <w:sz w:val="24"/>
                <w:highlight w:val="none"/>
                <w14:textFill>
                  <w14:solidFill>
                    <w14:schemeClr w14:val="tx1"/>
                  </w14:solidFill>
                </w14:textFill>
              </w:rPr>
              <w:t>3.84TB。</w:t>
            </w:r>
          </w:p>
        </w:tc>
      </w:tr>
      <w:tr w14:paraId="788D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097D9A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7C924E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127880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★硬盘实配数</w:t>
            </w:r>
          </w:p>
        </w:tc>
        <w:tc>
          <w:tcPr>
            <w:tcW w:w="3273" w:type="pct"/>
            <w:shd w:val="clear" w:color="000000" w:fill="FFFFFF"/>
            <w:vAlign w:val="center"/>
          </w:tcPr>
          <w:p w14:paraId="54BC3A2E">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配备固态盘，</w:t>
            </w:r>
            <w:r>
              <w:rPr>
                <w:rFonts w:hint="eastAsia" w:ascii="宋体" w:hAnsi="宋体" w:cs="宋体"/>
                <w:color w:val="000000" w:themeColor="text1"/>
                <w:sz w:val="24"/>
                <w:highlight w:val="none"/>
                <w14:textFill>
                  <w14:solidFill>
                    <w14:schemeClr w14:val="tx1"/>
                  </w14:solidFill>
                </w14:textFill>
              </w:rPr>
              <w:t>实配固态盘盘数应不小于</w:t>
            </w:r>
            <w:r>
              <w:rPr>
                <w:rFonts w:ascii="宋体" w:hAnsi="宋体" w:cs="宋体"/>
                <w:color w:val="000000" w:themeColor="text1"/>
                <w:sz w:val="24"/>
                <w:highlight w:val="none"/>
                <w14:textFill>
                  <w14:solidFill>
                    <w14:schemeClr w14:val="tx1"/>
                  </w14:solidFill>
                </w14:textFill>
              </w:rPr>
              <w:t>2块</w:t>
            </w:r>
            <w:r>
              <w:rPr>
                <w:rFonts w:hint="eastAsia" w:ascii="宋体" w:hAnsi="宋体" w:cs="宋体"/>
                <w:color w:val="000000" w:themeColor="text1"/>
                <w:sz w:val="24"/>
                <w:highlight w:val="none"/>
                <w14:textFill>
                  <w14:solidFill>
                    <w14:schemeClr w14:val="tx1"/>
                  </w14:solidFill>
                </w14:textFill>
              </w:rPr>
              <w:t>，实配</w:t>
            </w:r>
            <w:r>
              <w:rPr>
                <w:rFonts w:ascii="宋体" w:hAnsi="宋体" w:cs="宋体"/>
                <w:color w:val="000000" w:themeColor="text1"/>
                <w:sz w:val="24"/>
                <w:highlight w:val="none"/>
                <w14:textFill>
                  <w14:solidFill>
                    <w14:schemeClr w14:val="tx1"/>
                  </w14:solidFill>
                </w14:textFill>
              </w:rPr>
              <w:t>NVMe</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SSD</w:t>
            </w:r>
            <w:r>
              <w:rPr>
                <w:rFonts w:hint="eastAsia" w:ascii="宋体" w:hAnsi="宋体" w:cs="宋体"/>
                <w:color w:val="000000" w:themeColor="text1"/>
                <w:sz w:val="24"/>
                <w:highlight w:val="none"/>
                <w14:textFill>
                  <w14:solidFill>
                    <w14:schemeClr w14:val="tx1"/>
                  </w14:solidFill>
                </w14:textFill>
              </w:rPr>
              <w:t>盘数应不小于2</w:t>
            </w:r>
            <w:r>
              <w:rPr>
                <w:rFonts w:ascii="宋体" w:hAnsi="宋体" w:cs="宋体"/>
                <w:color w:val="000000" w:themeColor="text1"/>
                <w:sz w:val="24"/>
                <w:highlight w:val="none"/>
                <w14:textFill>
                  <w14:solidFill>
                    <w14:schemeClr w14:val="tx1"/>
                  </w14:solidFill>
                </w14:textFill>
              </w:rPr>
              <w:t>块。</w:t>
            </w:r>
          </w:p>
        </w:tc>
      </w:tr>
      <w:tr w14:paraId="4DE8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7357C9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3193DA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4413F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★硬盘插槽数量及规格</w:t>
            </w:r>
          </w:p>
        </w:tc>
        <w:tc>
          <w:tcPr>
            <w:tcW w:w="3273" w:type="pct"/>
            <w:shd w:val="clear" w:color="000000" w:fill="FFFFFF"/>
            <w:vAlign w:val="center"/>
          </w:tcPr>
          <w:p w14:paraId="466F253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 24 个 2.5 寸 /3.5 寸 SAS/SATA，支持 2 个板载 M.2 SSD。</w:t>
            </w:r>
          </w:p>
        </w:tc>
      </w:tr>
      <w:tr w14:paraId="7FD2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0" w:type="pct"/>
            <w:vMerge w:val="restart"/>
            <w:shd w:val="clear" w:color="000000" w:fill="FFFFFF"/>
            <w:vAlign w:val="center"/>
          </w:tcPr>
          <w:p w14:paraId="4EB9A68A">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D00DF4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HBA卡规格</w:t>
            </w:r>
          </w:p>
        </w:tc>
        <w:tc>
          <w:tcPr>
            <w:tcW w:w="743" w:type="pct"/>
            <w:shd w:val="clear" w:color="000000" w:fill="FFFFFF"/>
            <w:vAlign w:val="center"/>
          </w:tcPr>
          <w:p w14:paraId="3DA130CE">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HBA卡端口数量</w:t>
            </w:r>
          </w:p>
        </w:tc>
        <w:tc>
          <w:tcPr>
            <w:tcW w:w="3273" w:type="pct"/>
            <w:shd w:val="clear" w:color="000000" w:fill="FFFFFF"/>
            <w:vAlign w:val="center"/>
          </w:tcPr>
          <w:p w14:paraId="677EFC5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10</w:t>
            </w:r>
          </w:p>
        </w:tc>
      </w:tr>
      <w:tr w14:paraId="4950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0" w:type="pct"/>
            <w:vMerge w:val="continue"/>
            <w:shd w:val="clear" w:color="000000" w:fill="FFFFFF"/>
            <w:vAlign w:val="center"/>
          </w:tcPr>
          <w:p w14:paraId="3C63508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35DBD6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FF9C919">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RAID级别</w:t>
            </w:r>
          </w:p>
        </w:tc>
        <w:tc>
          <w:tcPr>
            <w:tcW w:w="3273" w:type="pct"/>
            <w:shd w:val="clear" w:color="000000" w:fill="FFFFFF"/>
            <w:vAlign w:val="center"/>
          </w:tcPr>
          <w:p w14:paraId="365DD8A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支持</w:t>
            </w:r>
            <w:r>
              <w:rPr>
                <w:rFonts w:ascii="宋体" w:hAnsi="宋体" w:cs="宋体"/>
                <w:color w:val="000000" w:themeColor="text1"/>
                <w:sz w:val="24"/>
                <w:highlight w:val="none"/>
                <w14:textFill>
                  <w14:solidFill>
                    <w14:schemeClr w14:val="tx1"/>
                  </w14:solidFill>
                </w14:textFill>
              </w:rPr>
              <w:t xml:space="preserve"> RAID 0/1/10/1E</w:t>
            </w:r>
          </w:p>
        </w:tc>
      </w:tr>
      <w:tr w14:paraId="4274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020EDA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8A13D1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网络规格</w:t>
            </w:r>
          </w:p>
        </w:tc>
        <w:tc>
          <w:tcPr>
            <w:tcW w:w="743" w:type="pct"/>
            <w:shd w:val="clear" w:color="000000" w:fill="FFFFFF"/>
            <w:vAlign w:val="center"/>
          </w:tcPr>
          <w:p w14:paraId="3F60407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★网口速率和数量</w:t>
            </w:r>
          </w:p>
        </w:tc>
        <w:tc>
          <w:tcPr>
            <w:tcW w:w="3273" w:type="pct"/>
            <w:shd w:val="clear" w:color="000000" w:fill="FFFFFF"/>
            <w:vAlign w:val="center"/>
          </w:tcPr>
          <w:p w14:paraId="050F618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（1）配备网口1数量不少于2个，且网口速率不少于25GE。</w:t>
            </w:r>
          </w:p>
          <w:p w14:paraId="7D65F1F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（2）配备网口2数量不少于2个，且网口速率不少于1GE。</w:t>
            </w:r>
          </w:p>
        </w:tc>
      </w:tr>
      <w:tr w14:paraId="5D59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15199A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EC5EBA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5175C8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高性能独立网卡配置规格</w:t>
            </w:r>
          </w:p>
        </w:tc>
        <w:tc>
          <w:tcPr>
            <w:tcW w:w="3273" w:type="pct"/>
            <w:shd w:val="clear" w:color="000000" w:fill="FFFFFF"/>
            <w:vAlign w:val="center"/>
          </w:tcPr>
          <w:p w14:paraId="00D45F6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双端口</w:t>
            </w:r>
            <w:r>
              <w:rPr>
                <w:rFonts w:ascii="宋体" w:hAnsi="宋体" w:cs="宋体"/>
                <w:color w:val="000000" w:themeColor="text1"/>
                <w:sz w:val="24"/>
                <w:highlight w:val="none"/>
                <w14:textFill>
                  <w14:solidFill>
                    <w14:schemeClr w14:val="tx1"/>
                  </w14:solidFill>
                </w14:textFill>
              </w:rPr>
              <w:t>200GB高性能网卡</w:t>
            </w:r>
          </w:p>
        </w:tc>
      </w:tr>
      <w:tr w14:paraId="3DF9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E0EE2C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188FD6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539E3B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高性能独立网卡数量</w:t>
            </w:r>
          </w:p>
        </w:tc>
        <w:tc>
          <w:tcPr>
            <w:tcW w:w="3273" w:type="pct"/>
            <w:shd w:val="clear" w:color="000000" w:fill="FFFFFF"/>
            <w:vAlign w:val="center"/>
          </w:tcPr>
          <w:p w14:paraId="05D6CC9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配置不少于</w:t>
            </w:r>
            <w:r>
              <w:rPr>
                <w:rFonts w:ascii="宋体" w:hAnsi="宋体" w:cs="宋体"/>
                <w:color w:val="000000" w:themeColor="text1"/>
                <w:sz w:val="24"/>
                <w:highlight w:val="none"/>
                <w14:textFill>
                  <w14:solidFill>
                    <w14:schemeClr w14:val="tx1"/>
                  </w14:solidFill>
                </w14:textFill>
              </w:rPr>
              <w:t>1个</w:t>
            </w:r>
            <w:r>
              <w:rPr>
                <w:rFonts w:hint="eastAsia" w:ascii="宋体" w:hAnsi="宋体" w:cs="宋体"/>
                <w:color w:val="000000" w:themeColor="text1"/>
                <w:sz w:val="24"/>
                <w:highlight w:val="none"/>
                <w14:textFill>
                  <w14:solidFill>
                    <w14:schemeClr w14:val="tx1"/>
                  </w14:solidFill>
                </w14:textFill>
              </w:rPr>
              <w:t>双端口</w:t>
            </w:r>
            <w:r>
              <w:rPr>
                <w:rFonts w:ascii="宋体" w:hAnsi="宋体" w:cs="宋体"/>
                <w:color w:val="000000" w:themeColor="text1"/>
                <w:sz w:val="24"/>
                <w:highlight w:val="none"/>
                <w14:textFill>
                  <w14:solidFill>
                    <w14:schemeClr w14:val="tx1"/>
                  </w14:solidFill>
                </w14:textFill>
              </w:rPr>
              <w:t>200Gb高性能网卡。</w:t>
            </w:r>
          </w:p>
        </w:tc>
      </w:tr>
      <w:tr w14:paraId="60D9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438205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32DEE1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★外部接口规格</w:t>
            </w:r>
          </w:p>
        </w:tc>
        <w:tc>
          <w:tcPr>
            <w:tcW w:w="743" w:type="pct"/>
            <w:shd w:val="clear" w:color="000000" w:fill="FFFFFF"/>
            <w:vAlign w:val="center"/>
          </w:tcPr>
          <w:p w14:paraId="3E3EA47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★显示接口</w:t>
            </w:r>
          </w:p>
        </w:tc>
        <w:tc>
          <w:tcPr>
            <w:tcW w:w="3273" w:type="pct"/>
            <w:shd w:val="clear" w:color="000000" w:fill="FFFFFF"/>
            <w:vAlign w:val="center"/>
          </w:tcPr>
          <w:p w14:paraId="28E5B2E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显示接口类型应不少于1种，如：VGA、DP、HDMI等。</w:t>
            </w:r>
          </w:p>
        </w:tc>
      </w:tr>
      <w:tr w14:paraId="3FBC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88EC3F7">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4A6E05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877968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★USB接口</w:t>
            </w:r>
          </w:p>
        </w:tc>
        <w:tc>
          <w:tcPr>
            <w:tcW w:w="3273" w:type="pct"/>
            <w:shd w:val="clear" w:color="000000" w:fill="FFFFFF"/>
            <w:vAlign w:val="center"/>
          </w:tcPr>
          <w:p w14:paraId="5C33C5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配备USB接口，如USB2.0、USB3.0等。</w:t>
            </w:r>
          </w:p>
        </w:tc>
      </w:tr>
      <w:tr w14:paraId="606D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2FA621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E375CC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★电源规格</w:t>
            </w:r>
          </w:p>
        </w:tc>
        <w:tc>
          <w:tcPr>
            <w:tcW w:w="743" w:type="pct"/>
            <w:shd w:val="clear" w:color="000000" w:fill="FFFFFF"/>
            <w:vAlign w:val="center"/>
          </w:tcPr>
          <w:p w14:paraId="3EAF7E3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★电源模块数量</w:t>
            </w:r>
          </w:p>
        </w:tc>
        <w:tc>
          <w:tcPr>
            <w:tcW w:w="3273" w:type="pct"/>
            <w:shd w:val="clear" w:color="000000" w:fill="FFFFFF"/>
            <w:vAlign w:val="center"/>
          </w:tcPr>
          <w:p w14:paraId="5572E81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r>
      <w:tr w14:paraId="6C7D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6CF1A7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950727E">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F9BB4A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★电源功率</w:t>
            </w:r>
          </w:p>
        </w:tc>
        <w:tc>
          <w:tcPr>
            <w:tcW w:w="3273" w:type="pct"/>
            <w:shd w:val="clear" w:color="000000" w:fill="FFFFFF"/>
            <w:vAlign w:val="center"/>
          </w:tcPr>
          <w:p w14:paraId="5D31FF5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电源模块功率应有一定冗余，满足处理器满载时的需求。支持2700W冗余电源配置。</w:t>
            </w:r>
          </w:p>
        </w:tc>
      </w:tr>
      <w:tr w14:paraId="7090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10" w:type="pct"/>
            <w:shd w:val="clear" w:color="000000" w:fill="FFFFFF"/>
            <w:vAlign w:val="center"/>
          </w:tcPr>
          <w:p w14:paraId="1BBD42E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24600AE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★整机规格</w:t>
            </w:r>
          </w:p>
        </w:tc>
        <w:tc>
          <w:tcPr>
            <w:tcW w:w="743" w:type="pct"/>
            <w:shd w:val="clear" w:color="000000" w:fill="FFFFFF"/>
            <w:vAlign w:val="center"/>
          </w:tcPr>
          <w:p w14:paraId="1F8D9FB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★外观和结构</w:t>
            </w:r>
          </w:p>
        </w:tc>
        <w:tc>
          <w:tcPr>
            <w:tcW w:w="3273" w:type="pct"/>
            <w:shd w:val="clear" w:color="000000" w:fill="FFFFFF"/>
            <w:vAlign w:val="center"/>
          </w:tcPr>
          <w:p w14:paraId="18064B8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(1)服务器的零部件应紧固无松动，可插拔部件应可靠连接，开关、按钮和其它控制部件应灵活可靠，布局应方便使用；</w:t>
            </w:r>
          </w:p>
          <w:p w14:paraId="14C2FE1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(2)产品表面不应有明显的凹痕、划伤、裂缝、变形和污染等。表面涂层均匀，不应起泡、龟裂、脱落和磨损，金属零部件无锈蚀及其它机械损伤；</w:t>
            </w:r>
          </w:p>
          <w:p w14:paraId="2484D2E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(3)产品表面说明功能的文字、符号和标志应清晰、端正且牢固；</w:t>
            </w:r>
          </w:p>
          <w:p w14:paraId="7CF3DB0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(4)应在服务器的显著位置提供运行状态的指示功能，并在随机文件中明确具体含义；</w:t>
            </w:r>
          </w:p>
          <w:p w14:paraId="01BF2C6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(5)机架、机箱的尺寸应符合通用机柜的安装要求，插入总线插座的电路板接口外形尺寸应符合有关总线标准的规定，将机箱固定在机柜上，机箱底面最大下垂变形不得干涉相邻机体；</w:t>
            </w:r>
          </w:p>
          <w:p w14:paraId="0C10754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(6)高密度服务器应给出CPU个数与机柜高度；</w:t>
            </w:r>
          </w:p>
          <w:p w14:paraId="23759D9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(7)服务器尺寸具体要求在随机文件中明确。</w:t>
            </w:r>
          </w:p>
        </w:tc>
      </w:tr>
      <w:tr w14:paraId="1887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0C5A73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B6FBD6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3C1794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★尺寸（高×宽×深）</w:t>
            </w:r>
          </w:p>
        </w:tc>
        <w:tc>
          <w:tcPr>
            <w:tcW w:w="3273" w:type="pct"/>
            <w:shd w:val="clear" w:color="000000" w:fill="FFFFFF"/>
            <w:vAlign w:val="center"/>
          </w:tcPr>
          <w:p w14:paraId="3011C29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服务器尺寸长度应不高于</w:t>
            </w: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25</w:t>
            </w:r>
            <w:r>
              <w:rPr>
                <w:rFonts w:ascii="宋体" w:hAnsi="宋体" w:cs="宋体"/>
                <w:color w:val="000000" w:themeColor="text1"/>
                <w:sz w:val="24"/>
                <w:highlight w:val="none"/>
                <w14:textFill>
                  <w14:solidFill>
                    <w14:schemeClr w14:val="tx1"/>
                  </w14:solidFill>
                </w14:textFill>
              </w:rPr>
              <w:t>mm</w:t>
            </w:r>
            <w:r>
              <w:rPr>
                <w:rFonts w:hint="eastAsia" w:ascii="宋体" w:hAnsi="宋体" w:cs="宋体"/>
                <w:color w:val="000000" w:themeColor="text1"/>
                <w:sz w:val="24"/>
                <w:highlight w:val="none"/>
                <w14:textFill>
                  <w14:solidFill>
                    <w14:schemeClr w14:val="tx1"/>
                  </w14:solidFill>
                </w14:textFill>
              </w:rPr>
              <w:t>、宽度不高于</w:t>
            </w:r>
            <w:r>
              <w:rPr>
                <w:rFonts w:ascii="宋体" w:hAnsi="宋体" w:cs="宋体"/>
                <w:color w:val="000000" w:themeColor="text1"/>
                <w:sz w:val="24"/>
                <w:highlight w:val="none"/>
                <w14:textFill>
                  <w14:solidFill>
                    <w14:schemeClr w14:val="tx1"/>
                  </w14:solidFill>
                </w14:textFill>
              </w:rPr>
              <w:t>482mm</w:t>
            </w:r>
            <w:r>
              <w:rPr>
                <w:rFonts w:hint="eastAsia" w:ascii="宋体" w:hAnsi="宋体" w:cs="宋体"/>
                <w:color w:val="000000" w:themeColor="text1"/>
                <w:sz w:val="24"/>
                <w:highlight w:val="none"/>
                <w14:textFill>
                  <w14:solidFill>
                    <w14:schemeClr w14:val="tx1"/>
                  </w14:solidFill>
                </w14:textFill>
              </w:rPr>
              <w:t>、高度不高于</w:t>
            </w:r>
            <w:r>
              <w:rPr>
                <w:rFonts w:ascii="宋体" w:hAnsi="宋体" w:cs="宋体"/>
                <w:color w:val="000000" w:themeColor="text1"/>
                <w:sz w:val="24"/>
                <w:highlight w:val="none"/>
                <w14:textFill>
                  <w14:solidFill>
                    <w14:schemeClr w14:val="tx1"/>
                  </w14:solidFill>
                </w14:textFill>
              </w:rPr>
              <w:t>176mm</w:t>
            </w:r>
            <w:r>
              <w:rPr>
                <w:rFonts w:hint="eastAsia" w:ascii="宋体" w:hAnsi="宋体" w:cs="宋体"/>
                <w:color w:val="000000" w:themeColor="text1"/>
                <w:sz w:val="24"/>
                <w:highlight w:val="none"/>
                <w14:textFill>
                  <w14:solidFill>
                    <w14:schemeClr w14:val="tx1"/>
                  </w14:solidFill>
                </w14:textFill>
              </w:rPr>
              <w:t>；设计应遵循标准化、系列化的要求；机箱的内部结构符合通用部件的安装需要</w:t>
            </w:r>
          </w:p>
        </w:tc>
      </w:tr>
      <w:tr w14:paraId="7E65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ECFC5A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DCC7B7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731429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★环境适应性</w:t>
            </w:r>
          </w:p>
        </w:tc>
        <w:tc>
          <w:tcPr>
            <w:tcW w:w="3273" w:type="pct"/>
            <w:shd w:val="clear" w:color="000000" w:fill="FFFFFF"/>
            <w:vAlign w:val="center"/>
          </w:tcPr>
          <w:p w14:paraId="30F9255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气候环境适应性应符合GB/T9813.3的有关规定，工作温度5～35℃，工作湿度：</w:t>
            </w:r>
            <w:r>
              <w:rPr>
                <w:rFonts w:ascii="宋体" w:hAnsi="宋体" w:cs="宋体"/>
                <w:color w:val="000000" w:themeColor="text1"/>
                <w:sz w:val="24"/>
                <w:highlight w:val="none"/>
                <w14:textFill>
                  <w14:solidFill>
                    <w14:schemeClr w14:val="tx1"/>
                  </w14:solidFill>
                </w14:textFill>
              </w:rPr>
              <w:t>35</w:t>
            </w:r>
            <w:r>
              <w:rPr>
                <w:rFonts w:hint="eastAsia" w:ascii="宋体" w:hAnsi="宋体" w:cs="宋体"/>
                <w:color w:val="000000" w:themeColor="text1"/>
                <w:sz w:val="24"/>
                <w:highlight w:val="none"/>
                <w14:textFill>
                  <w14:solidFill>
                    <w14:schemeClr w14:val="tx1"/>
                  </w14:solidFill>
                </w14:textFill>
              </w:rPr>
              <w:t>%～80%RH；</w:t>
            </w:r>
          </w:p>
          <w:p w14:paraId="6C31F21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贮存运输：温度-40℃～</w:t>
            </w:r>
            <w:r>
              <w:rPr>
                <w:rFonts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0℃/湿度20%～9</w:t>
            </w:r>
            <w:r>
              <w:rPr>
                <w:rFonts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%RH非凝结。</w:t>
            </w:r>
          </w:p>
        </w:tc>
      </w:tr>
      <w:tr w14:paraId="63E7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A067337">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3DF426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49CF5B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★机械环境适应性</w:t>
            </w:r>
          </w:p>
        </w:tc>
        <w:tc>
          <w:tcPr>
            <w:tcW w:w="3273" w:type="pct"/>
            <w:shd w:val="clear" w:color="000000" w:fill="FFFFFF"/>
            <w:vAlign w:val="center"/>
          </w:tcPr>
          <w:p w14:paraId="7885C19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机械环境适应性应符合GB/T 9813.3的有关规定。</w:t>
            </w:r>
          </w:p>
        </w:tc>
      </w:tr>
      <w:tr w14:paraId="210C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AEC2CD7">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D41A80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648889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★噪声</w:t>
            </w:r>
          </w:p>
        </w:tc>
        <w:tc>
          <w:tcPr>
            <w:tcW w:w="3273" w:type="pct"/>
            <w:shd w:val="clear" w:color="000000" w:fill="FFFFFF"/>
            <w:vAlign w:val="center"/>
          </w:tcPr>
          <w:p w14:paraId="0A4D4A9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符合GB/T 9813.3的有关规定。</w:t>
            </w:r>
          </w:p>
        </w:tc>
      </w:tr>
      <w:tr w14:paraId="3600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B81E71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15490C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AI计算单元规格</w:t>
            </w:r>
          </w:p>
        </w:tc>
        <w:tc>
          <w:tcPr>
            <w:tcW w:w="743" w:type="pct"/>
            <w:shd w:val="clear" w:color="000000" w:fill="FFFFFF"/>
            <w:vAlign w:val="center"/>
          </w:tcPr>
          <w:p w14:paraId="7A87C705">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AI计算单元</w:t>
            </w:r>
          </w:p>
        </w:tc>
        <w:tc>
          <w:tcPr>
            <w:tcW w:w="3273" w:type="pct"/>
            <w:shd w:val="clear" w:color="000000" w:fill="FFFFFF"/>
            <w:vAlign w:val="center"/>
          </w:tcPr>
          <w:p w14:paraId="382A512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采用</w:t>
            </w:r>
            <w:r>
              <w:rPr>
                <w:rFonts w:ascii="宋体" w:hAnsi="宋体" w:cs="宋体"/>
                <w:color w:val="000000" w:themeColor="text1"/>
                <w:sz w:val="24"/>
                <w:highlight w:val="none"/>
                <w14:textFill>
                  <w14:solidFill>
                    <w14:schemeClr w14:val="tx1"/>
                  </w14:solidFill>
                </w14:textFill>
              </w:rPr>
              <w:t>GPGPU架构，单计算单元双精度浮点算力 FP64</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28 TFLOPS</w:t>
            </w:r>
            <w:r>
              <w:rPr>
                <w:rFonts w:hint="eastAsia" w:ascii="宋体" w:hAnsi="宋体" w:cs="宋体"/>
                <w:color w:val="000000" w:themeColor="text1"/>
                <w:sz w:val="24"/>
                <w:highlight w:val="none"/>
                <w14:textFill>
                  <w14:solidFill>
                    <w14:schemeClr w14:val="tx1"/>
                  </w14:solidFill>
                </w14:textFill>
              </w:rPr>
              <w:t>，单精度浮点算力</w:t>
            </w:r>
            <w:r>
              <w:rPr>
                <w:rFonts w:ascii="宋体" w:hAnsi="宋体" w:cs="宋体"/>
                <w:color w:val="000000" w:themeColor="text1"/>
                <w:sz w:val="24"/>
                <w:highlight w:val="none"/>
                <w14:textFill>
                  <w14:solidFill>
                    <w14:schemeClr w14:val="tx1"/>
                  </w14:solidFill>
                </w14:textFill>
              </w:rPr>
              <w:t>FP32</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57 TFLOPS</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TF32≥229 TFLOPS</w:t>
            </w:r>
            <w:r>
              <w:rPr>
                <w:rFonts w:hint="eastAsia" w:ascii="宋体" w:hAnsi="宋体" w:cs="宋体"/>
                <w:color w:val="000000" w:themeColor="text1"/>
                <w:sz w:val="24"/>
                <w:highlight w:val="none"/>
                <w14:textFill>
                  <w14:solidFill>
                    <w14:schemeClr w14:val="tx1"/>
                  </w14:solidFill>
                </w14:textFill>
              </w:rPr>
              <w:t>，半精度浮点算力</w:t>
            </w:r>
            <w:r>
              <w:rPr>
                <w:rFonts w:ascii="宋体" w:hAnsi="宋体" w:cs="宋体"/>
                <w:color w:val="000000" w:themeColor="text1"/>
                <w:sz w:val="24"/>
                <w:highlight w:val="none"/>
                <w14:textFill>
                  <w14:solidFill>
                    <w14:schemeClr w14:val="tx1"/>
                  </w14:solidFill>
                </w14:textFill>
              </w:rPr>
              <w:t>FP16≥459 TFLOPS，BF16≥459 TFLOPS</w:t>
            </w:r>
            <w:r>
              <w:rPr>
                <w:rFonts w:hint="eastAsia" w:ascii="宋体" w:hAnsi="宋体" w:cs="宋体"/>
                <w:color w:val="000000" w:themeColor="text1"/>
                <w:sz w:val="24"/>
                <w:highlight w:val="none"/>
                <w14:textFill>
                  <w14:solidFill>
                    <w14:schemeClr w14:val="tx1"/>
                  </w14:solidFill>
                </w14:textFill>
              </w:rPr>
              <w:t>。</w:t>
            </w:r>
          </w:p>
        </w:tc>
      </w:tr>
      <w:tr w14:paraId="6289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2AA5A1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29321E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9367A8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▲AI计算单元数量类型</w:t>
            </w:r>
          </w:p>
        </w:tc>
        <w:tc>
          <w:tcPr>
            <w:tcW w:w="3273" w:type="pct"/>
            <w:shd w:val="clear" w:color="000000" w:fill="FFFFFF"/>
            <w:vAlign w:val="center"/>
          </w:tcPr>
          <w:p w14:paraId="5431377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单台服务器配置至少8张符合国家安全可靠测评</w:t>
            </w:r>
            <w:r>
              <w:rPr>
                <w:rFonts w:ascii="宋体" w:hAnsi="宋体" w:cs="宋体"/>
                <w:color w:val="000000" w:themeColor="text1"/>
                <w:sz w:val="24"/>
                <w:highlight w:val="none"/>
                <w14:textFill>
                  <w14:solidFill>
                    <w14:schemeClr w14:val="tx1"/>
                  </w14:solidFill>
                </w14:textFill>
              </w:rPr>
              <w:t>I</w:t>
            </w:r>
            <w:r>
              <w:rPr>
                <w:rFonts w:hint="eastAsia" w:ascii="宋体" w:hAnsi="宋体" w:cs="宋体"/>
                <w:color w:val="000000" w:themeColor="text1"/>
                <w:sz w:val="24"/>
                <w:highlight w:val="none"/>
                <w14:textFill>
                  <w14:solidFill>
                    <w14:schemeClr w14:val="tx1"/>
                  </w14:solidFill>
                </w14:textFill>
              </w:rPr>
              <w:t>级要求的</w:t>
            </w:r>
            <w:r>
              <w:rPr>
                <w:rFonts w:ascii="宋体" w:hAnsi="宋体" w:cs="宋体"/>
                <w:color w:val="000000" w:themeColor="text1"/>
                <w:sz w:val="24"/>
                <w:highlight w:val="none"/>
                <w14:textFill>
                  <w14:solidFill>
                    <w14:schemeClr w14:val="tx1"/>
                  </w14:solidFill>
                </w14:textFill>
              </w:rPr>
              <w:t>AI</w:t>
            </w:r>
            <w:r>
              <w:rPr>
                <w:rFonts w:hint="eastAsia" w:ascii="宋体" w:hAnsi="宋体" w:cs="宋体"/>
                <w:color w:val="000000" w:themeColor="text1"/>
                <w:sz w:val="24"/>
                <w:highlight w:val="none"/>
                <w14:textFill>
                  <w14:solidFill>
                    <w14:schemeClr w14:val="tx1"/>
                  </w14:solidFill>
                </w14:textFill>
              </w:rPr>
              <w:t>芯片。</w:t>
            </w:r>
          </w:p>
        </w:tc>
      </w:tr>
      <w:tr w14:paraId="4E3A5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1EF753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8B2D497">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95D84A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▲AI计算单元显存</w:t>
            </w:r>
          </w:p>
        </w:tc>
        <w:tc>
          <w:tcPr>
            <w:tcW w:w="3273" w:type="pct"/>
            <w:vAlign w:val="center"/>
          </w:tcPr>
          <w:p w14:paraId="622DF22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单卡显存不小于64GB HBM，显存带宽不小于1.8TB/s。</w:t>
            </w:r>
          </w:p>
        </w:tc>
      </w:tr>
      <w:tr w14:paraId="4E90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73BBE87">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E265B2A">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6C4CF2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▲AI计算单元接口</w:t>
            </w:r>
          </w:p>
        </w:tc>
        <w:tc>
          <w:tcPr>
            <w:tcW w:w="3273" w:type="pct"/>
            <w:vAlign w:val="center"/>
          </w:tcPr>
          <w:p w14:paraId="1F0FD40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应支持16通道PCIe 5.0。</w:t>
            </w:r>
          </w:p>
        </w:tc>
      </w:tr>
      <w:tr w14:paraId="4C8C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24DBF6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0B3E2D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BE214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▲AI计算单元卡间互联速率</w:t>
            </w:r>
          </w:p>
        </w:tc>
        <w:tc>
          <w:tcPr>
            <w:tcW w:w="3273" w:type="pct"/>
            <w:vAlign w:val="center"/>
          </w:tcPr>
          <w:p w14:paraId="06D860B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应支持计算节点内部GPU卡间互联。</w:t>
            </w:r>
          </w:p>
        </w:tc>
      </w:tr>
      <w:tr w14:paraId="03A5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C5A8028">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418851D">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05A1BF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▲AI计算单元功耗规格</w:t>
            </w:r>
          </w:p>
        </w:tc>
        <w:tc>
          <w:tcPr>
            <w:tcW w:w="3273" w:type="pct"/>
            <w:vAlign w:val="center"/>
          </w:tcPr>
          <w:p w14:paraId="4C25A85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单卡最大TDP功耗不超过600W。</w:t>
            </w:r>
          </w:p>
        </w:tc>
      </w:tr>
      <w:tr w14:paraId="0741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36FE3F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C2E291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AI计算单元配件规格</w:t>
            </w:r>
          </w:p>
        </w:tc>
        <w:tc>
          <w:tcPr>
            <w:tcW w:w="743" w:type="pct"/>
            <w:shd w:val="clear" w:color="000000" w:fill="FFFFFF"/>
            <w:vAlign w:val="center"/>
          </w:tcPr>
          <w:p w14:paraId="09A03469">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AI计算单元桥接器</w:t>
            </w:r>
          </w:p>
        </w:tc>
        <w:tc>
          <w:tcPr>
            <w:tcW w:w="3273" w:type="pct"/>
            <w:vAlign w:val="center"/>
          </w:tcPr>
          <w:p w14:paraId="60D54C8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需配置计算单元桥接器</w:t>
            </w:r>
          </w:p>
        </w:tc>
      </w:tr>
      <w:tr w14:paraId="4CA02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4D5B18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9DF92B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机柜规格</w:t>
            </w:r>
          </w:p>
        </w:tc>
        <w:tc>
          <w:tcPr>
            <w:tcW w:w="743" w:type="pct"/>
            <w:shd w:val="clear" w:color="000000" w:fill="FFFFFF"/>
            <w:vAlign w:val="center"/>
          </w:tcPr>
          <w:p w14:paraId="04AFBC1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★机柜尺寸</w:t>
            </w:r>
          </w:p>
        </w:tc>
        <w:tc>
          <w:tcPr>
            <w:tcW w:w="3273" w:type="pct"/>
            <w:shd w:val="clear" w:color="000000" w:fill="FFFFFF"/>
            <w:vAlign w:val="center"/>
          </w:tcPr>
          <w:p w14:paraId="6EC8549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无机柜要求，本次不采购机柜</w:t>
            </w:r>
          </w:p>
        </w:tc>
      </w:tr>
      <w:tr w14:paraId="75F8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FC3B838">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32C8A4E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★主板功能</w:t>
            </w:r>
          </w:p>
        </w:tc>
        <w:tc>
          <w:tcPr>
            <w:tcW w:w="743" w:type="pct"/>
            <w:shd w:val="clear" w:color="000000" w:fill="FFFFFF"/>
            <w:vAlign w:val="center"/>
          </w:tcPr>
          <w:p w14:paraId="3FCF43F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★主板外部接口种类</w:t>
            </w:r>
          </w:p>
        </w:tc>
        <w:tc>
          <w:tcPr>
            <w:tcW w:w="3273" w:type="pct"/>
            <w:shd w:val="clear" w:color="000000" w:fill="FFFFFF"/>
            <w:vAlign w:val="center"/>
          </w:tcPr>
          <w:p w14:paraId="45586A6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前置：不少于2个USB、1个VGA；</w:t>
            </w:r>
          </w:p>
          <w:p w14:paraId="5D88B3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后置：不少于1个VGA、2个USB、1个管理网口。</w:t>
            </w:r>
          </w:p>
        </w:tc>
      </w:tr>
      <w:tr w14:paraId="1919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FC7511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45A22C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★网络功能</w:t>
            </w:r>
          </w:p>
        </w:tc>
        <w:tc>
          <w:tcPr>
            <w:tcW w:w="743" w:type="pct"/>
            <w:shd w:val="clear" w:color="000000" w:fill="FFFFFF"/>
            <w:vAlign w:val="center"/>
          </w:tcPr>
          <w:p w14:paraId="14B3D95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★网络功能</w:t>
            </w:r>
          </w:p>
        </w:tc>
        <w:tc>
          <w:tcPr>
            <w:tcW w:w="3273" w:type="pct"/>
            <w:shd w:val="clear" w:color="000000" w:fill="FFFFFF"/>
            <w:vAlign w:val="center"/>
          </w:tcPr>
          <w:p w14:paraId="4F80A3B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应支持网络连接、网络访问、数据交换和网络管控功能。</w:t>
            </w:r>
          </w:p>
        </w:tc>
      </w:tr>
      <w:tr w14:paraId="1693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C39BE8A">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22BBD3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★CPU功能</w:t>
            </w:r>
          </w:p>
        </w:tc>
        <w:tc>
          <w:tcPr>
            <w:tcW w:w="743" w:type="pct"/>
            <w:shd w:val="clear" w:color="000000" w:fill="FFFFFF"/>
            <w:vAlign w:val="center"/>
          </w:tcPr>
          <w:p w14:paraId="7265523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★计算处理</w:t>
            </w:r>
          </w:p>
        </w:tc>
        <w:tc>
          <w:tcPr>
            <w:tcW w:w="3273" w:type="pct"/>
            <w:shd w:val="clear" w:color="000000" w:fill="FFFFFF"/>
            <w:vAlign w:val="center"/>
          </w:tcPr>
          <w:p w14:paraId="254C64A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应支持通用计算及虚拟化功能。处理器需集成整型计算单元、浮点计算单元、内存控制器、I/O模块等，处理器与存储部件、网络部件、I/O部件等组成计算系统，提供数据处理、网络接入等计算相关功能。</w:t>
            </w:r>
          </w:p>
        </w:tc>
      </w:tr>
      <w:tr w14:paraId="690A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4BB45E6">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41133F3">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2EB394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★密码算法实现</w:t>
            </w:r>
          </w:p>
        </w:tc>
        <w:tc>
          <w:tcPr>
            <w:tcW w:w="3273" w:type="pct"/>
            <w:shd w:val="clear" w:color="000000" w:fill="FFFFFF"/>
            <w:vAlign w:val="center"/>
          </w:tcPr>
          <w:p w14:paraId="3A6959B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CPU芯片应符合GM/T0008的相关规定，或芯片密码模块应符合GM/T 0028的相关规定。</w:t>
            </w:r>
          </w:p>
        </w:tc>
      </w:tr>
      <w:tr w14:paraId="1955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F65E26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5F1D48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★电源功能</w:t>
            </w:r>
          </w:p>
        </w:tc>
        <w:tc>
          <w:tcPr>
            <w:tcW w:w="743" w:type="pct"/>
            <w:shd w:val="clear" w:color="000000" w:fill="FFFFFF"/>
            <w:vAlign w:val="center"/>
          </w:tcPr>
          <w:p w14:paraId="7FA6C83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★电源热插拔</w:t>
            </w:r>
          </w:p>
        </w:tc>
        <w:tc>
          <w:tcPr>
            <w:tcW w:w="3273" w:type="pct"/>
            <w:shd w:val="clear" w:color="000000" w:fill="FFFFFF"/>
            <w:vAlign w:val="center"/>
          </w:tcPr>
          <w:p w14:paraId="251132F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整机电源模块应具备热插拔功能。</w:t>
            </w:r>
          </w:p>
        </w:tc>
      </w:tr>
      <w:tr w14:paraId="5D32C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F52246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0E542E6">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F17AD2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★电源过流保护</w:t>
            </w:r>
          </w:p>
        </w:tc>
        <w:tc>
          <w:tcPr>
            <w:tcW w:w="3273" w:type="pct"/>
            <w:shd w:val="clear" w:color="000000" w:fill="FFFFFF"/>
            <w:vAlign w:val="center"/>
          </w:tcPr>
          <w:p w14:paraId="6E9CF6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应支持过流及短路保护的功能。</w:t>
            </w:r>
          </w:p>
        </w:tc>
      </w:tr>
      <w:tr w14:paraId="5A95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F585976">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49FF71B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★整机功能</w:t>
            </w:r>
          </w:p>
        </w:tc>
        <w:tc>
          <w:tcPr>
            <w:tcW w:w="743" w:type="pct"/>
            <w:shd w:val="clear" w:color="000000" w:fill="FFFFFF"/>
            <w:vAlign w:val="center"/>
          </w:tcPr>
          <w:p w14:paraId="6385E64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★散热方式</w:t>
            </w:r>
          </w:p>
        </w:tc>
        <w:tc>
          <w:tcPr>
            <w:tcW w:w="3273" w:type="pct"/>
            <w:shd w:val="clear" w:color="000000" w:fill="FFFFFF"/>
            <w:vAlign w:val="center"/>
          </w:tcPr>
          <w:p w14:paraId="2AE5E73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应支持风冷散热方式。</w:t>
            </w:r>
          </w:p>
        </w:tc>
      </w:tr>
      <w:tr w14:paraId="14B0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AEF9D0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0C620C7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系统运维</w:t>
            </w:r>
          </w:p>
        </w:tc>
        <w:tc>
          <w:tcPr>
            <w:tcW w:w="743" w:type="pct"/>
            <w:shd w:val="clear" w:color="000000" w:fill="FFFFFF"/>
            <w:vAlign w:val="center"/>
          </w:tcPr>
          <w:p w14:paraId="13D08AD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▲系统运维</w:t>
            </w:r>
          </w:p>
        </w:tc>
        <w:tc>
          <w:tcPr>
            <w:tcW w:w="3273" w:type="pct"/>
            <w:shd w:val="clear" w:color="000000" w:fill="FFFFFF"/>
            <w:vAlign w:val="center"/>
          </w:tcPr>
          <w:p w14:paraId="15811AF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整机具备集成系统管理芯片，支持IPMI2.0、KVM over IP等管理功能。</w:t>
            </w:r>
          </w:p>
        </w:tc>
      </w:tr>
      <w:tr w14:paraId="4F52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88BCCD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9AA69B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★管理系统功能</w:t>
            </w:r>
          </w:p>
        </w:tc>
        <w:tc>
          <w:tcPr>
            <w:tcW w:w="743" w:type="pct"/>
            <w:shd w:val="clear" w:color="000000" w:fill="FFFFFF"/>
            <w:vAlign w:val="center"/>
          </w:tcPr>
          <w:p w14:paraId="508F4F8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★BMC固件基础功能</w:t>
            </w:r>
          </w:p>
        </w:tc>
        <w:tc>
          <w:tcPr>
            <w:tcW w:w="3273" w:type="pct"/>
            <w:shd w:val="clear" w:color="000000" w:fill="FFFFFF"/>
            <w:vAlign w:val="center"/>
          </w:tcPr>
          <w:p w14:paraId="73164DE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(1)应支持DHCP设置网络功能；</w:t>
            </w:r>
          </w:p>
          <w:p w14:paraId="234B16E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(2)应支持静态IP设置网络功能；</w:t>
            </w:r>
          </w:p>
          <w:p w14:paraId="1908814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(3)应支持设备日志记录，包括但不限于登录日志、操作日志和报警日志等功能；</w:t>
            </w:r>
          </w:p>
          <w:p w14:paraId="1749831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(4)应支持日志信息导出和记录删除功能；</w:t>
            </w:r>
          </w:p>
          <w:p w14:paraId="7F279FB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(5)应支持通过管理接口向外输出准确的报警信息功能；</w:t>
            </w:r>
          </w:p>
          <w:p w14:paraId="1DD042F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(6)设备的BMC管理软件应能够按报警的严重程度进行区分；</w:t>
            </w:r>
          </w:p>
          <w:p w14:paraId="7D536BB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(7)应支持IPMI2.0、SNMP或Redfish等接口功能；</w:t>
            </w:r>
          </w:p>
          <w:p w14:paraId="530B0E5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(8)应支持键盘、鼠标和视频的重定向、文本控制台的重定向、远程虚拟媒体、高可靠的硬件监控和管理功能；</w:t>
            </w:r>
          </w:p>
          <w:p w14:paraId="5C487DC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(9)应支持基于网络开启、关闭和重启设备的功能，并查询当前设备开机运行状态；</w:t>
            </w:r>
          </w:p>
          <w:p w14:paraId="77496D7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(10)应支持故障提示功能，并可通过接口读取服务器故障信息；</w:t>
            </w:r>
          </w:p>
          <w:p w14:paraId="67180CE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(11)应支持基于网络的固件更新功能，包括BMC和BIOS等；</w:t>
            </w:r>
          </w:p>
          <w:p w14:paraId="5E9E5BE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(12)应支持基于网络安装操作系统的功能，并可通过网络控制台访问设备；</w:t>
            </w:r>
          </w:p>
          <w:p w14:paraId="54EB103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(13)应支持通过本地的硬盘或光驱等存储设备，基于网络完成设备的操作系统安装功能；</w:t>
            </w:r>
          </w:p>
          <w:p w14:paraId="2F068F5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(14)应支持通过浏览器打开管理界面并登录功能；</w:t>
            </w:r>
          </w:p>
          <w:p w14:paraId="0C8B098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(15)应支持设置口令策略功能；</w:t>
            </w:r>
          </w:p>
          <w:p w14:paraId="7A20ED8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(16)应支持访问权限设置功能，并通过日志记录访问事件；</w:t>
            </w:r>
          </w:p>
          <w:p w14:paraId="1033BF8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(17)应支持对出厂默认的用户名及口令进行安全保护功能，并提供默认口令修改提示；</w:t>
            </w:r>
          </w:p>
          <w:p w14:paraId="4512A43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(18)应支持读取设备主板的工作环境温度功能；</w:t>
            </w:r>
          </w:p>
          <w:p w14:paraId="6E98525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(19)应支持读取服务器CPU等核心器件的温度功能；</w:t>
            </w:r>
          </w:p>
          <w:p w14:paraId="0AFCDB1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(20)应支持通过外部管理工具进行BMC参数设置的功能，并可基于网络通过外部管理工具对BMC进行管理；</w:t>
            </w:r>
          </w:p>
          <w:p w14:paraId="36E6F63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(21)应支持固件版本查询、固件升级</w:t>
            </w:r>
          </w:p>
          <w:p w14:paraId="5F5DB9B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(22)应支持基于网络实现开关机和复位控制的功能；</w:t>
            </w:r>
          </w:p>
          <w:p w14:paraId="50D8FC5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(23)BMC启动时间应不超过180s，实现功能包括网络、IPMI、散热、传感器服务可用；</w:t>
            </w:r>
          </w:p>
          <w:p w14:paraId="7F5CAE3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(24)应支持BMC固件设置的恢复出厂功能。</w:t>
            </w:r>
          </w:p>
        </w:tc>
      </w:tr>
      <w:tr w14:paraId="4980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39E621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B6BF0F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CA7401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★BIOS固件基础功能</w:t>
            </w:r>
          </w:p>
        </w:tc>
        <w:tc>
          <w:tcPr>
            <w:tcW w:w="3273" w:type="pct"/>
            <w:shd w:val="clear" w:color="000000" w:fill="FFFFFF"/>
            <w:vAlign w:val="center"/>
          </w:tcPr>
          <w:p w14:paraId="133A330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(1)应支持查看固件版本、内存信息、主板信息、处理器信息和系统时间信息功能；</w:t>
            </w:r>
          </w:p>
          <w:p w14:paraId="5CDB353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(2)应支持上电初始化界面显示CPU信息、内存信息、固件版本和部分快捷键信息功能；</w:t>
            </w:r>
          </w:p>
          <w:p w14:paraId="57D2F17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(3)应支持设置界面中英文显示切换功能；</w:t>
            </w:r>
          </w:p>
          <w:p w14:paraId="3BB94DA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(4)应支持查看PCIe设备信息，SATA设备信息功能；</w:t>
            </w:r>
          </w:p>
          <w:p w14:paraId="17FC95D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(5)应支持操作系统安装和引导功能，应并向操作系统提供计算机主板信息和服务接口；</w:t>
            </w:r>
          </w:p>
          <w:p w14:paraId="2DFEF68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(6)应支持设置启动顺序，并按照设置的启动顺序启动功能；</w:t>
            </w:r>
          </w:p>
          <w:p w14:paraId="024D1C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(7)应支持安全启动功能；</w:t>
            </w:r>
          </w:p>
          <w:p w14:paraId="72DB558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(8)应支持设置口令、修改口令、验证口令功能；</w:t>
            </w:r>
          </w:p>
          <w:p w14:paraId="6F5B097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(9)应支持板载显示控制或独立显卡的显示控制功能；</w:t>
            </w:r>
          </w:p>
          <w:p w14:paraId="63BA5C9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(10)应支持RAID识别和启动功能；</w:t>
            </w:r>
          </w:p>
          <w:p w14:paraId="3CD3B4D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(11)应支持串口重定向功能；</w:t>
            </w:r>
          </w:p>
          <w:p w14:paraId="5AE464B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(12)应支持固件更新功能；</w:t>
            </w:r>
          </w:p>
          <w:p w14:paraId="6C430FE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(13)应支持BIOS固件设置的恢复出厂功能；</w:t>
            </w:r>
          </w:p>
          <w:p w14:paraId="44E030C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(14)应支持网络引导启用和关闭功能。</w:t>
            </w:r>
          </w:p>
        </w:tc>
      </w:tr>
      <w:tr w14:paraId="36FE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8383A4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1A9147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1BF068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★远程控制</w:t>
            </w:r>
          </w:p>
        </w:tc>
        <w:tc>
          <w:tcPr>
            <w:tcW w:w="3273" w:type="pct"/>
            <w:shd w:val="clear" w:color="000000" w:fill="FFFFFF"/>
            <w:vAlign w:val="center"/>
          </w:tcPr>
          <w:p w14:paraId="63012C0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应支持远程关机和重新启动功能。</w:t>
            </w:r>
          </w:p>
        </w:tc>
      </w:tr>
      <w:tr w14:paraId="318A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B33CAD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1A2236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★操作系统及驱动功能</w:t>
            </w:r>
          </w:p>
        </w:tc>
        <w:tc>
          <w:tcPr>
            <w:tcW w:w="743" w:type="pct"/>
            <w:shd w:val="clear" w:color="000000" w:fill="FFFFFF"/>
            <w:vAlign w:val="center"/>
          </w:tcPr>
          <w:p w14:paraId="3124B5F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★操作系统及驱动的升级</w:t>
            </w:r>
          </w:p>
        </w:tc>
        <w:tc>
          <w:tcPr>
            <w:tcW w:w="3273" w:type="pct"/>
            <w:shd w:val="clear" w:color="000000" w:fill="FFFFFF"/>
            <w:vAlign w:val="center"/>
          </w:tcPr>
          <w:p w14:paraId="5AFD11E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应支持通过网络、闪存盘对操作系统、驱动进行升级。</w:t>
            </w:r>
          </w:p>
        </w:tc>
      </w:tr>
      <w:tr w14:paraId="0CE1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A0D5D3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268DCF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6AC781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★操作系统功能</w:t>
            </w:r>
          </w:p>
        </w:tc>
        <w:tc>
          <w:tcPr>
            <w:tcW w:w="3273" w:type="pct"/>
            <w:shd w:val="clear" w:color="000000" w:fill="FFFFFF"/>
            <w:vAlign w:val="center"/>
          </w:tcPr>
          <w:p w14:paraId="1D45446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(1)应支持访问控制、安全审计、网络接入鉴别等功能；</w:t>
            </w:r>
          </w:p>
          <w:p w14:paraId="0E84C7D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(2)操作系统其他功能应满足操作系统政府采购需求标准中加★的指标要求。</w:t>
            </w:r>
          </w:p>
        </w:tc>
      </w:tr>
      <w:tr w14:paraId="66B2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4AC943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3D83B95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★中文信息处理功能</w:t>
            </w:r>
          </w:p>
        </w:tc>
        <w:tc>
          <w:tcPr>
            <w:tcW w:w="743" w:type="pct"/>
            <w:shd w:val="clear" w:color="000000" w:fill="FFFFFF"/>
            <w:vAlign w:val="center"/>
          </w:tcPr>
          <w:p w14:paraId="6A478EB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★中文信息处理功能</w:t>
            </w:r>
          </w:p>
        </w:tc>
        <w:tc>
          <w:tcPr>
            <w:tcW w:w="3273" w:type="pct"/>
            <w:shd w:val="clear" w:color="000000" w:fill="FFFFFF"/>
            <w:vAlign w:val="center"/>
          </w:tcPr>
          <w:p w14:paraId="16E9155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 18030的有关规定。</w:t>
            </w:r>
          </w:p>
        </w:tc>
      </w:tr>
      <w:tr w14:paraId="231F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FD84B87">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51D35F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★关键部件安全要求</w:t>
            </w:r>
          </w:p>
        </w:tc>
        <w:tc>
          <w:tcPr>
            <w:tcW w:w="743" w:type="pct"/>
            <w:shd w:val="clear" w:color="000000" w:fill="FFFFFF"/>
            <w:vAlign w:val="center"/>
          </w:tcPr>
          <w:p w14:paraId="56783D6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★关键部件安全要求</w:t>
            </w:r>
          </w:p>
        </w:tc>
        <w:tc>
          <w:tcPr>
            <w:tcW w:w="3273" w:type="pct"/>
            <w:shd w:val="clear" w:color="000000" w:fill="FFFFFF"/>
            <w:vAlign w:val="center"/>
          </w:tcPr>
          <w:p w14:paraId="349FAAE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CPU和操作系统等关键部件应当符合安全可靠测评要求。</w:t>
            </w:r>
          </w:p>
        </w:tc>
      </w:tr>
      <w:tr w14:paraId="521A3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9BBB5D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3978AE5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★固件安全要求</w:t>
            </w:r>
          </w:p>
        </w:tc>
        <w:tc>
          <w:tcPr>
            <w:tcW w:w="743" w:type="pct"/>
            <w:shd w:val="clear" w:color="000000" w:fill="FFFFFF"/>
            <w:vAlign w:val="center"/>
          </w:tcPr>
          <w:p w14:paraId="21B93C2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★故障检测</w:t>
            </w:r>
          </w:p>
        </w:tc>
        <w:tc>
          <w:tcPr>
            <w:tcW w:w="3273" w:type="pct"/>
            <w:shd w:val="clear" w:color="000000" w:fill="FFFFFF"/>
            <w:vAlign w:val="center"/>
          </w:tcPr>
          <w:p w14:paraId="7ACF2A7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应支持故障检测功能，可以检测到具体的FRU（内存、硬盘等）的故障并发出告警。</w:t>
            </w:r>
          </w:p>
        </w:tc>
      </w:tr>
      <w:tr w14:paraId="103C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AA5860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B7AE26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★系统安全要求</w:t>
            </w:r>
          </w:p>
        </w:tc>
        <w:tc>
          <w:tcPr>
            <w:tcW w:w="743" w:type="pct"/>
            <w:shd w:val="clear" w:color="000000" w:fill="FFFFFF"/>
            <w:vAlign w:val="center"/>
          </w:tcPr>
          <w:p w14:paraId="028AF3E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★弱口令字典检查</w:t>
            </w:r>
          </w:p>
        </w:tc>
        <w:tc>
          <w:tcPr>
            <w:tcW w:w="3273" w:type="pct"/>
            <w:shd w:val="clear" w:color="000000" w:fill="FFFFFF"/>
            <w:vAlign w:val="center"/>
          </w:tcPr>
          <w:p w14:paraId="0F372372">
            <w:pP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应支持弱口令字典检查功能，出现在弱口令字典中的字符串不能被设置为用户口令。</w:t>
            </w:r>
          </w:p>
        </w:tc>
      </w:tr>
      <w:tr w14:paraId="3C98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DDFEDE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1497814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A3BFA0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★白名单访问控制</w:t>
            </w:r>
          </w:p>
        </w:tc>
        <w:tc>
          <w:tcPr>
            <w:tcW w:w="3273" w:type="pct"/>
            <w:shd w:val="clear" w:color="000000" w:fill="FFFFFF"/>
            <w:vAlign w:val="center"/>
          </w:tcPr>
          <w:p w14:paraId="7C72EB7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应支持基于时间、IP或MAC白名单访问控制。</w:t>
            </w:r>
          </w:p>
        </w:tc>
      </w:tr>
      <w:tr w14:paraId="54CA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A2A8FF8">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4B9BBF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31FE4E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★二次鉴别</w:t>
            </w:r>
          </w:p>
        </w:tc>
        <w:tc>
          <w:tcPr>
            <w:tcW w:w="3273" w:type="pct"/>
            <w:shd w:val="clear" w:color="000000" w:fill="FFFFFF"/>
            <w:vAlign w:val="center"/>
          </w:tcPr>
          <w:p w14:paraId="2E917AF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应支持二次鉴别功能。对于用户配置、权限配置、公钥导入等重要的管理操作，已登录用户应通过二次鉴别后，才能执行操作。</w:t>
            </w:r>
          </w:p>
        </w:tc>
      </w:tr>
      <w:tr w14:paraId="1B6D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D1043C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4C363C71">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4C237F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★密码证书安全加密存储</w:t>
            </w:r>
          </w:p>
        </w:tc>
        <w:tc>
          <w:tcPr>
            <w:tcW w:w="3273" w:type="pct"/>
            <w:shd w:val="clear" w:color="000000" w:fill="FFFFFF"/>
            <w:vAlign w:val="center"/>
          </w:tcPr>
          <w:p w14:paraId="5AB50F7B">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应支持对带外管理系统中的用户口令和证书等敏感信息进行加密存储，禁止使用私有的和业界已知不安全的密码算法。</w:t>
            </w:r>
          </w:p>
        </w:tc>
      </w:tr>
      <w:tr w14:paraId="49FB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C5A7F5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E30042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BAF10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★敏感信息安全加密传输</w:t>
            </w:r>
          </w:p>
        </w:tc>
        <w:tc>
          <w:tcPr>
            <w:tcW w:w="3273" w:type="pct"/>
            <w:shd w:val="clear" w:color="000000" w:fill="FFFFFF"/>
            <w:vAlign w:val="center"/>
          </w:tcPr>
          <w:p w14:paraId="7684F6F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应支持使用安全的传输加密协议（如SSH或HTTPS等）传输用户的敏感信息。</w:t>
            </w:r>
          </w:p>
        </w:tc>
      </w:tr>
      <w:tr w14:paraId="4E25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884B0E8">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06D4FF3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★信息安全要求</w:t>
            </w:r>
          </w:p>
        </w:tc>
        <w:tc>
          <w:tcPr>
            <w:tcW w:w="743" w:type="pct"/>
            <w:shd w:val="clear" w:color="000000" w:fill="FFFFFF"/>
            <w:vAlign w:val="center"/>
          </w:tcPr>
          <w:p w14:paraId="46C2A6A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★研发过程安全</w:t>
            </w:r>
          </w:p>
        </w:tc>
        <w:tc>
          <w:tcPr>
            <w:tcW w:w="3273" w:type="pct"/>
            <w:shd w:val="clear" w:color="000000" w:fill="FFFFFF"/>
            <w:vAlign w:val="center"/>
          </w:tcPr>
          <w:p w14:paraId="0DD9F94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投标人需提供承诺，生产商已建立从需求、设计、开发、测试、维护端到端的开发流程管理机制，输出和保存开发流程中每个阶段的产品需求清单、设计文档、开发文档、测试记录等材料，保证各个流程可追溯。</w:t>
            </w:r>
          </w:p>
        </w:tc>
      </w:tr>
      <w:tr w14:paraId="3BA5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BFE015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7D1C5B3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★物理安全</w:t>
            </w:r>
          </w:p>
        </w:tc>
        <w:tc>
          <w:tcPr>
            <w:tcW w:w="743" w:type="pct"/>
            <w:shd w:val="clear" w:color="000000" w:fill="FFFFFF"/>
            <w:vAlign w:val="center"/>
          </w:tcPr>
          <w:p w14:paraId="24DB497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★物理安全</w:t>
            </w:r>
          </w:p>
        </w:tc>
        <w:tc>
          <w:tcPr>
            <w:tcW w:w="3273" w:type="pct"/>
            <w:shd w:val="clear" w:color="000000" w:fill="FFFFFF"/>
            <w:vAlign w:val="center"/>
          </w:tcPr>
          <w:p w14:paraId="6934DA2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安全要求应符合GB 4943.1的规定。</w:t>
            </w:r>
          </w:p>
        </w:tc>
      </w:tr>
      <w:tr w14:paraId="63C3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963317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659D90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★限用物质的限量要求</w:t>
            </w:r>
          </w:p>
        </w:tc>
        <w:tc>
          <w:tcPr>
            <w:tcW w:w="743" w:type="pct"/>
            <w:shd w:val="clear" w:color="000000" w:fill="FFFFFF"/>
            <w:vAlign w:val="center"/>
          </w:tcPr>
          <w:p w14:paraId="7CF58DC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★限用物质的限量要求</w:t>
            </w:r>
          </w:p>
        </w:tc>
        <w:tc>
          <w:tcPr>
            <w:tcW w:w="3273" w:type="pct"/>
            <w:shd w:val="clear" w:color="000000" w:fill="FFFFFF"/>
            <w:vAlign w:val="center"/>
          </w:tcPr>
          <w:p w14:paraId="325F5C9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限用物质的限量应符合GB/T 26572的要求。</w:t>
            </w:r>
          </w:p>
        </w:tc>
      </w:tr>
      <w:tr w14:paraId="677D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D410EE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9D4D60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★CPU性能</w:t>
            </w:r>
          </w:p>
        </w:tc>
        <w:tc>
          <w:tcPr>
            <w:tcW w:w="743" w:type="pct"/>
            <w:shd w:val="clear" w:color="000000" w:fill="FFFFFF"/>
            <w:vAlign w:val="center"/>
          </w:tcPr>
          <w:p w14:paraId="065DEFD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★CPU主频</w:t>
            </w:r>
          </w:p>
        </w:tc>
        <w:tc>
          <w:tcPr>
            <w:tcW w:w="3273" w:type="pct"/>
            <w:shd w:val="clear" w:color="000000" w:fill="FFFFFF"/>
            <w:vAlign w:val="center"/>
          </w:tcPr>
          <w:p w14:paraId="2F0DC52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≥3.0GHz。</w:t>
            </w:r>
          </w:p>
        </w:tc>
      </w:tr>
      <w:tr w14:paraId="5573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BF6FAE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09A0823">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E6E024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★单CPU核数</w:t>
            </w:r>
          </w:p>
        </w:tc>
        <w:tc>
          <w:tcPr>
            <w:tcW w:w="3273" w:type="pct"/>
            <w:shd w:val="clear" w:color="000000" w:fill="FFFFFF"/>
            <w:vAlign w:val="center"/>
          </w:tcPr>
          <w:p w14:paraId="7E423E1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≥64核。</w:t>
            </w:r>
          </w:p>
        </w:tc>
      </w:tr>
      <w:tr w14:paraId="69DB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FC4EF0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D4416F4">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27E2BE3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★单CPU末级缓存容量</w:t>
            </w:r>
          </w:p>
        </w:tc>
        <w:tc>
          <w:tcPr>
            <w:tcW w:w="3273" w:type="pct"/>
            <w:shd w:val="clear" w:color="000000" w:fill="FFFFFF"/>
            <w:vAlign w:val="center"/>
          </w:tcPr>
          <w:p w14:paraId="1CF30AD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≥256MB。</w:t>
            </w:r>
          </w:p>
        </w:tc>
      </w:tr>
      <w:tr w14:paraId="33A9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6473CD5">
            <w:pPr>
              <w:pStyle w:val="93"/>
              <w:numPr>
                <w:ilvl w:val="0"/>
                <w:numId w:val="2"/>
              </w:numP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40B362C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内存性能</w:t>
            </w:r>
          </w:p>
        </w:tc>
        <w:tc>
          <w:tcPr>
            <w:tcW w:w="743" w:type="pct"/>
            <w:shd w:val="clear" w:color="000000" w:fill="FFFFFF"/>
            <w:vAlign w:val="center"/>
          </w:tcPr>
          <w:p w14:paraId="13E1119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▲单内存模块容量</w:t>
            </w:r>
          </w:p>
        </w:tc>
        <w:tc>
          <w:tcPr>
            <w:tcW w:w="3273" w:type="pct"/>
            <w:shd w:val="clear" w:color="000000" w:fill="FFFFFF"/>
            <w:vAlign w:val="center"/>
          </w:tcPr>
          <w:p w14:paraId="1A2F990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≥32GB。</w:t>
            </w:r>
          </w:p>
        </w:tc>
      </w:tr>
      <w:tr w14:paraId="1940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0421D39">
            <w:pPr>
              <w:pStyle w:val="93"/>
              <w:numPr>
                <w:ilvl w:val="0"/>
                <w:numId w:val="2"/>
              </w:numP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3B55217">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07EA7C2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★内存速率</w:t>
            </w:r>
          </w:p>
        </w:tc>
        <w:tc>
          <w:tcPr>
            <w:tcW w:w="3273" w:type="pct"/>
            <w:shd w:val="clear" w:color="000000" w:fill="FFFFFF"/>
            <w:vAlign w:val="center"/>
          </w:tcPr>
          <w:p w14:paraId="4809EFE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≥5600MHz。</w:t>
            </w:r>
          </w:p>
        </w:tc>
      </w:tr>
      <w:tr w14:paraId="1258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1C9F5E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065DEC6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★电源能耗</w:t>
            </w:r>
          </w:p>
        </w:tc>
        <w:tc>
          <w:tcPr>
            <w:tcW w:w="743" w:type="pct"/>
            <w:shd w:val="clear" w:color="000000" w:fill="FFFFFF"/>
            <w:vAlign w:val="center"/>
          </w:tcPr>
          <w:p w14:paraId="537237E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★电源能耗</w:t>
            </w:r>
          </w:p>
        </w:tc>
        <w:tc>
          <w:tcPr>
            <w:tcW w:w="3273" w:type="pct"/>
            <w:shd w:val="clear" w:color="000000" w:fill="FFFFFF"/>
            <w:vAlign w:val="center"/>
          </w:tcPr>
          <w:p w14:paraId="1FAE917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应符合GB/T 9813.3的有关规定。</w:t>
            </w:r>
          </w:p>
        </w:tc>
      </w:tr>
      <w:tr w14:paraId="7C8AE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76D8686">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01205E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★部件兼容性要求</w:t>
            </w:r>
          </w:p>
        </w:tc>
        <w:tc>
          <w:tcPr>
            <w:tcW w:w="743" w:type="pct"/>
            <w:shd w:val="clear" w:color="000000" w:fill="FFFFFF"/>
            <w:vAlign w:val="center"/>
          </w:tcPr>
          <w:p w14:paraId="53469A2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★内存兼容性</w:t>
            </w:r>
          </w:p>
        </w:tc>
        <w:tc>
          <w:tcPr>
            <w:tcW w:w="3273" w:type="pct"/>
            <w:shd w:val="clear" w:color="000000" w:fill="FFFFFF"/>
            <w:vAlign w:val="center"/>
          </w:tcPr>
          <w:p w14:paraId="2EF0446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应适配3种及以上厂商的内存产品，且均不低于产品支持的内存规格。</w:t>
            </w:r>
          </w:p>
        </w:tc>
      </w:tr>
      <w:tr w14:paraId="411A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23B72A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77F8C9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812ED8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★固态存储兼容性</w:t>
            </w:r>
          </w:p>
        </w:tc>
        <w:tc>
          <w:tcPr>
            <w:tcW w:w="3273" w:type="pct"/>
            <w:shd w:val="clear" w:color="000000" w:fill="FFFFFF"/>
            <w:vAlign w:val="center"/>
          </w:tcPr>
          <w:p w14:paraId="17A610C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应适配3种或以上厂商的固态存储产品，且均不低于产品支持的固态存储设备规格。</w:t>
            </w:r>
          </w:p>
        </w:tc>
      </w:tr>
      <w:tr w14:paraId="6665F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0F931D8">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845E9DA">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7938691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★网卡兼容性</w:t>
            </w:r>
          </w:p>
        </w:tc>
        <w:tc>
          <w:tcPr>
            <w:tcW w:w="3273" w:type="pct"/>
            <w:shd w:val="clear" w:color="000000" w:fill="FFFFFF"/>
            <w:vAlign w:val="center"/>
          </w:tcPr>
          <w:p w14:paraId="39BC847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网卡应适配两种或以上厂商产品。</w:t>
            </w:r>
          </w:p>
        </w:tc>
      </w:tr>
      <w:tr w14:paraId="784D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4EB3623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FD81DAA">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133B9D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★功能卡兼容性</w:t>
            </w:r>
          </w:p>
        </w:tc>
        <w:tc>
          <w:tcPr>
            <w:tcW w:w="3273" w:type="pct"/>
            <w:shd w:val="clear" w:color="000000" w:fill="FFFFFF"/>
            <w:vAlign w:val="center"/>
          </w:tcPr>
          <w:p w14:paraId="0458D82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内置或适配应符合PCIe的功能卡，如：网络功能卡、存储功能卡及图形显示功能卡。</w:t>
            </w:r>
          </w:p>
        </w:tc>
      </w:tr>
      <w:tr w14:paraId="0C93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136CC60">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3F90D05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★外设兼容性</w:t>
            </w:r>
          </w:p>
        </w:tc>
        <w:tc>
          <w:tcPr>
            <w:tcW w:w="743" w:type="pct"/>
            <w:shd w:val="clear" w:color="000000" w:fill="FFFFFF"/>
            <w:vAlign w:val="center"/>
          </w:tcPr>
          <w:p w14:paraId="6E08245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★外设兼容性</w:t>
            </w:r>
          </w:p>
        </w:tc>
        <w:tc>
          <w:tcPr>
            <w:tcW w:w="3273" w:type="pct"/>
            <w:shd w:val="clear" w:color="000000" w:fill="FFFFFF"/>
            <w:vAlign w:val="center"/>
          </w:tcPr>
          <w:p w14:paraId="1FBDE1A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应兼容多种主流生产商的外部设备，包括显示器、键盘、鼠标、闪存盘、移动硬盘、USB光驱及KVM等，要求使用不同厂商的外部设备时，系统均能正常识别和安装驱动。</w:t>
            </w:r>
          </w:p>
        </w:tc>
      </w:tr>
      <w:tr w14:paraId="40ED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24DCB9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50AA7A6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★软件兼容性</w:t>
            </w:r>
          </w:p>
        </w:tc>
        <w:tc>
          <w:tcPr>
            <w:tcW w:w="743" w:type="pct"/>
            <w:shd w:val="clear" w:color="000000" w:fill="FFFFFF"/>
            <w:vAlign w:val="center"/>
          </w:tcPr>
          <w:p w14:paraId="0BCBA19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★数据库兼容</w:t>
            </w:r>
          </w:p>
        </w:tc>
        <w:tc>
          <w:tcPr>
            <w:tcW w:w="3273" w:type="pct"/>
            <w:shd w:val="clear" w:color="000000" w:fill="FFFFFF"/>
            <w:vAlign w:val="center"/>
          </w:tcPr>
          <w:p w14:paraId="142361E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应兼容3个及以上厂商的数据库产品。</w:t>
            </w:r>
          </w:p>
        </w:tc>
      </w:tr>
      <w:tr w14:paraId="785D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8278B4B">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7CB3699">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49AE5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★中间件兼容</w:t>
            </w:r>
          </w:p>
        </w:tc>
        <w:tc>
          <w:tcPr>
            <w:tcW w:w="3273" w:type="pct"/>
            <w:shd w:val="clear" w:color="000000" w:fill="FFFFFF"/>
            <w:vAlign w:val="center"/>
          </w:tcPr>
          <w:p w14:paraId="737ADA1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应兼容3个及以上厂商的中间件产品。</w:t>
            </w:r>
          </w:p>
        </w:tc>
      </w:tr>
      <w:tr w14:paraId="1AB8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6EB09C6">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32FB2F5">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5918CFB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★平台软件兼容</w:t>
            </w:r>
          </w:p>
        </w:tc>
        <w:tc>
          <w:tcPr>
            <w:tcW w:w="3273" w:type="pct"/>
            <w:shd w:val="clear" w:color="000000" w:fill="FFFFFF"/>
            <w:vAlign w:val="center"/>
          </w:tcPr>
          <w:p w14:paraId="743D7A0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应兼容3个及以上厂商的大数据平台。</w:t>
            </w:r>
          </w:p>
        </w:tc>
      </w:tr>
      <w:tr w14:paraId="0822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542B0E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100F600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★整机可靠性要求</w:t>
            </w:r>
          </w:p>
        </w:tc>
        <w:tc>
          <w:tcPr>
            <w:tcW w:w="743" w:type="pct"/>
            <w:shd w:val="clear" w:color="000000" w:fill="FFFFFF"/>
            <w:vAlign w:val="center"/>
          </w:tcPr>
          <w:p w14:paraId="2EF7E17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★整机可靠性</w:t>
            </w:r>
          </w:p>
        </w:tc>
        <w:tc>
          <w:tcPr>
            <w:tcW w:w="3273" w:type="pct"/>
            <w:shd w:val="clear" w:color="000000" w:fill="FFFFFF"/>
            <w:vAlign w:val="center"/>
          </w:tcPr>
          <w:p w14:paraId="299FE6E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MTBF不得低于300000</w:t>
            </w:r>
            <w:r>
              <w:rPr>
                <w:rFonts w:ascii="宋体" w:hAnsi="宋体" w:cs="宋体"/>
                <w:color w:val="000000" w:themeColor="text1"/>
                <w:sz w:val="24"/>
                <w:highlight w:val="none"/>
                <w14:textFill>
                  <w14:solidFill>
                    <w14:schemeClr w14:val="tx1"/>
                  </w14:solidFill>
                </w14:textFill>
              </w:rPr>
              <w:t>h</w:t>
            </w:r>
          </w:p>
        </w:tc>
      </w:tr>
      <w:tr w14:paraId="23EF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39542E1">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38F53B6A">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085F29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★风扇可靠性</w:t>
            </w:r>
          </w:p>
        </w:tc>
        <w:tc>
          <w:tcPr>
            <w:tcW w:w="3273" w:type="pct"/>
            <w:shd w:val="clear" w:color="000000" w:fill="FFFFFF"/>
            <w:vAlign w:val="center"/>
          </w:tcPr>
          <w:p w14:paraId="4829502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风扇寿命应不低于40000h。</w:t>
            </w:r>
          </w:p>
        </w:tc>
      </w:tr>
      <w:tr w14:paraId="329C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146553C">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A747E1B">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41A27D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★部件可靠性</w:t>
            </w:r>
          </w:p>
        </w:tc>
        <w:tc>
          <w:tcPr>
            <w:tcW w:w="3273" w:type="pct"/>
            <w:shd w:val="clear" w:color="000000" w:fill="FFFFFF"/>
            <w:vAlign w:val="center"/>
          </w:tcPr>
          <w:p w14:paraId="4C50334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应支持硬盘、电源、风扇热插拔(内置风扇除外)。</w:t>
            </w:r>
          </w:p>
        </w:tc>
      </w:tr>
      <w:tr w14:paraId="6260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2D3709F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7965FF8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★包装及运输要求</w:t>
            </w:r>
          </w:p>
        </w:tc>
        <w:tc>
          <w:tcPr>
            <w:tcW w:w="743" w:type="pct"/>
            <w:shd w:val="clear" w:color="000000" w:fill="FFFFFF"/>
            <w:vAlign w:val="center"/>
          </w:tcPr>
          <w:p w14:paraId="7AE2FD7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★标志、包装、运输和贮存</w:t>
            </w:r>
          </w:p>
        </w:tc>
        <w:tc>
          <w:tcPr>
            <w:tcW w:w="3273" w:type="pct"/>
            <w:shd w:val="clear" w:color="000000" w:fill="FFFFFF"/>
            <w:vAlign w:val="center"/>
          </w:tcPr>
          <w:p w14:paraId="1D9447F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应符合GB/T 9813.3和商品包装政府采购需求标准的相关规定。</w:t>
            </w:r>
          </w:p>
        </w:tc>
      </w:tr>
      <w:tr w14:paraId="2758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640E32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0F0D1E2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★服务响应</w:t>
            </w:r>
          </w:p>
        </w:tc>
        <w:tc>
          <w:tcPr>
            <w:tcW w:w="743" w:type="pct"/>
            <w:shd w:val="clear" w:color="000000" w:fill="FFFFFF"/>
            <w:vAlign w:val="center"/>
          </w:tcPr>
          <w:p w14:paraId="6428B3F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★服务响应</w:t>
            </w:r>
          </w:p>
        </w:tc>
        <w:tc>
          <w:tcPr>
            <w:tcW w:w="3273" w:type="pct"/>
            <w:shd w:val="clear" w:color="000000" w:fill="FFFFFF"/>
            <w:vAlign w:val="center"/>
          </w:tcPr>
          <w:p w14:paraId="187CD69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(1)需提供电话、电子邮件、远程连接等多种形式服务；</w:t>
            </w:r>
          </w:p>
          <w:p w14:paraId="3376450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(2)需提供同城4小时、异地12小时技术响应服务，2个工作日解决问题，对于未能解决的问题和故障应提供可行的升级方案，并提供周转设备；</w:t>
            </w:r>
          </w:p>
          <w:p w14:paraId="6CA3E6C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(3)建立全国技术服务体系和服务团体，应符合专业服务体系标准要求，提供原厂中文服务；</w:t>
            </w:r>
          </w:p>
          <w:p w14:paraId="33170DC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(4)服务周期内需提供产品的维修、换件和升级服务</w:t>
            </w:r>
          </w:p>
        </w:tc>
      </w:tr>
      <w:tr w14:paraId="4240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63FB8B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6C8125D8">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3A892E6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★培训服务</w:t>
            </w:r>
          </w:p>
        </w:tc>
        <w:tc>
          <w:tcPr>
            <w:tcW w:w="3273" w:type="pct"/>
            <w:shd w:val="clear" w:color="000000" w:fill="FFFFFF"/>
            <w:vAlign w:val="center"/>
          </w:tcPr>
          <w:p w14:paraId="3AAE1D0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投标人需提供培训材料、产品手册、培训视频等培训相关内容</w:t>
            </w:r>
          </w:p>
        </w:tc>
      </w:tr>
      <w:tr w14:paraId="7306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505CFC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shd w:val="clear" w:color="000000" w:fill="FFFFFF"/>
            <w:vAlign w:val="center"/>
          </w:tcPr>
          <w:p w14:paraId="1DA6875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★服务周期</w:t>
            </w:r>
          </w:p>
        </w:tc>
        <w:tc>
          <w:tcPr>
            <w:tcW w:w="743" w:type="pct"/>
            <w:shd w:val="clear" w:color="000000" w:fill="FFFFFF"/>
            <w:vAlign w:val="center"/>
          </w:tcPr>
          <w:p w14:paraId="31ACF4E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★服务周期</w:t>
            </w:r>
          </w:p>
        </w:tc>
        <w:tc>
          <w:tcPr>
            <w:tcW w:w="3273" w:type="pct"/>
            <w:shd w:val="clear" w:color="000000" w:fill="FFFFFF"/>
            <w:vAlign w:val="center"/>
          </w:tcPr>
          <w:p w14:paraId="22199F1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(1)产品免费服务周期（含换件和维修）应不小于5年；</w:t>
            </w:r>
          </w:p>
          <w:p w14:paraId="05F3F2F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(2)设备停产后继续提供质量保障服务（含备品备件），服务终止时间与最后一批设备交付时间间隔不低于6年；</w:t>
            </w:r>
          </w:p>
          <w:p w14:paraId="592682F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(3)产品停止服务时间应提前1年告知客户；</w:t>
            </w:r>
          </w:p>
          <w:p w14:paraId="20E0AF9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(4)产品发布日期需在随机文件中明确。</w:t>
            </w:r>
          </w:p>
        </w:tc>
      </w:tr>
      <w:tr w14:paraId="2C87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6E94316F">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1943454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★服务工具要求</w:t>
            </w:r>
          </w:p>
        </w:tc>
        <w:tc>
          <w:tcPr>
            <w:tcW w:w="743" w:type="pct"/>
            <w:shd w:val="clear" w:color="000000" w:fill="FFFFFF"/>
            <w:vAlign w:val="center"/>
          </w:tcPr>
          <w:p w14:paraId="448C38F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★工具要求</w:t>
            </w:r>
          </w:p>
        </w:tc>
        <w:tc>
          <w:tcPr>
            <w:tcW w:w="3273" w:type="pct"/>
            <w:shd w:val="clear" w:color="000000" w:fill="FFFFFF"/>
            <w:vAlign w:val="center"/>
          </w:tcPr>
          <w:p w14:paraId="793CBDD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投标人需提供设置服务器硬件、辅助操作系统安装等功能的辅助工具和管理软件。且随附软件应具有合法授权或版权。</w:t>
            </w:r>
          </w:p>
        </w:tc>
      </w:tr>
      <w:tr w14:paraId="299B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0B65A23E">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2A71F75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2929A6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★驱动安装升级指引</w:t>
            </w:r>
          </w:p>
        </w:tc>
        <w:tc>
          <w:tcPr>
            <w:tcW w:w="3273" w:type="pct"/>
            <w:shd w:val="clear" w:color="000000" w:fill="FFFFFF"/>
            <w:vAlign w:val="center"/>
          </w:tcPr>
          <w:p w14:paraId="2AF12EF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投标人需提供出厂安装的配件所需的驱动程序，形式包括但不限于驱动光盘、驱动下载链接等。其他配件应提供指引。</w:t>
            </w:r>
          </w:p>
        </w:tc>
      </w:tr>
      <w:tr w14:paraId="1D4D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10741779">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537CEBB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1A8313C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★管理软件</w:t>
            </w:r>
          </w:p>
        </w:tc>
        <w:tc>
          <w:tcPr>
            <w:tcW w:w="3273" w:type="pct"/>
            <w:shd w:val="clear" w:color="000000" w:fill="FFFFFF"/>
            <w:vAlign w:val="center"/>
          </w:tcPr>
          <w:p w14:paraId="390F33A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应具备资源管理、系统管理、性能监控、健康监控、基于网络控制、报警设置功能。</w:t>
            </w:r>
          </w:p>
        </w:tc>
      </w:tr>
      <w:tr w14:paraId="77B3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5EDBF68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7B5677A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★增值服务</w:t>
            </w:r>
          </w:p>
        </w:tc>
        <w:tc>
          <w:tcPr>
            <w:tcW w:w="743" w:type="pct"/>
            <w:shd w:val="clear" w:color="000000" w:fill="FFFFFF"/>
            <w:vAlign w:val="center"/>
          </w:tcPr>
          <w:p w14:paraId="4EBB031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★厂家升级产品软件与扩容服务</w:t>
            </w:r>
          </w:p>
        </w:tc>
        <w:tc>
          <w:tcPr>
            <w:tcW w:w="3273" w:type="pct"/>
            <w:shd w:val="clear" w:color="000000" w:fill="FFFFFF"/>
            <w:vAlign w:val="center"/>
          </w:tcPr>
          <w:p w14:paraId="735BC1E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投标人需提供原厂级的部件/软件产品升级和扩容能力。</w:t>
            </w:r>
          </w:p>
        </w:tc>
      </w:tr>
      <w:tr w14:paraId="33777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1A644C4">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07126BB2">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4139741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★提供上门服务</w:t>
            </w:r>
          </w:p>
        </w:tc>
        <w:tc>
          <w:tcPr>
            <w:tcW w:w="3273" w:type="pct"/>
            <w:shd w:val="clear" w:color="000000" w:fill="FFFFFF"/>
            <w:vAlign w:val="center"/>
          </w:tcPr>
          <w:p w14:paraId="137F176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投标人需具备提供上门服务的能力(可收费)。</w:t>
            </w:r>
          </w:p>
        </w:tc>
      </w:tr>
      <w:tr w14:paraId="2BB7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7CA08A3D">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restart"/>
            <w:shd w:val="clear" w:color="000000" w:fill="FFFFFF"/>
            <w:vAlign w:val="center"/>
          </w:tcPr>
          <w:p w14:paraId="3AF78D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★供应链质量</w:t>
            </w:r>
          </w:p>
        </w:tc>
        <w:tc>
          <w:tcPr>
            <w:tcW w:w="743" w:type="pct"/>
            <w:shd w:val="clear" w:color="000000" w:fill="FFFFFF"/>
            <w:vAlign w:val="center"/>
          </w:tcPr>
          <w:p w14:paraId="1E7DAE7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★抗干扰性</w:t>
            </w:r>
          </w:p>
        </w:tc>
        <w:tc>
          <w:tcPr>
            <w:tcW w:w="3273" w:type="pct"/>
            <w:shd w:val="clear" w:color="000000" w:fill="FFFFFF"/>
            <w:vAlign w:val="center"/>
          </w:tcPr>
          <w:p w14:paraId="14A3574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当产品部件出现供应风险时，应通知客户并提供风险应对方案确保产品的服务保障，必要时应停止相关受影响产品的销售。</w:t>
            </w:r>
          </w:p>
        </w:tc>
      </w:tr>
      <w:tr w14:paraId="6F38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0" w:type="pct"/>
            <w:shd w:val="clear" w:color="000000" w:fill="FFFFFF"/>
            <w:vAlign w:val="center"/>
          </w:tcPr>
          <w:p w14:paraId="3404FD83">
            <w:pPr>
              <w:pStyle w:val="93"/>
              <w:numPr>
                <w:ilvl w:val="0"/>
                <w:numId w:val="2"/>
              </w:numPr>
              <w:jc w:val="center"/>
              <w:rPr>
                <w:rFonts w:ascii="宋体" w:hAnsi="宋体" w:cs="宋体"/>
                <w:color w:val="000000" w:themeColor="text1"/>
                <w:sz w:val="24"/>
                <w:highlight w:val="none"/>
                <w14:textFill>
                  <w14:solidFill>
                    <w14:schemeClr w14:val="tx1"/>
                  </w14:solidFill>
                </w14:textFill>
              </w:rPr>
            </w:pPr>
          </w:p>
        </w:tc>
        <w:tc>
          <w:tcPr>
            <w:tcW w:w="773" w:type="pct"/>
            <w:vMerge w:val="continue"/>
            <w:shd w:val="clear" w:color="000000" w:fill="FFFFFF"/>
            <w:vAlign w:val="center"/>
          </w:tcPr>
          <w:p w14:paraId="7D477EA0">
            <w:pPr>
              <w:jc w:val="center"/>
              <w:rPr>
                <w:rFonts w:ascii="宋体" w:hAnsi="宋体" w:cs="宋体"/>
                <w:color w:val="000000" w:themeColor="text1"/>
                <w:sz w:val="24"/>
                <w:highlight w:val="none"/>
                <w14:textFill>
                  <w14:solidFill>
                    <w14:schemeClr w14:val="tx1"/>
                  </w14:solidFill>
                </w14:textFill>
              </w:rPr>
            </w:pPr>
          </w:p>
        </w:tc>
        <w:tc>
          <w:tcPr>
            <w:tcW w:w="743" w:type="pct"/>
            <w:shd w:val="clear" w:color="000000" w:fill="FFFFFF"/>
            <w:vAlign w:val="center"/>
          </w:tcPr>
          <w:p w14:paraId="626BE1E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★供应能力证明</w:t>
            </w:r>
          </w:p>
        </w:tc>
        <w:tc>
          <w:tcPr>
            <w:tcW w:w="3273" w:type="pct"/>
            <w:shd w:val="clear" w:color="000000" w:fill="FFFFFF"/>
            <w:vAlign w:val="center"/>
          </w:tcPr>
          <w:p w14:paraId="103711F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投标人需提供供应链稳定承诺书，确保产品的部件在产品服务周期内稳定供货。</w:t>
            </w:r>
          </w:p>
        </w:tc>
      </w:tr>
    </w:tbl>
    <w:p w14:paraId="734338D4">
      <w:pPr>
        <w:pStyle w:val="3"/>
        <w:rPr>
          <w:highlight w:val="none"/>
          <w:lang w:eastAsia="zh-CN" w:bidi="ar"/>
        </w:rPr>
      </w:pPr>
    </w:p>
    <w:p w14:paraId="4AE25214">
      <w:pPr>
        <w:pStyle w:val="94"/>
        <w:spacing w:line="500" w:lineRule="exact"/>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w:t>
      </w:r>
    </w:p>
    <w:p w14:paraId="2FFE02F8">
      <w:pPr>
        <w:pStyle w:val="94"/>
        <w:spacing w:line="50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1、上述表格中“★”标示的为实质性要求，必须对此明确响应并完全满足这些要求，需在“★”参数偏离表中响应（无偏离或正偏离），并提供承诺函并加盖投标人公章，否则视为无效投标；</w:t>
      </w:r>
    </w:p>
    <w:p w14:paraId="33051AAF">
      <w:pPr>
        <w:pStyle w:val="94"/>
        <w:spacing w:line="500" w:lineRule="exact"/>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2、“▲”标示的为重要参数，按表格中的具体要求，在“▲”参数偏离表中响应，</w:t>
      </w:r>
      <w:r>
        <w:rPr>
          <w:rFonts w:hint="eastAsia" w:ascii="宋体" w:hAnsi="宋体" w:cs="宋体"/>
          <w:b/>
          <w:bCs/>
          <w:color w:val="000000" w:themeColor="text1"/>
          <w:sz w:val="24"/>
          <w:highlight w:val="none"/>
          <w:lang w:val="en-US" w:eastAsia="zh-CN"/>
          <w14:textFill>
            <w14:solidFill>
              <w14:schemeClr w14:val="tx1"/>
            </w14:solidFill>
          </w14:textFill>
        </w:rPr>
        <w:t>并</w:t>
      </w:r>
      <w:r>
        <w:rPr>
          <w:rFonts w:hint="eastAsia" w:ascii="宋体" w:hAnsi="宋体" w:cs="宋体"/>
          <w:b/>
          <w:bCs/>
          <w:color w:val="000000" w:themeColor="text1"/>
          <w:sz w:val="24"/>
          <w:highlight w:val="none"/>
          <w14:textFill>
            <w14:solidFill>
              <w14:schemeClr w14:val="tx1"/>
            </w14:solidFill>
          </w14:textFill>
        </w:rPr>
        <w:t>提供相对应的承诺函（需加盖投标人公章）。</w:t>
      </w:r>
    </w:p>
    <w:p w14:paraId="22AF3FCE">
      <w:pPr>
        <w:pStyle w:val="5"/>
        <w:keepNext w:val="0"/>
        <w:keepLines w:val="0"/>
        <w:spacing w:before="0" w:after="0" w:line="500" w:lineRule="exact"/>
        <w:ind w:firstLine="0" w:firstLineChars="0"/>
        <w:rPr>
          <w:rFonts w:ascii="宋体" w:hAnsi="宋体" w:eastAsia="宋体" w:cs="宋体"/>
          <w:b/>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三、一般技术要求：</w:t>
      </w:r>
    </w:p>
    <w:p w14:paraId="1FBD604A">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p>
    <w:p w14:paraId="29945DC9">
      <w:pPr>
        <w:pStyle w:val="233"/>
        <w:spacing w:line="500" w:lineRule="exact"/>
        <w:ind w:firstLine="480" w:firstLineChars="200"/>
        <w:rPr>
          <w:rFonts w:hAnsi="宋体" w:eastAsia="宋体" w:cs="宋体"/>
          <w:b/>
          <w:bCs/>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2、</w:t>
      </w:r>
      <w:r>
        <w:rPr>
          <w:rStyle w:val="41"/>
          <w:rFonts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本次</w:t>
      </w:r>
      <w:r>
        <w:rPr>
          <w:rFonts w:hAnsi="宋体" w:eastAsia="宋体" w:cs="宋体"/>
          <w:color w:val="000000" w:themeColor="text1"/>
          <w:sz w:val="24"/>
          <w:szCs w:val="24"/>
          <w:highlight w:val="none"/>
          <w14:textFill>
            <w14:solidFill>
              <w14:schemeClr w14:val="tx1"/>
            </w14:solidFill>
          </w14:textFill>
        </w:rPr>
        <w:t xml:space="preserve"> AI </w:t>
      </w:r>
      <w:r>
        <w:rPr>
          <w:rFonts w:hint="eastAsia" w:hAnsi="宋体" w:eastAsia="宋体" w:cs="宋体"/>
          <w:color w:val="000000" w:themeColor="text1"/>
          <w:sz w:val="24"/>
          <w:szCs w:val="24"/>
          <w:highlight w:val="none"/>
          <w14:textFill>
            <w14:solidFill>
              <w14:schemeClr w14:val="tx1"/>
            </w14:solidFill>
          </w14:textFill>
        </w:rPr>
        <w:t>算力服务器招标项目，投标人报价须包含为实现设备正常部署、安装调试及运行所需的全部配件、组网和服务器安装辅料（包括但不限于光模块、</w:t>
      </w:r>
      <w:r>
        <w:rPr>
          <w:rFonts w:hAnsi="宋体" w:eastAsia="宋体" w:cs="宋体"/>
          <w:color w:val="000000" w:themeColor="text1"/>
          <w:sz w:val="24"/>
          <w:szCs w:val="24"/>
          <w:highlight w:val="none"/>
          <w14:textFill>
            <w14:solidFill>
              <w14:schemeClr w14:val="tx1"/>
            </w14:solidFill>
          </w14:textFill>
        </w:rPr>
        <w:t>MPO光纤、网线、LC-L光纤固定件、电源线等），上述配、安装辅料的供应、运输、仓储及相关服务费用均已含在投标总价中，采购人不再另行支付任何费用。</w:t>
      </w:r>
      <w:r>
        <w:rPr>
          <w:rFonts w:hint="eastAsia" w:hAnsi="宋体" w:eastAsia="宋体" w:cs="宋体"/>
          <w:b/>
          <w:bCs/>
          <w:color w:val="000000" w:themeColor="text1"/>
          <w:sz w:val="24"/>
          <w:szCs w:val="24"/>
          <w:highlight w:val="none"/>
          <w14:textFill>
            <w14:solidFill>
              <w14:schemeClr w14:val="tx1"/>
            </w14:solidFill>
          </w14:textFill>
        </w:rPr>
        <w:t>本项需提供承诺函，并加盖投标人公章。</w:t>
      </w:r>
    </w:p>
    <w:p w14:paraId="6D30B5BE">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3、投标人必须承诺响应招标文件中提出的全部技术规格与要求，如果以其中某些条款不响应时，应在文件中逐条列出，未列出的视同响应。</w:t>
      </w:r>
    </w:p>
    <w:p w14:paraId="6567283C">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4、投标人提供的所有产品的原材、生产、制造、成品质量须满足国家强制性许可规定，各项技术标准应当符合国家（强制性）标准、各项规范要求，国家没有相应标准、规范的，可使用行业标准、规定。</w:t>
      </w:r>
    </w:p>
    <w:p w14:paraId="0D34D0EF">
      <w:pPr>
        <w:pStyle w:val="233"/>
        <w:spacing w:line="500" w:lineRule="exact"/>
        <w:ind w:firstLine="480" w:firstLineChars="200"/>
        <w:rPr>
          <w:rFonts w:hAnsi="宋体" w:eastAsia="宋体" w:cs="宋体"/>
          <w:b/>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5、投标人提供的产品均为原厂生产的正规合格产品、且必须是全新的、未使用过的、原包装未拆封的商品，其生产厂家、技术规格、参数等完全符合采购文件规定及投标承诺的质量、性能的要求。</w:t>
      </w:r>
    </w:p>
    <w:p w14:paraId="7EF4C47A">
      <w:pPr>
        <w:pStyle w:val="5"/>
        <w:keepNext w:val="0"/>
        <w:keepLines w:val="0"/>
        <w:spacing w:before="0" w:after="0" w:line="500" w:lineRule="exact"/>
        <w:ind w:firstLine="0" w:firstLineChars="0"/>
        <w:rPr>
          <w:rStyle w:val="41"/>
          <w:rFonts w:ascii="宋体" w:hAnsi="宋体" w:eastAsia="宋体" w:cs="宋体"/>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四、项目商务要求：</w:t>
      </w:r>
    </w:p>
    <w:p w14:paraId="3237D329">
      <w:pPr>
        <w:pStyle w:val="233"/>
        <w:spacing w:line="500" w:lineRule="exact"/>
        <w:ind w:firstLine="482" w:firstLineChars="200"/>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（一）</w:t>
      </w:r>
      <w:r>
        <w:rPr>
          <w:rStyle w:val="41"/>
          <w:rFonts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hAnsi="宋体" w:eastAsia="宋体" w:cs="宋体"/>
          <w:b/>
          <w:color w:val="000000" w:themeColor="text1"/>
          <w:sz w:val="24"/>
          <w:szCs w:val="24"/>
          <w:highlight w:val="none"/>
          <w14:textFill>
            <w14:solidFill>
              <w14:schemeClr w14:val="tx1"/>
            </w14:solidFill>
          </w14:textFill>
        </w:rPr>
        <w:t>交货要求：</w:t>
      </w:r>
    </w:p>
    <w:p w14:paraId="2266600E">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合同签订后</w:t>
      </w:r>
      <w:r>
        <w:rPr>
          <w:rFonts w:ascii="宋体" w:hAnsi="宋体" w:cs="宋体"/>
          <w:color w:val="000000" w:themeColor="text1"/>
          <w:sz w:val="24"/>
          <w:highlight w:val="none"/>
          <w14:textFill>
            <w14:solidFill>
              <w14:schemeClr w14:val="tx1"/>
            </w14:solidFill>
          </w14:textFill>
        </w:rPr>
        <w:t>1个月内交货至甲方指定地点，</w:t>
      </w:r>
      <w:r>
        <w:rPr>
          <w:rFonts w:hint="eastAsia" w:ascii="宋体" w:hAnsi="宋体" w:cs="宋体"/>
          <w:b/>
          <w:bCs/>
          <w:color w:val="000000" w:themeColor="text1"/>
          <w:sz w:val="24"/>
          <w:highlight w:val="none"/>
          <w14:textFill>
            <w14:solidFill>
              <w14:schemeClr w14:val="tx1"/>
            </w14:solidFill>
          </w14:textFill>
        </w:rPr>
        <w:t>提供承诺函，并加盖投标人公章。</w:t>
      </w:r>
    </w:p>
    <w:p w14:paraId="40CAD156">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（二）包装和运输要求：</w:t>
      </w:r>
    </w:p>
    <w:p w14:paraId="4A452C91">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运输及包装方式的要求：快递或物流，货物全新、未被使用过、出厂检验合格,并提供相关技术资料。设备需采取坚固外包装，适合长途运输，防湿，防潮、防震、防锈，耐粗暴搬运等，以确保设备安全无损运抵甲方指定地点。设备到货时，须确保产品包装完好、所有标识清晰、封条完整。</w:t>
      </w:r>
    </w:p>
    <w:p w14:paraId="1428D754">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2、随货物必须配备的技术文件清单：产品合格证、使用说明书。</w:t>
      </w:r>
    </w:p>
    <w:p w14:paraId="5CCD9454">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（三）安装调试、试运行和验收：</w:t>
      </w:r>
    </w:p>
    <w:p w14:paraId="70837356">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1、验收程序：包括到货验收（开箱验收）和最终验收两个环节。</w:t>
      </w:r>
    </w:p>
    <w:p w14:paraId="378E87F8">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2、试运行：试运行周期不低于 3 </w:t>
      </w:r>
      <w:r>
        <w:rPr>
          <w:rFonts w:hint="eastAsia" w:ascii="宋体" w:hAnsi="宋体" w:cs="宋体"/>
          <w:color w:val="000000" w:themeColor="text1"/>
          <w:sz w:val="24"/>
          <w:highlight w:val="none"/>
          <w14:textFill>
            <w14:solidFill>
              <w14:schemeClr w14:val="tx1"/>
            </w14:solidFill>
          </w14:textFill>
        </w:rPr>
        <w:t>个月。</w:t>
      </w:r>
    </w:p>
    <w:p w14:paraId="402F77F3">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3、验收期限：供应商应在到货验收后90天内完成安装、调试，保证具备最终验收条件。具体履约验收按照附件：货物类项目履约验收方案验收。</w:t>
      </w:r>
    </w:p>
    <w:p w14:paraId="122B6AAE">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4、参与人员：采购人和（或）其代表、供应商代表、第三方机构（如需要）。</w:t>
      </w:r>
    </w:p>
    <w:p w14:paraId="08C95628">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5、相关要求：</w:t>
      </w:r>
    </w:p>
    <w:p w14:paraId="0BF5DB6D">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1）供应商应须提供全套设备的安装调试及验收实施方案；</w:t>
      </w:r>
    </w:p>
    <w:p w14:paraId="31A34C3C">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2）如果任何被检验或测试的货物不能满足规格的要求，采购人可以拒绝接受该货物，供应商应更换被拒绝的货物，或者免费进行必要的修改以满足规格的要求。</w:t>
      </w:r>
    </w:p>
    <w:p w14:paraId="4D868BD0">
      <w:pPr>
        <w:pStyle w:val="233"/>
        <w:spacing w:line="500" w:lineRule="exact"/>
        <w:ind w:firstLine="482" w:firstLineChars="200"/>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（四）项目实施要求：</w:t>
      </w:r>
    </w:p>
    <w:p w14:paraId="06C46D5D">
      <w:pPr>
        <w:pStyle w:val="233"/>
        <w:spacing w:line="500" w:lineRule="exact"/>
        <w:ind w:firstLine="482" w:firstLineChars="200"/>
        <w:rPr>
          <w:rFonts w:asciiTheme="minorEastAsia" w:hAnsiTheme="minorEastAsia" w:eastAsiaTheme="minorEastAsia" w:cstheme="minorEastAsia"/>
          <w:b/>
          <w:bCs w:val="0"/>
          <w:color w:val="000000" w:themeColor="text1"/>
          <w:sz w:val="24"/>
          <w:szCs w:val="24"/>
          <w:highlight w:val="none"/>
          <w14:textFill>
            <w14:solidFill>
              <w14:schemeClr w14:val="tx1"/>
            </w14:solidFill>
          </w14:textFill>
        </w:rPr>
      </w:pPr>
      <w:r>
        <w:rPr>
          <w:rFonts w:asciiTheme="minorEastAsia" w:hAnsiTheme="minorEastAsia" w:eastAsiaTheme="minorEastAsia" w:cstheme="minorEastAsia"/>
          <w:b/>
          <w:bCs w:val="0"/>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b/>
          <w:sz w:val="24"/>
          <w:szCs w:val="24"/>
          <w:highlight w:val="none"/>
        </w:rPr>
        <w:t>项目需求分析</w:t>
      </w:r>
    </w:p>
    <w:p w14:paraId="729AF639">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本章要求投标人对太仓瑞金医院信息化建设项目的背景、现状、目标和预期成效进行全面分析，体现对本项目的深入理解，所有分析须结合医院实际业务场景。内容至少包括①项目背景、②现状分析、③项目目标、④预期成效。</w:t>
      </w:r>
    </w:p>
    <w:p w14:paraId="1761D7EC">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①项目背景</w:t>
      </w:r>
      <w:r>
        <w:rPr>
          <w:rFonts w:hint="eastAsia" w:hAnsi="宋体" w:eastAsia="宋体" w:cs="宋体"/>
          <w:bCs/>
          <w:color w:val="000000" w:themeColor="text1"/>
          <w:sz w:val="24"/>
          <w:szCs w:val="24"/>
          <w:highlight w:val="none"/>
          <w14:textFill>
            <w14:solidFill>
              <w14:schemeClr w14:val="tx1"/>
            </w14:solidFill>
          </w14:textFill>
        </w:rPr>
        <w:t>：投标人须结合太仓瑞金医院的信息化建设现状，说明本项目建设的政策背景、业务背景和技术背景。内容应包括：国家及地方相关政策要求、医院信息化发展规划、本次测试评估项目的发起缘由等。要求内容真实、有据可查。</w:t>
      </w:r>
    </w:p>
    <w:p w14:paraId="79B5EB5D">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②现状分析：投标人须分析太仓瑞金医院当前信息化系统的运行现状，包括已建系统概况、存在的主要问题与痛点、与本期建设目标的差距等。要求分析有针对性，能准确识别当前系统在功能、性能、安全等方面的不足。</w:t>
      </w:r>
    </w:p>
    <w:p w14:paraId="0B608635">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③项目目标：投标人须明确本项目的具体建设目标，包括：功能目标（系统需实现的测试评估能力）、技术目标（技术架构和标准要求）、管理目标（项目管理和质量控制目标）等。目标须具体、可量化、可验收。</w:t>
      </w:r>
    </w:p>
    <w:p w14:paraId="2F8CCC7C">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④预期成效：投标人须描述项目建成后的预期成效，包括：业务成效（提升哪些业务效率和质量）、管理成效（对医院管理带来的改进）、社会效益（对患者服务和公众满意度的影响）等。要求成效描述具体、可评估。</w:t>
      </w:r>
    </w:p>
    <w:p w14:paraId="605E4705">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2、项目管理方案</w:t>
      </w:r>
    </w:p>
    <w:p w14:paraId="7E743B35">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本章要求投标人针对本项目制定完整的项目管理方案，涵盖范围管理、进度管理、风险管理和验收管理。方案须结合本项目特点，体现科学性和可操作性。</w:t>
      </w:r>
      <w:r>
        <w:rPr>
          <w:rFonts w:hint="eastAsia" w:hAnsi="宋体" w:eastAsia="宋体" w:cs="宋体"/>
          <w:color w:val="000000" w:themeColor="text1"/>
          <w:sz w:val="24"/>
          <w:szCs w:val="24"/>
          <w:highlight w:val="none"/>
          <w14:textFill>
            <w14:solidFill>
              <w14:schemeClr w14:val="tx1"/>
            </w14:solidFill>
          </w14:textFill>
        </w:rPr>
        <w:t>内容至少包括①项目范围管理、②项目进度管理、③项目风险管理、④项目验收管理。</w:t>
      </w:r>
    </w:p>
    <w:p w14:paraId="01CB19EB">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①项目范围管理：投标人须明确本项目的工作范围边界，包括：工作分解结构、主要交付物清单、范围变更控制流程、范围确认机制等。要求清晰界定本项目测试评估的范围，避免范围蔓延。</w:t>
      </w:r>
    </w:p>
    <w:p w14:paraId="485859BF">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②项目进度管理：投标人须提供详细的项目进度计划，包括：总体进度安排、关键里程碑节点、各阶段工期估算及依据、进度保障措施等。进度计划须合理可行，充分考虑医院信息系统测试的特殊性。</w:t>
      </w:r>
    </w:p>
    <w:p w14:paraId="4D4B828B">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③项目风险管理：投标人须进行系统性的风险识别和评估，包括：风险识别清单（技术风险、管理风险、外部依赖风险等）、风险等级评估（发生概率和影响程度）、风险应对策略（规避、转移、减轻、接受）及监控机制等。</w:t>
      </w:r>
    </w:p>
    <w:p w14:paraId="41CC4CE1">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④项目验收管理：投标人须明确项目验收的标准和流程，包括：验收标准（功能验收、性能验收、文档验收等）、验收流程（初验、终验）、验收文档清单、验收问题处理机制等。验收标准须与招标文件技术要求对应。</w:t>
      </w:r>
    </w:p>
    <w:p w14:paraId="01EAEBC1">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3、项目质量管理方案</w:t>
      </w:r>
    </w:p>
    <w:p w14:paraId="4725204F">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本章要求投标人制定项目质量管理方案，包括质量管理体系介绍和项目交付质量保证方案。方案须覆盖项目全生命周期，体现预防为主、检验把关的质量管理理念。</w:t>
      </w:r>
      <w:r>
        <w:rPr>
          <w:rFonts w:hint="eastAsia" w:hAnsi="宋体" w:eastAsia="宋体" w:cs="宋体"/>
          <w:color w:val="000000" w:themeColor="text1"/>
          <w:sz w:val="24"/>
          <w:szCs w:val="24"/>
          <w:highlight w:val="none"/>
          <w14:textFill>
            <w14:solidFill>
              <w14:schemeClr w14:val="tx1"/>
            </w14:solidFill>
          </w14:textFill>
        </w:rPr>
        <w:t>内容至少包括①</w:t>
      </w:r>
      <w:r>
        <w:rPr>
          <w:rFonts w:hint="eastAsia" w:hAnsi="宋体" w:eastAsia="宋体" w:cs="宋体"/>
          <w:bCs/>
          <w:color w:val="000000" w:themeColor="text1"/>
          <w:sz w:val="24"/>
          <w:szCs w:val="24"/>
          <w:highlight w:val="none"/>
          <w14:textFill>
            <w14:solidFill>
              <w14:schemeClr w14:val="tx1"/>
            </w14:solidFill>
          </w14:textFill>
        </w:rPr>
        <w:t>质量管理体系介绍</w:t>
      </w:r>
      <w:r>
        <w:rPr>
          <w:rFonts w:hint="eastAsia" w:hAnsi="宋体" w:eastAsia="宋体" w:cs="宋体"/>
          <w:color w:val="000000" w:themeColor="text1"/>
          <w:sz w:val="24"/>
          <w:szCs w:val="24"/>
          <w:highlight w:val="none"/>
          <w14:textFill>
            <w14:solidFill>
              <w14:schemeClr w14:val="tx1"/>
            </w14:solidFill>
          </w14:textFill>
        </w:rPr>
        <w:t>、②</w:t>
      </w:r>
      <w:r>
        <w:rPr>
          <w:rFonts w:hint="eastAsia" w:hAnsi="宋体" w:eastAsia="宋体" w:cs="宋体"/>
          <w:bCs/>
          <w:color w:val="000000" w:themeColor="text1"/>
          <w:sz w:val="24"/>
          <w:szCs w:val="24"/>
          <w:highlight w:val="none"/>
          <w14:textFill>
            <w14:solidFill>
              <w14:schemeClr w14:val="tx1"/>
            </w14:solidFill>
          </w14:textFill>
        </w:rPr>
        <w:t>项目交付质量保证方案。</w:t>
      </w:r>
    </w:p>
    <w:p w14:paraId="3AAA17A6">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①</w:t>
      </w:r>
      <w:r>
        <w:rPr>
          <w:rFonts w:hint="eastAsia" w:hAnsi="宋体" w:eastAsia="宋体" w:cs="宋体"/>
          <w:bCs/>
          <w:color w:val="000000" w:themeColor="text1"/>
          <w:sz w:val="24"/>
          <w:szCs w:val="24"/>
          <w:highlight w:val="none"/>
          <w14:textFill>
            <w14:solidFill>
              <w14:schemeClr w14:val="tx1"/>
            </w14:solidFill>
          </w14:textFill>
        </w:rPr>
        <w:t>质量管理体系介绍：投标人须介绍本单位的质量管理体系，包括：质量管理组织架构、质量管理制度和流程、持续改进机制等。</w:t>
      </w:r>
    </w:p>
    <w:p w14:paraId="70ACB2C0">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②</w:t>
      </w:r>
      <w:r>
        <w:rPr>
          <w:rFonts w:hint="eastAsia" w:hAnsi="宋体" w:eastAsia="宋体" w:cs="宋体"/>
          <w:bCs/>
          <w:color w:val="000000" w:themeColor="text1"/>
          <w:sz w:val="24"/>
          <w:szCs w:val="24"/>
          <w:highlight w:val="none"/>
          <w14:textFill>
            <w14:solidFill>
              <w14:schemeClr w14:val="tx1"/>
            </w14:solidFill>
          </w14:textFill>
        </w:rPr>
        <w:t>项目交付质量保证方案：投标人须针对本项目制定交付质量保证方案，包括：各阶段质量检查点和检查标准、质量评审机制、缺陷管理流程（缺陷发现、记录、跟踪、修复、验证）、配置管理方案等。要求质量指标可量化、可追溯。</w:t>
      </w:r>
    </w:p>
    <w:p w14:paraId="76C5B703">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4、项目应急响应管理方案</w:t>
      </w:r>
    </w:p>
    <w:p w14:paraId="6379EE0F">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本章要求投标人制定项目应急响应管理方案，涵盖事件监测、预警机制、响应流程、现场处置、恢复措施和事后总结全流程。方案须体现快速响应、有效处置、持续改进的应急管理理念。</w:t>
      </w:r>
      <w:r>
        <w:rPr>
          <w:rFonts w:hint="eastAsia" w:hAnsi="宋体" w:eastAsia="宋体" w:cs="宋体"/>
          <w:color w:val="000000" w:themeColor="text1"/>
          <w:sz w:val="24"/>
          <w:szCs w:val="24"/>
          <w:highlight w:val="none"/>
          <w14:textFill>
            <w14:solidFill>
              <w14:schemeClr w14:val="tx1"/>
            </w14:solidFill>
          </w14:textFill>
        </w:rPr>
        <w:t>内容至少包括①事件监测、②预警机制、③响应流程、④现场处置、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⑤恢复措施、⑥事后总结。</w:t>
      </w:r>
    </w:p>
    <w:p w14:paraId="3CCF8264">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①事件监测：投标人须描述事件监测手段，包括：监测对象和指标（系统可用性、性能指标、安全事件等）、监测频率和方式、监测工具和技术、异常识别规则等。</w:t>
      </w:r>
    </w:p>
    <w:p w14:paraId="0EBA1496">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②预警机制：投标人须建立分级预警机制，包括：预警等级划分标准（一般、较重、严重、特别重大）、预警触发条件、预警通知方式和范围、预警升级规则等。要求预警机制响应及时、分级合理。</w:t>
      </w:r>
    </w:p>
    <w:p w14:paraId="4D88CBAB">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③响应流程：投标人须明确事件响应流程，包括：响应启动条件、各级别事件响应时间要求（须明确具体时间，如15分钟、30分钟、1小时等）、响应人员分工和职责、响应升级和上报机制等。</w:t>
      </w:r>
    </w:p>
    <w:p w14:paraId="692628C1">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④现场处置：投标人须描述现场处置措施，包括：现场处置流程、处置人员分工与职责、应急资源调配方案、与医院信息科和其他相关方的协同机制等。</w:t>
      </w:r>
    </w:p>
    <w:p w14:paraId="39FE8B25">
      <w:pPr>
        <w:pStyle w:val="233"/>
        <w:spacing w:line="500" w:lineRule="exact"/>
        <w:ind w:firstLine="480" w:firstLineChars="20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⑤恢复措施：投标人须制定系统恢复方案，包括：恢复流程和步骤、数据恢复方案、业务连续性保障措施、恢复时间目标（RTO）和恢复点目标（RPO）等。</w:t>
      </w:r>
    </w:p>
    <w:p w14:paraId="5ADB1C5F">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⑥事后总结：投标人须明确事后总结机制，包括：事后复盘流程（时间、参与人员、内容）、根因分析方法、改进措施制定与跟踪、经验教训知识库更新等。要求形成闭环改进。</w:t>
      </w:r>
    </w:p>
    <w:p w14:paraId="4EE54715">
      <w:pPr>
        <w:pStyle w:val="233"/>
        <w:spacing w:line="500" w:lineRule="exact"/>
        <w:ind w:firstLine="482" w:firstLineChars="200"/>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5、项目售后服务方案</w:t>
      </w:r>
    </w:p>
    <w:p w14:paraId="5B59505D">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本章要求投标人制定项目售后服务方案，涵盖服务流程、服务组织架构和服务人员。方案须体现专业、高效、可持续的售后服务能力。</w:t>
      </w:r>
      <w:r>
        <w:rPr>
          <w:rFonts w:hint="eastAsia" w:hAnsi="宋体" w:eastAsia="宋体" w:cs="宋体"/>
          <w:color w:val="000000" w:themeColor="text1"/>
          <w:sz w:val="24"/>
          <w:szCs w:val="24"/>
          <w:highlight w:val="none"/>
          <w14:textFill>
            <w14:solidFill>
              <w14:schemeClr w14:val="tx1"/>
            </w14:solidFill>
          </w14:textFill>
        </w:rPr>
        <w:t>内容至少包括①服务流程、②服务组织架构、③服务人员。</w:t>
      </w:r>
    </w:p>
    <w:p w14:paraId="19C72D97">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①服务流程：投标人须描述售后服务流程，包括：服务受理渠道（电话、邮件、在线等）、服务响应时间承诺（须分级承诺）、问题处理流程（受理→诊断→处理→反馈→关闭）、服务报告机制等。</w:t>
      </w:r>
    </w:p>
    <w:p w14:paraId="66B2E970">
      <w:pPr>
        <w:pStyle w:val="233"/>
        <w:spacing w:line="500" w:lineRule="exact"/>
        <w:ind w:firstLine="480"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②服务组织架构：投标人须描述售后服务组织架构，包括：服务团队组织结构图、各层级人员配置和职责、服务支持层级（一线支持、二线技术、三线研发）、人员备份和替补机制等。要求组织架构清晰、职责明确。</w:t>
      </w:r>
    </w:p>
    <w:p w14:paraId="0737B61B">
      <w:pPr>
        <w:pStyle w:val="233"/>
        <w:spacing w:line="500" w:lineRule="exact"/>
        <w:ind w:firstLine="480" w:firstLineChars="200"/>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③服务人员：投标人须列出售后服务人员清单，包括：姓名、岗位、资质证书、联系方式（电话和邮箱）、工作经历等。服务人员须保持稳定，变更须提前通知采购人。</w:t>
      </w:r>
    </w:p>
    <w:p w14:paraId="1655C35F">
      <w:pPr>
        <w:pBdr>
          <w:top w:val="none" w:color="000000" w:sz="0" w:space="0"/>
          <w:left w:val="none" w:color="000000" w:sz="0" w:space="0"/>
          <w:bottom w:val="none" w:color="000000" w:sz="0" w:space="0"/>
          <w:right w:val="none" w:color="000000" w:sz="0" w:space="0"/>
        </w:pBdr>
        <w:spacing w:line="500" w:lineRule="exact"/>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（五）人员要求及服务技术支持</w:t>
      </w:r>
    </w:p>
    <w:p w14:paraId="2E4CB3C2">
      <w:pPr>
        <w:pStyle w:val="94"/>
        <w:spacing w:line="500" w:lineRule="exact"/>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人员要求：</w:t>
      </w:r>
      <w:r>
        <w:rPr>
          <w:rFonts w:hint="eastAsia" w:ascii="宋体" w:hAnsi="宋体" w:cs="宋体"/>
          <w:color w:val="000000" w:themeColor="text1"/>
          <w:sz w:val="24"/>
          <w:highlight w:val="none"/>
          <w14:textFill>
            <w14:solidFill>
              <w14:schemeClr w14:val="tx1"/>
            </w14:solidFill>
          </w14:textFill>
        </w:rPr>
        <w:t>为本项目提供明确的专业服务团队人员名单，其中项目负责人1名，技术人员不少于4名，应具有相应的专业资格、能力和经验。</w:t>
      </w:r>
    </w:p>
    <w:p w14:paraId="7B982BA3">
      <w:pPr>
        <w:spacing w:line="500" w:lineRule="exact"/>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（1）项目负责人</w:t>
      </w:r>
      <w:r>
        <w:rPr>
          <w:rFonts w:hint="eastAsia" w:ascii="宋体" w:hAnsi="宋体" w:cs="宋体"/>
          <w:color w:val="000000" w:themeColor="text1"/>
          <w:sz w:val="24"/>
          <w:highlight w:val="none"/>
          <w14:textFill>
            <w14:solidFill>
              <w14:schemeClr w14:val="tx1"/>
            </w14:solidFill>
          </w14:textFill>
        </w:rPr>
        <w:t>：1名，投标人须为项目负责人缴纳正规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 管理项目风险、沟通和报告。项目负责人配备项目管理师、信息系统项目管理师或系统集成项目管理工程师证书。</w:t>
      </w:r>
    </w:p>
    <w:p w14:paraId="5C1F4F95">
      <w:pPr>
        <w:spacing w:line="500" w:lineRule="exact"/>
        <w:ind w:firstLine="482"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（2）技术人员</w:t>
      </w:r>
      <w:r>
        <w:rPr>
          <w:rFonts w:hint="eastAsia" w:ascii="宋体" w:hAnsi="宋体" w:cs="宋体"/>
          <w:color w:val="000000" w:themeColor="text1"/>
          <w:sz w:val="24"/>
          <w:highlight w:val="none"/>
          <w14:textFill>
            <w14:solidFill>
              <w14:schemeClr w14:val="tx1"/>
            </w14:solidFill>
          </w14:textFill>
        </w:rPr>
        <w:t>：不少于4名，投标人须为技术人员缴纳正规社保。要求经验丰富的专业人员，作为整个项目具体实施者。主要负责项目交付，包括但不限于服务器设备上架、操作系统安装、GPU驱动软件安装、网络环境搭建、系统网络调试、AI大模型部署、AI大模型推理性能调优等工作。</w:t>
      </w:r>
    </w:p>
    <w:p w14:paraId="492AFD5D">
      <w:pPr>
        <w:pStyle w:val="233"/>
        <w:spacing w:line="500" w:lineRule="exact"/>
        <w:ind w:firstLine="482" w:firstLineChars="200"/>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（六）产品质保与售后服务：</w:t>
      </w:r>
    </w:p>
    <w:p w14:paraId="22FB64C2">
      <w:pPr>
        <w:pStyle w:val="94"/>
        <w:spacing w:line="500" w:lineRule="exact"/>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Style w:val="41"/>
          <w:rFonts w:hint="eastAsia" w:ascii="宋体" w:hAnsi="宋体" w:cs="宋体"/>
          <w:color w:val="000000" w:themeColor="text1"/>
          <w:sz w:val="24"/>
          <w:highlight w:val="none"/>
          <w:shd w:val="clear" w:color="auto" w:fill="FFFFFF"/>
          <w14:textFill>
            <w14:solidFill>
              <w14:schemeClr w14:val="tx1"/>
            </w14:solidFill>
          </w14:textFill>
        </w:rPr>
        <w:t>*</w:t>
      </w:r>
      <w:r>
        <w:rPr>
          <w:rStyle w:val="41"/>
          <w:rFonts w:ascii="宋体" w:hAnsi="宋体" w:cs="宋体"/>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供应商应保证合同项下所供货物是全新的、未使用过的，是最新或目前的型号，除非合同另有规定，货物应含有设计上和材料的全部最新改进，</w:t>
      </w:r>
      <w:r>
        <w:rPr>
          <w:rFonts w:hint="eastAsia" w:ascii="宋体" w:hAnsi="宋体" w:cs="宋体"/>
          <w:b/>
          <w:bCs/>
          <w:color w:val="000000" w:themeColor="text1"/>
          <w:sz w:val="24"/>
          <w:highlight w:val="none"/>
          <w14:textFill>
            <w14:solidFill>
              <w14:schemeClr w14:val="tx1"/>
            </w14:solidFill>
          </w14:textFill>
        </w:rPr>
        <w:t>提供承诺函，并加盖投标人公章。</w:t>
      </w:r>
    </w:p>
    <w:p w14:paraId="2617A50C">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Style w:val="41"/>
          <w:rFonts w:hint="eastAsia" w:ascii="宋体" w:hAnsi="宋体" w:cs="宋体"/>
          <w:color w:val="000000" w:themeColor="text1"/>
          <w:sz w:val="24"/>
          <w:highlight w:val="none"/>
          <w:shd w:val="clear" w:color="auto" w:fill="FFFFFF"/>
          <w14:textFill>
            <w14:solidFill>
              <w14:schemeClr w14:val="tx1"/>
            </w14:solidFill>
          </w14:textFill>
        </w:rPr>
        <w:t>*</w:t>
      </w:r>
      <w:r>
        <w:rPr>
          <w:rStyle w:val="41"/>
          <w:rFonts w:ascii="宋体" w:hAnsi="宋体" w:cs="宋体"/>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免费质保期，不少于5年，设备停产后继续提供质量保障服务（含备品备件），服务终止时间与最后一批设备交付时间间隔不低于6年；产品停止服务时间应提前1年告知客户。</w:t>
      </w:r>
      <w:r>
        <w:rPr>
          <w:rFonts w:hint="eastAsia" w:ascii="宋体" w:hAnsi="宋体" w:cs="宋体"/>
          <w:b/>
          <w:bCs/>
          <w:color w:val="000000" w:themeColor="text1"/>
          <w:sz w:val="24"/>
          <w:highlight w:val="none"/>
          <w14:textFill>
            <w14:solidFill>
              <w14:schemeClr w14:val="tx1"/>
            </w14:solidFill>
          </w14:textFill>
        </w:rPr>
        <w:t>需提供承诺函，并加盖投标人公章。</w:t>
      </w:r>
    </w:p>
    <w:p w14:paraId="7068DDB1">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Style w:val="41"/>
          <w:rFonts w:hint="eastAsia" w:ascii="宋体" w:hAnsi="宋体" w:cs="宋体"/>
          <w:color w:val="000000" w:themeColor="text1"/>
          <w:sz w:val="24"/>
          <w:highlight w:val="none"/>
          <w:shd w:val="clear" w:color="auto" w:fill="FFFFFF"/>
          <w14:textFill>
            <w14:solidFill>
              <w14:schemeClr w14:val="tx1"/>
            </w14:solidFill>
          </w14:textFill>
        </w:rPr>
        <w:t>*</w:t>
      </w:r>
      <w:r>
        <w:rPr>
          <w:rStyle w:val="41"/>
          <w:rFonts w:ascii="宋体" w:hAnsi="宋体" w:cs="宋体"/>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免费质保期结束后，每年维保费用不超过设备采购费用的10%，</w:t>
      </w:r>
      <w:r>
        <w:rPr>
          <w:rFonts w:hint="eastAsia" w:ascii="宋体" w:hAnsi="宋体" w:cs="宋体"/>
          <w:b/>
          <w:bCs/>
          <w:color w:val="000000" w:themeColor="text1"/>
          <w:sz w:val="24"/>
          <w:highlight w:val="none"/>
          <w14:textFill>
            <w14:solidFill>
              <w14:schemeClr w14:val="tx1"/>
            </w14:solidFill>
          </w14:textFill>
        </w:rPr>
        <w:t>需提供承诺函，并加盖投标人公章</w:t>
      </w:r>
      <w:r>
        <w:rPr>
          <w:rFonts w:hint="eastAsia" w:ascii="宋体" w:hAnsi="宋体" w:cs="宋体"/>
          <w:color w:val="000000" w:themeColor="text1"/>
          <w:sz w:val="24"/>
          <w:highlight w:val="none"/>
          <w14:textFill>
            <w14:solidFill>
              <w14:schemeClr w14:val="tx1"/>
            </w14:solidFill>
          </w14:textFill>
        </w:rPr>
        <w:t>。</w:t>
      </w:r>
    </w:p>
    <w:p w14:paraId="7276CBD7">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Style w:val="41"/>
          <w:rFonts w:hint="eastAsia" w:ascii="宋体" w:hAnsi="宋体" w:cs="宋体"/>
          <w:color w:val="000000" w:themeColor="text1"/>
          <w:sz w:val="24"/>
          <w:highlight w:val="none"/>
          <w:shd w:val="clear" w:color="auto" w:fill="FFFFFF"/>
          <w14:textFill>
            <w14:solidFill>
              <w14:schemeClr w14:val="tx1"/>
            </w14:solidFill>
          </w14:textFill>
        </w:rPr>
        <w:t>*</w:t>
      </w:r>
      <w:r>
        <w:rPr>
          <w:rStyle w:val="41"/>
          <w:rFonts w:ascii="宋体" w:hAnsi="宋体" w:cs="宋体"/>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质保期内提供技术支持、维修、设备/部件的更换或退货（除人为损坏或运维不善导致的设备/部件损坏、以及其他由于机房环境导致的设备/部件损坏以外原因）、软件更新等，费用包含在投标报价内。在质保期内，应通知和协助用户进行已运行系统的运行维护和改进提高，并无偿提供软件的安装、部署、新版本升级、性能优化、应用部署等工作。应确保一体机软件中各项功能、服务、工具等满足应用需求，并按照采购人要求在质保期内进行修改和调整，同时提供数据服务的定制开发。免费对所提供的产品进行巡检，巡检周期不长于3个月。故障和问题响应时间不超过2小时；提出解决方案不超过24小时；到达现场（如需）时间不超过24小时；排除故障解决问题不超过3个工作日。投标人应在故障问题解决后24小时内，提交问题处理报告，说明问题种类、问题原因、问题解决中使用的方法及造成的损失等情况。向采购人免费提供电话、E-Mail和Internet网站技术支持方式，并应建立提供专门的服务号码和账户，必须向用户单位提供7×24小时授权工程师电话响应服务。能够在互联网站上查询、下载相关技术资料、提交问题并获得支持。</w:t>
      </w:r>
      <w:r>
        <w:rPr>
          <w:rFonts w:hint="eastAsia" w:ascii="宋体" w:hAnsi="宋体" w:cs="宋体"/>
          <w:b/>
          <w:bCs/>
          <w:color w:val="000000" w:themeColor="text1"/>
          <w:sz w:val="24"/>
          <w:highlight w:val="none"/>
          <w14:textFill>
            <w14:solidFill>
              <w14:schemeClr w14:val="tx1"/>
            </w14:solidFill>
          </w14:textFill>
        </w:rPr>
        <w:t>投标人需针对以上全部内容，提供具体的售后运维服务承诺函，并加盖投标人公章。</w:t>
      </w:r>
    </w:p>
    <w:p w14:paraId="11315D8E">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5、其他要求：见招标文件第六部分合同格式中的条款内容。</w:t>
      </w:r>
    </w:p>
    <w:p w14:paraId="40DEFD65">
      <w:pPr>
        <w:pStyle w:val="94"/>
        <w:spacing w:line="500" w:lineRule="exact"/>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6、备品、配件、耗材等相关要求：供应商应具有至少5年的备品配件耗材供应期。</w:t>
      </w:r>
    </w:p>
    <w:p w14:paraId="4EB14345">
      <w:pPr>
        <w:pStyle w:val="233"/>
        <w:spacing w:line="500" w:lineRule="exact"/>
        <w:ind w:firstLine="482" w:firstLineChars="200"/>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（七）人员培训服务：</w:t>
      </w:r>
    </w:p>
    <w:p w14:paraId="22B65A52">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1、培训地点：在项目现场为采购人提供技术培训。</w:t>
      </w:r>
    </w:p>
    <w:p w14:paraId="1F151E4E">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2、培训目标：甲方工作人员完全掌握设备的使用和基础维护修理的技术/原理/方法。</w:t>
      </w:r>
    </w:p>
    <w:p w14:paraId="57FF44CC">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3、培训内容：</w:t>
      </w:r>
    </w:p>
    <w:p w14:paraId="47ABCD85">
      <w:pPr>
        <w:pStyle w:val="94"/>
        <w:spacing w:line="500" w:lineRule="exact"/>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至少包括AI算力服务器（含软硬件）的工作原理、使用方法、日常维护、一般常见故障的诊断排除措施等，培训时需提供完整的中文培训资料，包括使用说明书、设备组网图、操作流程、注意事项、安装调试方法和维修指南等。</w:t>
      </w:r>
    </w:p>
    <w:p w14:paraId="2C4BF4D9">
      <w:pPr>
        <w:pStyle w:val="233"/>
        <w:spacing w:line="500" w:lineRule="exact"/>
        <w:ind w:firstLine="482" w:firstLineChars="200"/>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（八）付款方式：</w:t>
      </w:r>
    </w:p>
    <w:p w14:paraId="3CB14B9D">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第一期付款(首付款)：落实《关于做好政府采购支持企业发展有关事项的通知》(苏财购(2020)52号)文件要求，合同签订后甲方收到乙方提交的下列（1）项文件后的三十(30)个工作日内以电汇的方式向乙方预付相当于本合同总价50%的首付款。</w:t>
      </w:r>
    </w:p>
    <w:p w14:paraId="7572B7BF">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（1）乙方按照本次付款金额向甲方开具的中国税务机关监制/认可的发票。</w:t>
      </w:r>
    </w:p>
    <w:p w14:paraId="735296D8">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2、第二期付款(初验付款)：甲方将在AI算力服务器到货验收通过后的九十(90)天内在收到乙方提交的下列（1）项文件后的三十(30)个工作日内以电汇的方式向乙方支付相当于本合同总价30%的验收付款。</w:t>
      </w:r>
    </w:p>
    <w:p w14:paraId="262ADDDC">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（1）乙方按照本次付款金额向甲方开具的中国税务机关监制/认可的发票。</w:t>
      </w:r>
    </w:p>
    <w:p w14:paraId="6018DEE8">
      <w:pPr>
        <w:pStyle w:val="19"/>
        <w:snapToGrid w:val="0"/>
        <w:spacing w:line="500" w:lineRule="exact"/>
        <w:ind w:firstLine="480" w:firstLineChars="20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3、第三期付款(终验付款)：项目完成各项工作并向甲方提交所有成果，通过甲方组织的验收后，甲方将在验收合格后收到乙方提交的下列（1）、（2）项文件后的九十(90)天内以电汇的方式向乙方支付相当于本合同总价20%的验收付款。</w:t>
      </w:r>
    </w:p>
    <w:p w14:paraId="3BE209BE">
      <w:pPr>
        <w:pStyle w:val="19"/>
        <w:snapToGrid w:val="0"/>
        <w:spacing w:line="500" w:lineRule="exact"/>
        <w:ind w:firstLine="480" w:firstLineChars="20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（1）甲方签发的《验收合格证书》或双方其他关于AI算力服务器部分或全部的确认文件;</w:t>
      </w:r>
    </w:p>
    <w:p w14:paraId="30310024">
      <w:pPr>
        <w:pStyle w:val="19"/>
        <w:snapToGrid w:val="0"/>
        <w:spacing w:line="500" w:lineRule="exact"/>
        <w:ind w:firstLine="480" w:firstLineChars="200"/>
        <w:rPr>
          <w:rFonts w:hAnsi="宋体" w:cs="宋体"/>
          <w:b/>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（2）乙方按照本次付款金额向甲方开具的中国税务机关监制/认可的发票。</w:t>
      </w:r>
    </w:p>
    <w:p w14:paraId="79CC8813">
      <w:pPr>
        <w:pStyle w:val="5"/>
        <w:keepNext w:val="0"/>
        <w:keepLines w:val="0"/>
        <w:spacing w:before="0" w:after="0" w:line="500" w:lineRule="exact"/>
        <w:ind w:firstLine="0" w:firstLineChars="0"/>
        <w:rPr>
          <w:rStyle w:val="41"/>
          <w:rFonts w:ascii="宋体" w:hAnsi="宋体" w:eastAsia="宋体" w:cs="宋体"/>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五、报价要求：</w:t>
      </w:r>
    </w:p>
    <w:p w14:paraId="0B9F530A">
      <w:pPr>
        <w:pStyle w:val="94"/>
        <w:spacing w:line="500" w:lineRule="exact"/>
        <w:ind w:firstLine="480" w:firstLineChars="20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bookmarkStart w:id="3" w:name="OLE_LINK16"/>
      <w:r>
        <w:rPr>
          <w:rFonts w:hint="eastAsia" w:ascii="宋体" w:hAnsi="宋体" w:cs="宋体"/>
          <w:color w:val="000000" w:themeColor="text1"/>
          <w:sz w:val="24"/>
          <w:highlight w:val="none"/>
          <w14:textFill>
            <w14:solidFill>
              <w14:schemeClr w14:val="tx1"/>
            </w14:solidFill>
          </w14:textFill>
        </w:rPr>
        <w:t>、</w:t>
      </w:r>
      <w:bookmarkEnd w:id="3"/>
      <w:r>
        <w:rPr>
          <w:rFonts w:hint="eastAsia" w:ascii="宋体" w:hAnsi="宋体" w:cs="宋体"/>
          <w:color w:val="000000" w:themeColor="text1"/>
          <w:sz w:val="24"/>
          <w:highlight w:val="none"/>
          <w14:textFill>
            <w14:solidFill>
              <w14:schemeClr w14:val="tx1"/>
            </w14:solidFill>
          </w14:textFill>
        </w:rPr>
        <w:t>投标报价一次报定，投标总价不高于采购预算的为有效投标报价，否则为无效投标报价</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无效投标报价的投标文件不进行评审，也不得标。</w:t>
      </w:r>
    </w:p>
    <w:p w14:paraId="64F40832">
      <w:pPr>
        <w:pStyle w:val="94"/>
        <w:spacing w:line="500" w:lineRule="exact"/>
        <w:ind w:firstLine="480" w:firstLineChars="20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2、投标人应以人民币对全部采购项目进行报价，只对其中部分内容或出现选择性报价者，其报价将被拒绝。</w:t>
      </w:r>
      <w:r>
        <w:rPr>
          <w:rFonts w:hint="eastAsia" w:ascii="宋体" w:hAnsi="宋体" w:cs="宋体"/>
          <w:color w:val="000000" w:themeColor="text1"/>
          <w:sz w:val="24"/>
          <w:highlight w:val="none"/>
          <w:lang w:val="zh-CN"/>
          <w14:textFill>
            <w14:solidFill>
              <w14:schemeClr w14:val="tx1"/>
            </w14:solidFill>
          </w14:textFill>
        </w:rPr>
        <w:t>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p>
    <w:p w14:paraId="046B497F">
      <w:pPr>
        <w:pStyle w:val="94"/>
        <w:spacing w:line="500" w:lineRule="exact"/>
        <w:ind w:firstLine="480" w:firstLineChars="200"/>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val="zh-CN"/>
          <w14:textFill>
            <w14:solidFill>
              <w14:schemeClr w14:val="tx1"/>
            </w14:solidFill>
          </w14:textFill>
        </w:rPr>
        <w:t>投标人报价已充分考虑项目完成的政策性调整、各种市场价格的浮动等因素造成的价格变动，项目完成期内的合同价格不作调整。</w:t>
      </w:r>
    </w:p>
    <w:p w14:paraId="06CA62C2">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4、投标总报价包括完成本项目所需的全部硬件设备、辅材、线材、配件、操作系统、安装、调试等费用，项目交付及质保期内费用，及合同包含的所有各项应有费用。</w:t>
      </w:r>
    </w:p>
    <w:p w14:paraId="4197294B">
      <w:pPr>
        <w:pStyle w:val="5"/>
        <w:keepNext w:val="0"/>
        <w:keepLines w:val="0"/>
        <w:spacing w:before="0" w:after="0" w:line="500" w:lineRule="exact"/>
        <w:ind w:firstLine="0" w:firstLineChars="0"/>
        <w:rPr>
          <w:rStyle w:val="41"/>
          <w:rFonts w:ascii="宋体" w:hAnsi="宋体" w:eastAsia="宋体" w:cs="宋体"/>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color w:val="000000" w:themeColor="text1"/>
          <w:sz w:val="24"/>
          <w:highlight w:val="none"/>
          <w:shd w:val="clear" w:color="auto" w:fill="FFFFFF"/>
          <w14:textFill>
            <w14:solidFill>
              <w14:schemeClr w14:val="tx1"/>
            </w14:solidFill>
          </w14:textFill>
        </w:rPr>
        <w:t>六、其他说明：</w:t>
      </w:r>
    </w:p>
    <w:p w14:paraId="178EC874">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bookmarkStart w:id="4" w:name="OLE_LINK17"/>
      <w:r>
        <w:rPr>
          <w:rFonts w:hint="eastAsia" w:ascii="宋体" w:hAnsi="宋体" w:cs="宋体"/>
          <w:color w:val="000000" w:themeColor="text1"/>
          <w:sz w:val="24"/>
          <w:highlight w:val="none"/>
          <w14:textFill>
            <w14:solidFill>
              <w14:schemeClr w14:val="tx1"/>
            </w14:solidFill>
          </w14:textFill>
        </w:rPr>
        <w:t>、</w:t>
      </w:r>
      <w:bookmarkEnd w:id="4"/>
      <w:r>
        <w:rPr>
          <w:rFonts w:hint="eastAsia" w:ascii="宋体" w:hAnsi="宋体" w:cs="宋体"/>
          <w:color w:val="000000" w:themeColor="text1"/>
          <w:sz w:val="24"/>
          <w:highlight w:val="none"/>
          <w14:textFill>
            <w14:solidFill>
              <w14:schemeClr w14:val="tx1"/>
            </w14:solidFill>
          </w14:textFill>
        </w:rPr>
        <w:t>投标人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hint="eastAsia" w:ascii="宋体" w:hAnsi="宋体" w:cs="宋体"/>
          <w:b/>
          <w:bCs/>
          <w:color w:val="000000" w:themeColor="text1"/>
          <w:sz w:val="24"/>
          <w:highlight w:val="none"/>
          <w14:textFill>
            <w14:solidFill>
              <w14:schemeClr w14:val="tx1"/>
            </w14:solidFill>
          </w14:textFill>
        </w:rPr>
        <w:t>针对“*”条款的要求（共6处）投标人须提供承诺函并加盖公章，否则视为无效投标。</w:t>
      </w:r>
    </w:p>
    <w:p w14:paraId="2A10AF7E">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2、投标人对采购人的重大事件和重大活动提供技术支持和现场保障服务。</w:t>
      </w:r>
    </w:p>
    <w:p w14:paraId="66AF29C2">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3、投标人若不如实填写技术指标的，一经发现将作无效标处理。</w:t>
      </w:r>
    </w:p>
    <w:p w14:paraId="4E7B8B56">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4、投标人对服务缺陷不予更正，采购人有权另请其他单位更正，所发生的费用在履约保证金中扣除。</w:t>
      </w:r>
    </w:p>
    <w:p w14:paraId="333256A2">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5、投标人有责任配合采购人接受上级领导部门的监督、检查，提供必须的资料。</w:t>
      </w:r>
    </w:p>
    <w:p w14:paraId="40E2E071">
      <w:pPr>
        <w:pStyle w:val="94"/>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投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p>
    <w:p w14:paraId="6FF35DAC">
      <w:pPr>
        <w:pStyle w:val="94"/>
        <w:spacing w:line="500" w:lineRule="exact"/>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7、采购人不接受投标人任何因遗漏报价而发生的费用追加，因投标人违反法律法规而造成采购人的连带责任和损失全部由中标人承担。</w:t>
      </w:r>
    </w:p>
    <w:p w14:paraId="6D6E83A4">
      <w:pPr>
        <w:pStyle w:val="5"/>
        <w:keepNext w:val="0"/>
        <w:keepLines w:val="0"/>
        <w:spacing w:before="0" w:after="0" w:line="500" w:lineRule="exact"/>
        <w:ind w:firstLine="480" w:firstLineChars="200"/>
        <w:rPr>
          <w:rStyle w:val="41"/>
          <w:rFonts w:ascii="宋体" w:hAnsi="宋体" w:eastAsia="宋体" w:cs="宋体"/>
          <w:b w:val="0"/>
          <w:bCs/>
          <w:color w:val="000000" w:themeColor="text1"/>
          <w:sz w:val="24"/>
          <w:highlight w:val="none"/>
          <w:shd w:val="clear" w:color="auto" w:fill="FFFFFF"/>
          <w14:textFill>
            <w14:solidFill>
              <w14:schemeClr w14:val="tx1"/>
            </w14:solidFill>
          </w14:textFill>
        </w:rPr>
      </w:pPr>
      <w:r>
        <w:rPr>
          <w:rStyle w:val="41"/>
          <w:rFonts w:hint="eastAsia" w:ascii="宋体" w:hAnsi="宋体" w:eastAsia="宋体" w:cs="宋体"/>
          <w:b w:val="0"/>
          <w:bCs/>
          <w:color w:val="000000" w:themeColor="text1"/>
          <w:sz w:val="24"/>
          <w:highlight w:val="none"/>
          <w:shd w:val="clear" w:color="auto" w:fill="FFFFFF"/>
          <w14:textFill>
            <w14:solidFill>
              <w14:schemeClr w14:val="tx1"/>
            </w14:solidFill>
          </w14:textFill>
        </w:rPr>
        <w:t>七、凡涉及招标文件的补充说明和修改，均以苏州政府采购网、江苏省政府采购网发布的内容为准。</w:t>
      </w:r>
    </w:p>
    <w:p w14:paraId="2D1DB909">
      <w:pPr>
        <w:pStyle w:val="233"/>
        <w:spacing w:line="500" w:lineRule="exact"/>
        <w:ind w:firstLine="482" w:firstLineChars="200"/>
        <w:rPr>
          <w:rFonts w:hAnsi="宋体" w:eastAsia="宋体" w:cs="宋体"/>
          <w:b/>
          <w:bCs/>
          <w:sz w:val="24"/>
          <w:szCs w:val="24"/>
          <w:highlight w:val="none"/>
        </w:rPr>
      </w:pPr>
    </w:p>
    <w:p w14:paraId="3A690F59">
      <w:pPr>
        <w:pStyle w:val="233"/>
        <w:spacing w:line="460" w:lineRule="exact"/>
        <w:rPr>
          <w:rFonts w:hAnsi="宋体" w:eastAsia="宋体" w:cs="宋体"/>
          <w:b/>
          <w:bCs/>
          <w:sz w:val="24"/>
          <w:szCs w:val="24"/>
          <w:highlight w:val="none"/>
        </w:rPr>
      </w:pPr>
    </w:p>
    <w:p w14:paraId="0E59B075">
      <w:pPr>
        <w:pStyle w:val="233"/>
        <w:spacing w:line="460" w:lineRule="exact"/>
        <w:rPr>
          <w:rFonts w:hAnsi="宋体" w:eastAsia="宋体" w:cs="宋体"/>
          <w:b/>
          <w:bCs/>
          <w:sz w:val="24"/>
          <w:szCs w:val="24"/>
          <w:highlight w:val="none"/>
        </w:rPr>
      </w:pPr>
    </w:p>
    <w:p w14:paraId="288D60D4">
      <w:pPr>
        <w:pStyle w:val="233"/>
        <w:spacing w:line="460" w:lineRule="exact"/>
        <w:rPr>
          <w:rFonts w:hAnsi="宋体" w:eastAsia="宋体" w:cs="宋体"/>
          <w:b/>
          <w:bCs/>
          <w:sz w:val="24"/>
          <w:szCs w:val="24"/>
          <w:highlight w:val="none"/>
        </w:rPr>
      </w:pPr>
    </w:p>
    <w:p w14:paraId="75D5196B">
      <w:pPr>
        <w:pStyle w:val="233"/>
        <w:spacing w:line="460" w:lineRule="exact"/>
        <w:rPr>
          <w:rFonts w:hAnsi="宋体" w:eastAsia="宋体" w:cs="宋体"/>
          <w:b/>
          <w:bCs/>
          <w:sz w:val="24"/>
          <w:szCs w:val="24"/>
          <w:highlight w:val="none"/>
        </w:rPr>
      </w:pPr>
    </w:p>
    <w:p w14:paraId="5D80FD61">
      <w:pPr>
        <w:pStyle w:val="233"/>
        <w:spacing w:line="460" w:lineRule="exact"/>
        <w:rPr>
          <w:rFonts w:hAnsi="宋体" w:eastAsia="宋体" w:cs="宋体"/>
          <w:b/>
          <w:bCs/>
          <w:sz w:val="24"/>
          <w:szCs w:val="24"/>
          <w:highlight w:val="none"/>
        </w:rPr>
      </w:pPr>
    </w:p>
    <w:p w14:paraId="1F527D01">
      <w:pPr>
        <w:pStyle w:val="233"/>
        <w:spacing w:line="460" w:lineRule="exact"/>
        <w:rPr>
          <w:rFonts w:hAnsi="宋体" w:eastAsia="宋体" w:cs="宋体"/>
          <w:b/>
          <w:bCs/>
          <w:sz w:val="24"/>
          <w:szCs w:val="24"/>
          <w:highlight w:val="none"/>
        </w:rPr>
      </w:pPr>
    </w:p>
    <w:p w14:paraId="12E1BA62">
      <w:pPr>
        <w:pStyle w:val="233"/>
        <w:spacing w:line="460" w:lineRule="exact"/>
        <w:rPr>
          <w:rFonts w:hAnsi="宋体" w:eastAsia="宋体" w:cs="宋体"/>
          <w:b/>
          <w:bCs/>
          <w:sz w:val="24"/>
          <w:szCs w:val="24"/>
          <w:highlight w:val="none"/>
        </w:rPr>
      </w:pPr>
    </w:p>
    <w:p w14:paraId="179D2A26">
      <w:pPr>
        <w:pStyle w:val="233"/>
        <w:spacing w:line="460" w:lineRule="exact"/>
        <w:rPr>
          <w:rFonts w:hAnsi="宋体" w:eastAsia="宋体" w:cs="宋体"/>
          <w:b/>
          <w:bCs/>
          <w:sz w:val="24"/>
          <w:szCs w:val="24"/>
          <w:highlight w:val="none"/>
        </w:rPr>
      </w:pPr>
    </w:p>
    <w:p w14:paraId="465538CD">
      <w:pPr>
        <w:spacing w:line="500" w:lineRule="exact"/>
        <w:rPr>
          <w:rFonts w:ascii="宋体" w:hAnsi="宋体" w:cs="宋体"/>
          <w:b/>
          <w:bCs/>
          <w:sz w:val="24"/>
          <w:highlight w:val="none"/>
        </w:rPr>
      </w:pPr>
      <w:r>
        <w:rPr>
          <w:rFonts w:hint="eastAsia" w:ascii="宋体" w:hAnsi="宋体" w:cs="宋体"/>
          <w:b/>
          <w:bCs/>
          <w:sz w:val="24"/>
          <w:highlight w:val="none"/>
        </w:rPr>
        <w:t>附件1：货物类项目履约验收方案</w:t>
      </w:r>
    </w:p>
    <w:p w14:paraId="65F61468">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一、项目概况</w:t>
      </w:r>
    </w:p>
    <w:p w14:paraId="0DCADCB0">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项目编号：</w:t>
      </w:r>
    </w:p>
    <w:p w14:paraId="2602FD37">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项目名称：</w:t>
      </w:r>
    </w:p>
    <w:p w14:paraId="30538CF1">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供应商名称：</w:t>
      </w:r>
    </w:p>
    <w:p w14:paraId="09595225">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合同金额：</w:t>
      </w:r>
    </w:p>
    <w:p w14:paraId="4F9DCEAF">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验收主体：</w:t>
      </w:r>
    </w:p>
    <w:p w14:paraId="5E8BD51D">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二、验收目的</w:t>
      </w:r>
    </w:p>
    <w:p w14:paraId="096682E9">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3ED95AD3">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三、验收依据</w:t>
      </w:r>
    </w:p>
    <w:p w14:paraId="46FEABB8">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5DE82BE7">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四、验收责任主</w:t>
      </w:r>
    </w:p>
    <w:p w14:paraId="05CBDAFB">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1CD21728">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五、验收方式及验收内容</w:t>
      </w:r>
    </w:p>
    <w:p w14:paraId="62E017A2">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5.1日常考核</w:t>
      </w:r>
    </w:p>
    <w:p w14:paraId="341DDDE2">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1CA90BE8">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5.2检测(检验)验收</w:t>
      </w:r>
    </w:p>
    <w:p w14:paraId="6F874624">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469B50CC">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0762584B">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3243EF6B">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5.2.4对检验结果存在异议时，启用备样检验，相关费用由异议提出方承担。</w:t>
      </w:r>
    </w:p>
    <w:p w14:paraId="47CF1805">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5.2.5实施检验检测所造成的产品损坏、损耗，其替换补充或维修费用由供应商承担。</w:t>
      </w:r>
    </w:p>
    <w:p w14:paraId="79287E04">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41FAF936">
      <w:pPr>
        <w:pStyle w:val="233"/>
        <w:spacing w:line="480" w:lineRule="exact"/>
        <w:rPr>
          <w:rFonts w:hAnsi="宋体" w:eastAsia="宋体" w:cs="宋体"/>
          <w:b/>
          <w:bCs/>
          <w:sz w:val="24"/>
          <w:szCs w:val="24"/>
          <w:highlight w:val="none"/>
        </w:rPr>
      </w:pPr>
      <w:r>
        <w:rPr>
          <w:rFonts w:hint="eastAsia" w:hAnsi="宋体" w:eastAsia="宋体" w:cs="宋体"/>
          <w:b/>
          <w:bCs/>
          <w:sz w:val="24"/>
          <w:szCs w:val="24"/>
          <w:highlight w:val="none"/>
        </w:rPr>
        <w:t>5.3最终验收</w:t>
      </w:r>
    </w:p>
    <w:p w14:paraId="1144322C">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5.3.1验收准备</w:t>
      </w:r>
    </w:p>
    <w:p w14:paraId="5BD59457">
      <w:pPr>
        <w:pStyle w:val="233"/>
        <w:spacing w:line="480" w:lineRule="exact"/>
        <w:ind w:firstLine="480"/>
        <w:rPr>
          <w:rFonts w:hAnsi="宋体" w:eastAsia="宋体" w:cs="宋体"/>
          <w:b/>
          <w:bCs/>
          <w:sz w:val="24"/>
          <w:szCs w:val="24"/>
          <w:highlight w:val="none"/>
        </w:rPr>
      </w:pPr>
      <w:r>
        <w:rPr>
          <w:rFonts w:hint="eastAsia" w:hAnsi="宋体" w:eastAsia="宋体" w:cs="宋体"/>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highlight w:val="none"/>
        </w:rPr>
        <w:t>供应商在收到催告后五个工作日内拒不配合的，采购人应依照合同约定追究其责任。</w:t>
      </w:r>
    </w:p>
    <w:p w14:paraId="75892CB0">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5.3.1.2供应商应当配合采购人、采购代理机构做好项目验收工作，及时提供与项目验收相关的生产、技术、服务、数量、质量、安全、合格证明及验收所必须具备的其他材料。</w:t>
      </w:r>
    </w:p>
    <w:p w14:paraId="70DA321D">
      <w:pPr>
        <w:pStyle w:val="233"/>
        <w:spacing w:line="480" w:lineRule="exact"/>
        <w:ind w:firstLine="480"/>
        <w:rPr>
          <w:rFonts w:hAnsi="宋体" w:eastAsia="宋体" w:cs="宋体"/>
          <w:b/>
          <w:bCs/>
          <w:sz w:val="24"/>
          <w:szCs w:val="24"/>
          <w:highlight w:val="none"/>
        </w:rPr>
      </w:pPr>
      <w:r>
        <w:rPr>
          <w:rFonts w:hint="eastAsia" w:hAnsi="宋体" w:eastAsia="宋体" w:cs="宋体"/>
          <w:sz w:val="24"/>
          <w:szCs w:val="24"/>
          <w:highlight w:val="none"/>
        </w:rPr>
        <w:t>5.3.1.3采购人应及时全面准备验收，</w:t>
      </w:r>
      <w:r>
        <w:rPr>
          <w:rFonts w:hint="eastAsia" w:hAnsi="宋体" w:eastAsia="宋体" w:cs="宋体"/>
          <w:b/>
          <w:bCs/>
          <w:sz w:val="24"/>
          <w:szCs w:val="24"/>
          <w:highlight w:val="none"/>
        </w:rPr>
        <w:t>自收到验收申请之日起五个工作日内做好通水、通电、准备验收工具等必要的验收准备工作、启动项目验收、通知供应商。</w:t>
      </w:r>
    </w:p>
    <w:p w14:paraId="7D944F72">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5.3.2验收小组</w:t>
      </w:r>
    </w:p>
    <w:p w14:paraId="6CCA0393">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9393D19">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2BCEC657">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5.3.3参与验收人员</w:t>
      </w:r>
    </w:p>
    <w:p w14:paraId="612E5B3A">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5.3.3.1技术复杂或专业性强的政府采购项目，可以邀请有资质的第三方专业机构参加验收并出具专业意见。</w:t>
      </w:r>
    </w:p>
    <w:p w14:paraId="7E043ABC">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5.3.3.2对于采购人和使用人分离的采购项目，采购人或其委托的采购代理机构应当邀请实际使用人参与验收</w:t>
      </w:r>
    </w:p>
    <w:p w14:paraId="6DB25120">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5.3.3.1政府向社会公众提供的公共服务项目，验收时应当邀请服务对象进行公共服务项目满意度评价，评价结果作为履约验收的参考依据。</w:t>
      </w:r>
    </w:p>
    <w:p w14:paraId="4D7571E1">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5.3.4验收内容</w:t>
      </w:r>
    </w:p>
    <w:p w14:paraId="0C197A88">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63371D09">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5.3.4.2交付验收标准适用标准为：</w:t>
      </w:r>
    </w:p>
    <w:p w14:paraId="1C0EFAD4">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①按照现行国家标准执行，无国家标准的，按行业标准执行，无国家和行业标准的，按企业标准执行，并且应符合相关法律、法规规定的要求；</w:t>
      </w:r>
    </w:p>
    <w:p w14:paraId="01C2D9B6">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②采购文件所列的各项要求、采购合同、供应商在投标（响应）文件中承诺的质量技术指标。</w:t>
      </w:r>
    </w:p>
    <w:p w14:paraId="15957F71">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5CF3BED7">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5.3.5验收记录</w:t>
      </w:r>
    </w:p>
    <w:p w14:paraId="02F649D4">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5.3.5.1验收小组应当要求参与验收的供应商、专业机构、专家和服务对象等出具书面意见，作为验收书的重要组成部分。</w:t>
      </w:r>
    </w:p>
    <w:p w14:paraId="52A1E83D">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4667607">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27DFFFF7">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六、验收结果</w:t>
      </w:r>
    </w:p>
    <w:p w14:paraId="3B3D9026">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771772E9">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5519B98C">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5B9FEE28">
      <w:pPr>
        <w:pStyle w:val="233"/>
        <w:spacing w:line="480" w:lineRule="exact"/>
        <w:ind w:firstLine="482"/>
        <w:rPr>
          <w:rFonts w:hAnsi="宋体" w:eastAsia="宋体" w:cs="宋体"/>
          <w:b/>
          <w:bCs/>
          <w:sz w:val="24"/>
          <w:szCs w:val="24"/>
          <w:highlight w:val="none"/>
        </w:rPr>
      </w:pPr>
      <w:r>
        <w:rPr>
          <w:rFonts w:hint="eastAsia" w:hAnsi="宋体" w:eastAsia="宋体" w:cs="宋体"/>
          <w:b/>
          <w:bCs/>
          <w:sz w:val="24"/>
          <w:szCs w:val="24"/>
          <w:highlight w:val="none"/>
        </w:rPr>
        <w:t>七、验收资料归档</w:t>
      </w:r>
    </w:p>
    <w:p w14:paraId="5885FBEE">
      <w:pPr>
        <w:pStyle w:val="233"/>
        <w:spacing w:line="480" w:lineRule="exact"/>
        <w:ind w:firstLine="480"/>
        <w:rPr>
          <w:rFonts w:hAnsi="宋体" w:eastAsia="宋体" w:cs="宋体"/>
          <w:sz w:val="24"/>
          <w:szCs w:val="24"/>
          <w:highlight w:val="none"/>
        </w:rPr>
      </w:pPr>
      <w:r>
        <w:rPr>
          <w:rFonts w:hint="eastAsia" w:hAnsi="宋体" w:eastAsia="宋体" w:cs="宋体"/>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60A2761E">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037383F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r>
        <w:rPr>
          <w:rFonts w:hint="eastAsia" w:ascii="宋体" w:hAnsi="宋体" w:cs="宋体"/>
          <w:spacing w:val="9"/>
          <w:sz w:val="36"/>
          <w:szCs w:val="36"/>
          <w:highlight w:val="none"/>
        </w:rPr>
        <w:t>政府采购履约验收书(货物类）</w:t>
      </w:r>
    </w:p>
    <w:tbl>
      <w:tblPr>
        <w:tblStyle w:val="38"/>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43401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rPr>
        <w:tc>
          <w:tcPr>
            <w:tcW w:w="1131" w:type="dxa"/>
            <w:vAlign w:val="center"/>
          </w:tcPr>
          <w:p w14:paraId="5A481D36">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采购人</w:t>
            </w:r>
          </w:p>
        </w:tc>
        <w:tc>
          <w:tcPr>
            <w:tcW w:w="2268" w:type="dxa"/>
            <w:gridSpan w:val="2"/>
            <w:vAlign w:val="center"/>
          </w:tcPr>
          <w:p w14:paraId="4C903461">
            <w:pPr>
              <w:spacing w:line="400" w:lineRule="exact"/>
              <w:jc w:val="center"/>
              <w:rPr>
                <w:rFonts w:ascii="宋体" w:hAnsi="宋体" w:cs="宋体"/>
                <w:sz w:val="18"/>
                <w:szCs w:val="18"/>
                <w:highlight w:val="none"/>
                <w:lang w:bidi="ar"/>
              </w:rPr>
            </w:pPr>
          </w:p>
        </w:tc>
        <w:tc>
          <w:tcPr>
            <w:tcW w:w="993" w:type="dxa"/>
            <w:vAlign w:val="center"/>
          </w:tcPr>
          <w:p w14:paraId="486D6C14">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项目名称</w:t>
            </w:r>
          </w:p>
        </w:tc>
        <w:tc>
          <w:tcPr>
            <w:tcW w:w="2126" w:type="dxa"/>
            <w:gridSpan w:val="2"/>
            <w:vAlign w:val="center"/>
          </w:tcPr>
          <w:p w14:paraId="377D8D68">
            <w:pPr>
              <w:spacing w:line="400" w:lineRule="exact"/>
              <w:jc w:val="center"/>
              <w:rPr>
                <w:rFonts w:ascii="宋体" w:hAnsi="宋体" w:cs="宋体"/>
                <w:sz w:val="18"/>
                <w:szCs w:val="18"/>
                <w:highlight w:val="none"/>
                <w:lang w:bidi="ar"/>
              </w:rPr>
            </w:pPr>
          </w:p>
        </w:tc>
        <w:tc>
          <w:tcPr>
            <w:tcW w:w="1134" w:type="dxa"/>
            <w:gridSpan w:val="2"/>
            <w:vAlign w:val="center"/>
          </w:tcPr>
          <w:p w14:paraId="49ED3756">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合同名称</w:t>
            </w:r>
          </w:p>
        </w:tc>
        <w:tc>
          <w:tcPr>
            <w:tcW w:w="2268" w:type="dxa"/>
            <w:gridSpan w:val="2"/>
            <w:vAlign w:val="center"/>
          </w:tcPr>
          <w:p w14:paraId="459037E5">
            <w:pPr>
              <w:spacing w:line="400" w:lineRule="exact"/>
              <w:jc w:val="center"/>
              <w:rPr>
                <w:rFonts w:ascii="宋体" w:hAnsi="宋体" w:cs="宋体"/>
                <w:sz w:val="18"/>
                <w:szCs w:val="18"/>
                <w:highlight w:val="none"/>
                <w:lang w:bidi="ar"/>
              </w:rPr>
            </w:pPr>
          </w:p>
        </w:tc>
      </w:tr>
      <w:tr w14:paraId="5BD97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241E65F8">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供应商</w:t>
            </w:r>
          </w:p>
        </w:tc>
        <w:tc>
          <w:tcPr>
            <w:tcW w:w="2268" w:type="dxa"/>
            <w:gridSpan w:val="2"/>
            <w:vAlign w:val="center"/>
          </w:tcPr>
          <w:p w14:paraId="4E38728A">
            <w:pPr>
              <w:spacing w:line="380" w:lineRule="exact"/>
              <w:jc w:val="center"/>
              <w:rPr>
                <w:rFonts w:ascii="宋体" w:hAnsi="宋体" w:cs="宋体"/>
                <w:sz w:val="18"/>
                <w:szCs w:val="18"/>
                <w:highlight w:val="none"/>
                <w:lang w:bidi="ar"/>
              </w:rPr>
            </w:pPr>
          </w:p>
        </w:tc>
        <w:tc>
          <w:tcPr>
            <w:tcW w:w="993" w:type="dxa"/>
            <w:vAlign w:val="center"/>
          </w:tcPr>
          <w:p w14:paraId="04A08567">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项目及合同编号</w:t>
            </w:r>
          </w:p>
        </w:tc>
        <w:tc>
          <w:tcPr>
            <w:tcW w:w="2126" w:type="dxa"/>
            <w:gridSpan w:val="2"/>
            <w:vAlign w:val="center"/>
          </w:tcPr>
          <w:p w14:paraId="713F0B85">
            <w:pPr>
              <w:spacing w:line="380" w:lineRule="exact"/>
              <w:jc w:val="center"/>
              <w:rPr>
                <w:rFonts w:ascii="宋体" w:hAnsi="宋体" w:cs="宋体"/>
                <w:sz w:val="18"/>
                <w:szCs w:val="18"/>
                <w:highlight w:val="none"/>
                <w:lang w:bidi="ar"/>
              </w:rPr>
            </w:pPr>
          </w:p>
        </w:tc>
        <w:tc>
          <w:tcPr>
            <w:tcW w:w="1134" w:type="dxa"/>
            <w:gridSpan w:val="2"/>
            <w:vAlign w:val="center"/>
          </w:tcPr>
          <w:p w14:paraId="41296402">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合同金额</w:t>
            </w:r>
          </w:p>
        </w:tc>
        <w:tc>
          <w:tcPr>
            <w:tcW w:w="2268" w:type="dxa"/>
            <w:gridSpan w:val="2"/>
            <w:vAlign w:val="center"/>
          </w:tcPr>
          <w:p w14:paraId="318CD699">
            <w:pPr>
              <w:spacing w:line="380" w:lineRule="exact"/>
              <w:jc w:val="center"/>
              <w:rPr>
                <w:rFonts w:ascii="宋体" w:hAnsi="宋体" w:cs="宋体"/>
                <w:sz w:val="18"/>
                <w:szCs w:val="18"/>
                <w:highlight w:val="none"/>
                <w:lang w:bidi="ar"/>
              </w:rPr>
            </w:pPr>
          </w:p>
        </w:tc>
      </w:tr>
      <w:tr w14:paraId="089EF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301D3DDF">
            <w:pPr>
              <w:spacing w:line="34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分期（段）验收</w:t>
            </w:r>
          </w:p>
        </w:tc>
        <w:tc>
          <w:tcPr>
            <w:tcW w:w="2268" w:type="dxa"/>
            <w:gridSpan w:val="2"/>
            <w:vAlign w:val="center"/>
          </w:tcPr>
          <w:p w14:paraId="00DD328D">
            <w:pPr>
              <w:spacing w:line="34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是□   否□</w:t>
            </w:r>
          </w:p>
        </w:tc>
        <w:tc>
          <w:tcPr>
            <w:tcW w:w="993" w:type="dxa"/>
            <w:vAlign w:val="center"/>
          </w:tcPr>
          <w:p w14:paraId="512C4ABC">
            <w:pPr>
              <w:spacing w:line="34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分期（段）情况</w:t>
            </w:r>
          </w:p>
        </w:tc>
        <w:tc>
          <w:tcPr>
            <w:tcW w:w="5528" w:type="dxa"/>
            <w:gridSpan w:val="6"/>
            <w:vAlign w:val="center"/>
          </w:tcPr>
          <w:p w14:paraId="2844242C">
            <w:pPr>
              <w:spacing w:line="34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共分   期（段），此为第   期（段）验收</w:t>
            </w:r>
          </w:p>
        </w:tc>
      </w:tr>
      <w:tr w14:paraId="1D506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vAlign w:val="center"/>
          </w:tcPr>
          <w:p w14:paraId="4F4BAF31">
            <w:pPr>
              <w:spacing w:line="3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验收时间</w:t>
            </w:r>
          </w:p>
        </w:tc>
        <w:tc>
          <w:tcPr>
            <w:tcW w:w="2268" w:type="dxa"/>
            <w:gridSpan w:val="2"/>
            <w:vAlign w:val="center"/>
          </w:tcPr>
          <w:p w14:paraId="2C364F75">
            <w:pPr>
              <w:spacing w:line="360" w:lineRule="exact"/>
              <w:jc w:val="center"/>
              <w:rPr>
                <w:rFonts w:ascii="宋体" w:hAnsi="宋体" w:cs="宋体"/>
                <w:sz w:val="18"/>
                <w:szCs w:val="18"/>
                <w:highlight w:val="none"/>
                <w:lang w:bidi="ar"/>
              </w:rPr>
            </w:pPr>
          </w:p>
        </w:tc>
        <w:tc>
          <w:tcPr>
            <w:tcW w:w="993" w:type="dxa"/>
            <w:vAlign w:val="center"/>
          </w:tcPr>
          <w:p w14:paraId="472A09BB">
            <w:pPr>
              <w:spacing w:line="3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验收地点</w:t>
            </w:r>
          </w:p>
        </w:tc>
        <w:tc>
          <w:tcPr>
            <w:tcW w:w="2126" w:type="dxa"/>
            <w:gridSpan w:val="2"/>
            <w:vAlign w:val="center"/>
          </w:tcPr>
          <w:p w14:paraId="32FD6E63">
            <w:pPr>
              <w:spacing w:line="360" w:lineRule="exact"/>
              <w:jc w:val="center"/>
              <w:rPr>
                <w:rFonts w:ascii="宋体" w:hAnsi="宋体" w:cs="宋体"/>
                <w:sz w:val="18"/>
                <w:szCs w:val="18"/>
                <w:highlight w:val="none"/>
                <w:lang w:bidi="ar"/>
              </w:rPr>
            </w:pPr>
          </w:p>
        </w:tc>
        <w:tc>
          <w:tcPr>
            <w:tcW w:w="1134" w:type="dxa"/>
            <w:gridSpan w:val="2"/>
            <w:vAlign w:val="center"/>
          </w:tcPr>
          <w:p w14:paraId="046EF7D9">
            <w:pPr>
              <w:spacing w:line="3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验收组织形式</w:t>
            </w:r>
          </w:p>
        </w:tc>
        <w:tc>
          <w:tcPr>
            <w:tcW w:w="2268" w:type="dxa"/>
            <w:gridSpan w:val="2"/>
            <w:vAlign w:val="center"/>
          </w:tcPr>
          <w:p w14:paraId="6203D62A">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□自行简易验收</w:t>
            </w:r>
          </w:p>
          <w:p w14:paraId="0AB99A93">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□验收小组验收</w:t>
            </w:r>
          </w:p>
          <w:p w14:paraId="3FCB8723">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□采购代理机构验收</w:t>
            </w:r>
          </w:p>
        </w:tc>
      </w:tr>
      <w:tr w14:paraId="7B915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vAlign w:val="center"/>
          </w:tcPr>
          <w:p w14:paraId="5818E19D">
            <w:pPr>
              <w:spacing w:line="5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验收内容</w:t>
            </w:r>
          </w:p>
        </w:tc>
        <w:tc>
          <w:tcPr>
            <w:tcW w:w="993" w:type="dxa"/>
            <w:vAlign w:val="center"/>
          </w:tcPr>
          <w:p w14:paraId="14CB8D7D">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货物清单</w:t>
            </w:r>
          </w:p>
        </w:tc>
        <w:tc>
          <w:tcPr>
            <w:tcW w:w="1275" w:type="dxa"/>
            <w:vAlign w:val="center"/>
          </w:tcPr>
          <w:p w14:paraId="745D3206">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品牌、型号、规格、数量及外观质量</w:t>
            </w:r>
          </w:p>
        </w:tc>
        <w:tc>
          <w:tcPr>
            <w:tcW w:w="993" w:type="dxa"/>
            <w:vAlign w:val="center"/>
          </w:tcPr>
          <w:p w14:paraId="624889E5">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技术、性能 指标</w:t>
            </w:r>
          </w:p>
        </w:tc>
        <w:tc>
          <w:tcPr>
            <w:tcW w:w="1134" w:type="dxa"/>
            <w:vAlign w:val="center"/>
          </w:tcPr>
          <w:p w14:paraId="1CE45122">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运行状况及 安装调试</w:t>
            </w:r>
          </w:p>
        </w:tc>
        <w:tc>
          <w:tcPr>
            <w:tcW w:w="992" w:type="dxa"/>
            <w:vAlign w:val="center"/>
          </w:tcPr>
          <w:p w14:paraId="41913A9D">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质量证明文件</w:t>
            </w:r>
          </w:p>
        </w:tc>
        <w:tc>
          <w:tcPr>
            <w:tcW w:w="1134" w:type="dxa"/>
            <w:gridSpan w:val="2"/>
            <w:vAlign w:val="center"/>
          </w:tcPr>
          <w:p w14:paraId="0975A4FF">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售后服务</w:t>
            </w:r>
          </w:p>
          <w:p w14:paraId="05DA677B">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承诺</w:t>
            </w:r>
          </w:p>
        </w:tc>
        <w:tc>
          <w:tcPr>
            <w:tcW w:w="992" w:type="dxa"/>
            <w:vAlign w:val="center"/>
          </w:tcPr>
          <w:p w14:paraId="70FA708C">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安全标准</w:t>
            </w:r>
          </w:p>
        </w:tc>
        <w:tc>
          <w:tcPr>
            <w:tcW w:w="1276" w:type="dxa"/>
            <w:vAlign w:val="center"/>
          </w:tcPr>
          <w:p w14:paraId="7008FB04">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合同履约</w:t>
            </w:r>
          </w:p>
          <w:p w14:paraId="10B31D78">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时间、地点、方式</w:t>
            </w:r>
          </w:p>
        </w:tc>
      </w:tr>
      <w:tr w14:paraId="30BBA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vAlign w:val="center"/>
          </w:tcPr>
          <w:p w14:paraId="6E337164">
            <w:pPr>
              <w:spacing w:line="560" w:lineRule="exact"/>
              <w:jc w:val="center"/>
              <w:rPr>
                <w:rFonts w:ascii="宋体" w:hAnsi="宋体" w:cs="宋体"/>
                <w:sz w:val="18"/>
                <w:szCs w:val="18"/>
                <w:highlight w:val="none"/>
                <w:lang w:bidi="ar"/>
              </w:rPr>
            </w:pPr>
          </w:p>
        </w:tc>
        <w:tc>
          <w:tcPr>
            <w:tcW w:w="993" w:type="dxa"/>
            <w:vAlign w:val="center"/>
          </w:tcPr>
          <w:p w14:paraId="63B797AC">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0DC57B02">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1275" w:type="dxa"/>
            <w:vAlign w:val="center"/>
          </w:tcPr>
          <w:p w14:paraId="6356CF6D">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  格□</w:t>
            </w:r>
          </w:p>
          <w:p w14:paraId="4C6C5597">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993" w:type="dxa"/>
            <w:vAlign w:val="center"/>
          </w:tcPr>
          <w:p w14:paraId="6ECE9C38">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  格□</w:t>
            </w:r>
          </w:p>
          <w:p w14:paraId="482ADEE4">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1134" w:type="dxa"/>
            <w:vAlign w:val="center"/>
          </w:tcPr>
          <w:p w14:paraId="00A41B96">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1181CF8D">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992" w:type="dxa"/>
            <w:vAlign w:val="center"/>
          </w:tcPr>
          <w:p w14:paraId="3D6A2460">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  格□</w:t>
            </w:r>
          </w:p>
          <w:p w14:paraId="497B94AC">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 xml:space="preserve"> 不合格□</w:t>
            </w:r>
          </w:p>
        </w:tc>
        <w:tc>
          <w:tcPr>
            <w:tcW w:w="1134" w:type="dxa"/>
            <w:gridSpan w:val="2"/>
            <w:vAlign w:val="center"/>
          </w:tcPr>
          <w:p w14:paraId="06183203">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  格□</w:t>
            </w:r>
          </w:p>
          <w:p w14:paraId="3393A94E">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992" w:type="dxa"/>
            <w:vAlign w:val="center"/>
          </w:tcPr>
          <w:p w14:paraId="2E3E8D24">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p>
          <w:p w14:paraId="7646F072">
            <w:pPr>
              <w:spacing w:line="40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不合格□</w:t>
            </w:r>
          </w:p>
        </w:tc>
        <w:tc>
          <w:tcPr>
            <w:tcW w:w="1276" w:type="dxa"/>
            <w:vAlign w:val="center"/>
          </w:tcPr>
          <w:p w14:paraId="416D6C5C">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合  格□</w:t>
            </w:r>
          </w:p>
          <w:p w14:paraId="40C3E055">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不合格□</w:t>
            </w:r>
          </w:p>
        </w:tc>
      </w:tr>
      <w:tr w14:paraId="59292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vAlign w:val="center"/>
          </w:tcPr>
          <w:p w14:paraId="22165F7D">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专业检测机构情况说明</w:t>
            </w:r>
          </w:p>
        </w:tc>
        <w:tc>
          <w:tcPr>
            <w:tcW w:w="8789" w:type="dxa"/>
            <w:gridSpan w:val="9"/>
            <w:vAlign w:val="center"/>
          </w:tcPr>
          <w:p w14:paraId="384348ED">
            <w:pPr>
              <w:spacing w:line="380" w:lineRule="exact"/>
              <w:jc w:val="center"/>
              <w:rPr>
                <w:rFonts w:ascii="宋体" w:hAnsi="宋体" w:cs="宋体"/>
                <w:sz w:val="18"/>
                <w:szCs w:val="18"/>
                <w:highlight w:val="none"/>
                <w:lang w:bidi="ar"/>
              </w:rPr>
            </w:pPr>
          </w:p>
        </w:tc>
      </w:tr>
      <w:tr w14:paraId="716F8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trPr>
        <w:tc>
          <w:tcPr>
            <w:tcW w:w="1131" w:type="dxa"/>
            <w:vAlign w:val="center"/>
          </w:tcPr>
          <w:p w14:paraId="37D6DEF8">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存在问题和</w:t>
            </w:r>
          </w:p>
          <w:p w14:paraId="557B8E62">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改进意见</w:t>
            </w:r>
          </w:p>
        </w:tc>
        <w:tc>
          <w:tcPr>
            <w:tcW w:w="8789" w:type="dxa"/>
            <w:gridSpan w:val="9"/>
            <w:vAlign w:val="center"/>
          </w:tcPr>
          <w:p w14:paraId="6F35CDE9">
            <w:pPr>
              <w:spacing w:line="380" w:lineRule="exact"/>
              <w:jc w:val="center"/>
              <w:rPr>
                <w:rFonts w:ascii="宋体" w:hAnsi="宋体" w:cs="宋体"/>
                <w:sz w:val="18"/>
                <w:szCs w:val="18"/>
                <w:highlight w:val="none"/>
                <w:lang w:bidi="ar"/>
              </w:rPr>
            </w:pPr>
          </w:p>
        </w:tc>
      </w:tr>
      <w:tr w14:paraId="69701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vAlign w:val="center"/>
          </w:tcPr>
          <w:p w14:paraId="13F6BEE9">
            <w:pPr>
              <w:spacing w:line="5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最终结论</w:t>
            </w:r>
          </w:p>
        </w:tc>
        <w:tc>
          <w:tcPr>
            <w:tcW w:w="8789" w:type="dxa"/>
            <w:gridSpan w:val="9"/>
            <w:vAlign w:val="center"/>
          </w:tcPr>
          <w:p w14:paraId="60FB6B12">
            <w:pPr>
              <w:spacing w:line="5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合  格□                              不合格□</w:t>
            </w:r>
          </w:p>
        </w:tc>
      </w:tr>
      <w:tr w14:paraId="5D21E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7D2B6E15">
            <w:pPr>
              <w:spacing w:line="38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验收小组成员签字</w:t>
            </w:r>
          </w:p>
        </w:tc>
        <w:tc>
          <w:tcPr>
            <w:tcW w:w="8789" w:type="dxa"/>
            <w:gridSpan w:val="9"/>
            <w:vAlign w:val="center"/>
          </w:tcPr>
          <w:p w14:paraId="4E138FC3">
            <w:pPr>
              <w:spacing w:line="380" w:lineRule="exact"/>
              <w:jc w:val="center"/>
              <w:rPr>
                <w:rFonts w:ascii="宋体" w:hAnsi="宋体" w:cs="宋体"/>
                <w:sz w:val="18"/>
                <w:szCs w:val="18"/>
                <w:highlight w:val="none"/>
                <w:lang w:bidi="ar"/>
              </w:rPr>
            </w:pPr>
          </w:p>
        </w:tc>
      </w:tr>
      <w:tr w14:paraId="0F8B1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vAlign w:val="center"/>
          </w:tcPr>
          <w:p w14:paraId="1CBB1022">
            <w:pPr>
              <w:spacing w:line="5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采购代理机构意见</w:t>
            </w:r>
          </w:p>
        </w:tc>
        <w:tc>
          <w:tcPr>
            <w:tcW w:w="2858" w:type="dxa"/>
            <w:gridSpan w:val="3"/>
            <w:vAlign w:val="center"/>
          </w:tcPr>
          <w:p w14:paraId="3B99DC46">
            <w:pPr>
              <w:spacing w:line="560" w:lineRule="exact"/>
              <w:jc w:val="center"/>
              <w:rPr>
                <w:rFonts w:ascii="宋体" w:hAnsi="宋体" w:cs="宋体"/>
                <w:sz w:val="18"/>
                <w:szCs w:val="18"/>
                <w:highlight w:val="none"/>
                <w:lang w:bidi="ar"/>
              </w:rPr>
            </w:pPr>
            <w:r>
              <w:rPr>
                <w:rFonts w:hint="eastAsia" w:ascii="宋体" w:hAnsi="宋体" w:cs="宋体"/>
                <w:sz w:val="18"/>
                <w:szCs w:val="18"/>
                <w:highlight w:val="none"/>
                <w:lang w:bidi="ar"/>
              </w:rPr>
              <w:t>采购人意见</w:t>
            </w:r>
          </w:p>
        </w:tc>
      </w:tr>
      <w:tr w14:paraId="46BDA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Pr>
          <w:p w14:paraId="18F1C10C">
            <w:pPr>
              <w:spacing w:line="560" w:lineRule="exact"/>
              <w:jc w:val="left"/>
              <w:rPr>
                <w:rFonts w:ascii="宋体" w:hAnsi="宋体" w:cs="宋体"/>
                <w:sz w:val="18"/>
                <w:szCs w:val="18"/>
                <w:highlight w:val="none"/>
                <w:lang w:bidi="ar"/>
              </w:rPr>
            </w:pPr>
          </w:p>
          <w:p w14:paraId="58914F19">
            <w:pPr>
              <w:spacing w:line="560" w:lineRule="exact"/>
              <w:jc w:val="left"/>
              <w:rPr>
                <w:rFonts w:ascii="宋体" w:hAnsi="宋体" w:cs="宋体"/>
                <w:sz w:val="18"/>
                <w:szCs w:val="18"/>
                <w:highlight w:val="none"/>
                <w:lang w:bidi="ar"/>
              </w:rPr>
            </w:pPr>
            <w:r>
              <w:rPr>
                <w:rFonts w:hint="eastAsia" w:ascii="宋体" w:hAnsi="宋体" w:cs="宋体"/>
                <w:sz w:val="18"/>
                <w:szCs w:val="18"/>
                <w:highlight w:val="none"/>
                <w:lang w:bidi="ar"/>
              </w:rPr>
              <w:t>经办人：         负责人：           （采购代理机构公章）</w:t>
            </w:r>
          </w:p>
        </w:tc>
        <w:tc>
          <w:tcPr>
            <w:tcW w:w="2858" w:type="dxa"/>
            <w:gridSpan w:val="3"/>
          </w:tcPr>
          <w:p w14:paraId="0FEB39D7">
            <w:pPr>
              <w:spacing w:line="560" w:lineRule="exact"/>
              <w:jc w:val="left"/>
              <w:rPr>
                <w:rFonts w:ascii="宋体" w:hAnsi="宋体" w:cs="宋体"/>
                <w:sz w:val="18"/>
                <w:szCs w:val="18"/>
                <w:highlight w:val="none"/>
                <w:lang w:bidi="ar"/>
              </w:rPr>
            </w:pPr>
            <w:r>
              <w:rPr>
                <w:rFonts w:hint="eastAsia" w:ascii="宋体" w:hAnsi="宋体" w:cs="宋体"/>
                <w:sz w:val="18"/>
                <w:szCs w:val="18"/>
                <w:highlight w:val="none"/>
                <w:lang w:bidi="ar"/>
              </w:rPr>
              <w:t>经办人：       负责人：            （采购人公章）</w:t>
            </w:r>
          </w:p>
        </w:tc>
      </w:tr>
      <w:tr w14:paraId="04094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Pr>
          <w:p w14:paraId="30DD35E0">
            <w:pPr>
              <w:spacing w:line="560" w:lineRule="exact"/>
              <w:jc w:val="left"/>
              <w:rPr>
                <w:rFonts w:ascii="宋体" w:hAnsi="宋体" w:cs="宋体"/>
                <w:sz w:val="18"/>
                <w:szCs w:val="18"/>
                <w:highlight w:val="none"/>
                <w:lang w:bidi="ar"/>
              </w:rPr>
            </w:pPr>
            <w:r>
              <w:rPr>
                <w:rFonts w:hint="eastAsia" w:ascii="宋体" w:hAnsi="宋体" w:cs="宋体"/>
                <w:sz w:val="18"/>
                <w:szCs w:val="18"/>
                <w:highlight w:val="none"/>
                <w:lang w:bidi="ar"/>
              </w:rPr>
              <w:t>供应商确认：</w:t>
            </w:r>
          </w:p>
          <w:p w14:paraId="41A088C6">
            <w:pPr>
              <w:spacing w:line="560" w:lineRule="exact"/>
              <w:jc w:val="left"/>
              <w:rPr>
                <w:rFonts w:ascii="宋体" w:hAnsi="宋体" w:cs="宋体"/>
                <w:sz w:val="18"/>
                <w:szCs w:val="18"/>
                <w:highlight w:val="none"/>
                <w:lang w:bidi="ar"/>
              </w:rPr>
            </w:pPr>
            <w:r>
              <w:rPr>
                <w:rFonts w:hint="eastAsia" w:ascii="宋体" w:hAnsi="宋体" w:cs="宋体"/>
                <w:sz w:val="18"/>
                <w:szCs w:val="18"/>
                <w:highlight w:val="none"/>
                <w:lang w:bidi="ar"/>
              </w:rPr>
              <w:t>（单位公章或授权代表签字）</w:t>
            </w:r>
          </w:p>
        </w:tc>
      </w:tr>
    </w:tbl>
    <w:p w14:paraId="0660A28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tbl>
      <w:tblPr>
        <w:tblStyle w:val="38"/>
        <w:tblW w:w="5000" w:type="pct"/>
        <w:tblInd w:w="0" w:type="dxa"/>
        <w:tblLayout w:type="autofit"/>
        <w:tblCellMar>
          <w:top w:w="0" w:type="dxa"/>
          <w:left w:w="108" w:type="dxa"/>
          <w:bottom w:w="0" w:type="dxa"/>
          <w:right w:w="108" w:type="dxa"/>
        </w:tblCellMar>
      </w:tblPr>
      <w:tblGrid>
        <w:gridCol w:w="4059"/>
        <w:gridCol w:w="762"/>
        <w:gridCol w:w="4059"/>
        <w:gridCol w:w="770"/>
      </w:tblGrid>
      <w:tr w14:paraId="3B901E5C">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72DE2C99">
            <w:pPr>
              <w:widowControl/>
              <w:jc w:val="center"/>
              <w:rPr>
                <w:rFonts w:ascii="方正小标宋_GBK" w:hAnsi="方正小标宋_GBK" w:eastAsia="方正小标宋_GBK" w:cs="方正小标宋_GBK"/>
                <w:sz w:val="40"/>
                <w:szCs w:val="40"/>
                <w:highlight w:val="none"/>
              </w:rPr>
            </w:pPr>
            <w:r>
              <w:rPr>
                <w:rFonts w:ascii="方正小标宋_GBK" w:hAnsi="方正小标宋_GBK" w:eastAsia="方正小标宋_GBK" w:cs="方正小标宋_GBK"/>
                <w:sz w:val="40"/>
                <w:szCs w:val="40"/>
                <w:highlight w:val="none"/>
                <w:lang w:bidi="ar"/>
              </w:rPr>
              <w:t>政府采购履约验收通知单（参考样本）</w:t>
            </w:r>
          </w:p>
        </w:tc>
      </w:tr>
      <w:tr w14:paraId="24D03E67">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shd w:val="clear" w:color="auto" w:fill="auto"/>
            <w:noWrap/>
            <w:vAlign w:val="center"/>
          </w:tcPr>
          <w:p w14:paraId="159B531F">
            <w:pPr>
              <w:widowControl/>
              <w:jc w:val="left"/>
              <w:rPr>
                <w:rFonts w:ascii="宋体" w:hAnsi="宋体" w:cs="宋体"/>
                <w:b/>
                <w:bCs/>
                <w:sz w:val="24"/>
                <w:highlight w:val="none"/>
              </w:rPr>
            </w:pPr>
            <w:r>
              <w:rPr>
                <w:rFonts w:hint="eastAsia" w:ascii="宋体" w:hAnsi="宋体" w:cs="宋体"/>
                <w:b/>
                <w:bCs/>
                <w:sz w:val="24"/>
                <w:highlight w:val="none"/>
                <w:lang w:bidi="ar"/>
              </w:rPr>
              <w:t>供应商：</w:t>
            </w:r>
          </w:p>
        </w:tc>
        <w:tc>
          <w:tcPr>
            <w:tcW w:w="395" w:type="pct"/>
            <w:tcBorders>
              <w:top w:val="nil"/>
              <w:left w:val="nil"/>
              <w:bottom w:val="nil"/>
              <w:right w:val="nil"/>
            </w:tcBorders>
            <w:shd w:val="clear" w:color="auto" w:fill="auto"/>
            <w:noWrap/>
            <w:vAlign w:val="center"/>
          </w:tcPr>
          <w:p w14:paraId="1500526C">
            <w:pPr>
              <w:jc w:val="center"/>
              <w:rPr>
                <w:rFonts w:ascii="宋体" w:hAnsi="宋体" w:cs="宋体"/>
                <w:b/>
                <w:bCs/>
                <w:sz w:val="24"/>
                <w:highlight w:val="none"/>
              </w:rPr>
            </w:pPr>
          </w:p>
        </w:tc>
        <w:tc>
          <w:tcPr>
            <w:tcW w:w="2103" w:type="pct"/>
            <w:tcBorders>
              <w:top w:val="nil"/>
              <w:left w:val="nil"/>
              <w:bottom w:val="nil"/>
              <w:right w:val="nil"/>
            </w:tcBorders>
            <w:shd w:val="clear" w:color="auto" w:fill="auto"/>
            <w:noWrap/>
            <w:vAlign w:val="center"/>
          </w:tcPr>
          <w:p w14:paraId="6E85392F">
            <w:pPr>
              <w:jc w:val="center"/>
              <w:rPr>
                <w:rFonts w:ascii="宋体" w:hAnsi="宋体" w:cs="宋体"/>
                <w:b/>
                <w:bCs/>
                <w:sz w:val="24"/>
                <w:highlight w:val="none"/>
              </w:rPr>
            </w:pPr>
          </w:p>
        </w:tc>
        <w:tc>
          <w:tcPr>
            <w:tcW w:w="396" w:type="pct"/>
            <w:tcBorders>
              <w:top w:val="nil"/>
              <w:left w:val="nil"/>
              <w:bottom w:val="nil"/>
              <w:right w:val="nil"/>
            </w:tcBorders>
            <w:shd w:val="clear" w:color="auto" w:fill="auto"/>
            <w:noWrap/>
            <w:vAlign w:val="center"/>
          </w:tcPr>
          <w:p w14:paraId="192F4F3D">
            <w:pPr>
              <w:jc w:val="center"/>
              <w:rPr>
                <w:rFonts w:ascii="宋体" w:hAnsi="宋体" w:cs="宋体"/>
                <w:b/>
                <w:bCs/>
                <w:sz w:val="24"/>
                <w:highlight w:val="none"/>
              </w:rPr>
            </w:pPr>
          </w:p>
        </w:tc>
      </w:tr>
      <w:tr w14:paraId="38354CAC">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400D">
            <w:pPr>
              <w:widowControl/>
              <w:jc w:val="center"/>
              <w:rPr>
                <w:rFonts w:ascii="宋体" w:hAnsi="宋体" w:cs="宋体"/>
                <w:b/>
                <w:bCs/>
                <w:sz w:val="24"/>
                <w:highlight w:val="none"/>
              </w:rPr>
            </w:pPr>
            <w:r>
              <w:rPr>
                <w:rFonts w:hint="eastAsia" w:ascii="宋体" w:hAnsi="宋体" w:cs="宋体"/>
                <w:b/>
                <w:bCs/>
                <w:sz w:val="24"/>
                <w:highlight w:val="none"/>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F1F6">
            <w:pPr>
              <w:jc w:val="center"/>
              <w:rPr>
                <w:rFonts w:ascii="宋体" w:hAnsi="宋体" w:cs="宋体"/>
                <w:b/>
                <w:bCs/>
                <w:sz w:val="24"/>
                <w:highlight w:val="none"/>
              </w:rPr>
            </w:pPr>
          </w:p>
        </w:tc>
      </w:tr>
      <w:tr w14:paraId="464A26B1">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8561">
            <w:pPr>
              <w:widowControl/>
              <w:jc w:val="center"/>
              <w:rPr>
                <w:rFonts w:ascii="宋体" w:hAnsi="宋体" w:cs="宋体"/>
                <w:b/>
                <w:bCs/>
                <w:sz w:val="24"/>
                <w:highlight w:val="none"/>
              </w:rPr>
            </w:pPr>
            <w:r>
              <w:rPr>
                <w:rFonts w:hint="eastAsia" w:ascii="宋体" w:hAnsi="宋体" w:cs="宋体"/>
                <w:b/>
                <w:bCs/>
                <w:sz w:val="24"/>
                <w:highlight w:val="none"/>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2561">
            <w:pPr>
              <w:jc w:val="center"/>
              <w:rPr>
                <w:rFonts w:ascii="宋体" w:hAnsi="宋体" w:cs="宋体"/>
                <w:b/>
                <w:bCs/>
                <w:sz w:val="24"/>
                <w:highlight w:val="none"/>
              </w:rPr>
            </w:pPr>
          </w:p>
        </w:tc>
      </w:tr>
      <w:tr w14:paraId="3D29295F">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F3E12">
            <w:pPr>
              <w:widowControl/>
              <w:jc w:val="center"/>
              <w:rPr>
                <w:rFonts w:ascii="宋体" w:hAnsi="宋体" w:cs="宋体"/>
                <w:b/>
                <w:bCs/>
                <w:sz w:val="24"/>
                <w:highlight w:val="none"/>
              </w:rPr>
            </w:pPr>
            <w:r>
              <w:rPr>
                <w:rFonts w:hint="eastAsia" w:ascii="宋体" w:hAnsi="宋体" w:cs="宋体"/>
                <w:b/>
                <w:bCs/>
                <w:sz w:val="24"/>
                <w:highlight w:val="none"/>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3D00">
            <w:pPr>
              <w:jc w:val="center"/>
              <w:rPr>
                <w:rFonts w:ascii="宋体" w:hAnsi="宋体" w:cs="宋体"/>
                <w:b/>
                <w:bCs/>
                <w:sz w:val="24"/>
                <w:highlight w:val="none"/>
              </w:rPr>
            </w:pPr>
          </w:p>
        </w:tc>
      </w:tr>
      <w:tr w14:paraId="4D0147E7">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32F2">
            <w:pPr>
              <w:widowControl/>
              <w:jc w:val="center"/>
              <w:rPr>
                <w:rFonts w:ascii="宋体" w:hAnsi="宋体" w:cs="宋体"/>
                <w:b/>
                <w:bCs/>
                <w:sz w:val="24"/>
                <w:highlight w:val="none"/>
              </w:rPr>
            </w:pPr>
            <w:r>
              <w:rPr>
                <w:rFonts w:hint="eastAsia" w:ascii="宋体" w:hAnsi="宋体" w:cs="宋体"/>
                <w:b/>
                <w:bCs/>
                <w:sz w:val="24"/>
                <w:highlight w:val="none"/>
                <w:lang w:bidi="ar"/>
              </w:rPr>
              <w:t>合同编号</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0CBE">
            <w:pPr>
              <w:jc w:val="center"/>
              <w:rPr>
                <w:rFonts w:ascii="宋体" w:hAnsi="宋体" w:cs="宋体"/>
                <w:b/>
                <w:bCs/>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7D89">
            <w:pPr>
              <w:widowControl/>
              <w:jc w:val="center"/>
              <w:rPr>
                <w:rFonts w:ascii="宋体" w:hAnsi="宋体" w:cs="宋体"/>
                <w:b/>
                <w:bCs/>
                <w:sz w:val="24"/>
                <w:highlight w:val="none"/>
              </w:rPr>
            </w:pPr>
            <w:r>
              <w:rPr>
                <w:rFonts w:hint="eastAsia" w:ascii="宋体" w:hAnsi="宋体" w:cs="宋体"/>
                <w:b/>
                <w:bCs/>
                <w:sz w:val="24"/>
                <w:highlight w:val="none"/>
                <w:lang w:bidi="ar"/>
              </w:rPr>
              <w:t>合同金额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13C06">
            <w:pPr>
              <w:jc w:val="center"/>
              <w:rPr>
                <w:rFonts w:ascii="宋体" w:hAnsi="宋体" w:cs="宋体"/>
                <w:b/>
                <w:bCs/>
                <w:sz w:val="24"/>
                <w:highlight w:val="none"/>
              </w:rPr>
            </w:pPr>
          </w:p>
        </w:tc>
      </w:tr>
      <w:tr w14:paraId="32B45D39">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170C7">
            <w:pPr>
              <w:widowControl/>
              <w:jc w:val="center"/>
              <w:rPr>
                <w:rFonts w:ascii="宋体" w:hAnsi="宋体" w:cs="宋体"/>
                <w:b/>
                <w:bCs/>
                <w:sz w:val="24"/>
                <w:highlight w:val="none"/>
              </w:rPr>
            </w:pPr>
            <w:r>
              <w:rPr>
                <w:rFonts w:hint="eastAsia" w:ascii="宋体" w:hAnsi="宋体" w:cs="宋体"/>
                <w:b/>
                <w:bCs/>
                <w:sz w:val="24"/>
                <w:highlight w:val="none"/>
                <w:lang w:bidi="ar"/>
              </w:rPr>
              <w:t>验收时间</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4FB1">
            <w:pPr>
              <w:jc w:val="center"/>
              <w:rPr>
                <w:rFonts w:ascii="宋体" w:hAnsi="宋体" w:cs="宋体"/>
                <w:b/>
                <w:bCs/>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86A8D">
            <w:pPr>
              <w:widowControl/>
              <w:jc w:val="center"/>
              <w:rPr>
                <w:rFonts w:ascii="宋体" w:hAnsi="宋体" w:cs="宋体"/>
                <w:b/>
                <w:bCs/>
                <w:sz w:val="24"/>
                <w:highlight w:val="none"/>
              </w:rPr>
            </w:pPr>
            <w:r>
              <w:rPr>
                <w:rFonts w:hint="eastAsia" w:ascii="宋体" w:hAnsi="宋体" w:cs="宋体"/>
                <w:b/>
                <w:bCs/>
                <w:sz w:val="24"/>
                <w:highlight w:val="none"/>
                <w:lang w:bidi="ar"/>
              </w:rPr>
              <w:t>验收地点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430B2">
            <w:pPr>
              <w:jc w:val="center"/>
              <w:rPr>
                <w:rFonts w:ascii="宋体" w:hAnsi="宋体" w:cs="宋体"/>
                <w:b/>
                <w:bCs/>
                <w:sz w:val="24"/>
                <w:highlight w:val="none"/>
              </w:rPr>
            </w:pPr>
          </w:p>
        </w:tc>
      </w:tr>
      <w:tr w14:paraId="6D3D937B">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2409">
            <w:pPr>
              <w:widowControl/>
              <w:jc w:val="center"/>
              <w:rPr>
                <w:rFonts w:ascii="宋体" w:hAnsi="宋体" w:cs="宋体"/>
                <w:b/>
                <w:bCs/>
                <w:sz w:val="24"/>
                <w:highlight w:val="none"/>
              </w:rPr>
            </w:pPr>
            <w:r>
              <w:rPr>
                <w:rFonts w:hint="eastAsia" w:ascii="宋体" w:hAnsi="宋体" w:cs="宋体"/>
                <w:b/>
                <w:bCs/>
                <w:sz w:val="24"/>
                <w:highlight w:val="none"/>
                <w:lang w:bidi="ar"/>
              </w:rPr>
              <w:t>联系人</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EABC5">
            <w:pPr>
              <w:jc w:val="center"/>
              <w:rPr>
                <w:rFonts w:ascii="宋体" w:hAnsi="宋体" w:cs="宋体"/>
                <w:b/>
                <w:bCs/>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F794">
            <w:pPr>
              <w:widowControl/>
              <w:jc w:val="center"/>
              <w:rPr>
                <w:rFonts w:ascii="宋体" w:hAnsi="宋体" w:cs="宋体"/>
                <w:b/>
                <w:bCs/>
                <w:sz w:val="24"/>
                <w:highlight w:val="none"/>
              </w:rPr>
            </w:pPr>
            <w:r>
              <w:rPr>
                <w:rFonts w:hint="eastAsia" w:ascii="宋体" w:hAnsi="宋体" w:cs="宋体"/>
                <w:b/>
                <w:bCs/>
                <w:sz w:val="24"/>
                <w:highlight w:val="none"/>
                <w:lang w:bidi="ar"/>
              </w:rPr>
              <w:t>联系电话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21A5">
            <w:pPr>
              <w:jc w:val="center"/>
              <w:rPr>
                <w:rFonts w:ascii="宋体" w:hAnsi="宋体" w:cs="宋体"/>
                <w:b/>
                <w:bCs/>
                <w:sz w:val="24"/>
                <w:highlight w:val="none"/>
              </w:rPr>
            </w:pPr>
          </w:p>
        </w:tc>
      </w:tr>
      <w:tr w14:paraId="570991F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A2E8A">
            <w:pPr>
              <w:widowControl/>
              <w:jc w:val="center"/>
              <w:rPr>
                <w:rFonts w:ascii="宋体" w:hAnsi="宋体" w:cs="宋体"/>
                <w:b/>
                <w:bCs/>
                <w:sz w:val="24"/>
                <w:highlight w:val="none"/>
              </w:rPr>
            </w:pPr>
            <w:r>
              <w:rPr>
                <w:rFonts w:hint="eastAsia" w:ascii="宋体" w:hAnsi="宋体" w:cs="宋体"/>
                <w:b/>
                <w:bCs/>
                <w:sz w:val="24"/>
                <w:highlight w:val="none"/>
                <w:lang w:bidi="ar"/>
              </w:rPr>
              <w:t>履约验收方案及工作要求</w:t>
            </w:r>
          </w:p>
        </w:tc>
      </w:tr>
      <w:tr w14:paraId="62983592">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E4410F">
            <w:pPr>
              <w:widowControl/>
              <w:jc w:val="center"/>
              <w:rPr>
                <w:rFonts w:ascii="宋体" w:hAnsi="宋体" w:cs="宋体"/>
                <w:sz w:val="24"/>
                <w:highlight w:val="none"/>
              </w:rPr>
            </w:pPr>
            <w:r>
              <w:rPr>
                <w:rFonts w:hint="eastAsia" w:ascii="宋体" w:hAnsi="宋体" w:cs="宋体"/>
                <w:sz w:val="24"/>
                <w:highlight w:val="none"/>
                <w:lang w:bidi="ar"/>
              </w:rPr>
              <w:t xml:space="preserve">        单位公章</w:t>
            </w:r>
            <w:r>
              <w:rPr>
                <w:rFonts w:hint="eastAsia" w:ascii="宋体" w:hAnsi="宋体" w:cs="宋体"/>
                <w:sz w:val="24"/>
                <w:highlight w:val="none"/>
                <w:lang w:bidi="ar"/>
              </w:rPr>
              <w:br w:type="textWrapping"/>
            </w:r>
            <w:r>
              <w:rPr>
                <w:rFonts w:hint="eastAsia" w:ascii="宋体" w:hAnsi="宋体" w:cs="宋体"/>
                <w:sz w:val="24"/>
                <w:highlight w:val="none"/>
                <w:lang w:bidi="ar"/>
              </w:rPr>
              <w:t xml:space="preserve">         年 月 日</w:t>
            </w:r>
          </w:p>
        </w:tc>
      </w:tr>
    </w:tbl>
    <w:p w14:paraId="6459C303">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0452617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108BF850">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6AAAC81A">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515749E8">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13FF2117">
      <w:pPr>
        <w:pStyle w:val="2"/>
        <w:rPr>
          <w:rFonts w:eastAsiaTheme="minorEastAsia"/>
          <w:highlight w:val="none"/>
          <w:lang w:eastAsia="zh-CN"/>
        </w:rPr>
      </w:pPr>
    </w:p>
    <w:p w14:paraId="502BAE47">
      <w:pPr>
        <w:pStyle w:val="3"/>
        <w:rPr>
          <w:highlight w:val="none"/>
          <w:lang w:eastAsia="zh-CN"/>
        </w:rPr>
      </w:pPr>
    </w:p>
    <w:p w14:paraId="651E9C04">
      <w:pPr>
        <w:pBdr>
          <w:top w:val="none" w:color="auto" w:sz="0" w:space="0"/>
          <w:left w:val="none" w:color="auto" w:sz="0" w:space="0"/>
          <w:bottom w:val="none" w:color="auto" w:sz="0" w:space="0"/>
          <w:right w:val="none" w:color="auto" w:sz="0" w:space="0"/>
        </w:pBdr>
        <w:spacing w:before="0" w:after="0" w:line="240" w:lineRule="auto"/>
        <w:ind w:firstLine="0"/>
        <w:rPr>
          <w:highlight w:val="none"/>
        </w:rPr>
      </w:pPr>
    </w:p>
    <w:p w14:paraId="3C90E1B2">
      <w:pPr>
        <w:pStyle w:val="2"/>
        <w:rPr>
          <w:rFonts w:eastAsiaTheme="minorEastAsia"/>
          <w:highlight w:val="none"/>
          <w:lang w:eastAsia="zh-CN"/>
        </w:rPr>
      </w:pPr>
    </w:p>
    <w:p w14:paraId="43E2F273">
      <w:pPr>
        <w:pStyle w:val="3"/>
        <w:rPr>
          <w:highlight w:val="none"/>
          <w:lang w:eastAsia="zh-CN"/>
        </w:rPr>
      </w:pPr>
    </w:p>
    <w:p w14:paraId="4F29D2CC">
      <w:pPr>
        <w:pBdr>
          <w:top w:val="none" w:color="auto" w:sz="0" w:space="0"/>
          <w:left w:val="none" w:color="auto" w:sz="0" w:space="0"/>
          <w:bottom w:val="none" w:color="auto" w:sz="0" w:space="0"/>
          <w:right w:val="none" w:color="auto" w:sz="0" w:space="0"/>
        </w:pBdr>
        <w:spacing w:before="0" w:after="0" w:line="240" w:lineRule="auto"/>
        <w:ind w:firstLine="0"/>
        <w:rPr>
          <w:highlight w:val="none"/>
        </w:rPr>
      </w:pPr>
    </w:p>
    <w:p w14:paraId="1BD0345C">
      <w:pPr>
        <w:pStyle w:val="2"/>
        <w:rPr>
          <w:rFonts w:eastAsiaTheme="minorEastAsia"/>
          <w:highlight w:val="none"/>
          <w:lang w:eastAsia="zh-CN"/>
        </w:rPr>
      </w:pPr>
    </w:p>
    <w:p w14:paraId="576B6A7E">
      <w:pPr>
        <w:pStyle w:val="3"/>
        <w:rPr>
          <w:rFonts w:hint="eastAsia" w:ascii="宋体" w:hAnsi="宋体" w:cs="宋体"/>
          <w:b/>
          <w:sz w:val="44"/>
          <w:highlight w:val="none"/>
          <w:lang w:eastAsia="zh-CN"/>
        </w:rPr>
      </w:pPr>
    </w:p>
    <w:p w14:paraId="53AD0216">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sz w:val="44"/>
          <w:highlight w:val="none"/>
        </w:rPr>
      </w:pPr>
    </w:p>
    <w:p w14:paraId="31CF69D4">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highlight w:val="none"/>
        </w:rPr>
      </w:pPr>
      <w:r>
        <w:rPr>
          <w:rFonts w:hint="eastAsia" w:ascii="宋体" w:hAnsi="宋体" w:cs="宋体"/>
          <w:b/>
          <w:sz w:val="44"/>
          <w:highlight w:val="none"/>
        </w:rPr>
        <w:t>第四部分 投标文件格式</w:t>
      </w:r>
    </w:p>
    <w:p w14:paraId="09A2CE39">
      <w:pPr>
        <w:pBdr>
          <w:top w:val="none" w:color="000000" w:sz="0" w:space="0"/>
          <w:left w:val="none" w:color="000000" w:sz="0" w:space="0"/>
          <w:bottom w:val="none" w:color="000000" w:sz="0" w:space="0"/>
          <w:right w:val="none" w:color="000000" w:sz="0" w:space="0"/>
        </w:pBdr>
        <w:spacing w:line="380" w:lineRule="atLeast"/>
        <w:jc w:val="center"/>
        <w:rPr>
          <w:rFonts w:ascii="宋体" w:hAnsi="宋体" w:cs="宋体"/>
          <w:highlight w:val="none"/>
        </w:rPr>
      </w:pPr>
      <w:r>
        <w:rPr>
          <w:rFonts w:hint="eastAsia" w:ascii="宋体" w:hAnsi="宋体" w:cs="宋体"/>
          <w:b/>
          <w:sz w:val="24"/>
          <w:highlight w:val="none"/>
        </w:rPr>
        <w:t> </w:t>
      </w:r>
    </w:p>
    <w:p w14:paraId="42E5020B">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hint="eastAsia" w:ascii="宋体" w:hAnsi="宋体" w:cs="宋体"/>
          <w:sz w:val="24"/>
          <w:highlight w:val="none"/>
        </w:rPr>
        <w:t> </w:t>
      </w:r>
    </w:p>
    <w:p w14:paraId="65732249">
      <w:pPr>
        <w:pBdr>
          <w:top w:val="none" w:color="000000" w:sz="0" w:space="0"/>
          <w:left w:val="none" w:color="000000" w:sz="0" w:space="0"/>
          <w:bottom w:val="none" w:color="000000" w:sz="0" w:space="0"/>
          <w:right w:val="none" w:color="000000" w:sz="0" w:space="0"/>
        </w:pBdr>
        <w:rPr>
          <w:rFonts w:ascii="宋体" w:hAnsi="宋体" w:cs="宋体"/>
          <w:highlight w:val="none"/>
        </w:rPr>
      </w:pPr>
    </w:p>
    <w:p w14:paraId="716F4D2F">
      <w:pPr>
        <w:pBdr>
          <w:top w:val="none" w:color="000000" w:sz="0" w:space="0"/>
          <w:left w:val="none" w:color="000000" w:sz="0" w:space="0"/>
          <w:bottom w:val="none" w:color="000000" w:sz="0" w:space="0"/>
          <w:right w:val="none" w:color="000000" w:sz="0" w:space="0"/>
        </w:pBdr>
        <w:spacing w:line="85" w:lineRule="atLeast"/>
        <w:rPr>
          <w:rFonts w:ascii="宋体" w:hAnsi="宋体" w:cs="宋体"/>
          <w:highlight w:val="none"/>
        </w:rPr>
      </w:pPr>
      <w:r>
        <w:rPr>
          <w:rFonts w:hint="eastAsia" w:ascii="宋体" w:hAnsi="宋体" w:cs="宋体"/>
          <w:sz w:val="24"/>
          <w:highlight w:val="none"/>
        </w:rPr>
        <w:t>说明：</w:t>
      </w:r>
    </w:p>
    <w:p w14:paraId="1768B83D">
      <w:pPr>
        <w:pBdr>
          <w:top w:val="none" w:color="000000" w:sz="0" w:space="0"/>
          <w:left w:val="none" w:color="000000" w:sz="0" w:space="0"/>
          <w:bottom w:val="none" w:color="000000" w:sz="0" w:space="0"/>
          <w:right w:val="none" w:color="000000" w:sz="0" w:space="0"/>
        </w:pBdr>
        <w:spacing w:line="85" w:lineRule="atLeast"/>
        <w:rPr>
          <w:rFonts w:ascii="宋体" w:hAnsi="宋体" w:cs="宋体"/>
          <w:sz w:val="24"/>
          <w:highlight w:val="none"/>
        </w:rPr>
      </w:pPr>
    </w:p>
    <w:p w14:paraId="1FE351A9">
      <w:pPr>
        <w:pBdr>
          <w:top w:val="none" w:color="000000" w:sz="0" w:space="0"/>
          <w:left w:val="none" w:color="000000" w:sz="0" w:space="0"/>
          <w:bottom w:val="none" w:color="000000" w:sz="0" w:space="0"/>
          <w:right w:val="none" w:color="000000" w:sz="0" w:space="0"/>
        </w:pBdr>
        <w:spacing w:line="85" w:lineRule="atLeast"/>
        <w:ind w:firstLine="480"/>
        <w:rPr>
          <w:rFonts w:ascii="宋体" w:hAnsi="宋体" w:cs="宋体"/>
          <w:highlight w:val="none"/>
        </w:rPr>
      </w:pPr>
      <w:r>
        <w:rPr>
          <w:rFonts w:hint="eastAsia" w:ascii="宋体" w:hAnsi="宋体" w:cs="宋体"/>
          <w:sz w:val="24"/>
          <w:highlight w:val="none"/>
        </w:rPr>
        <w:t>对本章所有的投标书格式，投标方可根据自身情况进行补充和修改，但补充和修改不得造成与本格式内容有实质性的违背。</w:t>
      </w:r>
    </w:p>
    <w:p w14:paraId="204388E4">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188299D9">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2928E1E6">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17E0595">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2A0526DB">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42B3580">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15A32937">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52FC891B">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51702E6">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A1CC4F2">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6559359B">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371B7392">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42D3E902">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090BA879">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4199C21C">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4E637D15">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47F6BDFD">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B718AA5">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18CE3517">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2A704997">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0DC2BEC3">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06134250">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7EF76538">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25AE580B">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1、</w:t>
      </w:r>
      <w:r>
        <w:rPr>
          <w:rFonts w:ascii="宋体" w:hAnsi="宋体" w:cs="宋体"/>
          <w:b/>
          <w:sz w:val="28"/>
          <w:highlight w:val="none"/>
        </w:rPr>
        <w:t>关于资格文件的声明函</w:t>
      </w:r>
    </w:p>
    <w:p w14:paraId="66D4F0DE">
      <w:pPr>
        <w:pBdr>
          <w:top w:val="none" w:color="000000" w:sz="0" w:space="0"/>
          <w:left w:val="none" w:color="000000" w:sz="0" w:space="0"/>
          <w:bottom w:val="none" w:color="000000" w:sz="0" w:space="0"/>
          <w:right w:val="none" w:color="000000" w:sz="0" w:space="0"/>
        </w:pBdr>
        <w:ind w:left="1260" w:firstLine="420"/>
        <w:rPr>
          <w:highlight w:val="none"/>
        </w:rPr>
      </w:pPr>
      <w:r>
        <w:rPr>
          <w:rFonts w:ascii="宋体" w:hAnsi="宋体" w:cs="宋体"/>
          <w:sz w:val="30"/>
          <w:highlight w:val="none"/>
        </w:rPr>
        <w:t> </w:t>
      </w:r>
    </w:p>
    <w:p w14:paraId="5D4CDA5E">
      <w:pPr>
        <w:pBdr>
          <w:top w:val="none" w:color="000000" w:sz="0" w:space="0"/>
          <w:left w:val="none" w:color="000000" w:sz="0" w:space="0"/>
          <w:bottom w:val="none" w:color="000000" w:sz="0" w:space="0"/>
          <w:right w:val="none" w:color="000000" w:sz="0" w:space="0"/>
        </w:pBdr>
        <w:ind w:left="1260" w:firstLine="420"/>
        <w:rPr>
          <w:highlight w:val="none"/>
        </w:rPr>
      </w:pPr>
      <w:r>
        <w:rPr>
          <w:rFonts w:ascii="宋体" w:hAnsi="宋体" w:cs="宋体"/>
          <w:sz w:val="30"/>
          <w:highlight w:val="none"/>
        </w:rPr>
        <w:t> </w:t>
      </w:r>
    </w:p>
    <w:p w14:paraId="1470A216">
      <w:pPr>
        <w:pBdr>
          <w:top w:val="none" w:color="000000" w:sz="0" w:space="0"/>
          <w:left w:val="none" w:color="000000" w:sz="0" w:space="0"/>
          <w:bottom w:val="none" w:color="000000" w:sz="0" w:space="0"/>
          <w:right w:val="none" w:color="000000" w:sz="0" w:space="0"/>
        </w:pBdr>
        <w:ind w:left="1260" w:firstLine="1770"/>
        <w:rPr>
          <w:highlight w:val="none"/>
        </w:rPr>
      </w:pPr>
      <w:r>
        <w:rPr>
          <w:rFonts w:ascii="宋体" w:hAnsi="宋体" w:cs="宋体"/>
          <w:sz w:val="30"/>
          <w:highlight w:val="none"/>
        </w:rPr>
        <w:t>关于资格文件的声明函</w:t>
      </w:r>
    </w:p>
    <w:p w14:paraId="1609F2EF">
      <w:pPr>
        <w:pBdr>
          <w:top w:val="none" w:color="000000" w:sz="0" w:space="0"/>
          <w:left w:val="none" w:color="000000" w:sz="0" w:space="0"/>
          <w:bottom w:val="none" w:color="000000" w:sz="0" w:space="0"/>
          <w:right w:val="none" w:color="000000" w:sz="0" w:space="0"/>
        </w:pBdr>
        <w:ind w:left="1260" w:firstLine="420"/>
        <w:jc w:val="center"/>
        <w:rPr>
          <w:highlight w:val="none"/>
        </w:rPr>
      </w:pPr>
      <w:r>
        <w:rPr>
          <w:rFonts w:ascii="宋体" w:hAnsi="宋体" w:cs="宋体"/>
          <w:sz w:val="24"/>
          <w:highlight w:val="none"/>
        </w:rPr>
        <w:t> </w:t>
      </w:r>
    </w:p>
    <w:p w14:paraId="60EF6A28">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u w:val="single"/>
        </w:rPr>
        <w:t>苏州市公共资源交易中心太仓分中心</w:t>
      </w:r>
      <w:r>
        <w:rPr>
          <w:rFonts w:ascii="宋体" w:hAnsi="宋体" w:cs="宋体"/>
          <w:sz w:val="24"/>
          <w:highlight w:val="none"/>
        </w:rPr>
        <w:t>：</w:t>
      </w:r>
    </w:p>
    <w:p w14:paraId="47DB08E7">
      <w:pPr>
        <w:pBdr>
          <w:top w:val="none" w:color="000000" w:sz="0" w:space="0"/>
          <w:left w:val="none" w:color="000000" w:sz="0" w:space="0"/>
          <w:bottom w:val="none" w:color="000000" w:sz="0" w:space="0"/>
          <w:right w:val="none" w:color="000000" w:sz="0" w:space="0"/>
        </w:pBdr>
        <w:spacing w:line="499" w:lineRule="atLeast"/>
        <w:ind w:right="445" w:firstLine="480"/>
        <w:rPr>
          <w:highlight w:val="none"/>
        </w:rPr>
      </w:pPr>
      <w:r>
        <w:rPr>
          <w:rFonts w:ascii="宋体" w:hAnsi="宋体" w:cs="宋体"/>
          <w:sz w:val="24"/>
          <w:highlight w:val="none"/>
        </w:rPr>
        <w:t>本公司愿就由贵单位组织实施的编号为</w:t>
      </w:r>
      <w:r>
        <w:rPr>
          <w:rFonts w:hint="eastAsia" w:ascii="宋体" w:hAnsi="宋体" w:cs="宋体"/>
          <w:b/>
          <w:sz w:val="24"/>
          <w:highlight w:val="none"/>
          <w:u w:val="single"/>
        </w:rPr>
        <w:t>JSZC-320585-JZCG-G2026-0071</w:t>
      </w:r>
      <w:r>
        <w:rPr>
          <w:rFonts w:ascii="宋体" w:hAnsi="宋体" w:cs="宋体"/>
          <w:sz w:val="24"/>
          <w:highlight w:val="none"/>
        </w:rPr>
        <w:t>号的招标活动进行投标。本公司所提交的投标文件中所有关于投标资格的文件、证明和陈述均是真实的、准确的。若与真实情况不符，本公司愿意承担由此而产生的一切后果。</w:t>
      </w:r>
    </w:p>
    <w:p w14:paraId="33852DFE">
      <w:pPr>
        <w:pBdr>
          <w:top w:val="none" w:color="000000" w:sz="0" w:space="0"/>
          <w:left w:val="none" w:color="000000" w:sz="0" w:space="0"/>
          <w:bottom w:val="none" w:color="000000" w:sz="0" w:space="0"/>
          <w:right w:val="none" w:color="000000" w:sz="0" w:space="0"/>
        </w:pBdr>
        <w:spacing w:line="499" w:lineRule="atLeast"/>
        <w:ind w:left="1259" w:firstLine="426"/>
        <w:rPr>
          <w:highlight w:val="none"/>
        </w:rPr>
      </w:pPr>
      <w:r>
        <w:rPr>
          <w:rFonts w:ascii="宋体" w:hAnsi="宋体" w:cs="宋体"/>
          <w:sz w:val="24"/>
          <w:highlight w:val="none"/>
        </w:rPr>
        <w:t> </w:t>
      </w:r>
    </w:p>
    <w:p w14:paraId="4E18946A">
      <w:pPr>
        <w:pBdr>
          <w:top w:val="none" w:color="000000" w:sz="0" w:space="0"/>
          <w:left w:val="none" w:color="000000" w:sz="0" w:space="0"/>
          <w:bottom w:val="none" w:color="000000" w:sz="0" w:space="0"/>
          <w:right w:val="none" w:color="000000" w:sz="0" w:space="0"/>
        </w:pBdr>
        <w:spacing w:line="499" w:lineRule="atLeast"/>
        <w:ind w:left="1259" w:firstLine="426"/>
        <w:rPr>
          <w:highlight w:val="none"/>
        </w:rPr>
      </w:pPr>
      <w:r>
        <w:rPr>
          <w:rFonts w:ascii="宋体" w:hAnsi="宋体" w:cs="宋体"/>
          <w:sz w:val="24"/>
          <w:highlight w:val="none"/>
        </w:rPr>
        <w:t> </w:t>
      </w:r>
    </w:p>
    <w:p w14:paraId="771530A7">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投标单位（单位盖章）：</w:t>
      </w:r>
    </w:p>
    <w:p w14:paraId="451DDE64">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法定代表人或授权代理人（签字或盖章）：</w:t>
      </w:r>
    </w:p>
    <w:p w14:paraId="117B658D">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78925E0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49A889F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60109857">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ascii="宋体" w:hAnsi="宋体" w:cs="宋体"/>
          <w:sz w:val="24"/>
          <w:highlight w:val="none"/>
        </w:rPr>
        <w:t> </w:t>
      </w:r>
    </w:p>
    <w:p w14:paraId="73F7A2E0">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14628DF1">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6C9DE727">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2AC1502A">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725FB71C">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42403746">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65561F2F">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3691C0F6">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6C8053A9">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5BC6D112">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36A66671">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74637451">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2525EE31">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41E69BBC">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6FEA10F4">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78BF6A20">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31A62F2C">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15B99AA2">
      <w:pPr>
        <w:pBdr>
          <w:top w:val="none" w:color="000000" w:sz="0" w:space="0"/>
          <w:left w:val="none" w:color="000000" w:sz="0" w:space="0"/>
          <w:bottom w:val="none" w:color="000000" w:sz="0" w:space="0"/>
          <w:right w:val="none" w:color="000000" w:sz="0" w:space="0"/>
        </w:pBdr>
        <w:rPr>
          <w:rFonts w:ascii="宋体" w:hAnsi="宋体" w:cs="宋体"/>
          <w:sz w:val="24"/>
          <w:highlight w:val="none"/>
        </w:rPr>
      </w:pPr>
    </w:p>
    <w:p w14:paraId="46A34CF7">
      <w:pPr>
        <w:pBdr>
          <w:top w:val="none" w:color="000000" w:sz="0" w:space="0"/>
          <w:left w:val="none" w:color="000000" w:sz="0" w:space="0"/>
          <w:bottom w:val="none" w:color="000000" w:sz="0" w:space="0"/>
          <w:right w:val="none" w:color="000000" w:sz="0" w:space="0"/>
        </w:pBdr>
        <w:rPr>
          <w:rFonts w:ascii="宋体" w:hAnsi="宋体" w:cs="宋体"/>
          <w:b/>
          <w:sz w:val="28"/>
          <w:highlight w:val="none"/>
        </w:rPr>
      </w:pPr>
    </w:p>
    <w:p w14:paraId="5C18A7DE">
      <w:pPr>
        <w:pBdr>
          <w:top w:val="none" w:color="000000" w:sz="0" w:space="0"/>
          <w:left w:val="none" w:color="000000" w:sz="0" w:space="0"/>
          <w:bottom w:val="none" w:color="000000" w:sz="0" w:space="0"/>
          <w:right w:val="none" w:color="000000" w:sz="0" w:space="0"/>
        </w:pBdr>
        <w:rPr>
          <w:rFonts w:ascii="宋体" w:hAnsi="宋体" w:cs="宋体"/>
          <w:b/>
          <w:sz w:val="28"/>
          <w:highlight w:val="none"/>
        </w:rPr>
      </w:pPr>
    </w:p>
    <w:p w14:paraId="398BEFC3">
      <w:pPr>
        <w:pBdr>
          <w:top w:val="none" w:color="000000" w:sz="0" w:space="0"/>
          <w:left w:val="none" w:color="000000" w:sz="0" w:space="0"/>
          <w:bottom w:val="none" w:color="000000" w:sz="0" w:space="0"/>
          <w:right w:val="none" w:color="000000" w:sz="0" w:space="0"/>
        </w:pBdr>
        <w:rPr>
          <w:rFonts w:ascii="宋体" w:hAnsi="宋体" w:cs="宋体"/>
          <w:b/>
          <w:sz w:val="28"/>
          <w:highlight w:val="none"/>
        </w:rPr>
      </w:pPr>
    </w:p>
    <w:p w14:paraId="179B88EE">
      <w:pPr>
        <w:pBdr>
          <w:top w:val="none" w:color="000000" w:sz="0" w:space="0"/>
          <w:left w:val="none" w:color="000000" w:sz="0" w:space="0"/>
          <w:bottom w:val="none" w:color="000000" w:sz="0" w:space="0"/>
          <w:right w:val="none" w:color="000000" w:sz="0" w:space="0"/>
        </w:pBdr>
        <w:rPr>
          <w:rFonts w:ascii="宋体" w:hAnsi="宋体" w:cs="宋体"/>
          <w:b/>
          <w:sz w:val="28"/>
          <w:highlight w:val="none"/>
        </w:rPr>
      </w:pPr>
    </w:p>
    <w:p w14:paraId="0FAE30B3">
      <w:pPr>
        <w:pBdr>
          <w:top w:val="none" w:color="000000" w:sz="0" w:space="0"/>
          <w:left w:val="none" w:color="000000" w:sz="0" w:space="0"/>
          <w:bottom w:val="none" w:color="000000" w:sz="0" w:space="0"/>
          <w:right w:val="none" w:color="000000" w:sz="0" w:space="0"/>
        </w:pBdr>
        <w:rPr>
          <w:rFonts w:ascii="宋体" w:hAnsi="宋体" w:cs="宋体"/>
          <w:b/>
          <w:bCs/>
          <w:sz w:val="28"/>
          <w:szCs w:val="28"/>
          <w:highlight w:val="none"/>
        </w:rPr>
      </w:pPr>
      <w:r>
        <w:rPr>
          <w:rFonts w:ascii="宋体" w:hAnsi="宋体" w:cs="宋体"/>
          <w:b/>
          <w:sz w:val="28"/>
          <w:highlight w:val="none"/>
        </w:rPr>
        <w:t>2、投标承诺函</w:t>
      </w:r>
    </w:p>
    <w:p w14:paraId="668FD680">
      <w:pPr>
        <w:pBdr>
          <w:top w:val="none" w:color="000000" w:sz="0" w:space="0"/>
          <w:left w:val="none" w:color="000000" w:sz="0" w:space="0"/>
          <w:bottom w:val="none" w:color="000000" w:sz="0" w:space="0"/>
          <w:right w:val="none" w:color="000000" w:sz="0" w:space="0"/>
        </w:pBdr>
        <w:spacing w:line="360" w:lineRule="atLeast"/>
        <w:jc w:val="center"/>
        <w:rPr>
          <w:highlight w:val="none"/>
        </w:rPr>
      </w:pPr>
      <w:r>
        <w:rPr>
          <w:rFonts w:ascii="宋体" w:hAnsi="宋体" w:cs="宋体"/>
          <w:b/>
          <w:sz w:val="32"/>
          <w:highlight w:val="none"/>
        </w:rPr>
        <w:t>投标承诺函</w:t>
      </w:r>
    </w:p>
    <w:p w14:paraId="184CE631">
      <w:pPr>
        <w:pBdr>
          <w:top w:val="none" w:color="000000" w:sz="0" w:space="0"/>
          <w:left w:val="none" w:color="000000" w:sz="0" w:space="0"/>
          <w:bottom w:val="none" w:color="000000" w:sz="0" w:space="0"/>
          <w:right w:val="none" w:color="000000" w:sz="0" w:space="0"/>
        </w:pBdr>
        <w:spacing w:line="360" w:lineRule="atLeast"/>
        <w:ind w:firstLine="240"/>
        <w:rPr>
          <w:highlight w:val="none"/>
        </w:rPr>
      </w:pPr>
      <w:r>
        <w:rPr>
          <w:rFonts w:ascii="宋体" w:hAnsi="宋体" w:cs="宋体"/>
          <w:sz w:val="24"/>
          <w:highlight w:val="none"/>
          <w:u w:val="single"/>
        </w:rPr>
        <w:t xml:space="preserve">苏州市公共资源交易中心太仓分中心 </w:t>
      </w:r>
      <w:r>
        <w:rPr>
          <w:rFonts w:ascii="宋体" w:hAnsi="宋体" w:cs="宋体"/>
          <w:sz w:val="24"/>
          <w:highlight w:val="none"/>
        </w:rPr>
        <w:t>：</w:t>
      </w:r>
    </w:p>
    <w:p w14:paraId="767BDB56">
      <w:pPr>
        <w:pBdr>
          <w:top w:val="none" w:color="000000" w:sz="0" w:space="0"/>
          <w:left w:val="none" w:color="000000" w:sz="0" w:space="0"/>
          <w:bottom w:val="none" w:color="000000" w:sz="0" w:space="0"/>
          <w:right w:val="none" w:color="000000" w:sz="0" w:space="0"/>
        </w:pBdr>
        <w:spacing w:line="360" w:lineRule="atLeast"/>
        <w:rPr>
          <w:highlight w:val="none"/>
        </w:rPr>
      </w:pPr>
      <w:r>
        <w:rPr>
          <w:rFonts w:ascii="宋体" w:hAnsi="宋体" w:cs="宋体"/>
          <w:sz w:val="24"/>
          <w:highlight w:val="none"/>
        </w:rPr>
        <w:t> </w:t>
      </w:r>
    </w:p>
    <w:p w14:paraId="6A32D5A8">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我们收到贵单位</w:t>
      </w:r>
      <w:r>
        <w:rPr>
          <w:rFonts w:hint="eastAsia" w:ascii="宋体" w:hAnsi="宋体" w:cs="宋体"/>
          <w:b/>
          <w:sz w:val="24"/>
          <w:highlight w:val="none"/>
          <w:u w:val="single"/>
        </w:rPr>
        <w:t xml:space="preserve">太仓市娄江新城医院数智化建设项目(二期)算力硬件采购 </w:t>
      </w:r>
      <w:r>
        <w:rPr>
          <w:rFonts w:ascii="宋体" w:hAnsi="宋体" w:cs="宋体"/>
          <w:sz w:val="24"/>
          <w:highlight w:val="none"/>
        </w:rPr>
        <w:t>招标文件（项目编号：</w:t>
      </w:r>
      <w:r>
        <w:rPr>
          <w:rFonts w:hint="eastAsia" w:ascii="宋体" w:hAnsi="宋体" w:cs="宋体"/>
          <w:b/>
          <w:sz w:val="24"/>
          <w:highlight w:val="none"/>
          <w:u w:val="single"/>
        </w:rPr>
        <w:t>JSZC-320585-JZCG-G2026-0071</w:t>
      </w:r>
      <w:r>
        <w:rPr>
          <w:rFonts w:ascii="宋体" w:hAnsi="宋体" w:cs="宋体"/>
          <w:sz w:val="24"/>
          <w:highlight w:val="none"/>
        </w:rPr>
        <w:t> ），经仔细阅读和研究，我们决定参加投标。</w:t>
      </w:r>
    </w:p>
    <w:p w14:paraId="194A7260">
      <w:pPr>
        <w:pBdr>
          <w:top w:val="none" w:color="000000" w:sz="0" w:space="0"/>
          <w:left w:val="none" w:color="000000" w:sz="0" w:space="0"/>
          <w:bottom w:val="none" w:color="000000" w:sz="0" w:space="0"/>
          <w:right w:val="none" w:color="000000" w:sz="0" w:space="0"/>
        </w:pBdr>
        <w:spacing w:line="439" w:lineRule="atLeast"/>
        <w:ind w:firstLine="480"/>
        <w:rPr>
          <w:highlight w:val="none"/>
        </w:rPr>
      </w:pPr>
      <w:r>
        <w:rPr>
          <w:rFonts w:ascii="宋体" w:hAnsi="宋体" w:cs="宋体"/>
          <w:sz w:val="24"/>
          <w:highlight w:val="none"/>
        </w:rPr>
        <w:t>1、我们愿意按照招标文件的一切要求，提供包括完成该项目全部内容的设备、材料及人工、机械、保险、劳保、各种税费以及质保期间的一切费用。</w:t>
      </w:r>
    </w:p>
    <w:p w14:paraId="4C8CA5B6">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2、如果我们的投标书被接受，我们将严格履行招标文件中规定的每一项要求，按期、按质、按量履行合同的义务。</w:t>
      </w:r>
    </w:p>
    <w:p w14:paraId="1560303A">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3、我们同意按招标文件中的规定，本投标书的有效期限为开标后</w:t>
      </w:r>
      <w:r>
        <w:rPr>
          <w:rFonts w:ascii="宋体" w:hAnsi="宋体" w:cs="宋体"/>
          <w:b/>
          <w:sz w:val="24"/>
          <w:highlight w:val="none"/>
          <w:u w:val="single"/>
        </w:rPr>
        <w:t>90</w:t>
      </w:r>
      <w:r>
        <w:rPr>
          <w:rFonts w:ascii="宋体" w:hAnsi="宋体" w:cs="宋体"/>
          <w:sz w:val="24"/>
          <w:highlight w:val="none"/>
        </w:rPr>
        <w:t>天。</w:t>
      </w:r>
    </w:p>
    <w:p w14:paraId="3933F83A">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4、我们愿意提供招标方在招标文件中要求的所有资料。</w:t>
      </w:r>
    </w:p>
    <w:p w14:paraId="1844F8AD">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5、我们认为你们有权决定中标者，还认为你们有权接受或拒绝所有的投标者。</w:t>
      </w:r>
    </w:p>
    <w:p w14:paraId="5221E870">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6、我们完全理解贵方不一定要接受最低报价的投标或收到的任何投标。</w:t>
      </w:r>
    </w:p>
    <w:p w14:paraId="6124643C">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  7、我们承诺该项投标在开标后的全过程中保持有效，不作任何更改和变动。</w:t>
      </w:r>
    </w:p>
    <w:p w14:paraId="5637076C">
      <w:pPr>
        <w:pBdr>
          <w:top w:val="none" w:color="000000" w:sz="0" w:space="0"/>
          <w:left w:val="none" w:color="000000" w:sz="0" w:space="0"/>
          <w:bottom w:val="none" w:color="000000" w:sz="0" w:space="0"/>
          <w:right w:val="none" w:color="000000" w:sz="0" w:space="0"/>
        </w:pBdr>
        <w:spacing w:line="439" w:lineRule="atLeast"/>
        <w:ind w:firstLine="480"/>
        <w:rPr>
          <w:highlight w:val="none"/>
        </w:rPr>
      </w:pPr>
      <w:r>
        <w:rPr>
          <w:rFonts w:ascii="宋体" w:hAnsi="宋体" w:cs="宋体"/>
          <w:sz w:val="24"/>
          <w:highlight w:val="none"/>
        </w:rPr>
        <w:t>8、</w:t>
      </w:r>
      <w:r>
        <w:rPr>
          <w:rFonts w:ascii="宋体" w:hAnsi="宋体" w:cs="宋体"/>
          <w:b/>
          <w:sz w:val="24"/>
          <w:highlight w:val="none"/>
        </w:rPr>
        <w:t>如果中标，我们同意并知晓中标通知书发出方式及发出时间，遵守招标文件和中标通知书规定，在指定时间和地点和采购人签订合同。</w:t>
      </w:r>
    </w:p>
    <w:p w14:paraId="0C83AEF2">
      <w:pPr>
        <w:pBdr>
          <w:top w:val="none" w:color="000000" w:sz="0" w:space="0"/>
          <w:left w:val="none" w:color="000000" w:sz="0" w:space="0"/>
          <w:bottom w:val="none" w:color="000000" w:sz="0" w:space="0"/>
          <w:right w:val="none" w:color="000000" w:sz="0" w:space="0"/>
        </w:pBdr>
        <w:spacing w:line="439" w:lineRule="atLeast"/>
        <w:ind w:firstLine="480"/>
        <w:rPr>
          <w:highlight w:val="none"/>
        </w:rPr>
      </w:pPr>
      <w:r>
        <w:rPr>
          <w:rFonts w:ascii="宋体" w:hAnsi="宋体" w:cs="宋体"/>
          <w:sz w:val="24"/>
          <w:highlight w:val="none"/>
        </w:rPr>
        <w:t>9、综合说明：</w:t>
      </w:r>
    </w:p>
    <w:p w14:paraId="41EF1D5F">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sz w:val="24"/>
          <w:highlight w:val="none"/>
        </w:rPr>
        <w:t>（1）伴随服务及配合措施；</w:t>
      </w:r>
    </w:p>
    <w:p w14:paraId="568C8E0C">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sz w:val="24"/>
          <w:highlight w:val="none"/>
        </w:rPr>
        <w:t>（2）要求甲方提供的配合；</w:t>
      </w:r>
    </w:p>
    <w:p w14:paraId="304263B5">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sz w:val="24"/>
          <w:highlight w:val="none"/>
        </w:rPr>
        <w:t>（3）对招标文件有不同意见的偏离说明；</w:t>
      </w:r>
    </w:p>
    <w:p w14:paraId="3651D5F2">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sz w:val="24"/>
          <w:highlight w:val="none"/>
        </w:rPr>
        <w:t>（4）其它说明。</w:t>
      </w:r>
    </w:p>
    <w:p w14:paraId="456D3567">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sz w:val="24"/>
          <w:highlight w:val="none"/>
        </w:rPr>
        <w:t>所有有关标书的函电，请按下列地址联系：</w:t>
      </w:r>
    </w:p>
    <w:p w14:paraId="6EEEBF38">
      <w:pPr>
        <w:pBdr>
          <w:top w:val="none" w:color="000000" w:sz="0" w:space="0"/>
          <w:left w:val="none" w:color="000000" w:sz="0" w:space="0"/>
          <w:bottom w:val="none" w:color="000000" w:sz="0" w:space="0"/>
          <w:right w:val="none" w:color="000000" w:sz="0" w:space="0"/>
        </w:pBdr>
        <w:spacing w:line="439" w:lineRule="atLeast"/>
        <w:ind w:firstLine="480"/>
        <w:rPr>
          <w:highlight w:val="none"/>
        </w:rPr>
      </w:pPr>
      <w:r>
        <w:rPr>
          <w:rFonts w:ascii="宋体" w:hAnsi="宋体" w:cs="宋体"/>
          <w:sz w:val="24"/>
          <w:highlight w:val="none"/>
        </w:rPr>
        <w:t>单位：联系人：</w:t>
      </w:r>
      <w:r>
        <w:rPr>
          <w:rFonts w:hint="eastAsia" w:ascii="宋体" w:hAnsi="宋体" w:cs="宋体"/>
          <w:sz w:val="24"/>
          <w:highlight w:val="none"/>
        </w:rPr>
        <w:t xml:space="preserve"> </w:t>
      </w:r>
      <w:r>
        <w:rPr>
          <w:rFonts w:ascii="宋体" w:hAnsi="宋体" w:cs="宋体"/>
          <w:sz w:val="24"/>
          <w:highlight w:val="none"/>
        </w:rPr>
        <w:t xml:space="preserve">                    地址：邮政编码：</w:t>
      </w:r>
    </w:p>
    <w:p w14:paraId="43CC40B9">
      <w:pPr>
        <w:pBdr>
          <w:top w:val="none" w:color="000000" w:sz="0" w:space="0"/>
          <w:left w:val="none" w:color="000000" w:sz="0" w:space="0"/>
          <w:bottom w:val="none" w:color="000000" w:sz="0" w:space="0"/>
          <w:right w:val="none" w:color="000000" w:sz="0" w:space="0"/>
        </w:pBdr>
        <w:spacing w:line="439" w:lineRule="atLeast"/>
        <w:ind w:firstLine="480"/>
        <w:rPr>
          <w:highlight w:val="none"/>
        </w:rPr>
      </w:pPr>
      <w:r>
        <w:rPr>
          <w:rFonts w:ascii="宋体" w:hAnsi="宋体" w:cs="宋体"/>
          <w:sz w:val="24"/>
          <w:highlight w:val="none"/>
        </w:rPr>
        <w:t>联系电话：传真：</w:t>
      </w:r>
    </w:p>
    <w:p w14:paraId="3E263F2A">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46D7CEA3">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投标单位：（单位盖章）</w:t>
      </w:r>
    </w:p>
    <w:p w14:paraId="7ACB700F">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法定代表人或授权代理人（签字或盖章）</w:t>
      </w:r>
    </w:p>
    <w:p w14:paraId="2D4D9E6C">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0CB61676">
      <w:pPr>
        <w:pBdr>
          <w:top w:val="none" w:color="000000" w:sz="0" w:space="0"/>
          <w:left w:val="none" w:color="000000" w:sz="0" w:space="0"/>
          <w:bottom w:val="none" w:color="000000" w:sz="0" w:space="0"/>
          <w:right w:val="none" w:color="000000" w:sz="0" w:space="0"/>
        </w:pBdr>
        <w:spacing w:line="312" w:lineRule="atLeast"/>
        <w:rPr>
          <w:highlight w:val="none"/>
        </w:rPr>
      </w:pPr>
      <w:r>
        <w:rPr>
          <w:highlight w:val="none"/>
        </w:rPr>
        <w:br w:type="page" w:clear="all"/>
      </w:r>
    </w:p>
    <w:p w14:paraId="42D7D9AC">
      <w:pPr>
        <w:pBdr>
          <w:top w:val="none" w:color="000000" w:sz="0" w:space="0"/>
          <w:left w:val="none" w:color="000000" w:sz="0" w:space="0"/>
          <w:bottom w:val="none" w:color="000000" w:sz="0" w:space="0"/>
          <w:right w:val="none" w:color="000000" w:sz="0" w:space="0"/>
        </w:pBdr>
        <w:spacing w:line="312" w:lineRule="atLeast"/>
        <w:rPr>
          <w:highlight w:val="none"/>
        </w:rPr>
      </w:pPr>
      <w:r>
        <w:rPr>
          <w:rFonts w:ascii="宋体" w:hAnsi="宋体" w:cs="宋体"/>
          <w:b/>
          <w:sz w:val="32"/>
          <w:highlight w:val="none"/>
        </w:rPr>
        <w:t>3、参加政府采购活动前三年内，在经营活动中没有重大违法记录声明</w:t>
      </w:r>
    </w:p>
    <w:p w14:paraId="29C918D8">
      <w:pPr>
        <w:pBdr>
          <w:top w:val="none" w:color="000000" w:sz="0" w:space="0"/>
          <w:left w:val="none" w:color="000000" w:sz="0" w:space="0"/>
          <w:bottom w:val="none" w:color="000000" w:sz="0" w:space="0"/>
          <w:right w:val="none" w:color="000000" w:sz="0" w:space="0"/>
        </w:pBdr>
        <w:spacing w:line="85" w:lineRule="atLeast"/>
        <w:ind w:left="-210" w:right="-210"/>
        <w:rPr>
          <w:highlight w:val="none"/>
        </w:rPr>
      </w:pPr>
      <w:r>
        <w:rPr>
          <w:rFonts w:ascii="宋体" w:hAnsi="宋体" w:cs="宋体"/>
          <w:b/>
          <w:sz w:val="24"/>
          <w:highlight w:val="none"/>
        </w:rPr>
        <w:t> </w:t>
      </w:r>
    </w:p>
    <w:p w14:paraId="722DABE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24"/>
          <w:highlight w:val="none"/>
        </w:rPr>
      </w:pPr>
    </w:p>
    <w:p w14:paraId="1912142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24"/>
          <w:highlight w:val="none"/>
        </w:rPr>
      </w:pPr>
    </w:p>
    <w:p w14:paraId="57ED143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24"/>
          <w:highlight w:val="none"/>
        </w:rPr>
        <w:t>参加政府采购活动前三年内，在经营活动中没有重大违法记录声明</w:t>
      </w:r>
    </w:p>
    <w:p w14:paraId="0D29CB59">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p w14:paraId="5DA39498">
      <w:pPr>
        <w:pBdr>
          <w:top w:val="none" w:color="000000" w:sz="0" w:space="0"/>
          <w:left w:val="none" w:color="000000" w:sz="0" w:space="0"/>
          <w:bottom w:val="none" w:color="000000" w:sz="0" w:space="0"/>
          <w:right w:val="none" w:color="000000" w:sz="0" w:space="0"/>
        </w:pBdr>
        <w:spacing w:line="500" w:lineRule="exact"/>
        <w:rPr>
          <w:highlight w:val="none"/>
        </w:rPr>
      </w:pPr>
      <w:r>
        <w:rPr>
          <w:rFonts w:ascii="宋体" w:hAnsi="宋体" w:cs="宋体"/>
          <w:sz w:val="24"/>
          <w:highlight w:val="none"/>
        </w:rPr>
        <w:t>致：苏州市公共资源交易中心太仓分中心：</w:t>
      </w:r>
    </w:p>
    <w:p w14:paraId="34EBDFBE">
      <w:pPr>
        <w:pBdr>
          <w:top w:val="none" w:color="000000" w:sz="0" w:space="0"/>
          <w:left w:val="none" w:color="000000" w:sz="0" w:space="0"/>
          <w:bottom w:val="none" w:color="000000" w:sz="0" w:space="0"/>
          <w:right w:val="none" w:color="000000" w:sz="0" w:space="0"/>
        </w:pBdr>
        <w:spacing w:line="500" w:lineRule="exact"/>
        <w:ind w:firstLine="420"/>
        <w:rPr>
          <w:highlight w:val="none"/>
        </w:rPr>
      </w:pPr>
      <w:r>
        <w:rPr>
          <w:rFonts w:ascii="宋体" w:hAnsi="宋体" w:cs="宋体"/>
          <w:sz w:val="24"/>
          <w:highlight w:val="none"/>
        </w:rPr>
        <w:t>我单位</w:t>
      </w:r>
      <w:r>
        <w:rPr>
          <w:rFonts w:ascii="宋体" w:hAnsi="宋体" w:cs="宋体"/>
          <w:sz w:val="24"/>
          <w:highlight w:val="none"/>
          <w:u w:val="single"/>
        </w:rPr>
        <w:t>         （供应商名称）</w:t>
      </w:r>
      <w:r>
        <w:rPr>
          <w:rFonts w:ascii="宋体" w:hAnsi="宋体" w:cs="宋体"/>
          <w:sz w:val="24"/>
          <w:highlight w:val="none"/>
        </w:rPr>
        <w:t> 在参加政府采购活动前三年内，没有重大违法记录，特此声明。</w:t>
      </w:r>
    </w:p>
    <w:p w14:paraId="672AECBA">
      <w:pPr>
        <w:pBdr>
          <w:top w:val="none" w:color="000000" w:sz="0" w:space="0"/>
          <w:left w:val="none" w:color="000000" w:sz="0" w:space="0"/>
          <w:bottom w:val="none" w:color="000000" w:sz="0" w:space="0"/>
          <w:right w:val="none" w:color="000000" w:sz="0" w:space="0"/>
        </w:pBdr>
        <w:spacing w:line="500" w:lineRule="exact"/>
        <w:ind w:firstLine="420"/>
        <w:rPr>
          <w:highlight w:val="none"/>
        </w:rPr>
      </w:pPr>
      <w:r>
        <w:rPr>
          <w:rFonts w:ascii="宋体" w:hAnsi="宋体" w:cs="宋体"/>
          <w:sz w:val="24"/>
          <w:highlight w:val="none"/>
        </w:rPr>
        <w:t>若采购代理机构在本项目采购过程中发现我单位近三年内在经营活动中有重大违法记录，我单位将无条件退出本项目的招标，并承担因此引起的一起后果。</w:t>
      </w:r>
    </w:p>
    <w:p w14:paraId="42D8F03B">
      <w:pPr>
        <w:pBdr>
          <w:top w:val="none" w:color="000000" w:sz="0" w:space="0"/>
          <w:left w:val="none" w:color="000000" w:sz="0" w:space="0"/>
          <w:bottom w:val="none" w:color="000000" w:sz="0" w:space="0"/>
          <w:right w:val="none" w:color="000000" w:sz="0" w:space="0"/>
        </w:pBdr>
        <w:spacing w:line="500" w:lineRule="exact"/>
        <w:ind w:firstLine="420"/>
        <w:rPr>
          <w:highlight w:val="none"/>
        </w:rPr>
      </w:pPr>
      <w:r>
        <w:rPr>
          <w:rFonts w:ascii="宋体" w:hAnsi="宋体" w:cs="宋体"/>
          <w:sz w:val="24"/>
          <w:highlight w:val="none"/>
        </w:rPr>
        <w:t> </w:t>
      </w:r>
    </w:p>
    <w:p w14:paraId="19AC98BE">
      <w:pPr>
        <w:pBdr>
          <w:top w:val="none" w:color="000000" w:sz="0" w:space="0"/>
          <w:left w:val="none" w:color="000000" w:sz="0" w:space="0"/>
          <w:bottom w:val="none" w:color="000000" w:sz="0" w:space="0"/>
          <w:right w:val="none" w:color="000000" w:sz="0" w:space="0"/>
        </w:pBdr>
        <w:spacing w:line="500" w:lineRule="exact"/>
        <w:rPr>
          <w:highlight w:val="none"/>
        </w:rPr>
      </w:pPr>
      <w:r>
        <w:rPr>
          <w:rFonts w:ascii="宋体" w:hAnsi="宋体" w:cs="宋体"/>
          <w:sz w:val="24"/>
          <w:highlight w:val="none"/>
        </w:rPr>
        <w:t>投标单位（单位盖章）：</w:t>
      </w:r>
    </w:p>
    <w:p w14:paraId="3B091FF4">
      <w:pPr>
        <w:pBdr>
          <w:top w:val="none" w:color="000000" w:sz="0" w:space="0"/>
          <w:left w:val="none" w:color="000000" w:sz="0" w:space="0"/>
          <w:bottom w:val="none" w:color="000000" w:sz="0" w:space="0"/>
          <w:right w:val="none" w:color="000000" w:sz="0" w:space="0"/>
        </w:pBdr>
        <w:spacing w:line="500" w:lineRule="exact"/>
        <w:rPr>
          <w:highlight w:val="none"/>
        </w:rPr>
      </w:pPr>
      <w:r>
        <w:rPr>
          <w:rFonts w:ascii="宋体" w:hAnsi="宋体" w:cs="宋体"/>
          <w:sz w:val="24"/>
          <w:highlight w:val="none"/>
        </w:rPr>
        <w:t>法定代表人（负责人）或代理人（签字或盖章）：</w:t>
      </w:r>
    </w:p>
    <w:p w14:paraId="1689490B">
      <w:pPr>
        <w:pBdr>
          <w:top w:val="none" w:color="000000" w:sz="0" w:space="0"/>
          <w:left w:val="none" w:color="000000" w:sz="0" w:space="0"/>
          <w:bottom w:val="none" w:color="000000" w:sz="0" w:space="0"/>
          <w:right w:val="none" w:color="000000" w:sz="0" w:space="0"/>
        </w:pBdr>
        <w:spacing w:line="500" w:lineRule="exact"/>
        <w:rPr>
          <w:highlight w:val="none"/>
        </w:rPr>
      </w:pPr>
      <w:r>
        <w:rPr>
          <w:rFonts w:ascii="宋体" w:hAnsi="宋体" w:cs="宋体"/>
          <w:sz w:val="24"/>
          <w:highlight w:val="none"/>
        </w:rPr>
        <w:t>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691A56F4">
      <w:pPr>
        <w:pBdr>
          <w:top w:val="none" w:color="000000" w:sz="0" w:space="0"/>
          <w:left w:val="none" w:color="000000" w:sz="0" w:space="0"/>
          <w:bottom w:val="none" w:color="000000" w:sz="0" w:space="0"/>
          <w:right w:val="none" w:color="000000" w:sz="0" w:space="0"/>
        </w:pBdr>
        <w:spacing w:line="500" w:lineRule="exact"/>
        <w:rPr>
          <w:highlight w:val="none"/>
        </w:rPr>
      </w:pPr>
      <w:r>
        <w:rPr>
          <w:highlight w:val="none"/>
        </w:rPr>
        <w:br w:type="page" w:clear="all"/>
      </w:r>
    </w:p>
    <w:p w14:paraId="72723E22">
      <w:pPr>
        <w:pBdr>
          <w:top w:val="none" w:color="000000" w:sz="0" w:space="0"/>
          <w:left w:val="none" w:color="000000" w:sz="0" w:space="0"/>
          <w:bottom w:val="none" w:color="000000" w:sz="0" w:space="0"/>
          <w:right w:val="none" w:color="000000" w:sz="0" w:space="0"/>
        </w:pBdr>
        <w:spacing w:line="400" w:lineRule="atLeast"/>
        <w:rPr>
          <w:highlight w:val="none"/>
        </w:rPr>
      </w:pPr>
      <w:r>
        <w:rPr>
          <w:rFonts w:ascii="宋体" w:hAnsi="宋体" w:cs="宋体"/>
          <w:b/>
          <w:sz w:val="28"/>
          <w:highlight w:val="none"/>
        </w:rPr>
        <w:t>4、投标单位情况表</w:t>
      </w:r>
    </w:p>
    <w:p w14:paraId="271B8390">
      <w:pPr>
        <w:pBdr>
          <w:top w:val="none" w:color="000000" w:sz="0" w:space="0"/>
          <w:left w:val="none" w:color="000000" w:sz="0" w:space="0"/>
          <w:bottom w:val="none" w:color="000000" w:sz="0" w:space="0"/>
          <w:right w:val="none" w:color="000000" w:sz="0" w:space="0"/>
        </w:pBdr>
        <w:ind w:left="1260" w:firstLine="2175"/>
        <w:rPr>
          <w:highlight w:val="none"/>
        </w:rPr>
      </w:pPr>
      <w:r>
        <w:rPr>
          <w:rFonts w:ascii="宋体" w:hAnsi="宋体" w:cs="宋体"/>
          <w:sz w:val="30"/>
          <w:highlight w:val="none"/>
        </w:rPr>
        <w:t>投标单位情况表</w:t>
      </w:r>
    </w:p>
    <w:p w14:paraId="1B4DA1A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单位名称（盖章）：</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673EE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B88BADF">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E27D230">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93BD10E">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E7D7783">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2DFB24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1FB15E6">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0094D1">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959579">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90EE19">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万元</w:t>
            </w:r>
          </w:p>
        </w:tc>
      </w:tr>
      <w:tr w14:paraId="7E2CF9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F08E5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490B80">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6415A0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DBCCB8">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B9ADD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36E7683">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EA65640">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25133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FB565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0D4EA2">
            <w:pPr>
              <w:pBdr>
                <w:top w:val="none" w:color="000000" w:sz="0" w:space="0"/>
                <w:left w:val="none" w:color="000000" w:sz="0" w:space="0"/>
                <w:bottom w:val="none" w:color="000000" w:sz="0" w:space="0"/>
                <w:right w:val="none" w:color="000000" w:sz="0" w:space="0"/>
              </w:pBdr>
              <w:ind w:firstLine="120"/>
              <w:rPr>
                <w:highlight w:val="none"/>
              </w:rPr>
            </w:pPr>
            <w:r>
              <w:rPr>
                <w:rFonts w:ascii="宋体" w:hAnsi="宋体" w:cs="宋体"/>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711B4">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67DC7A">
            <w:pPr>
              <w:pBdr>
                <w:top w:val="none" w:color="000000" w:sz="0" w:space="0"/>
                <w:left w:val="none" w:color="000000" w:sz="0" w:space="0"/>
                <w:bottom w:val="none" w:color="000000" w:sz="0" w:space="0"/>
                <w:right w:val="none" w:color="000000" w:sz="0" w:space="0"/>
              </w:pBdr>
              <w:ind w:left="1260"/>
              <w:jc w:val="center"/>
              <w:rPr>
                <w:highlight w:val="none"/>
              </w:rPr>
            </w:pPr>
            <w:r>
              <w:rPr>
                <w:rFonts w:ascii="宋体" w:hAnsi="宋体" w:cs="宋体"/>
                <w:sz w:val="24"/>
                <w:highlight w:val="none"/>
              </w:rPr>
              <w:t> 万元</w:t>
            </w:r>
          </w:p>
        </w:tc>
      </w:tr>
      <w:tr w14:paraId="616B18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409F49">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8899D7">
            <w:pPr>
              <w:pBdr>
                <w:top w:val="none" w:color="000000" w:sz="0" w:space="0"/>
                <w:left w:val="none" w:color="000000" w:sz="0" w:space="0"/>
                <w:bottom w:val="none" w:color="000000" w:sz="0" w:space="0"/>
                <w:right w:val="none" w:color="000000" w:sz="0" w:space="0"/>
              </w:pBdr>
              <w:ind w:firstLine="960"/>
              <w:rPr>
                <w:highlight w:val="none"/>
              </w:rPr>
            </w:pPr>
            <w:r>
              <w:rPr>
                <w:rFonts w:ascii="宋体" w:hAnsi="宋体" w:cs="宋体"/>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2D37F7">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803504">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202</w:t>
            </w:r>
            <w:r>
              <w:rPr>
                <w:rFonts w:hint="eastAsia" w:ascii="宋体" w:hAnsi="宋体" w:cs="宋体"/>
                <w:b/>
                <w:sz w:val="24"/>
                <w:highlight w:val="none"/>
              </w:rPr>
              <w:t>5</w:t>
            </w:r>
            <w:r>
              <w:rPr>
                <w:rFonts w:ascii="宋体" w:hAnsi="宋体" w:cs="宋体"/>
                <w:b/>
                <w:sz w:val="24"/>
                <w:highlight w:val="none"/>
              </w:rPr>
              <w:t>年 万元</w:t>
            </w:r>
          </w:p>
        </w:tc>
      </w:tr>
      <w:tr w14:paraId="1E0BA9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B6BD98">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39EDF8">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202</w:t>
            </w:r>
            <w:r>
              <w:rPr>
                <w:rFonts w:hint="eastAsia" w:ascii="宋体" w:hAnsi="宋体" w:cs="宋体"/>
                <w:b/>
                <w:sz w:val="24"/>
                <w:highlight w:val="none"/>
              </w:rPr>
              <w:t>5</w:t>
            </w:r>
            <w:r>
              <w:rPr>
                <w:rFonts w:ascii="宋体" w:hAnsi="宋体" w:cs="宋体"/>
                <w:b/>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825BAC">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805CDB">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1233DA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A4AADC">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347825">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8194958">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AC39751">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自有面积平方米</w:t>
            </w:r>
          </w:p>
          <w:p w14:paraId="5220A10E">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承租面积平方米</w:t>
            </w:r>
          </w:p>
        </w:tc>
      </w:tr>
      <w:tr w14:paraId="2DE49D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415EE5">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484A3A">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tc>
      </w:tr>
      <w:tr w14:paraId="105404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C0F636">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DC0E66">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4668F5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151C56">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9372A1">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16CCE5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0B8AEC">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497C75">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0E2713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E38556">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4BB08F">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2884B9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3D0FA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616740">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034B12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5FE0B4">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9F47AE">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r w14:paraId="3DC550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D41C15">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EA98715">
            <w:pPr>
              <w:pBdr>
                <w:top w:val="none" w:color="000000" w:sz="0" w:space="0"/>
                <w:left w:val="none" w:color="000000" w:sz="0" w:space="0"/>
                <w:bottom w:val="none" w:color="000000" w:sz="0" w:space="0"/>
                <w:right w:val="none" w:color="000000" w:sz="0" w:space="0"/>
              </w:pBdr>
              <w:ind w:left="1260"/>
              <w:rPr>
                <w:highlight w:val="none"/>
              </w:rPr>
            </w:pPr>
            <w:r>
              <w:rPr>
                <w:rFonts w:ascii="宋体" w:hAnsi="宋体" w:cs="宋体"/>
                <w:sz w:val="24"/>
                <w:highlight w:val="none"/>
              </w:rPr>
              <w:t> </w:t>
            </w:r>
          </w:p>
        </w:tc>
      </w:tr>
    </w:tbl>
    <w:p w14:paraId="4E321DDB">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121F516B">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5、法定代表人授权委托书 （如有）</w:t>
      </w:r>
    </w:p>
    <w:p w14:paraId="25961421">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3C291AFF">
      <w:pPr>
        <w:pBdr>
          <w:top w:val="none" w:color="000000" w:sz="0" w:space="0"/>
          <w:left w:val="none" w:color="000000" w:sz="0" w:space="0"/>
          <w:bottom w:val="none" w:color="000000" w:sz="0" w:space="0"/>
          <w:right w:val="none" w:color="000000" w:sz="0" w:space="0"/>
        </w:pBdr>
        <w:ind w:firstLine="420"/>
        <w:jc w:val="center"/>
        <w:rPr>
          <w:highlight w:val="none"/>
        </w:rPr>
      </w:pPr>
      <w:r>
        <w:rPr>
          <w:rFonts w:ascii="宋体" w:hAnsi="宋体" w:cs="宋体"/>
          <w:sz w:val="24"/>
          <w:highlight w:val="none"/>
        </w:rPr>
        <w:t> </w:t>
      </w:r>
    </w:p>
    <w:p w14:paraId="43F1B3E9">
      <w:pPr>
        <w:pBdr>
          <w:top w:val="none" w:color="000000" w:sz="0" w:space="0"/>
          <w:left w:val="none" w:color="000000" w:sz="0" w:space="0"/>
          <w:bottom w:val="none" w:color="000000" w:sz="0" w:space="0"/>
          <w:right w:val="none" w:color="000000" w:sz="0" w:space="0"/>
        </w:pBdr>
        <w:ind w:firstLine="420"/>
        <w:jc w:val="center"/>
        <w:rPr>
          <w:highlight w:val="none"/>
        </w:rPr>
      </w:pPr>
      <w:r>
        <w:rPr>
          <w:rFonts w:ascii="宋体" w:hAnsi="宋体" w:cs="宋体"/>
          <w:sz w:val="32"/>
          <w:highlight w:val="none"/>
        </w:rPr>
        <w:t>授权委托书</w:t>
      </w:r>
    </w:p>
    <w:p w14:paraId="77758373">
      <w:pPr>
        <w:pBdr>
          <w:top w:val="none" w:color="000000" w:sz="0" w:space="0"/>
          <w:left w:val="none" w:color="000000" w:sz="0" w:space="0"/>
          <w:bottom w:val="none" w:color="000000" w:sz="0" w:space="0"/>
          <w:right w:val="none" w:color="000000" w:sz="0" w:space="0"/>
        </w:pBdr>
        <w:ind w:firstLine="420"/>
        <w:rPr>
          <w:highlight w:val="none"/>
        </w:rPr>
      </w:pPr>
      <w:r>
        <w:rPr>
          <w:rFonts w:ascii="宋体" w:hAnsi="宋体" w:cs="宋体"/>
          <w:sz w:val="24"/>
          <w:highlight w:val="none"/>
        </w:rPr>
        <w:t> </w:t>
      </w:r>
    </w:p>
    <w:p w14:paraId="2272CB61">
      <w:pPr>
        <w:pBdr>
          <w:top w:val="none" w:color="000000" w:sz="0" w:space="0"/>
          <w:left w:val="none" w:color="000000" w:sz="0" w:space="0"/>
          <w:bottom w:val="none" w:color="000000" w:sz="0" w:space="0"/>
          <w:right w:val="none" w:color="000000" w:sz="0" w:space="0"/>
        </w:pBdr>
        <w:spacing w:line="480" w:lineRule="exact"/>
        <w:ind w:firstLine="420"/>
        <w:rPr>
          <w:highlight w:val="none"/>
        </w:rPr>
      </w:pPr>
      <w:r>
        <w:rPr>
          <w:rFonts w:ascii="宋体" w:hAnsi="宋体" w:cs="宋体"/>
          <w:sz w:val="24"/>
          <w:highlight w:val="none"/>
        </w:rPr>
        <w:t> </w:t>
      </w:r>
    </w:p>
    <w:p w14:paraId="2F2E03EA">
      <w:pPr>
        <w:pBdr>
          <w:top w:val="none" w:color="000000" w:sz="0" w:space="0"/>
          <w:left w:val="none" w:color="000000" w:sz="0" w:space="0"/>
          <w:bottom w:val="none" w:color="000000" w:sz="0" w:space="0"/>
          <w:right w:val="none" w:color="000000" w:sz="0" w:space="0"/>
        </w:pBdr>
        <w:spacing w:line="480" w:lineRule="exact"/>
        <w:ind w:firstLine="420"/>
        <w:rPr>
          <w:highlight w:val="none"/>
        </w:rPr>
      </w:pPr>
      <w:r>
        <w:rPr>
          <w:rFonts w:ascii="宋体" w:hAnsi="宋体" w:cs="宋体"/>
          <w:sz w:val="24"/>
          <w:highlight w:val="none"/>
        </w:rPr>
        <w:t>本授权委托书声明：我</w:t>
      </w:r>
      <w:r>
        <w:rPr>
          <w:rFonts w:ascii="宋体" w:hAnsi="宋体" w:cs="宋体"/>
          <w:sz w:val="24"/>
          <w:highlight w:val="none"/>
          <w:u w:val="single"/>
        </w:rPr>
        <w:t>（姓名）</w:t>
      </w:r>
      <w:r>
        <w:rPr>
          <w:rFonts w:ascii="宋体" w:hAnsi="宋体" w:cs="宋体"/>
          <w:sz w:val="24"/>
          <w:highlight w:val="none"/>
        </w:rPr>
        <w:t>系</w:t>
      </w:r>
      <w:r>
        <w:rPr>
          <w:rFonts w:ascii="宋体" w:hAnsi="宋体" w:cs="宋体"/>
          <w:sz w:val="24"/>
          <w:highlight w:val="none"/>
          <w:u w:val="single"/>
        </w:rPr>
        <w:t>（投标单位名称）</w:t>
      </w:r>
      <w:r>
        <w:rPr>
          <w:rFonts w:ascii="宋体" w:hAnsi="宋体" w:cs="宋体"/>
          <w:sz w:val="24"/>
          <w:highlight w:val="none"/>
        </w:rPr>
        <w:t>的法定代表人，现授权委托</w:t>
      </w:r>
      <w:r>
        <w:rPr>
          <w:rFonts w:ascii="宋体" w:hAnsi="宋体" w:cs="宋体"/>
          <w:sz w:val="24"/>
          <w:highlight w:val="none"/>
          <w:u w:val="single"/>
        </w:rPr>
        <w:t>（单位名称）</w:t>
      </w:r>
      <w:r>
        <w:rPr>
          <w:rFonts w:ascii="宋体" w:hAnsi="宋体" w:cs="宋体"/>
          <w:sz w:val="24"/>
          <w:highlight w:val="none"/>
        </w:rPr>
        <w:t>的</w:t>
      </w:r>
      <w:r>
        <w:rPr>
          <w:rFonts w:ascii="宋体" w:hAnsi="宋体" w:cs="宋体"/>
          <w:sz w:val="24"/>
          <w:highlight w:val="none"/>
          <w:u w:val="single"/>
        </w:rPr>
        <w:t>（姓名）</w:t>
      </w:r>
      <w:r>
        <w:rPr>
          <w:rFonts w:ascii="宋体" w:hAnsi="宋体" w:cs="宋体"/>
          <w:sz w:val="24"/>
          <w:highlight w:val="none"/>
        </w:rPr>
        <w:t>为我公司代理人，以本公司的名义参加</w:t>
      </w:r>
      <w:r>
        <w:rPr>
          <w:rFonts w:ascii="宋体" w:hAnsi="宋体" w:cs="宋体"/>
          <w:b/>
          <w:sz w:val="24"/>
          <w:highlight w:val="none"/>
          <w:u w:val="single"/>
        </w:rPr>
        <w:t>苏州市公共资源交易中心太仓分中心</w:t>
      </w:r>
      <w:r>
        <w:rPr>
          <w:rFonts w:ascii="宋体" w:hAnsi="宋体" w:cs="宋体"/>
          <w:sz w:val="24"/>
          <w:highlight w:val="none"/>
        </w:rPr>
        <w:t>组织实施的编号为</w:t>
      </w:r>
      <w:r>
        <w:rPr>
          <w:rFonts w:hint="eastAsia" w:ascii="宋体" w:hAnsi="宋体" w:cs="宋体"/>
          <w:b/>
          <w:sz w:val="24"/>
          <w:highlight w:val="none"/>
          <w:u w:val="single"/>
        </w:rPr>
        <w:t>JSZC-320585-JZCG-G2026-0071</w:t>
      </w:r>
      <w:r>
        <w:rPr>
          <w:rFonts w:ascii="宋体" w:hAnsi="宋体" w:cs="宋体"/>
          <w:sz w:val="24"/>
          <w:highlight w:val="none"/>
        </w:rPr>
        <w:t>号的招标活动。代理人在开标、评标、合同谈判过程中所签署的一切文件和处理与这有关的一切事务，我均予以承认。</w:t>
      </w:r>
    </w:p>
    <w:p w14:paraId="1E336231">
      <w:pPr>
        <w:pBdr>
          <w:top w:val="none" w:color="000000" w:sz="0" w:space="0"/>
          <w:left w:val="none" w:color="000000" w:sz="0" w:space="0"/>
          <w:bottom w:val="none" w:color="000000" w:sz="0" w:space="0"/>
          <w:right w:val="none" w:color="000000" w:sz="0" w:space="0"/>
        </w:pBdr>
        <w:spacing w:line="480" w:lineRule="exact"/>
        <w:ind w:firstLine="420"/>
        <w:rPr>
          <w:highlight w:val="none"/>
        </w:rPr>
      </w:pPr>
      <w:r>
        <w:rPr>
          <w:rFonts w:ascii="宋体" w:hAnsi="宋体" w:cs="宋体"/>
          <w:sz w:val="24"/>
          <w:highlight w:val="none"/>
        </w:rPr>
        <w:t>代理人在授权委托书有效期内签署的所有文件不因授权委托的撤销而失效，除非有撤销授权委托的书面通知，本授权委托书自投标开始至合同履行完毕止。</w:t>
      </w:r>
    </w:p>
    <w:p w14:paraId="5F172D0C">
      <w:pPr>
        <w:pBdr>
          <w:top w:val="none" w:color="000000" w:sz="0" w:space="0"/>
          <w:left w:val="none" w:color="000000" w:sz="0" w:space="0"/>
          <w:bottom w:val="none" w:color="000000" w:sz="0" w:space="0"/>
          <w:right w:val="none" w:color="000000" w:sz="0" w:space="0"/>
        </w:pBdr>
        <w:spacing w:line="480" w:lineRule="exact"/>
        <w:ind w:firstLine="420"/>
        <w:rPr>
          <w:highlight w:val="none"/>
        </w:rPr>
      </w:pPr>
      <w:r>
        <w:rPr>
          <w:rFonts w:ascii="宋体" w:hAnsi="宋体" w:cs="宋体"/>
          <w:sz w:val="24"/>
          <w:highlight w:val="none"/>
        </w:rPr>
        <w:t>代理人无转委托权。特此委托！</w:t>
      </w:r>
    </w:p>
    <w:p w14:paraId="6303CA6F">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sz w:val="24"/>
          <w:highlight w:val="none"/>
        </w:rPr>
      </w:pPr>
      <w:r>
        <w:rPr>
          <w:rFonts w:ascii="宋体" w:hAnsi="宋体" w:cs="宋体"/>
          <w:sz w:val="24"/>
          <w:highlight w:val="none"/>
        </w:rPr>
        <w:t> </w:t>
      </w:r>
    </w:p>
    <w:p w14:paraId="1FC5D5D1">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sz w:val="24"/>
          <w:highlight w:val="none"/>
        </w:rPr>
      </w:pPr>
    </w:p>
    <w:p w14:paraId="04B4C02C">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sz w:val="24"/>
          <w:highlight w:val="none"/>
        </w:rPr>
      </w:pPr>
    </w:p>
    <w:p w14:paraId="0BF41544">
      <w:pPr>
        <w:pBdr>
          <w:top w:val="none" w:color="000000" w:sz="0" w:space="0"/>
          <w:left w:val="none" w:color="000000" w:sz="0" w:space="0"/>
          <w:bottom w:val="none" w:color="000000" w:sz="0" w:space="0"/>
          <w:right w:val="none" w:color="000000" w:sz="0" w:space="0"/>
        </w:pBdr>
        <w:spacing w:line="480" w:lineRule="exact"/>
        <w:ind w:firstLine="420"/>
        <w:rPr>
          <w:highlight w:val="none"/>
        </w:rPr>
      </w:pPr>
    </w:p>
    <w:p w14:paraId="371AD3FA">
      <w:pPr>
        <w:pBdr>
          <w:top w:val="none" w:color="000000" w:sz="0" w:space="0"/>
          <w:left w:val="none" w:color="000000" w:sz="0" w:space="0"/>
          <w:bottom w:val="none" w:color="000000" w:sz="0" w:space="0"/>
          <w:right w:val="none" w:color="000000" w:sz="0" w:space="0"/>
        </w:pBdr>
        <w:spacing w:line="480" w:lineRule="exact"/>
        <w:rPr>
          <w:highlight w:val="none"/>
        </w:rPr>
      </w:pPr>
      <w:r>
        <w:rPr>
          <w:rFonts w:ascii="宋体" w:hAnsi="宋体" w:cs="宋体"/>
          <w:sz w:val="24"/>
          <w:highlight w:val="none"/>
        </w:rPr>
        <w:t>投标单位：（单位盖章）</w:t>
      </w:r>
    </w:p>
    <w:p w14:paraId="52986957">
      <w:pPr>
        <w:pBdr>
          <w:top w:val="none" w:color="000000" w:sz="0" w:space="0"/>
          <w:left w:val="none" w:color="000000" w:sz="0" w:space="0"/>
          <w:bottom w:val="none" w:color="000000" w:sz="0" w:space="0"/>
          <w:right w:val="none" w:color="000000" w:sz="0" w:space="0"/>
        </w:pBdr>
        <w:spacing w:line="480" w:lineRule="exact"/>
        <w:rPr>
          <w:highlight w:val="none"/>
        </w:rPr>
      </w:pPr>
      <w:r>
        <w:rPr>
          <w:rFonts w:ascii="宋体" w:hAnsi="宋体" w:cs="宋体"/>
          <w:sz w:val="24"/>
          <w:highlight w:val="none"/>
        </w:rPr>
        <w:t>法定代表人：（签字或盖章）</w:t>
      </w:r>
    </w:p>
    <w:p w14:paraId="3235B724">
      <w:pPr>
        <w:pBdr>
          <w:top w:val="none" w:color="000000" w:sz="0" w:space="0"/>
          <w:left w:val="none" w:color="000000" w:sz="0" w:space="0"/>
          <w:bottom w:val="none" w:color="000000" w:sz="0" w:space="0"/>
          <w:right w:val="none" w:color="000000" w:sz="0" w:space="0"/>
        </w:pBdr>
        <w:spacing w:line="480" w:lineRule="exact"/>
        <w:rPr>
          <w:highlight w:val="none"/>
        </w:rPr>
      </w:pPr>
      <w:r>
        <w:rPr>
          <w:rFonts w:ascii="宋体" w:hAnsi="宋体" w:cs="宋体"/>
          <w:sz w:val="24"/>
          <w:highlight w:val="none"/>
        </w:rPr>
        <w:t>授权代理人：（签字或盖章）</w:t>
      </w:r>
    </w:p>
    <w:p w14:paraId="224C5E20">
      <w:pPr>
        <w:pBdr>
          <w:top w:val="none" w:color="000000" w:sz="0" w:space="0"/>
          <w:left w:val="none" w:color="000000" w:sz="0" w:space="0"/>
          <w:bottom w:val="none" w:color="000000" w:sz="0" w:space="0"/>
          <w:right w:val="none" w:color="000000" w:sz="0" w:space="0"/>
        </w:pBdr>
        <w:spacing w:line="480" w:lineRule="exact"/>
        <w:rPr>
          <w:highlight w:val="none"/>
        </w:rPr>
      </w:pPr>
      <w:r>
        <w:rPr>
          <w:rFonts w:ascii="宋体" w:hAnsi="宋体" w:cs="宋体"/>
          <w:sz w:val="24"/>
          <w:highlight w:val="none"/>
        </w:rPr>
        <w:t>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7B9F71BC">
      <w:pPr>
        <w:pBdr>
          <w:top w:val="none" w:color="000000" w:sz="0" w:space="0"/>
          <w:left w:val="none" w:color="000000" w:sz="0" w:space="0"/>
          <w:bottom w:val="none" w:color="000000" w:sz="0" w:space="0"/>
          <w:right w:val="none" w:color="000000" w:sz="0" w:space="0"/>
        </w:pBdr>
        <w:spacing w:line="480" w:lineRule="exact"/>
        <w:rPr>
          <w:highlight w:val="none"/>
        </w:rPr>
      </w:pPr>
      <w:r>
        <w:rPr>
          <w:highlight w:val="none"/>
        </w:rPr>
        <w:br w:type="page" w:clear="all"/>
      </w:r>
    </w:p>
    <w:p w14:paraId="1CD5569D">
      <w:pPr>
        <w:pBdr>
          <w:top w:val="none" w:color="000000" w:sz="0" w:space="0"/>
          <w:left w:val="none" w:color="000000" w:sz="0" w:space="0"/>
          <w:bottom w:val="none" w:color="000000" w:sz="0" w:space="0"/>
          <w:right w:val="none" w:color="000000" w:sz="0" w:space="0"/>
        </w:pBdr>
        <w:spacing w:line="360" w:lineRule="atLeast"/>
        <w:rPr>
          <w:highlight w:val="none"/>
        </w:rPr>
      </w:pPr>
      <w:r>
        <w:rPr>
          <w:rFonts w:ascii="宋体" w:hAnsi="宋体" w:cs="宋体"/>
          <w:b/>
          <w:sz w:val="32"/>
          <w:highlight w:val="none"/>
        </w:rPr>
        <w:t>6、开标一览表</w:t>
      </w:r>
    </w:p>
    <w:p w14:paraId="77C9AFA4">
      <w:pPr>
        <w:pBdr>
          <w:top w:val="none" w:color="000000" w:sz="0" w:space="0"/>
          <w:left w:val="none" w:color="000000" w:sz="0" w:space="0"/>
          <w:bottom w:val="none" w:color="000000" w:sz="0" w:space="0"/>
          <w:right w:val="none" w:color="000000" w:sz="0" w:space="0"/>
        </w:pBdr>
        <w:rPr>
          <w:highlight w:val="none"/>
        </w:rPr>
      </w:pPr>
      <w:r>
        <w:rPr>
          <w:rFonts w:ascii="宋体" w:hAnsi="宋体" w:cs="宋体"/>
          <w:b/>
          <w:highlight w:val="none"/>
        </w:rPr>
        <w:t> </w:t>
      </w:r>
    </w:p>
    <w:p w14:paraId="76C6FD4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 </w:t>
      </w:r>
    </w:p>
    <w:p w14:paraId="2A64E8D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sz w:val="32"/>
          <w:highlight w:val="none"/>
        </w:rPr>
        <w:t>开标一览表</w:t>
      </w:r>
    </w:p>
    <w:p w14:paraId="74077CDB">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07E37092">
      <w:pPr>
        <w:pBdr>
          <w:top w:val="none" w:color="000000" w:sz="0" w:space="0"/>
          <w:left w:val="none" w:color="000000" w:sz="0" w:space="0"/>
          <w:bottom w:val="none" w:color="000000" w:sz="0" w:space="0"/>
          <w:right w:val="none" w:color="000000" w:sz="0" w:space="0"/>
        </w:pBdr>
        <w:ind w:firstLine="720"/>
        <w:rPr>
          <w:highlight w:val="none"/>
        </w:rPr>
      </w:pPr>
      <w:r>
        <w:rPr>
          <w:rFonts w:ascii="宋体" w:hAnsi="宋体" w:cs="宋体"/>
          <w:sz w:val="24"/>
          <w:highlight w:val="none"/>
        </w:rPr>
        <w:t>投标人全称（加盖公章）：供应商名称</w:t>
      </w:r>
    </w:p>
    <w:p w14:paraId="0CCA2B9A">
      <w:pPr>
        <w:pBdr>
          <w:top w:val="none" w:color="000000" w:sz="0" w:space="0"/>
          <w:left w:val="none" w:color="000000" w:sz="0" w:space="0"/>
          <w:bottom w:val="none" w:color="000000" w:sz="0" w:space="0"/>
          <w:right w:val="none" w:color="000000" w:sz="0" w:space="0"/>
        </w:pBdr>
        <w:ind w:firstLine="720"/>
        <w:rPr>
          <w:rFonts w:ascii="宋体" w:hAnsi="宋体" w:cs="宋体"/>
          <w:sz w:val="24"/>
          <w:highlight w:val="none"/>
        </w:rPr>
      </w:pPr>
      <w:r>
        <w:rPr>
          <w:rFonts w:ascii="宋体" w:hAnsi="宋体" w:cs="宋体"/>
          <w:sz w:val="24"/>
          <w:highlight w:val="none"/>
        </w:rPr>
        <w:t>项目编号：</w:t>
      </w:r>
      <w:r>
        <w:rPr>
          <w:rFonts w:hint="eastAsia" w:ascii="宋体" w:hAnsi="宋体" w:cs="宋体"/>
          <w:sz w:val="24"/>
          <w:highlight w:val="none"/>
        </w:rPr>
        <w:t>JSZC-320585-JZCG-G2026-0071</w:t>
      </w:r>
    </w:p>
    <w:p w14:paraId="74A623AC">
      <w:pPr>
        <w:pStyle w:val="2"/>
        <w:rPr>
          <w:highlight w:val="none"/>
          <w:lang w:eastAsia="zh-CN"/>
        </w:rPr>
      </w:pP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666"/>
        <w:gridCol w:w="5244"/>
      </w:tblGrid>
      <w:tr w14:paraId="215791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366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E22200D">
            <w:pPr>
              <w:pBdr>
                <w:top w:val="none" w:color="000000" w:sz="0" w:space="0"/>
                <w:left w:val="none" w:color="000000" w:sz="0" w:space="0"/>
                <w:bottom w:val="none" w:color="000000" w:sz="0" w:space="0"/>
                <w:right w:val="none" w:color="000000" w:sz="0" w:space="0"/>
              </w:pBdr>
              <w:spacing w:line="360" w:lineRule="atLeast"/>
              <w:jc w:val="center"/>
              <w:rPr>
                <w:highlight w:val="none"/>
              </w:rPr>
            </w:pPr>
            <w:r>
              <w:rPr>
                <w:rFonts w:ascii="宋体" w:hAnsi="宋体" w:cs="宋体"/>
                <w:sz w:val="24"/>
                <w:highlight w:val="none"/>
              </w:rPr>
              <w:t>项目名称</w:t>
            </w:r>
          </w:p>
        </w:tc>
        <w:tc>
          <w:tcPr>
            <w:tcW w:w="52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78BEFA9">
            <w:pPr>
              <w:pBdr>
                <w:top w:val="none" w:color="000000" w:sz="0" w:space="0"/>
                <w:left w:val="none" w:color="000000" w:sz="0" w:space="0"/>
                <w:bottom w:val="none" w:color="000000" w:sz="0" w:space="0"/>
                <w:right w:val="none" w:color="000000" w:sz="0" w:space="0"/>
              </w:pBdr>
              <w:spacing w:line="360" w:lineRule="atLeast"/>
              <w:jc w:val="center"/>
              <w:rPr>
                <w:highlight w:val="none"/>
              </w:rPr>
            </w:pPr>
            <w:r>
              <w:rPr>
                <w:rFonts w:ascii="宋体" w:hAnsi="宋体" w:cs="宋体"/>
                <w:sz w:val="24"/>
                <w:highlight w:val="none"/>
              </w:rPr>
              <w:t>投标总价</w:t>
            </w:r>
          </w:p>
        </w:tc>
      </w:tr>
      <w:tr w14:paraId="27C329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4929AC">
            <w:pPr>
              <w:pBdr>
                <w:top w:val="none" w:color="000000" w:sz="0" w:space="0"/>
                <w:left w:val="none" w:color="000000" w:sz="0" w:space="0"/>
                <w:bottom w:val="none" w:color="000000" w:sz="0" w:space="0"/>
                <w:right w:val="none" w:color="000000" w:sz="0" w:space="0"/>
              </w:pBdr>
              <w:spacing w:line="360" w:lineRule="atLeast"/>
              <w:jc w:val="center"/>
              <w:rPr>
                <w:highlight w:val="none"/>
              </w:rPr>
            </w:pPr>
            <w:r>
              <w:rPr>
                <w:rFonts w:hint="eastAsia" w:ascii="宋体" w:hAnsi="宋体" w:cs="宋体"/>
                <w:sz w:val="24"/>
                <w:highlight w:val="none"/>
              </w:rPr>
              <w:t xml:space="preserve">太仓市娄江新城医院数智化建设项目(二期)算力硬件采购 </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153E08">
            <w:pPr>
              <w:pBdr>
                <w:top w:val="none" w:color="000000" w:sz="0" w:space="0"/>
                <w:left w:val="none" w:color="000000" w:sz="0" w:space="0"/>
                <w:bottom w:val="none" w:color="000000" w:sz="0" w:space="0"/>
                <w:right w:val="none" w:color="000000" w:sz="0" w:space="0"/>
              </w:pBdr>
              <w:spacing w:line="360" w:lineRule="atLeast"/>
              <w:rPr>
                <w:highlight w:val="none"/>
              </w:rPr>
            </w:pPr>
            <w:r>
              <w:rPr>
                <w:rFonts w:ascii="宋体" w:hAnsi="宋体" w:cs="宋体"/>
                <w:sz w:val="24"/>
                <w:highlight w:val="none"/>
              </w:rPr>
              <w:t>小写       （元人民币）</w:t>
            </w:r>
          </w:p>
        </w:tc>
      </w:tr>
      <w:tr w14:paraId="6D4F13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0CD17AB">
            <w:pPr>
              <w:pBdr>
                <w:top w:val="none" w:color="000000" w:sz="0" w:space="0"/>
                <w:left w:val="none" w:color="000000" w:sz="0" w:space="0"/>
                <w:bottom w:val="none" w:color="000000" w:sz="0" w:space="0"/>
                <w:right w:val="none" w:color="000000" w:sz="0" w:space="0"/>
              </w:pBdr>
              <w:spacing w:line="360" w:lineRule="atLeast"/>
              <w:jc w:val="center"/>
              <w:rPr>
                <w:highlight w:val="none"/>
              </w:rPr>
            </w:pPr>
            <w:r>
              <w:rPr>
                <w:rFonts w:ascii="宋体" w:hAnsi="宋体" w:cs="宋体"/>
                <w:sz w:val="24"/>
                <w:highlight w:val="none"/>
              </w:rPr>
              <w:t>投标报价大写金额</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8D50E7">
            <w:pPr>
              <w:pBdr>
                <w:top w:val="none" w:color="000000" w:sz="0" w:space="0"/>
                <w:left w:val="none" w:color="000000" w:sz="0" w:space="0"/>
                <w:bottom w:val="none" w:color="000000" w:sz="0" w:space="0"/>
                <w:right w:val="none" w:color="000000" w:sz="0" w:space="0"/>
              </w:pBdr>
              <w:spacing w:line="360" w:lineRule="atLeast"/>
              <w:rPr>
                <w:highlight w:val="none"/>
              </w:rPr>
            </w:pPr>
            <w:r>
              <w:rPr>
                <w:rFonts w:ascii="宋体" w:hAnsi="宋体" w:cs="宋体"/>
                <w:sz w:val="24"/>
                <w:highlight w:val="none"/>
              </w:rPr>
              <w:t>金额大写：</w:t>
            </w:r>
          </w:p>
        </w:tc>
      </w:tr>
    </w:tbl>
    <w:p w14:paraId="678ED0C4">
      <w:pPr>
        <w:pBdr>
          <w:top w:val="none" w:color="000000" w:sz="0" w:space="0"/>
          <w:left w:val="none" w:color="000000" w:sz="0" w:space="0"/>
          <w:bottom w:val="none" w:color="000000" w:sz="0" w:space="0"/>
          <w:right w:val="none" w:color="000000" w:sz="0" w:space="0"/>
        </w:pBdr>
        <w:ind w:firstLine="723"/>
        <w:rPr>
          <w:highlight w:val="none"/>
        </w:rPr>
      </w:pPr>
      <w:r>
        <w:rPr>
          <w:rFonts w:ascii="宋体" w:hAnsi="宋体" w:cs="宋体"/>
          <w:b/>
          <w:sz w:val="24"/>
          <w:highlight w:val="none"/>
        </w:rPr>
        <w:t> </w:t>
      </w:r>
    </w:p>
    <w:p w14:paraId="317ACC61">
      <w:pPr>
        <w:pBdr>
          <w:top w:val="none" w:color="000000" w:sz="0" w:space="0"/>
          <w:left w:val="none" w:color="000000" w:sz="0" w:space="0"/>
          <w:bottom w:val="none" w:color="000000" w:sz="0" w:space="0"/>
          <w:right w:val="none" w:color="000000" w:sz="0" w:space="0"/>
        </w:pBdr>
        <w:spacing w:line="460" w:lineRule="atLeast"/>
        <w:ind w:firstLine="3360"/>
        <w:rPr>
          <w:highlight w:val="none"/>
        </w:rPr>
      </w:pPr>
      <w:r>
        <w:rPr>
          <w:rFonts w:ascii="宋体" w:hAnsi="宋体" w:cs="宋体"/>
          <w:sz w:val="24"/>
          <w:highlight w:val="none"/>
        </w:rPr>
        <w:t>日期：</w:t>
      </w:r>
      <w:r>
        <w:rPr>
          <w:rFonts w:hint="eastAsia" w:ascii="宋体" w:hAnsi="宋体" w:cs="宋体"/>
          <w:sz w:val="24"/>
          <w:highlight w:val="none"/>
        </w:rPr>
        <w:t xml:space="preserve"> </w:t>
      </w:r>
      <w:r>
        <w:rPr>
          <w:rFonts w:ascii="宋体" w:hAnsi="宋体" w:cs="宋体"/>
          <w:sz w:val="24"/>
          <w:highlight w:val="none"/>
        </w:rPr>
        <w:t>年</w:t>
      </w:r>
      <w:r>
        <w:rPr>
          <w:rFonts w:hint="eastAsia" w:ascii="宋体" w:hAnsi="宋体" w:cs="宋体"/>
          <w:sz w:val="24"/>
          <w:highlight w:val="none"/>
        </w:rPr>
        <w:t xml:space="preserve"> </w:t>
      </w:r>
      <w:r>
        <w:rPr>
          <w:rFonts w:ascii="宋体" w:hAnsi="宋体" w:cs="宋体"/>
          <w:sz w:val="24"/>
          <w:highlight w:val="none"/>
        </w:rPr>
        <w:t>月</w:t>
      </w:r>
      <w:r>
        <w:rPr>
          <w:rFonts w:hint="eastAsia" w:ascii="宋体" w:hAnsi="宋体" w:cs="宋体"/>
          <w:sz w:val="24"/>
          <w:highlight w:val="none"/>
        </w:rPr>
        <w:t xml:space="preserve"> </w:t>
      </w:r>
      <w:r>
        <w:rPr>
          <w:rFonts w:ascii="宋体" w:hAnsi="宋体" w:cs="宋体"/>
          <w:sz w:val="24"/>
          <w:highlight w:val="none"/>
        </w:rPr>
        <w:t>日</w:t>
      </w:r>
    </w:p>
    <w:p w14:paraId="699382AD">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b/>
          <w:sz w:val="24"/>
          <w:highlight w:val="none"/>
        </w:rPr>
        <w:t> </w:t>
      </w:r>
    </w:p>
    <w:p w14:paraId="073E76F7">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25B41B4E">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8"/>
          <w:highlight w:val="none"/>
        </w:rPr>
        <w:t>7、投标报价明细表</w:t>
      </w:r>
    </w:p>
    <w:p w14:paraId="08601B46">
      <w:pPr>
        <w:pBdr>
          <w:top w:val="none" w:color="000000" w:sz="0" w:space="0"/>
          <w:left w:val="none" w:color="000000" w:sz="0" w:space="0"/>
          <w:bottom w:val="none" w:color="000000" w:sz="0" w:space="0"/>
          <w:right w:val="none" w:color="000000" w:sz="0" w:space="0"/>
        </w:pBdr>
        <w:ind w:firstLine="2811"/>
        <w:rPr>
          <w:highlight w:val="none"/>
        </w:rPr>
      </w:pPr>
      <w:r>
        <w:rPr>
          <w:rFonts w:ascii="宋体" w:hAnsi="宋体" w:cs="宋体"/>
          <w:b/>
          <w:sz w:val="28"/>
          <w:highlight w:val="none"/>
        </w:rPr>
        <w:t>（一）投标报价明细表</w:t>
      </w:r>
    </w:p>
    <w:p w14:paraId="3285A6E2">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tbl>
      <w:tblPr>
        <w:tblStyle w:val="38"/>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149F73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188E3E7F">
            <w:pPr>
              <w:jc w:val="center"/>
              <w:rPr>
                <w:bCs/>
                <w:sz w:val="24"/>
                <w:highlight w:val="none"/>
              </w:rPr>
            </w:pPr>
            <w:r>
              <w:rPr>
                <w:rFonts w:hAnsi="宋体"/>
                <w:bCs/>
                <w:sz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40DF4461">
            <w:pPr>
              <w:jc w:val="center"/>
              <w:rPr>
                <w:bCs/>
                <w:sz w:val="24"/>
                <w:highlight w:val="none"/>
              </w:rPr>
            </w:pPr>
            <w:r>
              <w:rPr>
                <w:rFonts w:hAnsi="宋体"/>
                <w:bCs/>
                <w:sz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1694B0C6">
            <w:pPr>
              <w:jc w:val="center"/>
              <w:rPr>
                <w:bCs/>
                <w:sz w:val="24"/>
                <w:highlight w:val="none"/>
              </w:rPr>
            </w:pPr>
            <w:r>
              <w:rPr>
                <w:rFonts w:hAnsi="宋体"/>
                <w:bCs/>
                <w:sz w:val="24"/>
                <w:highlight w:val="none"/>
              </w:rPr>
              <w:t>品牌、规格、型号</w:t>
            </w:r>
            <w:r>
              <w:rPr>
                <w:rFonts w:hint="eastAsia" w:hAnsi="宋体"/>
                <w:bCs/>
                <w:sz w:val="24"/>
                <w:highlight w:val="none"/>
              </w:rPr>
              <w:t>/服务说明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328439A0">
            <w:pPr>
              <w:jc w:val="center"/>
              <w:rPr>
                <w:bCs/>
                <w:sz w:val="24"/>
                <w:highlight w:val="none"/>
              </w:rPr>
            </w:pPr>
            <w:r>
              <w:rPr>
                <w:rFonts w:hAnsi="宋体"/>
                <w:bCs/>
                <w:sz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19B92AF3">
            <w:pPr>
              <w:jc w:val="center"/>
              <w:rPr>
                <w:bCs/>
                <w:sz w:val="24"/>
                <w:highlight w:val="none"/>
              </w:rPr>
            </w:pPr>
            <w:r>
              <w:rPr>
                <w:rFonts w:hAnsi="宋体"/>
                <w:bCs/>
                <w:sz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066AA989">
            <w:pPr>
              <w:jc w:val="center"/>
              <w:rPr>
                <w:bCs/>
                <w:sz w:val="24"/>
                <w:highlight w:val="none"/>
              </w:rPr>
            </w:pPr>
            <w:r>
              <w:rPr>
                <w:rFonts w:hAnsi="宋体"/>
                <w:bCs/>
                <w:sz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6669290F">
            <w:pPr>
              <w:jc w:val="center"/>
              <w:rPr>
                <w:bCs/>
                <w:sz w:val="24"/>
                <w:highlight w:val="none"/>
              </w:rPr>
            </w:pPr>
            <w:r>
              <w:rPr>
                <w:rFonts w:hAnsi="宋体"/>
                <w:bCs/>
                <w:sz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15760461">
            <w:pPr>
              <w:jc w:val="center"/>
              <w:rPr>
                <w:bCs/>
                <w:sz w:val="24"/>
                <w:highlight w:val="none"/>
              </w:rPr>
            </w:pPr>
            <w:r>
              <w:rPr>
                <w:rFonts w:hAnsi="宋体"/>
                <w:bCs/>
                <w:sz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66FD1576">
            <w:pPr>
              <w:jc w:val="center"/>
              <w:rPr>
                <w:bCs/>
                <w:sz w:val="24"/>
                <w:highlight w:val="none"/>
              </w:rPr>
            </w:pPr>
            <w:r>
              <w:rPr>
                <w:rFonts w:hAnsi="宋体"/>
                <w:bCs/>
                <w:sz w:val="24"/>
                <w:highlight w:val="none"/>
              </w:rPr>
              <w:t>备注</w:t>
            </w:r>
          </w:p>
        </w:tc>
      </w:tr>
      <w:tr w14:paraId="6EAC00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9B91DB3">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779394D7">
            <w:pPr>
              <w:ind w:right="-209"/>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651C0748">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405455C0">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109AD06A">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FDA0691">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1296D2EE">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76B5519C">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139C9F81">
            <w:pPr>
              <w:jc w:val="center"/>
              <w:rPr>
                <w:bCs/>
                <w:sz w:val="24"/>
                <w:highlight w:val="none"/>
              </w:rPr>
            </w:pPr>
          </w:p>
        </w:tc>
      </w:tr>
      <w:tr w14:paraId="13ED58C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18D8B185">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1AFDD4CB">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5332A5E">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3CE276A">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6B0786AC">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06C9DDF">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3D8D85FB">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F4080C6">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B22DED5">
            <w:pPr>
              <w:jc w:val="center"/>
              <w:rPr>
                <w:bCs/>
                <w:sz w:val="24"/>
                <w:highlight w:val="none"/>
              </w:rPr>
            </w:pPr>
          </w:p>
        </w:tc>
      </w:tr>
      <w:tr w14:paraId="189822D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C6885ED">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18C8376">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63F4EEA0">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52CC9985">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100EFB31">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140BA72">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A5AF12B">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18F5212C">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1A2D988E">
            <w:pPr>
              <w:jc w:val="center"/>
              <w:rPr>
                <w:bCs/>
                <w:sz w:val="24"/>
                <w:highlight w:val="none"/>
              </w:rPr>
            </w:pPr>
          </w:p>
        </w:tc>
      </w:tr>
      <w:tr w14:paraId="1E4E2EE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31E2153">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5BB28C63">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190DE4C3">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6FC00FBD">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18714995">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B0528D5">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60916CCA">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7919AFD3">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07A13AA9">
            <w:pPr>
              <w:jc w:val="center"/>
              <w:rPr>
                <w:bCs/>
                <w:sz w:val="24"/>
                <w:highlight w:val="none"/>
              </w:rPr>
            </w:pPr>
          </w:p>
        </w:tc>
      </w:tr>
      <w:tr w14:paraId="75BABD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6652E6E">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275904AB">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1F74C96B">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17B292FB">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7A0F00D1">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45D4884">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066AA60D">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409AC949">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6AB3104D">
            <w:pPr>
              <w:jc w:val="center"/>
              <w:rPr>
                <w:bCs/>
                <w:sz w:val="24"/>
                <w:highlight w:val="none"/>
              </w:rPr>
            </w:pPr>
          </w:p>
        </w:tc>
      </w:tr>
      <w:tr w14:paraId="7AEDEE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8A350E4">
            <w:pPr>
              <w:rPr>
                <w:bCs/>
                <w:sz w:val="24"/>
                <w:highlight w:val="none"/>
              </w:rPr>
            </w:pPr>
            <w:r>
              <w:rPr>
                <w:rFonts w:hAnsi="宋体"/>
                <w:bCs/>
                <w:sz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4B8000A5">
            <w:pPr>
              <w:rPr>
                <w:bCs/>
                <w:sz w:val="24"/>
                <w:highlight w:val="none"/>
              </w:rPr>
            </w:pPr>
            <w:r>
              <w:rPr>
                <w:rFonts w:hAnsi="宋体"/>
                <w:bCs/>
                <w:sz w:val="24"/>
                <w:highlight w:val="none"/>
              </w:rPr>
              <w:t>大写：元</w:t>
            </w:r>
            <w:r>
              <w:rPr>
                <w:rFonts w:hint="eastAsia" w:hAnsi="宋体"/>
                <w:bCs/>
                <w:sz w:val="24"/>
                <w:highlight w:val="none"/>
              </w:rPr>
              <w:t>； 小写：               元</w:t>
            </w:r>
          </w:p>
        </w:tc>
      </w:tr>
      <w:tr w14:paraId="2DBC45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06" w:hRule="atLeast"/>
          <w:jc w:val="center"/>
        </w:trPr>
        <w:tc>
          <w:tcPr>
            <w:tcW w:w="9175" w:type="dxa"/>
            <w:gridSpan w:val="10"/>
            <w:tcBorders>
              <w:top w:val="single" w:color="auto" w:sz="6" w:space="0"/>
              <w:left w:val="single" w:color="auto" w:sz="6" w:space="0"/>
              <w:bottom w:val="single" w:color="auto" w:sz="6" w:space="0"/>
              <w:right w:val="single" w:color="auto" w:sz="6" w:space="0"/>
            </w:tcBorders>
            <w:vAlign w:val="center"/>
          </w:tcPr>
          <w:p w14:paraId="7DE30426">
            <w:pPr>
              <w:rPr>
                <w:rFonts w:hAnsi="宋体"/>
                <w:b/>
                <w:bCs/>
                <w:sz w:val="24"/>
                <w:highlight w:val="none"/>
              </w:rPr>
            </w:pPr>
            <w:r>
              <w:rPr>
                <w:rFonts w:hint="eastAsia" w:ascii="宋体" w:hAnsi="宋体" w:cs="宋体"/>
                <w:b/>
                <w:color w:val="000000"/>
                <w:sz w:val="24"/>
                <w:highlight w:val="none"/>
              </w:rPr>
              <w:t>本采购包中提供的符合本国产品标准的产品成本之和占该采购包提供的全部产品成本之和的比例为</w:t>
            </w:r>
            <w:r>
              <w:rPr>
                <w:rFonts w:ascii="宋体" w:hAnsi="宋体" w:cs="宋体"/>
                <w:b/>
                <w:color w:val="000000"/>
                <w:sz w:val="24"/>
                <w:highlight w:val="none"/>
                <w:u w:val="single"/>
              </w:rPr>
              <w:t xml:space="preserve">      </w:t>
            </w:r>
            <w:r>
              <w:rPr>
                <w:rFonts w:hint="eastAsia" w:ascii="宋体" w:hAnsi="宋体" w:cs="宋体"/>
                <w:b/>
                <w:color w:val="000000"/>
                <w:sz w:val="24"/>
                <w:highlight w:val="none"/>
              </w:rPr>
              <w:t>%。</w:t>
            </w:r>
          </w:p>
        </w:tc>
      </w:tr>
    </w:tbl>
    <w:p w14:paraId="488F387D">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 </w:t>
      </w:r>
    </w:p>
    <w:p w14:paraId="28F48A22">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r>
        <w:rPr>
          <w:rFonts w:ascii="宋体" w:hAnsi="宋体" w:cs="宋体"/>
          <w:sz w:val="24"/>
          <w:highlight w:val="none"/>
        </w:rPr>
        <w:t>注：</w:t>
      </w:r>
    </w:p>
    <w:p w14:paraId="3CD2D51A">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本表报价的合计金额应与开标一览表报价一致</w:t>
      </w:r>
    </w:p>
    <w:p w14:paraId="585A49E2">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rPr>
      </w:pPr>
      <w:r>
        <w:rPr>
          <w:rFonts w:hint="eastAsia" w:ascii="宋体" w:hAnsi="宋体" w:cs="宋体"/>
          <w:sz w:val="24"/>
          <w:highlight w:val="none"/>
        </w:rPr>
        <w:t>2、本表中货物内容根据标的物填写品牌、型号、规格等信息，若涉及服务内容的，根据服务分</w:t>
      </w:r>
    </w:p>
    <w:p w14:paraId="58581094">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sz w:val="24"/>
          <w:highlight w:val="none"/>
        </w:rPr>
      </w:pPr>
      <w:r>
        <w:rPr>
          <w:rFonts w:ascii="宋体" w:hAnsi="宋体" w:cs="宋体"/>
          <w:b/>
          <w:sz w:val="24"/>
          <w:highlight w:val="none"/>
        </w:rPr>
        <w:t>3</w:t>
      </w:r>
      <w:r>
        <w:rPr>
          <w:rFonts w:hint="eastAsia" w:ascii="宋体" w:hAnsi="宋体" w:cs="宋体"/>
          <w:b/>
          <w:sz w:val="24"/>
          <w:highlight w:val="none"/>
        </w:rPr>
        <w:t>、</w:t>
      </w:r>
      <w:r>
        <w:rPr>
          <w:rFonts w:hint="eastAsia" w:ascii="宋体" w:hAnsi="宋体"/>
          <w:b/>
          <w:sz w:val="24"/>
          <w:szCs w:val="21"/>
          <w:highlight w:val="none"/>
        </w:rPr>
        <w:t>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w:t>
      </w:r>
    </w:p>
    <w:p w14:paraId="498A2F13">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p>
    <w:p w14:paraId="4849A31B">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p>
    <w:p w14:paraId="0D4881F5">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p>
    <w:p w14:paraId="005B8421">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投标单位：（公章）</w:t>
      </w:r>
    </w:p>
    <w:p w14:paraId="00632F0C">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r>
        <w:rPr>
          <w:rFonts w:ascii="宋体" w:hAnsi="宋体" w:cs="宋体"/>
          <w:sz w:val="24"/>
          <w:highlight w:val="none"/>
        </w:rPr>
        <w:t xml:space="preserve">法定代表人或委托代理人（签字或盖章）： </w:t>
      </w:r>
    </w:p>
    <w:p w14:paraId="4E1824AC">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szCs w:val="21"/>
          <w:highlight w:val="none"/>
        </w:rPr>
      </w:pPr>
      <w:r>
        <w:rPr>
          <w:rFonts w:ascii="宋体" w:hAnsi="宋体" w:cs="宋体"/>
          <w:sz w:val="24"/>
          <w:highlight w:val="none"/>
        </w:rPr>
        <w:t>投标日期： 年 月 日</w:t>
      </w:r>
    </w:p>
    <w:p w14:paraId="3F7563A8">
      <w:pPr>
        <w:pBdr>
          <w:top w:val="none" w:color="000000" w:sz="0" w:space="0"/>
          <w:left w:val="none" w:color="000000" w:sz="0" w:space="0"/>
          <w:bottom w:val="none" w:color="000000" w:sz="0" w:space="0"/>
          <w:right w:val="none" w:color="000000" w:sz="0" w:space="0"/>
        </w:pBdr>
        <w:ind w:firstLine="1506"/>
        <w:rPr>
          <w:rFonts w:ascii="宋体" w:hAnsi="宋体" w:cs="宋体"/>
          <w:b/>
          <w:sz w:val="30"/>
          <w:highlight w:val="none"/>
        </w:rPr>
      </w:pPr>
      <w:r>
        <w:rPr>
          <w:rFonts w:ascii="宋体" w:hAnsi="宋体" w:cs="宋体"/>
          <w:b/>
          <w:sz w:val="30"/>
          <w:highlight w:val="none"/>
        </w:rPr>
        <w:t> </w:t>
      </w:r>
    </w:p>
    <w:p w14:paraId="14DC696A">
      <w:pPr>
        <w:pBdr>
          <w:top w:val="none" w:color="000000" w:sz="0" w:space="0"/>
          <w:left w:val="none" w:color="000000" w:sz="0" w:space="0"/>
          <w:bottom w:val="none" w:color="000000" w:sz="0" w:space="0"/>
          <w:right w:val="none" w:color="000000" w:sz="0" w:space="0"/>
        </w:pBdr>
        <w:ind w:firstLine="1506"/>
        <w:rPr>
          <w:rFonts w:ascii="宋体" w:hAnsi="宋体" w:cs="宋体"/>
          <w:b/>
          <w:sz w:val="30"/>
          <w:highlight w:val="none"/>
        </w:rPr>
      </w:pPr>
    </w:p>
    <w:p w14:paraId="29999CD9">
      <w:pPr>
        <w:pBdr>
          <w:top w:val="none" w:color="000000" w:sz="0" w:space="0"/>
          <w:left w:val="none" w:color="000000" w:sz="0" w:space="0"/>
          <w:bottom w:val="none" w:color="000000" w:sz="0" w:space="0"/>
          <w:right w:val="none" w:color="000000" w:sz="0" w:space="0"/>
        </w:pBdr>
        <w:ind w:firstLine="1506"/>
        <w:rPr>
          <w:rFonts w:ascii="宋体" w:hAnsi="宋体" w:cs="宋体"/>
          <w:b/>
          <w:sz w:val="30"/>
          <w:highlight w:val="none"/>
        </w:rPr>
      </w:pPr>
    </w:p>
    <w:p w14:paraId="79504996">
      <w:pPr>
        <w:pBdr>
          <w:top w:val="none" w:color="000000" w:sz="0" w:space="0"/>
          <w:left w:val="none" w:color="000000" w:sz="0" w:space="0"/>
          <w:bottom w:val="none" w:color="000000" w:sz="0" w:space="0"/>
          <w:right w:val="none" w:color="000000" w:sz="0" w:space="0"/>
        </w:pBdr>
        <w:ind w:firstLine="1506"/>
        <w:rPr>
          <w:highlight w:val="none"/>
        </w:rPr>
      </w:pPr>
    </w:p>
    <w:p w14:paraId="072D6C94">
      <w:pPr>
        <w:pBdr>
          <w:top w:val="none" w:color="000000" w:sz="0" w:space="0"/>
          <w:left w:val="none" w:color="000000" w:sz="0" w:space="0"/>
          <w:bottom w:val="none" w:color="000000" w:sz="0" w:space="0"/>
          <w:right w:val="none" w:color="000000" w:sz="0" w:space="0"/>
        </w:pBdr>
        <w:spacing w:line="312" w:lineRule="atLeast"/>
        <w:rPr>
          <w:highlight w:val="none"/>
        </w:rPr>
      </w:pPr>
      <w:r>
        <w:rPr>
          <w:rFonts w:ascii="宋体" w:hAnsi="宋体" w:cs="宋体"/>
          <w:sz w:val="24"/>
          <w:highlight w:val="none"/>
        </w:rPr>
        <w:t> </w:t>
      </w:r>
    </w:p>
    <w:p w14:paraId="03D2DE86">
      <w:pPr>
        <w:ind w:firstLine="1506"/>
        <w:rPr>
          <w:rFonts w:ascii="宋体" w:hAnsi="宋体"/>
          <w:b/>
          <w:bCs/>
          <w:highlight w:val="none"/>
        </w:rPr>
      </w:pPr>
      <w:r>
        <w:rPr>
          <w:rFonts w:hint="eastAsia" w:ascii="宋体" w:hAnsi="宋体"/>
          <w:b/>
          <w:sz w:val="30"/>
          <w:szCs w:val="30"/>
          <w:highlight w:val="none"/>
        </w:rPr>
        <w:t>（二）投标报价合理性说明（如有）</w:t>
      </w:r>
    </w:p>
    <w:p w14:paraId="6F335FA4">
      <w:pPr>
        <w:spacing w:line="420" w:lineRule="exact"/>
        <w:rPr>
          <w:rFonts w:ascii="宋体" w:hAnsi="宋体"/>
          <w:b/>
          <w:highlight w:val="none"/>
        </w:rPr>
      </w:pPr>
    </w:p>
    <w:p w14:paraId="76B348BB">
      <w:pPr>
        <w:spacing w:line="420" w:lineRule="exact"/>
        <w:ind w:firstLine="482" w:firstLineChars="200"/>
        <w:rPr>
          <w:rFonts w:ascii="宋体" w:hAnsi="宋体" w:cs="宋体"/>
          <w:b/>
          <w:sz w:val="24"/>
          <w:highlight w:val="none"/>
        </w:rPr>
      </w:pPr>
      <w:r>
        <w:rPr>
          <w:rFonts w:hint="eastAsia" w:ascii="宋体" w:hAnsi="宋体" w:cs="宋体"/>
          <w:b/>
          <w:sz w:val="24"/>
          <w:highlight w:val="none"/>
        </w:rPr>
        <w:t>注：根据</w:t>
      </w:r>
      <w:r>
        <w:rPr>
          <w:rFonts w:hint="eastAsia" w:cs="微软雅黑" w:asciiTheme="minorEastAsia" w:hAnsiTheme="minorEastAsia" w:eastAsiaTheme="minorEastAsia"/>
          <w:b/>
          <w:sz w:val="24"/>
          <w:highlight w:val="none"/>
        </w:rPr>
        <w:t>财政部《关于推动解决政府采购异常低价问题的通知》（财库〔</w:t>
      </w:r>
      <w:r>
        <w:rPr>
          <w:rFonts w:asciiTheme="minorEastAsia" w:hAnsiTheme="minorEastAsia" w:eastAsiaTheme="minorEastAsia"/>
          <w:b/>
          <w:sz w:val="24"/>
          <w:highlight w:val="none"/>
        </w:rPr>
        <w:t>2026</w:t>
      </w:r>
      <w:r>
        <w:rPr>
          <w:rFonts w:hint="eastAsia" w:cs="微软雅黑" w:asciiTheme="minorEastAsia" w:hAnsiTheme="minorEastAsia" w:eastAsiaTheme="minorEastAsia"/>
          <w:b/>
          <w:sz w:val="24"/>
          <w:highlight w:val="none"/>
        </w:rPr>
        <w:t>〕</w:t>
      </w:r>
      <w:r>
        <w:rPr>
          <w:rFonts w:hint="eastAsia" w:asciiTheme="minorEastAsia" w:hAnsiTheme="minorEastAsia" w:eastAsiaTheme="minorEastAsia"/>
          <w:b/>
          <w:sz w:val="24"/>
          <w:highlight w:val="none"/>
        </w:rPr>
        <w:t>2号</w:t>
      </w:r>
      <w:r>
        <w:rPr>
          <w:rFonts w:hint="eastAsia" w:cs="微软雅黑" w:asciiTheme="minorEastAsia" w:hAnsiTheme="minorEastAsia" w:eastAsiaTheme="minorEastAsia"/>
          <w:b/>
          <w:sz w:val="24"/>
          <w:highlight w:val="none"/>
        </w:rPr>
        <w:t>）</w:t>
      </w:r>
      <w:r>
        <w:rPr>
          <w:rFonts w:hint="eastAsia" w:ascii="宋体" w:hAnsi="宋体" w:cs="宋体"/>
          <w:b/>
          <w:sz w:val="24"/>
          <w:highlight w:val="none"/>
        </w:rPr>
        <w:t xml:space="preserve"> ，若投标人的投标（响应）报价满足以下任一条件：</w:t>
      </w:r>
    </w:p>
    <w:p w14:paraId="63AB3B7A">
      <w:pPr>
        <w:spacing w:line="420" w:lineRule="exact"/>
        <w:ind w:firstLine="482" w:firstLineChars="200"/>
        <w:rPr>
          <w:rFonts w:ascii="宋体" w:hAnsi="宋体" w:cs="宋体"/>
          <w:b/>
          <w:sz w:val="24"/>
          <w:highlight w:val="none"/>
        </w:rPr>
      </w:pPr>
      <w:r>
        <w:rPr>
          <w:rFonts w:hint="eastAsia" w:ascii="宋体" w:hAnsi="宋体" w:cs="宋体"/>
          <w:b/>
          <w:sz w:val="24"/>
          <w:highlight w:val="none"/>
        </w:rPr>
        <w:t>1）</w:t>
      </w:r>
      <w:r>
        <w:rPr>
          <w:rFonts w:ascii="宋体" w:hAnsi="宋体" w:cs="宋体"/>
          <w:b/>
          <w:bCs/>
          <w:sz w:val="24"/>
          <w:highlight w:val="none"/>
        </w:rPr>
        <w:t>投标（响应）报价低于全部通过符合性审查供应商投标（响应）报价平均值50%的，即投标（响应）报价&lt;全部通过符合性审查供应商投标（响应）报价平均值×50%；</w:t>
      </w:r>
      <w:r>
        <w:rPr>
          <w:rFonts w:ascii="宋体" w:hAnsi="宋体" w:cs="宋体"/>
          <w:b/>
          <w:bCs/>
          <w:sz w:val="24"/>
          <w:highlight w:val="none"/>
        </w:rPr>
        <w:br w:type="textWrapping"/>
      </w:r>
      <w:r>
        <w:rPr>
          <w:rFonts w:hint="eastAsia" w:ascii="宋体" w:hAnsi="宋体" w:cs="宋体"/>
          <w:b/>
          <w:sz w:val="24"/>
          <w:highlight w:val="none"/>
        </w:rPr>
        <w:t>；</w:t>
      </w:r>
    </w:p>
    <w:p w14:paraId="6DD18631">
      <w:pPr>
        <w:spacing w:line="420" w:lineRule="exact"/>
        <w:ind w:firstLine="482" w:firstLineChars="200"/>
        <w:rPr>
          <w:rFonts w:ascii="宋体" w:hAnsi="宋体" w:cs="宋体"/>
          <w:b/>
          <w:sz w:val="24"/>
          <w:highlight w:val="none"/>
        </w:rPr>
      </w:pPr>
      <w:r>
        <w:rPr>
          <w:rFonts w:hint="eastAsia" w:ascii="宋体" w:hAnsi="宋体" w:cs="宋体"/>
          <w:b/>
          <w:sz w:val="24"/>
          <w:highlight w:val="none"/>
        </w:rPr>
        <w:t>2）</w:t>
      </w:r>
      <w:r>
        <w:rPr>
          <w:rFonts w:ascii="宋体" w:hAnsi="宋体" w:cs="宋体"/>
          <w:b/>
          <w:bCs/>
          <w:sz w:val="24"/>
          <w:highlight w:val="none"/>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rPr>
        <w:t>；</w:t>
      </w:r>
    </w:p>
    <w:p w14:paraId="290762F8">
      <w:pPr>
        <w:spacing w:line="420" w:lineRule="exact"/>
        <w:ind w:firstLine="482" w:firstLineChars="200"/>
        <w:rPr>
          <w:rFonts w:ascii="宋体" w:hAnsi="宋体" w:cs="宋体"/>
          <w:b/>
          <w:sz w:val="24"/>
          <w:highlight w:val="none"/>
        </w:rPr>
      </w:pPr>
      <w:r>
        <w:rPr>
          <w:rFonts w:hint="eastAsia" w:ascii="宋体" w:hAnsi="宋体" w:cs="宋体"/>
          <w:b/>
          <w:bCs/>
          <w:sz w:val="24"/>
          <w:highlight w:val="none"/>
        </w:rPr>
        <w:t>3）</w:t>
      </w:r>
      <w:r>
        <w:rPr>
          <w:rFonts w:ascii="宋体" w:hAnsi="宋体" w:cs="宋体"/>
          <w:b/>
          <w:bCs/>
          <w:sz w:val="24"/>
          <w:highlight w:val="none"/>
        </w:rPr>
        <w:t>投标（响应）报价低于采购项目最高限价45%的，即投标（响应）报价&lt;采购项目最高限价×45%；</w:t>
      </w:r>
      <w:r>
        <w:rPr>
          <w:rFonts w:ascii="宋体" w:hAnsi="宋体" w:cs="宋体"/>
          <w:b/>
          <w:bCs/>
          <w:sz w:val="24"/>
          <w:highlight w:val="none"/>
        </w:rPr>
        <w:br w:type="textWrapping"/>
      </w:r>
      <w:r>
        <w:rPr>
          <w:rFonts w:hint="eastAsia" w:ascii="宋体" w:hAnsi="宋体" w:cs="宋体"/>
          <w:b/>
          <w:bCs/>
          <w:sz w:val="24"/>
          <w:highlight w:val="none"/>
        </w:rPr>
        <w:t xml:space="preserve">   4）</w:t>
      </w:r>
      <w:r>
        <w:rPr>
          <w:rFonts w:ascii="宋体" w:hAnsi="宋体" w:cs="宋体"/>
          <w:b/>
          <w:bCs/>
          <w:sz w:val="24"/>
          <w:highlight w:val="none"/>
        </w:rPr>
        <w:t>评审委员会基于专业判断，认为供应商报价过低，有可能影响产品质量或者不能诚信履约的其他情形。</w:t>
      </w:r>
      <w:r>
        <w:rPr>
          <w:rFonts w:ascii="宋体" w:hAnsi="宋体" w:cs="宋体"/>
          <w:b/>
          <w:bCs/>
          <w:sz w:val="24"/>
          <w:highlight w:val="none"/>
        </w:rPr>
        <w:br w:type="textWrapping"/>
      </w:r>
      <w:r>
        <w:rPr>
          <w:rFonts w:hint="eastAsia" w:ascii="宋体" w:hAnsi="宋体" w:cs="宋体"/>
          <w:b/>
          <w:bCs/>
          <w:sz w:val="24"/>
          <w:highlight w:val="none"/>
        </w:rPr>
        <w:t xml:space="preserve">    </w:t>
      </w:r>
      <w:r>
        <w:rPr>
          <w:rFonts w:ascii="宋体" w:hAnsi="宋体" w:cs="宋体"/>
          <w:b/>
          <w:bCs/>
          <w:sz w:val="24"/>
          <w:highlight w:val="none"/>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highlight w:val="none"/>
        </w:rPr>
        <w:br w:type="textWrapping"/>
      </w:r>
    </w:p>
    <w:p w14:paraId="4043A1D9">
      <w:pPr>
        <w:spacing w:line="420" w:lineRule="exact"/>
        <w:ind w:firstLine="482" w:firstLineChars="200"/>
        <w:rPr>
          <w:rFonts w:ascii="宋体" w:hAnsi="宋体" w:cs="宋体"/>
          <w:b/>
          <w:sz w:val="24"/>
          <w:highlight w:val="none"/>
        </w:rPr>
      </w:pPr>
    </w:p>
    <w:p w14:paraId="3F97B699">
      <w:pPr>
        <w:spacing w:line="420" w:lineRule="exact"/>
        <w:rPr>
          <w:rFonts w:ascii="宋体" w:hAnsi="宋体"/>
          <w:b/>
          <w:highlight w:val="none"/>
        </w:rPr>
      </w:pPr>
    </w:p>
    <w:p w14:paraId="60AEB0CD">
      <w:pPr>
        <w:spacing w:line="420" w:lineRule="exact"/>
        <w:rPr>
          <w:rFonts w:ascii="宋体" w:hAnsi="宋体"/>
          <w:b/>
          <w:highlight w:val="none"/>
        </w:rPr>
      </w:pPr>
    </w:p>
    <w:p w14:paraId="4D6BEEE2">
      <w:pPr>
        <w:spacing w:line="480" w:lineRule="exact"/>
        <w:rPr>
          <w:rFonts w:asciiTheme="minorEastAsia" w:hAnsiTheme="minorEastAsia"/>
          <w:sz w:val="24"/>
          <w:highlight w:val="none"/>
        </w:rPr>
      </w:pPr>
    </w:p>
    <w:p w14:paraId="6C497B5A">
      <w:pPr>
        <w:spacing w:line="480" w:lineRule="exact"/>
        <w:rPr>
          <w:rFonts w:asciiTheme="minorEastAsia" w:hAnsiTheme="minorEastAsia"/>
          <w:sz w:val="24"/>
          <w:highlight w:val="none"/>
        </w:rPr>
      </w:pPr>
      <w:r>
        <w:rPr>
          <w:rFonts w:hint="eastAsia" w:asciiTheme="minorEastAsia" w:hAnsiTheme="minorEastAsia"/>
          <w:sz w:val="24"/>
          <w:highlight w:val="none"/>
        </w:rPr>
        <w:t>投标单位：（公章）</w:t>
      </w:r>
    </w:p>
    <w:p w14:paraId="252684E9">
      <w:pPr>
        <w:spacing w:line="480" w:lineRule="exact"/>
        <w:rPr>
          <w:rFonts w:asciiTheme="minorEastAsia" w:hAnsiTheme="minorEastAsia"/>
          <w:sz w:val="24"/>
          <w:highlight w:val="none"/>
        </w:rPr>
      </w:pPr>
      <w:r>
        <w:rPr>
          <w:rFonts w:hint="eastAsia" w:asciiTheme="minorEastAsia" w:hAnsiTheme="minorEastAsia"/>
          <w:sz w:val="24"/>
          <w:highlight w:val="none"/>
        </w:rPr>
        <w:t xml:space="preserve">法定代表人或委托代理人（签字或盖章）： </w:t>
      </w:r>
    </w:p>
    <w:p w14:paraId="1A9C58CD">
      <w:pPr>
        <w:pStyle w:val="16"/>
        <w:spacing w:line="480" w:lineRule="exact"/>
        <w:rPr>
          <w:rFonts w:asciiTheme="minorEastAsia" w:hAnsiTheme="minorEastAsia"/>
          <w:sz w:val="24"/>
          <w:highlight w:val="none"/>
        </w:rPr>
      </w:pPr>
      <w:r>
        <w:rPr>
          <w:rFonts w:hint="eastAsia" w:asciiTheme="minorEastAsia" w:hAnsiTheme="minorEastAsia"/>
          <w:sz w:val="24"/>
          <w:highlight w:val="none"/>
        </w:rPr>
        <w:t>投标日期：    年   月   日</w:t>
      </w:r>
    </w:p>
    <w:p w14:paraId="0B593DCA">
      <w:pPr>
        <w:pBdr>
          <w:top w:val="none" w:color="000000" w:sz="0" w:space="0"/>
          <w:left w:val="none" w:color="000000" w:sz="0" w:space="0"/>
          <w:bottom w:val="none" w:color="000000" w:sz="0" w:space="0"/>
          <w:right w:val="none" w:color="000000" w:sz="0" w:space="0"/>
        </w:pBdr>
        <w:spacing w:line="480" w:lineRule="exact"/>
        <w:rPr>
          <w:highlight w:val="none"/>
        </w:rPr>
      </w:pPr>
      <w:r>
        <w:rPr>
          <w:highlight w:val="none"/>
        </w:rPr>
        <w:br w:type="page" w:clear="all"/>
      </w:r>
    </w:p>
    <w:p w14:paraId="7FA22AB3">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p w14:paraId="48CC1C4F">
      <w:pPr>
        <w:pStyle w:val="16"/>
        <w:ind w:firstLine="0"/>
        <w:rPr>
          <w:rFonts w:hAnsi="宋体"/>
          <w:b/>
          <w:sz w:val="32"/>
          <w:szCs w:val="32"/>
          <w:highlight w:val="none"/>
        </w:rPr>
      </w:pPr>
      <w:r>
        <w:rPr>
          <w:rFonts w:hint="eastAsia" w:hAnsi="宋体"/>
          <w:b/>
          <w:sz w:val="32"/>
          <w:szCs w:val="32"/>
          <w:highlight w:val="none"/>
        </w:rPr>
        <w:t>8、投标货物数量、品牌规格、材质、性能、交货期说明表</w:t>
      </w:r>
    </w:p>
    <w:p w14:paraId="48E42351">
      <w:pPr>
        <w:pStyle w:val="16"/>
        <w:ind w:firstLine="1417"/>
        <w:rPr>
          <w:rFonts w:hAnsi="宋体"/>
          <w:b/>
          <w:sz w:val="24"/>
          <w:highlight w:val="none"/>
        </w:rPr>
      </w:pPr>
    </w:p>
    <w:p w14:paraId="1AF7A7A9">
      <w:pPr>
        <w:pStyle w:val="16"/>
        <w:ind w:firstLine="1417"/>
        <w:rPr>
          <w:highlight w:val="none"/>
        </w:rPr>
      </w:pPr>
      <w:r>
        <w:rPr>
          <w:rFonts w:hint="eastAsia" w:hAnsi="宋体"/>
          <w:b/>
          <w:sz w:val="24"/>
          <w:highlight w:val="none"/>
        </w:rPr>
        <w:t>投标货物数量、品牌规格、材质、性能、交货期说明表</w:t>
      </w:r>
    </w:p>
    <w:tbl>
      <w:tblPr>
        <w:tblStyle w:val="38"/>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817"/>
        <w:gridCol w:w="1985"/>
        <w:gridCol w:w="2835"/>
        <w:gridCol w:w="1080"/>
        <w:gridCol w:w="1137"/>
        <w:gridCol w:w="1043"/>
      </w:tblGrid>
      <w:tr w14:paraId="5B83929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vAlign w:val="center"/>
          </w:tcPr>
          <w:p w14:paraId="3D2A7FD3">
            <w:pPr>
              <w:pStyle w:val="233"/>
              <w:spacing w:line="360" w:lineRule="auto"/>
              <w:jc w:val="center"/>
              <w:rPr>
                <w:rFonts w:hAnsi="宋体" w:eastAsia="宋体"/>
                <w:sz w:val="24"/>
                <w:szCs w:val="24"/>
                <w:highlight w:val="none"/>
              </w:rPr>
            </w:pPr>
            <w:r>
              <w:rPr>
                <w:rFonts w:hint="eastAsia" w:hAnsi="宋体" w:eastAsia="宋体"/>
                <w:sz w:val="24"/>
                <w:szCs w:val="24"/>
                <w:highlight w:val="none"/>
              </w:rPr>
              <w:t>序号</w:t>
            </w:r>
          </w:p>
        </w:tc>
        <w:tc>
          <w:tcPr>
            <w:tcW w:w="1985" w:type="dxa"/>
            <w:tcBorders>
              <w:top w:val="single" w:color="auto" w:sz="6" w:space="0"/>
              <w:left w:val="single" w:color="auto" w:sz="6" w:space="0"/>
              <w:bottom w:val="single" w:color="auto" w:sz="6" w:space="0"/>
              <w:right w:val="single" w:color="auto" w:sz="6" w:space="0"/>
            </w:tcBorders>
            <w:vAlign w:val="center"/>
          </w:tcPr>
          <w:p w14:paraId="78E48084">
            <w:pPr>
              <w:pStyle w:val="233"/>
              <w:spacing w:line="360" w:lineRule="auto"/>
              <w:jc w:val="center"/>
              <w:rPr>
                <w:rFonts w:hAnsi="宋体" w:eastAsia="宋体"/>
                <w:sz w:val="24"/>
                <w:szCs w:val="24"/>
                <w:highlight w:val="none"/>
              </w:rPr>
            </w:pPr>
            <w:r>
              <w:rPr>
                <w:rFonts w:hint="eastAsia" w:hAnsi="宋体" w:eastAsia="宋体"/>
                <w:sz w:val="24"/>
                <w:szCs w:val="24"/>
                <w:highlight w:val="none"/>
              </w:rPr>
              <w:t>标的物名称</w:t>
            </w:r>
          </w:p>
        </w:tc>
        <w:tc>
          <w:tcPr>
            <w:tcW w:w="2835" w:type="dxa"/>
            <w:tcBorders>
              <w:top w:val="single" w:color="auto" w:sz="6" w:space="0"/>
              <w:left w:val="single" w:color="auto" w:sz="6" w:space="0"/>
              <w:bottom w:val="single" w:color="auto" w:sz="4" w:space="0"/>
              <w:right w:val="single" w:color="auto" w:sz="6" w:space="0"/>
            </w:tcBorders>
            <w:vAlign w:val="center"/>
          </w:tcPr>
          <w:p w14:paraId="1F766443">
            <w:pPr>
              <w:pStyle w:val="233"/>
              <w:spacing w:line="360" w:lineRule="auto"/>
              <w:jc w:val="center"/>
              <w:rPr>
                <w:rFonts w:hAnsi="宋体" w:eastAsia="宋体"/>
                <w:sz w:val="24"/>
                <w:szCs w:val="24"/>
                <w:highlight w:val="none"/>
              </w:rPr>
            </w:pPr>
            <w:r>
              <w:rPr>
                <w:rFonts w:hint="eastAsia" w:hAnsi="宋体" w:eastAsia="宋体"/>
                <w:sz w:val="24"/>
                <w:szCs w:val="24"/>
                <w:highlight w:val="none"/>
              </w:rPr>
              <w:t>生产厂家、品牌、型号、规格、材质、性能</w:t>
            </w:r>
          </w:p>
        </w:tc>
        <w:tc>
          <w:tcPr>
            <w:tcW w:w="1080" w:type="dxa"/>
            <w:tcBorders>
              <w:top w:val="single" w:color="auto" w:sz="6" w:space="0"/>
              <w:left w:val="single" w:color="auto" w:sz="6" w:space="0"/>
              <w:bottom w:val="single" w:color="auto" w:sz="6" w:space="0"/>
              <w:right w:val="single" w:color="auto" w:sz="4" w:space="0"/>
            </w:tcBorders>
            <w:vAlign w:val="center"/>
          </w:tcPr>
          <w:p w14:paraId="530B4CF7">
            <w:pPr>
              <w:pStyle w:val="233"/>
              <w:spacing w:line="360" w:lineRule="auto"/>
              <w:jc w:val="center"/>
              <w:rPr>
                <w:rFonts w:hAnsi="宋体" w:eastAsia="宋体"/>
                <w:sz w:val="24"/>
                <w:szCs w:val="24"/>
                <w:highlight w:val="none"/>
              </w:rPr>
            </w:pPr>
            <w:r>
              <w:rPr>
                <w:rFonts w:hint="eastAsia" w:hAnsi="宋体" w:eastAsia="宋体"/>
                <w:sz w:val="24"/>
                <w:szCs w:val="24"/>
                <w:highlight w:val="none"/>
              </w:rPr>
              <w:t>单位</w:t>
            </w:r>
          </w:p>
        </w:tc>
        <w:tc>
          <w:tcPr>
            <w:tcW w:w="1137" w:type="dxa"/>
            <w:tcBorders>
              <w:top w:val="single" w:color="auto" w:sz="6" w:space="0"/>
              <w:left w:val="single" w:color="auto" w:sz="4" w:space="0"/>
              <w:bottom w:val="single" w:color="auto" w:sz="6" w:space="0"/>
              <w:right w:val="single" w:color="auto" w:sz="6" w:space="0"/>
            </w:tcBorders>
            <w:vAlign w:val="center"/>
          </w:tcPr>
          <w:p w14:paraId="59406347">
            <w:pPr>
              <w:pStyle w:val="233"/>
              <w:spacing w:line="360" w:lineRule="auto"/>
              <w:jc w:val="center"/>
              <w:rPr>
                <w:rFonts w:hAnsi="宋体" w:eastAsia="宋体"/>
                <w:sz w:val="24"/>
                <w:szCs w:val="24"/>
                <w:highlight w:val="none"/>
              </w:rPr>
            </w:pPr>
            <w:r>
              <w:rPr>
                <w:rFonts w:hint="eastAsia" w:hAnsi="宋体" w:eastAsia="宋体"/>
                <w:sz w:val="24"/>
                <w:szCs w:val="24"/>
                <w:highlight w:val="none"/>
              </w:rPr>
              <w:t>数量</w:t>
            </w:r>
          </w:p>
        </w:tc>
        <w:tc>
          <w:tcPr>
            <w:tcW w:w="1043" w:type="dxa"/>
            <w:tcBorders>
              <w:top w:val="single" w:color="auto" w:sz="6" w:space="0"/>
              <w:left w:val="single" w:color="auto" w:sz="6" w:space="0"/>
              <w:bottom w:val="single" w:color="auto" w:sz="6" w:space="0"/>
              <w:right w:val="single" w:color="auto" w:sz="4" w:space="0"/>
            </w:tcBorders>
            <w:vAlign w:val="center"/>
          </w:tcPr>
          <w:p w14:paraId="18680059">
            <w:pPr>
              <w:pStyle w:val="233"/>
              <w:spacing w:line="360" w:lineRule="auto"/>
              <w:jc w:val="center"/>
              <w:rPr>
                <w:rFonts w:hAnsi="宋体" w:eastAsia="宋体"/>
                <w:sz w:val="24"/>
                <w:szCs w:val="24"/>
                <w:highlight w:val="none"/>
              </w:rPr>
            </w:pPr>
            <w:r>
              <w:rPr>
                <w:rFonts w:hint="eastAsia" w:hAnsi="宋体" w:eastAsia="宋体"/>
                <w:sz w:val="24"/>
                <w:szCs w:val="24"/>
                <w:highlight w:val="none"/>
              </w:rPr>
              <w:t>交付期</w:t>
            </w:r>
          </w:p>
        </w:tc>
      </w:tr>
      <w:tr w14:paraId="492132C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2074B3CE">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7853572">
            <w:pPr>
              <w:pStyle w:val="233"/>
              <w:spacing w:line="360" w:lineRule="auto"/>
              <w:jc w:val="center"/>
              <w:rPr>
                <w:rFonts w:hAnsi="宋体" w:eastAsia="宋体"/>
                <w:sz w:val="24"/>
                <w:szCs w:val="24"/>
                <w:highlight w:val="none"/>
              </w:rPr>
            </w:pPr>
          </w:p>
        </w:tc>
        <w:tc>
          <w:tcPr>
            <w:tcW w:w="2835" w:type="dxa"/>
            <w:tcBorders>
              <w:top w:val="single" w:color="auto" w:sz="4" w:space="0"/>
              <w:left w:val="single" w:color="auto" w:sz="6" w:space="0"/>
              <w:bottom w:val="single" w:color="auto" w:sz="6" w:space="0"/>
              <w:right w:val="single" w:color="auto" w:sz="6" w:space="0"/>
            </w:tcBorders>
          </w:tcPr>
          <w:p w14:paraId="7C6F44A0">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E85908A">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22B556D0">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278D72A">
            <w:pPr>
              <w:pStyle w:val="233"/>
              <w:spacing w:line="360" w:lineRule="auto"/>
              <w:jc w:val="center"/>
              <w:rPr>
                <w:rFonts w:hAnsi="宋体" w:eastAsia="宋体"/>
                <w:sz w:val="24"/>
                <w:szCs w:val="24"/>
                <w:highlight w:val="none"/>
              </w:rPr>
            </w:pPr>
          </w:p>
        </w:tc>
      </w:tr>
      <w:tr w14:paraId="0AB16E8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CFE32E0">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4A85EE10">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517887CB">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6FB5E671">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1AB5CB68">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15D6663">
            <w:pPr>
              <w:pStyle w:val="233"/>
              <w:spacing w:line="360" w:lineRule="auto"/>
              <w:jc w:val="center"/>
              <w:rPr>
                <w:rFonts w:hAnsi="宋体" w:eastAsia="宋体"/>
                <w:sz w:val="24"/>
                <w:szCs w:val="24"/>
                <w:highlight w:val="none"/>
              </w:rPr>
            </w:pPr>
          </w:p>
        </w:tc>
      </w:tr>
      <w:tr w14:paraId="283371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72DEC0DD">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4A84828F">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67235970">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7D777A9C">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0F6A7A34">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50C0C335">
            <w:pPr>
              <w:pStyle w:val="233"/>
              <w:spacing w:line="360" w:lineRule="auto"/>
              <w:jc w:val="center"/>
              <w:rPr>
                <w:rFonts w:hAnsi="宋体" w:eastAsia="宋体"/>
                <w:sz w:val="24"/>
                <w:szCs w:val="24"/>
                <w:highlight w:val="none"/>
              </w:rPr>
            </w:pPr>
          </w:p>
        </w:tc>
      </w:tr>
      <w:tr w14:paraId="261A66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47FFADD2">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3390D5C">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578E0FE7">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36CAA21C">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327080F6">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54667653">
            <w:pPr>
              <w:pStyle w:val="233"/>
              <w:spacing w:line="360" w:lineRule="auto"/>
              <w:jc w:val="center"/>
              <w:rPr>
                <w:rFonts w:hAnsi="宋体" w:eastAsia="宋体"/>
                <w:sz w:val="24"/>
                <w:szCs w:val="24"/>
                <w:highlight w:val="none"/>
              </w:rPr>
            </w:pPr>
          </w:p>
        </w:tc>
      </w:tr>
      <w:tr w14:paraId="57C95F0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63E1785E">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442AF57E">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7F6A3110">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5CB69986">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770AA8ED">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3B3DEE8">
            <w:pPr>
              <w:pStyle w:val="233"/>
              <w:spacing w:line="360" w:lineRule="auto"/>
              <w:jc w:val="center"/>
              <w:rPr>
                <w:rFonts w:hAnsi="宋体" w:eastAsia="宋体"/>
                <w:sz w:val="24"/>
                <w:szCs w:val="24"/>
                <w:highlight w:val="none"/>
              </w:rPr>
            </w:pPr>
          </w:p>
        </w:tc>
      </w:tr>
      <w:tr w14:paraId="16DA914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493D7CDD">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52A14BB">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6D902977">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60880226">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2AECAE21">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4ACDDA55">
            <w:pPr>
              <w:pStyle w:val="233"/>
              <w:spacing w:line="360" w:lineRule="auto"/>
              <w:jc w:val="center"/>
              <w:rPr>
                <w:rFonts w:hAnsi="宋体" w:eastAsia="宋体"/>
                <w:sz w:val="24"/>
                <w:szCs w:val="24"/>
                <w:highlight w:val="none"/>
              </w:rPr>
            </w:pPr>
          </w:p>
        </w:tc>
      </w:tr>
      <w:tr w14:paraId="147D4E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43D8569D">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55179D56">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154060A2">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7ECDFAEE">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3BFACF78">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5F5C7BEE">
            <w:pPr>
              <w:pStyle w:val="233"/>
              <w:spacing w:line="360" w:lineRule="auto"/>
              <w:jc w:val="center"/>
              <w:rPr>
                <w:rFonts w:hAnsi="宋体" w:eastAsia="宋体"/>
                <w:sz w:val="24"/>
                <w:szCs w:val="24"/>
                <w:highlight w:val="none"/>
              </w:rPr>
            </w:pPr>
          </w:p>
        </w:tc>
      </w:tr>
      <w:tr w14:paraId="01765E7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698E68E6">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58C119FC">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69270AA8">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03AA60AE">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5E59E9B5">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42A1CEED">
            <w:pPr>
              <w:pStyle w:val="233"/>
              <w:spacing w:line="360" w:lineRule="auto"/>
              <w:jc w:val="center"/>
              <w:rPr>
                <w:rFonts w:hAnsi="宋体" w:eastAsia="宋体"/>
                <w:sz w:val="24"/>
                <w:szCs w:val="24"/>
                <w:highlight w:val="none"/>
              </w:rPr>
            </w:pPr>
          </w:p>
        </w:tc>
      </w:tr>
      <w:tr w14:paraId="6763E5F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29B874E">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3405120">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4B378AA3">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633FF81D">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6EBE7FC8">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636F6B5D">
            <w:pPr>
              <w:pStyle w:val="233"/>
              <w:spacing w:line="360" w:lineRule="auto"/>
              <w:jc w:val="center"/>
              <w:rPr>
                <w:rFonts w:hAnsi="宋体" w:eastAsia="宋体"/>
                <w:sz w:val="24"/>
                <w:szCs w:val="24"/>
                <w:highlight w:val="none"/>
              </w:rPr>
            </w:pPr>
          </w:p>
        </w:tc>
      </w:tr>
      <w:tr w14:paraId="3F9271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4A6ADD75">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70F0BD7A">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1D99B373">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94CA77F">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12BA5C1C">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65F56397">
            <w:pPr>
              <w:pStyle w:val="233"/>
              <w:spacing w:line="360" w:lineRule="auto"/>
              <w:jc w:val="center"/>
              <w:rPr>
                <w:rFonts w:hAnsi="宋体" w:eastAsia="宋体"/>
                <w:sz w:val="24"/>
                <w:szCs w:val="24"/>
                <w:highlight w:val="none"/>
              </w:rPr>
            </w:pPr>
          </w:p>
        </w:tc>
      </w:tr>
      <w:tr w14:paraId="46DC77F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6B85F0E8">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46F8E3A4">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2562E608">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4DFD6090">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7A081D72">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3E0E820B">
            <w:pPr>
              <w:pStyle w:val="233"/>
              <w:spacing w:line="360" w:lineRule="auto"/>
              <w:jc w:val="center"/>
              <w:rPr>
                <w:rFonts w:hAnsi="宋体" w:eastAsia="宋体"/>
                <w:sz w:val="24"/>
                <w:szCs w:val="24"/>
                <w:highlight w:val="none"/>
              </w:rPr>
            </w:pPr>
          </w:p>
        </w:tc>
      </w:tr>
      <w:tr w14:paraId="3DBB946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03AA585">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8393A8D">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44C41CF1">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6324ACEF">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62DBEFB0">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45168430">
            <w:pPr>
              <w:pStyle w:val="233"/>
              <w:spacing w:line="360" w:lineRule="auto"/>
              <w:jc w:val="center"/>
              <w:rPr>
                <w:rFonts w:hAnsi="宋体" w:eastAsia="宋体"/>
                <w:sz w:val="24"/>
                <w:szCs w:val="24"/>
                <w:highlight w:val="none"/>
              </w:rPr>
            </w:pPr>
          </w:p>
        </w:tc>
      </w:tr>
      <w:tr w14:paraId="755132E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01947938">
            <w:pPr>
              <w:pStyle w:val="233"/>
              <w:spacing w:line="360" w:lineRule="auto"/>
              <w:jc w:val="center"/>
              <w:rPr>
                <w:rFonts w:hAnsi="宋体" w:eastAsia="宋体"/>
                <w:sz w:val="24"/>
                <w:szCs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54AD6C56">
            <w:pPr>
              <w:pStyle w:val="233"/>
              <w:spacing w:line="360" w:lineRule="auto"/>
              <w:jc w:val="center"/>
              <w:rPr>
                <w:rFonts w:hAnsi="宋体" w:eastAsia="宋体"/>
                <w:sz w:val="24"/>
                <w:szCs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23D43930">
            <w:pPr>
              <w:pStyle w:val="233"/>
              <w:spacing w:line="360" w:lineRule="auto"/>
              <w:jc w:val="center"/>
              <w:rPr>
                <w:rFonts w:hAnsi="宋体" w:eastAsia="宋体"/>
                <w:sz w:val="24"/>
                <w:szCs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FF520EE">
            <w:pPr>
              <w:pStyle w:val="233"/>
              <w:spacing w:line="360" w:lineRule="auto"/>
              <w:jc w:val="center"/>
              <w:rPr>
                <w:rFonts w:hAnsi="宋体" w:eastAsia="宋体"/>
                <w:sz w:val="24"/>
                <w:szCs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60D89821">
            <w:pPr>
              <w:pStyle w:val="233"/>
              <w:spacing w:line="360" w:lineRule="auto"/>
              <w:jc w:val="center"/>
              <w:rPr>
                <w:rFonts w:hAnsi="宋体" w:eastAsia="宋体"/>
                <w:sz w:val="24"/>
                <w:szCs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403C9CE0">
            <w:pPr>
              <w:pStyle w:val="233"/>
              <w:spacing w:line="360" w:lineRule="auto"/>
              <w:jc w:val="center"/>
              <w:rPr>
                <w:rFonts w:hAnsi="宋体" w:eastAsia="宋体"/>
                <w:sz w:val="24"/>
                <w:szCs w:val="24"/>
                <w:highlight w:val="none"/>
              </w:rPr>
            </w:pPr>
          </w:p>
        </w:tc>
      </w:tr>
    </w:tbl>
    <w:p w14:paraId="13FF8559">
      <w:pPr>
        <w:pBdr>
          <w:top w:val="none" w:color="000000" w:sz="0" w:space="0"/>
          <w:left w:val="none" w:color="000000" w:sz="0" w:space="0"/>
          <w:bottom w:val="none" w:color="000000" w:sz="0" w:space="0"/>
          <w:right w:val="none" w:color="000000" w:sz="0" w:space="0"/>
        </w:pBdr>
        <w:spacing w:line="460" w:lineRule="atLeast"/>
        <w:ind w:firstLine="480"/>
        <w:rPr>
          <w:highlight w:val="none"/>
        </w:rPr>
      </w:pPr>
      <w:r>
        <w:rPr>
          <w:rFonts w:ascii="宋体" w:hAnsi="宋体" w:cs="宋体"/>
          <w:sz w:val="24"/>
          <w:highlight w:val="none"/>
        </w:rPr>
        <w:t> </w:t>
      </w:r>
    </w:p>
    <w:p w14:paraId="3F778ECA">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投标单位：（单位盖章）</w:t>
      </w:r>
    </w:p>
    <w:p w14:paraId="5E8DBD29">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法定代表人或代理人（签字或盖章）：</w:t>
      </w:r>
    </w:p>
    <w:p w14:paraId="115BB79D">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6CCD64F6">
      <w:pPr>
        <w:pBdr>
          <w:top w:val="none" w:color="000000" w:sz="0" w:space="0"/>
          <w:left w:val="none" w:color="000000" w:sz="0" w:space="0"/>
          <w:bottom w:val="none" w:color="000000" w:sz="0" w:space="0"/>
          <w:right w:val="none" w:color="000000" w:sz="0" w:space="0"/>
        </w:pBdr>
        <w:spacing w:line="460" w:lineRule="atLeast"/>
        <w:rPr>
          <w:highlight w:val="none"/>
        </w:rPr>
      </w:pPr>
      <w:r>
        <w:rPr>
          <w:rFonts w:ascii="宋体" w:hAnsi="宋体" w:cs="宋体"/>
          <w:sz w:val="24"/>
          <w:highlight w:val="none"/>
        </w:rPr>
        <w:t> </w:t>
      </w:r>
    </w:p>
    <w:p w14:paraId="5887B375">
      <w:pPr>
        <w:pBdr>
          <w:top w:val="none" w:color="000000" w:sz="0" w:space="0"/>
          <w:left w:val="none" w:color="000000" w:sz="0" w:space="0"/>
          <w:bottom w:val="none" w:color="000000" w:sz="0" w:space="0"/>
          <w:right w:val="none" w:color="000000" w:sz="0" w:space="0"/>
        </w:pBdr>
        <w:rPr>
          <w:rFonts w:ascii="宋体" w:hAnsi="宋体" w:cs="宋体"/>
          <w:highlight w:val="none"/>
        </w:rPr>
      </w:pPr>
      <w:r>
        <w:rPr>
          <w:rFonts w:hint="eastAsia" w:ascii="宋体" w:hAnsi="宋体" w:cs="宋体"/>
          <w:sz w:val="24"/>
          <w:highlight w:val="none"/>
        </w:rPr>
        <w:t> </w:t>
      </w:r>
    </w:p>
    <w:p w14:paraId="6350B2FB">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hint="eastAsia" w:ascii="宋体" w:hAnsi="宋体" w:cs="宋体"/>
          <w:sz w:val="24"/>
          <w:highlight w:val="none"/>
        </w:rPr>
        <w:t> </w:t>
      </w:r>
    </w:p>
    <w:p w14:paraId="0132CF6E">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3512F9A5">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365A14D7">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5907245B">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7CD36A6C">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6C420B40">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05FC6605">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09B340CA">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57CC53D6">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7E82AF24">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6667A492">
      <w:pPr>
        <w:pBdr>
          <w:top w:val="none" w:color="000000" w:sz="0" w:space="0"/>
          <w:left w:val="none" w:color="000000" w:sz="0" w:space="0"/>
          <w:bottom w:val="none" w:color="000000" w:sz="0" w:space="0"/>
          <w:right w:val="none" w:color="000000" w:sz="0" w:space="0"/>
        </w:pBdr>
        <w:rPr>
          <w:rFonts w:ascii="宋体" w:hAnsi="宋体" w:cs="宋体"/>
          <w:szCs w:val="21"/>
          <w:highlight w:val="none"/>
        </w:rPr>
      </w:pPr>
    </w:p>
    <w:p w14:paraId="66BCC71E">
      <w:pPr>
        <w:rPr>
          <w:rFonts w:ascii="宋体" w:hAnsi="宋体" w:cs="宋体"/>
          <w:b/>
          <w:bCs/>
          <w:sz w:val="32"/>
          <w:szCs w:val="32"/>
          <w:highlight w:val="none"/>
        </w:rPr>
      </w:pPr>
      <w:r>
        <w:rPr>
          <w:rFonts w:hint="eastAsia" w:ascii="宋体" w:hAnsi="宋体" w:cs="宋体"/>
          <w:b/>
          <w:bCs/>
          <w:sz w:val="32"/>
          <w:szCs w:val="32"/>
          <w:highlight w:val="none"/>
        </w:rPr>
        <w:t>9、技术（服务）要求偏离表</w:t>
      </w:r>
    </w:p>
    <w:p w14:paraId="6E97F39A">
      <w:pPr>
        <w:rPr>
          <w:rFonts w:ascii="宋体" w:hAnsi="宋体" w:cs="宋体"/>
          <w:b/>
          <w:sz w:val="30"/>
          <w:szCs w:val="30"/>
          <w:highlight w:val="none"/>
        </w:rPr>
      </w:pPr>
    </w:p>
    <w:p w14:paraId="68FF4597">
      <w:pPr>
        <w:rPr>
          <w:rFonts w:ascii="宋体" w:hAnsi="宋体" w:cs="宋体"/>
          <w:b/>
          <w:sz w:val="30"/>
          <w:szCs w:val="30"/>
          <w:highlight w:val="none"/>
        </w:rPr>
      </w:pPr>
      <w:r>
        <w:rPr>
          <w:rFonts w:hint="eastAsia" w:ascii="宋体" w:hAnsi="宋体" w:cs="宋体"/>
          <w:b/>
          <w:sz w:val="30"/>
          <w:szCs w:val="30"/>
          <w:highlight w:val="none"/>
        </w:rPr>
        <w:t>9.1、</w:t>
      </w:r>
      <w:bookmarkStart w:id="5" w:name="OLE_LINK3"/>
      <w:bookmarkStart w:id="6" w:name="OLE_LINK4"/>
      <w:r>
        <w:rPr>
          <w:rFonts w:hint="eastAsia" w:ascii="宋体" w:hAnsi="宋体" w:cs="宋体"/>
          <w:b/>
          <w:color w:val="auto"/>
          <w:sz w:val="30"/>
          <w:szCs w:val="30"/>
          <w:highlight w:val="none"/>
        </w:rPr>
        <w:t>★号</w:t>
      </w:r>
      <w:r>
        <w:rPr>
          <w:rFonts w:hint="eastAsia" w:ascii="宋体" w:hAnsi="宋体" w:cs="宋体"/>
          <w:b/>
          <w:sz w:val="30"/>
          <w:szCs w:val="30"/>
          <w:highlight w:val="none"/>
        </w:rPr>
        <w:t>要求参数</w:t>
      </w:r>
      <w:bookmarkEnd w:id="5"/>
      <w:bookmarkEnd w:id="6"/>
      <w:r>
        <w:rPr>
          <w:rFonts w:hint="eastAsia" w:ascii="宋体" w:hAnsi="宋体" w:cs="宋体"/>
          <w:b/>
          <w:sz w:val="30"/>
          <w:szCs w:val="30"/>
          <w:highlight w:val="none"/>
        </w:rPr>
        <w:t>响应偏离表</w:t>
      </w:r>
    </w:p>
    <w:p w14:paraId="4220FEED">
      <w:pPr>
        <w:jc w:val="center"/>
        <w:rPr>
          <w:rFonts w:ascii="宋体" w:hAnsi="宋体" w:cs="宋体"/>
          <w:b/>
          <w:sz w:val="30"/>
          <w:szCs w:val="30"/>
          <w:highlight w:val="none"/>
        </w:rPr>
      </w:pPr>
      <w:bookmarkStart w:id="7" w:name="OLE_LINK2"/>
      <w:bookmarkStart w:id="8" w:name="OLE_LINK1"/>
      <w:r>
        <w:rPr>
          <w:rFonts w:hint="eastAsia" w:ascii="宋体" w:hAnsi="宋体" w:cs="宋体"/>
          <w:b/>
          <w:sz w:val="30"/>
          <w:szCs w:val="30"/>
          <w:highlight w:val="none"/>
        </w:rPr>
        <w:t>★</w:t>
      </w:r>
      <w:bookmarkEnd w:id="7"/>
      <w:bookmarkEnd w:id="8"/>
      <w:r>
        <w:rPr>
          <w:rFonts w:hint="eastAsia" w:ascii="宋体" w:hAnsi="宋体" w:cs="宋体"/>
          <w:b/>
          <w:sz w:val="30"/>
          <w:szCs w:val="30"/>
          <w:highlight w:val="none"/>
        </w:rPr>
        <w:t>号要求参数响应偏离表（标记★响应）</w:t>
      </w:r>
    </w:p>
    <w:p w14:paraId="5D057D37">
      <w:pPr>
        <w:pStyle w:val="2"/>
        <w:rPr>
          <w:rFonts w:hint="eastAsia" w:ascii="宋体" w:hAnsi="宋体" w:cs="宋体" w:eastAsiaTheme="minorEastAsia"/>
          <w:b/>
          <w:sz w:val="30"/>
          <w:szCs w:val="30"/>
          <w:highlight w:val="none"/>
          <w:lang w:eastAsia="zh-CN"/>
        </w:rPr>
      </w:pPr>
    </w:p>
    <w:tbl>
      <w:tblPr>
        <w:tblStyle w:val="38"/>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00724C50">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2EC2935D">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p>
        </w:tc>
        <w:tc>
          <w:tcPr>
            <w:tcW w:w="1417" w:type="dxa"/>
            <w:tcBorders>
              <w:top w:val="single" w:color="auto" w:sz="4" w:space="0"/>
              <w:left w:val="nil"/>
              <w:bottom w:val="single" w:color="auto" w:sz="4" w:space="0"/>
              <w:right w:val="single" w:color="auto" w:sz="4" w:space="0"/>
            </w:tcBorders>
            <w:shd w:val="clear" w:color="auto" w:fill="auto"/>
            <w:vAlign w:val="center"/>
          </w:tcPr>
          <w:p w14:paraId="355CF4D4">
            <w:pPr>
              <w:jc w:val="center"/>
              <w:rPr>
                <w:rFonts w:ascii="宋体" w:hAnsi="宋体" w:cs="宋体"/>
                <w:color w:val="000000"/>
                <w:sz w:val="24"/>
                <w:highlight w:val="none"/>
              </w:rPr>
            </w:pPr>
            <w:r>
              <w:rPr>
                <w:rFonts w:hint="eastAsia" w:ascii="宋体" w:hAnsi="宋体" w:cs="宋体"/>
                <w:color w:val="000000"/>
                <w:sz w:val="24"/>
                <w:highlight w:val="none"/>
              </w:rPr>
              <w:t>标的名称</w:t>
            </w:r>
          </w:p>
        </w:tc>
        <w:tc>
          <w:tcPr>
            <w:tcW w:w="1560" w:type="dxa"/>
            <w:tcBorders>
              <w:top w:val="single" w:color="auto" w:sz="4" w:space="0"/>
              <w:left w:val="nil"/>
              <w:bottom w:val="single" w:color="auto" w:sz="4" w:space="0"/>
              <w:right w:val="single" w:color="auto" w:sz="4" w:space="0"/>
            </w:tcBorders>
            <w:shd w:val="clear" w:color="auto" w:fill="auto"/>
            <w:vAlign w:val="center"/>
          </w:tcPr>
          <w:p w14:paraId="69EEE2C8">
            <w:pPr>
              <w:jc w:val="center"/>
              <w:rPr>
                <w:rFonts w:ascii="宋体" w:hAnsi="宋体" w:cs="宋体"/>
                <w:color w:val="000000"/>
                <w:sz w:val="24"/>
                <w:highlight w:val="none"/>
              </w:rPr>
            </w:pPr>
            <w:r>
              <w:rPr>
                <w:rFonts w:hint="eastAsia" w:ascii="宋体" w:hAnsi="宋体" w:cs="宋体"/>
                <w:color w:val="000000"/>
                <w:sz w:val="24"/>
                <w:highlight w:val="none"/>
              </w:rPr>
              <w:t>招标文件</w:t>
            </w:r>
          </w:p>
          <w:p w14:paraId="072E2A33">
            <w:pPr>
              <w:jc w:val="center"/>
              <w:rPr>
                <w:rFonts w:ascii="宋体" w:hAnsi="宋体" w:cs="宋体"/>
                <w:color w:val="000000"/>
                <w:sz w:val="24"/>
                <w:highlight w:val="none"/>
              </w:rPr>
            </w:pPr>
            <w:r>
              <w:rPr>
                <w:rFonts w:hint="eastAsia" w:ascii="宋体" w:hAnsi="宋体" w:cs="宋体"/>
                <w:color w:val="000000"/>
                <w:sz w:val="24"/>
                <w:highlight w:val="none"/>
              </w:rPr>
              <w:t>技术要求</w:t>
            </w:r>
          </w:p>
        </w:tc>
        <w:tc>
          <w:tcPr>
            <w:tcW w:w="1417" w:type="dxa"/>
            <w:tcBorders>
              <w:top w:val="single" w:color="auto" w:sz="4" w:space="0"/>
              <w:left w:val="nil"/>
              <w:bottom w:val="single" w:color="auto" w:sz="4" w:space="0"/>
              <w:right w:val="single" w:color="auto" w:sz="4" w:space="0"/>
            </w:tcBorders>
            <w:shd w:val="clear" w:color="auto" w:fill="auto"/>
            <w:vAlign w:val="center"/>
          </w:tcPr>
          <w:p w14:paraId="57AA4A19">
            <w:pPr>
              <w:jc w:val="center"/>
              <w:rPr>
                <w:rFonts w:ascii="宋体" w:hAnsi="宋体" w:cs="宋体"/>
                <w:color w:val="000000"/>
                <w:sz w:val="24"/>
                <w:highlight w:val="none"/>
              </w:rPr>
            </w:pPr>
            <w:r>
              <w:rPr>
                <w:rFonts w:hint="eastAsia" w:ascii="宋体" w:hAnsi="宋体" w:cs="宋体"/>
                <w:color w:val="000000"/>
                <w:sz w:val="24"/>
                <w:highlight w:val="none"/>
              </w:rPr>
              <w:t>投标文件</w:t>
            </w:r>
          </w:p>
          <w:p w14:paraId="43A4F343">
            <w:pPr>
              <w:jc w:val="center"/>
              <w:rPr>
                <w:rFonts w:ascii="宋体" w:hAnsi="宋体" w:cs="宋体"/>
                <w:color w:val="000000"/>
                <w:sz w:val="24"/>
                <w:highlight w:val="none"/>
              </w:rPr>
            </w:pPr>
            <w:r>
              <w:rPr>
                <w:rFonts w:hint="eastAsia" w:ascii="宋体" w:hAnsi="宋体" w:cs="宋体"/>
                <w:color w:val="000000"/>
                <w:sz w:val="24"/>
                <w:highlight w:val="none"/>
              </w:rPr>
              <w:t>响应要求</w:t>
            </w:r>
          </w:p>
        </w:tc>
        <w:tc>
          <w:tcPr>
            <w:tcW w:w="1985" w:type="dxa"/>
            <w:tcBorders>
              <w:top w:val="single" w:color="auto" w:sz="4" w:space="0"/>
              <w:left w:val="nil"/>
              <w:bottom w:val="single" w:color="auto" w:sz="4" w:space="0"/>
              <w:right w:val="single" w:color="auto" w:sz="4" w:space="0"/>
            </w:tcBorders>
            <w:shd w:val="clear" w:color="auto" w:fill="auto"/>
            <w:vAlign w:val="center"/>
          </w:tcPr>
          <w:p w14:paraId="0967F807">
            <w:pPr>
              <w:jc w:val="center"/>
              <w:rPr>
                <w:rFonts w:ascii="宋体" w:hAnsi="宋体" w:cs="宋体"/>
                <w:color w:val="000000"/>
                <w:sz w:val="24"/>
                <w:highlight w:val="none"/>
              </w:rPr>
            </w:pPr>
            <w:r>
              <w:rPr>
                <w:rFonts w:hint="eastAsia" w:ascii="宋体" w:hAnsi="宋体" w:cs="宋体"/>
                <w:color w:val="000000"/>
                <w:sz w:val="24"/>
                <w:highlight w:val="none"/>
              </w:rPr>
              <w:t>偏离情况(正偏离/无偏离</w:t>
            </w:r>
          </w:p>
        </w:tc>
        <w:tc>
          <w:tcPr>
            <w:tcW w:w="1843" w:type="dxa"/>
            <w:tcBorders>
              <w:top w:val="single" w:color="auto" w:sz="4" w:space="0"/>
              <w:left w:val="nil"/>
              <w:bottom w:val="single" w:color="auto" w:sz="4" w:space="0"/>
              <w:right w:val="single" w:color="auto" w:sz="4" w:space="0"/>
            </w:tcBorders>
            <w:shd w:val="clear" w:color="auto" w:fill="auto"/>
            <w:vAlign w:val="center"/>
          </w:tcPr>
          <w:p w14:paraId="5EEDF454">
            <w:pPr>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7BC7C02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1A3A2A65">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42086E00">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0FB815EA">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0F4BCD73">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345CFCBA">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07899137">
            <w:pPr>
              <w:jc w:val="center"/>
              <w:rPr>
                <w:rFonts w:ascii="宋体" w:hAnsi="宋体" w:cs="宋体"/>
                <w:color w:val="000000"/>
                <w:sz w:val="24"/>
                <w:highlight w:val="none"/>
              </w:rPr>
            </w:pPr>
          </w:p>
        </w:tc>
      </w:tr>
      <w:tr w14:paraId="1CEC22C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6A0CE23A">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0517620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4B37995B">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1A745D4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03C7DCBF">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237BC9B6">
            <w:pPr>
              <w:jc w:val="center"/>
              <w:rPr>
                <w:rFonts w:ascii="宋体" w:hAnsi="宋体" w:cs="宋体"/>
                <w:color w:val="000000"/>
                <w:sz w:val="24"/>
                <w:highlight w:val="none"/>
              </w:rPr>
            </w:pPr>
          </w:p>
        </w:tc>
      </w:tr>
      <w:tr w14:paraId="0494048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1C9EC314">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0278CE6C">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6A31A97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56D74F0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6D33F24C">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7ACE4768">
            <w:pPr>
              <w:jc w:val="center"/>
              <w:rPr>
                <w:rFonts w:ascii="宋体" w:hAnsi="宋体" w:cs="宋体"/>
                <w:color w:val="000000"/>
                <w:sz w:val="24"/>
                <w:highlight w:val="none"/>
              </w:rPr>
            </w:pPr>
          </w:p>
        </w:tc>
      </w:tr>
      <w:tr w14:paraId="59BCF4E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29670CDC">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2B57A45B">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6AB0B9D3">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1986ABE4">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7C42A74B">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363B76CF">
            <w:pPr>
              <w:jc w:val="center"/>
              <w:rPr>
                <w:rFonts w:ascii="宋体" w:hAnsi="宋体" w:cs="宋体"/>
                <w:color w:val="000000"/>
                <w:sz w:val="24"/>
                <w:highlight w:val="none"/>
              </w:rPr>
            </w:pPr>
          </w:p>
        </w:tc>
      </w:tr>
      <w:tr w14:paraId="3957C8E2">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1B0D39B9">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0AC40245">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04C5D2B9">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545691D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4B8D06E9">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6B4D85CE">
            <w:pPr>
              <w:jc w:val="center"/>
              <w:rPr>
                <w:rFonts w:ascii="宋体" w:hAnsi="宋体" w:cs="宋体"/>
                <w:color w:val="000000"/>
                <w:sz w:val="24"/>
                <w:highlight w:val="none"/>
              </w:rPr>
            </w:pPr>
          </w:p>
        </w:tc>
      </w:tr>
    </w:tbl>
    <w:p w14:paraId="0DE3534C">
      <w:pPr>
        <w:rPr>
          <w:rFonts w:ascii="宋体" w:hAnsi="宋体" w:cs="宋体"/>
          <w:b/>
          <w:sz w:val="24"/>
          <w:highlight w:val="none"/>
        </w:rPr>
      </w:pPr>
    </w:p>
    <w:p w14:paraId="44971810">
      <w:pPr>
        <w:pStyle w:val="252"/>
        <w:spacing w:line="480" w:lineRule="exact"/>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注：</w:t>
      </w:r>
    </w:p>
    <w:p w14:paraId="4A5CA7DE">
      <w:pPr>
        <w:pStyle w:val="252"/>
        <w:spacing w:line="480" w:lineRule="exact"/>
        <w:ind w:firstLine="480" w:firstLineChars="200"/>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1、投标人应在本表中对照招标文件技术要求与实际投标技术要求，对</w:t>
      </w:r>
      <w:r>
        <w:rPr>
          <w:rFonts w:hint="eastAsia" w:cs="宋体" w:asciiTheme="minorEastAsia" w:hAnsiTheme="minorEastAsia" w:eastAsiaTheme="minorEastAsia"/>
          <w:b/>
          <w:sz w:val="24"/>
          <w:szCs w:val="30"/>
          <w:highlight w:val="none"/>
        </w:rPr>
        <w:t>★号要求参数</w:t>
      </w:r>
      <w:r>
        <w:rPr>
          <w:rFonts w:hint="eastAsia" w:asciiTheme="minorEastAsia" w:hAnsiTheme="minorEastAsia" w:eastAsiaTheme="minorEastAsia"/>
          <w:sz w:val="24"/>
          <w:highlight w:val="none"/>
        </w:rPr>
        <w:t>逐项对应列出，</w:t>
      </w:r>
      <w:r>
        <w:rPr>
          <w:rFonts w:hint="eastAsia" w:asciiTheme="minorEastAsia" w:hAnsiTheme="minorEastAsia" w:eastAsiaTheme="minorEastAsia"/>
          <w:b/>
          <w:sz w:val="24"/>
          <w:highlight w:val="none"/>
        </w:rPr>
        <w:t>参数不得偏离，并提供承诺函并加盖投标人公章</w:t>
      </w:r>
      <w:r>
        <w:rPr>
          <w:rFonts w:hint="eastAsia" w:asciiTheme="minorEastAsia" w:hAnsiTheme="minorEastAsia" w:eastAsiaTheme="minorEastAsia"/>
          <w:b/>
          <w:sz w:val="24"/>
          <w:highlight w:val="none"/>
          <w:lang w:eastAsia="zh-CN"/>
        </w:rPr>
        <w:t>，</w:t>
      </w:r>
      <w:r>
        <w:rPr>
          <w:rFonts w:hint="eastAsia" w:asciiTheme="minorEastAsia" w:hAnsiTheme="minorEastAsia" w:eastAsiaTheme="minorEastAsia"/>
          <w:b/>
          <w:sz w:val="24"/>
          <w:highlight w:val="none"/>
        </w:rPr>
        <w:t>否则视为未实质性响应。</w:t>
      </w:r>
    </w:p>
    <w:p w14:paraId="75BB8BA0">
      <w:pPr>
        <w:pStyle w:val="252"/>
        <w:spacing w:line="48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2、若事项较多，投标人可根据响应内容的实际情况另纸说明。</w:t>
      </w:r>
    </w:p>
    <w:p w14:paraId="05891516">
      <w:pPr>
        <w:rPr>
          <w:rFonts w:ascii="宋体" w:hAnsi="宋体" w:cs="宋体"/>
          <w:sz w:val="24"/>
          <w:highlight w:val="none"/>
        </w:rPr>
      </w:pPr>
    </w:p>
    <w:p w14:paraId="5AA81EC9">
      <w:pPr>
        <w:rPr>
          <w:rFonts w:ascii="宋体" w:hAnsi="宋体" w:cs="宋体"/>
          <w:sz w:val="24"/>
          <w:highlight w:val="none"/>
        </w:rPr>
      </w:pPr>
    </w:p>
    <w:p w14:paraId="2924327F">
      <w:pPr>
        <w:rPr>
          <w:rFonts w:ascii="宋体" w:hAnsi="宋体" w:cs="宋体"/>
          <w:sz w:val="24"/>
          <w:highlight w:val="none"/>
        </w:rPr>
      </w:pPr>
    </w:p>
    <w:p w14:paraId="0D35773A">
      <w:pPr>
        <w:rPr>
          <w:rFonts w:ascii="宋体" w:hAnsi="宋体" w:cs="宋体"/>
          <w:sz w:val="24"/>
          <w:highlight w:val="none"/>
        </w:rPr>
      </w:pPr>
      <w:r>
        <w:rPr>
          <w:rFonts w:hint="eastAsia" w:ascii="宋体" w:hAnsi="宋体" w:cs="宋体"/>
          <w:sz w:val="24"/>
          <w:highlight w:val="none"/>
        </w:rPr>
        <w:t>投标单位：（单位盖章）</w:t>
      </w:r>
    </w:p>
    <w:p w14:paraId="34B8409F">
      <w:pPr>
        <w:rPr>
          <w:rFonts w:ascii="宋体" w:hAnsi="宋体" w:cs="宋体"/>
          <w:bCs/>
          <w:sz w:val="24"/>
          <w:highlight w:val="none"/>
        </w:rPr>
      </w:pPr>
      <w:r>
        <w:rPr>
          <w:rFonts w:hint="eastAsia" w:ascii="宋体" w:hAnsi="宋体" w:cs="宋体"/>
          <w:sz w:val="24"/>
          <w:highlight w:val="none"/>
        </w:rPr>
        <w:t>法定代表人或代理人（签字或盖章）</w:t>
      </w:r>
      <w:r>
        <w:rPr>
          <w:rFonts w:hint="eastAsia" w:ascii="宋体" w:hAnsi="宋体" w:cs="宋体"/>
          <w:bCs/>
          <w:sz w:val="24"/>
          <w:highlight w:val="none"/>
        </w:rPr>
        <w:t>：</w:t>
      </w:r>
    </w:p>
    <w:p w14:paraId="55E61C1A">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hint="eastAsia" w:ascii="宋体" w:hAnsi="宋体" w:cs="宋体"/>
          <w:sz w:val="24"/>
          <w:highlight w:val="none"/>
        </w:rPr>
        <w:t>投标日期：   年   月   日</w:t>
      </w:r>
    </w:p>
    <w:p w14:paraId="7902DD82">
      <w:pPr>
        <w:rPr>
          <w:rFonts w:ascii="宋体" w:hAnsi="宋体" w:cs="宋体"/>
          <w:b/>
          <w:sz w:val="30"/>
          <w:szCs w:val="30"/>
          <w:highlight w:val="none"/>
        </w:rPr>
      </w:pPr>
    </w:p>
    <w:p w14:paraId="426836B3">
      <w:pPr>
        <w:rPr>
          <w:rFonts w:ascii="宋体" w:hAnsi="宋体" w:cs="宋体"/>
          <w:b/>
          <w:sz w:val="30"/>
          <w:szCs w:val="30"/>
          <w:highlight w:val="none"/>
        </w:rPr>
      </w:pPr>
    </w:p>
    <w:p w14:paraId="146C7FB3">
      <w:pPr>
        <w:pStyle w:val="2"/>
        <w:rPr>
          <w:rFonts w:eastAsiaTheme="minorEastAsia"/>
          <w:highlight w:val="none"/>
          <w:lang w:eastAsia="zh-CN"/>
        </w:rPr>
      </w:pPr>
    </w:p>
    <w:p w14:paraId="29D79B1C">
      <w:pPr>
        <w:pStyle w:val="3"/>
        <w:rPr>
          <w:highlight w:val="none"/>
          <w:lang w:eastAsia="zh-CN"/>
        </w:rPr>
      </w:pPr>
    </w:p>
    <w:p w14:paraId="3B627BD6">
      <w:pPr>
        <w:rPr>
          <w:highlight w:val="none"/>
        </w:rPr>
      </w:pPr>
    </w:p>
    <w:p w14:paraId="603B4791">
      <w:pPr>
        <w:pStyle w:val="2"/>
        <w:rPr>
          <w:rFonts w:eastAsiaTheme="minorEastAsia"/>
          <w:highlight w:val="none"/>
          <w:lang w:eastAsia="zh-CN"/>
        </w:rPr>
      </w:pPr>
    </w:p>
    <w:p w14:paraId="140AB704">
      <w:pPr>
        <w:pStyle w:val="3"/>
        <w:rPr>
          <w:highlight w:val="none"/>
          <w:lang w:eastAsia="zh-CN"/>
        </w:rPr>
      </w:pPr>
    </w:p>
    <w:p w14:paraId="5E0B71B1">
      <w:pPr>
        <w:rPr>
          <w:highlight w:val="none"/>
        </w:rPr>
      </w:pPr>
    </w:p>
    <w:p w14:paraId="3E6D80D8">
      <w:pPr>
        <w:pStyle w:val="2"/>
        <w:rPr>
          <w:rFonts w:eastAsiaTheme="minorEastAsia"/>
          <w:highlight w:val="none"/>
          <w:lang w:eastAsia="zh-CN"/>
        </w:rPr>
      </w:pPr>
    </w:p>
    <w:p w14:paraId="46933B7E">
      <w:pPr>
        <w:rPr>
          <w:highlight w:val="none"/>
        </w:rPr>
      </w:pPr>
    </w:p>
    <w:p w14:paraId="1EE4A9D5">
      <w:pPr>
        <w:pStyle w:val="2"/>
        <w:rPr>
          <w:rFonts w:hint="eastAsia" w:ascii="宋体" w:hAnsi="宋体" w:cs="宋体" w:eastAsiaTheme="minorEastAsia"/>
          <w:b/>
          <w:sz w:val="30"/>
          <w:szCs w:val="30"/>
          <w:highlight w:val="none"/>
          <w:lang w:eastAsia="zh-CN"/>
        </w:rPr>
      </w:pPr>
    </w:p>
    <w:p w14:paraId="1F8EC619">
      <w:pPr>
        <w:rPr>
          <w:rFonts w:ascii="宋体" w:hAnsi="宋体" w:cs="宋体"/>
          <w:b/>
          <w:sz w:val="30"/>
          <w:szCs w:val="30"/>
          <w:highlight w:val="none"/>
        </w:rPr>
      </w:pPr>
      <w:r>
        <w:rPr>
          <w:rFonts w:hint="eastAsia" w:ascii="宋体" w:hAnsi="宋体" w:cs="宋体"/>
          <w:b/>
          <w:sz w:val="30"/>
          <w:szCs w:val="30"/>
          <w:highlight w:val="none"/>
        </w:rPr>
        <w:t>9.</w:t>
      </w:r>
      <w:r>
        <w:rPr>
          <w:rFonts w:ascii="宋体" w:hAnsi="宋体" w:cs="宋体"/>
          <w:b/>
          <w:sz w:val="30"/>
          <w:szCs w:val="30"/>
          <w:highlight w:val="none"/>
        </w:rPr>
        <w:t>2</w:t>
      </w:r>
      <w:r>
        <w:rPr>
          <w:rFonts w:hint="eastAsia" w:ascii="宋体" w:hAnsi="宋体" w:cs="宋体"/>
          <w:b/>
          <w:sz w:val="30"/>
          <w:szCs w:val="30"/>
          <w:highlight w:val="none"/>
        </w:rPr>
        <w:t>、重要要求参数响应偏离表</w:t>
      </w:r>
    </w:p>
    <w:p w14:paraId="4B80C9CD">
      <w:pPr>
        <w:jc w:val="center"/>
        <w:rPr>
          <w:rFonts w:ascii="宋体" w:hAnsi="宋体" w:cs="宋体"/>
          <w:b/>
          <w:sz w:val="30"/>
          <w:szCs w:val="30"/>
          <w:highlight w:val="none"/>
        </w:rPr>
      </w:pPr>
      <w:r>
        <w:rPr>
          <w:rFonts w:hint="eastAsia" w:ascii="宋体" w:hAnsi="宋体" w:cs="宋体"/>
          <w:b/>
          <w:sz w:val="30"/>
          <w:szCs w:val="30"/>
          <w:highlight w:val="none"/>
        </w:rPr>
        <w:t>重要要求参数响应偏离表（标记▲响应）</w:t>
      </w:r>
    </w:p>
    <w:p w14:paraId="2A5A05BE">
      <w:pPr>
        <w:pStyle w:val="3"/>
        <w:spacing w:after="0" w:line="360" w:lineRule="auto"/>
        <w:ind w:left="220"/>
        <w:rPr>
          <w:rFonts w:ascii="宋体" w:hAnsi="宋体" w:eastAsia="宋体" w:cs="宋体"/>
          <w:sz w:val="24"/>
          <w:highlight w:val="none"/>
        </w:rPr>
      </w:pPr>
      <w:r>
        <w:rPr>
          <w:rFonts w:hint="eastAsia" w:ascii="宋体" w:hAnsi="宋体" w:eastAsia="宋体" w:cs="宋体"/>
          <w:sz w:val="24"/>
          <w:highlight w:val="none"/>
        </w:rPr>
        <w:t xml:space="preserve"> </w:t>
      </w:r>
    </w:p>
    <w:tbl>
      <w:tblPr>
        <w:tblStyle w:val="38"/>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04AFC953">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185DA5E5">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p>
        </w:tc>
        <w:tc>
          <w:tcPr>
            <w:tcW w:w="1417" w:type="dxa"/>
            <w:tcBorders>
              <w:top w:val="single" w:color="auto" w:sz="4" w:space="0"/>
              <w:left w:val="nil"/>
              <w:bottom w:val="single" w:color="auto" w:sz="4" w:space="0"/>
              <w:right w:val="single" w:color="auto" w:sz="4" w:space="0"/>
            </w:tcBorders>
            <w:shd w:val="clear" w:color="auto" w:fill="auto"/>
            <w:vAlign w:val="center"/>
          </w:tcPr>
          <w:p w14:paraId="016B0F25">
            <w:pPr>
              <w:jc w:val="center"/>
              <w:rPr>
                <w:rFonts w:ascii="宋体" w:hAnsi="宋体" w:cs="宋体"/>
                <w:color w:val="000000"/>
                <w:sz w:val="24"/>
                <w:highlight w:val="none"/>
              </w:rPr>
            </w:pPr>
            <w:r>
              <w:rPr>
                <w:rFonts w:hint="eastAsia" w:ascii="宋体" w:hAnsi="宋体" w:cs="宋体"/>
                <w:color w:val="000000"/>
                <w:sz w:val="24"/>
                <w:highlight w:val="none"/>
              </w:rPr>
              <w:t>标的名称</w:t>
            </w:r>
          </w:p>
        </w:tc>
        <w:tc>
          <w:tcPr>
            <w:tcW w:w="1560" w:type="dxa"/>
            <w:tcBorders>
              <w:top w:val="single" w:color="auto" w:sz="4" w:space="0"/>
              <w:left w:val="nil"/>
              <w:bottom w:val="single" w:color="auto" w:sz="4" w:space="0"/>
              <w:right w:val="single" w:color="auto" w:sz="4" w:space="0"/>
            </w:tcBorders>
            <w:shd w:val="clear" w:color="auto" w:fill="auto"/>
            <w:vAlign w:val="center"/>
          </w:tcPr>
          <w:p w14:paraId="3052D103">
            <w:pPr>
              <w:jc w:val="center"/>
              <w:rPr>
                <w:rFonts w:ascii="宋体" w:hAnsi="宋体" w:cs="宋体"/>
                <w:color w:val="000000"/>
                <w:sz w:val="24"/>
                <w:highlight w:val="none"/>
              </w:rPr>
            </w:pPr>
            <w:r>
              <w:rPr>
                <w:rFonts w:hint="eastAsia" w:ascii="宋体" w:hAnsi="宋体" w:cs="宋体"/>
                <w:color w:val="000000"/>
                <w:sz w:val="24"/>
                <w:highlight w:val="none"/>
              </w:rPr>
              <w:t>招标文件</w:t>
            </w:r>
          </w:p>
          <w:p w14:paraId="6ADA3A01">
            <w:pPr>
              <w:jc w:val="center"/>
              <w:rPr>
                <w:rFonts w:ascii="宋体" w:hAnsi="宋体" w:cs="宋体"/>
                <w:color w:val="000000"/>
                <w:sz w:val="24"/>
                <w:highlight w:val="none"/>
              </w:rPr>
            </w:pPr>
            <w:r>
              <w:rPr>
                <w:rFonts w:hint="eastAsia" w:ascii="宋体" w:hAnsi="宋体" w:cs="宋体"/>
                <w:color w:val="000000"/>
                <w:sz w:val="24"/>
                <w:highlight w:val="none"/>
              </w:rPr>
              <w:t>技术要求</w:t>
            </w:r>
          </w:p>
        </w:tc>
        <w:tc>
          <w:tcPr>
            <w:tcW w:w="1417" w:type="dxa"/>
            <w:tcBorders>
              <w:top w:val="single" w:color="auto" w:sz="4" w:space="0"/>
              <w:left w:val="nil"/>
              <w:bottom w:val="single" w:color="auto" w:sz="4" w:space="0"/>
              <w:right w:val="single" w:color="auto" w:sz="4" w:space="0"/>
            </w:tcBorders>
            <w:shd w:val="clear" w:color="auto" w:fill="auto"/>
            <w:vAlign w:val="center"/>
          </w:tcPr>
          <w:p w14:paraId="0434144B">
            <w:pPr>
              <w:jc w:val="center"/>
              <w:rPr>
                <w:rFonts w:ascii="宋体" w:hAnsi="宋体" w:cs="宋体"/>
                <w:color w:val="000000"/>
                <w:sz w:val="24"/>
                <w:highlight w:val="none"/>
              </w:rPr>
            </w:pPr>
            <w:r>
              <w:rPr>
                <w:rFonts w:hint="eastAsia" w:ascii="宋体" w:hAnsi="宋体" w:cs="宋体"/>
                <w:color w:val="000000"/>
                <w:sz w:val="24"/>
                <w:highlight w:val="none"/>
              </w:rPr>
              <w:t>投标文件</w:t>
            </w:r>
          </w:p>
          <w:p w14:paraId="48D8C3E6">
            <w:pPr>
              <w:jc w:val="center"/>
              <w:rPr>
                <w:rFonts w:ascii="宋体" w:hAnsi="宋体" w:cs="宋体"/>
                <w:color w:val="000000"/>
                <w:sz w:val="24"/>
                <w:highlight w:val="none"/>
              </w:rPr>
            </w:pPr>
            <w:r>
              <w:rPr>
                <w:rFonts w:hint="eastAsia" w:ascii="宋体" w:hAnsi="宋体" w:cs="宋体"/>
                <w:color w:val="000000"/>
                <w:sz w:val="24"/>
                <w:highlight w:val="none"/>
              </w:rPr>
              <w:t>响应要求</w:t>
            </w:r>
          </w:p>
        </w:tc>
        <w:tc>
          <w:tcPr>
            <w:tcW w:w="1985" w:type="dxa"/>
            <w:tcBorders>
              <w:top w:val="single" w:color="auto" w:sz="4" w:space="0"/>
              <w:left w:val="nil"/>
              <w:bottom w:val="single" w:color="auto" w:sz="4" w:space="0"/>
              <w:right w:val="single" w:color="auto" w:sz="4" w:space="0"/>
            </w:tcBorders>
            <w:shd w:val="clear" w:color="auto" w:fill="auto"/>
            <w:vAlign w:val="center"/>
          </w:tcPr>
          <w:p w14:paraId="47CAC8C4">
            <w:pPr>
              <w:jc w:val="center"/>
              <w:rPr>
                <w:rFonts w:ascii="宋体" w:hAnsi="宋体" w:cs="宋体"/>
                <w:color w:val="000000"/>
                <w:sz w:val="24"/>
                <w:highlight w:val="none"/>
              </w:rPr>
            </w:pPr>
            <w:r>
              <w:rPr>
                <w:rFonts w:hint="eastAsia" w:ascii="宋体" w:hAnsi="宋体" w:cs="宋体"/>
                <w:color w:val="000000"/>
                <w:sz w:val="24"/>
                <w:highlight w:val="none"/>
              </w:rPr>
              <w:t>偏离情况(正偏离/无偏离/负偏离)</w:t>
            </w:r>
          </w:p>
        </w:tc>
        <w:tc>
          <w:tcPr>
            <w:tcW w:w="1843" w:type="dxa"/>
            <w:tcBorders>
              <w:top w:val="single" w:color="auto" w:sz="4" w:space="0"/>
              <w:left w:val="nil"/>
              <w:bottom w:val="single" w:color="auto" w:sz="4" w:space="0"/>
              <w:right w:val="single" w:color="auto" w:sz="4" w:space="0"/>
            </w:tcBorders>
            <w:shd w:val="clear" w:color="auto" w:fill="auto"/>
            <w:vAlign w:val="center"/>
          </w:tcPr>
          <w:p w14:paraId="11710672">
            <w:pPr>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3F397DC1">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35674D42">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54C3382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4913F94D">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60C3D1CF">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624B128F">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68BECD6F">
            <w:pPr>
              <w:jc w:val="center"/>
              <w:rPr>
                <w:rFonts w:ascii="宋体" w:hAnsi="宋体" w:cs="宋体"/>
                <w:color w:val="000000"/>
                <w:sz w:val="24"/>
                <w:highlight w:val="none"/>
              </w:rPr>
            </w:pPr>
          </w:p>
        </w:tc>
      </w:tr>
      <w:tr w14:paraId="1FF9B8D1">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412FEB41">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374E9E4C">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51FB96EF">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6AFD2461">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5F72ECC8">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1CEF7897">
            <w:pPr>
              <w:jc w:val="center"/>
              <w:rPr>
                <w:rFonts w:ascii="宋体" w:hAnsi="宋体" w:cs="宋体"/>
                <w:color w:val="000000"/>
                <w:sz w:val="24"/>
                <w:highlight w:val="none"/>
              </w:rPr>
            </w:pPr>
          </w:p>
        </w:tc>
      </w:tr>
      <w:tr w14:paraId="4C1A1045">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076C4465">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1BB69AF1">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25E53879">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076ABBF9">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0BBF8F89">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2A444965">
            <w:pPr>
              <w:jc w:val="center"/>
              <w:rPr>
                <w:rFonts w:ascii="宋体" w:hAnsi="宋体" w:cs="宋体"/>
                <w:color w:val="000000"/>
                <w:sz w:val="24"/>
                <w:highlight w:val="none"/>
              </w:rPr>
            </w:pPr>
          </w:p>
        </w:tc>
      </w:tr>
      <w:tr w14:paraId="7634573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07223490">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7B4FB52C">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05A8618E">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79769DAD">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47D1324D">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6C2F55D1">
            <w:pPr>
              <w:jc w:val="center"/>
              <w:rPr>
                <w:rFonts w:ascii="宋体" w:hAnsi="宋体" w:cs="宋体"/>
                <w:color w:val="000000"/>
                <w:sz w:val="24"/>
                <w:highlight w:val="none"/>
              </w:rPr>
            </w:pPr>
          </w:p>
        </w:tc>
      </w:tr>
      <w:tr w14:paraId="37AFBD3A">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449DE730">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015DDEC1">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38215458">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7DA0C33D">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077EE599">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7043202D">
            <w:pPr>
              <w:jc w:val="center"/>
              <w:rPr>
                <w:rFonts w:ascii="宋体" w:hAnsi="宋体" w:cs="宋体"/>
                <w:color w:val="000000"/>
                <w:sz w:val="24"/>
                <w:highlight w:val="none"/>
              </w:rPr>
            </w:pPr>
          </w:p>
        </w:tc>
      </w:tr>
    </w:tbl>
    <w:p w14:paraId="067501BF">
      <w:pPr>
        <w:rPr>
          <w:rFonts w:ascii="宋体" w:hAnsi="宋体" w:cs="宋体"/>
          <w:b/>
          <w:sz w:val="24"/>
          <w:highlight w:val="none"/>
        </w:rPr>
      </w:pPr>
    </w:p>
    <w:p w14:paraId="5723B606">
      <w:pPr>
        <w:pStyle w:val="252"/>
        <w:spacing w:line="460" w:lineRule="exact"/>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注：</w:t>
      </w:r>
    </w:p>
    <w:p w14:paraId="70D21682">
      <w:pPr>
        <w:pStyle w:val="252"/>
        <w:spacing w:line="46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1、投标人应在本表中对照招标文件技术要求与实际投标技术要求逐项对应列出，并在“偏离说明”项下填写以下内容：优于的，填写“正偏离”；符合的，填写“无偏离”；低于的，填写“负偏离”。</w:t>
      </w:r>
    </w:p>
    <w:p w14:paraId="15F40B37">
      <w:pPr>
        <w:pStyle w:val="252"/>
        <w:spacing w:line="46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2、若事项较多，投标人可根据响应内容的实际情况另纸说明。</w:t>
      </w:r>
    </w:p>
    <w:p w14:paraId="413125C7">
      <w:pPr>
        <w:pStyle w:val="252"/>
        <w:spacing w:line="46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3.上表所指证明材料为项目需求中要求提供的检测报告</w:t>
      </w:r>
      <w:r>
        <w:rPr>
          <w:rFonts w:hint="eastAsia" w:asciiTheme="minorEastAsia" w:hAnsiTheme="minorEastAsia" w:eastAsiaTheme="minorEastAsia"/>
          <w:sz w:val="24"/>
          <w:highlight w:val="none"/>
          <w:lang w:val="en-US" w:eastAsia="zh-CN"/>
        </w:rPr>
        <w:t>或</w:t>
      </w:r>
      <w:r>
        <w:rPr>
          <w:rFonts w:hint="eastAsia" w:asciiTheme="minorEastAsia" w:hAnsiTheme="minorEastAsia" w:eastAsiaTheme="minorEastAsia"/>
          <w:sz w:val="24"/>
          <w:highlight w:val="none"/>
        </w:rPr>
        <w:t>截图</w:t>
      </w:r>
      <w:r>
        <w:rPr>
          <w:rFonts w:hint="eastAsia" w:asciiTheme="minorEastAsia" w:hAnsiTheme="minorEastAsia" w:eastAsiaTheme="minorEastAsia"/>
          <w:sz w:val="24"/>
          <w:highlight w:val="none"/>
          <w:lang w:val="en-US" w:eastAsia="zh-CN"/>
        </w:rPr>
        <w:t>或承诺或</w:t>
      </w:r>
      <w:r>
        <w:rPr>
          <w:rFonts w:hint="eastAsia" w:asciiTheme="minorEastAsia" w:hAnsiTheme="minorEastAsia" w:eastAsiaTheme="minorEastAsia"/>
          <w:sz w:val="24"/>
          <w:highlight w:val="none"/>
        </w:rPr>
        <w:t>各类证书或其他形式的材料，证明材料附后。</w:t>
      </w:r>
    </w:p>
    <w:p w14:paraId="581279A5">
      <w:pPr>
        <w:rPr>
          <w:rFonts w:ascii="宋体" w:hAnsi="宋体" w:cs="宋体"/>
          <w:sz w:val="24"/>
          <w:highlight w:val="none"/>
        </w:rPr>
      </w:pPr>
    </w:p>
    <w:p w14:paraId="6C71E5CC">
      <w:pPr>
        <w:rPr>
          <w:rFonts w:ascii="宋体" w:hAnsi="宋体" w:cs="宋体"/>
          <w:sz w:val="24"/>
          <w:highlight w:val="none"/>
        </w:rPr>
      </w:pPr>
    </w:p>
    <w:p w14:paraId="331C8B5D">
      <w:pPr>
        <w:pStyle w:val="252"/>
        <w:spacing w:line="460" w:lineRule="exact"/>
        <w:ind w:firstLine="480" w:firstLineChars="200"/>
        <w:rPr>
          <w:rFonts w:cs="宋体" w:asciiTheme="minorEastAsia" w:hAnsiTheme="minorEastAsia" w:eastAsiaTheme="minorEastAsia"/>
          <w:sz w:val="24"/>
          <w:highlight w:val="none"/>
        </w:rPr>
      </w:pPr>
    </w:p>
    <w:p w14:paraId="51A94C49">
      <w:pPr>
        <w:pStyle w:val="252"/>
        <w:spacing w:line="46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投标单位：（单位盖章）</w:t>
      </w:r>
    </w:p>
    <w:p w14:paraId="246B082F">
      <w:pPr>
        <w:pStyle w:val="252"/>
        <w:spacing w:line="460" w:lineRule="exact"/>
        <w:rPr>
          <w:rFonts w:cs="宋体"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法定代表人或代理人（签字或盖章）</w:t>
      </w:r>
      <w:r>
        <w:rPr>
          <w:rFonts w:hint="eastAsia" w:cs="宋体" w:asciiTheme="minorEastAsia" w:hAnsiTheme="minorEastAsia" w:eastAsiaTheme="minorEastAsia"/>
          <w:bCs/>
          <w:sz w:val="24"/>
          <w:highlight w:val="none"/>
        </w:rPr>
        <w:t>：</w:t>
      </w:r>
    </w:p>
    <w:p w14:paraId="23FEE8F1">
      <w:pPr>
        <w:pStyle w:val="252"/>
        <w:spacing w:line="46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投标日期：   年   月   日</w:t>
      </w:r>
    </w:p>
    <w:p w14:paraId="2CD94AB2">
      <w:pPr>
        <w:pStyle w:val="252"/>
        <w:spacing w:line="460" w:lineRule="exact"/>
        <w:ind w:firstLine="482" w:firstLineChars="200"/>
        <w:rPr>
          <w:rFonts w:cs="宋体" w:asciiTheme="minorEastAsia" w:hAnsiTheme="minorEastAsia" w:eastAsiaTheme="minorEastAsia"/>
          <w:b/>
          <w:sz w:val="24"/>
          <w:szCs w:val="30"/>
          <w:highlight w:val="none"/>
        </w:rPr>
      </w:pPr>
      <w:r>
        <w:rPr>
          <w:rFonts w:hint="eastAsia" w:cs="宋体" w:asciiTheme="minorEastAsia" w:hAnsiTheme="minorEastAsia" w:eastAsiaTheme="minorEastAsia"/>
          <w:b/>
          <w:sz w:val="24"/>
          <w:szCs w:val="30"/>
          <w:highlight w:val="none"/>
        </w:rPr>
        <w:t xml:space="preserve"> </w:t>
      </w:r>
    </w:p>
    <w:p w14:paraId="49C692F6">
      <w:pPr>
        <w:spacing w:line="360" w:lineRule="auto"/>
        <w:rPr>
          <w:rFonts w:ascii="宋体" w:hAnsi="宋体" w:cs="宋体"/>
          <w:b/>
          <w:sz w:val="30"/>
          <w:szCs w:val="30"/>
          <w:highlight w:val="none"/>
        </w:rPr>
      </w:pPr>
    </w:p>
    <w:p w14:paraId="52F375F4">
      <w:pPr>
        <w:spacing w:line="360" w:lineRule="auto"/>
        <w:rPr>
          <w:rFonts w:ascii="宋体" w:hAnsi="宋体" w:cs="宋体"/>
          <w:b/>
          <w:sz w:val="30"/>
          <w:szCs w:val="30"/>
          <w:highlight w:val="none"/>
        </w:rPr>
      </w:pPr>
    </w:p>
    <w:p w14:paraId="3185FCC3">
      <w:pPr>
        <w:spacing w:line="360" w:lineRule="auto"/>
        <w:rPr>
          <w:rFonts w:ascii="宋体" w:hAnsi="宋体" w:cs="宋体"/>
          <w:b/>
          <w:sz w:val="30"/>
          <w:szCs w:val="30"/>
          <w:highlight w:val="none"/>
        </w:rPr>
      </w:pPr>
    </w:p>
    <w:p w14:paraId="2DEDF45B">
      <w:pPr>
        <w:spacing w:line="360" w:lineRule="auto"/>
        <w:rPr>
          <w:rFonts w:ascii="宋体" w:hAnsi="宋体" w:cs="宋体"/>
          <w:b/>
          <w:sz w:val="30"/>
          <w:szCs w:val="30"/>
          <w:highlight w:val="none"/>
        </w:rPr>
      </w:pPr>
    </w:p>
    <w:p w14:paraId="02B4608D">
      <w:pPr>
        <w:spacing w:line="360" w:lineRule="auto"/>
        <w:rPr>
          <w:rFonts w:ascii="宋体" w:hAnsi="宋体" w:cs="宋体"/>
          <w:b/>
          <w:sz w:val="30"/>
          <w:szCs w:val="30"/>
          <w:highlight w:val="none"/>
        </w:rPr>
      </w:pPr>
    </w:p>
    <w:p w14:paraId="4DE07DEE">
      <w:pPr>
        <w:pStyle w:val="2"/>
        <w:rPr>
          <w:rFonts w:hint="eastAsia" w:ascii="宋体" w:hAnsi="宋体" w:cs="宋体" w:eastAsiaTheme="minorEastAsia"/>
          <w:b/>
          <w:sz w:val="30"/>
          <w:szCs w:val="30"/>
          <w:highlight w:val="none"/>
          <w:lang w:eastAsia="zh-CN"/>
        </w:rPr>
      </w:pPr>
    </w:p>
    <w:p w14:paraId="3AA73095">
      <w:pPr>
        <w:spacing w:line="360" w:lineRule="auto"/>
        <w:rPr>
          <w:rFonts w:ascii="宋体" w:hAnsi="宋体" w:cs="宋体"/>
          <w:b/>
          <w:sz w:val="30"/>
          <w:szCs w:val="30"/>
          <w:highlight w:val="none"/>
        </w:rPr>
      </w:pPr>
    </w:p>
    <w:p w14:paraId="21AE5C85">
      <w:pPr>
        <w:spacing w:line="360" w:lineRule="auto"/>
        <w:rPr>
          <w:rFonts w:ascii="宋体" w:hAnsi="宋体" w:cs="宋体"/>
          <w:b/>
          <w:sz w:val="30"/>
          <w:szCs w:val="30"/>
          <w:highlight w:val="none"/>
        </w:rPr>
      </w:pPr>
      <w:r>
        <w:rPr>
          <w:rFonts w:hint="eastAsia" w:ascii="宋体" w:hAnsi="宋体" w:cs="宋体"/>
          <w:b/>
          <w:sz w:val="30"/>
          <w:szCs w:val="30"/>
          <w:highlight w:val="none"/>
        </w:rPr>
        <w:t>9.</w:t>
      </w:r>
      <w:r>
        <w:rPr>
          <w:rFonts w:ascii="宋体" w:hAnsi="宋体" w:cs="宋体"/>
          <w:b/>
          <w:sz w:val="30"/>
          <w:szCs w:val="30"/>
          <w:highlight w:val="none"/>
        </w:rPr>
        <w:t>3</w:t>
      </w:r>
      <w:r>
        <w:rPr>
          <w:rFonts w:hint="eastAsia" w:ascii="宋体" w:hAnsi="宋体" w:cs="宋体"/>
          <w:b/>
          <w:sz w:val="30"/>
          <w:szCs w:val="30"/>
          <w:highlight w:val="none"/>
        </w:rPr>
        <w:t>其他非标记▲技术（服务）要求偏离表</w:t>
      </w:r>
    </w:p>
    <w:p w14:paraId="5A05AF90">
      <w:pPr>
        <w:spacing w:line="360" w:lineRule="auto"/>
        <w:jc w:val="center"/>
        <w:rPr>
          <w:rFonts w:ascii="宋体" w:hAnsi="宋体" w:cs="宋体"/>
          <w:b/>
          <w:sz w:val="30"/>
          <w:szCs w:val="30"/>
          <w:highlight w:val="none"/>
        </w:rPr>
      </w:pPr>
      <w:r>
        <w:rPr>
          <w:rFonts w:hint="eastAsia" w:ascii="宋体" w:hAnsi="宋体" w:cs="宋体"/>
          <w:b/>
          <w:sz w:val="30"/>
          <w:szCs w:val="30"/>
          <w:highlight w:val="none"/>
        </w:rPr>
        <w:t>其他非标记▲技术（服务）要求偏离表</w:t>
      </w:r>
    </w:p>
    <w:p w14:paraId="0E023806">
      <w:pPr>
        <w:pStyle w:val="3"/>
        <w:spacing w:after="0" w:line="360" w:lineRule="auto"/>
        <w:ind w:left="220"/>
        <w:rPr>
          <w:rFonts w:ascii="宋体" w:hAnsi="宋体" w:eastAsia="宋体" w:cs="宋体"/>
          <w:sz w:val="24"/>
          <w:highlight w:val="none"/>
        </w:rPr>
      </w:pPr>
      <w:r>
        <w:rPr>
          <w:rFonts w:hint="eastAsia" w:ascii="宋体" w:hAnsi="宋体" w:eastAsia="宋体" w:cs="宋体"/>
          <w:sz w:val="24"/>
          <w:highlight w:val="none"/>
        </w:rPr>
        <w:t xml:space="preserve">招标文件编号： </w:t>
      </w:r>
    </w:p>
    <w:tbl>
      <w:tblPr>
        <w:tblStyle w:val="38"/>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37A95C7E">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shd w:val="clear" w:color="auto" w:fill="auto"/>
            <w:vAlign w:val="center"/>
          </w:tcPr>
          <w:p w14:paraId="0ECA6CCE">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p>
        </w:tc>
        <w:tc>
          <w:tcPr>
            <w:tcW w:w="1417" w:type="dxa"/>
            <w:tcBorders>
              <w:top w:val="single" w:color="auto" w:sz="4" w:space="0"/>
              <w:left w:val="nil"/>
              <w:bottom w:val="single" w:color="auto" w:sz="4" w:space="0"/>
              <w:right w:val="single" w:color="auto" w:sz="4" w:space="0"/>
            </w:tcBorders>
            <w:shd w:val="clear" w:color="auto" w:fill="auto"/>
            <w:vAlign w:val="center"/>
          </w:tcPr>
          <w:p w14:paraId="4BE71CC2">
            <w:pPr>
              <w:jc w:val="center"/>
              <w:rPr>
                <w:rFonts w:ascii="宋体" w:hAnsi="宋体" w:cs="宋体"/>
                <w:color w:val="000000"/>
                <w:sz w:val="24"/>
                <w:highlight w:val="none"/>
              </w:rPr>
            </w:pPr>
            <w:r>
              <w:rPr>
                <w:rFonts w:hint="eastAsia" w:ascii="宋体" w:hAnsi="宋体" w:cs="宋体"/>
                <w:color w:val="000000"/>
                <w:sz w:val="24"/>
                <w:highlight w:val="none"/>
              </w:rPr>
              <w:t>标的名称</w:t>
            </w:r>
          </w:p>
        </w:tc>
        <w:tc>
          <w:tcPr>
            <w:tcW w:w="1560" w:type="dxa"/>
            <w:tcBorders>
              <w:top w:val="single" w:color="auto" w:sz="4" w:space="0"/>
              <w:left w:val="nil"/>
              <w:bottom w:val="single" w:color="auto" w:sz="4" w:space="0"/>
              <w:right w:val="single" w:color="auto" w:sz="4" w:space="0"/>
            </w:tcBorders>
            <w:shd w:val="clear" w:color="auto" w:fill="auto"/>
            <w:vAlign w:val="center"/>
          </w:tcPr>
          <w:p w14:paraId="6E07D28E">
            <w:pPr>
              <w:jc w:val="center"/>
              <w:rPr>
                <w:rFonts w:ascii="宋体" w:hAnsi="宋体" w:cs="宋体"/>
                <w:color w:val="000000"/>
                <w:sz w:val="24"/>
                <w:highlight w:val="none"/>
              </w:rPr>
            </w:pPr>
            <w:r>
              <w:rPr>
                <w:rFonts w:hint="eastAsia" w:ascii="宋体" w:hAnsi="宋体" w:cs="宋体"/>
                <w:color w:val="000000"/>
                <w:sz w:val="24"/>
                <w:highlight w:val="none"/>
              </w:rPr>
              <w:t>招标文件</w:t>
            </w:r>
          </w:p>
          <w:p w14:paraId="28EAFF88">
            <w:pPr>
              <w:jc w:val="center"/>
              <w:rPr>
                <w:rFonts w:ascii="宋体" w:hAnsi="宋体" w:cs="宋体"/>
                <w:color w:val="000000"/>
                <w:sz w:val="24"/>
                <w:highlight w:val="none"/>
              </w:rPr>
            </w:pPr>
            <w:r>
              <w:rPr>
                <w:rFonts w:hint="eastAsia" w:ascii="宋体" w:hAnsi="宋体" w:cs="宋体"/>
                <w:color w:val="000000"/>
                <w:sz w:val="24"/>
                <w:highlight w:val="none"/>
              </w:rPr>
              <w:t>技术要求</w:t>
            </w:r>
          </w:p>
        </w:tc>
        <w:tc>
          <w:tcPr>
            <w:tcW w:w="1417" w:type="dxa"/>
            <w:tcBorders>
              <w:top w:val="single" w:color="auto" w:sz="4" w:space="0"/>
              <w:left w:val="nil"/>
              <w:bottom w:val="single" w:color="auto" w:sz="4" w:space="0"/>
              <w:right w:val="single" w:color="auto" w:sz="4" w:space="0"/>
            </w:tcBorders>
            <w:shd w:val="clear" w:color="auto" w:fill="auto"/>
            <w:vAlign w:val="center"/>
          </w:tcPr>
          <w:p w14:paraId="7D7BF49C">
            <w:pPr>
              <w:jc w:val="center"/>
              <w:rPr>
                <w:rFonts w:ascii="宋体" w:hAnsi="宋体" w:cs="宋体"/>
                <w:color w:val="000000"/>
                <w:sz w:val="24"/>
                <w:highlight w:val="none"/>
              </w:rPr>
            </w:pPr>
            <w:r>
              <w:rPr>
                <w:rFonts w:hint="eastAsia" w:ascii="宋体" w:hAnsi="宋体" w:cs="宋体"/>
                <w:color w:val="000000"/>
                <w:sz w:val="24"/>
                <w:highlight w:val="none"/>
              </w:rPr>
              <w:t>投标文件</w:t>
            </w:r>
          </w:p>
          <w:p w14:paraId="7EC0097A">
            <w:pPr>
              <w:jc w:val="center"/>
              <w:rPr>
                <w:rFonts w:ascii="宋体" w:hAnsi="宋体" w:cs="宋体"/>
                <w:color w:val="000000"/>
                <w:sz w:val="24"/>
                <w:highlight w:val="none"/>
              </w:rPr>
            </w:pPr>
            <w:r>
              <w:rPr>
                <w:rFonts w:hint="eastAsia" w:ascii="宋体" w:hAnsi="宋体" w:cs="宋体"/>
                <w:color w:val="000000"/>
                <w:sz w:val="24"/>
                <w:highlight w:val="none"/>
              </w:rPr>
              <w:t>响应要求</w:t>
            </w:r>
          </w:p>
        </w:tc>
        <w:tc>
          <w:tcPr>
            <w:tcW w:w="1985" w:type="dxa"/>
            <w:tcBorders>
              <w:top w:val="single" w:color="auto" w:sz="4" w:space="0"/>
              <w:left w:val="nil"/>
              <w:bottom w:val="single" w:color="auto" w:sz="4" w:space="0"/>
              <w:right w:val="single" w:color="auto" w:sz="4" w:space="0"/>
            </w:tcBorders>
            <w:shd w:val="clear" w:color="auto" w:fill="auto"/>
            <w:vAlign w:val="center"/>
          </w:tcPr>
          <w:p w14:paraId="62D234C4">
            <w:pPr>
              <w:jc w:val="center"/>
              <w:rPr>
                <w:rFonts w:ascii="宋体" w:hAnsi="宋体" w:cs="宋体"/>
                <w:color w:val="000000"/>
                <w:sz w:val="24"/>
                <w:highlight w:val="none"/>
              </w:rPr>
            </w:pPr>
            <w:r>
              <w:rPr>
                <w:rFonts w:hint="eastAsia" w:ascii="宋体" w:hAnsi="宋体" w:cs="宋体"/>
                <w:color w:val="000000"/>
                <w:sz w:val="24"/>
                <w:highlight w:val="none"/>
              </w:rPr>
              <w:t>偏离情况(正偏离/无偏离/负偏离)</w:t>
            </w:r>
          </w:p>
        </w:tc>
        <w:tc>
          <w:tcPr>
            <w:tcW w:w="1843" w:type="dxa"/>
            <w:tcBorders>
              <w:top w:val="single" w:color="auto" w:sz="4" w:space="0"/>
              <w:left w:val="nil"/>
              <w:bottom w:val="single" w:color="auto" w:sz="4" w:space="0"/>
              <w:right w:val="single" w:color="auto" w:sz="4" w:space="0"/>
            </w:tcBorders>
            <w:shd w:val="clear" w:color="auto" w:fill="auto"/>
            <w:vAlign w:val="center"/>
          </w:tcPr>
          <w:p w14:paraId="4A2F6AD5">
            <w:pPr>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622DE182">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4DB52928">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41913C07">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03599824">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593F001E">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278B0770">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7D7EE03F">
            <w:pPr>
              <w:jc w:val="center"/>
              <w:rPr>
                <w:rFonts w:ascii="宋体" w:hAnsi="宋体" w:cs="宋体"/>
                <w:color w:val="000000"/>
                <w:sz w:val="24"/>
                <w:highlight w:val="none"/>
              </w:rPr>
            </w:pPr>
          </w:p>
        </w:tc>
      </w:tr>
      <w:tr w14:paraId="2450777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6CD291ED">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5A093C32">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37C4CF2B">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4798E80A">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1D0E3127">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154D8626">
            <w:pPr>
              <w:jc w:val="center"/>
              <w:rPr>
                <w:rFonts w:ascii="宋体" w:hAnsi="宋体" w:cs="宋体"/>
                <w:color w:val="000000"/>
                <w:sz w:val="24"/>
                <w:highlight w:val="none"/>
              </w:rPr>
            </w:pPr>
          </w:p>
        </w:tc>
      </w:tr>
      <w:tr w14:paraId="155C281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7811BD2C">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2E38A840">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2613FD71">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18162E60">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1D26507B">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5129ECA0">
            <w:pPr>
              <w:jc w:val="center"/>
              <w:rPr>
                <w:rFonts w:ascii="宋体" w:hAnsi="宋体" w:cs="宋体"/>
                <w:color w:val="000000"/>
                <w:sz w:val="24"/>
                <w:highlight w:val="none"/>
              </w:rPr>
            </w:pPr>
          </w:p>
        </w:tc>
      </w:tr>
      <w:tr w14:paraId="63F28B10">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403A1786">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76DDB81F">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7B84FC81">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65C63B4D">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0DBC1688">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34F267F4">
            <w:pPr>
              <w:jc w:val="center"/>
              <w:rPr>
                <w:rFonts w:ascii="宋体" w:hAnsi="宋体" w:cs="宋体"/>
                <w:color w:val="000000"/>
                <w:sz w:val="24"/>
                <w:highlight w:val="none"/>
              </w:rPr>
            </w:pPr>
          </w:p>
        </w:tc>
      </w:tr>
      <w:tr w14:paraId="7A9EE00D">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shd w:val="clear" w:color="auto" w:fill="auto"/>
            <w:vAlign w:val="center"/>
          </w:tcPr>
          <w:p w14:paraId="6951D18A">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417" w:type="dxa"/>
            <w:tcBorders>
              <w:top w:val="nil"/>
              <w:left w:val="nil"/>
              <w:bottom w:val="single" w:color="auto" w:sz="4" w:space="0"/>
              <w:right w:val="single" w:color="auto" w:sz="4" w:space="0"/>
            </w:tcBorders>
            <w:shd w:val="clear" w:color="auto" w:fill="auto"/>
            <w:vAlign w:val="center"/>
          </w:tcPr>
          <w:p w14:paraId="664D581E">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560" w:type="dxa"/>
            <w:tcBorders>
              <w:top w:val="nil"/>
              <w:left w:val="nil"/>
              <w:bottom w:val="single" w:color="auto" w:sz="4" w:space="0"/>
              <w:right w:val="single" w:color="auto" w:sz="4" w:space="0"/>
            </w:tcBorders>
            <w:shd w:val="clear" w:color="auto" w:fill="auto"/>
            <w:vAlign w:val="center"/>
          </w:tcPr>
          <w:p w14:paraId="7C6BC15C">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417" w:type="dxa"/>
            <w:tcBorders>
              <w:top w:val="nil"/>
              <w:left w:val="nil"/>
              <w:bottom w:val="single" w:color="auto" w:sz="4" w:space="0"/>
              <w:right w:val="single" w:color="auto" w:sz="4" w:space="0"/>
            </w:tcBorders>
            <w:shd w:val="clear" w:color="auto" w:fill="auto"/>
            <w:vAlign w:val="center"/>
          </w:tcPr>
          <w:p w14:paraId="33341DA3">
            <w:pPr>
              <w:jc w:val="center"/>
              <w:rPr>
                <w:rFonts w:ascii="宋体" w:hAnsi="宋体" w:cs="宋体"/>
                <w:color w:val="000000"/>
                <w:sz w:val="24"/>
                <w:highlight w:val="none"/>
              </w:rPr>
            </w:pPr>
            <w:r>
              <w:rPr>
                <w:rFonts w:hint="eastAsia" w:ascii="宋体" w:hAnsi="宋体" w:cs="宋体"/>
                <w:color w:val="000000"/>
                <w:sz w:val="24"/>
                <w:highlight w:val="none"/>
              </w:rPr>
              <w:t>　</w:t>
            </w:r>
          </w:p>
        </w:tc>
        <w:tc>
          <w:tcPr>
            <w:tcW w:w="1985" w:type="dxa"/>
            <w:tcBorders>
              <w:top w:val="nil"/>
              <w:left w:val="nil"/>
              <w:bottom w:val="single" w:color="auto" w:sz="4" w:space="0"/>
              <w:right w:val="single" w:color="auto" w:sz="4" w:space="0"/>
            </w:tcBorders>
            <w:shd w:val="clear" w:color="auto" w:fill="auto"/>
            <w:vAlign w:val="center"/>
          </w:tcPr>
          <w:p w14:paraId="3967D379">
            <w:pPr>
              <w:jc w:val="center"/>
              <w:rPr>
                <w:rFonts w:ascii="宋体" w:hAnsi="宋体" w:cs="宋体"/>
                <w:color w:val="000000"/>
                <w:sz w:val="24"/>
                <w:highlight w:val="none"/>
              </w:rPr>
            </w:pPr>
            <w:r>
              <w:rPr>
                <w:rFonts w:hint="eastAsia" w:ascii="宋体" w:hAnsi="宋体" w:cs="宋体"/>
                <w:color w:val="000000"/>
                <w:sz w:val="24"/>
                <w:highlight w:val="none"/>
              </w:rPr>
              <w:t xml:space="preserve"> </w:t>
            </w:r>
          </w:p>
        </w:tc>
        <w:tc>
          <w:tcPr>
            <w:tcW w:w="1843" w:type="dxa"/>
            <w:tcBorders>
              <w:top w:val="nil"/>
              <w:left w:val="nil"/>
              <w:bottom w:val="single" w:color="auto" w:sz="4" w:space="0"/>
              <w:right w:val="single" w:color="auto" w:sz="4" w:space="0"/>
            </w:tcBorders>
            <w:shd w:val="clear" w:color="auto" w:fill="auto"/>
            <w:vAlign w:val="center"/>
          </w:tcPr>
          <w:p w14:paraId="6FE82020">
            <w:pPr>
              <w:jc w:val="center"/>
              <w:rPr>
                <w:rFonts w:ascii="宋体" w:hAnsi="宋体" w:cs="宋体"/>
                <w:color w:val="000000"/>
                <w:sz w:val="24"/>
                <w:highlight w:val="none"/>
              </w:rPr>
            </w:pPr>
          </w:p>
        </w:tc>
      </w:tr>
    </w:tbl>
    <w:p w14:paraId="6DE800E5">
      <w:pPr>
        <w:spacing w:line="420" w:lineRule="exact"/>
        <w:rPr>
          <w:rFonts w:ascii="宋体" w:hAnsi="宋体" w:cs="宋体"/>
          <w:sz w:val="24"/>
          <w:highlight w:val="none"/>
          <w:lang w:val="zh-CN"/>
        </w:rPr>
      </w:pPr>
      <w:r>
        <w:rPr>
          <w:rFonts w:hint="eastAsia" w:ascii="宋体" w:hAnsi="宋体" w:cs="宋体"/>
          <w:sz w:val="24"/>
          <w:highlight w:val="none"/>
          <w:lang w:val="zh-CN"/>
        </w:rPr>
        <w:t>注：</w:t>
      </w:r>
    </w:p>
    <w:p w14:paraId="121F1CD8">
      <w:pPr>
        <w:spacing w:line="420" w:lineRule="exact"/>
        <w:ind w:firstLine="480"/>
        <w:rPr>
          <w:rFonts w:ascii="宋体" w:hAnsi="宋体" w:cs="宋体"/>
          <w:sz w:val="24"/>
          <w:highlight w:val="none"/>
        </w:rPr>
      </w:pPr>
      <w:r>
        <w:rPr>
          <w:rFonts w:hint="eastAsia" w:ascii="宋体" w:hAnsi="宋体" w:cs="宋体"/>
          <w:sz w:val="24"/>
          <w:highlight w:val="none"/>
        </w:rPr>
        <w:t>1、投标人应在本表中对照招标文件技术要求与实际投标技术要求逐项对应列出，并在“偏离说明”项下填写以下内容：优于的，填写“正偏离”；符合的，填写“无偏离”；低于的，填写“负偏离”。</w:t>
      </w:r>
    </w:p>
    <w:p w14:paraId="2377FE9F">
      <w:pPr>
        <w:spacing w:line="420" w:lineRule="exact"/>
        <w:ind w:firstLine="480"/>
        <w:rPr>
          <w:rFonts w:ascii="宋体" w:hAnsi="宋体" w:cs="宋体"/>
          <w:sz w:val="24"/>
          <w:highlight w:val="none"/>
        </w:rPr>
      </w:pPr>
      <w:r>
        <w:rPr>
          <w:rFonts w:hint="eastAsia" w:ascii="宋体" w:hAnsi="宋体" w:cs="宋体"/>
          <w:sz w:val="24"/>
          <w:highlight w:val="none"/>
        </w:rPr>
        <w:t>2、若事项较多，投标人可根据响应内容的实际情况另纸说明。</w:t>
      </w:r>
    </w:p>
    <w:p w14:paraId="77D0B803">
      <w:pPr>
        <w:spacing w:line="420" w:lineRule="exact"/>
        <w:rPr>
          <w:rFonts w:ascii="宋体" w:hAnsi="宋体" w:cs="宋体"/>
          <w:sz w:val="24"/>
          <w:highlight w:val="none"/>
        </w:rPr>
      </w:pPr>
    </w:p>
    <w:p w14:paraId="0D2C102A">
      <w:pPr>
        <w:spacing w:line="420" w:lineRule="exact"/>
        <w:rPr>
          <w:rFonts w:ascii="宋体" w:hAnsi="宋体" w:cs="宋体"/>
          <w:sz w:val="24"/>
          <w:highlight w:val="none"/>
        </w:rPr>
      </w:pPr>
    </w:p>
    <w:p w14:paraId="3E42007F">
      <w:pPr>
        <w:spacing w:line="420" w:lineRule="exact"/>
        <w:rPr>
          <w:rFonts w:ascii="宋体" w:hAnsi="宋体" w:cs="宋体"/>
          <w:sz w:val="24"/>
          <w:highlight w:val="none"/>
        </w:rPr>
      </w:pPr>
    </w:p>
    <w:p w14:paraId="38796366">
      <w:pPr>
        <w:spacing w:line="420" w:lineRule="exact"/>
        <w:rPr>
          <w:rFonts w:ascii="宋体" w:hAnsi="宋体" w:cs="宋体"/>
          <w:sz w:val="24"/>
          <w:highlight w:val="none"/>
        </w:rPr>
      </w:pPr>
    </w:p>
    <w:p w14:paraId="44E357E2">
      <w:pPr>
        <w:spacing w:line="420" w:lineRule="exact"/>
        <w:rPr>
          <w:rFonts w:ascii="宋体" w:hAnsi="宋体" w:cs="宋体"/>
          <w:sz w:val="24"/>
          <w:highlight w:val="none"/>
        </w:rPr>
      </w:pPr>
    </w:p>
    <w:p w14:paraId="37217920">
      <w:pPr>
        <w:spacing w:line="420" w:lineRule="exact"/>
        <w:rPr>
          <w:rFonts w:ascii="宋体" w:hAnsi="宋体" w:cs="宋体"/>
          <w:sz w:val="24"/>
          <w:highlight w:val="none"/>
        </w:rPr>
      </w:pPr>
    </w:p>
    <w:p w14:paraId="77F47763">
      <w:pPr>
        <w:spacing w:line="420" w:lineRule="exact"/>
        <w:rPr>
          <w:rFonts w:ascii="宋体" w:hAnsi="宋体" w:cs="宋体"/>
          <w:sz w:val="24"/>
          <w:highlight w:val="none"/>
        </w:rPr>
      </w:pPr>
      <w:r>
        <w:rPr>
          <w:rFonts w:hint="eastAsia" w:ascii="宋体" w:hAnsi="宋体" w:cs="宋体"/>
          <w:sz w:val="24"/>
          <w:highlight w:val="none"/>
        </w:rPr>
        <w:t>投标单位：（单位盖章）</w:t>
      </w:r>
    </w:p>
    <w:p w14:paraId="776ABE51">
      <w:pPr>
        <w:spacing w:line="420" w:lineRule="exact"/>
        <w:rPr>
          <w:rFonts w:ascii="宋体" w:hAnsi="宋体" w:cs="宋体"/>
          <w:bCs/>
          <w:sz w:val="24"/>
          <w:highlight w:val="none"/>
        </w:rPr>
      </w:pPr>
      <w:r>
        <w:rPr>
          <w:rFonts w:hint="eastAsia" w:ascii="宋体" w:hAnsi="宋体" w:cs="宋体"/>
          <w:sz w:val="24"/>
          <w:highlight w:val="none"/>
        </w:rPr>
        <w:t>法定代表人或代理人（签字或盖章）</w:t>
      </w:r>
      <w:r>
        <w:rPr>
          <w:rFonts w:hint="eastAsia" w:ascii="宋体" w:hAnsi="宋体" w:cs="宋体"/>
          <w:bCs/>
          <w:sz w:val="24"/>
          <w:highlight w:val="none"/>
        </w:rPr>
        <w:t>：</w:t>
      </w:r>
    </w:p>
    <w:p w14:paraId="01658EE7">
      <w:pPr>
        <w:pBdr>
          <w:top w:val="none" w:color="000000" w:sz="0" w:space="0"/>
          <w:left w:val="none" w:color="000000" w:sz="0" w:space="0"/>
          <w:bottom w:val="none" w:color="000000" w:sz="0" w:space="0"/>
          <w:right w:val="none" w:color="000000" w:sz="0" w:space="0"/>
        </w:pBdr>
        <w:spacing w:line="420" w:lineRule="exact"/>
        <w:rPr>
          <w:rFonts w:ascii="宋体" w:hAnsi="宋体" w:cs="宋体"/>
          <w:sz w:val="24"/>
          <w:highlight w:val="none"/>
        </w:rPr>
      </w:pPr>
      <w:r>
        <w:rPr>
          <w:rFonts w:hint="eastAsia" w:ascii="宋体" w:hAnsi="宋体" w:cs="宋体"/>
          <w:sz w:val="24"/>
          <w:highlight w:val="none"/>
        </w:rPr>
        <w:t>投标日期：   年   月   日</w:t>
      </w:r>
    </w:p>
    <w:p w14:paraId="01D42F5A">
      <w:pPr>
        <w:pStyle w:val="219"/>
        <w:rPr>
          <w:rFonts w:ascii="宋体" w:hAnsi="宋体" w:eastAsia="宋体" w:cs="宋体"/>
          <w:sz w:val="24"/>
          <w:highlight w:val="none"/>
        </w:rPr>
      </w:pPr>
    </w:p>
    <w:p w14:paraId="1F58DB98">
      <w:pPr>
        <w:rPr>
          <w:rFonts w:ascii="宋体" w:hAnsi="宋体" w:cs="宋体"/>
          <w:sz w:val="24"/>
          <w:highlight w:val="none"/>
        </w:rPr>
      </w:pPr>
    </w:p>
    <w:p w14:paraId="2CB1AF0D">
      <w:pPr>
        <w:rPr>
          <w:rFonts w:ascii="宋体" w:hAnsi="宋体" w:cs="宋体"/>
          <w:sz w:val="24"/>
          <w:highlight w:val="none"/>
        </w:rPr>
      </w:pPr>
    </w:p>
    <w:p w14:paraId="5F8E1C0D">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highlight w:val="none"/>
        </w:rPr>
      </w:pPr>
    </w:p>
    <w:p w14:paraId="3864EED1">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highlight w:val="none"/>
        </w:rPr>
      </w:pPr>
    </w:p>
    <w:p w14:paraId="6504A18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highlight w:val="none"/>
        </w:rPr>
      </w:pPr>
    </w:p>
    <w:p w14:paraId="5A8E01F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highlight w:val="none"/>
        </w:rPr>
      </w:pPr>
    </w:p>
    <w:p w14:paraId="2F786AD0">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highlight w:val="none"/>
        </w:rPr>
      </w:pPr>
    </w:p>
    <w:p w14:paraId="2D329669">
      <w:pPr>
        <w:pBdr>
          <w:top w:val="none" w:color="000000" w:sz="0" w:space="0"/>
          <w:left w:val="none" w:color="000000" w:sz="0" w:space="0"/>
          <w:bottom w:val="none" w:color="000000" w:sz="0" w:space="0"/>
          <w:right w:val="none" w:color="000000" w:sz="0" w:space="0"/>
        </w:pBdr>
        <w:spacing w:line="85" w:lineRule="atLeast"/>
        <w:rPr>
          <w:rFonts w:ascii="宋体" w:hAnsi="宋体" w:cs="宋体"/>
          <w:b/>
          <w:bCs/>
          <w:sz w:val="32"/>
          <w:szCs w:val="32"/>
          <w:highlight w:val="none"/>
        </w:rPr>
      </w:pPr>
      <w:r>
        <w:rPr>
          <w:rFonts w:ascii="宋体" w:hAnsi="宋体" w:cs="宋体"/>
          <w:b/>
          <w:sz w:val="32"/>
          <w:highlight w:val="none"/>
        </w:rPr>
        <w:t>10、商务偏离表</w:t>
      </w:r>
    </w:p>
    <w:p w14:paraId="6B45B57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pacing w:val="20"/>
          <w:sz w:val="32"/>
          <w:highlight w:val="none"/>
        </w:rPr>
        <w:t>商务条款偏离表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27C321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D29AE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EDFC0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D16B1D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539AEE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9134D8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E5AFDD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备注</w:t>
            </w:r>
          </w:p>
        </w:tc>
      </w:tr>
      <w:tr w14:paraId="26A404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5D378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E86732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874760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CAB369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3AE88F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230AF9A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4CE1F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1BF17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3B0100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078DCE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36A839">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247A0CF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C1AF0D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18D679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D9C23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6011939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C645A7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F8FBBD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57419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98A4F7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371655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AB55F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748D97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4727A1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02525C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B40B2F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486691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347861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909E70B">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0DB5B31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FBA19F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EC88FE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9E3607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2E7AD93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6E72EA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57A47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E9A91E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DB6AAEE">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47BB4C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45C00E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2D97761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05AA26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A095D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00E965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36BF5DC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199351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4D8ED3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466CF0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5AC09C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C0F47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DC9A26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70F9FB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29D814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5786A81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988959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r w14:paraId="2249B0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0D1E2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C3B295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410EBD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B2520B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0E9123F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A7ECD5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sz w:val="24"/>
                <w:highlight w:val="none"/>
              </w:rPr>
              <w:t> </w:t>
            </w:r>
          </w:p>
        </w:tc>
      </w:tr>
    </w:tbl>
    <w:p w14:paraId="769DF25A">
      <w:pPr>
        <w:pBdr>
          <w:top w:val="none" w:color="000000" w:sz="0" w:space="0"/>
          <w:left w:val="none" w:color="000000" w:sz="0" w:space="0"/>
          <w:bottom w:val="none" w:color="000000" w:sz="0" w:space="0"/>
          <w:right w:val="none" w:color="000000" w:sz="0" w:space="0"/>
        </w:pBdr>
        <w:spacing w:line="85" w:lineRule="atLeast"/>
        <w:ind w:firstLine="482"/>
        <w:rPr>
          <w:highlight w:val="none"/>
        </w:rPr>
      </w:pPr>
      <w:r>
        <w:rPr>
          <w:rFonts w:ascii="宋体" w:hAnsi="宋体" w:cs="宋体"/>
          <w:b/>
          <w:sz w:val="24"/>
          <w:highlight w:val="none"/>
        </w:rPr>
        <w:t> </w:t>
      </w:r>
    </w:p>
    <w:p w14:paraId="2DA29F8C">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r>
        <w:rPr>
          <w:rFonts w:ascii="宋体" w:hAnsi="宋体" w:cs="宋体"/>
          <w:sz w:val="24"/>
          <w:highlight w:val="none"/>
        </w:rPr>
        <w:t>注：</w:t>
      </w:r>
    </w:p>
    <w:p w14:paraId="11D8780B">
      <w:pPr>
        <w:pBdr>
          <w:top w:val="none" w:color="000000" w:sz="0" w:space="0"/>
          <w:left w:val="none" w:color="000000" w:sz="0" w:space="0"/>
          <w:bottom w:val="none" w:color="000000" w:sz="0" w:space="0"/>
          <w:right w:val="none" w:color="000000" w:sz="0" w:space="0"/>
        </w:pBdr>
        <w:spacing w:line="440" w:lineRule="atLeast"/>
        <w:ind w:firstLine="480"/>
        <w:rPr>
          <w:highlight w:val="none"/>
        </w:rPr>
      </w:pPr>
      <w:r>
        <w:rPr>
          <w:rFonts w:ascii="宋体" w:hAnsi="宋体" w:cs="宋体"/>
          <w:sz w:val="24"/>
          <w:highlight w:val="none"/>
        </w:rPr>
        <w:t>1、供应商应在本表中把招标文件商务要求与实际投标商务要求逐项对应列出，并在“偏离说明”项下填写以下内容：优于的，填写“正偏离”；符合的，填写“无偏离”；低于的，填写“负偏离”。</w:t>
      </w:r>
    </w:p>
    <w:p w14:paraId="614F6573">
      <w:pPr>
        <w:pBdr>
          <w:top w:val="none" w:color="000000" w:sz="0" w:space="0"/>
          <w:left w:val="none" w:color="000000" w:sz="0" w:space="0"/>
          <w:bottom w:val="none" w:color="000000" w:sz="0" w:space="0"/>
          <w:right w:val="none" w:color="000000" w:sz="0" w:space="0"/>
        </w:pBdr>
        <w:spacing w:line="440" w:lineRule="atLeast"/>
        <w:ind w:firstLine="480"/>
        <w:rPr>
          <w:highlight w:val="none"/>
        </w:rPr>
      </w:pPr>
      <w:r>
        <w:rPr>
          <w:rFonts w:ascii="宋体" w:hAnsi="宋体" w:cs="宋体"/>
          <w:sz w:val="24"/>
          <w:highlight w:val="none"/>
        </w:rPr>
        <w:t>2、若事项较多，投标人可根据响应内容的实际情况另纸说明。</w:t>
      </w:r>
    </w:p>
    <w:p w14:paraId="20341ADA">
      <w:pPr>
        <w:pBdr>
          <w:top w:val="none" w:color="000000" w:sz="0" w:space="0"/>
          <w:left w:val="none" w:color="000000" w:sz="0" w:space="0"/>
          <w:bottom w:val="none" w:color="000000" w:sz="0" w:space="0"/>
          <w:right w:val="none" w:color="000000" w:sz="0" w:space="0"/>
        </w:pBdr>
        <w:spacing w:line="440" w:lineRule="atLeast"/>
        <w:ind w:firstLine="480"/>
        <w:rPr>
          <w:highlight w:val="none"/>
        </w:rPr>
      </w:pPr>
      <w:r>
        <w:rPr>
          <w:rFonts w:ascii="宋体" w:hAnsi="宋体" w:cs="宋体"/>
          <w:sz w:val="24"/>
          <w:highlight w:val="none"/>
        </w:rPr>
        <w:t> </w:t>
      </w:r>
    </w:p>
    <w:p w14:paraId="01D866BE">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22A2A538">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0962C967">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0291F01F">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754C5247">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7CAE6C41">
      <w:pPr>
        <w:pBdr>
          <w:top w:val="none" w:color="000000" w:sz="0" w:space="0"/>
          <w:left w:val="none" w:color="000000" w:sz="0" w:space="0"/>
          <w:bottom w:val="none" w:color="000000" w:sz="0" w:space="0"/>
          <w:right w:val="none" w:color="000000" w:sz="0" w:space="0"/>
        </w:pBdr>
        <w:spacing w:line="440" w:lineRule="atLeast"/>
        <w:rPr>
          <w:rFonts w:ascii="宋体" w:hAnsi="宋体" w:cs="宋体"/>
          <w:sz w:val="24"/>
          <w:highlight w:val="none"/>
        </w:rPr>
      </w:pPr>
    </w:p>
    <w:p w14:paraId="089B3984">
      <w:pPr>
        <w:pBdr>
          <w:top w:val="none" w:color="000000" w:sz="0" w:space="0"/>
          <w:left w:val="none" w:color="000000" w:sz="0" w:space="0"/>
          <w:bottom w:val="none" w:color="000000" w:sz="0" w:space="0"/>
          <w:right w:val="none" w:color="000000" w:sz="0" w:space="0"/>
        </w:pBdr>
        <w:spacing w:line="440" w:lineRule="atLeast"/>
        <w:rPr>
          <w:highlight w:val="none"/>
        </w:rPr>
      </w:pPr>
      <w:r>
        <w:rPr>
          <w:rFonts w:ascii="宋体" w:hAnsi="宋体" w:cs="宋体"/>
          <w:sz w:val="24"/>
          <w:highlight w:val="none"/>
        </w:rPr>
        <w:t>投标单位：（单位盖章）</w:t>
      </w:r>
    </w:p>
    <w:p w14:paraId="2881AB05">
      <w:pPr>
        <w:pBdr>
          <w:top w:val="none" w:color="000000" w:sz="0" w:space="0"/>
          <w:left w:val="none" w:color="000000" w:sz="0" w:space="0"/>
          <w:bottom w:val="none" w:color="000000" w:sz="0" w:space="0"/>
          <w:right w:val="none" w:color="000000" w:sz="0" w:space="0"/>
        </w:pBdr>
        <w:spacing w:line="440" w:lineRule="atLeast"/>
        <w:rPr>
          <w:highlight w:val="none"/>
        </w:rPr>
      </w:pPr>
      <w:r>
        <w:rPr>
          <w:rFonts w:ascii="宋体" w:hAnsi="宋体" w:cs="宋体"/>
          <w:sz w:val="24"/>
          <w:highlight w:val="none"/>
        </w:rPr>
        <w:t>法定代表人或代理人（签字或盖章）：</w:t>
      </w:r>
    </w:p>
    <w:p w14:paraId="4DA32A32">
      <w:pPr>
        <w:pBdr>
          <w:top w:val="none" w:color="000000" w:sz="0" w:space="0"/>
          <w:left w:val="none" w:color="000000" w:sz="0" w:space="0"/>
          <w:bottom w:val="none" w:color="000000" w:sz="0" w:space="0"/>
          <w:right w:val="none" w:color="000000" w:sz="0" w:space="0"/>
        </w:pBdr>
        <w:spacing w:line="440" w:lineRule="atLeast"/>
        <w:rPr>
          <w:highlight w:val="none"/>
        </w:rPr>
      </w:pPr>
      <w:r>
        <w:rPr>
          <w:rFonts w:ascii="宋体" w:hAnsi="宋体" w:cs="宋体"/>
          <w:sz w:val="24"/>
          <w:highlight w:val="none"/>
        </w:rPr>
        <w:t>投标日期:   年 月 日</w:t>
      </w:r>
    </w:p>
    <w:p w14:paraId="2E4AF2B2">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75A7CCA3">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680E39B4">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ascii="宋体" w:hAnsi="宋体" w:cs="宋体"/>
          <w:sz w:val="24"/>
          <w:highlight w:val="none"/>
        </w:rPr>
        <w:t> </w:t>
      </w:r>
    </w:p>
    <w:p w14:paraId="1BF7B6C2">
      <w:pPr>
        <w:pBdr>
          <w:top w:val="none" w:color="000000" w:sz="0" w:space="0"/>
          <w:left w:val="none" w:color="000000" w:sz="0" w:space="0"/>
          <w:bottom w:val="none" w:color="000000" w:sz="0" w:space="0"/>
          <w:right w:val="none" w:color="000000" w:sz="0" w:space="0"/>
        </w:pBdr>
        <w:rPr>
          <w:rFonts w:ascii="Times New Roman" w:hAnsi="Times New Roman" w:eastAsia="Times New Roman"/>
          <w:szCs w:val="21"/>
          <w:highlight w:val="none"/>
        </w:rPr>
      </w:pPr>
    </w:p>
    <w:p w14:paraId="71E4DBC0">
      <w:pPr>
        <w:pBdr>
          <w:top w:val="none" w:color="000000" w:sz="0" w:space="0"/>
          <w:left w:val="none" w:color="000000" w:sz="0" w:space="0"/>
          <w:bottom w:val="none" w:color="000000" w:sz="0" w:space="0"/>
          <w:right w:val="none" w:color="000000" w:sz="0" w:space="0"/>
        </w:pBdr>
        <w:rPr>
          <w:rFonts w:ascii="Times New Roman" w:hAnsi="Times New Roman" w:eastAsia="Times New Roman"/>
          <w:szCs w:val="21"/>
          <w:highlight w:val="none"/>
        </w:rPr>
      </w:pPr>
    </w:p>
    <w:p w14:paraId="375A932F">
      <w:pPr>
        <w:pBdr>
          <w:top w:val="none" w:color="000000" w:sz="0" w:space="0"/>
          <w:left w:val="none" w:color="000000" w:sz="0" w:space="0"/>
          <w:bottom w:val="none" w:color="000000" w:sz="0" w:space="0"/>
          <w:right w:val="none" w:color="000000" w:sz="0" w:space="0"/>
        </w:pBdr>
        <w:rPr>
          <w:rFonts w:ascii="Times New Roman" w:hAnsi="Times New Roman" w:eastAsia="Times New Roman"/>
          <w:szCs w:val="21"/>
          <w:highlight w:val="none"/>
        </w:rPr>
      </w:pPr>
    </w:p>
    <w:p w14:paraId="2BC1541C">
      <w:pPr>
        <w:pBdr>
          <w:top w:val="none" w:color="000000" w:sz="0" w:space="0"/>
          <w:left w:val="none" w:color="000000" w:sz="0" w:space="0"/>
          <w:bottom w:val="none" w:color="000000" w:sz="0" w:space="0"/>
          <w:right w:val="none" w:color="000000" w:sz="0" w:space="0"/>
        </w:pBdr>
        <w:rPr>
          <w:rFonts w:ascii="Times New Roman" w:hAnsi="Times New Roman" w:eastAsia="Times New Roman"/>
          <w:szCs w:val="21"/>
          <w:highlight w:val="none"/>
        </w:rPr>
      </w:pPr>
    </w:p>
    <w:p w14:paraId="617DA460">
      <w:pPr>
        <w:pBdr>
          <w:top w:val="none" w:color="000000" w:sz="0" w:space="0"/>
          <w:left w:val="none" w:color="000000" w:sz="0" w:space="0"/>
          <w:bottom w:val="none" w:color="000000" w:sz="0" w:space="0"/>
          <w:right w:val="none" w:color="000000" w:sz="0" w:space="0"/>
        </w:pBdr>
        <w:rPr>
          <w:rFonts w:ascii="Times New Roman" w:hAnsi="Times New Roman"/>
          <w:szCs w:val="21"/>
          <w:highlight w:val="none"/>
        </w:rPr>
      </w:pPr>
    </w:p>
    <w:p w14:paraId="0CE9AD4E">
      <w:pPr>
        <w:pBdr>
          <w:top w:val="none" w:color="000000" w:sz="0" w:space="0"/>
          <w:left w:val="none" w:color="000000" w:sz="0" w:space="0"/>
          <w:bottom w:val="none" w:color="000000" w:sz="0" w:space="0"/>
          <w:right w:val="none" w:color="000000" w:sz="0" w:space="0"/>
        </w:pBdr>
        <w:rPr>
          <w:rFonts w:ascii="Times New Roman" w:hAnsi="Times New Roman"/>
          <w:szCs w:val="21"/>
          <w:highlight w:val="none"/>
        </w:rPr>
      </w:pPr>
    </w:p>
    <w:p w14:paraId="3EB8DEA0">
      <w:pPr>
        <w:pBdr>
          <w:top w:val="none" w:color="000000" w:sz="0" w:space="0"/>
          <w:left w:val="none" w:color="000000" w:sz="0" w:space="0"/>
          <w:bottom w:val="none" w:color="000000" w:sz="0" w:space="0"/>
          <w:right w:val="none" w:color="000000" w:sz="0" w:space="0"/>
        </w:pBdr>
        <w:rPr>
          <w:rFonts w:ascii="Times New Roman" w:hAnsi="Times New Roman"/>
          <w:szCs w:val="21"/>
          <w:highlight w:val="none"/>
        </w:rPr>
      </w:pPr>
    </w:p>
    <w:p w14:paraId="3E3BC265">
      <w:pPr>
        <w:rPr>
          <w:rFonts w:ascii="宋体" w:hAnsi="宋体" w:cs="宋体"/>
          <w:b/>
          <w:sz w:val="32"/>
          <w:highlight w:val="none"/>
        </w:rPr>
      </w:pPr>
    </w:p>
    <w:p w14:paraId="728B29B8">
      <w:pPr>
        <w:rPr>
          <w:rFonts w:ascii="宋体" w:hAnsi="宋体"/>
          <w:b/>
          <w:bCs/>
          <w:sz w:val="32"/>
          <w:szCs w:val="32"/>
          <w:highlight w:val="none"/>
        </w:rPr>
      </w:pPr>
      <w:r>
        <w:rPr>
          <w:rFonts w:ascii="宋体" w:hAnsi="宋体" w:cs="宋体"/>
          <w:b/>
          <w:sz w:val="32"/>
          <w:highlight w:val="none"/>
        </w:rPr>
        <w:t>11、</w:t>
      </w:r>
      <w:r>
        <w:rPr>
          <w:rFonts w:hint="eastAsia" w:ascii="宋体" w:hAnsi="宋体"/>
          <w:b/>
          <w:bCs/>
          <w:sz w:val="32"/>
          <w:szCs w:val="32"/>
          <w:highlight w:val="none"/>
        </w:rPr>
        <w:t>项目技术方案及服务方案</w:t>
      </w:r>
    </w:p>
    <w:p w14:paraId="61CC500C">
      <w:pPr>
        <w:rPr>
          <w:rFonts w:ascii="宋体" w:hAnsi="宋体" w:cs="Arial"/>
          <w:sz w:val="24"/>
          <w:szCs w:val="21"/>
          <w:highlight w:val="none"/>
        </w:rPr>
      </w:pPr>
    </w:p>
    <w:p w14:paraId="4BD2C596">
      <w:pPr>
        <w:ind w:firstLine="480"/>
        <w:rPr>
          <w:rFonts w:ascii="宋体" w:hAnsi="宋体"/>
          <w:b/>
          <w:bCs/>
          <w:sz w:val="32"/>
          <w:szCs w:val="32"/>
          <w:highlight w:val="none"/>
        </w:rPr>
      </w:pPr>
      <w:r>
        <w:rPr>
          <w:rFonts w:hint="eastAsia" w:ascii="宋体" w:hAnsi="宋体" w:cs="Arial"/>
          <w:sz w:val="24"/>
          <w:szCs w:val="21"/>
          <w:highlight w:val="none"/>
        </w:rPr>
        <w:t>投标人根据项目需求编写针对本项目的技术方案及服务方案</w:t>
      </w:r>
    </w:p>
    <w:p w14:paraId="465C92B5">
      <w:pPr>
        <w:rPr>
          <w:rFonts w:ascii="宋体" w:hAnsi="宋体"/>
          <w:b/>
          <w:bCs/>
          <w:sz w:val="32"/>
          <w:szCs w:val="32"/>
          <w:highlight w:val="none"/>
        </w:rPr>
      </w:pPr>
    </w:p>
    <w:p w14:paraId="7A62AF10">
      <w:pPr>
        <w:rPr>
          <w:rFonts w:ascii="宋体" w:hAnsi="宋体"/>
          <w:b/>
          <w:bCs/>
          <w:sz w:val="32"/>
          <w:szCs w:val="32"/>
          <w:highlight w:val="none"/>
        </w:rPr>
      </w:pPr>
    </w:p>
    <w:p w14:paraId="4B8B6C7A">
      <w:pPr>
        <w:rPr>
          <w:rFonts w:ascii="宋体" w:hAnsi="宋体"/>
          <w:b/>
          <w:bCs/>
          <w:sz w:val="32"/>
          <w:szCs w:val="32"/>
          <w:highlight w:val="none"/>
        </w:rPr>
      </w:pPr>
    </w:p>
    <w:p w14:paraId="2096AAA3">
      <w:pPr>
        <w:rPr>
          <w:rFonts w:ascii="宋体" w:hAnsi="宋体"/>
          <w:b/>
          <w:bCs/>
          <w:sz w:val="32"/>
          <w:szCs w:val="32"/>
          <w:highlight w:val="none"/>
        </w:rPr>
      </w:pPr>
    </w:p>
    <w:p w14:paraId="6CA1BC06">
      <w:pPr>
        <w:rPr>
          <w:rFonts w:ascii="宋体" w:hAnsi="宋体"/>
          <w:b/>
          <w:bCs/>
          <w:sz w:val="32"/>
          <w:szCs w:val="32"/>
          <w:highlight w:val="none"/>
        </w:rPr>
      </w:pPr>
    </w:p>
    <w:p w14:paraId="1C40D405">
      <w:pPr>
        <w:rPr>
          <w:rFonts w:ascii="宋体" w:hAnsi="宋体"/>
          <w:b/>
          <w:bCs/>
          <w:sz w:val="32"/>
          <w:szCs w:val="32"/>
          <w:highlight w:val="none"/>
        </w:rPr>
      </w:pPr>
      <w:r>
        <w:rPr>
          <w:rFonts w:hint="eastAsia" w:ascii="宋体" w:hAnsi="宋体"/>
          <w:b/>
          <w:bCs/>
          <w:sz w:val="32"/>
          <w:szCs w:val="32"/>
          <w:highlight w:val="none"/>
        </w:rPr>
        <w:t>12、项目实施方案及进度方案</w:t>
      </w:r>
    </w:p>
    <w:p w14:paraId="44502F52">
      <w:pPr>
        <w:rPr>
          <w:rFonts w:ascii="宋体" w:hAnsi="宋体"/>
          <w:sz w:val="24"/>
          <w:highlight w:val="none"/>
        </w:rPr>
      </w:pPr>
    </w:p>
    <w:p w14:paraId="7644A77F">
      <w:pPr>
        <w:spacing w:line="360" w:lineRule="auto"/>
        <w:ind w:firstLine="480"/>
        <w:rPr>
          <w:rFonts w:ascii="宋体" w:hAnsi="宋体" w:cs="Arial"/>
          <w:sz w:val="24"/>
          <w:szCs w:val="21"/>
          <w:highlight w:val="none"/>
        </w:rPr>
      </w:pPr>
      <w:r>
        <w:rPr>
          <w:rFonts w:hint="eastAsia" w:ascii="宋体" w:hAnsi="宋体" w:cs="Arial"/>
          <w:sz w:val="24"/>
          <w:szCs w:val="21"/>
          <w:highlight w:val="none"/>
        </w:rPr>
        <w:t>投标人根据项目需求编写针对本项目的实施方案及进度方案</w:t>
      </w:r>
    </w:p>
    <w:p w14:paraId="2B2136F1">
      <w:pPr>
        <w:rPr>
          <w:rFonts w:ascii="宋体" w:hAnsi="宋体" w:cs="Arial"/>
          <w:sz w:val="24"/>
          <w:szCs w:val="21"/>
          <w:highlight w:val="none"/>
        </w:rPr>
      </w:pPr>
    </w:p>
    <w:p w14:paraId="4F0D267B">
      <w:pPr>
        <w:rPr>
          <w:rFonts w:ascii="宋体" w:hAnsi="宋体" w:cs="Arial"/>
          <w:sz w:val="24"/>
          <w:szCs w:val="21"/>
          <w:highlight w:val="none"/>
        </w:rPr>
      </w:pPr>
    </w:p>
    <w:p w14:paraId="25643833">
      <w:pPr>
        <w:rPr>
          <w:rFonts w:ascii="宋体" w:hAnsi="宋体" w:cs="Arial"/>
          <w:sz w:val="24"/>
          <w:szCs w:val="21"/>
          <w:highlight w:val="none"/>
        </w:rPr>
      </w:pPr>
    </w:p>
    <w:p w14:paraId="0A6A4C51">
      <w:pPr>
        <w:rPr>
          <w:rFonts w:ascii="宋体" w:hAnsi="宋体" w:cs="Arial"/>
          <w:sz w:val="24"/>
          <w:szCs w:val="21"/>
          <w:highlight w:val="none"/>
        </w:rPr>
      </w:pPr>
    </w:p>
    <w:p w14:paraId="16AED334">
      <w:pPr>
        <w:rPr>
          <w:rFonts w:ascii="宋体" w:hAnsi="宋体" w:cs="Arial"/>
          <w:sz w:val="24"/>
          <w:szCs w:val="21"/>
          <w:highlight w:val="none"/>
        </w:rPr>
      </w:pPr>
    </w:p>
    <w:p w14:paraId="3E104101">
      <w:pPr>
        <w:rPr>
          <w:rFonts w:ascii="宋体" w:hAnsi="宋体"/>
          <w:b/>
          <w:bCs/>
          <w:sz w:val="32"/>
          <w:szCs w:val="32"/>
          <w:highlight w:val="none"/>
        </w:rPr>
      </w:pPr>
    </w:p>
    <w:p w14:paraId="093E4A31">
      <w:pPr>
        <w:pBdr>
          <w:top w:val="none" w:color="000000" w:sz="0" w:space="0"/>
          <w:left w:val="none" w:color="000000" w:sz="0" w:space="0"/>
          <w:bottom w:val="none" w:color="000000" w:sz="0" w:space="0"/>
          <w:right w:val="none" w:color="000000" w:sz="0" w:space="0"/>
        </w:pBdr>
        <w:rPr>
          <w:highlight w:val="none"/>
        </w:rPr>
      </w:pPr>
      <w:r>
        <w:rPr>
          <w:rFonts w:hint="eastAsia" w:ascii="宋体" w:hAnsi="宋体"/>
          <w:b/>
          <w:bCs/>
          <w:sz w:val="32"/>
          <w:szCs w:val="32"/>
          <w:highlight w:val="none"/>
        </w:rPr>
        <w:t>13、项目质量保证措施及承诺</w:t>
      </w:r>
    </w:p>
    <w:p w14:paraId="02E3C6C9">
      <w:pPr>
        <w:pBdr>
          <w:top w:val="none" w:color="000000" w:sz="0" w:space="0"/>
          <w:left w:val="none" w:color="000000" w:sz="0" w:space="0"/>
          <w:bottom w:val="none" w:color="000000" w:sz="0" w:space="0"/>
          <w:right w:val="none" w:color="000000" w:sz="0" w:space="0"/>
        </w:pBdr>
        <w:rPr>
          <w:highlight w:val="none"/>
        </w:rPr>
      </w:pPr>
      <w:r>
        <w:rPr>
          <w:rFonts w:ascii="宋体" w:hAnsi="宋体" w:cs="宋体"/>
          <w:sz w:val="24"/>
          <w:highlight w:val="none"/>
        </w:rPr>
        <w:t> </w:t>
      </w:r>
    </w:p>
    <w:p w14:paraId="6BD6E14A">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宋体" w:hAnsi="宋体" w:cs="宋体"/>
          <w:sz w:val="24"/>
          <w:highlight w:val="none"/>
        </w:rPr>
        <w:t>投标人根据项目需求编写针对本项目的质量保证措施及承诺</w:t>
      </w:r>
    </w:p>
    <w:p w14:paraId="5A148F48">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 </w:t>
      </w:r>
    </w:p>
    <w:p w14:paraId="21B0B355">
      <w:pPr>
        <w:pBdr>
          <w:top w:val="none" w:color="000000" w:sz="0" w:space="0"/>
          <w:left w:val="none" w:color="000000" w:sz="0" w:space="0"/>
          <w:bottom w:val="none" w:color="000000" w:sz="0" w:space="0"/>
          <w:right w:val="none" w:color="000000" w:sz="0" w:space="0"/>
        </w:pBdr>
        <w:spacing w:before="240" w:after="240" w:line="85" w:lineRule="atLeast"/>
        <w:rPr>
          <w:rFonts w:ascii="宋体" w:hAnsi="宋体" w:cs="宋体"/>
          <w:b/>
          <w:sz w:val="32"/>
          <w:highlight w:val="none"/>
        </w:rPr>
      </w:pPr>
    </w:p>
    <w:p w14:paraId="5D400309">
      <w:pPr>
        <w:pBdr>
          <w:top w:val="none" w:color="000000" w:sz="0" w:space="0"/>
          <w:left w:val="none" w:color="000000" w:sz="0" w:space="0"/>
          <w:bottom w:val="none" w:color="000000" w:sz="0" w:space="0"/>
          <w:right w:val="none" w:color="000000" w:sz="0" w:space="0"/>
        </w:pBdr>
        <w:spacing w:before="240" w:after="240" w:line="85" w:lineRule="atLeast"/>
        <w:rPr>
          <w:rFonts w:ascii="宋体" w:hAnsi="宋体" w:cs="宋体"/>
          <w:b/>
          <w:sz w:val="32"/>
          <w:highlight w:val="none"/>
        </w:rPr>
      </w:pPr>
    </w:p>
    <w:p w14:paraId="36AAAADB">
      <w:pPr>
        <w:pBdr>
          <w:top w:val="none" w:color="000000" w:sz="0" w:space="0"/>
          <w:left w:val="none" w:color="000000" w:sz="0" w:space="0"/>
          <w:bottom w:val="none" w:color="000000" w:sz="0" w:space="0"/>
          <w:right w:val="none" w:color="000000" w:sz="0" w:space="0"/>
        </w:pBdr>
        <w:spacing w:before="240" w:after="240" w:line="85" w:lineRule="atLeast"/>
        <w:rPr>
          <w:rFonts w:ascii="宋体" w:hAnsi="宋体" w:cs="宋体"/>
          <w:b/>
          <w:sz w:val="32"/>
          <w:highlight w:val="none"/>
        </w:rPr>
      </w:pPr>
    </w:p>
    <w:p w14:paraId="00F85AFF">
      <w:pPr>
        <w:pBdr>
          <w:top w:val="none" w:color="000000" w:sz="0" w:space="0"/>
          <w:left w:val="none" w:color="000000" w:sz="0" w:space="0"/>
          <w:bottom w:val="none" w:color="000000" w:sz="0" w:space="0"/>
          <w:right w:val="none" w:color="000000" w:sz="0" w:space="0"/>
        </w:pBdr>
        <w:spacing w:before="240" w:after="240" w:line="85" w:lineRule="atLeast"/>
        <w:rPr>
          <w:highlight w:val="none"/>
        </w:rPr>
      </w:pPr>
    </w:p>
    <w:p w14:paraId="307D1415">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14、项目售后服务方案</w:t>
      </w:r>
    </w:p>
    <w:p w14:paraId="33612DB1">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 xml:space="preserve">  </w:t>
      </w:r>
    </w:p>
    <w:p w14:paraId="5ED02D5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sz w:val="24"/>
          <w:highlight w:val="none"/>
        </w:rPr>
        <w:t>投标人根据项目需求编写针对本项目的售后服务方案</w:t>
      </w:r>
    </w:p>
    <w:p w14:paraId="73B64311">
      <w:pPr>
        <w:pBdr>
          <w:top w:val="none" w:color="000000" w:sz="0" w:space="0"/>
          <w:left w:val="none" w:color="000000" w:sz="0" w:space="0"/>
          <w:bottom w:val="none" w:color="000000" w:sz="0" w:space="0"/>
          <w:right w:val="none" w:color="000000" w:sz="0" w:space="0"/>
        </w:pBdr>
        <w:rPr>
          <w:rFonts w:ascii="宋体" w:hAnsi="宋体" w:cs="宋体"/>
          <w:sz w:val="24"/>
          <w:highlight w:val="none"/>
        </w:rPr>
      </w:pPr>
      <w:r>
        <w:rPr>
          <w:rFonts w:ascii="宋体" w:hAnsi="宋体" w:cs="宋体"/>
          <w:sz w:val="24"/>
          <w:highlight w:val="none"/>
        </w:rPr>
        <w:t> </w:t>
      </w:r>
    </w:p>
    <w:p w14:paraId="5DB964E4">
      <w:pPr>
        <w:pBdr>
          <w:top w:val="none" w:color="000000" w:sz="0" w:space="0"/>
          <w:left w:val="none" w:color="000000" w:sz="0" w:space="0"/>
          <w:bottom w:val="none" w:color="000000" w:sz="0" w:space="0"/>
          <w:right w:val="none" w:color="000000" w:sz="0" w:space="0"/>
        </w:pBdr>
        <w:rPr>
          <w:highlight w:val="none"/>
        </w:rPr>
      </w:pPr>
    </w:p>
    <w:p w14:paraId="1E005AA4">
      <w:pPr>
        <w:pBdr>
          <w:top w:val="none" w:color="000000" w:sz="0" w:space="0"/>
          <w:left w:val="none" w:color="000000" w:sz="0" w:space="0"/>
          <w:bottom w:val="none" w:color="000000" w:sz="0" w:space="0"/>
          <w:right w:val="none" w:color="000000" w:sz="0" w:space="0"/>
        </w:pBdr>
        <w:rPr>
          <w:rFonts w:ascii="宋体" w:hAnsi="宋体" w:cs="宋体"/>
          <w:b/>
          <w:bCs/>
          <w:sz w:val="32"/>
          <w:szCs w:val="32"/>
          <w:highlight w:val="none"/>
        </w:rPr>
      </w:pPr>
    </w:p>
    <w:p w14:paraId="00212D7C">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0347D5AE">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495C3251">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170E3FC2">
      <w:pPr>
        <w:pBdr>
          <w:top w:val="none" w:color="000000" w:sz="0" w:space="0"/>
          <w:left w:val="none" w:color="000000" w:sz="0" w:space="0"/>
          <w:bottom w:val="none" w:color="000000" w:sz="0" w:space="0"/>
          <w:right w:val="none" w:color="000000" w:sz="0" w:space="0"/>
        </w:pBdr>
        <w:rPr>
          <w:rFonts w:ascii="宋体" w:hAnsi="宋体" w:cs="宋体"/>
          <w:b/>
          <w:sz w:val="32"/>
          <w:highlight w:val="none"/>
        </w:rPr>
      </w:pPr>
    </w:p>
    <w:p w14:paraId="37D734DB">
      <w:pPr>
        <w:pBdr>
          <w:top w:val="none" w:color="000000" w:sz="0" w:space="0"/>
          <w:left w:val="none" w:color="000000" w:sz="0" w:space="0"/>
          <w:bottom w:val="none" w:color="000000" w:sz="0" w:space="0"/>
          <w:right w:val="none" w:color="000000" w:sz="0" w:space="0"/>
        </w:pBdr>
        <w:rPr>
          <w:rFonts w:ascii="宋体" w:hAnsi="宋体" w:cs="宋体"/>
          <w:b/>
          <w:bCs/>
          <w:sz w:val="32"/>
          <w:szCs w:val="32"/>
          <w:highlight w:val="none"/>
        </w:rPr>
      </w:pPr>
      <w:r>
        <w:rPr>
          <w:rFonts w:ascii="宋体" w:hAnsi="宋体" w:cs="宋体"/>
          <w:b/>
          <w:sz w:val="32"/>
          <w:highlight w:val="none"/>
        </w:rPr>
        <w:t>15、企业类似业绩一览表</w:t>
      </w:r>
    </w:p>
    <w:p w14:paraId="3CD78CD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28"/>
          <w:highlight w:val="none"/>
        </w:rPr>
        <w:t> </w:t>
      </w:r>
    </w:p>
    <w:p w14:paraId="1CCDE66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sz w:val="28"/>
          <w:highlight w:val="none"/>
        </w:rPr>
        <w:t>企业类似业绩一览表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85"/>
        <w:gridCol w:w="1205"/>
        <w:gridCol w:w="1674"/>
        <w:gridCol w:w="1591"/>
        <w:gridCol w:w="1051"/>
      </w:tblGrid>
      <w:tr w14:paraId="7E25E6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32DB88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序号</w:t>
            </w:r>
          </w:p>
        </w:tc>
        <w:tc>
          <w:tcPr>
            <w:tcW w:w="118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72003F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项目名称</w:t>
            </w:r>
          </w:p>
        </w:tc>
        <w:tc>
          <w:tcPr>
            <w:tcW w:w="120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E135F0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项目时间</w:t>
            </w:r>
          </w:p>
        </w:tc>
        <w:tc>
          <w:tcPr>
            <w:tcW w:w="167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B6D85C">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合同金额</w:t>
            </w:r>
          </w:p>
          <w:p w14:paraId="0545D71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sz w:val="24"/>
                <w:highlight w:val="none"/>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F843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CD75FC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备注</w:t>
            </w:r>
          </w:p>
        </w:tc>
      </w:tr>
      <w:tr w14:paraId="6B2842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DE2C3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1</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A41C6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01749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BFDA3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BE9A0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BC94F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7F9C17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1A237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2</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C2A59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FC8FA5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647C6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510A3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46F9E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328913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508E5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3</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F3FD8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6DEA2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13A44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74000F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C82D2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33091A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96E9A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4</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CF76F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6B479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A543D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55065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6CA5E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454859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4697E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5</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406176">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96ECA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CFCCA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92126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BFC5A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4D850B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93C02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6</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B1B7B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BE1B0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FCD17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F90FA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5B681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1D0E75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0E11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7AC67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75F75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2A372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A3F4D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23330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2149E5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AFFB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AB685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E7E3A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500DC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728E8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7F7D2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r w14:paraId="6ECDDE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45EB6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BDD0C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C0A8C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F0856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C0DA2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86B14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sz w:val="24"/>
                <w:highlight w:val="none"/>
              </w:rPr>
              <w:t> </w:t>
            </w:r>
          </w:p>
        </w:tc>
      </w:tr>
    </w:tbl>
    <w:p w14:paraId="01C37CE9">
      <w:pPr>
        <w:pBdr>
          <w:top w:val="none" w:color="000000" w:sz="0" w:space="0"/>
          <w:left w:val="none" w:color="000000" w:sz="0" w:space="0"/>
          <w:bottom w:val="none" w:color="000000" w:sz="0" w:space="0"/>
          <w:right w:val="none" w:color="000000" w:sz="0" w:space="0"/>
        </w:pBdr>
        <w:spacing w:line="439" w:lineRule="atLeast"/>
        <w:ind w:firstLine="240"/>
        <w:rPr>
          <w:highlight w:val="none"/>
        </w:rPr>
      </w:pPr>
      <w:r>
        <w:rPr>
          <w:rFonts w:ascii="宋体" w:hAnsi="宋体" w:cs="宋体"/>
          <w:sz w:val="24"/>
          <w:highlight w:val="none"/>
        </w:rPr>
        <w:t>附：按照招标文件要求及评分标准提供相应证明材料</w:t>
      </w:r>
    </w:p>
    <w:p w14:paraId="5BDA6160">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rPr>
      </w:pPr>
    </w:p>
    <w:p w14:paraId="6DB9DD88">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rPr>
      </w:pPr>
    </w:p>
    <w:p w14:paraId="20A024DF">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 xml:space="preserve">投标单位（单位盖章）： </w:t>
      </w:r>
    </w:p>
    <w:p w14:paraId="2B940262">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法定代表人或代理人（签字或盖章）：</w:t>
      </w:r>
    </w:p>
    <w:p w14:paraId="4CE79C76">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投标日期：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p>
    <w:p w14:paraId="5B8CCAAB">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3C4A6283">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32"/>
          <w:highlight w:val="none"/>
        </w:rPr>
        <w:t>16、拟投入本项目的专业技术（服务）人员情况一览表</w:t>
      </w:r>
    </w:p>
    <w:p w14:paraId="0814A486">
      <w:pPr>
        <w:pBdr>
          <w:top w:val="none" w:color="000000" w:sz="0" w:space="0"/>
          <w:left w:val="none" w:color="000000" w:sz="0" w:space="0"/>
          <w:bottom w:val="none" w:color="000000" w:sz="0" w:space="0"/>
          <w:right w:val="none" w:color="000000" w:sz="0" w:space="0"/>
        </w:pBdr>
        <w:spacing w:before="240" w:after="240"/>
        <w:ind w:firstLine="1043"/>
        <w:rPr>
          <w:highlight w:val="none"/>
        </w:rPr>
      </w:pPr>
      <w:r>
        <w:rPr>
          <w:rFonts w:ascii="宋体" w:hAnsi="宋体" w:cs="宋体"/>
          <w:b/>
          <w:sz w:val="28"/>
          <w:highlight w:val="none"/>
        </w:rPr>
        <w:t>拟投入本项目的专业技术（服务）人员情况一览表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021794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17284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293F69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D52EA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D328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性别</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5ED881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19C97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45BD40B">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FD0583">
            <w:pPr>
              <w:pBdr>
                <w:top w:val="none" w:color="000000" w:sz="0" w:space="0"/>
                <w:left w:val="none" w:color="000000" w:sz="0" w:space="0"/>
                <w:bottom w:val="none" w:color="000000" w:sz="0" w:space="0"/>
                <w:right w:val="none" w:color="000000" w:sz="0" w:space="0"/>
              </w:pBdr>
              <w:ind w:firstLine="211"/>
              <w:rPr>
                <w:highlight w:val="none"/>
              </w:rPr>
            </w:pPr>
            <w:r>
              <w:rPr>
                <w:rFonts w:ascii="宋体" w:hAnsi="宋体" w:cs="宋体"/>
                <w:b/>
                <w:highlight w:val="none"/>
              </w:rPr>
              <w:t>备注</w:t>
            </w:r>
          </w:p>
        </w:tc>
      </w:tr>
      <w:tr w14:paraId="483B41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359568">
            <w:pPr>
              <w:pBdr>
                <w:top w:val="none" w:color="000000" w:sz="0" w:space="0"/>
                <w:left w:val="none" w:color="000000" w:sz="0" w:space="0"/>
                <w:bottom w:val="none" w:color="000000" w:sz="0" w:space="0"/>
                <w:right w:val="none" w:color="000000" w:sz="0" w:space="0"/>
              </w:pBdr>
              <w:ind w:firstLine="210"/>
              <w:rPr>
                <w:highlight w:val="none"/>
              </w:rPr>
            </w:pPr>
            <w:r>
              <w:rPr>
                <w:rFonts w:ascii="宋体" w:hAnsi="宋体" w:cs="宋体"/>
                <w:highlight w:val="none"/>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89D08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3BCFF67">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662BEE2">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65AD8F">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41AD46">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C611EBB">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3598A01">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r>
      <w:tr w14:paraId="6DAEC1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3739B45">
            <w:pPr>
              <w:pBdr>
                <w:top w:val="none" w:color="000000" w:sz="0" w:space="0"/>
                <w:left w:val="none" w:color="000000" w:sz="0" w:space="0"/>
                <w:bottom w:val="none" w:color="000000" w:sz="0" w:space="0"/>
                <w:right w:val="none" w:color="000000" w:sz="0" w:space="0"/>
              </w:pBdr>
              <w:ind w:firstLine="210"/>
              <w:rPr>
                <w:highlight w:val="none"/>
              </w:rPr>
            </w:pPr>
            <w:r>
              <w:rPr>
                <w:rFonts w:ascii="宋体" w:hAnsi="宋体" w:cs="宋体"/>
                <w:highlight w:val="none"/>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CFA102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C13EA5">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BBA749">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327839">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AA4C11">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4808F4">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E701F2">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r>
      <w:tr w14:paraId="6879E5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6D3143">
            <w:pPr>
              <w:pBdr>
                <w:top w:val="none" w:color="000000" w:sz="0" w:space="0"/>
                <w:left w:val="none" w:color="000000" w:sz="0" w:space="0"/>
                <w:bottom w:val="none" w:color="000000" w:sz="0" w:space="0"/>
                <w:right w:val="none" w:color="000000" w:sz="0" w:space="0"/>
              </w:pBdr>
              <w:ind w:firstLine="210"/>
              <w:rPr>
                <w:highlight w:val="none"/>
              </w:rPr>
            </w:pPr>
            <w:r>
              <w:rPr>
                <w:rFonts w:ascii="宋体" w:hAnsi="宋体" w:cs="宋体"/>
                <w:highlight w:val="none"/>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15AF9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18BC6EC">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982D53">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C9CA1BB">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7DB4FF">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F9CCB27">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589901">
            <w:pPr>
              <w:pBdr>
                <w:top w:val="none" w:color="000000" w:sz="0" w:space="0"/>
                <w:left w:val="none" w:color="000000" w:sz="0" w:space="0"/>
                <w:bottom w:val="none" w:color="000000" w:sz="0" w:space="0"/>
                <w:right w:val="none" w:color="000000" w:sz="0" w:space="0"/>
              </w:pBdr>
              <w:ind w:firstLine="480"/>
              <w:jc w:val="center"/>
              <w:rPr>
                <w:highlight w:val="none"/>
              </w:rPr>
            </w:pPr>
            <w:r>
              <w:rPr>
                <w:rFonts w:ascii="宋体" w:hAnsi="宋体" w:cs="宋体"/>
                <w:highlight w:val="none"/>
              </w:rPr>
              <w:t> </w:t>
            </w:r>
          </w:p>
        </w:tc>
      </w:tr>
      <w:tr w14:paraId="08C2F3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05734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E8585C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ABD600">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2173B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C78EED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A561E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463B70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B5EE6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14CDE9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46958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262182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54B43B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477597">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C9A656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E6B8EB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91D540">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088B4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07C363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3E327F">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B7D10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077A3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0454A0D">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F5118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437CB0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D1F539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6ECBCD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388AC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6556B5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30198F">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E626836">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895BD4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39CD10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275DF4">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EAA60E">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C5D9C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337B0A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3E168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093484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6BB4E6">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44350">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B474D6">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290382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4533B2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C45BAD">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774521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42B267E">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C98B9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49072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0AA7A5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A821B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0AC5CE6">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2D384A">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75EB8F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34809F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EFA18E">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AF8EB5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D3BDBE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566AC27">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FED95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7DC5C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A28C47F">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AB9FCD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648C68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5E639D">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37A36C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97D90F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43872A">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E7089F">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4BACF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28B59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5BAF3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7EEB1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E8BD8F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814C3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90384F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52C4D1">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534E4CC">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A26B0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172C4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FDD17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454040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D1E8CA">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6B148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444E835">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A66242A">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F38814">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988B18A">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7355AB">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8ABD09">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r w14:paraId="6841A3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FCDACA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72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F3A65F4">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126" w:type="dxa"/>
            <w:tcBorders>
              <w:top w:val="nil"/>
              <w:left w:val="nil"/>
              <w:bottom w:val="single" w:color="000000" w:sz="8" w:space="0"/>
              <w:right w:val="single" w:color="000000" w:sz="8" w:space="0"/>
            </w:tcBorders>
            <w:tcMar>
              <w:top w:w="0" w:type="dxa"/>
              <w:left w:w="0" w:type="dxa"/>
              <w:bottom w:w="0" w:type="dxa"/>
              <w:right w:w="0" w:type="dxa"/>
            </w:tcMar>
            <w:vAlign w:val="center"/>
          </w:tcPr>
          <w:p w14:paraId="6C94EF14">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94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4CCC418">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690" w:type="dxa"/>
            <w:tcBorders>
              <w:top w:val="nil"/>
              <w:left w:val="nil"/>
              <w:bottom w:val="single" w:color="000000" w:sz="8" w:space="0"/>
              <w:right w:val="single" w:color="000000" w:sz="8" w:space="0"/>
            </w:tcBorders>
            <w:tcMar>
              <w:top w:w="0" w:type="dxa"/>
              <w:left w:w="0" w:type="dxa"/>
              <w:bottom w:w="0" w:type="dxa"/>
              <w:right w:w="0" w:type="dxa"/>
            </w:tcMar>
            <w:vAlign w:val="center"/>
          </w:tcPr>
          <w:p w14:paraId="55E6A4F3">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002" w:type="dxa"/>
            <w:tcBorders>
              <w:top w:val="nil"/>
              <w:left w:val="nil"/>
              <w:bottom w:val="single" w:color="000000" w:sz="8" w:space="0"/>
              <w:right w:val="single" w:color="000000" w:sz="8" w:space="0"/>
            </w:tcBorders>
            <w:tcMar>
              <w:top w:w="0" w:type="dxa"/>
              <w:left w:w="0" w:type="dxa"/>
              <w:bottom w:w="0" w:type="dxa"/>
              <w:right w:w="0" w:type="dxa"/>
            </w:tcMar>
            <w:vAlign w:val="center"/>
          </w:tcPr>
          <w:p w14:paraId="4638082D">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159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7C0927">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c>
          <w:tcPr>
            <w:tcW w:w="88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0783322">
            <w:pPr>
              <w:pBdr>
                <w:top w:val="none" w:color="000000" w:sz="0" w:space="0"/>
                <w:left w:val="none" w:color="000000" w:sz="0" w:space="0"/>
                <w:bottom w:val="none" w:color="000000" w:sz="0" w:space="0"/>
                <w:right w:val="none" w:color="000000" w:sz="0" w:space="0"/>
              </w:pBdr>
              <w:ind w:firstLine="480"/>
              <w:rPr>
                <w:highlight w:val="none"/>
              </w:rPr>
            </w:pPr>
            <w:r>
              <w:rPr>
                <w:rFonts w:ascii="宋体" w:hAnsi="宋体" w:cs="宋体"/>
                <w:highlight w:val="none"/>
              </w:rPr>
              <w:t> </w:t>
            </w:r>
          </w:p>
        </w:tc>
      </w:tr>
    </w:tbl>
    <w:p w14:paraId="43150A92">
      <w:pPr>
        <w:pBdr>
          <w:top w:val="none" w:color="000000" w:sz="0" w:space="0"/>
          <w:left w:val="none" w:color="000000" w:sz="0" w:space="0"/>
          <w:bottom w:val="none" w:color="000000" w:sz="0" w:space="0"/>
          <w:right w:val="none" w:color="000000" w:sz="0" w:space="0"/>
        </w:pBdr>
        <w:spacing w:line="419" w:lineRule="atLeast"/>
        <w:rPr>
          <w:highlight w:val="none"/>
        </w:rPr>
      </w:pPr>
      <w:r>
        <w:rPr>
          <w:rFonts w:ascii="宋体" w:hAnsi="宋体" w:cs="宋体"/>
          <w:sz w:val="24"/>
          <w:highlight w:val="none"/>
        </w:rPr>
        <w:t>附：1、按照招标文件要求提供相应资质证明材料。</w:t>
      </w:r>
    </w:p>
    <w:p w14:paraId="0060C284">
      <w:pPr>
        <w:pBdr>
          <w:top w:val="none" w:color="000000" w:sz="0" w:space="0"/>
          <w:left w:val="none" w:color="000000" w:sz="0" w:space="0"/>
          <w:bottom w:val="none" w:color="000000" w:sz="0" w:space="0"/>
          <w:right w:val="none" w:color="000000" w:sz="0" w:space="0"/>
        </w:pBdr>
        <w:spacing w:line="419" w:lineRule="atLeast"/>
        <w:rPr>
          <w:highlight w:val="none"/>
        </w:rPr>
      </w:pPr>
      <w:r>
        <w:rPr>
          <w:rFonts w:ascii="宋体" w:hAnsi="宋体" w:cs="宋体"/>
          <w:sz w:val="24"/>
          <w:highlight w:val="none"/>
        </w:rPr>
        <w:t> </w:t>
      </w:r>
    </w:p>
    <w:p w14:paraId="3CCB47FC">
      <w:pPr>
        <w:pBdr>
          <w:top w:val="none" w:color="000000" w:sz="0" w:space="0"/>
          <w:left w:val="none" w:color="000000" w:sz="0" w:space="0"/>
          <w:bottom w:val="none" w:color="000000" w:sz="0" w:space="0"/>
          <w:right w:val="none" w:color="000000" w:sz="0" w:space="0"/>
        </w:pBdr>
        <w:spacing w:line="312" w:lineRule="atLeast"/>
        <w:ind w:firstLine="574"/>
        <w:rPr>
          <w:rFonts w:ascii="宋体" w:hAnsi="宋体" w:cs="宋体"/>
          <w:sz w:val="28"/>
          <w:highlight w:val="none"/>
        </w:rPr>
      </w:pPr>
    </w:p>
    <w:p w14:paraId="145ADB16">
      <w:pPr>
        <w:pBdr>
          <w:top w:val="none" w:color="000000" w:sz="0" w:space="0"/>
          <w:left w:val="none" w:color="000000" w:sz="0" w:space="0"/>
          <w:bottom w:val="none" w:color="000000" w:sz="0" w:space="0"/>
          <w:right w:val="none" w:color="000000" w:sz="0" w:space="0"/>
        </w:pBdr>
        <w:spacing w:line="312" w:lineRule="atLeast"/>
        <w:ind w:firstLine="574"/>
        <w:rPr>
          <w:rFonts w:ascii="宋体" w:hAnsi="宋体" w:cs="宋体"/>
          <w:sz w:val="28"/>
          <w:highlight w:val="none"/>
        </w:rPr>
      </w:pPr>
    </w:p>
    <w:p w14:paraId="5E8DFC33">
      <w:pPr>
        <w:pBdr>
          <w:top w:val="none" w:color="000000" w:sz="0" w:space="0"/>
          <w:left w:val="none" w:color="000000" w:sz="0" w:space="0"/>
          <w:bottom w:val="none" w:color="000000" w:sz="0" w:space="0"/>
          <w:right w:val="none" w:color="000000" w:sz="0" w:space="0"/>
        </w:pBdr>
        <w:spacing w:line="312" w:lineRule="atLeast"/>
        <w:ind w:firstLine="574"/>
        <w:rPr>
          <w:rFonts w:ascii="宋体" w:hAnsi="宋体" w:cs="宋体"/>
          <w:sz w:val="28"/>
          <w:highlight w:val="none"/>
        </w:rPr>
      </w:pPr>
    </w:p>
    <w:p w14:paraId="5FD35C73">
      <w:pPr>
        <w:pBdr>
          <w:top w:val="none" w:color="000000" w:sz="0" w:space="0"/>
          <w:left w:val="none" w:color="000000" w:sz="0" w:space="0"/>
          <w:bottom w:val="none" w:color="000000" w:sz="0" w:space="0"/>
          <w:right w:val="none" w:color="000000" w:sz="0" w:space="0"/>
        </w:pBdr>
        <w:spacing w:line="312" w:lineRule="atLeast"/>
        <w:ind w:firstLine="574"/>
        <w:rPr>
          <w:highlight w:val="none"/>
        </w:rPr>
      </w:pPr>
      <w:r>
        <w:rPr>
          <w:rFonts w:ascii="宋体" w:hAnsi="宋体" w:cs="宋体"/>
          <w:sz w:val="28"/>
          <w:highlight w:val="none"/>
        </w:rPr>
        <w:t>  </w:t>
      </w:r>
    </w:p>
    <w:p w14:paraId="5A1D2526">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 xml:space="preserve">投标单位（单位盖章）： </w:t>
      </w:r>
    </w:p>
    <w:p w14:paraId="18650D2E">
      <w:pPr>
        <w:pBdr>
          <w:top w:val="none" w:color="000000" w:sz="0" w:space="0"/>
          <w:left w:val="none" w:color="000000" w:sz="0" w:space="0"/>
          <w:bottom w:val="none" w:color="000000" w:sz="0" w:space="0"/>
          <w:right w:val="none" w:color="000000" w:sz="0" w:space="0"/>
        </w:pBdr>
        <w:spacing w:line="499" w:lineRule="atLeast"/>
        <w:rPr>
          <w:highlight w:val="none"/>
        </w:rPr>
      </w:pPr>
      <w:r>
        <w:rPr>
          <w:rFonts w:ascii="宋体" w:hAnsi="宋体" w:cs="宋体"/>
          <w:sz w:val="24"/>
          <w:highlight w:val="none"/>
        </w:rPr>
        <w:t>法定代表人或代理人（签字或盖章）</w:t>
      </w:r>
    </w:p>
    <w:p w14:paraId="292896D9">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rPr>
      </w:pPr>
      <w:r>
        <w:rPr>
          <w:rFonts w:ascii="宋体" w:hAnsi="宋体" w:cs="宋体"/>
          <w:sz w:val="24"/>
          <w:highlight w:val="none"/>
        </w:rPr>
        <w:t>投标日期： 年 月 日</w:t>
      </w:r>
    </w:p>
    <w:p w14:paraId="34A16BDA">
      <w:pPr>
        <w:spacing w:line="360" w:lineRule="auto"/>
        <w:rPr>
          <w:rFonts w:ascii="宋体" w:hAnsi="宋体" w:cs="宋体"/>
          <w:b/>
          <w:sz w:val="32"/>
          <w:szCs w:val="32"/>
          <w:highlight w:val="none"/>
        </w:rPr>
      </w:pPr>
    </w:p>
    <w:p w14:paraId="1D7C6D36">
      <w:pPr>
        <w:spacing w:line="360" w:lineRule="auto"/>
        <w:rPr>
          <w:rFonts w:ascii="宋体" w:hAnsi="宋体" w:cs="宋体"/>
          <w:b/>
          <w:highlight w:val="none"/>
        </w:rPr>
      </w:pPr>
      <w:r>
        <w:rPr>
          <w:rFonts w:hint="eastAsia" w:ascii="宋体" w:hAnsi="宋体" w:cs="宋体"/>
          <w:b/>
          <w:sz w:val="32"/>
          <w:szCs w:val="32"/>
          <w:highlight w:val="none"/>
        </w:rPr>
        <w:t xml:space="preserve">17、中小企业声明函（如有）       </w:t>
      </w:r>
      <w:r>
        <w:rPr>
          <w:rFonts w:hint="eastAsia" w:ascii="宋体" w:hAnsi="宋体" w:cs="宋体"/>
          <w:b/>
          <w:highlight w:val="none"/>
        </w:rPr>
        <w:t xml:space="preserve">           </w:t>
      </w:r>
    </w:p>
    <w:p w14:paraId="4784A746">
      <w:pPr>
        <w:spacing w:line="460" w:lineRule="exact"/>
        <w:rPr>
          <w:rFonts w:ascii="宋体" w:hAnsi="宋体" w:cs="宋体"/>
          <w:b/>
          <w:highlight w:val="none"/>
        </w:rPr>
      </w:pPr>
      <w:r>
        <w:rPr>
          <w:rFonts w:hint="eastAsia" w:ascii="宋体" w:hAnsi="宋体" w:cs="宋体"/>
          <w:b/>
          <w:highlight w:val="none"/>
        </w:rPr>
        <w:t xml:space="preserve">                        </w:t>
      </w:r>
    </w:p>
    <w:p w14:paraId="21D3CE8E">
      <w:pPr>
        <w:spacing w:line="460" w:lineRule="exact"/>
        <w:jc w:val="center"/>
        <w:rPr>
          <w:rFonts w:ascii="宋体" w:hAnsi="宋体" w:cs="宋体"/>
          <w:b/>
          <w:sz w:val="28"/>
          <w:szCs w:val="28"/>
          <w:highlight w:val="none"/>
        </w:rPr>
      </w:pPr>
      <w:r>
        <w:rPr>
          <w:rFonts w:hint="eastAsia" w:ascii="宋体" w:hAnsi="宋体" w:cs="宋体"/>
          <w:b/>
          <w:sz w:val="28"/>
          <w:szCs w:val="28"/>
          <w:highlight w:val="none"/>
        </w:rPr>
        <w:t>中小企业声明函（货物）</w:t>
      </w:r>
    </w:p>
    <w:p w14:paraId="454F1E46">
      <w:pPr>
        <w:spacing w:line="460" w:lineRule="exact"/>
        <w:ind w:firstLine="480"/>
        <w:rPr>
          <w:rFonts w:ascii="宋体" w:hAnsi="宋体" w:cs="宋体"/>
          <w:sz w:val="24"/>
          <w:highlight w:val="none"/>
        </w:rPr>
      </w:pPr>
      <w:r>
        <w:rPr>
          <w:rFonts w:hint="eastAsia" w:ascii="宋体" w:hAnsi="宋体" w:cs="宋体"/>
          <w:sz w:val="24"/>
          <w:highlight w:val="none"/>
        </w:rPr>
        <w:t>本公司郑重声明，根据《政府采购促进中小企业发展管理办法》（财库﹝2020﹞46号）的规定，本公司参加</w:t>
      </w:r>
      <w:r>
        <w:rPr>
          <w:rFonts w:hint="eastAsia" w:ascii="宋体" w:hAnsi="宋体" w:cs="宋体"/>
          <w:b/>
          <w:i/>
          <w:sz w:val="24"/>
          <w:highlight w:val="none"/>
          <w:u w:val="single"/>
        </w:rPr>
        <w:t>（单位名称）</w:t>
      </w:r>
      <w:r>
        <w:rPr>
          <w:rFonts w:hint="eastAsia" w:ascii="宋体" w:hAnsi="宋体" w:cs="宋体"/>
          <w:sz w:val="24"/>
          <w:highlight w:val="none"/>
        </w:rPr>
        <w:t>的</w:t>
      </w:r>
      <w:r>
        <w:rPr>
          <w:rFonts w:hint="eastAsia" w:ascii="宋体" w:hAnsi="宋体" w:cs="宋体"/>
          <w:b/>
          <w:i/>
          <w:sz w:val="24"/>
          <w:highlight w:val="none"/>
          <w:u w:val="single"/>
        </w:rPr>
        <w:t xml:space="preserve">（项目名称），编号  </w:t>
      </w:r>
      <w:r>
        <w:rPr>
          <w:rFonts w:hint="eastAsia" w:ascii="宋体" w:hAnsi="宋体" w:cs="宋体"/>
          <w:sz w:val="24"/>
          <w:highlight w:val="none"/>
        </w:rPr>
        <w:t>采购活动，提供的货物全部由符合政策要求的中小企业制造。相关企业的具体情况如下：</w:t>
      </w:r>
    </w:p>
    <w:p w14:paraId="19521BB1">
      <w:pPr>
        <w:widowControl/>
        <w:numPr>
          <w:ilvl w:val="0"/>
          <w:numId w:val="3"/>
        </w:numPr>
        <w:spacing w:after="200" w:line="460" w:lineRule="exact"/>
        <w:ind w:firstLine="482"/>
        <w:jc w:val="left"/>
        <w:rPr>
          <w:rFonts w:ascii="宋体" w:hAnsi="宋体" w:cs="宋体"/>
          <w:sz w:val="24"/>
          <w:highlight w:val="none"/>
        </w:rPr>
      </w:pPr>
      <w:r>
        <w:rPr>
          <w:rFonts w:hint="eastAsia" w:ascii="宋体" w:hAnsi="宋体" w:cs="宋体"/>
          <w:b/>
          <w:i/>
          <w:sz w:val="24"/>
          <w:highlight w:val="none"/>
          <w:u w:val="single"/>
        </w:rPr>
        <w:t>（标的名称）</w:t>
      </w:r>
      <w:r>
        <w:rPr>
          <w:rFonts w:hint="eastAsia" w:ascii="宋体" w:hAnsi="宋体" w:cs="宋体"/>
          <w:sz w:val="24"/>
          <w:highlight w:val="none"/>
        </w:rPr>
        <w:t>，属于</w:t>
      </w:r>
      <w:r>
        <w:rPr>
          <w:rFonts w:hint="eastAsia" w:ascii="宋体" w:hAnsi="宋体" w:cs="宋体"/>
          <w:i/>
          <w:sz w:val="24"/>
          <w:highlight w:val="none"/>
          <w:u w:val="single"/>
        </w:rPr>
        <w:t xml:space="preserve">   工业    </w:t>
      </w:r>
      <w:r>
        <w:rPr>
          <w:rFonts w:hint="eastAsia" w:ascii="宋体" w:hAnsi="宋体" w:cs="宋体"/>
          <w:sz w:val="24"/>
          <w:highlight w:val="none"/>
        </w:rPr>
        <w:t>行业；制造商为</w:t>
      </w:r>
      <w:r>
        <w:rPr>
          <w:rFonts w:hint="eastAsia" w:ascii="宋体" w:hAnsi="宋体" w:cs="宋体"/>
          <w:b/>
          <w:i/>
          <w:sz w:val="24"/>
          <w:highlight w:val="none"/>
          <w:u w:val="single"/>
        </w:rPr>
        <w:t>（企业名称）</w:t>
      </w:r>
      <w:r>
        <w:rPr>
          <w:rFonts w:hint="eastAsia" w:ascii="宋体" w:hAnsi="宋体" w:cs="宋体"/>
          <w:sz w:val="24"/>
          <w:highlight w:val="none"/>
        </w:rPr>
        <w:t>，从业人员</w:t>
      </w:r>
      <w:r>
        <w:rPr>
          <w:rFonts w:hint="eastAsia" w:ascii="宋体" w:hAnsi="宋体" w:cs="宋体"/>
          <w:i/>
          <w:sz w:val="24"/>
          <w:highlight w:val="none"/>
          <w:u w:val="single"/>
        </w:rPr>
        <w:tab/>
      </w:r>
      <w:r>
        <w:rPr>
          <w:rFonts w:hint="eastAsia" w:ascii="宋体" w:hAnsi="宋体" w:cs="宋体"/>
          <w:sz w:val="24"/>
          <w:highlight w:val="none"/>
        </w:rPr>
        <w:t>人，营业收入为</w:t>
      </w:r>
      <w:r>
        <w:rPr>
          <w:rFonts w:hint="eastAsia" w:ascii="宋体" w:hAnsi="宋体" w:cs="宋体"/>
          <w:i/>
          <w:sz w:val="24"/>
          <w:highlight w:val="none"/>
          <w:u w:val="single"/>
        </w:rPr>
        <w:tab/>
      </w:r>
      <w:r>
        <w:rPr>
          <w:rFonts w:hint="eastAsia" w:ascii="宋体" w:hAnsi="宋体" w:cs="宋体"/>
          <w:sz w:val="24"/>
          <w:highlight w:val="none"/>
        </w:rPr>
        <w:t>万元，资产总额为</w:t>
      </w:r>
      <w:r>
        <w:rPr>
          <w:rFonts w:hint="eastAsia" w:ascii="宋体" w:hAnsi="宋体" w:cs="宋体"/>
          <w:i/>
          <w:sz w:val="24"/>
          <w:highlight w:val="none"/>
          <w:u w:val="single"/>
        </w:rPr>
        <w:tab/>
      </w:r>
      <w:r>
        <w:rPr>
          <w:rFonts w:hint="eastAsia" w:ascii="宋体" w:hAnsi="宋体" w:cs="宋体"/>
          <w:sz w:val="24"/>
          <w:highlight w:val="none"/>
        </w:rPr>
        <w:t>万元</w:t>
      </w:r>
      <w:r>
        <w:rPr>
          <w:rFonts w:hint="eastAsia"/>
          <w:highlight w:val="none"/>
        </w:rPr>
        <w:fldChar w:fldCharType="begin"/>
      </w:r>
      <w:r>
        <w:rPr>
          <w:highlight w:val="none"/>
        </w:rPr>
        <w:instrText xml:space="preserve"> HYPERLINK \l "_bookmark1" </w:instrText>
      </w:r>
      <w:r>
        <w:rPr>
          <w:rFonts w:hint="eastAsia"/>
          <w:highlight w:val="none"/>
        </w:rPr>
        <w:fldChar w:fldCharType="separate"/>
      </w:r>
      <w:r>
        <w:rPr>
          <w:rFonts w:hint="eastAsia" w:ascii="宋体" w:hAnsi="宋体" w:cs="宋体"/>
          <w:position w:val="16"/>
          <w:sz w:val="24"/>
          <w:highlight w:val="none"/>
        </w:rPr>
        <w:t>1</w:t>
      </w:r>
      <w:r>
        <w:rPr>
          <w:rFonts w:hint="eastAsia" w:ascii="宋体" w:hAnsi="宋体" w:cs="宋体"/>
          <w:position w:val="16"/>
          <w:sz w:val="24"/>
          <w:highlight w:val="none"/>
        </w:rPr>
        <w:fldChar w:fldCharType="end"/>
      </w:r>
      <w:r>
        <w:rPr>
          <w:rFonts w:hint="eastAsia" w:ascii="宋体" w:hAnsi="宋体" w:cs="宋体"/>
          <w:sz w:val="24"/>
          <w:highlight w:val="none"/>
        </w:rPr>
        <w:t>，属于</w:t>
      </w:r>
      <w:r>
        <w:rPr>
          <w:rFonts w:hint="eastAsia" w:ascii="宋体" w:hAnsi="宋体" w:cs="宋体"/>
          <w:i/>
          <w:sz w:val="24"/>
          <w:highlight w:val="none"/>
          <w:u w:val="single"/>
        </w:rPr>
        <w:tab/>
      </w:r>
      <w:r>
        <w:rPr>
          <w:rFonts w:hint="eastAsia" w:ascii="宋体" w:hAnsi="宋体" w:cs="宋体"/>
          <w:b/>
          <w:i/>
          <w:sz w:val="24"/>
          <w:highlight w:val="none"/>
        </w:rPr>
        <w:t>（中型企业、小型企业、微型企业，</w:t>
      </w:r>
      <w:r>
        <w:rPr>
          <w:rFonts w:hint="eastAsia" w:ascii="宋体" w:hAnsi="宋体" w:cs="宋体"/>
          <w:b/>
          <w:bCs/>
          <w:i/>
          <w:sz w:val="24"/>
          <w:highlight w:val="none"/>
        </w:rPr>
        <w:t>三者选一填写</w:t>
      </w:r>
      <w:r>
        <w:rPr>
          <w:rFonts w:hint="eastAsia" w:ascii="宋体" w:hAnsi="宋体" w:cs="宋体"/>
          <w:b/>
          <w:i/>
          <w:sz w:val="24"/>
          <w:highlight w:val="none"/>
        </w:rPr>
        <w:t>）</w:t>
      </w:r>
      <w:r>
        <w:rPr>
          <w:rFonts w:hint="eastAsia" w:ascii="宋体" w:hAnsi="宋体" w:cs="宋体"/>
          <w:sz w:val="24"/>
          <w:highlight w:val="none"/>
        </w:rPr>
        <w:t>；</w:t>
      </w:r>
    </w:p>
    <w:p w14:paraId="49687B89">
      <w:pPr>
        <w:spacing w:line="460" w:lineRule="exact"/>
        <w:ind w:firstLine="480"/>
        <w:rPr>
          <w:rFonts w:ascii="宋体" w:hAnsi="宋体" w:cs="宋体"/>
          <w:highlight w:val="none"/>
        </w:rPr>
      </w:pPr>
      <w:r>
        <w:rPr>
          <w:rFonts w:hint="eastAsia" w:ascii="宋体" w:hAnsi="宋体" w:cs="宋体"/>
          <w:sz w:val="24"/>
          <w:highlight w:val="none"/>
        </w:rPr>
        <w:t>2、</w:t>
      </w:r>
      <w:r>
        <w:rPr>
          <w:rFonts w:hint="eastAsia" w:ascii="宋体" w:hAnsi="宋体" w:cs="宋体"/>
          <w:b/>
          <w:i/>
          <w:sz w:val="24"/>
          <w:highlight w:val="none"/>
          <w:u w:val="single"/>
        </w:rPr>
        <w:t>（标的名称）</w:t>
      </w:r>
      <w:r>
        <w:rPr>
          <w:rFonts w:hint="eastAsia" w:ascii="宋体" w:hAnsi="宋体" w:cs="宋体"/>
          <w:sz w:val="24"/>
          <w:highlight w:val="none"/>
        </w:rPr>
        <w:t>，属于</w:t>
      </w:r>
      <w:r>
        <w:rPr>
          <w:rFonts w:hint="eastAsia" w:ascii="宋体" w:hAnsi="宋体" w:cs="宋体"/>
          <w:i/>
          <w:sz w:val="24"/>
          <w:highlight w:val="none"/>
          <w:u w:val="single"/>
        </w:rPr>
        <w:t xml:space="preserve">   工业    </w:t>
      </w:r>
      <w:r>
        <w:rPr>
          <w:rFonts w:hint="eastAsia" w:ascii="宋体" w:hAnsi="宋体" w:cs="宋体"/>
          <w:sz w:val="24"/>
          <w:highlight w:val="none"/>
        </w:rPr>
        <w:t>行业；制造商为</w:t>
      </w:r>
      <w:r>
        <w:rPr>
          <w:rFonts w:hint="eastAsia" w:ascii="宋体" w:hAnsi="宋体" w:cs="宋体"/>
          <w:b/>
          <w:i/>
          <w:sz w:val="24"/>
          <w:highlight w:val="none"/>
          <w:u w:val="single"/>
        </w:rPr>
        <w:t>（企业名称）</w:t>
      </w:r>
      <w:r>
        <w:rPr>
          <w:rFonts w:hint="eastAsia" w:ascii="宋体" w:hAnsi="宋体" w:cs="宋体"/>
          <w:sz w:val="24"/>
          <w:highlight w:val="none"/>
        </w:rPr>
        <w:t>，从业人员</w:t>
      </w:r>
      <w:r>
        <w:rPr>
          <w:rFonts w:hint="eastAsia" w:ascii="宋体" w:hAnsi="宋体" w:cs="宋体"/>
          <w:i/>
          <w:sz w:val="24"/>
          <w:highlight w:val="none"/>
          <w:u w:val="single"/>
        </w:rPr>
        <w:tab/>
      </w:r>
      <w:r>
        <w:rPr>
          <w:rFonts w:hint="eastAsia" w:ascii="宋体" w:hAnsi="宋体" w:cs="宋体"/>
          <w:sz w:val="24"/>
          <w:highlight w:val="none"/>
        </w:rPr>
        <w:t>人，营业收入为</w:t>
      </w:r>
      <w:r>
        <w:rPr>
          <w:rFonts w:hint="eastAsia" w:ascii="宋体" w:hAnsi="宋体" w:cs="宋体"/>
          <w:i/>
          <w:sz w:val="24"/>
          <w:highlight w:val="none"/>
          <w:u w:val="single"/>
        </w:rPr>
        <w:tab/>
      </w:r>
      <w:r>
        <w:rPr>
          <w:rFonts w:hint="eastAsia" w:ascii="宋体" w:hAnsi="宋体" w:cs="宋体"/>
          <w:sz w:val="24"/>
          <w:highlight w:val="none"/>
        </w:rPr>
        <w:t>万元，资产总额为</w:t>
      </w:r>
      <w:r>
        <w:rPr>
          <w:rFonts w:hint="eastAsia" w:ascii="宋体" w:hAnsi="宋体" w:cs="宋体"/>
          <w:i/>
          <w:sz w:val="24"/>
          <w:highlight w:val="none"/>
          <w:u w:val="single"/>
        </w:rPr>
        <w:tab/>
      </w:r>
      <w:r>
        <w:rPr>
          <w:rFonts w:hint="eastAsia" w:ascii="宋体" w:hAnsi="宋体" w:cs="宋体"/>
          <w:sz w:val="24"/>
          <w:highlight w:val="none"/>
        </w:rPr>
        <w:t>万元</w:t>
      </w:r>
      <w:r>
        <w:rPr>
          <w:rFonts w:hint="eastAsia"/>
          <w:highlight w:val="none"/>
        </w:rPr>
        <w:fldChar w:fldCharType="begin"/>
      </w:r>
      <w:r>
        <w:rPr>
          <w:highlight w:val="none"/>
        </w:rPr>
        <w:instrText xml:space="preserve"> HYPERLINK \l "_bookmark1" </w:instrText>
      </w:r>
      <w:r>
        <w:rPr>
          <w:rFonts w:hint="eastAsia"/>
          <w:highlight w:val="none"/>
        </w:rPr>
        <w:fldChar w:fldCharType="separate"/>
      </w:r>
      <w:r>
        <w:rPr>
          <w:rFonts w:hint="eastAsia" w:ascii="宋体" w:hAnsi="宋体" w:cs="宋体"/>
          <w:position w:val="16"/>
          <w:sz w:val="24"/>
          <w:highlight w:val="none"/>
        </w:rPr>
        <w:t>1</w:t>
      </w:r>
      <w:r>
        <w:rPr>
          <w:rFonts w:hint="eastAsia" w:ascii="宋体" w:hAnsi="宋体" w:cs="宋体"/>
          <w:position w:val="16"/>
          <w:sz w:val="24"/>
          <w:highlight w:val="none"/>
        </w:rPr>
        <w:fldChar w:fldCharType="end"/>
      </w:r>
      <w:r>
        <w:rPr>
          <w:rFonts w:hint="eastAsia" w:ascii="宋体" w:hAnsi="宋体" w:cs="宋体"/>
          <w:sz w:val="24"/>
          <w:highlight w:val="none"/>
        </w:rPr>
        <w:t>，属于</w:t>
      </w:r>
      <w:r>
        <w:rPr>
          <w:rFonts w:hint="eastAsia" w:ascii="宋体" w:hAnsi="宋体" w:cs="宋体"/>
          <w:i/>
          <w:sz w:val="24"/>
          <w:highlight w:val="none"/>
          <w:u w:val="single"/>
        </w:rPr>
        <w:tab/>
      </w:r>
      <w:r>
        <w:rPr>
          <w:rFonts w:hint="eastAsia" w:ascii="宋体" w:hAnsi="宋体" w:cs="宋体"/>
          <w:b/>
          <w:i/>
          <w:sz w:val="24"/>
          <w:highlight w:val="none"/>
        </w:rPr>
        <w:t>（中型企业、小型企业、微型企业，</w:t>
      </w:r>
      <w:r>
        <w:rPr>
          <w:rFonts w:hint="eastAsia" w:ascii="宋体" w:hAnsi="宋体" w:cs="宋体"/>
          <w:b/>
          <w:bCs/>
          <w:i/>
          <w:sz w:val="24"/>
          <w:highlight w:val="none"/>
        </w:rPr>
        <w:t>三者选一填写</w:t>
      </w:r>
      <w:r>
        <w:rPr>
          <w:rFonts w:hint="eastAsia" w:ascii="宋体" w:hAnsi="宋体" w:cs="宋体"/>
          <w:b/>
          <w:i/>
          <w:sz w:val="24"/>
          <w:highlight w:val="none"/>
        </w:rPr>
        <w:t>）</w:t>
      </w:r>
      <w:r>
        <w:rPr>
          <w:rFonts w:hint="eastAsia" w:ascii="宋体" w:hAnsi="宋体" w:cs="宋体"/>
          <w:sz w:val="24"/>
          <w:highlight w:val="none"/>
        </w:rPr>
        <w:t>；</w:t>
      </w:r>
    </w:p>
    <w:p w14:paraId="57E90AED">
      <w:pPr>
        <w:spacing w:line="460" w:lineRule="exact"/>
        <w:ind w:firstLine="480"/>
        <w:rPr>
          <w:rFonts w:ascii="宋体" w:hAnsi="宋体" w:cs="宋体"/>
          <w:sz w:val="24"/>
          <w:highlight w:val="none"/>
        </w:rPr>
      </w:pPr>
      <w:r>
        <w:rPr>
          <w:rFonts w:hint="eastAsia" w:ascii="宋体" w:hAnsi="宋体" w:cs="宋体"/>
          <w:sz w:val="24"/>
          <w:highlight w:val="none"/>
        </w:rPr>
        <w:t>……</w:t>
      </w:r>
    </w:p>
    <w:p w14:paraId="73F245FD">
      <w:pPr>
        <w:spacing w:line="460" w:lineRule="exact"/>
        <w:ind w:firstLine="48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0C07E1A9">
      <w:pPr>
        <w:spacing w:line="460" w:lineRule="exact"/>
        <w:ind w:firstLine="480"/>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14F35F7F">
      <w:pPr>
        <w:spacing w:line="460" w:lineRule="exact"/>
        <w:ind w:firstLine="2880"/>
        <w:rPr>
          <w:rFonts w:ascii="宋体" w:hAnsi="宋体" w:cs="宋体"/>
          <w:sz w:val="24"/>
          <w:highlight w:val="none"/>
        </w:rPr>
      </w:pPr>
      <w:r>
        <w:rPr>
          <w:rFonts w:hint="eastAsia" w:ascii="宋体" w:hAnsi="宋体" w:cs="宋体"/>
          <w:sz w:val="24"/>
          <w:highlight w:val="none"/>
        </w:rPr>
        <w:t>企业名称（盖章）：</w:t>
      </w:r>
    </w:p>
    <w:p w14:paraId="0C69888E">
      <w:pPr>
        <w:spacing w:line="460" w:lineRule="exact"/>
        <w:ind w:firstLine="2880"/>
        <w:rPr>
          <w:rFonts w:ascii="宋体" w:hAnsi="宋体" w:cs="宋体"/>
          <w:sz w:val="24"/>
          <w:highlight w:val="none"/>
        </w:rPr>
      </w:pPr>
      <w:r>
        <w:rPr>
          <w:rFonts w:hint="eastAsia" w:ascii="宋体" w:hAnsi="宋体" w:cs="宋体"/>
          <w:sz w:val="24"/>
          <w:highlight w:val="none"/>
        </w:rPr>
        <w:t>日期：</w:t>
      </w:r>
    </w:p>
    <w:p w14:paraId="05FA1394">
      <w:pPr>
        <w:spacing w:line="360" w:lineRule="exact"/>
        <w:ind w:firstLine="440"/>
        <w:rPr>
          <w:rFonts w:ascii="宋体" w:hAnsi="宋体" w:cs="宋体"/>
          <w:sz w:val="24"/>
          <w:highlight w:val="none"/>
        </w:rPr>
      </w:pPr>
      <w:r>
        <w:rPr>
          <w:rFonts w:hint="eastAsia"/>
          <w:highlight w:val="none"/>
        </w:rPr>
        <w:fldChar w:fldCharType="begin"/>
      </w:r>
      <w:r>
        <w:rPr>
          <w:highlight w:val="none"/>
        </w:rPr>
        <w:instrText xml:space="preserve"> HYPERLINK \l "_bookmark1" </w:instrText>
      </w:r>
      <w:r>
        <w:rPr>
          <w:rFonts w:hint="eastAsia"/>
          <w:highlight w:val="none"/>
        </w:rPr>
        <w:fldChar w:fldCharType="separate"/>
      </w:r>
      <w:r>
        <w:rPr>
          <w:rFonts w:hint="eastAsia" w:ascii="宋体" w:hAnsi="宋体" w:cs="宋体"/>
          <w:position w:val="16"/>
          <w:sz w:val="24"/>
          <w:highlight w:val="none"/>
        </w:rPr>
        <w:t>1</w:t>
      </w:r>
      <w:r>
        <w:rPr>
          <w:rFonts w:hint="eastAsia" w:ascii="宋体" w:hAnsi="宋体" w:cs="宋体"/>
          <w:position w:val="16"/>
          <w:sz w:val="24"/>
          <w:highlight w:val="none"/>
        </w:rPr>
        <w:fldChar w:fldCharType="end"/>
      </w:r>
      <w:r>
        <w:rPr>
          <w:rFonts w:hint="eastAsia" w:ascii="宋体" w:hAnsi="宋体" w:cs="宋体"/>
          <w:sz w:val="24"/>
          <w:highlight w:val="none"/>
        </w:rPr>
        <w:t>从业人员、营业收入、资产总额填报上一年度数据，无上一年度数据的新成立企业可不填报。</w:t>
      </w:r>
    </w:p>
    <w:p w14:paraId="6C0E99D3">
      <w:pPr>
        <w:spacing w:line="440" w:lineRule="exact"/>
        <w:ind w:firstLine="480"/>
        <w:rPr>
          <w:rFonts w:ascii="宋体" w:hAnsi="宋体" w:cs="宋体"/>
          <w:sz w:val="24"/>
          <w:highlight w:val="none"/>
        </w:rPr>
      </w:pPr>
      <w:r>
        <w:rPr>
          <w:rFonts w:hint="eastAsia" w:ascii="宋体" w:hAnsi="宋体" w:cs="宋体"/>
          <w:sz w:val="24"/>
          <w:highlight w:val="none"/>
        </w:rPr>
        <w:t>备注：</w:t>
      </w:r>
    </w:p>
    <w:p w14:paraId="312FC220">
      <w:pPr>
        <w:spacing w:line="360" w:lineRule="exact"/>
        <w:ind w:firstLine="480"/>
        <w:rPr>
          <w:rFonts w:ascii="宋体" w:hAnsi="宋体" w:cs="Calibri"/>
          <w:sz w:val="24"/>
          <w:highlight w:val="none"/>
        </w:rPr>
      </w:pPr>
      <w:r>
        <w:rPr>
          <w:rFonts w:ascii="宋体" w:hAnsi="宋体" w:cs="Calibri"/>
          <w:sz w:val="24"/>
          <w:highlight w:val="none"/>
        </w:rPr>
        <w:t>1</w:t>
      </w:r>
      <w:r>
        <w:rPr>
          <w:rFonts w:hint="eastAsia" w:ascii="宋体" w:hAnsi="宋体" w:cs="Calibri"/>
          <w:sz w:val="24"/>
          <w:highlight w:val="none"/>
        </w:rPr>
        <w:t>、投标人提供的中小企业声明函必须包含本项目</w:t>
      </w:r>
      <w:r>
        <w:rPr>
          <w:rFonts w:hint="eastAsia" w:ascii="宋体" w:hAnsi="宋体" w:cs="Calibri"/>
          <w:b/>
          <w:bCs/>
          <w:sz w:val="24"/>
          <w:highlight w:val="none"/>
        </w:rPr>
        <w:t>已标注为工业属性的所有货物及其货物制造商</w:t>
      </w:r>
      <w:r>
        <w:rPr>
          <w:rFonts w:hint="eastAsia" w:ascii="宋体" w:hAnsi="宋体" w:cs="Calibri"/>
          <w:sz w:val="24"/>
          <w:highlight w:val="none"/>
        </w:rPr>
        <w:t>，并按照声明函格式填写完整、明确，</w:t>
      </w:r>
      <w:r>
        <w:rPr>
          <w:rFonts w:hint="eastAsia" w:ascii="宋体" w:hAnsi="宋体"/>
          <w:sz w:val="24"/>
          <w:highlight w:val="none"/>
        </w:rPr>
        <w:t>否则不得享受相关中小企业价格扶持政策。</w:t>
      </w:r>
    </w:p>
    <w:p w14:paraId="6B55690A">
      <w:pPr>
        <w:spacing w:line="360" w:lineRule="exact"/>
        <w:ind w:firstLine="480"/>
        <w:rPr>
          <w:rFonts w:ascii="宋体" w:hAnsi="宋体" w:cs="Calibri"/>
          <w:sz w:val="24"/>
          <w:highlight w:val="none"/>
        </w:rPr>
      </w:pPr>
      <w:r>
        <w:rPr>
          <w:rFonts w:hint="eastAsia" w:ascii="宋体" w:hAnsi="宋体"/>
          <w:sz w:val="24"/>
          <w:highlight w:val="none"/>
        </w:rPr>
        <w:t>2、投标人提供的货物既有小、微企业制造货物，也有中、大型企业制造货物的，不享受小、微企业的价格扶持政策</w:t>
      </w:r>
    </w:p>
    <w:p w14:paraId="004D3CE7">
      <w:pPr>
        <w:spacing w:line="360" w:lineRule="exact"/>
        <w:ind w:firstLine="480"/>
        <w:rPr>
          <w:rFonts w:ascii="宋体" w:hAnsi="宋体"/>
          <w:highlight w:val="none"/>
        </w:rPr>
      </w:pPr>
      <w:r>
        <w:rPr>
          <w:rFonts w:hint="eastAsia" w:ascii="宋体" w:hAnsi="宋体" w:cs="Calibri"/>
          <w:sz w:val="24"/>
          <w:highlight w:val="none"/>
        </w:rPr>
        <w:t>3、中标、成交供应商享受规定的中小企业价格扶持政策的，《中小企业声明函》应当随中标、成交结果同时公告，接受社会监督。</w:t>
      </w:r>
    </w:p>
    <w:p w14:paraId="558F4A00">
      <w:pPr>
        <w:pBdr>
          <w:top w:val="none" w:color="000000" w:sz="0" w:space="0"/>
          <w:left w:val="none" w:color="000000" w:sz="0" w:space="0"/>
          <w:bottom w:val="none" w:color="000000" w:sz="0" w:space="0"/>
          <w:right w:val="none" w:color="000000" w:sz="0" w:space="0"/>
        </w:pBdr>
        <w:spacing w:line="439" w:lineRule="atLeast"/>
        <w:rPr>
          <w:rFonts w:ascii="宋体" w:hAnsi="宋体" w:cs="宋体"/>
          <w:b/>
          <w:sz w:val="32"/>
          <w:highlight w:val="none"/>
        </w:rPr>
      </w:pPr>
      <w:r>
        <w:rPr>
          <w:rFonts w:hint="eastAsia" w:ascii="宋体" w:hAnsi="宋体" w:cs="宋体"/>
          <w:b/>
          <w:sz w:val="32"/>
          <w:highlight w:val="none"/>
        </w:rPr>
        <w:t> </w:t>
      </w:r>
    </w:p>
    <w:p w14:paraId="2595F47F">
      <w:pPr>
        <w:pBdr>
          <w:top w:val="none" w:color="000000" w:sz="0" w:space="0"/>
          <w:left w:val="none" w:color="000000" w:sz="0" w:space="0"/>
          <w:bottom w:val="none" w:color="000000" w:sz="0" w:space="0"/>
          <w:right w:val="none" w:color="000000" w:sz="0" w:space="0"/>
        </w:pBdr>
        <w:spacing w:line="439" w:lineRule="atLeast"/>
        <w:rPr>
          <w:rFonts w:ascii="宋体" w:hAnsi="宋体" w:cs="宋体"/>
          <w:b/>
          <w:sz w:val="32"/>
          <w:highlight w:val="none"/>
        </w:rPr>
      </w:pPr>
    </w:p>
    <w:p w14:paraId="0602D3E3">
      <w:pPr>
        <w:pBdr>
          <w:top w:val="none" w:color="000000" w:sz="0" w:space="0"/>
          <w:left w:val="none" w:color="000000" w:sz="0" w:space="0"/>
          <w:bottom w:val="none" w:color="000000" w:sz="0" w:space="0"/>
          <w:right w:val="none" w:color="000000" w:sz="0" w:space="0"/>
        </w:pBdr>
        <w:spacing w:line="439" w:lineRule="atLeast"/>
        <w:rPr>
          <w:rFonts w:ascii="宋体" w:hAnsi="宋体" w:cs="宋体"/>
          <w:b/>
          <w:sz w:val="32"/>
          <w:highlight w:val="none"/>
        </w:rPr>
      </w:pPr>
    </w:p>
    <w:p w14:paraId="0683B406">
      <w:pPr>
        <w:pBdr>
          <w:top w:val="none" w:color="000000" w:sz="0" w:space="0"/>
          <w:left w:val="none" w:color="000000" w:sz="0" w:space="0"/>
          <w:bottom w:val="none" w:color="000000" w:sz="0" w:space="0"/>
          <w:right w:val="none" w:color="000000" w:sz="0" w:space="0"/>
        </w:pBdr>
        <w:spacing w:line="439" w:lineRule="atLeast"/>
        <w:rPr>
          <w:rFonts w:ascii="宋体" w:hAnsi="宋体" w:cs="宋体"/>
          <w:b/>
          <w:sz w:val="32"/>
          <w:highlight w:val="none"/>
        </w:rPr>
      </w:pPr>
    </w:p>
    <w:p w14:paraId="6A0E8CEF">
      <w:pPr>
        <w:pBdr>
          <w:top w:val="none" w:color="000000" w:sz="0" w:space="0"/>
          <w:left w:val="none" w:color="000000" w:sz="0" w:space="0"/>
          <w:bottom w:val="none" w:color="000000" w:sz="0" w:space="0"/>
          <w:right w:val="none" w:color="000000" w:sz="0" w:space="0"/>
        </w:pBdr>
        <w:spacing w:line="439" w:lineRule="atLeast"/>
        <w:rPr>
          <w:rFonts w:ascii="宋体" w:hAnsi="宋体" w:cs="宋体"/>
          <w:b/>
          <w:bCs/>
          <w:sz w:val="32"/>
          <w:szCs w:val="32"/>
          <w:highlight w:val="none"/>
        </w:rPr>
      </w:pPr>
      <w:r>
        <w:rPr>
          <w:rFonts w:hint="eastAsia" w:ascii="宋体" w:hAnsi="宋体" w:cs="宋体"/>
          <w:b/>
          <w:sz w:val="32"/>
          <w:highlight w:val="none"/>
        </w:rPr>
        <w:t>18、残疾人福利性单位声明函（如有）</w:t>
      </w:r>
    </w:p>
    <w:p w14:paraId="2EEB3C82">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r>
        <w:rPr>
          <w:rFonts w:hint="eastAsia" w:ascii="宋体" w:hAnsi="宋体" w:cs="宋体"/>
          <w:b/>
          <w:sz w:val="32"/>
          <w:highlight w:val="none"/>
        </w:rPr>
        <w:t> </w:t>
      </w:r>
    </w:p>
    <w:p w14:paraId="33816C32">
      <w:pPr>
        <w:pBdr>
          <w:top w:val="none" w:color="000000" w:sz="0" w:space="0"/>
          <w:left w:val="none" w:color="000000" w:sz="0" w:space="0"/>
          <w:bottom w:val="none" w:color="000000" w:sz="0" w:space="0"/>
          <w:right w:val="none" w:color="000000" w:sz="0" w:space="0"/>
        </w:pBdr>
        <w:spacing w:line="479" w:lineRule="atLeast"/>
        <w:ind w:firstLine="2560"/>
        <w:rPr>
          <w:rFonts w:ascii="宋体" w:hAnsi="宋体" w:cs="宋体"/>
          <w:highlight w:val="none"/>
        </w:rPr>
      </w:pPr>
      <w:r>
        <w:rPr>
          <w:rFonts w:hint="eastAsia" w:ascii="宋体" w:hAnsi="宋体" w:cs="宋体"/>
          <w:sz w:val="32"/>
          <w:highlight w:val="none"/>
        </w:rPr>
        <w:t>残疾人福利性单位声明函</w:t>
      </w:r>
    </w:p>
    <w:p w14:paraId="4BF258BA">
      <w:pPr>
        <w:pBdr>
          <w:top w:val="none" w:color="000000" w:sz="0" w:space="0"/>
          <w:left w:val="none" w:color="000000" w:sz="0" w:space="0"/>
          <w:bottom w:val="none" w:color="000000" w:sz="0" w:space="0"/>
          <w:right w:val="none" w:color="000000" w:sz="0" w:space="0"/>
        </w:pBdr>
        <w:spacing w:line="479" w:lineRule="atLeast"/>
        <w:ind w:firstLine="1928"/>
        <w:rPr>
          <w:rFonts w:ascii="宋体" w:hAnsi="宋体" w:cs="宋体"/>
          <w:highlight w:val="none"/>
        </w:rPr>
      </w:pPr>
      <w:r>
        <w:rPr>
          <w:rFonts w:hint="eastAsia" w:ascii="宋体" w:hAnsi="宋体" w:cs="宋体"/>
          <w:b/>
          <w:sz w:val="32"/>
          <w:highlight w:val="none"/>
        </w:rPr>
        <w:t> </w:t>
      </w:r>
    </w:p>
    <w:p w14:paraId="1E1B4BD0">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highlight w:val="none"/>
        </w:rPr>
      </w:pPr>
      <w:r>
        <w:rPr>
          <w:rFonts w:hint="eastAsia" w:ascii="宋体" w:hAnsi="宋体" w:cs="宋体"/>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A2A25E">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highlight w:val="none"/>
        </w:rPr>
      </w:pPr>
      <w:r>
        <w:rPr>
          <w:rFonts w:hint="eastAsia" w:ascii="宋体" w:hAnsi="宋体" w:cs="宋体"/>
          <w:sz w:val="24"/>
          <w:highlight w:val="none"/>
        </w:rPr>
        <w:t>本单位对上述声明的真实性负责。如有虚假，将依法承担相应责任。</w:t>
      </w:r>
    </w:p>
    <w:p w14:paraId="205C081E">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r>
        <w:rPr>
          <w:rFonts w:hint="eastAsia" w:ascii="宋体" w:hAnsi="宋体" w:cs="宋体"/>
          <w:sz w:val="24"/>
          <w:highlight w:val="none"/>
        </w:rPr>
        <w:t> </w:t>
      </w:r>
    </w:p>
    <w:p w14:paraId="15C46262">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r>
        <w:rPr>
          <w:rFonts w:hint="eastAsia" w:ascii="宋体" w:hAnsi="宋体" w:cs="宋体"/>
          <w:sz w:val="24"/>
          <w:highlight w:val="none"/>
        </w:rPr>
        <w:t> </w:t>
      </w:r>
    </w:p>
    <w:p w14:paraId="51199EE1">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r>
        <w:rPr>
          <w:rFonts w:hint="eastAsia" w:ascii="宋体" w:hAnsi="宋体" w:cs="宋体"/>
          <w:sz w:val="24"/>
          <w:highlight w:val="none"/>
        </w:rPr>
        <w:t>                       单位名称（盖章）：</w:t>
      </w:r>
    </w:p>
    <w:p w14:paraId="28186348">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r>
        <w:rPr>
          <w:rFonts w:hint="eastAsia" w:ascii="宋体" w:hAnsi="宋体" w:cs="宋体"/>
          <w:sz w:val="24"/>
          <w:highlight w:val="none"/>
        </w:rPr>
        <w:t>                        日 期：</w:t>
      </w:r>
    </w:p>
    <w:p w14:paraId="001CC3F5">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59238F4F">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20C54914">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66ACEECD">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23DE4E15">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24BCA0E8">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6268DDF3">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20967EEE">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4C533A24">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09048800">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37F92428">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34C06FC3">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3D2E3FD8">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23AFC956">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3D2992BA">
      <w:pPr>
        <w:pBdr>
          <w:top w:val="none" w:color="000000" w:sz="0" w:space="0"/>
          <w:left w:val="none" w:color="000000" w:sz="0" w:space="0"/>
          <w:bottom w:val="none" w:color="000000" w:sz="0" w:space="0"/>
          <w:right w:val="none" w:color="000000" w:sz="0" w:space="0"/>
        </w:pBdr>
        <w:spacing w:line="479" w:lineRule="atLeast"/>
        <w:rPr>
          <w:rFonts w:ascii="宋体" w:hAnsi="宋体" w:cs="宋体"/>
          <w:highlight w:val="none"/>
        </w:rPr>
      </w:pPr>
    </w:p>
    <w:p w14:paraId="17824AC1">
      <w:pPr>
        <w:pBdr>
          <w:top w:val="none" w:color="000000" w:sz="0" w:space="0"/>
          <w:left w:val="none" w:color="000000" w:sz="0" w:space="0"/>
          <w:bottom w:val="none" w:color="000000" w:sz="0" w:space="0"/>
          <w:right w:val="none" w:color="000000" w:sz="0" w:space="0"/>
        </w:pBdr>
        <w:spacing w:line="360" w:lineRule="auto"/>
        <w:rPr>
          <w:rFonts w:ascii="宋体" w:hAnsi="宋体" w:cs="宋体"/>
          <w:b/>
          <w:color w:val="000000"/>
          <w:sz w:val="32"/>
          <w:highlight w:val="none"/>
        </w:rPr>
      </w:pPr>
    </w:p>
    <w:p w14:paraId="30E0940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highlight w:val="none"/>
        </w:rPr>
      </w:pPr>
      <w:r>
        <w:rPr>
          <w:rFonts w:hint="eastAsia" w:ascii="宋体" w:hAnsi="宋体" w:cs="宋体"/>
          <w:b/>
          <w:color w:val="000000"/>
          <w:sz w:val="32"/>
          <w:highlight w:val="none"/>
        </w:rPr>
        <w:t>19、监狱企业证明文件（如有）</w:t>
      </w:r>
      <w:r>
        <w:rPr>
          <w:rFonts w:hint="eastAsia" w:ascii="宋体" w:hAnsi="宋体" w:cs="宋体"/>
          <w:b/>
          <w:color w:val="000000"/>
          <w:sz w:val="32"/>
          <w:highlight w:val="none"/>
        </w:rPr>
        <w:br w:type="textWrapping"/>
      </w:r>
      <w:r>
        <w:rPr>
          <w:rFonts w:hint="eastAsia" w:ascii="宋体" w:hAnsi="宋体" w:cs="宋体"/>
          <w:sz w:val="24"/>
          <w:highlight w:val="none"/>
        </w:rPr>
        <w:br w:type="textWrapping"/>
      </w:r>
      <w:r>
        <w:rPr>
          <w:rFonts w:hint="eastAsia" w:ascii="宋体" w:hAnsi="宋体" w:cs="宋体"/>
          <w:sz w:val="24"/>
          <w:highlight w:val="none"/>
        </w:rPr>
        <w:br w:type="textWrapping"/>
      </w:r>
      <w:r>
        <w:rPr>
          <w:rFonts w:hint="eastAsia" w:ascii="宋体" w:hAnsi="宋体" w:cs="宋体"/>
          <w:sz w:val="24"/>
          <w:highlight w:val="none"/>
        </w:rPr>
        <w:t xml:space="preserve">                    </w:t>
      </w:r>
      <w:r>
        <w:rPr>
          <w:rFonts w:hint="eastAsia" w:ascii="宋体" w:hAnsi="宋体" w:cs="宋体"/>
          <w:color w:val="000000"/>
          <w:sz w:val="32"/>
          <w:highlight w:val="none"/>
        </w:rPr>
        <w:t>监狱企业证明文件</w:t>
      </w:r>
      <w:r>
        <w:rPr>
          <w:rFonts w:hint="eastAsia" w:ascii="宋体" w:hAnsi="宋体" w:cs="宋体"/>
          <w:color w:val="000000"/>
          <w:sz w:val="32"/>
          <w:highlight w:val="none"/>
        </w:rPr>
        <w:br w:type="textWrapping"/>
      </w:r>
      <w:r>
        <w:rPr>
          <w:rFonts w:hint="eastAsia" w:ascii="宋体" w:hAnsi="宋体" w:cs="宋体"/>
          <w:color w:val="000000"/>
          <w:sz w:val="32"/>
          <w:highlight w:val="none"/>
        </w:rPr>
        <w:br w:type="textWrapping"/>
      </w:r>
      <w:r>
        <w:rPr>
          <w:rFonts w:hint="eastAsia" w:ascii="宋体" w:hAnsi="宋体" w:cs="宋体"/>
          <w:color w:val="000000"/>
          <w:sz w:val="32"/>
          <w:highlight w:val="none"/>
        </w:rPr>
        <w:t xml:space="preserve"> </w:t>
      </w:r>
      <w:r>
        <w:rPr>
          <w:rFonts w:hint="eastAsia" w:ascii="宋体" w:hAnsi="宋体" w:cs="宋体"/>
          <w:color w:val="000000"/>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5DE6E4F4">
      <w:pPr>
        <w:pBdr>
          <w:top w:val="none" w:color="000000" w:sz="0" w:space="0"/>
          <w:left w:val="none" w:color="000000" w:sz="0" w:space="0"/>
          <w:bottom w:val="none" w:color="000000" w:sz="0" w:space="0"/>
          <w:right w:val="none" w:color="000000" w:sz="0" w:space="0"/>
        </w:pBdr>
        <w:ind w:firstLine="482"/>
        <w:rPr>
          <w:rFonts w:ascii="宋体" w:hAnsi="宋体" w:cs="宋体"/>
          <w:b/>
          <w:sz w:val="24"/>
          <w:highlight w:val="none"/>
        </w:rPr>
      </w:pPr>
    </w:p>
    <w:p w14:paraId="02D5CF1A">
      <w:pPr>
        <w:pBdr>
          <w:top w:val="none" w:color="000000" w:sz="0" w:space="0"/>
          <w:left w:val="none" w:color="000000" w:sz="0" w:space="0"/>
          <w:bottom w:val="none" w:color="000000" w:sz="0" w:space="0"/>
          <w:right w:val="none" w:color="000000" w:sz="0" w:space="0"/>
        </w:pBdr>
        <w:ind w:firstLine="482"/>
        <w:rPr>
          <w:highlight w:val="none"/>
        </w:rPr>
      </w:pPr>
    </w:p>
    <w:p w14:paraId="1303BB93">
      <w:pPr>
        <w:pBdr>
          <w:top w:val="none" w:color="000000" w:sz="0" w:space="0"/>
          <w:left w:val="none" w:color="000000" w:sz="0" w:space="0"/>
          <w:bottom w:val="none" w:color="000000" w:sz="0" w:space="0"/>
          <w:right w:val="none" w:color="000000" w:sz="0" w:space="0"/>
        </w:pBdr>
        <w:ind w:firstLine="482"/>
        <w:rPr>
          <w:highlight w:val="none"/>
        </w:rPr>
      </w:pPr>
    </w:p>
    <w:p w14:paraId="57592438">
      <w:pPr>
        <w:pBdr>
          <w:top w:val="none" w:color="000000" w:sz="0" w:space="0"/>
          <w:left w:val="none" w:color="000000" w:sz="0" w:space="0"/>
          <w:bottom w:val="none" w:color="000000" w:sz="0" w:space="0"/>
          <w:right w:val="none" w:color="000000" w:sz="0" w:space="0"/>
        </w:pBdr>
        <w:ind w:firstLine="482"/>
        <w:rPr>
          <w:highlight w:val="none"/>
        </w:rPr>
      </w:pPr>
    </w:p>
    <w:p w14:paraId="7ECCFB77">
      <w:pPr>
        <w:pBdr>
          <w:top w:val="none" w:color="000000" w:sz="0" w:space="0"/>
          <w:left w:val="none" w:color="000000" w:sz="0" w:space="0"/>
          <w:bottom w:val="none" w:color="000000" w:sz="0" w:space="0"/>
          <w:right w:val="none" w:color="000000" w:sz="0" w:space="0"/>
        </w:pBdr>
        <w:ind w:firstLine="482"/>
        <w:rPr>
          <w:highlight w:val="none"/>
        </w:rPr>
      </w:pPr>
    </w:p>
    <w:p w14:paraId="0DD0D18A">
      <w:pPr>
        <w:pBdr>
          <w:top w:val="none" w:color="000000" w:sz="0" w:space="0"/>
          <w:left w:val="none" w:color="000000" w:sz="0" w:space="0"/>
          <w:bottom w:val="none" w:color="000000" w:sz="0" w:space="0"/>
          <w:right w:val="none" w:color="000000" w:sz="0" w:space="0"/>
        </w:pBdr>
        <w:ind w:firstLine="482"/>
        <w:rPr>
          <w:highlight w:val="none"/>
        </w:rPr>
      </w:pPr>
    </w:p>
    <w:p w14:paraId="1C7E75C9">
      <w:pPr>
        <w:pBdr>
          <w:top w:val="none" w:color="000000" w:sz="0" w:space="0"/>
          <w:left w:val="none" w:color="000000" w:sz="0" w:space="0"/>
          <w:bottom w:val="none" w:color="000000" w:sz="0" w:space="0"/>
          <w:right w:val="none" w:color="000000" w:sz="0" w:space="0"/>
        </w:pBdr>
        <w:ind w:firstLine="482"/>
        <w:rPr>
          <w:highlight w:val="none"/>
        </w:rPr>
      </w:pPr>
    </w:p>
    <w:p w14:paraId="24DEE7AA">
      <w:pPr>
        <w:pBdr>
          <w:top w:val="none" w:color="000000" w:sz="0" w:space="0"/>
          <w:left w:val="none" w:color="000000" w:sz="0" w:space="0"/>
          <w:bottom w:val="none" w:color="000000" w:sz="0" w:space="0"/>
          <w:right w:val="none" w:color="000000" w:sz="0" w:space="0"/>
        </w:pBdr>
        <w:ind w:firstLine="482"/>
        <w:rPr>
          <w:highlight w:val="none"/>
        </w:rPr>
      </w:pPr>
    </w:p>
    <w:p w14:paraId="22032995">
      <w:pPr>
        <w:pBdr>
          <w:top w:val="none" w:color="000000" w:sz="0" w:space="0"/>
          <w:left w:val="none" w:color="000000" w:sz="0" w:space="0"/>
          <w:bottom w:val="none" w:color="000000" w:sz="0" w:space="0"/>
          <w:right w:val="none" w:color="000000" w:sz="0" w:space="0"/>
        </w:pBdr>
        <w:ind w:firstLine="482"/>
        <w:rPr>
          <w:highlight w:val="none"/>
        </w:rPr>
      </w:pPr>
    </w:p>
    <w:p w14:paraId="0F1A3524">
      <w:pPr>
        <w:pBdr>
          <w:top w:val="none" w:color="000000" w:sz="0" w:space="0"/>
          <w:left w:val="none" w:color="000000" w:sz="0" w:space="0"/>
          <w:bottom w:val="none" w:color="000000" w:sz="0" w:space="0"/>
          <w:right w:val="none" w:color="000000" w:sz="0" w:space="0"/>
        </w:pBdr>
        <w:ind w:firstLine="482"/>
        <w:rPr>
          <w:highlight w:val="none"/>
        </w:rPr>
      </w:pPr>
    </w:p>
    <w:p w14:paraId="1095F945">
      <w:pPr>
        <w:pBdr>
          <w:top w:val="none" w:color="000000" w:sz="0" w:space="0"/>
          <w:left w:val="none" w:color="000000" w:sz="0" w:space="0"/>
          <w:bottom w:val="none" w:color="000000" w:sz="0" w:space="0"/>
          <w:right w:val="none" w:color="000000" w:sz="0" w:space="0"/>
        </w:pBdr>
        <w:ind w:firstLine="482"/>
        <w:rPr>
          <w:highlight w:val="none"/>
        </w:rPr>
      </w:pPr>
    </w:p>
    <w:p w14:paraId="486347E0">
      <w:pPr>
        <w:pBdr>
          <w:top w:val="none" w:color="000000" w:sz="0" w:space="0"/>
          <w:left w:val="none" w:color="000000" w:sz="0" w:space="0"/>
          <w:bottom w:val="none" w:color="000000" w:sz="0" w:space="0"/>
          <w:right w:val="none" w:color="000000" w:sz="0" w:space="0"/>
        </w:pBdr>
        <w:ind w:firstLine="482"/>
        <w:rPr>
          <w:highlight w:val="none"/>
        </w:rPr>
      </w:pPr>
    </w:p>
    <w:p w14:paraId="6263388C">
      <w:pPr>
        <w:pBdr>
          <w:top w:val="none" w:color="000000" w:sz="0" w:space="0"/>
          <w:left w:val="none" w:color="000000" w:sz="0" w:space="0"/>
          <w:bottom w:val="none" w:color="000000" w:sz="0" w:space="0"/>
          <w:right w:val="none" w:color="000000" w:sz="0" w:space="0"/>
        </w:pBdr>
        <w:ind w:firstLine="482"/>
        <w:rPr>
          <w:highlight w:val="none"/>
        </w:rPr>
      </w:pPr>
    </w:p>
    <w:p w14:paraId="3AFE75AB">
      <w:pPr>
        <w:pBdr>
          <w:top w:val="none" w:color="000000" w:sz="0" w:space="0"/>
          <w:left w:val="none" w:color="000000" w:sz="0" w:space="0"/>
          <w:bottom w:val="none" w:color="000000" w:sz="0" w:space="0"/>
          <w:right w:val="none" w:color="000000" w:sz="0" w:space="0"/>
        </w:pBdr>
        <w:ind w:firstLine="482"/>
        <w:rPr>
          <w:highlight w:val="none"/>
        </w:rPr>
      </w:pPr>
    </w:p>
    <w:p w14:paraId="214B2FF1">
      <w:pPr>
        <w:pBdr>
          <w:top w:val="none" w:color="000000" w:sz="0" w:space="0"/>
          <w:left w:val="none" w:color="000000" w:sz="0" w:space="0"/>
          <w:bottom w:val="none" w:color="000000" w:sz="0" w:space="0"/>
          <w:right w:val="none" w:color="000000" w:sz="0" w:space="0"/>
        </w:pBdr>
        <w:ind w:firstLine="482"/>
        <w:rPr>
          <w:highlight w:val="none"/>
        </w:rPr>
      </w:pPr>
    </w:p>
    <w:p w14:paraId="4022B246">
      <w:pPr>
        <w:pBdr>
          <w:top w:val="none" w:color="000000" w:sz="0" w:space="0"/>
          <w:left w:val="none" w:color="000000" w:sz="0" w:space="0"/>
          <w:bottom w:val="none" w:color="000000" w:sz="0" w:space="0"/>
          <w:right w:val="none" w:color="000000" w:sz="0" w:space="0"/>
        </w:pBdr>
        <w:ind w:firstLine="482"/>
        <w:rPr>
          <w:highlight w:val="none"/>
        </w:rPr>
      </w:pPr>
    </w:p>
    <w:p w14:paraId="164DF94F">
      <w:pPr>
        <w:pBdr>
          <w:top w:val="none" w:color="000000" w:sz="0" w:space="0"/>
          <w:left w:val="none" w:color="000000" w:sz="0" w:space="0"/>
          <w:bottom w:val="none" w:color="000000" w:sz="0" w:space="0"/>
          <w:right w:val="none" w:color="000000" w:sz="0" w:space="0"/>
        </w:pBdr>
        <w:ind w:firstLine="482"/>
        <w:rPr>
          <w:highlight w:val="none"/>
        </w:rPr>
      </w:pPr>
    </w:p>
    <w:p w14:paraId="7281C79C">
      <w:pPr>
        <w:pBdr>
          <w:top w:val="none" w:color="000000" w:sz="0" w:space="0"/>
          <w:left w:val="none" w:color="000000" w:sz="0" w:space="0"/>
          <w:bottom w:val="none" w:color="000000" w:sz="0" w:space="0"/>
          <w:right w:val="none" w:color="000000" w:sz="0" w:space="0"/>
        </w:pBdr>
        <w:ind w:firstLine="482"/>
        <w:rPr>
          <w:highlight w:val="none"/>
        </w:rPr>
      </w:pPr>
    </w:p>
    <w:p w14:paraId="7036CE65">
      <w:pPr>
        <w:pBdr>
          <w:top w:val="none" w:color="000000" w:sz="0" w:space="0"/>
          <w:left w:val="none" w:color="000000" w:sz="0" w:space="0"/>
          <w:bottom w:val="none" w:color="000000" w:sz="0" w:space="0"/>
          <w:right w:val="none" w:color="000000" w:sz="0" w:space="0"/>
        </w:pBdr>
        <w:ind w:firstLine="482"/>
        <w:rPr>
          <w:highlight w:val="none"/>
        </w:rPr>
      </w:pPr>
    </w:p>
    <w:p w14:paraId="7ED1FB76">
      <w:pPr>
        <w:pBdr>
          <w:top w:val="none" w:color="000000" w:sz="0" w:space="0"/>
          <w:left w:val="none" w:color="000000" w:sz="0" w:space="0"/>
          <w:bottom w:val="none" w:color="000000" w:sz="0" w:space="0"/>
          <w:right w:val="none" w:color="000000" w:sz="0" w:space="0"/>
        </w:pBdr>
        <w:ind w:firstLine="482"/>
        <w:rPr>
          <w:highlight w:val="none"/>
        </w:rPr>
      </w:pPr>
    </w:p>
    <w:p w14:paraId="33E5AD0B">
      <w:pPr>
        <w:pBdr>
          <w:top w:val="none" w:color="000000" w:sz="0" w:space="0"/>
          <w:left w:val="none" w:color="000000" w:sz="0" w:space="0"/>
          <w:bottom w:val="none" w:color="000000" w:sz="0" w:space="0"/>
          <w:right w:val="none" w:color="000000" w:sz="0" w:space="0"/>
        </w:pBdr>
        <w:ind w:firstLine="482"/>
        <w:rPr>
          <w:highlight w:val="none"/>
        </w:rPr>
      </w:pPr>
    </w:p>
    <w:p w14:paraId="77795A85">
      <w:pPr>
        <w:pBdr>
          <w:top w:val="none" w:color="000000" w:sz="0" w:space="0"/>
          <w:left w:val="none" w:color="000000" w:sz="0" w:space="0"/>
          <w:bottom w:val="none" w:color="000000" w:sz="0" w:space="0"/>
          <w:right w:val="none" w:color="000000" w:sz="0" w:space="0"/>
        </w:pBdr>
        <w:ind w:firstLine="482"/>
        <w:rPr>
          <w:highlight w:val="none"/>
        </w:rPr>
      </w:pPr>
    </w:p>
    <w:p w14:paraId="1662E654">
      <w:pPr>
        <w:pBdr>
          <w:top w:val="none" w:color="000000" w:sz="0" w:space="0"/>
          <w:left w:val="none" w:color="000000" w:sz="0" w:space="0"/>
          <w:bottom w:val="none" w:color="000000" w:sz="0" w:space="0"/>
          <w:right w:val="none" w:color="000000" w:sz="0" w:space="0"/>
        </w:pBdr>
        <w:ind w:firstLine="482"/>
        <w:rPr>
          <w:highlight w:val="none"/>
        </w:rPr>
      </w:pPr>
    </w:p>
    <w:p w14:paraId="017F4446">
      <w:pPr>
        <w:pBdr>
          <w:top w:val="none" w:color="000000" w:sz="0" w:space="0"/>
          <w:left w:val="none" w:color="000000" w:sz="0" w:space="0"/>
          <w:bottom w:val="none" w:color="000000" w:sz="0" w:space="0"/>
          <w:right w:val="none" w:color="000000" w:sz="0" w:space="0"/>
        </w:pBdr>
        <w:ind w:firstLine="482"/>
        <w:rPr>
          <w:highlight w:val="none"/>
        </w:rPr>
      </w:pPr>
    </w:p>
    <w:p w14:paraId="2691CF39">
      <w:pPr>
        <w:pBdr>
          <w:top w:val="none" w:color="000000" w:sz="0" w:space="0"/>
          <w:left w:val="none" w:color="000000" w:sz="0" w:space="0"/>
          <w:bottom w:val="none" w:color="000000" w:sz="0" w:space="0"/>
          <w:right w:val="none" w:color="000000" w:sz="0" w:space="0"/>
        </w:pBdr>
        <w:ind w:firstLine="482"/>
        <w:rPr>
          <w:highlight w:val="none"/>
        </w:rPr>
      </w:pPr>
    </w:p>
    <w:p w14:paraId="1463B427">
      <w:pPr>
        <w:pBdr>
          <w:top w:val="none" w:color="000000" w:sz="0" w:space="0"/>
          <w:left w:val="none" w:color="000000" w:sz="0" w:space="0"/>
          <w:bottom w:val="none" w:color="000000" w:sz="0" w:space="0"/>
          <w:right w:val="none" w:color="000000" w:sz="0" w:space="0"/>
        </w:pBdr>
        <w:ind w:firstLine="482"/>
        <w:rPr>
          <w:highlight w:val="none"/>
        </w:rPr>
      </w:pPr>
    </w:p>
    <w:p w14:paraId="7FABA175">
      <w:pPr>
        <w:pBdr>
          <w:top w:val="none" w:color="000000" w:sz="0" w:space="0"/>
          <w:left w:val="none" w:color="000000" w:sz="0" w:space="0"/>
          <w:bottom w:val="none" w:color="000000" w:sz="0" w:space="0"/>
          <w:right w:val="none" w:color="000000" w:sz="0" w:space="0"/>
        </w:pBdr>
        <w:ind w:firstLine="482"/>
        <w:rPr>
          <w:highlight w:val="none"/>
        </w:rPr>
      </w:pPr>
    </w:p>
    <w:p w14:paraId="016E4822">
      <w:pPr>
        <w:pBdr>
          <w:top w:val="none" w:color="000000" w:sz="0" w:space="0"/>
          <w:left w:val="none" w:color="000000" w:sz="0" w:space="0"/>
          <w:bottom w:val="none" w:color="000000" w:sz="0" w:space="0"/>
          <w:right w:val="none" w:color="000000" w:sz="0" w:space="0"/>
        </w:pBdr>
        <w:ind w:firstLine="482"/>
        <w:rPr>
          <w:highlight w:val="none"/>
        </w:rPr>
      </w:pPr>
    </w:p>
    <w:p w14:paraId="261E2714">
      <w:pPr>
        <w:pBdr>
          <w:top w:val="none" w:color="000000" w:sz="0" w:space="0"/>
          <w:left w:val="none" w:color="000000" w:sz="0" w:space="0"/>
          <w:bottom w:val="none" w:color="000000" w:sz="0" w:space="0"/>
          <w:right w:val="none" w:color="000000" w:sz="0" w:space="0"/>
        </w:pBdr>
        <w:ind w:firstLine="482"/>
        <w:rPr>
          <w:highlight w:val="none"/>
        </w:rPr>
      </w:pPr>
    </w:p>
    <w:p w14:paraId="6F5C714E">
      <w:pPr>
        <w:pBdr>
          <w:top w:val="none" w:color="000000" w:sz="0" w:space="0"/>
          <w:left w:val="none" w:color="000000" w:sz="0" w:space="0"/>
          <w:bottom w:val="none" w:color="000000" w:sz="0" w:space="0"/>
          <w:right w:val="none" w:color="000000" w:sz="0" w:space="0"/>
        </w:pBdr>
        <w:ind w:firstLine="482"/>
        <w:rPr>
          <w:highlight w:val="none"/>
        </w:rPr>
      </w:pPr>
    </w:p>
    <w:p w14:paraId="52CDEAA5">
      <w:pPr>
        <w:pBdr>
          <w:top w:val="none" w:color="000000" w:sz="0" w:space="0"/>
          <w:left w:val="none" w:color="000000" w:sz="0" w:space="0"/>
          <w:bottom w:val="none" w:color="000000" w:sz="0" w:space="0"/>
          <w:right w:val="none" w:color="000000" w:sz="0" w:space="0"/>
        </w:pBdr>
        <w:ind w:firstLine="482"/>
        <w:rPr>
          <w:highlight w:val="none"/>
        </w:rPr>
      </w:pPr>
    </w:p>
    <w:p w14:paraId="3C623E09">
      <w:pPr>
        <w:pBdr>
          <w:top w:val="none" w:color="000000" w:sz="0" w:space="0"/>
          <w:left w:val="none" w:color="000000" w:sz="0" w:space="0"/>
          <w:bottom w:val="none" w:color="000000" w:sz="0" w:space="0"/>
          <w:right w:val="none" w:color="000000" w:sz="0" w:space="0"/>
        </w:pBdr>
        <w:ind w:firstLine="482"/>
        <w:rPr>
          <w:highlight w:val="none"/>
        </w:rPr>
      </w:pPr>
    </w:p>
    <w:p w14:paraId="72A97B40">
      <w:pPr>
        <w:pBdr>
          <w:top w:val="none" w:color="000000" w:sz="0" w:space="0"/>
          <w:left w:val="none" w:color="000000" w:sz="0" w:space="0"/>
          <w:bottom w:val="none" w:color="000000" w:sz="0" w:space="0"/>
          <w:right w:val="none" w:color="000000" w:sz="0" w:space="0"/>
        </w:pBdr>
        <w:ind w:firstLine="482"/>
        <w:rPr>
          <w:highlight w:val="none"/>
        </w:rPr>
      </w:pPr>
    </w:p>
    <w:p w14:paraId="5BE1CFA0">
      <w:pPr>
        <w:pBdr>
          <w:top w:val="none" w:color="000000" w:sz="0" w:space="0"/>
          <w:left w:val="none" w:color="000000" w:sz="0" w:space="0"/>
          <w:bottom w:val="none" w:color="000000" w:sz="0" w:space="0"/>
          <w:right w:val="none" w:color="000000" w:sz="0" w:space="0"/>
        </w:pBdr>
        <w:ind w:firstLine="482"/>
        <w:rPr>
          <w:highlight w:val="none"/>
        </w:rPr>
      </w:pPr>
    </w:p>
    <w:p w14:paraId="6A3EB9F4">
      <w:pPr>
        <w:pBdr>
          <w:top w:val="none" w:color="000000" w:sz="0" w:space="0"/>
          <w:left w:val="none" w:color="000000" w:sz="0" w:space="0"/>
          <w:bottom w:val="none" w:color="000000" w:sz="0" w:space="0"/>
          <w:right w:val="none" w:color="000000" w:sz="0" w:space="0"/>
        </w:pBdr>
        <w:ind w:firstLine="482"/>
        <w:rPr>
          <w:highlight w:val="none"/>
        </w:rPr>
      </w:pPr>
    </w:p>
    <w:p w14:paraId="0B73D1C3">
      <w:pPr>
        <w:pBdr>
          <w:top w:val="none" w:color="000000" w:sz="0" w:space="0"/>
          <w:left w:val="none" w:color="000000" w:sz="0" w:space="0"/>
          <w:bottom w:val="none" w:color="000000" w:sz="0" w:space="0"/>
          <w:right w:val="none" w:color="000000" w:sz="0" w:space="0"/>
        </w:pBdr>
        <w:ind w:firstLine="482"/>
        <w:rPr>
          <w:highlight w:val="none"/>
        </w:rPr>
      </w:pPr>
    </w:p>
    <w:p w14:paraId="0EC2BAD6">
      <w:pPr>
        <w:pStyle w:val="252"/>
        <w:spacing w:line="520" w:lineRule="exact"/>
        <w:rPr>
          <w:b/>
          <w:sz w:val="32"/>
          <w:highlight w:val="none"/>
        </w:rPr>
      </w:pPr>
    </w:p>
    <w:p w14:paraId="0C08D817">
      <w:pPr>
        <w:pStyle w:val="252"/>
        <w:spacing w:line="520" w:lineRule="exact"/>
        <w:rPr>
          <w:highlight w:val="none"/>
        </w:rPr>
      </w:pPr>
      <w:r>
        <w:rPr>
          <w:b/>
          <w:sz w:val="32"/>
          <w:highlight w:val="none"/>
        </w:rPr>
        <w:t>20</w:t>
      </w:r>
      <w:r>
        <w:rPr>
          <w:rFonts w:hint="eastAsia"/>
          <w:b/>
          <w:sz w:val="32"/>
          <w:highlight w:val="none"/>
        </w:rPr>
        <w:t>、关于符合本国产品标准的声明函</w:t>
      </w:r>
      <w:r>
        <w:rPr>
          <w:rFonts w:hint="eastAsia"/>
          <w:b/>
          <w:sz w:val="32"/>
          <w:highlight w:val="none"/>
        </w:rPr>
        <w:br w:type="textWrapping"/>
      </w:r>
    </w:p>
    <w:p w14:paraId="3EFF99A5">
      <w:pPr>
        <w:pStyle w:val="252"/>
        <w:spacing w:line="520" w:lineRule="exact"/>
        <w:jc w:val="center"/>
        <w:rPr>
          <w:rFonts w:ascii="宋体" w:hAnsi="宋体" w:cs="宋体"/>
          <w:color w:val="000000"/>
          <w:sz w:val="32"/>
          <w:highlight w:val="none"/>
        </w:rPr>
      </w:pPr>
      <w:r>
        <w:rPr>
          <w:rFonts w:hint="eastAsia" w:ascii="宋体" w:hAnsi="宋体" w:cs="宋体"/>
          <w:color w:val="000000"/>
          <w:sz w:val="32"/>
          <w:highlight w:val="none"/>
        </w:rPr>
        <w:t>关于符合本国产品标准的声明函</w:t>
      </w:r>
    </w:p>
    <w:p w14:paraId="167D9C57">
      <w:pPr>
        <w:pStyle w:val="252"/>
        <w:spacing w:line="520" w:lineRule="exact"/>
        <w:rPr>
          <w:sz w:val="24"/>
          <w:highlight w:val="none"/>
        </w:rPr>
      </w:pPr>
    </w:p>
    <w:p w14:paraId="76275EAF">
      <w:pPr>
        <w:pStyle w:val="252"/>
        <w:spacing w:line="520" w:lineRule="exact"/>
        <w:ind w:firstLine="480" w:firstLineChars="200"/>
        <w:rPr>
          <w:color w:val="000000" w:themeColor="text1"/>
          <w:sz w:val="24"/>
          <w:highlight w:val="none"/>
          <w14:textFill>
            <w14:solidFill>
              <w14:schemeClr w14:val="tx1"/>
            </w14:solidFill>
          </w14:textFill>
        </w:rPr>
      </w:pPr>
      <w:r>
        <w:rPr>
          <w:rFonts w:hint="eastAsia"/>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24ADD18">
      <w:pPr>
        <w:pStyle w:val="252"/>
        <w:spacing w:line="52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ascii="宋体" w:hAnsi="宋体" w:cs="宋体"/>
          <w:i/>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（产品名称1）</w:t>
      </w:r>
      <w:r>
        <w:rPr>
          <w:rFonts w:hint="eastAsia"/>
          <w:color w:val="000000" w:themeColor="text1"/>
          <w:sz w:val="24"/>
          <w:highlight w:val="none"/>
          <w:vertAlign w:val="superscript"/>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，生产厂为 </w:t>
      </w:r>
      <w:r>
        <w:rPr>
          <w:rStyle w:val="43"/>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2</w:t>
      </w:r>
      <w:r>
        <w:rPr>
          <w:rFonts w:hint="eastAsia"/>
          <w:color w:val="000000" w:themeColor="text1"/>
          <w:sz w:val="24"/>
          <w:highlight w:val="none"/>
          <w14:textFill>
            <w14:solidFill>
              <w14:schemeClr w14:val="tx1"/>
            </w14:solidFill>
          </w14:textFill>
        </w:rPr>
        <w:t>，厂址为</w:t>
      </w:r>
      <w:r>
        <w:rPr>
          <w:rStyle w:val="43"/>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的中国境内生产的组件成本占比≥</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3</w:t>
      </w:r>
      <w:r>
        <w:rPr>
          <w:rFonts w:hint="eastAsia"/>
          <w:color w:val="000000" w:themeColor="text1"/>
          <w:sz w:val="24"/>
          <w:highlight w:val="none"/>
          <w14:textFill>
            <w14:solidFill>
              <w14:schemeClr w14:val="tx1"/>
            </w14:solidFill>
          </w14:textFill>
        </w:rPr>
        <w:t>。</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的</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4</w:t>
      </w:r>
      <w:r>
        <w:rPr>
          <w:rFonts w:hint="eastAsia"/>
          <w:color w:val="000000" w:themeColor="text1"/>
          <w:sz w:val="24"/>
          <w:highlight w:val="none"/>
          <w14:textFill>
            <w14:solidFill>
              <w14:schemeClr w14:val="tx1"/>
            </w14:solidFill>
          </w14:textFill>
        </w:rPr>
        <w:t>在中国境内生产。</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的</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5</w:t>
      </w:r>
      <w:r>
        <w:rPr>
          <w:rFonts w:hint="eastAsia"/>
          <w:color w:val="000000" w:themeColor="text1"/>
          <w:sz w:val="24"/>
          <w:highlight w:val="none"/>
          <w14:textFill>
            <w14:solidFill>
              <w14:schemeClr w14:val="tx1"/>
            </w14:solidFill>
          </w14:textFill>
        </w:rPr>
        <w:t>在中国境内完成。</w:t>
      </w:r>
    </w:p>
    <w:p w14:paraId="67D5C659">
      <w:pPr>
        <w:pStyle w:val="252"/>
        <w:spacing w:line="52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w:t>
      </w:r>
      <w:r>
        <w:rPr>
          <w:rFonts w:hint="eastAsia" w:ascii="宋体" w:hAnsi="宋体" w:cs="宋体"/>
          <w:i/>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（产品名称2）</w:t>
      </w:r>
      <w:r>
        <w:rPr>
          <w:rFonts w:hint="eastAsia"/>
          <w:color w:val="000000" w:themeColor="text1"/>
          <w:sz w:val="24"/>
          <w:highlight w:val="none"/>
          <w:vertAlign w:val="superscript"/>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，生产厂为 </w:t>
      </w:r>
      <w:r>
        <w:rPr>
          <w:rStyle w:val="43"/>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2</w:t>
      </w:r>
      <w:r>
        <w:rPr>
          <w:rFonts w:hint="eastAsia"/>
          <w:color w:val="000000" w:themeColor="text1"/>
          <w:sz w:val="24"/>
          <w:highlight w:val="none"/>
          <w14:textFill>
            <w14:solidFill>
              <w14:schemeClr w14:val="tx1"/>
            </w14:solidFill>
          </w14:textFill>
        </w:rPr>
        <w:t>，厂址为</w:t>
      </w:r>
      <w:r>
        <w:rPr>
          <w:rStyle w:val="43"/>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的中国境内生产的组件成本占比≥</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3</w:t>
      </w:r>
      <w:r>
        <w:rPr>
          <w:rFonts w:hint="eastAsia"/>
          <w:color w:val="000000" w:themeColor="text1"/>
          <w:sz w:val="24"/>
          <w:highlight w:val="none"/>
          <w14:textFill>
            <w14:solidFill>
              <w14:schemeClr w14:val="tx1"/>
            </w14:solidFill>
          </w14:textFill>
        </w:rPr>
        <w:t>。</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的</w:t>
      </w:r>
      <w:r>
        <w:rPr>
          <w:rStyle w:val="43"/>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4</w:t>
      </w:r>
      <w:r>
        <w:rPr>
          <w:rFonts w:hint="eastAsia"/>
          <w:color w:val="000000" w:themeColor="text1"/>
          <w:sz w:val="24"/>
          <w:highlight w:val="none"/>
          <w14:textFill>
            <w14:solidFill>
              <w14:schemeClr w14:val="tx1"/>
            </w14:solidFill>
          </w14:textFill>
        </w:rPr>
        <w:t>在中国境内生产。</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的</w:t>
      </w:r>
      <w:r>
        <w:rPr>
          <w:rStyle w:val="43"/>
          <w:rFonts w:hint="eastAsia" w:ascii="宋体" w:hAnsi="宋体" w:cs="宋体"/>
          <w:i w:val="0"/>
          <w:color w:val="000000"/>
          <w:sz w:val="24"/>
          <w:highlight w:val="none"/>
          <w:u w:val="single"/>
          <w:shd w:val="clear" w:color="auto" w:fill="FFFFFF"/>
        </w:rPr>
        <w:t xml:space="preserve"> </w:t>
      </w:r>
      <w:r>
        <w:rPr>
          <w:rStyle w:val="43"/>
          <w:rFonts w:ascii="宋体" w:hAnsi="宋体" w:cs="宋体"/>
          <w:i w:val="0"/>
          <w:color w:val="000000"/>
          <w:sz w:val="24"/>
          <w:highlight w:val="none"/>
          <w:u w:val="single"/>
          <w:shd w:val="clear" w:color="auto" w:fill="FFFFFF"/>
        </w:rPr>
        <w:t xml:space="preserve"> </w:t>
      </w:r>
      <w:r>
        <w:rPr>
          <w:rStyle w:val="43"/>
          <w:rFonts w:hint="eastAsia" w:ascii="宋体" w:hAnsi="宋体" w:cs="宋体"/>
          <w:i w:val="0"/>
          <w:color w:val="000000"/>
          <w:sz w:val="24"/>
          <w:highlight w:val="none"/>
          <w:u w:val="single"/>
          <w:shd w:val="clear" w:color="auto" w:fill="FFFFFF"/>
        </w:rPr>
        <w:t>/</w:t>
      </w:r>
      <w:r>
        <w:rPr>
          <w:rStyle w:val="43"/>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5</w:t>
      </w:r>
      <w:r>
        <w:rPr>
          <w:rFonts w:hint="eastAsia"/>
          <w:color w:val="000000" w:themeColor="text1"/>
          <w:sz w:val="24"/>
          <w:highlight w:val="none"/>
          <w14:textFill>
            <w14:solidFill>
              <w14:schemeClr w14:val="tx1"/>
            </w14:solidFill>
          </w14:textFill>
        </w:rPr>
        <w:t>在中国境内完成。</w:t>
      </w:r>
    </w:p>
    <w:p w14:paraId="3BF7415F">
      <w:pPr>
        <w:pStyle w:val="252"/>
        <w:spacing w:line="52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p w14:paraId="2A1A331A">
      <w:pPr>
        <w:pStyle w:val="252"/>
        <w:spacing w:line="52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本公司（单位）对上述声明内容的真实性负责。如有虚假，愿承担相应法律责任。</w:t>
      </w:r>
    </w:p>
    <w:p w14:paraId="56D3D7A8">
      <w:pPr>
        <w:pStyle w:val="252"/>
        <w:spacing w:line="520" w:lineRule="exact"/>
        <w:rPr>
          <w:color w:val="000000" w:themeColor="text1"/>
          <w:sz w:val="24"/>
          <w:highlight w:val="none"/>
          <w14:textFill>
            <w14:solidFill>
              <w14:schemeClr w14:val="tx1"/>
            </w14:solidFill>
          </w14:textFill>
        </w:rPr>
      </w:pPr>
    </w:p>
    <w:p w14:paraId="6C948490">
      <w:pPr>
        <w:pStyle w:val="252"/>
        <w:spacing w:line="520" w:lineRule="exact"/>
        <w:ind w:firstLine="3840" w:firstLineChars="16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公司（单位）名称（盖章）： </w:t>
      </w:r>
    </w:p>
    <w:p w14:paraId="46456CD6">
      <w:pPr>
        <w:pStyle w:val="252"/>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日期：　 </w:t>
      </w:r>
      <w:r>
        <w:rPr>
          <w:rFonts w:hint="eastAsia" w:ascii="宋体" w:hAnsi="宋体" w:cs="宋体"/>
          <w:color w:val="000000" w:themeColor="text1"/>
          <w:sz w:val="24"/>
          <w:highlight w:val="none"/>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月 　日</w:t>
      </w:r>
      <w:r>
        <w:rPr>
          <w:rFonts w:hint="eastAsia"/>
          <w:color w:val="000000" w:themeColor="text1"/>
          <w:sz w:val="24"/>
          <w:highlight w:val="none"/>
          <w14:textFill>
            <w14:solidFill>
              <w14:schemeClr w14:val="tx1"/>
            </w14:solidFill>
          </w14:textFill>
        </w:rPr>
        <w:t>      </w:t>
      </w:r>
    </w:p>
    <w:p w14:paraId="121D417C">
      <w:pPr>
        <w:pStyle w:val="252"/>
        <w:spacing w:line="520" w:lineRule="exact"/>
        <w:rPr>
          <w:color w:val="000000" w:themeColor="text1"/>
          <w:sz w:val="24"/>
          <w:highlight w:val="none"/>
          <w14:textFill>
            <w14:solidFill>
              <w14:schemeClr w14:val="tx1"/>
            </w14:solidFill>
          </w14:textFill>
        </w:rPr>
      </w:pPr>
    </w:p>
    <w:p w14:paraId="1F878539">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注：</w:t>
      </w:r>
    </w:p>
    <w:p w14:paraId="25258274">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1、产品如有型号，请在“产品名称”栏一并填写。</w:t>
      </w:r>
    </w:p>
    <w:p w14:paraId="06BA2FE0">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2、生产厂名与厂址应与生产厂营业执照载明的相关信息保持一致。</w:t>
      </w:r>
    </w:p>
    <w:p w14:paraId="0DE8C85B">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3、该产品的中国境内生产的组件成本占比相关要求实施前，“规定比例”栏可不填，下同。</w:t>
      </w:r>
    </w:p>
    <w:p w14:paraId="1E347AC5">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4、该产品的关键组件要求实施前，“关键组件”栏可不填，下同。</w:t>
      </w:r>
    </w:p>
    <w:p w14:paraId="7A834A44">
      <w:pPr>
        <w:pStyle w:val="33"/>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5、该产品的关键工序要求实施前，“关键工序”栏可不填，下同。</w:t>
      </w:r>
    </w:p>
    <w:p w14:paraId="03A0835F">
      <w:pPr>
        <w:pBdr>
          <w:top w:val="none" w:color="000000" w:sz="0" w:space="0"/>
          <w:left w:val="none" w:color="000000" w:sz="0" w:space="0"/>
          <w:bottom w:val="none" w:color="000000" w:sz="0" w:space="0"/>
          <w:right w:val="none" w:color="000000" w:sz="0" w:space="0"/>
        </w:pBd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6、《声明函》中标注“  </w:t>
      </w:r>
      <w:r>
        <w:rPr>
          <w:rFonts w:hint="eastAsia"/>
          <w:i/>
          <w:color w:val="000000" w:themeColor="text1"/>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”的地方无需填写。。                </w:t>
      </w:r>
    </w:p>
    <w:p w14:paraId="08395D3C">
      <w:pPr>
        <w:pBdr>
          <w:top w:val="none" w:color="000000" w:sz="0" w:space="0"/>
          <w:left w:val="none" w:color="000000" w:sz="0" w:space="0"/>
          <w:bottom w:val="none" w:color="000000" w:sz="0" w:space="0"/>
          <w:right w:val="none" w:color="000000" w:sz="0" w:space="0"/>
        </w:pBdr>
        <w:rPr>
          <w:highlight w:val="none"/>
        </w:rPr>
      </w:pPr>
    </w:p>
    <w:p w14:paraId="0C9A94A1">
      <w:pPr>
        <w:pBdr>
          <w:top w:val="none" w:color="000000" w:sz="0" w:space="0"/>
          <w:left w:val="none" w:color="000000" w:sz="0" w:space="0"/>
          <w:bottom w:val="none" w:color="000000" w:sz="0" w:space="0"/>
          <w:right w:val="none" w:color="000000" w:sz="0" w:space="0"/>
        </w:pBdr>
        <w:ind w:firstLine="482"/>
        <w:rPr>
          <w:highlight w:val="none"/>
        </w:rPr>
      </w:pPr>
    </w:p>
    <w:p w14:paraId="163ABFA5">
      <w:pPr>
        <w:pBdr>
          <w:top w:val="none" w:color="000000" w:sz="0" w:space="0"/>
          <w:left w:val="none" w:color="000000" w:sz="0" w:space="0"/>
          <w:bottom w:val="none" w:color="000000" w:sz="0" w:space="0"/>
          <w:right w:val="none" w:color="000000" w:sz="0" w:space="0"/>
        </w:pBdr>
        <w:rPr>
          <w:highlight w:val="none"/>
        </w:rPr>
      </w:pPr>
      <w:r>
        <w:rPr>
          <w:rFonts w:ascii="宋体" w:hAnsi="宋体" w:cs="宋体"/>
          <w:b/>
          <w:sz w:val="24"/>
          <w:highlight w:val="none"/>
        </w:rPr>
        <w:t> </w:t>
      </w:r>
    </w:p>
    <w:p w14:paraId="262DADE2">
      <w:pPr>
        <w:pStyle w:val="234"/>
        <w:ind w:firstLine="0"/>
        <w:rPr>
          <w:rFonts w:ascii="宋体" w:hAnsi="宋体" w:cs="宋体"/>
          <w:highlight w:val="none"/>
        </w:rPr>
      </w:pPr>
    </w:p>
    <w:p w14:paraId="6B076DE3">
      <w:pPr>
        <w:pStyle w:val="234"/>
        <w:ind w:firstLine="0"/>
        <w:rPr>
          <w:rFonts w:ascii="宋体" w:hAnsi="宋体" w:cs="宋体"/>
          <w:highlight w:val="none"/>
        </w:rPr>
      </w:pPr>
      <w:r>
        <w:rPr>
          <w:rFonts w:hint="eastAsia" w:ascii="宋体" w:hAnsi="宋体" w:cs="宋体"/>
          <w:highlight w:val="none"/>
        </w:rPr>
        <w:t>第五部分  评标方法与评标标准</w:t>
      </w:r>
    </w:p>
    <w:p w14:paraId="11C07220">
      <w:pPr>
        <w:pBdr>
          <w:top w:val="none" w:color="000000" w:sz="0" w:space="0"/>
          <w:left w:val="none" w:color="000000" w:sz="0" w:space="0"/>
          <w:bottom w:val="none" w:color="000000" w:sz="0" w:space="0"/>
          <w:right w:val="none" w:color="000000" w:sz="0" w:space="0"/>
        </w:pBdr>
        <w:spacing w:line="440" w:lineRule="exact"/>
        <w:ind w:firstLine="422"/>
        <w:jc w:val="left"/>
        <w:rPr>
          <w:rFonts w:ascii="宋体" w:hAnsi="宋体" w:cs="宋体"/>
          <w:sz w:val="24"/>
          <w:highlight w:val="none"/>
        </w:rPr>
      </w:pPr>
      <w:r>
        <w:rPr>
          <w:rFonts w:hint="eastAsia" w:ascii="宋体" w:hAnsi="宋体" w:cs="宋体"/>
          <w:b/>
          <w:sz w:val="24"/>
          <w:highlight w:val="none"/>
        </w:rPr>
        <w:t>评标方法</w:t>
      </w:r>
    </w:p>
    <w:p w14:paraId="70A349AC">
      <w:pPr>
        <w:pStyle w:val="94"/>
        <w:spacing w:line="48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一、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37214D80">
      <w:pPr>
        <w:pStyle w:val="94"/>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0AE732F5">
      <w:pPr>
        <w:pStyle w:val="94"/>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CD79A95">
      <w:pPr>
        <w:pStyle w:val="94"/>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p>
    <w:p w14:paraId="26C71753">
      <w:pPr>
        <w:pStyle w:val="94"/>
        <w:spacing w:line="48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132DAA2">
      <w:pPr>
        <w:pStyle w:val="94"/>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66539B4D">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七、中小企业相关政策：</w:t>
      </w:r>
    </w:p>
    <w:p w14:paraId="480A8FF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sz w:val="24"/>
          <w:highlight w:val="none"/>
        </w:rPr>
      </w:pPr>
      <w:r>
        <w:rPr>
          <w:rFonts w:hint="eastAsia" w:ascii="宋体" w:hAnsi="宋体" w:cs="宋体"/>
          <w:sz w:val="24"/>
          <w:highlight w:val="none"/>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highlight w:val="none"/>
        </w:rPr>
        <w:t>但与大企业的负责人为同一人，或者与大企业存在直接控股、管理关系的除外。</w:t>
      </w:r>
      <w:r>
        <w:rPr>
          <w:rFonts w:hint="eastAsia" w:ascii="宋体" w:hAnsi="宋体" w:cs="宋体"/>
          <w:sz w:val="24"/>
          <w:highlight w:val="none"/>
        </w:rPr>
        <w:t>符合中小企业划分标准的个体工商户，在政府采购活动中视同中小企业：</w:t>
      </w:r>
    </w:p>
    <w:p w14:paraId="29DEA824">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1、在货物采购项目中，货物由小、微企业制造，即货物由小、微企业生产且使用该小、微企业商号或者注册商标。对其报价给予20%的扣除，扣除后的价格参与价格评审。</w:t>
      </w:r>
    </w:p>
    <w:p w14:paraId="2E985209">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2、在服务采购项目中，服务由小、微企业承接，即提供服务的人员为小、微企业依照《中华人民共和国劳动合同法》订立劳动合同的从业人员。对其报价给予20%的扣除，扣除后的价格参与价格评审。</w:t>
      </w:r>
    </w:p>
    <w:p w14:paraId="5C3A5AF3">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3、在货物采购项目中，供应商提供的货物既有小、微企业制造货物，也有中、大型企业制造货物的，不享受本办法规定的小、微企业价格扶持政策。</w:t>
      </w:r>
    </w:p>
    <w:p w14:paraId="553670CB">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4、以联合体形式参加政府采购活动，联合体各方均为中小企业的，联合体视同中小企业。其中，联合体各方均为小微企业的，联合体视同小微企业。</w:t>
      </w:r>
    </w:p>
    <w:p w14:paraId="1179BB0F">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5、符合中小企业划分标准的个体工商户，在政府采购活动中视同中小企业。</w:t>
      </w:r>
    </w:p>
    <w:p w14:paraId="1C5B48B6">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6、残疾人福利性单位及监狱企业视同小型企业，享受评审中价格扣除等促进中小企业发展的政府采购政策。</w:t>
      </w:r>
    </w:p>
    <w:p w14:paraId="4694A302">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7、供应商按照本办法规定提供声明函内容不实的，属于提供虚假材料谋取中标、 成交， 依照《中华人民共和国政府采购法》 等国家有关规定追究相应责任。</w:t>
      </w:r>
    </w:p>
    <w:p w14:paraId="4C51F885">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八、采购本国产品的支持政策</w:t>
      </w:r>
    </w:p>
    <w:p w14:paraId="50E71C66">
      <w:pPr>
        <w:spacing w:line="500" w:lineRule="exact"/>
        <w:ind w:firstLine="480"/>
        <w:jc w:val="left"/>
        <w:rPr>
          <w:rFonts w:ascii="宋体" w:hAnsi="宋体" w:cs="宋体"/>
          <w:b/>
          <w:sz w:val="24"/>
          <w:highlight w:val="none"/>
        </w:rPr>
      </w:pPr>
      <w:r>
        <w:rPr>
          <w:rFonts w:hint="eastAsia" w:ascii="宋体" w:hAnsi="宋体" w:cs="宋体"/>
          <w:sz w:val="24"/>
          <w:highlight w:val="none"/>
        </w:rPr>
        <w:t>1、本项目政府采购活动中既有本国产品又有非本国产品参与竞争的，依法对本国产品给予价格评审优惠，</w:t>
      </w:r>
      <w:r>
        <w:rPr>
          <w:rFonts w:hint="eastAsia" w:ascii="宋体" w:hAnsi="宋体" w:cs="宋体"/>
          <w:b/>
          <w:sz w:val="24"/>
          <w:highlight w:val="none"/>
        </w:rPr>
        <w:t>对本国产品的报价给予20%的价格扣除，用扣除后的价格参与评审。</w:t>
      </w:r>
    </w:p>
    <w:p w14:paraId="48E26510">
      <w:pPr>
        <w:spacing w:line="500" w:lineRule="exact"/>
        <w:ind w:firstLine="480"/>
        <w:jc w:val="left"/>
        <w:rPr>
          <w:rFonts w:ascii="宋体" w:hAnsi="宋体" w:cs="宋体"/>
          <w:sz w:val="24"/>
          <w:highlight w:val="none"/>
        </w:rPr>
      </w:pPr>
      <w:r>
        <w:rPr>
          <w:rFonts w:ascii="宋体" w:hAnsi="宋体" w:cs="宋体"/>
          <w:sz w:val="24"/>
          <w:highlight w:val="none"/>
        </w:rPr>
        <w:t>2、</w:t>
      </w:r>
      <w:r>
        <w:rPr>
          <w:rFonts w:hint="eastAsia" w:ascii="宋体" w:hAnsi="宋体" w:cs="宋体"/>
          <w:sz w:val="24"/>
          <w:highlight w:val="none"/>
        </w:rPr>
        <w:t>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0ABF6F02">
      <w:pPr>
        <w:spacing w:line="500" w:lineRule="exact"/>
        <w:ind w:firstLine="480"/>
        <w:jc w:val="left"/>
        <w:rPr>
          <w:rFonts w:ascii="宋体" w:hAnsi="宋体" w:cs="宋体"/>
          <w:sz w:val="24"/>
          <w:highlight w:val="none"/>
        </w:rPr>
      </w:pPr>
      <w:r>
        <w:rPr>
          <w:rFonts w:ascii="宋体" w:hAnsi="宋体" w:cs="宋体"/>
          <w:sz w:val="24"/>
          <w:highlight w:val="none"/>
        </w:rPr>
        <w:t>3、</w:t>
      </w:r>
      <w:r>
        <w:rPr>
          <w:rFonts w:hint="eastAsia" w:ascii="宋体" w:hAnsi="宋体" w:cs="宋体"/>
          <w:sz w:val="24"/>
          <w:highlight w:val="none"/>
        </w:rPr>
        <w:t>供应商需按照招标文件的要求提供《关于符合本国产品标准的声明函》（以下简称《声明函》），</w:t>
      </w:r>
      <w:r>
        <w:rPr>
          <w:rFonts w:hint="eastAsia" w:ascii="宋体" w:hAnsi="宋体" w:cs="宋体"/>
          <w:b/>
          <w:sz w:val="24"/>
          <w:highlight w:val="none"/>
        </w:rPr>
        <w:t>如不提供将不享受本国产品价格评审优惠。</w:t>
      </w:r>
    </w:p>
    <w:p w14:paraId="2E2CD95A">
      <w:pPr>
        <w:spacing w:line="500" w:lineRule="exact"/>
        <w:ind w:firstLine="480"/>
        <w:jc w:val="left"/>
        <w:rPr>
          <w:rFonts w:ascii="宋体" w:hAnsi="宋体" w:cs="宋体"/>
          <w:b/>
          <w:sz w:val="24"/>
          <w:highlight w:val="none"/>
        </w:rPr>
      </w:pPr>
      <w:r>
        <w:rPr>
          <w:rFonts w:ascii="宋体" w:hAnsi="宋体" w:cs="宋体"/>
          <w:sz w:val="24"/>
          <w:highlight w:val="none"/>
        </w:rPr>
        <w:t>4、</w:t>
      </w:r>
      <w:r>
        <w:rPr>
          <w:rFonts w:hint="eastAsia" w:ascii="宋体" w:hAnsi="宋体" w:cs="宋体"/>
          <w:b/>
          <w:sz w:val="24"/>
          <w:highlight w:val="none"/>
        </w:rPr>
        <w:t>供应商需在《声明函》中逐一、准确填写产品名称、厂名、生产厂址三项信息（《声明函》中标注“ / ”的地方无需填写），三项信息中任意一项未填写的视为该项产品不符合本国产品标准，不享受本国产品价格评审优惠。</w:t>
      </w:r>
    </w:p>
    <w:p w14:paraId="28A0A225">
      <w:pPr>
        <w:spacing w:line="500" w:lineRule="exact"/>
        <w:ind w:firstLine="480"/>
        <w:jc w:val="left"/>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评标过程中如发现供应商在《声明函》内容含义不明确、同类事项与投标（响应）文件表述不一致或者有</w:t>
      </w:r>
      <w:bookmarkStart w:id="11" w:name="_GoBack"/>
      <w:r>
        <w:rPr>
          <w:rFonts w:hint="eastAsia" w:ascii="宋体" w:hAnsi="宋体" w:cs="宋体"/>
          <w:sz w:val="24"/>
          <w:highlight w:val="none"/>
        </w:rPr>
        <w:t>明显</w:t>
      </w:r>
      <w:bookmarkEnd w:id="11"/>
      <w:r>
        <w:rPr>
          <w:rFonts w:hint="eastAsia" w:ascii="宋体" w:hAnsi="宋体" w:cs="宋体"/>
          <w:sz w:val="24"/>
          <w:highlight w:val="none"/>
        </w:rPr>
        <w:t>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75E202">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 </w:t>
      </w:r>
    </w:p>
    <w:p w14:paraId="23BCB8E4">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sz w:val="24"/>
          <w:highlight w:val="none"/>
        </w:rPr>
      </w:pPr>
      <w:r>
        <w:rPr>
          <w:rFonts w:hint="eastAsia" w:ascii="宋体" w:hAnsi="宋体" w:cs="宋体"/>
          <w:sz w:val="24"/>
          <w:highlight w:val="none"/>
        </w:rPr>
        <w:t> </w:t>
      </w:r>
    </w:p>
    <w:p w14:paraId="118CB714">
      <w:pPr>
        <w:rPr>
          <w:rFonts w:hAnsi="宋体" w:cs="宋体"/>
          <w:sz w:val="24"/>
          <w:highlight w:val="none"/>
        </w:rPr>
      </w:pPr>
      <w:r>
        <w:rPr>
          <w:rFonts w:hint="eastAsia" w:ascii="宋体" w:hAnsi="宋体" w:cs="宋体"/>
          <w:b/>
          <w:sz w:val="24"/>
          <w:highlight w:val="none"/>
        </w:rPr>
        <w:t>评分标准</w:t>
      </w:r>
    </w:p>
    <w:p w14:paraId="0DDB9376">
      <w:pPr>
        <w:widowControl/>
        <w:spacing w:line="500" w:lineRule="exact"/>
        <w:ind w:firstLine="482" w:firstLineChars="200"/>
        <w:rPr>
          <w:rFonts w:ascii="宋体" w:hAnsi="宋体" w:cs="宋体"/>
          <w:b/>
          <w:bCs/>
          <w:sz w:val="24"/>
          <w:highlight w:val="none"/>
        </w:rPr>
      </w:pPr>
      <w:bookmarkStart w:id="9" w:name="OLE_LINK7"/>
      <w:bookmarkStart w:id="10" w:name="OLE_LINK8"/>
      <w:r>
        <w:rPr>
          <w:rFonts w:hint="eastAsia" w:ascii="宋体" w:hAnsi="宋体" w:cs="宋体"/>
          <w:b/>
          <w:bCs/>
          <w:sz w:val="24"/>
          <w:highlight w:val="none"/>
        </w:rPr>
        <w:t>（一）价格基准分（35分）</w:t>
      </w:r>
    </w:p>
    <w:p w14:paraId="14B5803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第一步：投标报价低于或等于财政预算价格的为有效投标报价。超财政预算的投标报价或招标文件规定的报价为无效投标报价。无效投标报价的投标文件不进行评审，也不得标。</w:t>
      </w:r>
    </w:p>
    <w:p w14:paraId="44899DE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第二步：在所有有效投标报价中满足招标文件要求，且投标价格最低的投标报价为评标基准价，其价格分为35分，其他投标人的价格分按照下列公式计算（计算结果四舍五入保留两位小数）。</w:t>
      </w:r>
    </w:p>
    <w:p w14:paraId="55071F7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投标报价得分＝（评标基准价/投标报价）×35％×100。</w:t>
      </w:r>
    </w:p>
    <w:p w14:paraId="5550F7E9">
      <w:pPr>
        <w:widowControl/>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（二）技术部分（61分）</w:t>
      </w:r>
    </w:p>
    <w:p w14:paraId="437B5584">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1、技术参数、性能等符合性比较（41分）</w:t>
      </w:r>
    </w:p>
    <w:p w14:paraId="24B0406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根据第三部分 项目需求中 主要设备具体技术参数要求进行评审，主要设备具体技术参数完全符合招标要求得4</w:t>
      </w:r>
      <w:r>
        <w:rPr>
          <w:rFonts w:hint="eastAsia" w:ascii="宋体" w:hAnsi="宋体" w:cs="宋体"/>
          <w:color w:val="000000" w:themeColor="text1"/>
          <w:sz w:val="24"/>
          <w:highlight w:val="none"/>
          <w:lang w:val="en-US" w:eastAsia="zh-CN" w:bidi="ar"/>
          <w14:textFill>
            <w14:solidFill>
              <w14:schemeClr w14:val="tx1"/>
            </w14:solidFill>
          </w14:textFill>
        </w:rPr>
        <w:t>1</w:t>
      </w:r>
      <w:r>
        <w:rPr>
          <w:rFonts w:hint="eastAsia" w:ascii="宋体" w:hAnsi="宋体" w:cs="宋体"/>
          <w:color w:val="000000" w:themeColor="text1"/>
          <w:sz w:val="24"/>
          <w:highlight w:val="none"/>
          <w:lang w:bidi="ar"/>
          <w14:textFill>
            <w14:solidFill>
              <w14:schemeClr w14:val="tx1"/>
            </w14:solidFill>
          </w14:textFill>
        </w:rPr>
        <w:t>分；招标文件技术要求中指标参数以▲号标示的为重要参数，共14项，最高分35分，每满足一项得2.5分；招标技术需求表中未做任何标示的参数，共12项，最高分6分，每满足一项得0.5分。</w:t>
      </w:r>
    </w:p>
    <w:p w14:paraId="035B7FE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标示的为重要参数，按表格中的具体要求，提供相对应的承诺函（需加盖投标人公章），未按要求提供视为负偏离。未做任何标示的参数根据投标文件中偏离表标注的情况进行打分，未标注视为负偏离。</w:t>
      </w:r>
    </w:p>
    <w:p w14:paraId="40F52690">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2、项目需求分析（4分）</w:t>
      </w:r>
    </w:p>
    <w:p w14:paraId="4D6D9536">
      <w:pPr>
        <w:widowControl/>
        <w:spacing w:line="500" w:lineRule="exact"/>
        <w:ind w:firstLine="480" w:firstLineChars="200"/>
        <w:rPr>
          <w:rFonts w:ascii="宋体" w:hAnsi="宋体" w:cs="宋体"/>
          <w:sz w:val="24"/>
          <w:highlight w:val="none"/>
        </w:rPr>
      </w:pPr>
      <w:r>
        <w:rPr>
          <w:rFonts w:hint="eastAsia" w:ascii="宋体" w:hAnsi="宋体" w:cs="宋体"/>
          <w:sz w:val="24"/>
          <w:highlight w:val="none"/>
        </w:rPr>
        <w:t>根据投标人针对本项目的项目需求分析方案进行评分，方案中项目需求分析内容至少包括①项目背景</w:t>
      </w:r>
      <w:r>
        <w:rPr>
          <w:rFonts w:hint="eastAsia" w:ascii="宋体" w:hAnsi="宋体" w:cs="宋体"/>
          <w:sz w:val="24"/>
          <w:highlight w:val="none"/>
          <w:lang w:eastAsia="zh-CN"/>
        </w:rPr>
        <w:t>；</w:t>
      </w:r>
      <w:r>
        <w:rPr>
          <w:rFonts w:hint="eastAsia" w:ascii="宋体" w:hAnsi="宋体" w:cs="宋体"/>
          <w:sz w:val="24"/>
          <w:highlight w:val="none"/>
        </w:rPr>
        <w:t>②现状分析</w:t>
      </w:r>
      <w:r>
        <w:rPr>
          <w:rFonts w:hint="eastAsia" w:ascii="宋体" w:hAnsi="宋体" w:cs="宋体"/>
          <w:sz w:val="24"/>
          <w:highlight w:val="none"/>
          <w:lang w:eastAsia="zh-CN"/>
        </w:rPr>
        <w:t>；</w:t>
      </w:r>
      <w:r>
        <w:rPr>
          <w:rFonts w:hint="eastAsia" w:ascii="宋体" w:hAnsi="宋体" w:cs="宋体"/>
          <w:sz w:val="24"/>
          <w:highlight w:val="none"/>
        </w:rPr>
        <w:t>③项目目标</w:t>
      </w:r>
      <w:r>
        <w:rPr>
          <w:rFonts w:hint="eastAsia" w:ascii="宋体" w:hAnsi="宋体" w:cs="宋体"/>
          <w:sz w:val="24"/>
          <w:highlight w:val="none"/>
          <w:lang w:eastAsia="zh-CN"/>
        </w:rPr>
        <w:t>；</w:t>
      </w:r>
      <w:r>
        <w:rPr>
          <w:rFonts w:hint="eastAsia" w:ascii="宋体" w:hAnsi="宋体" w:cs="宋体"/>
          <w:sz w:val="24"/>
          <w:highlight w:val="none"/>
        </w:rPr>
        <w:t>④预期成效。方案内容针对本项目且符合本项目实际需求的，每项得1分，满分4分，每缺少一项内容，或内容错误，或内容非专门针对本项目，或内容不能满足本项目实际需求的，不得分。</w:t>
      </w:r>
    </w:p>
    <w:p w14:paraId="22967260">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3、项目管理方案（4分）</w:t>
      </w:r>
    </w:p>
    <w:p w14:paraId="04AA7756">
      <w:pPr>
        <w:widowControl/>
        <w:spacing w:line="500" w:lineRule="exact"/>
        <w:ind w:firstLine="480" w:firstLineChars="200"/>
        <w:rPr>
          <w:rFonts w:ascii="宋体" w:hAnsi="宋体" w:cs="宋体"/>
          <w:sz w:val="24"/>
          <w:highlight w:val="none"/>
        </w:rPr>
      </w:pPr>
      <w:r>
        <w:rPr>
          <w:rFonts w:hint="eastAsia" w:ascii="宋体" w:hAnsi="宋体" w:cs="宋体"/>
          <w:sz w:val="24"/>
          <w:highlight w:val="none"/>
        </w:rPr>
        <w:t>根据投标人针对本项目的项目管理方案进行评分，项目管理方案内容至少包括①项目范围管理</w:t>
      </w:r>
      <w:r>
        <w:rPr>
          <w:rFonts w:hint="eastAsia" w:ascii="宋体" w:hAnsi="宋体" w:cs="宋体"/>
          <w:sz w:val="24"/>
          <w:highlight w:val="none"/>
          <w:lang w:eastAsia="zh-CN"/>
        </w:rPr>
        <w:t>；</w:t>
      </w:r>
      <w:r>
        <w:rPr>
          <w:rFonts w:hint="eastAsia" w:ascii="宋体" w:hAnsi="宋体" w:cs="宋体"/>
          <w:sz w:val="24"/>
          <w:highlight w:val="none"/>
        </w:rPr>
        <w:t>②项目进度管理</w:t>
      </w:r>
      <w:r>
        <w:rPr>
          <w:rFonts w:hint="eastAsia" w:ascii="宋体" w:hAnsi="宋体" w:cs="宋体"/>
          <w:sz w:val="24"/>
          <w:highlight w:val="none"/>
          <w:lang w:eastAsia="zh-CN"/>
        </w:rPr>
        <w:t>；</w:t>
      </w:r>
      <w:r>
        <w:rPr>
          <w:rFonts w:hint="eastAsia" w:ascii="宋体" w:hAnsi="宋体" w:cs="宋体"/>
          <w:sz w:val="24"/>
          <w:highlight w:val="none"/>
        </w:rPr>
        <w:t>③项目风险管理</w:t>
      </w:r>
      <w:r>
        <w:rPr>
          <w:rFonts w:hint="eastAsia" w:ascii="宋体" w:hAnsi="宋体" w:cs="宋体"/>
          <w:sz w:val="24"/>
          <w:highlight w:val="none"/>
          <w:lang w:eastAsia="zh-CN"/>
        </w:rPr>
        <w:t>；</w:t>
      </w:r>
      <w:r>
        <w:rPr>
          <w:rFonts w:hint="eastAsia" w:ascii="宋体" w:hAnsi="宋体" w:cs="宋体"/>
          <w:sz w:val="24"/>
          <w:highlight w:val="none"/>
        </w:rPr>
        <w:t>④项目验收管理。方案内容针对本项目且符合本项目实际需求的，每项得1分，满分4分，每缺少一项内容，或内容错误，或内容非专门针对本项目，或内容不能满足本项目实际需求的，不得分。</w:t>
      </w:r>
    </w:p>
    <w:p w14:paraId="38BAF997">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4、项目质量管理方案（3分）</w:t>
      </w:r>
    </w:p>
    <w:p w14:paraId="46712403">
      <w:pPr>
        <w:widowControl/>
        <w:spacing w:line="500" w:lineRule="exact"/>
        <w:ind w:firstLine="480" w:firstLineChars="200"/>
        <w:rPr>
          <w:rFonts w:ascii="宋体" w:hAnsi="宋体" w:cs="宋体"/>
          <w:sz w:val="24"/>
          <w:highlight w:val="none"/>
        </w:rPr>
      </w:pPr>
      <w:r>
        <w:rPr>
          <w:rFonts w:hint="eastAsia" w:ascii="宋体" w:hAnsi="宋体" w:cs="宋体"/>
          <w:sz w:val="24"/>
          <w:highlight w:val="none"/>
        </w:rPr>
        <w:t>根据投标人针对本项目的项目质量管理方案进行评分，项目质量管理方案内容至少包括①质量管理体系介绍</w:t>
      </w:r>
      <w:r>
        <w:rPr>
          <w:rFonts w:hint="eastAsia" w:ascii="宋体" w:hAnsi="宋体" w:cs="宋体"/>
          <w:sz w:val="24"/>
          <w:highlight w:val="none"/>
          <w:lang w:eastAsia="zh-CN"/>
        </w:rPr>
        <w:t>；</w:t>
      </w:r>
      <w:r>
        <w:rPr>
          <w:rFonts w:hint="eastAsia" w:ascii="宋体" w:hAnsi="宋体" w:cs="宋体"/>
          <w:sz w:val="24"/>
          <w:highlight w:val="none"/>
        </w:rPr>
        <w:t>②项目交付质量保证方案。方案内容针对本项目且符合本项目实际需求的，每项得1.5分，满分3分，每缺少一项内容，或内容错误，或内容非专门针对本项目，或内容不能满足本项目实际需求的，不得分。</w:t>
      </w:r>
    </w:p>
    <w:p w14:paraId="39554396">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5、项目应急响应管理方案（6分）</w:t>
      </w:r>
    </w:p>
    <w:p w14:paraId="6E16DB64">
      <w:pPr>
        <w:widowControl/>
        <w:spacing w:line="500" w:lineRule="exact"/>
        <w:ind w:firstLine="480" w:firstLineChars="200"/>
        <w:rPr>
          <w:rFonts w:ascii="宋体" w:hAnsi="宋体" w:cs="宋体"/>
          <w:sz w:val="24"/>
          <w:highlight w:val="none"/>
        </w:rPr>
      </w:pPr>
      <w:r>
        <w:rPr>
          <w:rFonts w:hint="eastAsia" w:ascii="宋体" w:hAnsi="宋体" w:cs="宋体"/>
          <w:sz w:val="24"/>
          <w:highlight w:val="none"/>
        </w:rPr>
        <w:t>根据投标人针对本项目的项目应急响应管理方案进行评分，项目应急响应管理方案内容至少包括①事件监测</w:t>
      </w:r>
      <w:r>
        <w:rPr>
          <w:rFonts w:hint="eastAsia" w:ascii="宋体" w:hAnsi="宋体" w:cs="宋体"/>
          <w:sz w:val="24"/>
          <w:highlight w:val="none"/>
          <w:lang w:eastAsia="zh-CN"/>
        </w:rPr>
        <w:t>；</w:t>
      </w:r>
      <w:r>
        <w:rPr>
          <w:rFonts w:hint="eastAsia" w:ascii="宋体" w:hAnsi="宋体" w:cs="宋体"/>
          <w:sz w:val="24"/>
          <w:highlight w:val="none"/>
        </w:rPr>
        <w:t>②预警机制</w:t>
      </w:r>
      <w:r>
        <w:rPr>
          <w:rFonts w:hint="eastAsia" w:ascii="宋体" w:hAnsi="宋体" w:cs="宋体"/>
          <w:sz w:val="24"/>
          <w:highlight w:val="none"/>
          <w:lang w:eastAsia="zh-CN"/>
        </w:rPr>
        <w:t>；</w:t>
      </w:r>
      <w:r>
        <w:rPr>
          <w:rFonts w:hint="eastAsia" w:ascii="宋体" w:hAnsi="宋体" w:cs="宋体"/>
          <w:sz w:val="24"/>
          <w:highlight w:val="none"/>
        </w:rPr>
        <w:t>③响应流程</w:t>
      </w:r>
      <w:r>
        <w:rPr>
          <w:rFonts w:hint="eastAsia" w:ascii="宋体" w:hAnsi="宋体" w:cs="宋体"/>
          <w:sz w:val="24"/>
          <w:highlight w:val="none"/>
          <w:lang w:eastAsia="zh-CN"/>
        </w:rPr>
        <w:t>；</w:t>
      </w:r>
      <w:r>
        <w:rPr>
          <w:rFonts w:hint="eastAsia" w:ascii="宋体" w:hAnsi="宋体" w:cs="宋体"/>
          <w:sz w:val="24"/>
          <w:highlight w:val="none"/>
        </w:rPr>
        <w:t>④现场处置</w:t>
      </w:r>
      <w:r>
        <w:rPr>
          <w:rFonts w:hint="eastAsia" w:ascii="宋体" w:hAnsi="宋体" w:cs="宋体"/>
          <w:sz w:val="24"/>
          <w:highlight w:val="none"/>
          <w:lang w:eastAsia="zh-CN"/>
        </w:rPr>
        <w:t>；</w:t>
      </w:r>
      <w:r>
        <w:rPr>
          <w:rFonts w:hint="eastAsia" w:ascii="宋体" w:hAnsi="宋体" w:cs="宋体"/>
          <w:sz w:val="24"/>
          <w:highlight w:val="none"/>
        </w:rPr>
        <w:t>⑤恢复措施</w:t>
      </w:r>
      <w:r>
        <w:rPr>
          <w:rFonts w:hint="eastAsia" w:ascii="宋体" w:hAnsi="宋体" w:cs="宋体"/>
          <w:sz w:val="24"/>
          <w:highlight w:val="none"/>
          <w:lang w:eastAsia="zh-CN"/>
        </w:rPr>
        <w:t>；</w:t>
      </w:r>
      <w:r>
        <w:rPr>
          <w:rFonts w:hint="eastAsia" w:ascii="宋体" w:hAnsi="宋体" w:cs="宋体"/>
          <w:sz w:val="24"/>
          <w:highlight w:val="none"/>
        </w:rPr>
        <w:t>⑥事后总结。方案内容针对本项目且符合本项目实际需求的，每项得1分，满分6分，每缺少一项内容，或内容错误，或内容非专门针对本项目，或内容不能满足本项目实际需求的，不得分。</w:t>
      </w:r>
    </w:p>
    <w:p w14:paraId="011E2E7E">
      <w:pPr>
        <w:widowControl/>
        <w:spacing w:line="500" w:lineRule="exact"/>
        <w:ind w:firstLine="482" w:firstLineChars="200"/>
        <w:rPr>
          <w:rFonts w:ascii="宋体" w:hAnsi="宋体" w:cs="宋体"/>
          <w:b/>
          <w:sz w:val="24"/>
          <w:highlight w:val="none"/>
        </w:rPr>
      </w:pPr>
      <w:r>
        <w:rPr>
          <w:rFonts w:hint="eastAsia" w:ascii="宋体" w:hAnsi="宋体" w:cs="宋体"/>
          <w:b/>
          <w:sz w:val="24"/>
          <w:highlight w:val="none"/>
        </w:rPr>
        <w:t>6、项目售后服务方案（3分）</w:t>
      </w:r>
    </w:p>
    <w:p w14:paraId="5D55A260">
      <w:pPr>
        <w:widowControl/>
        <w:spacing w:line="500" w:lineRule="exact"/>
        <w:ind w:firstLine="480" w:firstLineChars="200"/>
        <w:rPr>
          <w:rFonts w:ascii="宋体" w:hAnsi="宋体" w:cs="宋体"/>
          <w:sz w:val="24"/>
          <w:highlight w:val="none"/>
        </w:rPr>
      </w:pPr>
      <w:r>
        <w:rPr>
          <w:rFonts w:hint="eastAsia" w:ascii="宋体" w:hAnsi="宋体" w:cs="宋体"/>
          <w:sz w:val="24"/>
          <w:highlight w:val="none"/>
        </w:rPr>
        <w:t>根据投标人针对本项目的项目售后服务方案进行评分，项目应急响应管理方案内容至少包括①服务流程</w:t>
      </w:r>
      <w:r>
        <w:rPr>
          <w:rFonts w:hint="eastAsia" w:ascii="宋体" w:hAnsi="宋体" w:cs="宋体"/>
          <w:sz w:val="24"/>
          <w:highlight w:val="none"/>
          <w:lang w:eastAsia="zh-CN"/>
        </w:rPr>
        <w:t>；</w:t>
      </w:r>
      <w:r>
        <w:rPr>
          <w:rFonts w:hint="eastAsia" w:ascii="宋体" w:hAnsi="宋体" w:cs="宋体"/>
          <w:sz w:val="24"/>
          <w:highlight w:val="none"/>
        </w:rPr>
        <w:t>②服务组织架构</w:t>
      </w:r>
      <w:r>
        <w:rPr>
          <w:rFonts w:hint="eastAsia" w:ascii="宋体" w:hAnsi="宋体" w:cs="宋体"/>
          <w:sz w:val="24"/>
          <w:highlight w:val="none"/>
          <w:lang w:eastAsia="zh-CN"/>
        </w:rPr>
        <w:t>；</w:t>
      </w:r>
      <w:r>
        <w:rPr>
          <w:rFonts w:hint="eastAsia" w:ascii="宋体" w:hAnsi="宋体" w:cs="宋体"/>
          <w:sz w:val="24"/>
          <w:highlight w:val="none"/>
        </w:rPr>
        <w:t>③服务人员。方案内容针对本项目且符合本项目实际需求的，每项得1分，满分3分，每缺少一项内容，或内容错误，或内容非专门针对本项目，或内容不能满足本项目实际需求的，不得分。</w:t>
      </w:r>
    </w:p>
    <w:p w14:paraId="1349E1B8">
      <w:pPr>
        <w:widowControl/>
        <w:spacing w:line="500" w:lineRule="exact"/>
        <w:ind w:firstLine="482" w:firstLineChars="200"/>
        <w:rPr>
          <w:rFonts w:ascii="宋体" w:hAnsi="宋体" w:cs="宋体"/>
          <w:b/>
          <w:bCs/>
          <w:sz w:val="24"/>
          <w:highlight w:val="none"/>
        </w:rPr>
      </w:pPr>
      <w:r>
        <w:rPr>
          <w:rFonts w:hint="eastAsia" w:ascii="宋体" w:hAnsi="宋体" w:cs="宋体"/>
          <w:b/>
          <w:bCs/>
          <w:sz w:val="24"/>
          <w:highlight w:val="none"/>
        </w:rPr>
        <w:t>（三）综合能力部分（4分）</w:t>
      </w:r>
    </w:p>
    <w:p w14:paraId="5F7B64D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2021年1月1日至今（以合同签订日期为准），投标人具有类似项目业绩的，有一项得2分，最高得4分。</w:t>
      </w:r>
    </w:p>
    <w:bookmarkEnd w:id="9"/>
    <w:bookmarkEnd w:id="10"/>
    <w:p w14:paraId="458127B4">
      <w:pPr>
        <w:spacing w:line="560" w:lineRule="exact"/>
        <w:rPr>
          <w:rFonts w:ascii="宋体" w:hAnsi="宋体"/>
          <w:b/>
          <w:color w:val="000000"/>
          <w:sz w:val="24"/>
          <w:highlight w:val="none"/>
        </w:rPr>
      </w:pPr>
      <w:r>
        <w:rPr>
          <w:rFonts w:hint="eastAsia" w:ascii="宋体" w:hAnsi="宋体"/>
          <w:b/>
          <w:color w:val="000000"/>
          <w:sz w:val="24"/>
          <w:highlight w:val="none"/>
        </w:rPr>
        <w:t>注：</w:t>
      </w:r>
    </w:p>
    <w:p w14:paraId="5614063E">
      <w:pPr>
        <w:spacing w:line="560" w:lineRule="exact"/>
        <w:rPr>
          <w:rFonts w:ascii="宋体" w:hAnsi="宋体"/>
          <w:b/>
          <w:color w:val="000000"/>
          <w:sz w:val="24"/>
          <w:highlight w:val="none"/>
        </w:rPr>
      </w:pPr>
      <w:r>
        <w:rPr>
          <w:rFonts w:hint="eastAsia" w:ascii="宋体" w:hAnsi="宋体"/>
          <w:b/>
          <w:color w:val="000000"/>
          <w:sz w:val="24"/>
          <w:highlight w:val="none"/>
        </w:rPr>
        <w:t>1、报价超过采购预算的为无效投标。</w:t>
      </w:r>
    </w:p>
    <w:p w14:paraId="230FC168">
      <w:pPr>
        <w:spacing w:line="560" w:lineRule="exact"/>
        <w:rPr>
          <w:rFonts w:ascii="宋体" w:hAnsi="宋体"/>
          <w:b/>
          <w:color w:val="000000"/>
          <w:sz w:val="24"/>
          <w:highlight w:val="none"/>
        </w:rPr>
      </w:pPr>
      <w:r>
        <w:rPr>
          <w:rFonts w:hint="eastAsia" w:ascii="宋体" w:hAnsi="宋体"/>
          <w:b/>
          <w:color w:val="000000"/>
          <w:sz w:val="24"/>
          <w:highlight w:val="none"/>
        </w:rPr>
        <w:t>2、针对评分标准中评分的每一条，投标人均应提供相关电子证明资料并作出相应说明供评委评判，不提供相关电子证明资料的视为不具备该项得分的条件。</w:t>
      </w:r>
    </w:p>
    <w:p w14:paraId="73B639DC">
      <w:pPr>
        <w:pStyle w:val="235"/>
        <w:spacing w:line="500" w:lineRule="exact"/>
        <w:rPr>
          <w:rFonts w:ascii="宋体" w:hAnsi="宋体" w:cs="宋体"/>
          <w:sz w:val="24"/>
          <w:highlight w:val="none"/>
        </w:rPr>
      </w:pPr>
      <w:r>
        <w:rPr>
          <w:rFonts w:hint="eastAsia" w:ascii="宋体" w:hAnsi="宋体"/>
          <w:b/>
          <w:color w:val="000000"/>
          <w:sz w:val="24"/>
          <w:highlight w:val="none"/>
        </w:rPr>
        <w:t>3、所有扫描件字迹须清晰可见,扫描件不全或字迹不清晰的，视为未提供。</w:t>
      </w:r>
    </w:p>
    <w:p w14:paraId="11142BE6">
      <w:pPr>
        <w:pStyle w:val="235"/>
        <w:spacing w:line="500" w:lineRule="exact"/>
        <w:rPr>
          <w:rFonts w:ascii="宋体" w:hAnsi="宋体" w:cs="宋体"/>
          <w:sz w:val="24"/>
          <w:highlight w:val="none"/>
        </w:rPr>
      </w:pPr>
    </w:p>
    <w:p w14:paraId="3A585C2C">
      <w:pPr>
        <w:pStyle w:val="235"/>
        <w:spacing w:line="500" w:lineRule="exact"/>
        <w:rPr>
          <w:rFonts w:ascii="宋体" w:hAnsi="宋体" w:cs="宋体"/>
          <w:sz w:val="24"/>
          <w:highlight w:val="none"/>
        </w:rPr>
      </w:pPr>
    </w:p>
    <w:p w14:paraId="00A24A99">
      <w:pPr>
        <w:numPr>
          <w:ilvl w:val="0"/>
          <w:numId w:val="4"/>
        </w:numPr>
        <w:pBdr>
          <w:top w:val="none" w:color="000000" w:sz="0" w:space="0"/>
          <w:left w:val="none" w:color="000000" w:sz="0" w:space="0"/>
          <w:bottom w:val="none" w:color="000000" w:sz="0" w:space="0"/>
          <w:right w:val="none" w:color="000000" w:sz="0" w:space="0"/>
        </w:pBdr>
        <w:spacing w:before="240" w:after="240"/>
        <w:jc w:val="center"/>
        <w:rPr>
          <w:rFonts w:ascii="宋体" w:hAnsi="宋体" w:cs="宋体"/>
          <w:b/>
          <w:sz w:val="44"/>
          <w:highlight w:val="none"/>
        </w:rPr>
      </w:pPr>
      <w:r>
        <w:rPr>
          <w:rFonts w:hint="eastAsia" w:ascii="宋体" w:hAnsi="宋体" w:cs="宋体"/>
          <w:b/>
          <w:sz w:val="44"/>
          <w:highlight w:val="none"/>
        </w:rPr>
        <w:t>合同格式</w:t>
      </w:r>
    </w:p>
    <w:p w14:paraId="2C6937A2">
      <w:pPr>
        <w:pStyle w:val="219"/>
        <w:jc w:val="center"/>
        <w:rPr>
          <w:rFonts w:ascii="宋体" w:hAnsi="宋体" w:eastAsia="宋体" w:cs="宋体"/>
          <w:b/>
          <w:bCs/>
          <w:color w:val="000000" w:themeColor="text1"/>
          <w:spacing w:val="-20"/>
          <w:sz w:val="44"/>
          <w:szCs w:val="48"/>
          <w:highlight w:val="none"/>
          <w14:textFill>
            <w14:solidFill>
              <w14:schemeClr w14:val="tx1"/>
            </w14:solidFill>
          </w14:textFill>
        </w:rPr>
      </w:pPr>
      <w:r>
        <w:rPr>
          <w:rFonts w:hint="eastAsia" w:ascii="宋体" w:hAnsi="宋体" w:eastAsia="宋体" w:cs="宋体"/>
          <w:b/>
          <w:bCs/>
          <w:color w:val="000000" w:themeColor="text1"/>
          <w:spacing w:val="-20"/>
          <w:sz w:val="44"/>
          <w:szCs w:val="48"/>
          <w:highlight w:val="none"/>
          <w14:textFill>
            <w14:solidFill>
              <w14:schemeClr w14:val="tx1"/>
            </w14:solidFill>
          </w14:textFill>
        </w:rPr>
        <w:t>政府采购货物买卖合同</w:t>
      </w:r>
    </w:p>
    <w:p w14:paraId="083A277F">
      <w:pPr>
        <w:pStyle w:val="219"/>
        <w:jc w:val="center"/>
        <w:rPr>
          <w:rFonts w:ascii="宋体" w:hAnsi="宋体" w:eastAsia="宋体" w:cs="宋体"/>
          <w:b/>
          <w:bCs/>
          <w:color w:val="000000" w:themeColor="text1"/>
          <w:spacing w:val="-20"/>
          <w:sz w:val="48"/>
          <w:szCs w:val="48"/>
          <w:highlight w:val="none"/>
          <w14:textFill>
            <w14:solidFill>
              <w14:schemeClr w14:val="tx1"/>
            </w14:solidFill>
          </w14:textFill>
        </w:rPr>
      </w:pPr>
    </w:p>
    <w:p w14:paraId="75689283">
      <w:pPr>
        <w:rPr>
          <w:rFonts w:ascii="宋体" w:hAnsi="宋体" w:cs="宋体"/>
          <w:b/>
          <w:bCs/>
          <w:color w:val="000000" w:themeColor="text1"/>
          <w:spacing w:val="-20"/>
          <w:sz w:val="40"/>
          <w:szCs w:val="40"/>
          <w:highlight w:val="none"/>
          <w14:textFill>
            <w14:solidFill>
              <w14:schemeClr w14:val="tx1"/>
            </w14:solidFill>
          </w14:textFill>
        </w:rPr>
      </w:pPr>
    </w:p>
    <w:p w14:paraId="183756F9">
      <w:pPr>
        <w:rPr>
          <w:rFonts w:ascii="宋体" w:hAnsi="宋体" w:cs="宋体"/>
          <w:b/>
          <w:bCs/>
          <w:color w:val="000000" w:themeColor="text1"/>
          <w:spacing w:val="-20"/>
          <w:sz w:val="40"/>
          <w:szCs w:val="40"/>
          <w:highlight w:val="none"/>
          <w14:textFill>
            <w14:solidFill>
              <w14:schemeClr w14:val="tx1"/>
            </w14:solidFill>
          </w14:textFill>
        </w:rPr>
      </w:pPr>
    </w:p>
    <w:p w14:paraId="03C99097">
      <w:pPr>
        <w:rPr>
          <w:rFonts w:ascii="宋体" w:hAnsi="宋体" w:cs="宋体"/>
          <w:b/>
          <w:bCs/>
          <w:color w:val="000000" w:themeColor="text1"/>
          <w:spacing w:val="-20"/>
          <w:sz w:val="40"/>
          <w:szCs w:val="40"/>
          <w:highlight w:val="none"/>
          <w14:textFill>
            <w14:solidFill>
              <w14:schemeClr w14:val="tx1"/>
            </w14:solidFill>
          </w14:textFill>
        </w:rPr>
      </w:pPr>
    </w:p>
    <w:p w14:paraId="24E1C523">
      <w:pPr>
        <w:spacing w:line="360" w:lineRule="auto"/>
        <w:ind w:left="44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项目名称：</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7C3158A2">
      <w:pPr>
        <w:spacing w:line="360" w:lineRule="auto"/>
        <w:ind w:left="440"/>
        <w:rPr>
          <w:rFonts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合同编号：</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19F9AC50">
      <w:pPr>
        <w:spacing w:line="360" w:lineRule="auto"/>
        <w:ind w:left="44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甲    方：</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429DB42C">
      <w:pPr>
        <w:spacing w:line="360" w:lineRule="auto"/>
        <w:ind w:left="440"/>
        <w:rPr>
          <w:rFonts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乙    方：</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2FCE8952">
      <w:pPr>
        <w:spacing w:line="360" w:lineRule="auto"/>
        <w:ind w:left="44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签订时间：</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0D931EA9">
      <w:pPr>
        <w:rPr>
          <w:rFonts w:ascii="宋体" w:hAnsi="宋体" w:cs="宋体"/>
          <w:color w:val="000000" w:themeColor="text1"/>
          <w:highlight w:val="none"/>
          <w14:textFill>
            <w14:solidFill>
              <w14:schemeClr w14:val="tx1"/>
            </w14:solidFill>
          </w14:textFill>
        </w:rPr>
      </w:pPr>
    </w:p>
    <w:p w14:paraId="775A3B5A">
      <w:pP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p>
    <w:p w14:paraId="488AEA02">
      <w:pPr>
        <w:rPr>
          <w:rFonts w:ascii="宋体" w:hAnsi="宋体" w:cs="宋体"/>
          <w:color w:val="000000" w:themeColor="text1"/>
          <w:sz w:val="44"/>
          <w:szCs w:val="44"/>
          <w:highlight w:val="none"/>
          <w14:textFill>
            <w14:solidFill>
              <w14:schemeClr w14:val="tx1"/>
            </w14:solidFill>
          </w14:textFill>
        </w:rPr>
      </w:pPr>
    </w:p>
    <w:p w14:paraId="27F79C49">
      <w:pPr>
        <w:rPr>
          <w:rFonts w:ascii="宋体" w:hAnsi="宋体" w:cs="宋体"/>
          <w:color w:val="000000" w:themeColor="text1"/>
          <w:sz w:val="44"/>
          <w:szCs w:val="44"/>
          <w:highlight w:val="none"/>
          <w14:textFill>
            <w14:solidFill>
              <w14:schemeClr w14:val="tx1"/>
            </w14:solidFill>
          </w14:textFill>
        </w:rPr>
      </w:pPr>
    </w:p>
    <w:p w14:paraId="067D97A1">
      <w:pPr>
        <w:jc w:val="cente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使 用 说 明</w:t>
      </w:r>
    </w:p>
    <w:p w14:paraId="097EE7AC">
      <w:pPr>
        <w:ind w:firstLine="640"/>
        <w:rPr>
          <w:rFonts w:ascii="宋体" w:hAnsi="宋体" w:cs="宋体"/>
          <w:color w:val="000000" w:themeColor="text1"/>
          <w:sz w:val="32"/>
          <w:szCs w:val="32"/>
          <w:highlight w:val="none"/>
          <w14:textFill>
            <w14:solidFill>
              <w14:schemeClr w14:val="tx1"/>
            </w14:solidFill>
          </w14:textFill>
        </w:rPr>
      </w:pPr>
    </w:p>
    <w:p w14:paraId="43FE88D5">
      <w:pPr>
        <w:ind w:firstLine="64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1.本合同标准文本适用于购买现成货物的采购项目，不包括需要供应商定制开发、创新研发的货物采购项目。</w:t>
      </w:r>
    </w:p>
    <w:p w14:paraId="5CADF435">
      <w:pPr>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2.本合同标准文本为政府采购货物买卖合同编制提供参考，可以结合采购项目具体情况，对文本作必要的调整修订后使用。</w:t>
      </w:r>
    </w:p>
    <w:p w14:paraId="72AFB489">
      <w:pPr>
        <w:ind w:firstLine="64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3.本合同标准文本各条款中，如涉及填写多家供应商、制造商，多种采购标的、分包主要内容等信息的，可根据采购项目具体情况添加信息项。</w:t>
      </w:r>
    </w:p>
    <w:p w14:paraId="64A572EC">
      <w:pPr>
        <w:ind w:firstLine="880"/>
        <w:rPr>
          <w:rFonts w:ascii="宋体" w:hAnsi="宋体" w:cs="宋体"/>
          <w:color w:val="000000" w:themeColor="text1"/>
          <w:sz w:val="44"/>
          <w:szCs w:val="44"/>
          <w:highlight w:val="none"/>
          <w14:textFill>
            <w14:solidFill>
              <w14:schemeClr w14:val="tx1"/>
            </w14:solidFill>
          </w14:textFill>
        </w:rPr>
        <w:sectPr>
          <w:footerReference r:id="rId3" w:type="default"/>
          <w:pgSz w:w="11906" w:h="16838"/>
          <w:pgMar w:top="1157" w:right="1236" w:bottom="1157" w:left="1236" w:header="851" w:footer="992" w:gutter="0"/>
          <w:cols w:space="0" w:num="1"/>
          <w:docGrid w:linePitch="360" w:charSpace="0"/>
        </w:sectPr>
      </w:pPr>
    </w:p>
    <w:p w14:paraId="6C6271BE">
      <w:pPr>
        <w:spacing w:line="400" w:lineRule="exact"/>
        <w:rPr>
          <w:rFonts w:ascii="宋体" w:hAnsi="宋体" w:cs="宋体"/>
          <w:color w:val="000000" w:themeColor="text1"/>
          <w:highlight w:val="none"/>
          <w14:textFill>
            <w14:solidFill>
              <w14:schemeClr w14:val="tx1"/>
            </w14:solidFill>
          </w14:textFill>
        </w:rPr>
      </w:pPr>
    </w:p>
    <w:p w14:paraId="05D937AD">
      <w:pPr>
        <w:pStyle w:val="213"/>
        <w:spacing w:line="400" w:lineRule="exact"/>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第一节 政府采购合同协议书</w:t>
      </w:r>
    </w:p>
    <w:p w14:paraId="77A1D179">
      <w:pPr>
        <w:spacing w:line="400" w:lineRule="exact"/>
        <w:rPr>
          <w:rFonts w:ascii="宋体" w:hAnsi="宋体" w:cs="宋体"/>
          <w:color w:val="000000" w:themeColor="text1"/>
          <w:highlight w:val="none"/>
          <w14:textFill>
            <w14:solidFill>
              <w14:schemeClr w14:val="tx1"/>
            </w14:solidFill>
          </w14:textFill>
        </w:rPr>
      </w:pPr>
    </w:p>
    <w:p w14:paraId="416C0E1D">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（采购人、受采购人委托签订合同的单位或采购</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文件约定的合同甲方）</w:t>
      </w:r>
    </w:p>
    <w:p w14:paraId="1EFE5828">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乙方1（全称）：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（供应商）</w:t>
      </w:r>
    </w:p>
    <w:p w14:paraId="363545D8">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乙方2（全称）：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（联合体成员供应商或其他合同主体）（如有）</w:t>
      </w:r>
    </w:p>
    <w:p w14:paraId="66F47F1C">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乙方</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（联合体成员供应商或其他合同主体）（如有）</w:t>
      </w:r>
    </w:p>
    <w:p w14:paraId="2097837D">
      <w:pPr>
        <w:spacing w:line="400" w:lineRule="exact"/>
        <w:rPr>
          <w:rFonts w:ascii="宋体" w:hAnsi="宋体" w:cs="宋体"/>
          <w:color w:val="000000" w:themeColor="text1"/>
          <w:highlight w:val="none"/>
          <w14:textFill>
            <w14:solidFill>
              <w14:schemeClr w14:val="tx1"/>
            </w14:solidFill>
          </w14:textFill>
        </w:rPr>
      </w:pPr>
    </w:p>
    <w:p w14:paraId="2199676F">
      <w:pPr>
        <w:pStyle w:val="221"/>
        <w:spacing w:line="400" w:lineRule="exact"/>
        <w:ind w:firstLine="560"/>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5CB7698">
      <w:pPr>
        <w:numPr>
          <w:ilvl w:val="0"/>
          <w:numId w:val="5"/>
        </w:numPr>
        <w:spacing w:line="400" w:lineRule="exact"/>
        <w:ind w:firstLine="440"/>
        <w:rPr>
          <w:rFonts w:cs="宋体" w:asciiTheme="minorEastAsia" w:hAnsiTheme="minorEastAsia" w:eastAsiaTheme="minorEastAsia"/>
          <w:b/>
          <w:color w:val="000000" w:themeColor="text1"/>
          <w:highlight w:val="none"/>
          <w14:textFill>
            <w14:solidFill>
              <w14:schemeClr w14:val="tx1"/>
            </w14:solidFill>
          </w14:textFill>
        </w:rPr>
      </w:pPr>
      <w:r>
        <w:rPr>
          <w:rFonts w:hint="eastAsia" w:cs="宋体" w:asciiTheme="minorEastAsia" w:hAnsiTheme="minorEastAsia" w:eastAsiaTheme="minorEastAsia"/>
          <w:b/>
          <w:color w:val="000000" w:themeColor="text1"/>
          <w:highlight w:val="none"/>
          <w14:textFill>
            <w14:solidFill>
              <w14:schemeClr w14:val="tx1"/>
            </w14:solidFill>
          </w14:textFill>
        </w:rPr>
        <w:t>项目信息</w:t>
      </w:r>
    </w:p>
    <w:p w14:paraId="3A8D24E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（1）采购项目名称：                                          </w:t>
      </w:r>
    </w:p>
    <w:p w14:paraId="606F326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采购项目编号：                                          </w:t>
      </w:r>
    </w:p>
    <w:p w14:paraId="5D67E9A3">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（2）采购计划编号：                                           </w:t>
      </w:r>
    </w:p>
    <w:p w14:paraId="0CD951AB">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（3）项目内容：</w:t>
      </w:r>
    </w:p>
    <w:p w14:paraId="7ECEF58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采购标的及数量（台/套</w:t>
      </w:r>
      <w:r>
        <w:rPr>
          <w:rFonts w:hint="eastAsia" w:ascii="宋体" w:hAnsi="宋体" w:cs="宋体"/>
          <w:color w:val="000000" w:themeColor="text1"/>
          <w:szCs w:val="21"/>
          <w:highlight w:val="none"/>
          <w:lang w:val="en"/>
          <w14:textFill>
            <w14:solidFill>
              <w14:schemeClr w14:val="tx1"/>
            </w14:solidFill>
          </w14:textFill>
        </w:rPr>
        <w:t>/个/架/组等</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1BAF8083">
      <w:pPr>
        <w:spacing w:line="400" w:lineRule="exact"/>
        <w:ind w:firstLine="440"/>
        <w:rPr>
          <w:rFonts w:ascii="宋体" w:hAnsi="宋体" w:cs="宋体"/>
          <w:color w:val="000000" w:themeColor="text1"/>
          <w:szCs w:val="21"/>
          <w:highlight w:val="none"/>
          <w:lang w:val="e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
          <w14:textFill>
            <w14:solidFill>
              <w14:schemeClr w14:val="tx1"/>
            </w14:solidFill>
          </w14:textFill>
        </w:rPr>
        <w:t xml:space="preserve">   </w:t>
      </w:r>
    </w:p>
    <w:p w14:paraId="0A76C221">
      <w:pPr>
        <w:spacing w:line="400" w:lineRule="exact"/>
        <w:ind w:firstLine="99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采购标的的技术要求、商务要求具体见附件。</w:t>
      </w:r>
    </w:p>
    <w:p w14:paraId="3D8A0A3A">
      <w:pPr>
        <w:spacing w:line="400" w:lineRule="exact"/>
        <w:ind w:firstLine="99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①涉及信息类产品，请填写该产品关键部件的品牌、型号：</w:t>
      </w:r>
    </w:p>
    <w:p w14:paraId="65342FBE">
      <w:pPr>
        <w:spacing w:line="400" w:lineRule="exact"/>
        <w:ind w:firstLine="44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02E16904">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3D5D7F7A">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0548F69A">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w:t>
      </w:r>
    </w:p>
    <w:p w14:paraId="509A75BD">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2777EFD9">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②涉及车辆采购，请填写是否属于新能源汽车：</w:t>
      </w:r>
    </w:p>
    <w:p w14:paraId="4AE3D62C">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p>
    <w:p w14:paraId="6F9BACBB">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否</w:t>
      </w:r>
    </w:p>
    <w:p w14:paraId="6F58EC2F">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
          <w14:textFill>
            <w14:solidFill>
              <w14:schemeClr w14:val="tx1"/>
            </w14:solidFill>
          </w14:textFill>
        </w:rPr>
        <w:t>4</w:t>
      </w:r>
      <w:r>
        <w:rPr>
          <w:rFonts w:hint="eastAsia" w:ascii="宋体" w:hAnsi="宋体" w:eastAsia="宋体" w:cs="宋体"/>
          <w:color w:val="000000" w:themeColor="text1"/>
          <w:sz w:val="21"/>
          <w:highlight w:val="none"/>
          <w14:textFill>
            <w14:solidFill>
              <w14:schemeClr w14:val="tx1"/>
            </w14:solidFill>
          </w14:textFill>
        </w:rPr>
        <w:t>）政府采购组织形式：政府集中采购  部门集中采购  分散采购</w:t>
      </w:r>
    </w:p>
    <w:p w14:paraId="5F19D43C">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val="en"/>
          <w14:textFill>
            <w14:solidFill>
              <w14:schemeClr w14:val="tx1"/>
            </w14:solidFill>
          </w14:textFill>
        </w:rPr>
        <w:t>5</w:t>
      </w:r>
      <w:r>
        <w:rPr>
          <w:rFonts w:hint="eastAsia" w:ascii="宋体" w:hAnsi="宋体" w:eastAsia="宋体" w:cs="宋体"/>
          <w:color w:val="000000" w:themeColor="text1"/>
          <w:sz w:val="21"/>
          <w:highlight w:val="none"/>
          <w14:textFill>
            <w14:solidFill>
              <w14:schemeClr w14:val="tx1"/>
            </w14:solidFill>
          </w14:textFill>
        </w:rPr>
        <w:t>）政府采购方式：公开招标 邀请招标 竞争性谈判 竞争性磋商</w:t>
      </w:r>
    </w:p>
    <w:p w14:paraId="24512AEE">
      <w:pPr>
        <w:pStyle w:val="236"/>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询价 单一来源 框架协议 其他：</w:t>
      </w:r>
      <w:r>
        <w:rPr>
          <w:rFonts w:hint="eastAsia" w:ascii="宋体" w:hAnsi="宋体" w:eastAsia="宋体" w:cs="宋体"/>
          <w:color w:val="000000" w:themeColor="text1"/>
          <w:sz w:val="21"/>
          <w:highlight w:val="none"/>
          <w:u w:val="single"/>
          <w14:textFill>
            <w14:solidFill>
              <w14:schemeClr w14:val="tx1"/>
            </w14:solidFill>
          </w14:textFill>
        </w:rPr>
        <w:t xml:space="preserve">          </w:t>
      </w:r>
    </w:p>
    <w:p w14:paraId="3167C347">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（注：在框架协议采购的第二阶段，可选择使用该合同文本）</w:t>
      </w:r>
    </w:p>
    <w:p w14:paraId="3D309F49">
      <w:pPr>
        <w:pStyle w:val="236"/>
        <w:ind w:firstLine="2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中标（成交）采购标的制造商是否为中小企业：是      否</w:t>
      </w:r>
    </w:p>
    <w:p w14:paraId="02D516AF">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本合同是否为专门面向中小企业的采购合同（中小企业预留合同）：</w:t>
      </w:r>
      <w:r>
        <w:rPr>
          <w:rFonts w:hint="eastAsia" w:ascii="宋体" w:hAnsi="宋体" w:cs="宋体"/>
          <w:iCs/>
          <w:color w:val="000000" w:themeColor="text1"/>
          <w:szCs w:val="21"/>
          <w:highlight w:val="none"/>
          <w14:textFill>
            <w14:solidFill>
              <w14:schemeClr w14:val="tx1"/>
            </w14:solidFill>
          </w14:textFill>
        </w:rPr>
        <w:t>是    否</w:t>
      </w:r>
    </w:p>
    <w:p w14:paraId="6406D284">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若本项目不专门面向中小企业采购，是否给予小微企业评审优惠：</w:t>
      </w:r>
      <w:r>
        <w:rPr>
          <w:rFonts w:hint="eastAsia" w:ascii="宋体" w:hAnsi="宋体" w:cs="宋体"/>
          <w:iCs/>
          <w:color w:val="000000" w:themeColor="text1"/>
          <w:szCs w:val="21"/>
          <w:highlight w:val="none"/>
          <w14:textFill>
            <w14:solidFill>
              <w14:schemeClr w14:val="tx1"/>
            </w14:solidFill>
          </w14:textFill>
        </w:rPr>
        <w:t>是   否</w:t>
      </w:r>
    </w:p>
    <w:p w14:paraId="5C675144">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中标（成交）采购标的制造商是否为残疾人福利性单位：</w:t>
      </w:r>
      <w:r>
        <w:rPr>
          <w:rFonts w:hint="eastAsia" w:ascii="宋体" w:hAnsi="宋体" w:cs="宋体"/>
          <w:iCs/>
          <w:color w:val="000000" w:themeColor="text1"/>
          <w:szCs w:val="21"/>
          <w:highlight w:val="none"/>
          <w14:textFill>
            <w14:solidFill>
              <w14:schemeClr w14:val="tx1"/>
            </w14:solidFill>
          </w14:textFill>
        </w:rPr>
        <w:t>是   否</w:t>
      </w:r>
    </w:p>
    <w:p w14:paraId="5D5BEA91">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中标（成交）采购标的制造商是否为监狱企业：</w:t>
      </w:r>
      <w:r>
        <w:rPr>
          <w:rFonts w:hint="eastAsia" w:ascii="宋体" w:hAnsi="宋体" w:cs="宋体"/>
          <w:iCs/>
          <w:color w:val="000000" w:themeColor="text1"/>
          <w:szCs w:val="21"/>
          <w:highlight w:val="none"/>
          <w14:textFill>
            <w14:solidFill>
              <w14:schemeClr w14:val="tx1"/>
            </w14:solidFill>
          </w14:textFill>
        </w:rPr>
        <w:t>是       否</w:t>
      </w:r>
    </w:p>
    <w:p w14:paraId="0A25AB8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）合同是否分包：</w:t>
      </w:r>
      <w:r>
        <w:rPr>
          <w:rFonts w:hint="eastAsia" w:ascii="宋体" w:hAnsi="宋体" w:cs="宋体"/>
          <w:iCs/>
          <w:color w:val="000000" w:themeColor="text1"/>
          <w:szCs w:val="21"/>
          <w:highlight w:val="none"/>
          <w14:textFill>
            <w14:solidFill>
              <w14:schemeClr w14:val="tx1"/>
            </w14:solidFill>
          </w14:textFill>
        </w:rPr>
        <w:t>是       否</w:t>
      </w:r>
    </w:p>
    <w:p w14:paraId="62FFDA1F">
      <w:pPr>
        <w:spacing w:line="400" w:lineRule="exact"/>
        <w:ind w:firstLine="88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分包主要内容：</w:t>
      </w:r>
      <w:r>
        <w:rPr>
          <w:rFonts w:hint="eastAsia" w:ascii="宋体" w:hAnsi="宋体" w:cs="宋体"/>
          <w:color w:val="000000" w:themeColor="text1"/>
          <w:szCs w:val="21"/>
          <w:highlight w:val="none"/>
          <w:u w:val="single"/>
          <w14:textFill>
            <w14:solidFill>
              <w14:schemeClr w14:val="tx1"/>
            </w14:solidFill>
          </w14:textFill>
        </w:rPr>
        <w:t xml:space="preserve">                                            </w:t>
      </w:r>
    </w:p>
    <w:p w14:paraId="0B78CE56">
      <w:pPr>
        <w:spacing w:line="400" w:lineRule="exact"/>
        <w:ind w:firstLine="8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分包供应商/制造商名称（如供应商和制造商不同，请分别填写）：</w:t>
      </w:r>
    </w:p>
    <w:p w14:paraId="5CCB363C">
      <w:pPr>
        <w:spacing w:line="400" w:lineRule="exact"/>
        <w:ind w:firstLine="88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066A9F97">
      <w:pPr>
        <w:spacing w:line="400" w:lineRule="exact"/>
        <w:ind w:firstLine="8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分包供应商/制造商类型（如果供应商和制造商不同，只填写制造商类型）：</w:t>
      </w:r>
    </w:p>
    <w:p w14:paraId="56B57E42">
      <w:pPr>
        <w:spacing w:line="400" w:lineRule="exact"/>
        <w:ind w:firstLine="880"/>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大型企业  中型企业  小微型企业  </w:t>
      </w:r>
    </w:p>
    <w:p w14:paraId="21B0A647">
      <w:pPr>
        <w:spacing w:line="400" w:lineRule="exact"/>
        <w:ind w:firstLine="880"/>
        <w:rPr>
          <w:rFonts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残疾人福利性单位 监狱企业 其他</w:t>
      </w:r>
    </w:p>
    <w:p w14:paraId="207D908B">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e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）中标（成交）供应商是否为外商投资企业：</w:t>
      </w:r>
      <w:r>
        <w:rPr>
          <w:rFonts w:hint="eastAsia" w:ascii="宋体" w:hAnsi="宋体" w:cs="宋体"/>
          <w:iCs/>
          <w:color w:val="000000" w:themeColor="text1"/>
          <w:szCs w:val="21"/>
          <w:highlight w:val="none"/>
          <w14:textFill>
            <w14:solidFill>
              <w14:schemeClr w14:val="tx1"/>
            </w14:solidFill>
          </w14:textFill>
        </w:rPr>
        <w:t>是       否</w:t>
      </w:r>
    </w:p>
    <w:p w14:paraId="384FCF12">
      <w:pPr>
        <w:pStyle w:val="236"/>
        <w:tabs>
          <w:tab w:val="left" w:pos="1340"/>
        </w:tabs>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hint="eastAsia" w:ascii="宋体" w:hAnsi="宋体" w:eastAsia="宋体" w:cs="宋体"/>
          <w:iCs/>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hint="eastAsia" w:ascii="宋体" w:hAnsi="宋体" w:eastAsia="宋体" w:cs="宋体"/>
          <w:iCs/>
          <w:color w:val="000000" w:themeColor="text1"/>
          <w:sz w:val="21"/>
          <w:highlight w:val="none"/>
          <w14:textFill>
            <w14:solidFill>
              <w14:schemeClr w14:val="tx1"/>
            </w14:solidFill>
          </w14:textFill>
        </w:rPr>
        <w:t>部分由外国投资者投资</w:t>
      </w:r>
    </w:p>
    <w:p w14:paraId="7D4989CC">
      <w:pPr>
        <w:spacing w:line="40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）是否涉及进口产品：</w:t>
      </w:r>
    </w:p>
    <w:p w14:paraId="726A8D2B">
      <w:pPr>
        <w:spacing w:line="400" w:lineRule="exact"/>
        <w:ind w:firstLine="88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p>
    <w:p w14:paraId="7F007CBB">
      <w:pPr>
        <w:spacing w:line="400" w:lineRule="exact"/>
        <w:ind w:firstLine="8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26EA7149">
      <w:pPr>
        <w:spacing w:line="400" w:lineRule="exact"/>
        <w:ind w:firstLine="8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否</w:t>
      </w:r>
    </w:p>
    <w:p w14:paraId="12696BE2">
      <w:pPr>
        <w:tabs>
          <w:tab w:val="left" w:pos="740"/>
        </w:tabs>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w:t>
      </w:r>
      <w:r>
        <w:rPr>
          <w:rFonts w:hint="eastAsia" w:ascii="宋体" w:hAnsi="宋体" w:cs="宋体"/>
          <w:color w:val="000000" w:themeColor="text1"/>
          <w:szCs w:val="21"/>
          <w:highlight w:val="none"/>
          <w:lang w:val="en"/>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）是否涉及节能产品：</w:t>
      </w:r>
    </w:p>
    <w:p w14:paraId="17266806">
      <w:pPr>
        <w:tabs>
          <w:tab w:val="left" w:pos="740"/>
        </w:tabs>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是，《节能产品政府采购品目清单》的底级品目名称：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     </w:t>
      </w:r>
    </w:p>
    <w:p w14:paraId="09CE4467">
      <w:pPr>
        <w:tabs>
          <w:tab w:val="left" w:pos="740"/>
        </w:tabs>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强制采购       优先采购    </w:t>
      </w:r>
    </w:p>
    <w:p w14:paraId="641294D2">
      <w:pPr>
        <w:tabs>
          <w:tab w:val="left" w:pos="740"/>
        </w:tabs>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否</w:t>
      </w:r>
    </w:p>
    <w:p w14:paraId="3FC36463">
      <w:pPr>
        <w:tabs>
          <w:tab w:val="left" w:pos="740"/>
        </w:tabs>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是否涉及环境标志产品：</w:t>
      </w:r>
    </w:p>
    <w:p w14:paraId="2A16D852">
      <w:pPr>
        <w:tabs>
          <w:tab w:val="left" w:pos="740"/>
        </w:tabs>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是，《环境标志产品政府采购品目清单》的底级品目名称：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 </w:t>
      </w:r>
    </w:p>
    <w:p w14:paraId="53BE9EB5">
      <w:pPr>
        <w:tabs>
          <w:tab w:val="left" w:pos="740"/>
        </w:tabs>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强制采购       优先采购    </w:t>
      </w:r>
    </w:p>
    <w:p w14:paraId="295DB48D">
      <w:pPr>
        <w:tabs>
          <w:tab w:val="left" w:pos="740"/>
        </w:tabs>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否</w:t>
      </w:r>
    </w:p>
    <w:p w14:paraId="1B19CF4E">
      <w:pPr>
        <w:pStyle w:val="236"/>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是否涉及绿色产品： </w:t>
      </w:r>
    </w:p>
    <w:p w14:paraId="71FB69EF">
      <w:pPr>
        <w:pStyle w:val="236"/>
        <w:ind w:firstLine="420"/>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是，绿色产品政府采购相关政策确定的底级品目名称：</w:t>
      </w:r>
      <w:r>
        <w:rPr>
          <w:rFonts w:hint="eastAsia" w:ascii="宋体" w:hAnsi="宋体" w:eastAsia="宋体" w:cs="宋体"/>
          <w:color w:val="000000" w:themeColor="text1"/>
          <w:highlight w:val="none"/>
          <w:u w:val="single"/>
          <w14:textFill>
            <w14:solidFill>
              <w14:schemeClr w14:val="tx1"/>
            </w14:solidFill>
          </w14:textFill>
        </w:rPr>
        <w:t xml:space="preserve">         </w:t>
      </w:r>
    </w:p>
    <w:p w14:paraId="4669DE8A">
      <w:pPr>
        <w:tabs>
          <w:tab w:val="left" w:pos="740"/>
        </w:tabs>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强制采购       优先采购    </w:t>
      </w:r>
    </w:p>
    <w:p w14:paraId="3EF547EF">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否</w:t>
      </w:r>
    </w:p>
    <w:p w14:paraId="60E6CF6C">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w:t>
      </w:r>
      <w:r>
        <w:rPr>
          <w:rFonts w:hint="eastAsia" w:ascii="宋体" w:hAnsi="宋体" w:cs="宋体"/>
          <w:color w:val="000000" w:themeColor="text1"/>
          <w:szCs w:val="21"/>
          <w:highlight w:val="none"/>
          <w:lang w:val="e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）涉及商品包装和快递包装的，是否参考《商品包装政府采购需求标准（试行）》、《快递包装政府采购需求标准（试行）》明确产品及相关快递服务的具体包装要求：</w:t>
      </w:r>
    </w:p>
    <w:p w14:paraId="0985C593">
      <w:pPr>
        <w:spacing w:line="400" w:lineRule="exact"/>
        <w:ind w:firstLine="8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       否      不涉及</w:t>
      </w:r>
    </w:p>
    <w:p w14:paraId="2AB28740">
      <w:pPr>
        <w:numPr>
          <w:ilvl w:val="0"/>
          <w:numId w:val="5"/>
        </w:num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合同金额</w:t>
      </w:r>
    </w:p>
    <w:p w14:paraId="6DA1D10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（1）合同金额小写：</w:t>
      </w:r>
      <w:r>
        <w:rPr>
          <w:rFonts w:hint="eastAsia" w:ascii="宋体" w:hAnsi="宋体" w:cs="宋体"/>
          <w:color w:val="000000" w:themeColor="text1"/>
          <w:szCs w:val="21"/>
          <w:highlight w:val="none"/>
          <w:u w:val="single"/>
          <w14:textFill>
            <w14:solidFill>
              <w14:schemeClr w14:val="tx1"/>
            </w14:solidFill>
          </w14:textFill>
        </w:rPr>
        <w:t xml:space="preserve">                           </w:t>
      </w:r>
    </w:p>
    <w:p w14:paraId="134EC399">
      <w:pPr>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大写：</w:t>
      </w:r>
      <w:r>
        <w:rPr>
          <w:rFonts w:hint="eastAsia" w:ascii="宋体" w:hAnsi="宋体" w:cs="宋体"/>
          <w:color w:val="000000" w:themeColor="text1"/>
          <w:szCs w:val="21"/>
          <w:highlight w:val="none"/>
          <w:u w:val="single"/>
          <w14:textFill>
            <w14:solidFill>
              <w14:schemeClr w14:val="tx1"/>
            </w14:solidFill>
          </w14:textFill>
        </w:rPr>
        <w:t xml:space="preserve">                           </w:t>
      </w:r>
    </w:p>
    <w:p w14:paraId="0C49C284">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分包金额（如有）小写：</w:t>
      </w:r>
      <w:r>
        <w:rPr>
          <w:rFonts w:hint="eastAsia" w:ascii="宋体" w:hAnsi="宋体" w:cs="宋体"/>
          <w:color w:val="000000" w:themeColor="text1"/>
          <w:szCs w:val="21"/>
          <w:highlight w:val="none"/>
          <w:u w:val="single"/>
          <w14:textFill>
            <w14:solidFill>
              <w14:schemeClr w14:val="tx1"/>
            </w14:solidFill>
          </w14:textFill>
        </w:rPr>
        <w:t xml:space="preserve">                   </w:t>
      </w:r>
    </w:p>
    <w:p w14:paraId="066412D6">
      <w:pPr>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大写：</w:t>
      </w:r>
      <w:r>
        <w:rPr>
          <w:rFonts w:hint="eastAsia" w:ascii="宋体" w:hAnsi="宋体" w:cs="宋体"/>
          <w:color w:val="000000" w:themeColor="text1"/>
          <w:szCs w:val="21"/>
          <w:highlight w:val="none"/>
          <w:u w:val="single"/>
          <w14:textFill>
            <w14:solidFill>
              <w14:schemeClr w14:val="tx1"/>
            </w14:solidFill>
          </w14:textFill>
        </w:rPr>
        <w:t xml:space="preserve">                       </w:t>
      </w:r>
    </w:p>
    <w:p w14:paraId="2812B108">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（注：固定单价合同应填写单价和最高限价）</w:t>
      </w:r>
    </w:p>
    <w:p w14:paraId="4A002707">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（2）合同定价方式（采用组合定价方式的，可以勾选多项）：</w:t>
      </w:r>
    </w:p>
    <w:p w14:paraId="04169D1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  固定总价 固定单价 固定费率 成本补偿 绩效激励 其他</w:t>
      </w:r>
      <w:r>
        <w:rPr>
          <w:rFonts w:hint="eastAsia" w:ascii="宋体" w:hAnsi="宋体" w:cs="宋体"/>
          <w:color w:val="000000" w:themeColor="text1"/>
          <w:szCs w:val="21"/>
          <w:highlight w:val="none"/>
          <w:u w:val="single"/>
          <w14:textFill>
            <w14:solidFill>
              <w14:schemeClr w14:val="tx1"/>
            </w14:solidFill>
          </w14:textFill>
        </w:rPr>
        <w:t xml:space="preserve">       </w:t>
      </w:r>
    </w:p>
    <w:p w14:paraId="24314CFA">
      <w:pPr>
        <w:pStyle w:val="239"/>
        <w:spacing w:line="400" w:lineRule="exact"/>
        <w:ind w:firstLine="440"/>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（3）付款方式（按项目实际勾选填写）：</w:t>
      </w:r>
    </w:p>
    <w:p w14:paraId="6D3B91D5">
      <w:pPr>
        <w:spacing w:line="400" w:lineRule="exact"/>
        <w:ind w:firstLine="66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全额付款：</w:t>
      </w:r>
      <w:r>
        <w:rPr>
          <w:rFonts w:hint="eastAsia" w:ascii="宋体" w:hAnsi="宋体" w:cs="宋体"/>
          <w:color w:val="000000" w:themeColor="text1"/>
          <w:szCs w:val="21"/>
          <w:highlight w:val="none"/>
          <w:u w:val="single"/>
          <w14:textFill>
            <w14:solidFill>
              <w14:schemeClr w14:val="tx1"/>
            </w14:solidFill>
          </w14:textFill>
        </w:rPr>
        <w:t xml:space="preserve">     （应明确一次性支付合同款项的条件）                    </w:t>
      </w:r>
    </w:p>
    <w:p w14:paraId="370260BF">
      <w:pPr>
        <w:spacing w:line="400" w:lineRule="exact"/>
        <w:ind w:firstLine="6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分期付款：</w:t>
      </w:r>
      <w:r>
        <w:rPr>
          <w:rFonts w:hint="eastAsia" w:ascii="宋体" w:hAnsi="宋体" w:cs="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s="宋体"/>
          <w:color w:val="000000" w:themeColor="text1"/>
          <w:szCs w:val="21"/>
          <w:highlight w:val="none"/>
          <w14:textFill>
            <w14:solidFill>
              <w14:schemeClr w14:val="tx1"/>
            </w14:solidFill>
          </w14:textFill>
        </w:rPr>
        <w:t>，其中涉及预付款的：</w:t>
      </w:r>
      <w:r>
        <w:rPr>
          <w:rFonts w:hint="eastAsia" w:ascii="宋体" w:hAnsi="宋体" w:cs="宋体"/>
          <w:color w:val="000000" w:themeColor="text1"/>
          <w:szCs w:val="21"/>
          <w:highlight w:val="none"/>
          <w:u w:val="single"/>
          <w14:textFill>
            <w14:solidFill>
              <w14:schemeClr w14:val="tx1"/>
            </w14:solidFill>
          </w14:textFill>
        </w:rPr>
        <w:t xml:space="preserve"> （应明确预付款的支付比例和支付条件） </w:t>
      </w:r>
    </w:p>
    <w:p w14:paraId="10388121">
      <w:pPr>
        <w:spacing w:line="400" w:lineRule="exact"/>
        <w:ind w:firstLine="66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成本补偿：</w:t>
      </w:r>
      <w:r>
        <w:rPr>
          <w:rFonts w:hint="eastAsia" w:ascii="宋体" w:hAnsi="宋体" w:cs="宋体"/>
          <w:color w:val="000000" w:themeColor="text1"/>
          <w:szCs w:val="21"/>
          <w:highlight w:val="none"/>
          <w:u w:val="single"/>
          <w14:textFill>
            <w14:solidFill>
              <w14:schemeClr w14:val="tx1"/>
            </w14:solidFill>
          </w14:textFill>
        </w:rPr>
        <w:t xml:space="preserve">      （应明确按照成本补偿方式的支付方式和支付条件）   </w:t>
      </w:r>
    </w:p>
    <w:p w14:paraId="0DEEBF31">
      <w:pPr>
        <w:spacing w:line="400" w:lineRule="exact"/>
        <w:ind w:firstLine="66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绩效激励：</w:t>
      </w:r>
      <w:r>
        <w:rPr>
          <w:rFonts w:hint="eastAsia" w:ascii="宋体" w:hAnsi="宋体" w:cs="宋体"/>
          <w:color w:val="000000" w:themeColor="text1"/>
          <w:szCs w:val="21"/>
          <w:highlight w:val="none"/>
          <w:u w:val="single"/>
          <w14:textFill>
            <w14:solidFill>
              <w14:schemeClr w14:val="tx1"/>
            </w14:solidFill>
          </w14:textFill>
        </w:rPr>
        <w:t xml:space="preserve">      （应明确按照绩效激励方式的支付方式和支付条件）   </w:t>
      </w:r>
    </w:p>
    <w:p w14:paraId="0A64F023">
      <w:pPr>
        <w:numPr>
          <w:ilvl w:val="0"/>
          <w:numId w:val="5"/>
        </w:numPr>
        <w:spacing w:line="400" w:lineRule="exact"/>
        <w:ind w:firstLine="44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合同履行</w:t>
      </w:r>
    </w:p>
    <w:p w14:paraId="08C1BAA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FDD2E54">
      <w:pPr>
        <w:spacing w:line="400" w:lineRule="exact"/>
        <w:ind w:firstLine="44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（2）履约地点</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p>
    <w:p w14:paraId="63F8FEB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（3）履约担保：</w:t>
      </w:r>
      <w:r>
        <w:rPr>
          <w:rFonts w:hint="eastAsia" w:ascii="宋体" w:hAnsi="宋体" w:cs="宋体"/>
          <w:color w:val="000000" w:themeColor="text1"/>
          <w:highlight w:val="none"/>
          <w14:textFill>
            <w14:solidFill>
              <w14:schemeClr w14:val="tx1"/>
            </w14:solidFill>
          </w14:textFill>
        </w:rPr>
        <w:t>是否收取履约保证金：</w:t>
      </w:r>
      <w:r>
        <w:rPr>
          <w:rFonts w:hint="eastAsia" w:ascii="宋体" w:hAnsi="宋体" w:cs="宋体"/>
          <w:color w:val="000000" w:themeColor="text1"/>
          <w:szCs w:val="21"/>
          <w:highlight w:val="none"/>
          <w14:textFill>
            <w14:solidFill>
              <w14:schemeClr w14:val="tx1"/>
            </w14:solidFill>
          </w14:textFill>
        </w:rPr>
        <w:t>是    </w:t>
      </w:r>
    </w:p>
    <w:p w14:paraId="38A00193">
      <w:pPr>
        <w:pStyle w:val="236"/>
        <w:rPr>
          <w:rFonts w:ascii="宋体" w:hAnsi="宋体" w:cs="宋体" w:eastAsiaTheme="minorHAnsi"/>
          <w:color w:val="000000" w:themeColor="text1"/>
          <w:szCs w:val="2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rPr>
          <w:rFonts w:ascii="宋体" w:hAnsi="宋体" w:cs="宋体" w:eastAsiaTheme="minorHAnsi"/>
          <w:color w:val="000000" w:themeColor="text1"/>
          <w:szCs w:val="22"/>
          <w:highlight w:val="none"/>
          <w14:textFill>
            <w14:solidFill>
              <w14:schemeClr w14:val="tx1"/>
            </w14:solidFill>
          </w14:textFill>
        </w:rPr>
        <w:t xml:space="preserve">  收取履约保证金形式：   </w:t>
      </w:r>
      <w:r>
        <w:rPr>
          <w:rFonts w:hint="eastAsia" w:ascii="宋体" w:hAnsi="宋体" w:cs="宋体" w:eastAsiaTheme="minorHAnsi"/>
          <w:color w:val="000000" w:themeColor="text1"/>
          <w:szCs w:val="22"/>
          <w:highlight w:val="none"/>
          <w14:textFill>
            <w14:solidFill>
              <w14:schemeClr w14:val="tx1"/>
            </w14:solidFill>
          </w14:textFill>
        </w:rPr>
        <w:t>履约保</w:t>
      </w:r>
      <w:r>
        <w:rPr>
          <w:rFonts w:hint="eastAsia" w:ascii="宋体" w:hAnsi="宋体" w:cs="宋体" w:eastAsiaTheme="minorEastAsia"/>
          <w:color w:val="000000" w:themeColor="text1"/>
          <w:szCs w:val="22"/>
          <w:highlight w:val="none"/>
          <w14:textFill>
            <w14:solidFill>
              <w14:schemeClr w14:val="tx1"/>
            </w14:solidFill>
          </w14:textFill>
        </w:rPr>
        <w:t>证金</w:t>
      </w:r>
      <w:r>
        <w:rPr>
          <w:rFonts w:ascii="宋体" w:hAnsi="宋体" w:cs="宋体" w:eastAsiaTheme="minorHAnsi"/>
          <w:color w:val="000000" w:themeColor="text1"/>
          <w:szCs w:val="22"/>
          <w:highlight w:val="none"/>
          <w14:textFill>
            <w14:solidFill>
              <w14:schemeClr w14:val="tx1"/>
            </w14:solidFill>
          </w14:textFill>
        </w:rPr>
        <w:t xml:space="preserve">                           </w:t>
      </w:r>
    </w:p>
    <w:p w14:paraId="494B0774">
      <w:pPr>
        <w:pStyle w:val="236"/>
        <w:ind w:firstLine="420"/>
        <w:rPr>
          <w:rFonts w:ascii="宋体" w:hAnsi="宋体" w:cs="宋体" w:eastAsiaTheme="minorHAnsi"/>
          <w:color w:val="000000" w:themeColor="text1"/>
          <w:szCs w:val="22"/>
          <w:highlight w:val="none"/>
          <w14:textFill>
            <w14:solidFill>
              <w14:schemeClr w14:val="tx1"/>
            </w14:solidFill>
          </w14:textFill>
        </w:rPr>
      </w:pPr>
      <w:r>
        <w:rPr>
          <w:rFonts w:ascii="宋体" w:hAnsi="宋体" w:cs="宋体" w:eastAsiaTheme="minorHAnsi"/>
          <w:color w:val="000000" w:themeColor="text1"/>
          <w:szCs w:val="22"/>
          <w:highlight w:val="none"/>
          <w14:textFill>
            <w14:solidFill>
              <w14:schemeClr w14:val="tx1"/>
            </w14:solidFill>
          </w14:textFill>
        </w:rPr>
        <w:t xml:space="preserve">    收取履约保证金金额：   </w:t>
      </w:r>
      <w:r>
        <w:rPr>
          <w:rFonts w:hint="eastAsia" w:ascii="宋体" w:hAnsi="宋体" w:cs="宋体" w:eastAsiaTheme="minorHAnsi"/>
          <w:color w:val="000000" w:themeColor="text1"/>
          <w:szCs w:val="22"/>
          <w:highlight w:val="none"/>
          <w14:textFill>
            <w14:solidFill>
              <w14:schemeClr w14:val="tx1"/>
            </w14:solidFill>
          </w14:textFill>
        </w:rPr>
        <w:t>中标合同价的</w:t>
      </w:r>
      <w:r>
        <w:rPr>
          <w:rFonts w:ascii="宋体" w:hAnsi="宋体" w:cs="宋体" w:eastAsiaTheme="minorHAnsi"/>
          <w:color w:val="000000" w:themeColor="text1"/>
          <w:szCs w:val="22"/>
          <w:highlight w:val="none"/>
          <w14:textFill>
            <w14:solidFill>
              <w14:schemeClr w14:val="tx1"/>
            </w14:solidFill>
          </w14:textFill>
        </w:rPr>
        <w:t xml:space="preserve">5%                         </w:t>
      </w:r>
    </w:p>
    <w:p w14:paraId="3CEA5AB9">
      <w:pPr>
        <w:spacing w:line="400" w:lineRule="exact"/>
        <w:ind w:firstLine="44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履约担保期限：       </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项目验收合格</w:t>
      </w:r>
      <w:r>
        <w:rPr>
          <w:rFonts w:hint="eastAsia" w:ascii="宋体" w:hAnsi="宋体" w:cs="宋体" w:eastAsiaTheme="minorEastAsia"/>
          <w:color w:val="000000" w:themeColor="text1"/>
          <w:sz w:val="24"/>
          <w:highlight w:val="none"/>
          <w14:textFill>
            <w14:solidFill>
              <w14:schemeClr w14:val="tx1"/>
            </w14:solidFill>
          </w14:textFill>
        </w:rPr>
        <w:t>无质量问题后，采购人在1</w:t>
      </w:r>
      <w:r>
        <w:rPr>
          <w:rFonts w:ascii="宋体" w:hAnsi="宋体" w:cs="宋体" w:eastAsiaTheme="minorEastAsia"/>
          <w:color w:val="000000" w:themeColor="text1"/>
          <w:sz w:val="24"/>
          <w:highlight w:val="none"/>
          <w14:textFill>
            <w14:solidFill>
              <w14:schemeClr w14:val="tx1"/>
            </w14:solidFill>
          </w14:textFill>
        </w:rPr>
        <w:t>5</w:t>
      </w:r>
      <w:r>
        <w:rPr>
          <w:rFonts w:hint="eastAsia" w:ascii="宋体" w:hAnsi="宋体" w:cs="宋体" w:eastAsiaTheme="minorEastAsia"/>
          <w:color w:val="000000" w:themeColor="text1"/>
          <w:sz w:val="24"/>
          <w:highlight w:val="none"/>
          <w14:textFill>
            <w14:solidFill>
              <w14:schemeClr w14:val="tx1"/>
            </w14:solidFill>
          </w14:textFill>
        </w:rPr>
        <w:t>个工作日内全额退还</w:t>
      </w:r>
      <w:r>
        <w:rPr>
          <w:rFonts w:hint="eastAsia" w:ascii="宋体" w:hAnsi="宋体" w:cs="宋体"/>
          <w:bCs/>
          <w:color w:val="000000" w:themeColor="text1"/>
          <w:szCs w:val="21"/>
          <w:highlight w:val="none"/>
          <w:u w:val="single"/>
          <w14:textFill>
            <w14:solidFill>
              <w14:schemeClr w14:val="tx1"/>
            </w14:solidFill>
          </w14:textFill>
        </w:rPr>
        <w:t xml:space="preserve">                  </w:t>
      </w:r>
    </w:p>
    <w:p w14:paraId="6A104C25">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p>
    <w:p w14:paraId="1A4A7B6A">
      <w:pPr>
        <w:spacing w:line="400" w:lineRule="exact"/>
        <w:ind w:firstLine="44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p>
    <w:p w14:paraId="5C92A534">
      <w:pPr>
        <w:numPr>
          <w:ilvl w:val="0"/>
          <w:numId w:val="5"/>
        </w:num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合同验收</w:t>
      </w:r>
    </w:p>
    <w:p w14:paraId="66F699F3">
      <w:pPr>
        <w:numPr>
          <w:ilvl w:val="0"/>
          <w:numId w:val="6"/>
        </w:num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验收组织方式：</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自行组织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委托第三方组织</w:t>
      </w:r>
    </w:p>
    <w:p w14:paraId="747A55B7">
      <w:pP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验收主体：</w:t>
      </w:r>
      <w:r>
        <w:rPr>
          <w:rFonts w:hint="eastAsia" w:ascii="宋体" w:hAnsi="宋体" w:cs="宋体"/>
          <w:bCs/>
          <w:color w:val="000000" w:themeColor="text1"/>
          <w:szCs w:val="21"/>
          <w:highlight w:val="none"/>
          <w:u w:val="single"/>
          <w14:textFill>
            <w14:solidFill>
              <w14:schemeClr w14:val="tx1"/>
            </w14:solidFill>
          </w14:textFill>
        </w:rPr>
        <w:t xml:space="preserve">                  </w:t>
      </w:r>
    </w:p>
    <w:p w14:paraId="76B2D093">
      <w:pP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是否邀请本项目的其他供应商参加验收：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是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5AEA9F9E">
      <w:pPr>
        <w:spacing w:line="400" w:lineRule="exact"/>
        <w:ind w:firstLine="8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是否邀请专家参加验收：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是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66DE7490">
      <w:pPr>
        <w:spacing w:line="400" w:lineRule="exact"/>
        <w:ind w:firstLine="8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是否邀请服务对象参加验收：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是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1CB7C003">
      <w:pPr>
        <w:spacing w:line="400" w:lineRule="exact"/>
        <w:ind w:firstLine="8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是否邀请第三方检测机构参加验收：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是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30D1E38D">
      <w:pPr>
        <w:spacing w:line="400" w:lineRule="exact"/>
        <w:ind w:firstLine="8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是否进行抽查检测：</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是，抽查比例：</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0BB4F948">
      <w:pPr>
        <w:spacing w:line="400" w:lineRule="exact"/>
        <w:ind w:firstLine="88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是否存在破坏性检测：</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是，</w:t>
      </w:r>
      <w:r>
        <w:rPr>
          <w:rFonts w:hint="eastAsia" w:ascii="宋体" w:hAnsi="宋体" w:cs="宋体"/>
          <w:bCs/>
          <w:color w:val="000000" w:themeColor="text1"/>
          <w:szCs w:val="21"/>
          <w:highlight w:val="none"/>
          <w:u w:val="single"/>
          <w14:textFill>
            <w14:solidFill>
              <w14:schemeClr w14:val="tx1"/>
            </w14:solidFill>
          </w14:textFill>
        </w:rPr>
        <w:t>（应明确对被破坏的检测产品的处理方式）</w:t>
      </w:r>
    </w:p>
    <w:p w14:paraId="4198278B">
      <w:pPr>
        <w:spacing w:line="400" w:lineRule="exact"/>
        <w:ind w:firstLine="8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48A27C8A">
      <w:pPr>
        <w:spacing w:line="400" w:lineRule="exact"/>
        <w:ind w:firstLine="88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验收组织的其他事项：</w:t>
      </w:r>
      <w:r>
        <w:rPr>
          <w:rFonts w:hint="eastAsia" w:ascii="宋体" w:hAnsi="宋体" w:cs="宋体"/>
          <w:bCs/>
          <w:color w:val="000000" w:themeColor="text1"/>
          <w:szCs w:val="21"/>
          <w:highlight w:val="none"/>
          <w:u w:val="single"/>
          <w14:textFill>
            <w14:solidFill>
              <w14:schemeClr w14:val="tx1"/>
            </w14:solidFill>
          </w14:textFill>
        </w:rPr>
        <w:t xml:space="preserve">                </w:t>
      </w:r>
    </w:p>
    <w:p w14:paraId="11BC9E3D">
      <w:pPr>
        <w:spacing w:line="400" w:lineRule="exact"/>
        <w:ind w:firstLine="44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（2）履约验收时间：</w:t>
      </w:r>
      <w:r>
        <w:rPr>
          <w:rFonts w:hint="eastAsia" w:ascii="宋体" w:hAnsi="宋体" w:cs="宋体"/>
          <w:bCs/>
          <w:color w:val="000000" w:themeColor="text1"/>
          <w:szCs w:val="21"/>
          <w:highlight w:val="none"/>
          <w:u w:val="single"/>
          <w14:textFill>
            <w14:solidFill>
              <w14:schemeClr w14:val="tx1"/>
            </w14:solidFill>
          </w14:textFill>
        </w:rPr>
        <w:t xml:space="preserve">（计划于何时验收/供应商提出验收申请之日起   日内组织验收） </w:t>
      </w:r>
    </w:p>
    <w:p w14:paraId="685DE184">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（3）履约验收方式：</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一次性验收         </w:t>
      </w:r>
    </w:p>
    <w:p w14:paraId="76FFF5AC">
      <w:pP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分期/分项验收：</w:t>
      </w:r>
      <w:r>
        <w:rPr>
          <w:rFonts w:hint="eastAsia" w:ascii="宋体" w:hAnsi="宋体" w:cs="宋体"/>
          <w:bCs/>
          <w:color w:val="000000" w:themeColor="text1"/>
          <w:szCs w:val="21"/>
          <w:highlight w:val="none"/>
          <w:u w:val="single"/>
          <w14:textFill>
            <w14:solidFill>
              <w14:schemeClr w14:val="tx1"/>
            </w14:solidFill>
          </w14:textFill>
        </w:rPr>
        <w:t xml:space="preserve"> （应明确分期</w:t>
      </w:r>
      <w:r>
        <w:rPr>
          <w:rFonts w:hint="eastAsia" w:ascii="宋体" w:hAnsi="宋体" w:cs="宋体"/>
          <w:bCs/>
          <w:color w:val="000000" w:themeColor="text1"/>
          <w:szCs w:val="21"/>
          <w:highlight w:val="none"/>
          <w:u w:val="single"/>
          <w:lang w:val="en"/>
          <w14:textFill>
            <w14:solidFill>
              <w14:schemeClr w14:val="tx1"/>
            </w14:solidFill>
          </w14:textFill>
        </w:rPr>
        <w:t>/分项验收的工作安排</w:t>
      </w:r>
      <w:r>
        <w:rPr>
          <w:rFonts w:hint="eastAsia" w:ascii="宋体" w:hAnsi="宋体" w:cs="宋体"/>
          <w:bCs/>
          <w:color w:val="000000" w:themeColor="text1"/>
          <w:szCs w:val="21"/>
          <w:highlight w:val="none"/>
          <w:u w:val="single"/>
          <w14:textFill>
            <w14:solidFill>
              <w14:schemeClr w14:val="tx1"/>
            </w14:solidFill>
          </w14:textFill>
        </w:rPr>
        <w:t xml:space="preserve">）  </w:t>
      </w:r>
    </w:p>
    <w:p w14:paraId="66514DEA">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（4）履约验收程序：</w:t>
      </w:r>
      <w:r>
        <w:rPr>
          <w:rFonts w:hint="eastAsia" w:ascii="宋体" w:hAnsi="宋体" w:cs="宋体"/>
          <w:bCs/>
          <w:color w:val="000000" w:themeColor="text1"/>
          <w:szCs w:val="21"/>
          <w:highlight w:val="none"/>
          <w:u w:val="single"/>
          <w14:textFill>
            <w14:solidFill>
              <w14:schemeClr w14:val="tx1"/>
            </w14:solidFill>
          </w14:textFill>
        </w:rPr>
        <w:t xml:space="preserve">                                         </w:t>
      </w:r>
    </w:p>
    <w:p w14:paraId="43BE0961">
      <w:pPr>
        <w:spacing w:line="400" w:lineRule="exact"/>
        <w:ind w:firstLine="44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（5）履约验收的内容：</w:t>
      </w:r>
      <w:r>
        <w:rPr>
          <w:rFonts w:hint="eastAsia" w:ascii="宋体" w:hAnsi="宋体" w:cs="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p>
    <w:p w14:paraId="2922EC91">
      <w:pPr>
        <w:spacing w:line="400" w:lineRule="exact"/>
        <w:ind w:firstLine="44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（6）履约验收标准：</w:t>
      </w:r>
      <w:r>
        <w:rPr>
          <w:rFonts w:hint="eastAsia" w:ascii="宋体" w:hAnsi="宋体" w:cs="宋体"/>
          <w:bCs/>
          <w:color w:val="000000" w:themeColor="text1"/>
          <w:szCs w:val="21"/>
          <w:highlight w:val="none"/>
          <w:u w:val="single"/>
          <w14:textFill>
            <w14:solidFill>
              <w14:schemeClr w14:val="tx1"/>
            </w14:solidFill>
          </w14:textFill>
        </w:rPr>
        <w:t xml:space="preserve">                                         </w:t>
      </w:r>
    </w:p>
    <w:p w14:paraId="17DC837D">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（7）是否以采购活动中供应商提供的样品作为参考：</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bCs/>
          <w:color w:val="000000" w:themeColor="text1"/>
          <w:sz w:val="21"/>
          <w:highlight w:val="none"/>
          <w14:textFill>
            <w14:solidFill>
              <w14:schemeClr w14:val="tx1"/>
            </w14:solidFill>
          </w14:textFill>
        </w:rPr>
        <w:t>否</w:t>
      </w:r>
    </w:p>
    <w:p w14:paraId="47FD46EB">
      <w:pPr>
        <w:spacing w:line="400" w:lineRule="exact"/>
        <w:ind w:firstLine="44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p>
    <w:p w14:paraId="4E957306">
      <w:p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本项目将根据政府采购法及相关法规，对供应商进行履约验收， 确认验收合格的，将出具《政府采购履约验收书》。《政府采购履约验收书》、合同是申请支付政府采购合同价款的必备资料。具体见货物类项目履约验收方案内容。</w:t>
      </w:r>
    </w:p>
    <w:p w14:paraId="6EA38D21">
      <w:pPr>
        <w:numPr>
          <w:ilvl w:val="0"/>
          <w:numId w:val="5"/>
        </w:num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组成合同的文件</w:t>
      </w:r>
    </w:p>
    <w:p w14:paraId="0538CA6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本协议书与下列文件一起构成合同文件，如下述文件之间有任何抵触、矛盾或歧义，应按以下顺序解释：</w:t>
      </w:r>
    </w:p>
    <w:p w14:paraId="4E326186">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（1）政府采购合同协议书及其变更、补充协议</w:t>
      </w:r>
    </w:p>
    <w:p w14:paraId="324BAF3C">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（2）政府采购合同专用条款</w:t>
      </w:r>
    </w:p>
    <w:p w14:paraId="2817FA3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（3）政府采购合同通用条款</w:t>
      </w:r>
    </w:p>
    <w:p w14:paraId="1DE3216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（4）中标（成交）通知书</w:t>
      </w:r>
    </w:p>
    <w:p w14:paraId="79AC8D4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（5）投标（响应）文件</w:t>
      </w:r>
    </w:p>
    <w:p w14:paraId="20ABA629">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（6）采购文件</w:t>
      </w:r>
    </w:p>
    <w:p w14:paraId="6CAB066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（7）有关技术文件，图纸</w:t>
      </w:r>
    </w:p>
    <w:p w14:paraId="3630924B">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（8）国家法律、行政法规和规章制度规定或合同约定的作为合同组成部分的其他文件</w:t>
      </w:r>
    </w:p>
    <w:p w14:paraId="4E8F0F31">
      <w:pPr>
        <w:numPr>
          <w:ilvl w:val="0"/>
          <w:numId w:val="5"/>
        </w:num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合同生效</w:t>
      </w:r>
    </w:p>
    <w:p w14:paraId="25AC06A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本合同自</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生效。</w:t>
      </w:r>
    </w:p>
    <w:p w14:paraId="77B0C47E">
      <w:pPr>
        <w:numPr>
          <w:ilvl w:val="0"/>
          <w:numId w:val="5"/>
        </w:numPr>
        <w:spacing w:line="400" w:lineRule="exact"/>
        <w:ind w:firstLine="44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合同份数</w:t>
      </w:r>
    </w:p>
    <w:p w14:paraId="7E9FBC0F">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本合同一式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份，甲方执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份，乙方执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份，均具有同等法律效力。</w:t>
      </w:r>
    </w:p>
    <w:p w14:paraId="74235B6B">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合同订立时间：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5D0A44E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合同订立地点：</w:t>
      </w:r>
      <w:r>
        <w:rPr>
          <w:rFonts w:hint="eastAsia" w:ascii="宋体" w:hAnsi="宋体" w:cs="宋体"/>
          <w:color w:val="000000" w:themeColor="text1"/>
          <w:szCs w:val="21"/>
          <w:highlight w:val="none"/>
          <w:u w:val="single"/>
          <w14:textFill>
            <w14:solidFill>
              <w14:schemeClr w14:val="tx1"/>
            </w14:solidFill>
          </w14:textFill>
        </w:rPr>
        <w:t xml:space="preserve">                           </w:t>
      </w:r>
    </w:p>
    <w:p w14:paraId="6EFB7C37">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附件：具体标的及其技术要求和商务要求、联合协议、分包意向协议等。</w:t>
      </w:r>
    </w:p>
    <w:p w14:paraId="50EA2F0F">
      <w:pPr>
        <w:pStyle w:val="239"/>
        <w:spacing w:line="400" w:lineRule="exact"/>
        <w:ind w:firstLine="440"/>
        <w:rPr>
          <w:rFonts w:ascii="宋体" w:hAnsi="宋体" w:eastAsia="宋体" w:cs="宋体"/>
          <w:color w:val="000000" w:themeColor="text1"/>
          <w:highlight w:val="none"/>
          <w:lang w:eastAsia="zh-CN"/>
          <w14:textFill>
            <w14:solidFill>
              <w14:schemeClr w14:val="tx1"/>
            </w14:solidFill>
          </w14:textFill>
        </w:rPr>
      </w:pPr>
    </w:p>
    <w:p w14:paraId="2F62DF48">
      <w:pPr>
        <w:rPr>
          <w:rFonts w:ascii="宋体" w:hAnsi="宋体" w:cs="宋体"/>
          <w:color w:val="000000" w:themeColor="text1"/>
          <w:highlight w:val="none"/>
          <w14:textFill>
            <w14:solidFill>
              <w14:schemeClr w14:val="tx1"/>
            </w14:solidFill>
          </w14:textFill>
        </w:rPr>
      </w:pPr>
    </w:p>
    <w:p w14:paraId="3ACEE90E">
      <w:pPr>
        <w:pStyle w:val="239"/>
        <w:ind w:firstLine="440"/>
        <w:rPr>
          <w:rFonts w:ascii="宋体" w:hAnsi="宋体" w:eastAsia="宋体" w:cs="宋体"/>
          <w:color w:val="000000" w:themeColor="text1"/>
          <w:highlight w:val="none"/>
          <w:lang w:eastAsia="zh-CN"/>
          <w14:textFill>
            <w14:solidFill>
              <w14:schemeClr w14:val="tx1"/>
            </w14:solidFill>
          </w14:textFill>
        </w:rPr>
      </w:pPr>
    </w:p>
    <w:tbl>
      <w:tblPr>
        <w:tblStyle w:val="38"/>
        <w:tblW w:w="4927" w:type="pct"/>
        <w:tblInd w:w="-33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060"/>
        <w:gridCol w:w="3240"/>
        <w:gridCol w:w="1105"/>
        <w:gridCol w:w="2993"/>
      </w:tblGrid>
      <w:tr w14:paraId="1644472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832" w:type="dxa"/>
            <w:gridSpan w:val="2"/>
            <w:vAlign w:val="center"/>
          </w:tcPr>
          <w:p w14:paraId="107BCA65">
            <w:pPr>
              <w:spacing w:line="3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甲方（采购人、受采购人委托签订合同的单位或采购文件约定的合同甲方）</w:t>
            </w:r>
          </w:p>
        </w:tc>
        <w:tc>
          <w:tcPr>
            <w:tcW w:w="4599" w:type="dxa"/>
            <w:gridSpan w:val="2"/>
            <w:vAlign w:val="center"/>
          </w:tcPr>
          <w:p w14:paraId="5AADE086">
            <w:pPr>
              <w:spacing w:line="3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乙方（供应商）</w:t>
            </w:r>
          </w:p>
        </w:tc>
      </w:tr>
      <w:tr w14:paraId="350C72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vAlign w:val="center"/>
          </w:tcPr>
          <w:p w14:paraId="6AC6610C">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单位名称（公章或合同章）</w:t>
            </w:r>
          </w:p>
        </w:tc>
        <w:tc>
          <w:tcPr>
            <w:tcW w:w="1436" w:type="dxa"/>
            <w:vAlign w:val="center"/>
          </w:tcPr>
          <w:p w14:paraId="4E6BEB1E">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227BA223">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单位名称（公章或合同章）</w:t>
            </w:r>
          </w:p>
        </w:tc>
        <w:tc>
          <w:tcPr>
            <w:tcW w:w="1259" w:type="dxa"/>
            <w:vAlign w:val="center"/>
          </w:tcPr>
          <w:p w14:paraId="326310CB">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6889BC6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vAlign w:val="center"/>
          </w:tcPr>
          <w:p w14:paraId="0AEC4F4B">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p>
          <w:p w14:paraId="7B0B08E0">
            <w:pPr>
              <w:spacing w:line="300" w:lineRule="exact"/>
              <w:ind w:firstLine="10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或其委托代理人（签章）</w:t>
            </w:r>
          </w:p>
        </w:tc>
        <w:tc>
          <w:tcPr>
            <w:tcW w:w="1436" w:type="dxa"/>
            <w:vMerge w:val="restart"/>
            <w:vAlign w:val="center"/>
          </w:tcPr>
          <w:p w14:paraId="4891AFD4">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200A5C2C">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p>
          <w:p w14:paraId="56848060">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或其委托代理人（签章）</w:t>
            </w:r>
          </w:p>
        </w:tc>
        <w:tc>
          <w:tcPr>
            <w:tcW w:w="1259" w:type="dxa"/>
            <w:vAlign w:val="center"/>
          </w:tcPr>
          <w:p w14:paraId="288AF293">
            <w:pPr>
              <w:spacing w:line="300" w:lineRule="exact"/>
              <w:jc w:val="center"/>
              <w:rPr>
                <w:rFonts w:ascii="宋体" w:hAnsi="宋体" w:cs="宋体"/>
                <w:color w:val="000000" w:themeColor="text1"/>
                <w:szCs w:val="21"/>
                <w:highlight w:val="none"/>
                <w14:textFill>
                  <w14:solidFill>
                    <w14:schemeClr w14:val="tx1"/>
                  </w14:solidFill>
                </w14:textFill>
              </w:rPr>
            </w:pPr>
          </w:p>
        </w:tc>
      </w:tr>
      <w:tr w14:paraId="5DC5D43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vAlign w:val="center"/>
          </w:tcPr>
          <w:p w14:paraId="334F58DF">
            <w:pPr>
              <w:spacing w:line="300" w:lineRule="exact"/>
              <w:jc w:val="center"/>
              <w:rPr>
                <w:rFonts w:ascii="宋体" w:hAnsi="宋体" w:cs="宋体"/>
                <w:color w:val="000000" w:themeColor="text1"/>
                <w:szCs w:val="21"/>
                <w:highlight w:val="none"/>
                <w14:textFill>
                  <w14:solidFill>
                    <w14:schemeClr w14:val="tx1"/>
                  </w14:solidFill>
                </w14:textFill>
              </w:rPr>
            </w:pPr>
          </w:p>
        </w:tc>
        <w:tc>
          <w:tcPr>
            <w:tcW w:w="1436" w:type="dxa"/>
            <w:vMerge w:val="continue"/>
            <w:vAlign w:val="center"/>
          </w:tcPr>
          <w:p w14:paraId="28353841">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60C355B8">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拥有者性别</w:t>
            </w:r>
          </w:p>
        </w:tc>
        <w:tc>
          <w:tcPr>
            <w:tcW w:w="1259" w:type="dxa"/>
            <w:vAlign w:val="center"/>
          </w:tcPr>
          <w:p w14:paraId="6B3A5B38">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6D9B454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21822BA9">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住  所</w:t>
            </w:r>
          </w:p>
        </w:tc>
        <w:tc>
          <w:tcPr>
            <w:tcW w:w="1436" w:type="dxa"/>
            <w:vAlign w:val="center"/>
          </w:tcPr>
          <w:p w14:paraId="50A42763">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0D5BA018">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住  所</w:t>
            </w:r>
          </w:p>
        </w:tc>
        <w:tc>
          <w:tcPr>
            <w:tcW w:w="1259" w:type="dxa"/>
            <w:vAlign w:val="center"/>
          </w:tcPr>
          <w:p w14:paraId="20BF0257">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49FEBE9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3663DDC8">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 系 人</w:t>
            </w:r>
          </w:p>
        </w:tc>
        <w:tc>
          <w:tcPr>
            <w:tcW w:w="1436" w:type="dxa"/>
            <w:vAlign w:val="center"/>
          </w:tcPr>
          <w:p w14:paraId="67853FE8">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356CECFD">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 系 人</w:t>
            </w:r>
          </w:p>
        </w:tc>
        <w:tc>
          <w:tcPr>
            <w:tcW w:w="1259" w:type="dxa"/>
            <w:vAlign w:val="center"/>
          </w:tcPr>
          <w:p w14:paraId="578A2B96">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066925C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7A5F3959">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p>
        </w:tc>
        <w:tc>
          <w:tcPr>
            <w:tcW w:w="1436" w:type="dxa"/>
            <w:vAlign w:val="center"/>
          </w:tcPr>
          <w:p w14:paraId="500283D2">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3AD63AAF">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p>
        </w:tc>
        <w:tc>
          <w:tcPr>
            <w:tcW w:w="1259" w:type="dxa"/>
            <w:vAlign w:val="center"/>
          </w:tcPr>
          <w:p w14:paraId="6EF25A67">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58A0BB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43804864">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p>
        </w:tc>
        <w:tc>
          <w:tcPr>
            <w:tcW w:w="1436" w:type="dxa"/>
            <w:vAlign w:val="center"/>
          </w:tcPr>
          <w:p w14:paraId="606E7ECE">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4621AC17">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p>
        </w:tc>
        <w:tc>
          <w:tcPr>
            <w:tcW w:w="1259" w:type="dxa"/>
            <w:vAlign w:val="center"/>
          </w:tcPr>
          <w:p w14:paraId="0EDE8127">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6EC73C8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5512DCEB">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tc>
        <w:tc>
          <w:tcPr>
            <w:tcW w:w="1436" w:type="dxa"/>
            <w:vAlign w:val="center"/>
          </w:tcPr>
          <w:p w14:paraId="184658A2">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63F90C6A">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tc>
        <w:tc>
          <w:tcPr>
            <w:tcW w:w="1259" w:type="dxa"/>
            <w:vAlign w:val="center"/>
          </w:tcPr>
          <w:p w14:paraId="55A1793E">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05E47F5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3E25E9DE">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电子邮箱</w:t>
            </w:r>
          </w:p>
        </w:tc>
        <w:tc>
          <w:tcPr>
            <w:tcW w:w="1436" w:type="dxa"/>
            <w:vAlign w:val="center"/>
          </w:tcPr>
          <w:p w14:paraId="76ECC975">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39E6372F">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电子邮箱</w:t>
            </w:r>
          </w:p>
        </w:tc>
        <w:tc>
          <w:tcPr>
            <w:tcW w:w="1259" w:type="dxa"/>
            <w:vAlign w:val="center"/>
          </w:tcPr>
          <w:p w14:paraId="62D0D8B2">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6A3F5AE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64C4E68C">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统一社会信用代码</w:t>
            </w:r>
          </w:p>
        </w:tc>
        <w:tc>
          <w:tcPr>
            <w:tcW w:w="1436" w:type="dxa"/>
            <w:vAlign w:val="center"/>
          </w:tcPr>
          <w:p w14:paraId="5E13E027">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4D5EC7F7">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统一社会信用代码</w:t>
            </w:r>
          </w:p>
        </w:tc>
        <w:tc>
          <w:tcPr>
            <w:tcW w:w="1259" w:type="dxa"/>
            <w:vAlign w:val="center"/>
          </w:tcPr>
          <w:p w14:paraId="41D5A142">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46B4EE3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60D5A6CB">
            <w:pPr>
              <w:spacing w:line="300" w:lineRule="exact"/>
              <w:jc w:val="center"/>
              <w:rPr>
                <w:rFonts w:ascii="宋体" w:hAnsi="宋体" w:cs="宋体"/>
                <w:color w:val="000000" w:themeColor="text1"/>
                <w:szCs w:val="21"/>
                <w:highlight w:val="none"/>
                <w14:textFill>
                  <w14:solidFill>
                    <w14:schemeClr w14:val="tx1"/>
                  </w14:solidFill>
                </w14:textFill>
              </w:rPr>
            </w:pPr>
          </w:p>
        </w:tc>
        <w:tc>
          <w:tcPr>
            <w:tcW w:w="1436" w:type="dxa"/>
            <w:vAlign w:val="center"/>
          </w:tcPr>
          <w:p w14:paraId="4C9EED80">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3C6D3361">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开户名称</w:t>
            </w:r>
          </w:p>
        </w:tc>
        <w:tc>
          <w:tcPr>
            <w:tcW w:w="1259" w:type="dxa"/>
            <w:vAlign w:val="center"/>
          </w:tcPr>
          <w:p w14:paraId="08967290">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73549F0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364C96B4">
            <w:pPr>
              <w:spacing w:line="300" w:lineRule="exact"/>
              <w:jc w:val="center"/>
              <w:rPr>
                <w:rFonts w:ascii="宋体" w:hAnsi="宋体" w:cs="宋体"/>
                <w:color w:val="000000" w:themeColor="text1"/>
                <w:szCs w:val="21"/>
                <w:highlight w:val="none"/>
                <w14:textFill>
                  <w14:solidFill>
                    <w14:schemeClr w14:val="tx1"/>
                  </w14:solidFill>
                </w14:textFill>
              </w:rPr>
            </w:pPr>
          </w:p>
        </w:tc>
        <w:tc>
          <w:tcPr>
            <w:tcW w:w="1436" w:type="dxa"/>
            <w:vAlign w:val="center"/>
          </w:tcPr>
          <w:p w14:paraId="1807C143">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71921B2E">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p>
        </w:tc>
        <w:tc>
          <w:tcPr>
            <w:tcW w:w="1259" w:type="dxa"/>
            <w:vAlign w:val="center"/>
          </w:tcPr>
          <w:p w14:paraId="3858D317">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428613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2ED22FFD">
            <w:pPr>
              <w:spacing w:line="300" w:lineRule="exact"/>
              <w:jc w:val="center"/>
              <w:rPr>
                <w:rFonts w:ascii="宋体" w:hAnsi="宋体" w:cs="宋体"/>
                <w:color w:val="000000" w:themeColor="text1"/>
                <w:szCs w:val="21"/>
                <w:highlight w:val="none"/>
                <w14:textFill>
                  <w14:solidFill>
                    <w14:schemeClr w14:val="tx1"/>
                  </w14:solidFill>
                </w14:textFill>
              </w:rPr>
            </w:pPr>
          </w:p>
        </w:tc>
        <w:tc>
          <w:tcPr>
            <w:tcW w:w="1436" w:type="dxa"/>
            <w:vAlign w:val="center"/>
          </w:tcPr>
          <w:p w14:paraId="712F80A1">
            <w:pPr>
              <w:spacing w:line="300" w:lineRule="exact"/>
              <w:jc w:val="center"/>
              <w:rPr>
                <w:rFonts w:ascii="宋体" w:hAnsi="宋体" w:cs="宋体"/>
                <w:color w:val="000000" w:themeColor="text1"/>
                <w:szCs w:val="21"/>
                <w:highlight w:val="none"/>
                <w14:textFill>
                  <w14:solidFill>
                    <w14:schemeClr w14:val="tx1"/>
                  </w14:solidFill>
                </w14:textFill>
              </w:rPr>
            </w:pPr>
          </w:p>
        </w:tc>
        <w:tc>
          <w:tcPr>
            <w:tcW w:w="1178" w:type="dxa"/>
            <w:vAlign w:val="center"/>
          </w:tcPr>
          <w:p w14:paraId="3A1544D9">
            <w:pPr>
              <w:spacing w:line="3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银行账号</w:t>
            </w:r>
          </w:p>
        </w:tc>
        <w:tc>
          <w:tcPr>
            <w:tcW w:w="1259" w:type="dxa"/>
            <w:vAlign w:val="center"/>
          </w:tcPr>
          <w:p w14:paraId="15F49114">
            <w:pPr>
              <w:spacing w:line="300" w:lineRule="exact"/>
              <w:jc w:val="center"/>
              <w:rPr>
                <w:rFonts w:ascii="宋体" w:hAnsi="宋体" w:cs="宋体"/>
                <w:color w:val="000000" w:themeColor="text1"/>
                <w:spacing w:val="20"/>
                <w:szCs w:val="21"/>
                <w:highlight w:val="none"/>
                <w14:textFill>
                  <w14:solidFill>
                    <w14:schemeClr w14:val="tx1"/>
                  </w14:solidFill>
                </w14:textFill>
              </w:rPr>
            </w:pPr>
          </w:p>
        </w:tc>
      </w:tr>
      <w:tr w14:paraId="47B9D6E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431" w:type="dxa"/>
            <w:gridSpan w:val="4"/>
            <w:vAlign w:val="center"/>
          </w:tcPr>
          <w:p w14:paraId="38275E56">
            <w:pPr>
              <w:pStyle w:val="221"/>
              <w:spacing w:before="120"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注：涉及联合体或其他合同主体的信息应按上表格式加列。</w:t>
            </w:r>
          </w:p>
        </w:tc>
      </w:tr>
    </w:tbl>
    <w:p w14:paraId="4491A916">
      <w:pPr>
        <w:pStyle w:val="213"/>
        <w:spacing w:line="400" w:lineRule="exact"/>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1"/>
          <w:szCs w:val="21"/>
          <w:highlight w:val="none"/>
          <w:u w:val="singl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第二节 政府采购合同通用条款</w:t>
      </w:r>
    </w:p>
    <w:p w14:paraId="2B7C1A72">
      <w:pPr>
        <w:tabs>
          <w:tab w:val="left" w:pos="8820"/>
          <w:tab w:val="left" w:pos="9345"/>
          <w:tab w:val="left" w:pos="9765"/>
        </w:tabs>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定义</w:t>
      </w:r>
    </w:p>
    <w:p w14:paraId="2FF9DFAC">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1.1合同当事人</w:t>
      </w:r>
    </w:p>
    <w:p w14:paraId="5E87523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（1）采购人（以下称甲方）是指使用财政性资金，通过政府采购方式向供应商购买货物及其相关服务的国家机关、事业单位、团体组织。</w:t>
      </w:r>
    </w:p>
    <w:p w14:paraId="6C87311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（2）供应商（以下称乙方）是指参加政府采购活动并且中标（成交），向采购人提供合同约定的货物及其相关服务的法人、非法人组织或者自然人。</w:t>
      </w:r>
    </w:p>
    <w:p w14:paraId="0E13536E">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s="宋体"/>
          <w:color w:val="000000" w:themeColor="text1"/>
          <w:szCs w:val="21"/>
          <w:highlight w:val="none"/>
          <w14:textFill>
            <w14:solidFill>
              <w14:schemeClr w14:val="tx1"/>
            </w14:solidFill>
          </w14:textFill>
        </w:rPr>
        <w:t>。</w:t>
      </w:r>
    </w:p>
    <w:p w14:paraId="0623FDBB">
      <w:pPr>
        <w:tabs>
          <w:tab w:val="left" w:pos="570"/>
          <w:tab w:val="left" w:pos="9240"/>
          <w:tab w:val="left" w:pos="9555"/>
        </w:tabs>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1.2本合同下列术语应解释为：</w:t>
      </w:r>
    </w:p>
    <w:p w14:paraId="5E866589">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s="宋体"/>
          <w:color w:val="000000" w:themeColor="text1"/>
          <w:szCs w:val="21"/>
          <w:highlight w:val="none"/>
          <w14:textFill>
            <w14:solidFill>
              <w14:schemeClr w14:val="tx1"/>
            </w14:solidFill>
          </w14:textFill>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C17545B">
      <w:pPr>
        <w:tabs>
          <w:tab w:val="left" w:pos="570"/>
          <w:tab w:val="left" w:pos="9240"/>
          <w:tab w:val="left" w:pos="9555"/>
        </w:tabs>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（2）“合同价款”系指根据本合同规定乙方在全面履行合同义务后甲方应支付给乙方的价款。</w:t>
      </w:r>
    </w:p>
    <w:p w14:paraId="143FF357">
      <w:pPr>
        <w:tabs>
          <w:tab w:val="left" w:pos="570"/>
          <w:tab w:val="left" w:pos="9240"/>
          <w:tab w:val="left" w:pos="9555"/>
        </w:tabs>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Cs w:val="21"/>
          <w:highlight w:val="none"/>
          <w:lang w:val="e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技术资料和材料等。</w:t>
      </w:r>
    </w:p>
    <w:p w14:paraId="2C12162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（4）“相关服务”系指根据合同规定，乙方应提供的与货物有关的技术、管理和</w:t>
      </w:r>
      <w:r>
        <w:rPr>
          <w:rFonts w:hint="eastAsia" w:ascii="宋体" w:hAnsi="宋体" w:cs="宋体"/>
          <w:color w:val="000000" w:themeColor="text1"/>
          <w:szCs w:val="21"/>
          <w:highlight w:val="none"/>
          <w:lang w:val="e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Cs w:val="21"/>
          <w:highlight w:val="none"/>
          <w:lang w:val="e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义务。</w:t>
      </w:r>
    </w:p>
    <w:p w14:paraId="2D42E9EF">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32386089">
      <w:pPr>
        <w:tabs>
          <w:tab w:val="left" w:pos="570"/>
          <w:tab w:val="left" w:pos="9240"/>
          <w:tab w:val="left" w:pos="9555"/>
        </w:tabs>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w:t>
      </w:r>
    </w:p>
    <w:p w14:paraId="05D0CCEC">
      <w:pPr>
        <w:tabs>
          <w:tab w:val="left" w:pos="570"/>
          <w:tab w:val="left" w:pos="9240"/>
          <w:tab w:val="left" w:pos="9555"/>
        </w:tabs>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（7）其他术语解释，见【</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w:t>
      </w:r>
    </w:p>
    <w:p w14:paraId="14509826">
      <w:pPr>
        <w:numPr>
          <w:ilvl w:val="0"/>
          <w:numId w:val="7"/>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合同标的及金额</w:t>
      </w:r>
    </w:p>
    <w:p w14:paraId="37D631F2">
      <w:pPr>
        <w:spacing w:line="400" w:lineRule="exact"/>
        <w:ind w:firstLine="440"/>
        <w:rPr>
          <w:rFonts w:ascii="宋体" w:hAnsi="宋体" w:cs="宋体"/>
          <w:b/>
          <w:bCs/>
          <w:i/>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s="宋体"/>
          <w:color w:val="000000" w:themeColor="text1"/>
          <w:szCs w:val="21"/>
          <w:highlight w:val="none"/>
          <w:lang w:val="en"/>
          <w14:textFill>
            <w14:solidFill>
              <w14:schemeClr w14:val="tx1"/>
            </w14:solidFill>
          </w14:textFill>
        </w:rPr>
        <w:t>其他</w:t>
      </w:r>
      <w:r>
        <w:rPr>
          <w:rFonts w:hint="eastAsia" w:ascii="宋体" w:hAnsi="宋体" w:cs="宋体"/>
          <w:color w:val="000000" w:themeColor="text1"/>
          <w:szCs w:val="21"/>
          <w:highlight w:val="none"/>
          <w14:textFill>
            <w14:solidFill>
              <w14:schemeClr w14:val="tx1"/>
            </w14:solidFill>
          </w14:textFill>
        </w:rPr>
        <w:t>任何费用。</w:t>
      </w:r>
    </w:p>
    <w:p w14:paraId="7F1A1178">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 履行合同的时间、地点和方式</w:t>
      </w:r>
    </w:p>
    <w:p w14:paraId="289416C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 乙方应当在约定的时间、地点，按照约定方式履行合同。</w:t>
      </w:r>
    </w:p>
    <w:p w14:paraId="05FEF53D">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 甲方的权利和义务</w:t>
      </w:r>
    </w:p>
    <w:p w14:paraId="336A6EF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34D181CB">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513C659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13946B2A">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 甲方应当按照合同约定及时对交付的货物进行验收，未在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约定的期限内对乙方履约提出任何异议或者向乙方作出任何说明的，视为验收通过。</w:t>
      </w:r>
    </w:p>
    <w:p w14:paraId="704BB28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511AF61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4.6 国家法律法规规定及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约定应由甲方承担的其他义务和责任。</w:t>
      </w:r>
    </w:p>
    <w:p w14:paraId="77DF58E9">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 乙方的权利和义务</w:t>
      </w:r>
    </w:p>
    <w:p w14:paraId="28E66D0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 签署合同后，乙方应确定项目负责人（或项目联系人），负责与本合同有关的事务。</w:t>
      </w:r>
    </w:p>
    <w:p w14:paraId="628053AF">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26F05B8">
      <w:pPr>
        <w:pStyle w:val="219"/>
        <w:spacing w:line="400" w:lineRule="exact"/>
        <w:ind w:firstLine="49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5.3乙方有权根据合同约定向甲方收取合同价款。</w:t>
      </w:r>
    </w:p>
    <w:p w14:paraId="4F628019">
      <w:pPr>
        <w:pStyle w:val="219"/>
        <w:spacing w:line="400" w:lineRule="exact"/>
        <w:ind w:firstLine="49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5.4国家法律法规规定及</w:t>
      </w:r>
      <w:r>
        <w:rPr>
          <w:rFonts w:hint="eastAsia" w:ascii="宋体" w:hAnsi="宋体" w:eastAsia="宋体" w:cs="宋体"/>
          <w:b/>
          <w:bCs/>
          <w:color w:val="000000" w:themeColor="text1"/>
          <w:sz w:val="24"/>
          <w:highlight w:val="none"/>
          <w14:textFill>
            <w14:solidFill>
              <w14:schemeClr w14:val="tx1"/>
            </w14:solidFill>
          </w14:textFill>
        </w:rPr>
        <w:t>【政府采购合同专用条款】</w:t>
      </w:r>
      <w:r>
        <w:rPr>
          <w:rFonts w:hint="eastAsia" w:ascii="宋体" w:hAnsi="宋体" w:eastAsia="宋体" w:cs="宋体"/>
          <w:color w:val="000000" w:themeColor="text1"/>
          <w:sz w:val="24"/>
          <w:highlight w:val="none"/>
          <w14:textFill>
            <w14:solidFill>
              <w14:schemeClr w14:val="tx1"/>
            </w14:solidFill>
          </w14:textFill>
        </w:rPr>
        <w:t>约定应由乙方承担的其他义务和责任。</w:t>
      </w:r>
    </w:p>
    <w:p w14:paraId="6518331B">
      <w:pPr>
        <w:numPr>
          <w:ilvl w:val="0"/>
          <w:numId w:val="8"/>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合同履行</w:t>
      </w:r>
    </w:p>
    <w:p w14:paraId="0681A59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 甲乙双方应当按照</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约定顺序履行合同义务；如果没有先后顺序的，应当同时履行。</w:t>
      </w:r>
    </w:p>
    <w:p w14:paraId="65FEE89A">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58D6B158">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7. 货物包装、运输、保险和交付要求</w:t>
      </w:r>
    </w:p>
    <w:p w14:paraId="1CE403B6">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 本合同</w:t>
      </w:r>
      <w:r>
        <w:rPr>
          <w:rFonts w:hint="eastAsia" w:ascii="宋体" w:hAnsi="宋体" w:cs="宋体"/>
          <w:bCs/>
          <w:color w:val="000000" w:themeColor="text1"/>
          <w:szCs w:val="21"/>
          <w:highlight w:val="none"/>
          <w14:textFill>
            <w14:solidFill>
              <w14:schemeClr w14:val="tx1"/>
            </w14:solidFill>
          </w14:textFill>
        </w:rPr>
        <w:t>涉及商品包装、快递包装的，</w:t>
      </w:r>
      <w:r>
        <w:rPr>
          <w:rFonts w:hint="eastAsia" w:ascii="宋体" w:hAnsi="宋体" w:cs="宋体"/>
          <w:color w:val="000000" w:themeColor="text1"/>
          <w:szCs w:val="21"/>
          <w:highlight w:val="none"/>
          <w14:textFill>
            <w14:solidFill>
              <w14:schemeClr w14:val="tx1"/>
            </w14:solidFill>
          </w14:textFill>
        </w:rPr>
        <w:t>除</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另有约定外，</w:t>
      </w:r>
      <w:r>
        <w:rPr>
          <w:rFonts w:hint="eastAsia" w:ascii="宋体" w:hAnsi="宋体" w:cs="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约定的</w:t>
      </w:r>
      <w:r>
        <w:rPr>
          <w:rFonts w:hint="eastAsia" w:ascii="宋体" w:hAnsi="宋体" w:cs="宋体"/>
          <w:color w:val="000000" w:themeColor="text1"/>
          <w:szCs w:val="21"/>
          <w:highlight w:val="none"/>
          <w14:textFill>
            <w14:solidFill>
              <w14:schemeClr w14:val="tx1"/>
            </w14:solidFill>
          </w14:textFill>
        </w:rPr>
        <w:t>指定现场。</w:t>
      </w:r>
    </w:p>
    <w:p w14:paraId="12C48BD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 除</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另有约定外，</w:t>
      </w:r>
      <w:r>
        <w:rPr>
          <w:rFonts w:hint="eastAsia" w:ascii="宋体" w:hAnsi="宋体" w:cs="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48864CFF">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 货物保险要求按</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规定执行</w:t>
      </w:r>
      <w:r>
        <w:rPr>
          <w:rFonts w:hint="eastAsia" w:ascii="宋体" w:hAnsi="宋体" w:cs="宋体"/>
          <w:color w:val="000000" w:themeColor="text1"/>
          <w:szCs w:val="21"/>
          <w:highlight w:val="none"/>
          <w14:textFill>
            <w14:solidFill>
              <w14:schemeClr w14:val="tx1"/>
            </w14:solidFill>
          </w14:textFill>
        </w:rPr>
        <w:t>。</w:t>
      </w:r>
    </w:p>
    <w:p w14:paraId="28FEBD6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019CFD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 乙方在运输到达之前应提前通知甲方，并提示货物运输装卸的注意事项，甲方配合乙方做好货物的接收工作。</w:t>
      </w:r>
    </w:p>
    <w:p w14:paraId="45213804">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3528D6FD">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8. 质量标准和保证</w:t>
      </w:r>
    </w:p>
    <w:p w14:paraId="72974446">
      <w:pPr>
        <w:pStyle w:val="222"/>
        <w:spacing w:line="400" w:lineRule="exact"/>
        <w:ind w:firstLine="440"/>
        <w:rPr>
          <w:rFonts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8.1 质量标准</w:t>
      </w:r>
    </w:p>
    <w:p w14:paraId="4346377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C11D44B">
      <w:pPr>
        <w:pStyle w:val="222"/>
        <w:spacing w:line="400" w:lineRule="exact"/>
        <w:ind w:firstLine="44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（2）采用中华人民共和国法定计量单位。</w:t>
      </w:r>
    </w:p>
    <w:p w14:paraId="6C5FDF9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（3）乙方所提供的货物应符合国家有关安全、环保、卫生的规定。</w:t>
      </w:r>
    </w:p>
    <w:p w14:paraId="337B27FE">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7BEB2815">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8.2 保证</w:t>
      </w:r>
    </w:p>
    <w:p w14:paraId="0500CBE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规定或乙方书面承诺（两者以较长的为准）的质量保证期内，本保证保持有效。</w:t>
      </w:r>
    </w:p>
    <w:p w14:paraId="4620F0E5">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（2）在质量保证期内所发现的缺陷，甲方应尽快以书面形式通知乙方。</w:t>
      </w:r>
    </w:p>
    <w:p w14:paraId="782849EC">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（3）乙方收到通知后，应在</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规定的响应时间内以合理的速度免费维修或更换有缺陷的货物或部件。</w:t>
      </w:r>
    </w:p>
    <w:p w14:paraId="20104F13">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3C84F00A">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70C1252D">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9. 权利瑕疵担保</w:t>
      </w:r>
    </w:p>
    <w:p w14:paraId="3F04F65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 乙方保证对其出售的货物享有合法的权利。</w:t>
      </w:r>
    </w:p>
    <w:p w14:paraId="53DB50B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乙方保证在交付的货物上不存在抵押权等担保物权。</w:t>
      </w:r>
    </w:p>
    <w:p w14:paraId="1C1E308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 如甲方使用上述货物构成对第三人侵权的，则由乙方承担全部责任。</w:t>
      </w:r>
    </w:p>
    <w:p w14:paraId="78453D40">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10. 知识产权保护</w:t>
      </w:r>
    </w:p>
    <w:p w14:paraId="40E3F8E6">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r>
        <w:rPr>
          <w:rFonts w:hint="eastAsia" w:ascii="宋体" w:hAnsi="宋体" w:cs="宋体"/>
          <w:color w:val="000000" w:themeColor="text1"/>
          <w:szCs w:val="21"/>
          <w:highlight w:val="none"/>
          <w14:textFill>
            <w14:solidFill>
              <w14:schemeClr w14:val="tx1"/>
            </w14:solidFill>
          </w14:textFill>
        </w:rPr>
        <w:t>。</w:t>
      </w:r>
    </w:p>
    <w:p w14:paraId="0A616E96">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11. 保密义务</w:t>
      </w:r>
    </w:p>
    <w:p w14:paraId="25A73417">
      <w:pPr>
        <w:spacing w:line="400" w:lineRule="exact"/>
        <w:ind w:firstLine="440"/>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中约定。</w:t>
      </w:r>
    </w:p>
    <w:p w14:paraId="2B3F6BE3">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12. 合同价款支付</w:t>
      </w:r>
    </w:p>
    <w:p w14:paraId="736B40F9">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 合同价款支付按照国库集中支付制度及财政管理相关规定执行。</w:t>
      </w:r>
    </w:p>
    <w:p w14:paraId="20DEFC49">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221A784">
      <w:pPr>
        <w:pStyle w:val="219"/>
        <w:spacing w:line="400" w:lineRule="exac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13. 履约保证金</w:t>
      </w:r>
    </w:p>
    <w:p w14:paraId="72ACDCB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乙方应当以支票、汇票、本票或者金融机构、担保机构出具的保函等非现金形式提交。</w:t>
      </w:r>
    </w:p>
    <w:p w14:paraId="7433312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13.2 如果乙方出现</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约定情形的</w:t>
      </w:r>
      <w:r>
        <w:rPr>
          <w:rFonts w:hint="eastAsia" w:ascii="宋体" w:hAnsi="宋体" w:cs="宋体"/>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555F3606">
      <w:pPr>
        <w:spacing w:line="4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13.3 甲方在项目通过验收后按照</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规定支付。</w:t>
      </w:r>
    </w:p>
    <w:p w14:paraId="2B2EFCDF">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售后服务</w:t>
      </w:r>
    </w:p>
    <w:p w14:paraId="2E7BD2FB">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除项目不涉及或采购活动中明确约定无须承担外，乙方还应提供下列服务：</w:t>
      </w:r>
    </w:p>
    <w:p w14:paraId="3B944E05">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（1）货物的现场移动、安装、调试、启动监督及技术支持；</w:t>
      </w:r>
    </w:p>
    <w:p w14:paraId="2D56D8E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（2）提供货物组装和维修所需的专用工具和辅助材料；</w:t>
      </w:r>
    </w:p>
    <w:p w14:paraId="0263977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约定的期限内对所有的货物实施运行监督、维修，但前提条件是该服务并不能免除乙方在质量保证期内所承担的义务；</w:t>
      </w:r>
    </w:p>
    <w:p w14:paraId="47535549">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w:t>
      </w:r>
    </w:p>
    <w:p w14:paraId="5CEA0C19">
      <w:pPr>
        <w:pStyle w:val="236"/>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约定，货物在有效使用年限届满后应予回收的，乙方负有自行或者委托第三人对货物予以回收的义务；</w:t>
      </w:r>
    </w:p>
    <w:p w14:paraId="4741D70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规定由乙方提供的其他服务。</w:t>
      </w:r>
    </w:p>
    <w:p w14:paraId="29572E9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 乙方提供的售后服务的费用已包含在合同价款中，甲方不再另行支付。</w:t>
      </w:r>
    </w:p>
    <w:p w14:paraId="39D03312">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15. 违约责任</w:t>
      </w:r>
    </w:p>
    <w:p w14:paraId="749DA821">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15.1质量瑕疵的违约责任</w:t>
      </w:r>
    </w:p>
    <w:p w14:paraId="0C0C170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乙方提供的产品不符合合同约定的质量标准或存在产品质量缺陷，甲方有权要求乙方根据</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及时修理、重作、更换，并承担由此给甲方造成的损失。</w:t>
      </w:r>
    </w:p>
    <w:p w14:paraId="241EDC0D">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15.2 迟延交货的违约责任</w:t>
      </w:r>
    </w:p>
    <w:p w14:paraId="3DA4046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4794884">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规定执行。如果涉及公共利益，且赔偿金额无法弥补公共利益损失，甲方可要求继续履行或者采取其他补救措施。</w:t>
      </w:r>
    </w:p>
    <w:p w14:paraId="7CBEA5D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 迟延支付的违约责任</w:t>
      </w:r>
    </w:p>
    <w:p w14:paraId="52235B9A">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甲方存在迟延支付乙方合同款项的，应当承担</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规定的逾期付款利息。</w:t>
      </w:r>
    </w:p>
    <w:p w14:paraId="60931AC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15.4其他违约责任根据项目实际需要按</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规定执行。</w:t>
      </w:r>
    </w:p>
    <w:p w14:paraId="33F521BD">
      <w:pPr>
        <w:numPr>
          <w:ilvl w:val="0"/>
          <w:numId w:val="9"/>
        </w:num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合同变更、中止与终止</w:t>
      </w:r>
    </w:p>
    <w:p w14:paraId="55E9CA03">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16.1合同的变更</w:t>
      </w:r>
    </w:p>
    <w:p w14:paraId="34A9A11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7630624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16.2合同的中止</w:t>
      </w:r>
    </w:p>
    <w:p w14:paraId="1A014B81">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（1）合同履行过程中因供应商就采购文件、采购过程或结果提起投诉的，甲方认为有必要的，可以中止合同的履行。</w:t>
      </w:r>
    </w:p>
    <w:p w14:paraId="15CF65C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373C648">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539BC91F">
      <w:pPr>
        <w:spacing w:line="400" w:lineRule="exact"/>
        <w:ind w:firstLine="4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（4）甲方不得以行政区划调整、政府换届、机构或者职能调整以及相关责任人更替为由中止合同。</w:t>
      </w:r>
    </w:p>
    <w:p w14:paraId="496007D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16.3合同的终止</w:t>
      </w:r>
    </w:p>
    <w:p w14:paraId="2CE62680">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（1）合同因有效期限届满而终止；</w:t>
      </w:r>
    </w:p>
    <w:p w14:paraId="34EA6426">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（2）乙方未按合同约定履行，构成根本性违约的，甲方有权终止合同，并追究乙方的违约责任。</w:t>
      </w:r>
    </w:p>
    <w:p w14:paraId="1DDA26F7">
      <w:pPr>
        <w:pStyle w:val="236"/>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涉及国家利益、社会公共利益的情形</w:t>
      </w:r>
    </w:p>
    <w:p w14:paraId="085E2E20">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17980D0C">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17. 合同分包</w:t>
      </w:r>
    </w:p>
    <w:p w14:paraId="5E6D910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 乙方不得将合同转包给其他供应商。涉及合同分包的，乙方应根据采购文件和投标（响应）文件规定进行合同分包。</w:t>
      </w:r>
    </w:p>
    <w:p w14:paraId="02347C3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0A0D69CF">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18. 不可抗力</w:t>
      </w:r>
    </w:p>
    <w:p w14:paraId="38821F6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 不可抗力是指合同双方不能预见、不能避免且不能克服的客观情况。</w:t>
      </w:r>
    </w:p>
    <w:p w14:paraId="13F92BD2">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18.2 任何一方对由于不可抗力造成的部分或全部不能履行合同不承担违约责任。但迟延履行后发生不可抗力的，不能免除责任。</w:t>
      </w:r>
    </w:p>
    <w:p w14:paraId="03FFDFF8">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FFCDFFB">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19. 解决争议的方法</w:t>
      </w:r>
    </w:p>
    <w:p w14:paraId="4A0ABC08">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22D28CFC">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19.2 选择仲裁的，应在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14:paraId="55F6E36B">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19.3 如甲乙双方有争议的事项不影响合同其他部分的履行，在争议解决期间，合同其他部分应当继续履行。</w:t>
      </w:r>
    </w:p>
    <w:p w14:paraId="17F2D016">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20. 政府采购政策</w:t>
      </w:r>
    </w:p>
    <w:p w14:paraId="162196B5">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本合同应当按照规定执行政府采购政策。</w:t>
      </w:r>
    </w:p>
    <w:p w14:paraId="219BC407">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甲乙双方</w:t>
      </w:r>
      <w:r>
        <w:rPr>
          <w:rFonts w:hint="eastAsia" w:ascii="宋体" w:hAnsi="宋体" w:cs="宋体"/>
          <w:color w:val="000000" w:themeColor="text1"/>
          <w:highlight w:val="none"/>
          <w:lang w:val="en-GB"/>
          <w14:textFill>
            <w14:solidFill>
              <w14:schemeClr w14:val="tx1"/>
            </w14:solidFill>
          </w14:textFill>
        </w:rPr>
        <w:t>未按规定要求执行政府采购政策造成损失的</w:t>
      </w:r>
      <w:r>
        <w:rPr>
          <w:rFonts w:hint="eastAsia" w:ascii="宋体" w:hAnsi="宋体" w:cs="宋体"/>
          <w:color w:val="000000" w:themeColor="text1"/>
          <w:szCs w:val="21"/>
          <w:highlight w:val="none"/>
          <w14:textFill>
            <w14:solidFill>
              <w14:schemeClr w14:val="tx1"/>
            </w14:solidFill>
          </w14:textFill>
        </w:rPr>
        <w:t>，有过错的一方应当承担赔偿责任，双方都有过错的，各自承担相应的责任。</w:t>
      </w:r>
    </w:p>
    <w:p w14:paraId="5D7E5AA8">
      <w:pPr>
        <w:pStyle w:val="219"/>
        <w:spacing w:line="400" w:lineRule="exact"/>
        <w:ind w:firstLine="56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CB487BE">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21. 法律适用</w:t>
      </w:r>
    </w:p>
    <w:p w14:paraId="0228BDE1">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21.1 本合同的订立、生效、解释、履行及与本合同有关的争议解决，均适用法律、行政法规。</w:t>
      </w:r>
    </w:p>
    <w:p w14:paraId="65D9F229">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3F2F27E3">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22. 通知</w:t>
      </w:r>
    </w:p>
    <w:p w14:paraId="68A286ED">
      <w:pPr>
        <w:pStyle w:val="236"/>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01DCB871">
      <w:pPr>
        <w:pStyle w:val="236"/>
        <w:ind w:firstLine="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72E6EECB">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22.3本合同一方给另一方的通知均应采用书面形式，传真或快递送到本合同中规定的对方的地址和办理签收手续。</w:t>
      </w:r>
    </w:p>
    <w:p w14:paraId="3984C03D">
      <w:pPr>
        <w:spacing w:line="400" w:lineRule="exact"/>
        <w:ind w:firstLine="4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22.4通知以送达之日或通知书中规定的生效之日起生效，两者中以较迟之日为准。</w:t>
      </w:r>
    </w:p>
    <w:p w14:paraId="77234F04">
      <w:pPr>
        <w:numPr>
          <w:ilvl w:val="0"/>
          <w:numId w:val="10"/>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合同未尽事项</w:t>
      </w:r>
    </w:p>
    <w:p w14:paraId="71B738E2">
      <w:pPr>
        <w:spacing w:line="400" w:lineRule="exact"/>
        <w:ind w:firstLine="44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23.1合同未尽事项见</w:t>
      </w:r>
      <w:r>
        <w:rPr>
          <w:rFonts w:hint="eastAsia" w:ascii="宋体" w:hAnsi="宋体" w:cs="宋体"/>
          <w:b/>
          <w:color w:val="000000" w:themeColor="text1"/>
          <w:szCs w:val="21"/>
          <w:highlight w:val="none"/>
          <w14:textFill>
            <w14:solidFill>
              <w14:schemeClr w14:val="tx1"/>
            </w14:solidFill>
          </w14:textFill>
        </w:rPr>
        <w:t>【政府采购合同专用条款】</w:t>
      </w:r>
      <w:r>
        <w:rPr>
          <w:rFonts w:hint="eastAsia" w:ascii="宋体" w:hAnsi="宋体" w:cs="宋体"/>
          <w:bCs/>
          <w:color w:val="000000" w:themeColor="text1"/>
          <w:szCs w:val="21"/>
          <w:highlight w:val="none"/>
          <w14:textFill>
            <w14:solidFill>
              <w14:schemeClr w14:val="tx1"/>
            </w14:solidFill>
          </w14:textFill>
        </w:rPr>
        <w:t>。</w:t>
      </w:r>
    </w:p>
    <w:p w14:paraId="5290AF65">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23.2 合同附件与合同正文具有同等的法律效力。</w:t>
      </w:r>
    </w:p>
    <w:p w14:paraId="3E8BA8F6">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p>
    <w:p w14:paraId="3FC0F373">
      <w:pPr>
        <w:pStyle w:val="213"/>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第三节 政府采购合同专用条款</w:t>
      </w:r>
    </w:p>
    <w:tbl>
      <w:tblPr>
        <w:tblStyle w:val="3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265F1B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7E17A8E">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7D57B26">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第1.2（6）项</w:t>
            </w:r>
          </w:p>
        </w:tc>
        <w:tc>
          <w:tcPr>
            <w:tcW w:w="1742" w:type="dxa"/>
            <w:vAlign w:val="center"/>
          </w:tcPr>
          <w:p w14:paraId="0AD816AB">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联合体具体要求</w:t>
            </w:r>
          </w:p>
        </w:tc>
        <w:tc>
          <w:tcPr>
            <w:tcW w:w="5170" w:type="dxa"/>
            <w:vAlign w:val="center"/>
          </w:tcPr>
          <w:p w14:paraId="45D92074">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本项目无联合体投标。</w:t>
            </w:r>
          </w:p>
        </w:tc>
      </w:tr>
      <w:tr w14:paraId="7B0B2C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35DBD8C3">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F227B32">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第1.2（7）项</w:t>
            </w:r>
          </w:p>
        </w:tc>
        <w:tc>
          <w:tcPr>
            <w:tcW w:w="1742" w:type="dxa"/>
            <w:vAlign w:val="center"/>
          </w:tcPr>
          <w:p w14:paraId="349920EB">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其他术语解释</w:t>
            </w:r>
          </w:p>
        </w:tc>
        <w:tc>
          <w:tcPr>
            <w:tcW w:w="5170" w:type="dxa"/>
            <w:vAlign w:val="center"/>
          </w:tcPr>
          <w:p w14:paraId="3DA01C78">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050390E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859D582">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CF4A986">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第4.4款</w:t>
            </w:r>
          </w:p>
        </w:tc>
        <w:tc>
          <w:tcPr>
            <w:tcW w:w="1742" w:type="dxa"/>
            <w:vAlign w:val="center"/>
          </w:tcPr>
          <w:p w14:paraId="22152A87">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履约验收中甲方提出异议或作出说明的期限</w:t>
            </w:r>
          </w:p>
        </w:tc>
        <w:tc>
          <w:tcPr>
            <w:tcW w:w="5170" w:type="dxa"/>
            <w:vAlign w:val="center"/>
          </w:tcPr>
          <w:p w14:paraId="63FA6B2B">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14个工作日内。</w:t>
            </w:r>
          </w:p>
        </w:tc>
      </w:tr>
      <w:tr w14:paraId="0039538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9C31F63">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C702B87">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第4.6款</w:t>
            </w:r>
          </w:p>
        </w:tc>
        <w:tc>
          <w:tcPr>
            <w:tcW w:w="1742" w:type="dxa"/>
            <w:vAlign w:val="center"/>
          </w:tcPr>
          <w:p w14:paraId="17072225">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约定甲方承担的其他义务和责任</w:t>
            </w:r>
          </w:p>
        </w:tc>
        <w:tc>
          <w:tcPr>
            <w:tcW w:w="5170" w:type="dxa"/>
            <w:vAlign w:val="center"/>
          </w:tcPr>
          <w:p w14:paraId="09D7F2C2">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600D4D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6C2217D">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AA1D49B">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第5.4款</w:t>
            </w:r>
          </w:p>
        </w:tc>
        <w:tc>
          <w:tcPr>
            <w:tcW w:w="1742" w:type="dxa"/>
            <w:vAlign w:val="center"/>
          </w:tcPr>
          <w:p w14:paraId="1736AE9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约定乙方承担的其他义务和责任</w:t>
            </w:r>
          </w:p>
        </w:tc>
        <w:tc>
          <w:tcPr>
            <w:tcW w:w="5170" w:type="dxa"/>
            <w:vAlign w:val="center"/>
          </w:tcPr>
          <w:p w14:paraId="4FA5C1A0">
            <w:pPr>
              <w:rPr>
                <w:rFonts w:ascii="宋体" w:hAnsi="宋体" w:cs="宋体"/>
                <w:b/>
                <w:bCs/>
                <w:i/>
                <w:iCs/>
                <w:color w:val="000000" w:themeColor="text1"/>
                <w:szCs w:val="21"/>
                <w:highlight w:val="none"/>
                <w:lang w:bidi="ar"/>
                <w14:textFill>
                  <w14:solidFill>
                    <w14:schemeClr w14:val="tx1"/>
                  </w14:solidFill>
                </w14:textFill>
              </w:rPr>
            </w:pPr>
          </w:p>
        </w:tc>
      </w:tr>
      <w:tr w14:paraId="6AFC0EC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0B4A235">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D46A810">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第6.1款</w:t>
            </w:r>
          </w:p>
        </w:tc>
        <w:tc>
          <w:tcPr>
            <w:tcW w:w="1742" w:type="dxa"/>
            <w:vAlign w:val="center"/>
          </w:tcPr>
          <w:p w14:paraId="49977DD8">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履行合同义务的顺序</w:t>
            </w:r>
          </w:p>
        </w:tc>
        <w:tc>
          <w:tcPr>
            <w:tcW w:w="5170" w:type="dxa"/>
            <w:vAlign w:val="center"/>
          </w:tcPr>
          <w:p w14:paraId="2D0786F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0C9FC8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vAlign w:val="center"/>
          </w:tcPr>
          <w:p w14:paraId="5D70D027">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515610E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第7.1款</w:t>
            </w:r>
          </w:p>
        </w:tc>
        <w:tc>
          <w:tcPr>
            <w:tcW w:w="1742" w:type="dxa"/>
            <w:vAlign w:val="center"/>
          </w:tcPr>
          <w:p w14:paraId="1C165057">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包装特殊要求</w:t>
            </w:r>
          </w:p>
        </w:tc>
        <w:tc>
          <w:tcPr>
            <w:tcW w:w="5170" w:type="dxa"/>
            <w:vAlign w:val="center"/>
          </w:tcPr>
          <w:p w14:paraId="761B670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乙方提供的设备必须为原包装，在送交甲方验收前不得拆箱。</w:t>
            </w:r>
          </w:p>
        </w:tc>
      </w:tr>
      <w:tr w14:paraId="4A810C0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vAlign w:val="center"/>
          </w:tcPr>
          <w:p w14:paraId="2D1624BB">
            <w:pPr>
              <w:jc w:val="center"/>
              <w:rPr>
                <w:rFonts w:ascii="宋体" w:hAnsi="宋体"/>
                <w:color w:val="000000" w:themeColor="text1"/>
                <w:szCs w:val="21"/>
                <w:highlight w:val="none"/>
                <w14:textFill>
                  <w14:solidFill>
                    <w14:schemeClr w14:val="tx1"/>
                  </w14:solidFill>
                </w14:textFill>
              </w:rPr>
            </w:pPr>
          </w:p>
        </w:tc>
        <w:tc>
          <w:tcPr>
            <w:tcW w:w="1742" w:type="dxa"/>
            <w:vAlign w:val="center"/>
          </w:tcPr>
          <w:p w14:paraId="5B1EF3B7">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指定现场</w:t>
            </w:r>
          </w:p>
        </w:tc>
        <w:tc>
          <w:tcPr>
            <w:tcW w:w="5170" w:type="dxa"/>
            <w:vAlign w:val="center"/>
          </w:tcPr>
          <w:p w14:paraId="779689A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甲方指定地点，乙方负责办理运输、安装、调试。</w:t>
            </w:r>
          </w:p>
        </w:tc>
      </w:tr>
      <w:tr w14:paraId="2FB987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4442E64A">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BD073B2">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第7.2款</w:t>
            </w:r>
          </w:p>
        </w:tc>
        <w:tc>
          <w:tcPr>
            <w:tcW w:w="1742" w:type="dxa"/>
            <w:vAlign w:val="center"/>
          </w:tcPr>
          <w:p w14:paraId="65B018F8">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运输特殊要求</w:t>
            </w:r>
          </w:p>
        </w:tc>
        <w:tc>
          <w:tcPr>
            <w:tcW w:w="5170" w:type="dxa"/>
            <w:vAlign w:val="center"/>
          </w:tcPr>
          <w:p w14:paraId="764AD27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运输损失由乙方承担。</w:t>
            </w:r>
          </w:p>
        </w:tc>
      </w:tr>
      <w:tr w14:paraId="7A1833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7BEC7C86">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7763A2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第7.3款</w:t>
            </w:r>
          </w:p>
        </w:tc>
        <w:tc>
          <w:tcPr>
            <w:tcW w:w="1742" w:type="dxa"/>
            <w:vAlign w:val="center"/>
          </w:tcPr>
          <w:p w14:paraId="27901064">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保险要求</w:t>
            </w:r>
          </w:p>
        </w:tc>
        <w:tc>
          <w:tcPr>
            <w:tcW w:w="5170" w:type="dxa"/>
            <w:vAlign w:val="center"/>
          </w:tcPr>
          <w:p w14:paraId="1B4343B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1CED7D3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E7B2FC7">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5B16709E">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第8.2（1）项</w:t>
            </w:r>
          </w:p>
        </w:tc>
        <w:tc>
          <w:tcPr>
            <w:tcW w:w="1742" w:type="dxa"/>
            <w:vAlign w:val="center"/>
          </w:tcPr>
          <w:p w14:paraId="57A626E7">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质量保证期</w:t>
            </w:r>
          </w:p>
        </w:tc>
        <w:tc>
          <w:tcPr>
            <w:tcW w:w="5170" w:type="dxa"/>
            <w:vAlign w:val="center"/>
          </w:tcPr>
          <w:p w14:paraId="343F28B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按招标文件及投标文件承诺执行。</w:t>
            </w:r>
          </w:p>
        </w:tc>
      </w:tr>
      <w:tr w14:paraId="4FE52B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1E3F527A">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A0A275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第8.2（3）项</w:t>
            </w:r>
          </w:p>
        </w:tc>
        <w:tc>
          <w:tcPr>
            <w:tcW w:w="1742" w:type="dxa"/>
            <w:vAlign w:val="center"/>
          </w:tcPr>
          <w:p w14:paraId="33F0CA74">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货物质量缺陷</w:t>
            </w:r>
          </w:p>
          <w:p w14:paraId="5A4BA49F">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响应时间</w:t>
            </w:r>
          </w:p>
        </w:tc>
        <w:tc>
          <w:tcPr>
            <w:tcW w:w="5170" w:type="dxa"/>
            <w:vAlign w:val="center"/>
          </w:tcPr>
          <w:p w14:paraId="39C725D9">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3日内。</w:t>
            </w:r>
          </w:p>
        </w:tc>
      </w:tr>
      <w:tr w14:paraId="53F6A7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13DF75B2">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第二节</w:t>
            </w:r>
          </w:p>
          <w:p w14:paraId="340A4440">
            <w:pPr>
              <w:pStyle w:val="236"/>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第11.1款</w:t>
            </w:r>
          </w:p>
        </w:tc>
        <w:tc>
          <w:tcPr>
            <w:tcW w:w="1742" w:type="dxa"/>
            <w:vAlign w:val="center"/>
          </w:tcPr>
          <w:p w14:paraId="3A32ECA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其他应当保密的信息</w:t>
            </w:r>
          </w:p>
        </w:tc>
        <w:tc>
          <w:tcPr>
            <w:tcW w:w="5170" w:type="dxa"/>
            <w:vAlign w:val="center"/>
          </w:tcPr>
          <w:p w14:paraId="5A4842C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239357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503C83BF">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795C21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第12.2款</w:t>
            </w:r>
          </w:p>
        </w:tc>
        <w:tc>
          <w:tcPr>
            <w:tcW w:w="1742" w:type="dxa"/>
            <w:vAlign w:val="center"/>
          </w:tcPr>
          <w:p w14:paraId="6AB9DD5F">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合同价款支付时间</w:t>
            </w:r>
          </w:p>
        </w:tc>
        <w:tc>
          <w:tcPr>
            <w:tcW w:w="5170" w:type="dxa"/>
            <w:vAlign w:val="center"/>
          </w:tcPr>
          <w:p w14:paraId="1F9762AE">
            <w:pPr>
              <w:pStyle w:val="3"/>
              <w:rPr>
                <w:rFonts w:ascii="宋体" w:hAnsi="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lang w:eastAsia="zh-CN" w:bidi="ar"/>
                <w14:textFill>
                  <w14:solidFill>
                    <w14:schemeClr w14:val="tx1"/>
                  </w14:solidFill>
                </w14:textFill>
              </w:rPr>
              <w:t>本项目合同价款分三期支付，具体如下：合同生效后，乙方提供合同金额50%的增值税普通发票，甲方支付50%预付款；项目设备到货且甲方完成到货验收确认后，乙方提供合同金额30%的增值税普通发票，甲方支付30%货款；所有设备安装调测完成并经甲方最终验收合格后，乙方提供合同金额20%的增值税普通发票，甲方支付剩余20%尾款。</w:t>
            </w:r>
          </w:p>
        </w:tc>
      </w:tr>
      <w:tr w14:paraId="3B383B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4C490219">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E405435">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第13.2款</w:t>
            </w:r>
          </w:p>
        </w:tc>
        <w:tc>
          <w:tcPr>
            <w:tcW w:w="1742" w:type="dxa"/>
            <w:vAlign w:val="center"/>
          </w:tcPr>
          <w:p w14:paraId="5642F104">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履约保证金不予退还的情形</w:t>
            </w:r>
          </w:p>
        </w:tc>
        <w:tc>
          <w:tcPr>
            <w:tcW w:w="5170" w:type="dxa"/>
            <w:vAlign w:val="center"/>
          </w:tcPr>
          <w:p w14:paraId="0B69FB7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乙方在合同履行期间内无法完成履约的。</w:t>
            </w:r>
          </w:p>
        </w:tc>
      </w:tr>
      <w:tr w14:paraId="5514FE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DB52726">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9B95F25">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第13.3款</w:t>
            </w:r>
          </w:p>
        </w:tc>
        <w:tc>
          <w:tcPr>
            <w:tcW w:w="1742" w:type="dxa"/>
            <w:vAlign w:val="center"/>
          </w:tcPr>
          <w:p w14:paraId="5D2F6AEA">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履约保证金退还时间及逾期退还的违约金</w:t>
            </w:r>
          </w:p>
        </w:tc>
        <w:tc>
          <w:tcPr>
            <w:tcW w:w="5170" w:type="dxa"/>
            <w:vAlign w:val="center"/>
          </w:tcPr>
          <w:p w14:paraId="57C3DF9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验收合格无质量问题后，采购方在1</w:t>
            </w:r>
            <w:r>
              <w:rPr>
                <w:rFonts w:hint="eastAsia" w:ascii="宋体" w:hAnsi="宋体" w:cs="宋体" w:eastAsiaTheme="minorEastAsia"/>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个工作日内全额退还。</w:t>
            </w:r>
          </w:p>
        </w:tc>
      </w:tr>
      <w:tr w14:paraId="566E38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26E1C00C">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50A3C67">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第14.1（3）项</w:t>
            </w:r>
          </w:p>
        </w:tc>
        <w:tc>
          <w:tcPr>
            <w:tcW w:w="1742" w:type="dxa"/>
            <w:vAlign w:val="center"/>
          </w:tcPr>
          <w:p w14:paraId="3744902D">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运行监督、维修期限</w:t>
            </w:r>
          </w:p>
        </w:tc>
        <w:tc>
          <w:tcPr>
            <w:tcW w:w="5170" w:type="dxa"/>
            <w:vAlign w:val="center"/>
          </w:tcPr>
          <w:p w14:paraId="7FF7810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28D66E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43F3030B">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C7C29C8">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第14.1（5）项</w:t>
            </w:r>
          </w:p>
        </w:tc>
        <w:tc>
          <w:tcPr>
            <w:tcW w:w="1742" w:type="dxa"/>
            <w:vAlign w:val="center"/>
          </w:tcPr>
          <w:p w14:paraId="40622DBE">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货物回收的约定</w:t>
            </w:r>
          </w:p>
        </w:tc>
        <w:tc>
          <w:tcPr>
            <w:tcW w:w="5170" w:type="dxa"/>
            <w:vAlign w:val="center"/>
          </w:tcPr>
          <w:p w14:paraId="26172A2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189AEF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EB4E015">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5AFC523">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第14.1（6）项</w:t>
            </w:r>
          </w:p>
        </w:tc>
        <w:tc>
          <w:tcPr>
            <w:tcW w:w="1742" w:type="dxa"/>
            <w:vAlign w:val="center"/>
          </w:tcPr>
          <w:p w14:paraId="6828BAB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乙方提供的其他服务</w:t>
            </w:r>
          </w:p>
        </w:tc>
        <w:tc>
          <w:tcPr>
            <w:tcW w:w="5170" w:type="dxa"/>
            <w:vAlign w:val="center"/>
          </w:tcPr>
          <w:p w14:paraId="2CCD35C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乙方除应履行按期按量交付合格标的物的义务外，还应当提供下列服务：</w:t>
            </w:r>
          </w:p>
          <w:p w14:paraId="6150873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1、标的物的现场安装、启动、调试、监督（如果必须安装、调试的话）；</w:t>
            </w:r>
          </w:p>
          <w:p w14:paraId="0E69918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2、提供标的物组装和一般维修所必需的工具；</w:t>
            </w:r>
          </w:p>
          <w:p w14:paraId="42450AD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3、在合同规定的期限内对所提供的标的物实行运行监督、维修服务的前提条件是该服务并不能免除乙方在质量保证期内所承担的义务；</w:t>
            </w:r>
          </w:p>
          <w:p w14:paraId="52087F4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4、对甲方技术人员的技术指导或培训。</w:t>
            </w:r>
          </w:p>
          <w:p w14:paraId="0A43F833">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5、除合同另有规定之外，伴随服务的费用均已含在合同价款中，甲方不再另行支付。</w:t>
            </w:r>
          </w:p>
        </w:tc>
      </w:tr>
      <w:tr w14:paraId="581A50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43D029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DD607DC">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第15.1款</w:t>
            </w:r>
          </w:p>
        </w:tc>
        <w:tc>
          <w:tcPr>
            <w:tcW w:w="1742" w:type="dxa"/>
            <w:vAlign w:val="center"/>
          </w:tcPr>
          <w:p w14:paraId="6DA7726E">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修理、重作、更换相关具体规定</w:t>
            </w:r>
          </w:p>
        </w:tc>
        <w:tc>
          <w:tcPr>
            <w:tcW w:w="5170" w:type="dxa"/>
            <w:vAlign w:val="center"/>
          </w:tcPr>
          <w:p w14:paraId="1054904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r w14:paraId="141700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CA94413">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AB241CD">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第15.2（2）项</w:t>
            </w:r>
          </w:p>
        </w:tc>
        <w:tc>
          <w:tcPr>
            <w:tcW w:w="1742" w:type="dxa"/>
            <w:vAlign w:val="center"/>
          </w:tcPr>
          <w:p w14:paraId="5004229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迟延交货赔偿费</w:t>
            </w:r>
          </w:p>
        </w:tc>
        <w:tc>
          <w:tcPr>
            <w:tcW w:w="5170" w:type="dxa"/>
            <w:vAlign w:val="center"/>
          </w:tcPr>
          <w:p w14:paraId="52927BB9">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1、乙方不能交货（超过交货期限的交货，视为不能交货），或交货不合格从而影响甲方按期正常使用的，应向甲方偿付合同总价款5%的违约金，违约金不足以补偿损失的，甲方有权要求乙方补足。</w:t>
            </w:r>
          </w:p>
          <w:p w14:paraId="25FD46D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78FE83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0ABB45E">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0A6E5D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第15.3款</w:t>
            </w:r>
          </w:p>
        </w:tc>
        <w:tc>
          <w:tcPr>
            <w:tcW w:w="1742" w:type="dxa"/>
            <w:vAlign w:val="center"/>
          </w:tcPr>
          <w:p w14:paraId="4CF4D45F">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逾期付款利息</w:t>
            </w:r>
          </w:p>
        </w:tc>
        <w:tc>
          <w:tcPr>
            <w:tcW w:w="5170" w:type="dxa"/>
            <w:vAlign w:val="center"/>
          </w:tcPr>
          <w:p w14:paraId="2A62D329">
            <w:pPr>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w:t>
            </w:r>
          </w:p>
        </w:tc>
      </w:tr>
      <w:tr w14:paraId="31C552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vAlign w:val="center"/>
          </w:tcPr>
          <w:p w14:paraId="73BB3887">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EFA2048">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第15.4款</w:t>
            </w:r>
          </w:p>
        </w:tc>
        <w:tc>
          <w:tcPr>
            <w:tcW w:w="1742" w:type="dxa"/>
            <w:vAlign w:val="center"/>
          </w:tcPr>
          <w:p w14:paraId="78AEF67F">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其他违约责任</w:t>
            </w:r>
          </w:p>
        </w:tc>
        <w:tc>
          <w:tcPr>
            <w:tcW w:w="5170" w:type="dxa"/>
            <w:vAlign w:val="center"/>
          </w:tcPr>
          <w:p w14:paraId="56FA0DB1">
            <w:pPr>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w:t>
            </w:r>
          </w:p>
        </w:tc>
      </w:tr>
      <w:tr w14:paraId="4A5F5E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vAlign w:val="center"/>
          </w:tcPr>
          <w:p w14:paraId="3B7C889B">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302F313">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第19.2款</w:t>
            </w:r>
          </w:p>
        </w:tc>
        <w:tc>
          <w:tcPr>
            <w:tcW w:w="1742" w:type="dxa"/>
            <w:vAlign w:val="center"/>
          </w:tcPr>
          <w:p w14:paraId="634307C6">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解决争议的方法</w:t>
            </w:r>
          </w:p>
        </w:tc>
        <w:tc>
          <w:tcPr>
            <w:tcW w:w="5170" w:type="dxa"/>
            <w:vAlign w:val="center"/>
          </w:tcPr>
          <w:p w14:paraId="19A0ABEB">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因本合同及合同有关事项发生的争议，按下列第</w:t>
            </w:r>
            <w:r>
              <w:rPr>
                <w:rFonts w:hint="eastAsia" w:ascii="宋体" w:hAnsi="宋体" w:cs="宋体"/>
                <w:iCs/>
                <w:color w:val="000000" w:themeColor="text1"/>
                <w:szCs w:val="21"/>
                <w:highlight w:val="none"/>
                <w:u w:val="single"/>
                <w14:textFill>
                  <w14:solidFill>
                    <w14:schemeClr w14:val="tx1"/>
                  </w14:solidFill>
                </w14:textFill>
              </w:rPr>
              <w:t xml:space="preserve"> 2  </w:t>
            </w:r>
            <w:r>
              <w:rPr>
                <w:rFonts w:hint="eastAsia" w:ascii="宋体" w:hAnsi="宋体" w:cs="宋体"/>
                <w:iCs/>
                <w:color w:val="000000" w:themeColor="text1"/>
                <w:szCs w:val="21"/>
                <w:highlight w:val="none"/>
                <w14:textFill>
                  <w14:solidFill>
                    <w14:schemeClr w14:val="tx1"/>
                  </w14:solidFill>
                </w14:textFill>
              </w:rPr>
              <w:t>种方式解决：</w:t>
            </w:r>
          </w:p>
          <w:p w14:paraId="55ECF7C8">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（1）向</w:t>
            </w:r>
            <w:r>
              <w:rPr>
                <w:rFonts w:hint="eastAsia" w:ascii="宋体" w:hAnsi="宋体" w:cs="宋体"/>
                <w:iCs/>
                <w:color w:val="000000" w:themeColor="text1"/>
                <w:szCs w:val="21"/>
                <w:highlight w:val="none"/>
                <w:u w:val="single"/>
                <w14:textFill>
                  <w14:solidFill>
                    <w14:schemeClr w14:val="tx1"/>
                  </w14:solidFill>
                </w14:textFill>
              </w:rPr>
              <w:t xml:space="preserve">       /             </w:t>
            </w:r>
            <w:r>
              <w:rPr>
                <w:rFonts w:hint="eastAsia" w:ascii="宋体" w:hAnsi="宋体" w:cs="宋体"/>
                <w:iCs/>
                <w:color w:val="000000" w:themeColor="text1"/>
                <w:szCs w:val="21"/>
                <w:highlight w:val="none"/>
                <w14:textFill>
                  <w14:solidFill>
                    <w14:schemeClr w14:val="tx1"/>
                  </w14:solidFill>
                </w14:textFill>
              </w:rPr>
              <w:t>仲裁委员会申请仲裁，仲裁地点为</w:t>
            </w:r>
            <w:r>
              <w:rPr>
                <w:rFonts w:hint="eastAsia" w:ascii="宋体" w:hAnsi="宋体" w:cs="宋体"/>
                <w:iCs/>
                <w:color w:val="000000" w:themeColor="text1"/>
                <w:szCs w:val="21"/>
                <w:highlight w:val="none"/>
                <w:u w:val="single"/>
                <w14:textFill>
                  <w14:solidFill>
                    <w14:schemeClr w14:val="tx1"/>
                  </w14:solidFill>
                </w14:textFill>
              </w:rPr>
              <w:t xml:space="preserve">    /       </w:t>
            </w:r>
            <w:r>
              <w:rPr>
                <w:rFonts w:hint="eastAsia" w:ascii="宋体" w:hAnsi="宋体" w:cs="宋体"/>
                <w:iCs/>
                <w:color w:val="000000" w:themeColor="text1"/>
                <w:szCs w:val="21"/>
                <w:highlight w:val="none"/>
                <w14:textFill>
                  <w14:solidFill>
                    <w14:schemeClr w14:val="tx1"/>
                  </w14:solidFill>
                </w14:textFill>
              </w:rPr>
              <w:t>；</w:t>
            </w:r>
          </w:p>
          <w:p w14:paraId="63AFA6A9">
            <w:pPr>
              <w:rPr>
                <w:rFonts w:ascii="宋体" w:hAnsi="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（2）向</w:t>
            </w:r>
            <w:r>
              <w:rPr>
                <w:rFonts w:hint="eastAsia" w:ascii="宋体" w:hAnsi="宋体" w:cs="宋体"/>
                <w:iCs/>
                <w:color w:val="000000" w:themeColor="text1"/>
                <w:szCs w:val="21"/>
                <w:highlight w:val="none"/>
                <w:u w:val="single"/>
                <w14:textFill>
                  <w14:solidFill>
                    <w14:schemeClr w14:val="tx1"/>
                  </w14:solidFill>
                </w14:textFill>
              </w:rPr>
              <w:t xml:space="preserve">          太仓市          </w:t>
            </w:r>
            <w:r>
              <w:rPr>
                <w:rFonts w:hint="eastAsia" w:ascii="宋体" w:hAnsi="宋体" w:cs="宋体"/>
                <w:iCs/>
                <w:color w:val="000000" w:themeColor="text1"/>
                <w:szCs w:val="21"/>
                <w:highlight w:val="none"/>
                <w14:textFill>
                  <w14:solidFill>
                    <w14:schemeClr w14:val="tx1"/>
                  </w14:solidFill>
                </w14:textFill>
              </w:rPr>
              <w:t>人民法院起诉。</w:t>
            </w:r>
          </w:p>
        </w:tc>
      </w:tr>
      <w:tr w14:paraId="7FCFA1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33AC2E15">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8E861FC">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第23.1款</w:t>
            </w:r>
          </w:p>
        </w:tc>
        <w:tc>
          <w:tcPr>
            <w:tcW w:w="1742" w:type="dxa"/>
            <w:vAlign w:val="center"/>
          </w:tcPr>
          <w:p w14:paraId="43B52BB4">
            <w:pP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其他专用条款</w:t>
            </w:r>
          </w:p>
        </w:tc>
        <w:tc>
          <w:tcPr>
            <w:tcW w:w="5170" w:type="dxa"/>
            <w:vAlign w:val="center"/>
          </w:tcPr>
          <w:p w14:paraId="3499AE6E">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p>
          <w:p w14:paraId="4513E295">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p>
        </w:tc>
      </w:tr>
    </w:tbl>
    <w:p w14:paraId="0AACD8DC">
      <w:pPr>
        <w:pBdr>
          <w:top w:val="none" w:color="000000" w:sz="0" w:space="0"/>
          <w:left w:val="none" w:color="000000" w:sz="0" w:space="0"/>
          <w:bottom w:val="none" w:color="000000" w:sz="0" w:space="0"/>
          <w:right w:val="none" w:color="000000" w:sz="0" w:space="0"/>
        </w:pBdr>
        <w:spacing w:line="480" w:lineRule="exact"/>
        <w:rPr>
          <w:rFonts w:ascii="宋体" w:hAnsi="宋体" w:cs="宋体"/>
          <w:color w:val="000000" w:themeColor="text1"/>
          <w:sz w:val="24"/>
          <w:highlight w:val="none"/>
          <w14:textFill>
            <w14:solidFill>
              <w14:schemeClr w14:val="tx1"/>
            </w14:solidFill>
          </w14:textFill>
        </w:rPr>
      </w:pPr>
    </w:p>
    <w:p w14:paraId="79EE8D7E">
      <w:pPr>
        <w:pBdr>
          <w:top w:val="none" w:color="000000" w:sz="0" w:space="0"/>
          <w:left w:val="none" w:color="000000" w:sz="0" w:space="0"/>
          <w:bottom w:val="none" w:color="000000" w:sz="0" w:space="0"/>
          <w:right w:val="none" w:color="000000" w:sz="0" w:space="0"/>
        </w:pBdr>
        <w:spacing w:before="240" w:after="240"/>
        <w:jc w:val="left"/>
        <w:rPr>
          <w:rFonts w:ascii="宋体" w:hAnsi="宋体" w:cs="宋体"/>
          <w:highlight w:val="none"/>
        </w:rPr>
      </w:pPr>
      <w:r>
        <w:rPr>
          <w:rFonts w:hint="eastAsia" w:ascii="宋体" w:hAnsi="宋体" w:cs="宋体"/>
          <w:sz w:val="24"/>
          <w:highlight w:val="none"/>
        </w:rPr>
        <w:t> </w:t>
      </w:r>
    </w:p>
    <w:p w14:paraId="6F420001">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highlight w:val="none"/>
        </w:rPr>
      </w:pPr>
      <w:r>
        <w:rPr>
          <w:rFonts w:hint="eastAsia" w:ascii="宋体" w:hAnsi="宋体" w:cs="宋体"/>
          <w:sz w:val="24"/>
          <w:highlight w:val="none"/>
        </w:rPr>
        <w:t>（全文完）</w:t>
      </w:r>
    </w:p>
    <w:p w14:paraId="13B30B5B">
      <w:pPr>
        <w:spacing w:line="500" w:lineRule="exact"/>
        <w:rPr>
          <w:rFonts w:ascii="宋体" w:hAnsi="宋体" w:cs="宋体"/>
          <w:sz w:val="24"/>
          <w:highlight w:val="none"/>
        </w:rPr>
      </w:pPr>
    </w:p>
    <w:sectPr>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MiSans">
    <w:altName w:val="Calibri"/>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68D3E">
    <w:pPr>
      <w:pStyle w:val="225"/>
    </w:pPr>
    <w:r>
      <mc:AlternateContent>
        <mc:Choice Requires="wps">
          <w:drawing>
            <wp:anchor distT="0" distB="0" distL="114300" distR="114300" simplePos="0" relativeHeight="251660288"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67621" cy="325561"/>
                      </a:xfrm>
                      <a:prstGeom prst="rect">
                        <a:avLst/>
                      </a:prstGeom>
                      <a:noFill/>
                      <a:ln>
                        <a:noFill/>
                      </a:ln>
                    </wps:spPr>
                    <wps:txbx>
                      <w:txbxContent>
                        <w:p w14:paraId="1B17D604">
                          <w:pPr>
                            <w:pStyle w:val="225"/>
                            <w:tabs>
                              <w:tab w:val="clear" w:pos="7143"/>
                              <w:tab w:val="clear" w:pos="14287"/>
                            </w:tabs>
                          </w:pPr>
                        </w:p>
                        <w:p w14:paraId="1091EEC3"/>
                      </w:txbxContent>
                    </wps:txbx>
                    <wps:bodyPr wrap="none" lIns="0" tIns="0" rIns="0" bIns="0" upright="1">
                      <a:spAutoFit/>
                    </wps:bodyPr>
                  </wps:wsp>
                </a:graphicData>
              </a:graphic>
            </wp:anchor>
          </w:drawing>
        </mc:Choice>
        <mc:Fallback>
          <w:pict>
            <v:shape id="_x0000_s1026" o:spid="_x0000_s1026" o:spt="202" type="#_x0000_t202" style="position:absolute;left:0pt;margin-left:192.2pt;margin-top:-0.65pt;height:144pt;width:144pt;mso-position-horizontal-relative:margin;mso-wrap-style:none;z-index:251660288;mso-width-relative:page;mso-height-relative:page;" filled="f" stroked="f" coordsize="21600,21600" o:gfxdata="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aVarT1wAAAAoBAAAPAAAAAAAAAAEA&#10;IAAAACIAAABkcnMvZG93bnJldi54bWxQSwECFAAUAAAACACHTuJAb1dn19cBAACmAwAADgAAAAAA&#10;AAABACAAAAAmAQAAZHJzL2Uyb0RvYy54bWxQSwUGAAAAAAYABgBZAQAAbwUAAAAA&#10;">
              <v:fill on="f" focussize="0,0"/>
              <v:stroke on="f"/>
              <v:imagedata o:title=""/>
              <o:lock v:ext="edit" aspectratio="f"/>
              <v:textbox inset="0mm,0mm,0mm,0mm" style="mso-fit-shape-to-text:t;">
                <w:txbxContent>
                  <w:p w14:paraId="1B17D604">
                    <w:pPr>
                      <w:pStyle w:val="225"/>
                      <w:tabs>
                        <w:tab w:val="clear" w:pos="7143"/>
                        <w:tab w:val="clear" w:pos="14287"/>
                      </w:tabs>
                    </w:pPr>
                  </w:p>
                  <w:p w14:paraId="1091EEC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D231B">
    <w:pPr>
      <w:pStyle w:val="225"/>
    </w:pPr>
    <w:r>
      <mc:AlternateContent>
        <mc:Choice Requires="wps">
          <w:drawing>
            <wp:anchor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7621" cy="325561"/>
                      </a:xfrm>
                      <a:prstGeom prst="rect">
                        <a:avLst/>
                      </a:prstGeom>
                      <a:noFill/>
                      <a:ln>
                        <a:noFill/>
                      </a:ln>
                    </wps:spPr>
                    <wps:txbx>
                      <w:txbxContent>
                        <w:p w14:paraId="2ED9CAEB">
                          <w:pPr>
                            <w:pStyle w:val="225"/>
                            <w:tabs>
                              <w:tab w:val="clear" w:pos="7143"/>
                              <w:tab w:val="clear" w:pos="14287"/>
                            </w:tabs>
                          </w:pPr>
                        </w:p>
                        <w:p w14:paraId="4F537195"/>
                      </w:txbxContent>
                    </wps:txbx>
                    <wps:bodyPr wrap="none" lIns="0" tIns="0" rIns="0" bIns="0" upright="1">
                      <a:spAutoFit/>
                    </wps:bodyPr>
                  </wps:wsp>
                </a:graphicData>
              </a:graphic>
            </wp:anchor>
          </w:drawing>
        </mc:Choice>
        <mc:Fallback>
          <w:pict>
            <v:shape id="_x0000_s1026" o:spid="_x0000_s1026" o:spt="202" type="#_x0000_t202" style="position:absolute;left:0pt;margin-left:192.2pt;margin-top:-0.65pt;height:144pt;width:144pt;mso-position-horizontal-relative:margin;mso-wrap-style:none;z-index:251659264;mso-width-relative:page;mso-height-relative:page;" filled="f" stroked="f" coordsize="21600,21600" o:gfxdata="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pVqtPXAAAACgEAAA8AAAAAAAAAAQAg&#10;AAAAIgAAAGRycy9kb3ducmV2LnhtbFBLAQIUABQAAAAIAIdO4kB4wURi1gEAAKQDAAAOAAAAAAAA&#10;AAEAIAAAACYBAABkcnMvZTJvRG9jLnhtbFBLBQYAAAAABgAGAFkBAABuBQAAAAA=&#10;">
              <v:fill on="f" focussize="0,0"/>
              <v:stroke on="f"/>
              <v:imagedata o:title=""/>
              <o:lock v:ext="edit" aspectratio="f"/>
              <v:textbox inset="0mm,0mm,0mm,0mm" style="mso-fit-shape-to-text:t;">
                <w:txbxContent>
                  <w:p w14:paraId="2ED9CAEB">
                    <w:pPr>
                      <w:pStyle w:val="225"/>
                      <w:tabs>
                        <w:tab w:val="clear" w:pos="7143"/>
                        <w:tab w:val="clear" w:pos="14287"/>
                      </w:tabs>
                    </w:pPr>
                  </w:p>
                  <w:p w14:paraId="4F537195"/>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21B585"/>
    <w:multiLevelType w:val="singleLevel"/>
    <w:tmpl w:val="AE21B585"/>
    <w:lvl w:ilvl="0" w:tentative="0">
      <w:start w:val="6"/>
      <w:numFmt w:val="chineseCounting"/>
      <w:suff w:val="space"/>
      <w:lvlText w:val="第%1部分"/>
      <w:lvlJc w:val="left"/>
      <w:rPr>
        <w:rFonts w:hint="eastAsia"/>
      </w:rPr>
    </w:lvl>
  </w:abstractNum>
  <w:abstractNum w:abstractNumId="1">
    <w:nsid w:val="B0F1ACD9"/>
    <w:multiLevelType w:val="multilevel"/>
    <w:tmpl w:val="B0F1ACD9"/>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E640482"/>
    <w:multiLevelType w:val="multilevel"/>
    <w:tmpl w:val="0E640482"/>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109F5A3B"/>
    <w:multiLevelType w:val="multilevel"/>
    <w:tmpl w:val="109F5A3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6A08BB8"/>
    <w:multiLevelType w:val="multilevel"/>
    <w:tmpl w:val="46A08BB8"/>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4C1BAE26"/>
    <w:multiLevelType w:val="multilevel"/>
    <w:tmpl w:val="4C1BAE26"/>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60F44897"/>
    <w:multiLevelType w:val="multilevel"/>
    <w:tmpl w:val="60F4489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7ECEA79"/>
    <w:multiLevelType w:val="multilevel"/>
    <w:tmpl w:val="77ECEA79"/>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7C246926"/>
    <w:multiLevelType w:val="multilevel"/>
    <w:tmpl w:val="7C246926"/>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7"/>
  </w:num>
  <w:num w:numId="2">
    <w:abstractNumId w:val="4"/>
  </w:num>
  <w:num w:numId="3">
    <w:abstractNumId w:val="2"/>
  </w:num>
  <w:num w:numId="4">
    <w:abstractNumId w:val="0"/>
  </w:num>
  <w:num w:numId="5">
    <w:abstractNumId w:val="6"/>
  </w:num>
  <w:num w:numId="6">
    <w:abstractNumId w:val="3"/>
  </w:num>
  <w:num w:numId="7">
    <w:abstractNumId w:val="5"/>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revisionView w:markup="0"/>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8C6"/>
    <w:rsid w:val="000035EC"/>
    <w:rsid w:val="00027383"/>
    <w:rsid w:val="00033CE1"/>
    <w:rsid w:val="00041AA8"/>
    <w:rsid w:val="0007124D"/>
    <w:rsid w:val="00072EF2"/>
    <w:rsid w:val="000800C3"/>
    <w:rsid w:val="000B0F73"/>
    <w:rsid w:val="000D4824"/>
    <w:rsid w:val="000D5700"/>
    <w:rsid w:val="000F1021"/>
    <w:rsid w:val="000F4766"/>
    <w:rsid w:val="001024C1"/>
    <w:rsid w:val="001050BD"/>
    <w:rsid w:val="001362E7"/>
    <w:rsid w:val="00183D57"/>
    <w:rsid w:val="001942D0"/>
    <w:rsid w:val="00197616"/>
    <w:rsid w:val="001A3AF4"/>
    <w:rsid w:val="00204D9E"/>
    <w:rsid w:val="002338A0"/>
    <w:rsid w:val="0026297F"/>
    <w:rsid w:val="00272C9C"/>
    <w:rsid w:val="002A25BF"/>
    <w:rsid w:val="002A734F"/>
    <w:rsid w:val="002D0E06"/>
    <w:rsid w:val="002D688F"/>
    <w:rsid w:val="002F7294"/>
    <w:rsid w:val="003165C2"/>
    <w:rsid w:val="003230AF"/>
    <w:rsid w:val="0035012D"/>
    <w:rsid w:val="00386963"/>
    <w:rsid w:val="00397858"/>
    <w:rsid w:val="003B0138"/>
    <w:rsid w:val="003E1A59"/>
    <w:rsid w:val="00452238"/>
    <w:rsid w:val="00463666"/>
    <w:rsid w:val="00497C46"/>
    <w:rsid w:val="004A628B"/>
    <w:rsid w:val="004A788C"/>
    <w:rsid w:val="004E1613"/>
    <w:rsid w:val="004E60B1"/>
    <w:rsid w:val="005036A0"/>
    <w:rsid w:val="00507C8D"/>
    <w:rsid w:val="00540DDF"/>
    <w:rsid w:val="00550143"/>
    <w:rsid w:val="0059367D"/>
    <w:rsid w:val="005B7985"/>
    <w:rsid w:val="005C1438"/>
    <w:rsid w:val="005C6273"/>
    <w:rsid w:val="005F2A1F"/>
    <w:rsid w:val="005F5C06"/>
    <w:rsid w:val="0065734E"/>
    <w:rsid w:val="00667321"/>
    <w:rsid w:val="00673DB0"/>
    <w:rsid w:val="00682679"/>
    <w:rsid w:val="006B6AAC"/>
    <w:rsid w:val="006D0916"/>
    <w:rsid w:val="006D56C1"/>
    <w:rsid w:val="006E11B3"/>
    <w:rsid w:val="006E71BB"/>
    <w:rsid w:val="00702581"/>
    <w:rsid w:val="0071669F"/>
    <w:rsid w:val="0074485A"/>
    <w:rsid w:val="00747756"/>
    <w:rsid w:val="0077294A"/>
    <w:rsid w:val="00783ADA"/>
    <w:rsid w:val="00783DF7"/>
    <w:rsid w:val="007945B4"/>
    <w:rsid w:val="007C085A"/>
    <w:rsid w:val="007D5946"/>
    <w:rsid w:val="007E0892"/>
    <w:rsid w:val="007F3731"/>
    <w:rsid w:val="007F7B35"/>
    <w:rsid w:val="0082093B"/>
    <w:rsid w:val="00837319"/>
    <w:rsid w:val="00842B3C"/>
    <w:rsid w:val="008538D7"/>
    <w:rsid w:val="0085540B"/>
    <w:rsid w:val="00866F28"/>
    <w:rsid w:val="0088647D"/>
    <w:rsid w:val="008C321D"/>
    <w:rsid w:val="008F5C4D"/>
    <w:rsid w:val="00903A38"/>
    <w:rsid w:val="00924494"/>
    <w:rsid w:val="00943577"/>
    <w:rsid w:val="00943F7B"/>
    <w:rsid w:val="00972BF5"/>
    <w:rsid w:val="00996861"/>
    <w:rsid w:val="009A73D3"/>
    <w:rsid w:val="00A26797"/>
    <w:rsid w:val="00A714ED"/>
    <w:rsid w:val="00A90AE0"/>
    <w:rsid w:val="00B17A35"/>
    <w:rsid w:val="00B35B3C"/>
    <w:rsid w:val="00B5783C"/>
    <w:rsid w:val="00B63C4B"/>
    <w:rsid w:val="00B647F3"/>
    <w:rsid w:val="00B73958"/>
    <w:rsid w:val="00BD118D"/>
    <w:rsid w:val="00BF3375"/>
    <w:rsid w:val="00C05993"/>
    <w:rsid w:val="00C22712"/>
    <w:rsid w:val="00C337E2"/>
    <w:rsid w:val="00C364F4"/>
    <w:rsid w:val="00C37468"/>
    <w:rsid w:val="00C423E9"/>
    <w:rsid w:val="00C52729"/>
    <w:rsid w:val="00C601C4"/>
    <w:rsid w:val="00C65577"/>
    <w:rsid w:val="00CC2EA8"/>
    <w:rsid w:val="00CE44E5"/>
    <w:rsid w:val="00CF1088"/>
    <w:rsid w:val="00D02D4B"/>
    <w:rsid w:val="00D0507C"/>
    <w:rsid w:val="00D14D9B"/>
    <w:rsid w:val="00D830D2"/>
    <w:rsid w:val="00DA58C6"/>
    <w:rsid w:val="00DB3CFD"/>
    <w:rsid w:val="00DC29E2"/>
    <w:rsid w:val="00DC64B4"/>
    <w:rsid w:val="00DD02B7"/>
    <w:rsid w:val="00E07DCE"/>
    <w:rsid w:val="00E40BC2"/>
    <w:rsid w:val="00E44244"/>
    <w:rsid w:val="00E62B38"/>
    <w:rsid w:val="00E64393"/>
    <w:rsid w:val="00E85DBA"/>
    <w:rsid w:val="00E9787E"/>
    <w:rsid w:val="00EE0665"/>
    <w:rsid w:val="00EE284A"/>
    <w:rsid w:val="00F0516A"/>
    <w:rsid w:val="00F33C1B"/>
    <w:rsid w:val="00F51A47"/>
    <w:rsid w:val="00F558C4"/>
    <w:rsid w:val="00FB69B9"/>
    <w:rsid w:val="00FC14BC"/>
    <w:rsid w:val="00FF0EAE"/>
    <w:rsid w:val="00FF24CE"/>
    <w:rsid w:val="00FF448E"/>
    <w:rsid w:val="012E59E9"/>
    <w:rsid w:val="025B2DC4"/>
    <w:rsid w:val="02E16CA8"/>
    <w:rsid w:val="04514169"/>
    <w:rsid w:val="05B1372E"/>
    <w:rsid w:val="064D14C2"/>
    <w:rsid w:val="0681118B"/>
    <w:rsid w:val="07A12376"/>
    <w:rsid w:val="07E66134"/>
    <w:rsid w:val="08335BAA"/>
    <w:rsid w:val="08FA0E71"/>
    <w:rsid w:val="09C35E1E"/>
    <w:rsid w:val="09FD148C"/>
    <w:rsid w:val="0A532FFD"/>
    <w:rsid w:val="0AD24FED"/>
    <w:rsid w:val="0C2A3F33"/>
    <w:rsid w:val="0C664935"/>
    <w:rsid w:val="0D796FEF"/>
    <w:rsid w:val="0DE14AC5"/>
    <w:rsid w:val="0EAA3109"/>
    <w:rsid w:val="0F1A40CA"/>
    <w:rsid w:val="0F8676D2"/>
    <w:rsid w:val="101C7A12"/>
    <w:rsid w:val="103E5B82"/>
    <w:rsid w:val="10AA5642"/>
    <w:rsid w:val="1146308A"/>
    <w:rsid w:val="12011AE3"/>
    <w:rsid w:val="125F07A5"/>
    <w:rsid w:val="12CD5618"/>
    <w:rsid w:val="14890F64"/>
    <w:rsid w:val="157D1577"/>
    <w:rsid w:val="1627435B"/>
    <w:rsid w:val="17964BA4"/>
    <w:rsid w:val="17A5700C"/>
    <w:rsid w:val="189F55F4"/>
    <w:rsid w:val="18F46DAC"/>
    <w:rsid w:val="19882298"/>
    <w:rsid w:val="1997072D"/>
    <w:rsid w:val="1A271AB1"/>
    <w:rsid w:val="1B544B28"/>
    <w:rsid w:val="1C17187A"/>
    <w:rsid w:val="220675DB"/>
    <w:rsid w:val="22C02AA3"/>
    <w:rsid w:val="2355768F"/>
    <w:rsid w:val="23C1633C"/>
    <w:rsid w:val="24555CC0"/>
    <w:rsid w:val="254A0D4A"/>
    <w:rsid w:val="27497710"/>
    <w:rsid w:val="28822480"/>
    <w:rsid w:val="291B3889"/>
    <w:rsid w:val="29372115"/>
    <w:rsid w:val="29B72D6C"/>
    <w:rsid w:val="29C56BF1"/>
    <w:rsid w:val="2A154580"/>
    <w:rsid w:val="2A823751"/>
    <w:rsid w:val="2B271B22"/>
    <w:rsid w:val="2B551EE7"/>
    <w:rsid w:val="2BD56553"/>
    <w:rsid w:val="2C1C3440"/>
    <w:rsid w:val="2DAA5CDE"/>
    <w:rsid w:val="2E1D10AC"/>
    <w:rsid w:val="2E386FA3"/>
    <w:rsid w:val="2FC5551C"/>
    <w:rsid w:val="2FCF66E9"/>
    <w:rsid w:val="300A2C1B"/>
    <w:rsid w:val="30AB6B41"/>
    <w:rsid w:val="313A1990"/>
    <w:rsid w:val="32582CF8"/>
    <w:rsid w:val="327B0011"/>
    <w:rsid w:val="32FA4280"/>
    <w:rsid w:val="33B1543F"/>
    <w:rsid w:val="368F0CB2"/>
    <w:rsid w:val="374E4FAD"/>
    <w:rsid w:val="37D06A81"/>
    <w:rsid w:val="38111241"/>
    <w:rsid w:val="39352F70"/>
    <w:rsid w:val="3A35391F"/>
    <w:rsid w:val="3A431559"/>
    <w:rsid w:val="3B1B48C3"/>
    <w:rsid w:val="3D12591E"/>
    <w:rsid w:val="3D7309E6"/>
    <w:rsid w:val="3D9D5A63"/>
    <w:rsid w:val="3DD27E02"/>
    <w:rsid w:val="40A0012A"/>
    <w:rsid w:val="416E3928"/>
    <w:rsid w:val="41D1468A"/>
    <w:rsid w:val="42977B84"/>
    <w:rsid w:val="42DC4800"/>
    <w:rsid w:val="44B32884"/>
    <w:rsid w:val="450D755A"/>
    <w:rsid w:val="462D7B89"/>
    <w:rsid w:val="466355CA"/>
    <w:rsid w:val="469D6AD4"/>
    <w:rsid w:val="46D00713"/>
    <w:rsid w:val="47F973A8"/>
    <w:rsid w:val="48994B52"/>
    <w:rsid w:val="490270C2"/>
    <w:rsid w:val="4BC204ED"/>
    <w:rsid w:val="4BC506C5"/>
    <w:rsid w:val="4CC53047"/>
    <w:rsid w:val="4E0D09E3"/>
    <w:rsid w:val="5197323C"/>
    <w:rsid w:val="51AE7C9B"/>
    <w:rsid w:val="51DF3E47"/>
    <w:rsid w:val="520E61F6"/>
    <w:rsid w:val="52CB49C9"/>
    <w:rsid w:val="530D7911"/>
    <w:rsid w:val="534D346C"/>
    <w:rsid w:val="53BF776A"/>
    <w:rsid w:val="53F1045F"/>
    <w:rsid w:val="54434FD7"/>
    <w:rsid w:val="55E8746E"/>
    <w:rsid w:val="567333AD"/>
    <w:rsid w:val="56DA600B"/>
    <w:rsid w:val="57366E77"/>
    <w:rsid w:val="57505850"/>
    <w:rsid w:val="58B109C7"/>
    <w:rsid w:val="58C3686E"/>
    <w:rsid w:val="591B2991"/>
    <w:rsid w:val="59DB6FB2"/>
    <w:rsid w:val="5C5B0FF1"/>
    <w:rsid w:val="5D2B35FF"/>
    <w:rsid w:val="5EC8350B"/>
    <w:rsid w:val="605709F3"/>
    <w:rsid w:val="606B3759"/>
    <w:rsid w:val="62B21DE1"/>
    <w:rsid w:val="648A2A85"/>
    <w:rsid w:val="655C5125"/>
    <w:rsid w:val="67605AEC"/>
    <w:rsid w:val="69110F2F"/>
    <w:rsid w:val="69114CB6"/>
    <w:rsid w:val="69DD454A"/>
    <w:rsid w:val="6A663B56"/>
    <w:rsid w:val="6A7A0D56"/>
    <w:rsid w:val="6B503F41"/>
    <w:rsid w:val="6B881251"/>
    <w:rsid w:val="6CD77686"/>
    <w:rsid w:val="6DCD222E"/>
    <w:rsid w:val="6DCE2735"/>
    <w:rsid w:val="6ED053E9"/>
    <w:rsid w:val="6FF0459E"/>
    <w:rsid w:val="70291255"/>
    <w:rsid w:val="702C5302"/>
    <w:rsid w:val="721B227F"/>
    <w:rsid w:val="725A12AF"/>
    <w:rsid w:val="727D7A12"/>
    <w:rsid w:val="73651595"/>
    <w:rsid w:val="73DA4A3B"/>
    <w:rsid w:val="742E2774"/>
    <w:rsid w:val="74B26A33"/>
    <w:rsid w:val="76A827A7"/>
    <w:rsid w:val="778D20C9"/>
    <w:rsid w:val="78B13E9E"/>
    <w:rsid w:val="7999366C"/>
    <w:rsid w:val="79A62A75"/>
    <w:rsid w:val="7B3E1E9B"/>
    <w:rsid w:val="7C1953F2"/>
    <w:rsid w:val="7C907F65"/>
    <w:rsid w:val="7CC145C3"/>
    <w:rsid w:val="7D474AC8"/>
    <w:rsid w:val="7D5A0C9F"/>
    <w:rsid w:val="7D750B71"/>
    <w:rsid w:val="7DA60B3D"/>
    <w:rsid w:val="7E344CC3"/>
    <w:rsid w:val="7F3B4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4">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8"/>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2"/>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3"/>
    <w:link w:val="259"/>
    <w:qFormat/>
    <w:uiPriority w:val="0"/>
    <w:pPr>
      <w:spacing w:after="200" w:line="276" w:lineRule="auto"/>
    </w:pPr>
    <w:rPr>
      <w:rFonts w:eastAsiaTheme="minorHAnsi"/>
      <w:szCs w:val="20"/>
      <w:lang w:eastAsia="en-US"/>
    </w:rPr>
  </w:style>
  <w:style w:type="paragraph" w:styleId="3">
    <w:name w:val="Body Text"/>
    <w:basedOn w:val="1"/>
    <w:next w:val="1"/>
    <w:link w:val="260"/>
    <w:qFormat/>
    <w:uiPriority w:val="99"/>
    <w:pPr>
      <w:widowControl/>
      <w:spacing w:after="200" w:line="276" w:lineRule="auto"/>
      <w:jc w:val="left"/>
    </w:pPr>
    <w:rPr>
      <w:rFonts w:ascii="楷体_GB2312" w:hAnsi="Arial" w:eastAsia="楷体_GB2312"/>
      <w:sz w:val="28"/>
      <w:lang w:eastAsia="en-US"/>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57"/>
    <w:semiHidden/>
    <w:unhideWhenUsed/>
    <w:qFormat/>
    <w:uiPriority w:val="99"/>
    <w:pPr>
      <w:jc w:val="left"/>
    </w:pPr>
  </w:style>
  <w:style w:type="paragraph" w:styleId="16">
    <w:name w:val="Body Text Indent"/>
    <w:basedOn w:val="1"/>
    <w:next w:val="1"/>
    <w:qFormat/>
    <w:uiPriority w:val="0"/>
    <w:pPr>
      <w:spacing w:line="312" w:lineRule="atLeast"/>
      <w:ind w:firstLine="574"/>
    </w:pPr>
    <w:rPr>
      <w:rFonts w:ascii="宋体"/>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211"/>
    <w:semiHidden/>
    <w:unhideWhenUsed/>
    <w:qFormat/>
    <w:uiPriority w:val="99"/>
    <w:rPr>
      <w:sz w:val="20"/>
    </w:rPr>
  </w:style>
  <w:style w:type="paragraph" w:styleId="22">
    <w:name w:val="Balloon Text"/>
    <w:basedOn w:val="1"/>
    <w:link w:val="256"/>
    <w:semiHidden/>
    <w:unhideWhenUsed/>
    <w:qFormat/>
    <w:uiPriority w:val="99"/>
    <w:rPr>
      <w:sz w:val="18"/>
      <w:szCs w:val="18"/>
    </w:rPr>
  </w:style>
  <w:style w:type="paragraph" w:styleId="23">
    <w:name w:val="footer"/>
    <w:basedOn w:val="1"/>
    <w:link w:val="103"/>
    <w:unhideWhenUsed/>
    <w:qFormat/>
    <w:uiPriority w:val="99"/>
    <w:pPr>
      <w:tabs>
        <w:tab w:val="center" w:pos="7143"/>
        <w:tab w:val="right" w:pos="14287"/>
      </w:tabs>
    </w:pPr>
  </w:style>
  <w:style w:type="paragraph" w:styleId="24">
    <w:name w:val="header"/>
    <w:basedOn w:val="1"/>
    <w:link w:val="10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6"/>
    <w:qFormat/>
    <w:uiPriority w:val="11"/>
    <w:pPr>
      <w:spacing w:before="200" w:after="200"/>
    </w:pPr>
    <w:rPr>
      <w:sz w:val="24"/>
    </w:rPr>
  </w:style>
  <w:style w:type="paragraph" w:styleId="28">
    <w:name w:val="footnote text"/>
    <w:basedOn w:val="1"/>
    <w:link w:val="21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after="200" w:line="276" w:lineRule="auto"/>
    </w:pPr>
    <w:rPr>
      <w:rFonts w:eastAsiaTheme="minorHAnsi"/>
      <w:sz w:val="22"/>
      <w:szCs w:val="20"/>
      <w:lang w:eastAsia="en-US"/>
    </w:rPr>
  </w:style>
  <w:style w:type="paragraph" w:styleId="34">
    <w:name w:val="Title"/>
    <w:basedOn w:val="1"/>
    <w:next w:val="1"/>
    <w:link w:val="95"/>
    <w:qFormat/>
    <w:uiPriority w:val="10"/>
    <w:pPr>
      <w:spacing w:before="300" w:after="200"/>
      <w:contextualSpacing/>
    </w:pPr>
    <w:rPr>
      <w:sz w:val="48"/>
      <w:szCs w:val="48"/>
    </w:rPr>
  </w:style>
  <w:style w:type="paragraph" w:styleId="35">
    <w:name w:val="annotation subject"/>
    <w:basedOn w:val="15"/>
    <w:next w:val="15"/>
    <w:link w:val="258"/>
    <w:semiHidden/>
    <w:unhideWhenUsed/>
    <w:qFormat/>
    <w:uiPriority w:val="99"/>
    <w:rPr>
      <w:b/>
      <w:bCs/>
    </w:rPr>
  </w:style>
  <w:style w:type="paragraph" w:styleId="36">
    <w:name w:val="Body Text First Indent"/>
    <w:basedOn w:val="1"/>
    <w:next w:val="1"/>
    <w:qFormat/>
    <w:uiPriority w:val="0"/>
    <w:pPr>
      <w:spacing w:after="120"/>
      <w:ind w:firstLine="420"/>
    </w:pPr>
    <w:rPr>
      <w:rFonts w:ascii="Tahoma" w:hAnsi="Tahoma" w:eastAsia="Times New Roman"/>
    </w:rPr>
  </w:style>
  <w:style w:type="paragraph" w:styleId="37">
    <w:name w:val="Body Text First Indent 2"/>
    <w:basedOn w:val="16"/>
    <w:unhideWhenUsed/>
    <w:qFormat/>
    <w:uiPriority w:val="99"/>
    <w:pPr>
      <w:widowControl/>
      <w:ind w:firstLine="420"/>
      <w:jc w:val="left"/>
    </w:pPr>
    <w:rPr>
      <w:rFonts w:ascii="Times New Roman" w:eastAsiaTheme="minorHAnsi"/>
      <w:sz w:val="24"/>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semiHidden/>
    <w:unhideWhenUsed/>
    <w:qFormat/>
    <w:uiPriority w:val="99"/>
    <w:rPr>
      <w:vertAlign w:val="superscript"/>
    </w:rPr>
  </w:style>
  <w:style w:type="character" w:styleId="43">
    <w:name w:val="Emphasis"/>
    <w:basedOn w:val="40"/>
    <w:qFormat/>
    <w:uiPriority w:val="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0"/>
    <w:semiHidden/>
    <w:unhideWhenUsed/>
    <w:qFormat/>
    <w:uiPriority w:val="99"/>
    <w:rPr>
      <w:sz w:val="21"/>
      <w:szCs w:val="21"/>
    </w:rPr>
  </w:style>
  <w:style w:type="character" w:styleId="46">
    <w:name w:val="footnote reference"/>
    <w:unhideWhenUsed/>
    <w:qFormat/>
    <w:uiPriority w:val="99"/>
    <w:rPr>
      <w:vertAlign w:val="superscript"/>
    </w:rPr>
  </w:style>
  <w:style w:type="character" w:customStyle="1" w:styleId="47">
    <w:name w:val="Heading 1 Char"/>
    <w:basedOn w:val="40"/>
    <w:qFormat/>
    <w:uiPriority w:val="9"/>
    <w:rPr>
      <w:rFonts w:ascii="Arial" w:hAnsi="Arial" w:eastAsia="Arial" w:cs="Arial"/>
      <w:sz w:val="40"/>
      <w:szCs w:val="40"/>
    </w:rPr>
  </w:style>
  <w:style w:type="character" w:customStyle="1" w:styleId="48">
    <w:name w:val="Heading 2 Char"/>
    <w:basedOn w:val="40"/>
    <w:qFormat/>
    <w:uiPriority w:val="9"/>
    <w:rPr>
      <w:rFonts w:ascii="Arial" w:hAnsi="Arial" w:eastAsia="Arial" w:cs="Arial"/>
      <w:sz w:val="34"/>
    </w:rPr>
  </w:style>
  <w:style w:type="character" w:customStyle="1" w:styleId="49">
    <w:name w:val="Heading 3 Char"/>
    <w:basedOn w:val="40"/>
    <w:qFormat/>
    <w:uiPriority w:val="9"/>
    <w:rPr>
      <w:rFonts w:ascii="Arial" w:hAnsi="Arial" w:eastAsia="Arial" w:cs="Arial"/>
      <w:sz w:val="30"/>
      <w:szCs w:val="30"/>
    </w:rPr>
  </w:style>
  <w:style w:type="character" w:customStyle="1" w:styleId="50">
    <w:name w:val="Heading 4 Char"/>
    <w:basedOn w:val="40"/>
    <w:qFormat/>
    <w:uiPriority w:val="9"/>
    <w:rPr>
      <w:rFonts w:ascii="Arial" w:hAnsi="Arial" w:eastAsia="Arial" w:cs="Arial"/>
      <w:b/>
      <w:bCs/>
      <w:sz w:val="26"/>
      <w:szCs w:val="26"/>
    </w:rPr>
  </w:style>
  <w:style w:type="character" w:customStyle="1" w:styleId="51">
    <w:name w:val="Heading 5 Char"/>
    <w:basedOn w:val="40"/>
    <w:qFormat/>
    <w:uiPriority w:val="9"/>
    <w:rPr>
      <w:rFonts w:ascii="Arial" w:hAnsi="Arial" w:eastAsia="Arial" w:cs="Arial"/>
      <w:b/>
      <w:bCs/>
      <w:sz w:val="24"/>
      <w:szCs w:val="24"/>
    </w:rPr>
  </w:style>
  <w:style w:type="character" w:customStyle="1" w:styleId="52">
    <w:name w:val="Heading 6 Char"/>
    <w:basedOn w:val="40"/>
    <w:qFormat/>
    <w:uiPriority w:val="9"/>
    <w:rPr>
      <w:rFonts w:ascii="Arial" w:hAnsi="Arial" w:eastAsia="Arial" w:cs="Arial"/>
      <w:b/>
      <w:bCs/>
      <w:sz w:val="22"/>
      <w:szCs w:val="22"/>
    </w:rPr>
  </w:style>
  <w:style w:type="character" w:customStyle="1" w:styleId="53">
    <w:name w:val="Heading 7 Char"/>
    <w:basedOn w:val="40"/>
    <w:qFormat/>
    <w:uiPriority w:val="9"/>
    <w:rPr>
      <w:rFonts w:ascii="Arial" w:hAnsi="Arial" w:eastAsia="Arial" w:cs="Arial"/>
      <w:b/>
      <w:bCs/>
      <w:i/>
      <w:iCs/>
      <w:sz w:val="22"/>
      <w:szCs w:val="22"/>
    </w:rPr>
  </w:style>
  <w:style w:type="character" w:customStyle="1" w:styleId="54">
    <w:name w:val="Heading 8 Char"/>
    <w:basedOn w:val="40"/>
    <w:qFormat/>
    <w:uiPriority w:val="9"/>
    <w:rPr>
      <w:rFonts w:ascii="Arial" w:hAnsi="Arial" w:eastAsia="Arial" w:cs="Arial"/>
      <w:i/>
      <w:iCs/>
      <w:sz w:val="22"/>
      <w:szCs w:val="22"/>
    </w:rPr>
  </w:style>
  <w:style w:type="character" w:customStyle="1" w:styleId="55">
    <w:name w:val="Heading 9 Char"/>
    <w:basedOn w:val="40"/>
    <w:qFormat/>
    <w:uiPriority w:val="9"/>
    <w:rPr>
      <w:rFonts w:ascii="Arial" w:hAnsi="Arial" w:eastAsia="Arial" w:cs="Arial"/>
      <w:i/>
      <w:iCs/>
      <w:sz w:val="21"/>
      <w:szCs w:val="21"/>
    </w:rPr>
  </w:style>
  <w:style w:type="character" w:customStyle="1" w:styleId="56">
    <w:name w:val="Title Char"/>
    <w:basedOn w:val="40"/>
    <w:qFormat/>
    <w:uiPriority w:val="10"/>
    <w:rPr>
      <w:sz w:val="48"/>
      <w:szCs w:val="48"/>
    </w:rPr>
  </w:style>
  <w:style w:type="character" w:customStyle="1" w:styleId="57">
    <w:name w:val="Subtitle Char"/>
    <w:basedOn w:val="40"/>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0"/>
    <w:qFormat/>
    <w:uiPriority w:val="99"/>
  </w:style>
  <w:style w:type="character" w:customStyle="1" w:styleId="61">
    <w:name w:val="Caption Char"/>
    <w:qFormat/>
    <w:uiPriority w:val="99"/>
  </w:style>
  <w:style w:type="table" w:customStyle="1" w:styleId="62">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basedOn w:val="38"/>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basedOn w:val="38"/>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basedOn w:val="38"/>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清单表 1 浅色1"/>
    <w:basedOn w:val="38"/>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清单表 6 彩色1"/>
    <w:basedOn w:val="38"/>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清单表 7 彩色1"/>
    <w:basedOn w:val="38"/>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标题1"/>
    <w:unhideWhenUsed/>
    <w:qFormat/>
    <w:uiPriority w:val="39"/>
    <w:rPr>
      <w:rFonts w:ascii="Times New Roman" w:hAnsi="Times New Roman" w:eastAsia="宋体" w:cs="Times New Roman"/>
      <w:lang w:val="en-US" w:eastAsia="zh-CN" w:bidi="ar-SA"/>
    </w:rPr>
  </w:style>
  <w:style w:type="character" w:customStyle="1" w:styleId="84">
    <w:name w:val="标题 1 Char"/>
    <w:link w:val="4"/>
    <w:qFormat/>
    <w:uiPriority w:val="9"/>
    <w:rPr>
      <w:rFonts w:ascii="Arial" w:hAnsi="Arial" w:eastAsia="Arial" w:cs="Arial"/>
      <w:sz w:val="40"/>
      <w:szCs w:val="40"/>
    </w:rPr>
  </w:style>
  <w:style w:type="character" w:customStyle="1" w:styleId="85">
    <w:name w:val="标题 2 Char"/>
    <w:link w:val="5"/>
    <w:qFormat/>
    <w:uiPriority w:val="9"/>
    <w:rPr>
      <w:rFonts w:ascii="Arial" w:hAnsi="Arial" w:eastAsia="Arial" w:cs="Arial"/>
      <w:sz w:val="34"/>
    </w:rPr>
  </w:style>
  <w:style w:type="character" w:customStyle="1" w:styleId="86">
    <w:name w:val="标题 3 Char"/>
    <w:link w:val="6"/>
    <w:qFormat/>
    <w:uiPriority w:val="9"/>
    <w:rPr>
      <w:rFonts w:ascii="Arial" w:hAnsi="Arial" w:eastAsia="Arial" w:cs="Arial"/>
      <w:sz w:val="30"/>
      <w:szCs w:val="30"/>
    </w:rPr>
  </w:style>
  <w:style w:type="character" w:customStyle="1" w:styleId="87">
    <w:name w:val="标题 4 Char"/>
    <w:link w:val="7"/>
    <w:qFormat/>
    <w:uiPriority w:val="9"/>
    <w:rPr>
      <w:rFonts w:ascii="Arial" w:hAnsi="Arial" w:eastAsia="Arial" w:cs="Arial"/>
      <w:b/>
      <w:bCs/>
      <w:sz w:val="26"/>
      <w:szCs w:val="26"/>
    </w:rPr>
  </w:style>
  <w:style w:type="character" w:customStyle="1" w:styleId="88">
    <w:name w:val="标题 5 Char"/>
    <w:link w:val="8"/>
    <w:qFormat/>
    <w:uiPriority w:val="9"/>
    <w:rPr>
      <w:rFonts w:ascii="Arial" w:hAnsi="Arial" w:eastAsia="Arial" w:cs="Arial"/>
      <w:b/>
      <w:bCs/>
      <w:sz w:val="24"/>
      <w:szCs w:val="24"/>
    </w:rPr>
  </w:style>
  <w:style w:type="character" w:customStyle="1" w:styleId="89">
    <w:name w:val="标题 6 Char"/>
    <w:link w:val="9"/>
    <w:qFormat/>
    <w:uiPriority w:val="9"/>
    <w:rPr>
      <w:rFonts w:ascii="Arial" w:hAnsi="Arial" w:eastAsia="Arial" w:cs="Arial"/>
      <w:b/>
      <w:bCs/>
      <w:sz w:val="22"/>
      <w:szCs w:val="22"/>
    </w:rPr>
  </w:style>
  <w:style w:type="character" w:customStyle="1" w:styleId="90">
    <w:name w:val="标题 7 Char"/>
    <w:link w:val="10"/>
    <w:qFormat/>
    <w:uiPriority w:val="9"/>
    <w:rPr>
      <w:rFonts w:ascii="Arial" w:hAnsi="Arial" w:eastAsia="Arial" w:cs="Arial"/>
      <w:b/>
      <w:bCs/>
      <w:i/>
      <w:iCs/>
      <w:sz w:val="22"/>
      <w:szCs w:val="22"/>
    </w:rPr>
  </w:style>
  <w:style w:type="character" w:customStyle="1" w:styleId="91">
    <w:name w:val="标题 8 Char"/>
    <w:link w:val="11"/>
    <w:qFormat/>
    <w:uiPriority w:val="9"/>
    <w:rPr>
      <w:rFonts w:ascii="Arial" w:hAnsi="Arial" w:eastAsia="Arial" w:cs="Arial"/>
      <w:i/>
      <w:iCs/>
      <w:sz w:val="22"/>
      <w:szCs w:val="22"/>
    </w:rPr>
  </w:style>
  <w:style w:type="character" w:customStyle="1" w:styleId="92">
    <w:name w:val="标题 9 Char"/>
    <w:link w:val="12"/>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basedOn w:val="1"/>
    <w:qFormat/>
    <w:uiPriority w:val="1"/>
    <w:rPr>
      <w:rFonts w:ascii="Times New Roman" w:hAnsi="Times New Roman"/>
    </w:rPr>
  </w:style>
  <w:style w:type="character" w:customStyle="1" w:styleId="95">
    <w:name w:val="标题 Char"/>
    <w:link w:val="34"/>
    <w:qFormat/>
    <w:uiPriority w:val="10"/>
    <w:rPr>
      <w:sz w:val="48"/>
      <w:szCs w:val="48"/>
    </w:rPr>
  </w:style>
  <w:style w:type="character" w:customStyle="1" w:styleId="96">
    <w:name w:val="副标题 Char"/>
    <w:link w:val="27"/>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Char"/>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页眉 Char1"/>
    <w:link w:val="24"/>
    <w:qFormat/>
    <w:uiPriority w:val="99"/>
  </w:style>
  <w:style w:type="character" w:customStyle="1" w:styleId="102">
    <w:name w:val="Footer Char"/>
    <w:qFormat/>
    <w:uiPriority w:val="99"/>
  </w:style>
  <w:style w:type="character" w:customStyle="1" w:styleId="103">
    <w:name w:val="页脚 Char"/>
    <w:link w:val="23"/>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Char"/>
    <w:link w:val="28"/>
    <w:qFormat/>
    <w:uiPriority w:val="99"/>
    <w:rPr>
      <w:sz w:val="18"/>
    </w:rPr>
  </w:style>
  <w:style w:type="character" w:customStyle="1" w:styleId="211">
    <w:name w:val="尾注文本 Char"/>
    <w:link w:val="21"/>
    <w:qFormat/>
    <w:uiPriority w:val="99"/>
    <w:rPr>
      <w:sz w:val="20"/>
    </w:rPr>
  </w:style>
  <w:style w:type="paragraph" w:customStyle="1" w:styleId="212">
    <w:name w:val="TOC 标题11"/>
    <w:unhideWhenUsed/>
    <w:qFormat/>
    <w:uiPriority w:val="39"/>
    <w:rPr>
      <w:rFonts w:ascii="Times New Roman" w:hAnsi="Times New Roman" w:eastAsia="宋体" w:cs="Times New Roman"/>
      <w:lang w:val="en-US" w:eastAsia="zh-CN" w:bidi="ar-SA"/>
    </w:rPr>
  </w:style>
  <w:style w:type="paragraph" w:customStyle="1" w:styleId="213">
    <w:name w:val="标题 21"/>
    <w:basedOn w:val="1"/>
    <w:next w:val="1"/>
    <w:qFormat/>
    <w:uiPriority w:val="9"/>
    <w:pPr>
      <w:keepNext/>
      <w:keepLines/>
      <w:spacing w:before="360"/>
      <w:outlineLvl w:val="1"/>
    </w:pPr>
    <w:rPr>
      <w:sz w:val="34"/>
      <w:szCs w:val="20"/>
    </w:rPr>
  </w:style>
  <w:style w:type="paragraph" w:customStyle="1" w:styleId="214">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215">
    <w:name w:val="默认段落字体1"/>
    <w:semiHidden/>
    <w:qFormat/>
    <w:uiPriority w:val="0"/>
  </w:style>
  <w:style w:type="table" w:customStyle="1" w:styleId="216">
    <w:name w:val="普通表格1"/>
    <w:semiHidden/>
    <w:qFormat/>
    <w:uiPriority w:val="0"/>
    <w:tblPr>
      <w:tblCellMar>
        <w:top w:w="0" w:type="dxa"/>
        <w:left w:w="0" w:type="dxa"/>
        <w:bottom w:w="0" w:type="dxa"/>
        <w:right w:w="0" w:type="dxa"/>
      </w:tblCellMar>
    </w:tblPr>
  </w:style>
  <w:style w:type="paragraph" w:customStyle="1" w:styleId="217">
    <w:name w:val="正文缩进1"/>
    <w:basedOn w:val="1"/>
    <w:qFormat/>
    <w:uiPriority w:val="0"/>
    <w:pPr>
      <w:ind w:firstLine="420"/>
    </w:pPr>
  </w:style>
  <w:style w:type="paragraph" w:customStyle="1" w:styleId="218">
    <w:name w:val="文档结构图1"/>
    <w:basedOn w:val="1"/>
    <w:next w:val="219"/>
    <w:qFormat/>
    <w:uiPriority w:val="0"/>
    <w:pPr>
      <w:spacing w:after="200" w:line="276" w:lineRule="auto"/>
    </w:pPr>
    <w:rPr>
      <w:rFonts w:eastAsia="Calibri"/>
      <w:szCs w:val="20"/>
      <w:lang w:eastAsia="en-US"/>
    </w:rPr>
  </w:style>
  <w:style w:type="paragraph" w:customStyle="1" w:styleId="219">
    <w:name w:val="正文文本1"/>
    <w:basedOn w:val="1"/>
    <w:next w:val="1"/>
    <w:qFormat/>
    <w:uiPriority w:val="99"/>
    <w:rPr>
      <w:rFonts w:ascii="楷体_GB2312" w:eastAsia="楷体_GB2312"/>
      <w:sz w:val="28"/>
    </w:rPr>
  </w:style>
  <w:style w:type="paragraph" w:customStyle="1" w:styleId="220">
    <w:name w:val="批注文字1"/>
    <w:basedOn w:val="1"/>
    <w:unhideWhenUsed/>
    <w:qFormat/>
    <w:uiPriority w:val="99"/>
    <w:pPr>
      <w:jc w:val="left"/>
    </w:pPr>
  </w:style>
  <w:style w:type="paragraph" w:customStyle="1" w:styleId="221">
    <w:name w:val="正文文本缩进1"/>
    <w:basedOn w:val="1"/>
    <w:next w:val="1"/>
    <w:qFormat/>
    <w:uiPriority w:val="0"/>
    <w:pPr>
      <w:spacing w:line="312" w:lineRule="atLeast"/>
      <w:ind w:firstLine="574"/>
    </w:pPr>
    <w:rPr>
      <w:rFonts w:ascii="宋体"/>
      <w:sz w:val="28"/>
    </w:rPr>
  </w:style>
  <w:style w:type="paragraph" w:customStyle="1" w:styleId="222">
    <w:name w:val="纯文本1"/>
    <w:basedOn w:val="1"/>
    <w:qFormat/>
    <w:uiPriority w:val="0"/>
    <w:rPr>
      <w:rFonts w:ascii="宋体" w:hAnsi="Courier New" w:cs="Courier New"/>
      <w:szCs w:val="21"/>
    </w:rPr>
  </w:style>
  <w:style w:type="paragraph" w:customStyle="1" w:styleId="223">
    <w:name w:val="批注框文本1"/>
    <w:basedOn w:val="1"/>
    <w:link w:val="224"/>
    <w:qFormat/>
    <w:uiPriority w:val="0"/>
    <w:rPr>
      <w:sz w:val="18"/>
      <w:szCs w:val="18"/>
    </w:rPr>
  </w:style>
  <w:style w:type="character" w:customStyle="1" w:styleId="224">
    <w:name w:val="批注框文本 Char"/>
    <w:link w:val="223"/>
    <w:qFormat/>
    <w:uiPriority w:val="0"/>
    <w:rPr>
      <w:rFonts w:ascii="Calibri" w:hAnsi="Calibri"/>
      <w:sz w:val="18"/>
      <w:szCs w:val="18"/>
    </w:rPr>
  </w:style>
  <w:style w:type="paragraph" w:customStyle="1" w:styleId="225">
    <w:name w:val="页脚1"/>
    <w:basedOn w:val="1"/>
    <w:unhideWhenUsed/>
    <w:qFormat/>
    <w:uiPriority w:val="99"/>
    <w:pPr>
      <w:tabs>
        <w:tab w:val="center" w:pos="7143"/>
        <w:tab w:val="right" w:pos="14287"/>
      </w:tabs>
    </w:pPr>
  </w:style>
  <w:style w:type="paragraph" w:customStyle="1" w:styleId="226">
    <w:name w:val="页眉1"/>
    <w:basedOn w:val="1"/>
    <w:link w:val="227"/>
    <w:qFormat/>
    <w:uiPriority w:val="0"/>
    <w:pPr>
      <w:pBdr>
        <w:bottom w:val="single" w:color="000000" w:sz="6" w:space="1"/>
      </w:pBdr>
      <w:tabs>
        <w:tab w:val="center" w:pos="4153"/>
        <w:tab w:val="right" w:pos="8306"/>
      </w:tabs>
      <w:jc w:val="center"/>
    </w:pPr>
    <w:rPr>
      <w:sz w:val="18"/>
      <w:szCs w:val="18"/>
    </w:rPr>
  </w:style>
  <w:style w:type="character" w:customStyle="1" w:styleId="227">
    <w:name w:val="页眉 Char"/>
    <w:link w:val="226"/>
    <w:qFormat/>
    <w:uiPriority w:val="0"/>
    <w:rPr>
      <w:rFonts w:ascii="Calibri" w:hAnsi="Calibri"/>
      <w:sz w:val="18"/>
      <w:szCs w:val="18"/>
    </w:rPr>
  </w:style>
  <w:style w:type="paragraph" w:customStyle="1" w:styleId="228">
    <w:name w:val="普通(网站)1"/>
    <w:basedOn w:val="1"/>
    <w:qFormat/>
    <w:uiPriority w:val="0"/>
    <w:pPr>
      <w:spacing w:after="200" w:line="276" w:lineRule="auto"/>
    </w:pPr>
    <w:rPr>
      <w:rFonts w:eastAsia="Calibri"/>
      <w:sz w:val="22"/>
      <w:szCs w:val="20"/>
      <w:lang w:eastAsia="en-US"/>
    </w:rPr>
  </w:style>
  <w:style w:type="paragraph" w:customStyle="1" w:styleId="229">
    <w:name w:val="正文首行缩进 21"/>
    <w:basedOn w:val="221"/>
    <w:unhideWhenUsed/>
    <w:qFormat/>
    <w:uiPriority w:val="99"/>
    <w:pPr>
      <w:spacing w:after="120" w:line="240" w:lineRule="auto"/>
      <w:ind w:left="420" w:firstLine="420"/>
    </w:pPr>
    <w:rPr>
      <w:rFonts w:ascii="Times New Roman"/>
      <w:sz w:val="24"/>
    </w:rPr>
  </w:style>
  <w:style w:type="table" w:customStyle="1" w:styleId="230">
    <w:name w:val="网格型1"/>
    <w:basedOn w:val="216"/>
    <w:qFormat/>
    <w:uiPriority w:val="59"/>
    <w:pPr>
      <w:widowControl w:val="0"/>
      <w:jc w:val="both"/>
    </w:pPr>
  </w:style>
  <w:style w:type="character" w:customStyle="1" w:styleId="231">
    <w:name w:val="要点1"/>
    <w:qFormat/>
    <w:uiPriority w:val="0"/>
    <w:rPr>
      <w:b/>
    </w:rPr>
  </w:style>
  <w:style w:type="character" w:customStyle="1" w:styleId="232">
    <w:name w:val="font41"/>
    <w:qFormat/>
    <w:uiPriority w:val="0"/>
    <w:rPr>
      <w:rFonts w:hint="eastAsia" w:ascii="宋体" w:hAnsi="宋体" w:eastAsia="宋体" w:cs="宋体"/>
      <w:color w:val="000000"/>
      <w:sz w:val="32"/>
      <w:szCs w:val="32"/>
      <w:u w:val="none"/>
    </w:rPr>
  </w:style>
  <w:style w:type="paragraph" w:customStyle="1" w:styleId="233">
    <w:name w:val="纯文本2"/>
    <w:basedOn w:val="1"/>
    <w:qFormat/>
    <w:uiPriority w:val="0"/>
    <w:rPr>
      <w:rFonts w:ascii="宋体" w:hAnsi="Courier New" w:eastAsia="楷体_GB2312"/>
      <w:sz w:val="26"/>
      <w:szCs w:val="20"/>
    </w:rPr>
  </w:style>
  <w:style w:type="paragraph" w:customStyle="1" w:styleId="234">
    <w:name w:val="01 章标"/>
    <w:basedOn w:val="1"/>
    <w:qFormat/>
    <w:uiPriority w:val="0"/>
    <w:pPr>
      <w:ind w:firstLine="883"/>
      <w:jc w:val="center"/>
      <w:outlineLvl w:val="0"/>
    </w:pPr>
    <w:rPr>
      <w:b/>
      <w:sz w:val="44"/>
      <w:szCs w:val="44"/>
    </w:rPr>
  </w:style>
  <w:style w:type="paragraph" w:customStyle="1" w:styleId="235">
    <w:name w:val="无间隔1"/>
    <w:basedOn w:val="1"/>
    <w:qFormat/>
    <w:uiPriority w:val="1"/>
    <w:rPr>
      <w:rFonts w:ascii="Times New Roman" w:hAnsi="Times New Roman"/>
    </w:rPr>
  </w:style>
  <w:style w:type="paragraph" w:customStyle="1" w:styleId="23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37">
    <w:name w:val="列出段落11"/>
    <w:basedOn w:val="1"/>
    <w:qFormat/>
    <w:uiPriority w:val="34"/>
    <w:pPr>
      <w:ind w:firstLine="420"/>
    </w:pPr>
  </w:style>
  <w:style w:type="paragraph" w:customStyle="1" w:styleId="238">
    <w:name w:val="段"/>
    <w:next w:val="1"/>
    <w:qFormat/>
    <w:uiPriority w:val="0"/>
    <w:pPr>
      <w:ind w:firstLine="200"/>
      <w:jc w:val="both"/>
    </w:pPr>
    <w:rPr>
      <w:rFonts w:ascii="宋体" w:hAnsi="Times New Roman" w:eastAsia="宋体" w:cs="Times New Roman"/>
      <w:lang w:val="en-US" w:eastAsia="zh-CN" w:bidi="ar-SA"/>
    </w:rPr>
  </w:style>
  <w:style w:type="paragraph" w:customStyle="1" w:styleId="239">
    <w:name w:val="列出段落1"/>
    <w:basedOn w:val="1"/>
    <w:qFormat/>
    <w:uiPriority w:val="0"/>
    <w:pPr>
      <w:widowControl/>
      <w:spacing w:after="200" w:line="276" w:lineRule="auto"/>
      <w:ind w:firstLine="420"/>
      <w:jc w:val="left"/>
    </w:pPr>
    <w:rPr>
      <w:rFonts w:ascii="Arial" w:hAnsi="Arial" w:eastAsia="Arial"/>
      <w:sz w:val="22"/>
      <w:szCs w:val="21"/>
      <w:lang w:eastAsia="en-US"/>
    </w:rPr>
  </w:style>
  <w:style w:type="character" w:customStyle="1" w:styleId="240">
    <w:name w:val="font11"/>
    <w:basedOn w:val="40"/>
    <w:qFormat/>
    <w:uiPriority w:val="0"/>
    <w:rPr>
      <w:rFonts w:hint="eastAsia" w:ascii="宋体" w:hAnsi="宋体" w:eastAsia="宋体" w:cs="宋体"/>
      <w:color w:val="000000"/>
      <w:sz w:val="20"/>
      <w:szCs w:val="20"/>
      <w:u w:val="none"/>
    </w:rPr>
  </w:style>
  <w:style w:type="character" w:customStyle="1" w:styleId="241">
    <w:name w:val="font61"/>
    <w:basedOn w:val="40"/>
    <w:qFormat/>
    <w:uiPriority w:val="0"/>
    <w:rPr>
      <w:rFonts w:hint="eastAsia" w:ascii="宋体" w:hAnsi="宋体" w:eastAsia="宋体" w:cs="宋体"/>
      <w:color w:val="000000"/>
      <w:sz w:val="20"/>
      <w:szCs w:val="20"/>
      <w:u w:val="none"/>
    </w:rPr>
  </w:style>
  <w:style w:type="character" w:customStyle="1" w:styleId="242">
    <w:name w:val="font131"/>
    <w:basedOn w:val="40"/>
    <w:qFormat/>
    <w:uiPriority w:val="0"/>
    <w:rPr>
      <w:rFonts w:hint="eastAsia" w:ascii="宋体" w:hAnsi="宋体" w:eastAsia="宋体" w:cs="宋体"/>
      <w:b/>
      <w:bCs/>
      <w:color w:val="000000"/>
      <w:sz w:val="20"/>
      <w:szCs w:val="20"/>
      <w:u w:val="none"/>
    </w:rPr>
  </w:style>
  <w:style w:type="character" w:customStyle="1" w:styleId="243">
    <w:name w:val="font21"/>
    <w:basedOn w:val="40"/>
    <w:qFormat/>
    <w:uiPriority w:val="0"/>
    <w:rPr>
      <w:rFonts w:hint="eastAsia" w:ascii="宋体" w:hAnsi="宋体" w:eastAsia="宋体" w:cs="宋体"/>
      <w:color w:val="000000"/>
      <w:sz w:val="18"/>
      <w:szCs w:val="18"/>
      <w:u w:val="none"/>
    </w:rPr>
  </w:style>
  <w:style w:type="character" w:customStyle="1" w:styleId="244">
    <w:name w:val="font141"/>
    <w:basedOn w:val="40"/>
    <w:qFormat/>
    <w:uiPriority w:val="0"/>
    <w:rPr>
      <w:rFonts w:hint="eastAsia" w:ascii="宋体" w:hAnsi="宋体" w:eastAsia="宋体" w:cs="宋体"/>
      <w:b/>
      <w:bCs/>
      <w:color w:val="000000"/>
      <w:sz w:val="20"/>
      <w:szCs w:val="20"/>
      <w:u w:val="none"/>
    </w:rPr>
  </w:style>
  <w:style w:type="character" w:customStyle="1" w:styleId="245">
    <w:name w:val="font31"/>
    <w:basedOn w:val="40"/>
    <w:qFormat/>
    <w:uiPriority w:val="0"/>
    <w:rPr>
      <w:rFonts w:hint="eastAsia" w:ascii="仿宋" w:hAnsi="仿宋" w:eastAsia="仿宋" w:cs="仿宋"/>
      <w:color w:val="000000"/>
      <w:sz w:val="20"/>
      <w:szCs w:val="20"/>
      <w:u w:val="none"/>
    </w:rPr>
  </w:style>
  <w:style w:type="character" w:customStyle="1" w:styleId="246">
    <w:name w:val="17"/>
    <w:basedOn w:val="40"/>
    <w:qFormat/>
    <w:uiPriority w:val="0"/>
    <w:rPr>
      <w:rFonts w:hint="eastAsia" w:ascii="宋体" w:hAnsi="宋体" w:eastAsia="宋体" w:cs="宋体"/>
      <w:color w:val="000000"/>
      <w:sz w:val="20"/>
      <w:szCs w:val="20"/>
    </w:rPr>
  </w:style>
  <w:style w:type="character" w:customStyle="1" w:styleId="247">
    <w:name w:val="19"/>
    <w:basedOn w:val="40"/>
    <w:qFormat/>
    <w:uiPriority w:val="0"/>
    <w:rPr>
      <w:rFonts w:hint="default" w:ascii="Times New Roman" w:hAnsi="Times New Roman" w:cs="Times New Roman"/>
      <w:color w:val="000000"/>
      <w:sz w:val="20"/>
      <w:szCs w:val="20"/>
    </w:rPr>
  </w:style>
  <w:style w:type="paragraph" w:customStyle="1" w:styleId="248">
    <w:name w:val="Table Text"/>
    <w:basedOn w:val="1"/>
    <w:semiHidden/>
    <w:qFormat/>
    <w:uiPriority w:val="0"/>
    <w:rPr>
      <w:rFonts w:ascii="黑体" w:hAnsi="黑体" w:eastAsia="黑体" w:cs="黑体"/>
      <w:sz w:val="18"/>
      <w:szCs w:val="18"/>
      <w:lang w:eastAsia="en-US"/>
    </w:rPr>
  </w:style>
  <w:style w:type="character" w:customStyle="1" w:styleId="249">
    <w:name w:val="font01"/>
    <w:basedOn w:val="40"/>
    <w:qFormat/>
    <w:uiPriority w:val="0"/>
    <w:rPr>
      <w:rFonts w:hint="eastAsia" w:ascii="宋体" w:hAnsi="宋体" w:eastAsia="宋体" w:cs="宋体"/>
      <w:color w:val="000000"/>
      <w:sz w:val="22"/>
      <w:szCs w:val="22"/>
      <w:u w:val="none"/>
    </w:rPr>
  </w:style>
  <w:style w:type="character" w:customStyle="1" w:styleId="250">
    <w:name w:val="font51"/>
    <w:basedOn w:val="40"/>
    <w:qFormat/>
    <w:uiPriority w:val="0"/>
    <w:rPr>
      <w:rFonts w:hint="eastAsia" w:ascii="宋体" w:hAnsi="宋体" w:eastAsia="宋体" w:cs="宋体"/>
      <w:color w:val="000000"/>
      <w:sz w:val="22"/>
      <w:szCs w:val="22"/>
      <w:u w:val="none"/>
    </w:rPr>
  </w:style>
  <w:style w:type="character" w:customStyle="1" w:styleId="251">
    <w:name w:val="font181"/>
    <w:basedOn w:val="40"/>
    <w:qFormat/>
    <w:uiPriority w:val="0"/>
    <w:rPr>
      <w:rFonts w:hint="eastAsia" w:ascii="宋体" w:hAnsi="宋体" w:eastAsia="宋体" w:cs="宋体"/>
      <w:color w:val="000000"/>
      <w:sz w:val="22"/>
      <w:szCs w:val="22"/>
      <w:u w:val="none"/>
      <w:vertAlign w:val="superscript"/>
    </w:rPr>
  </w:style>
  <w:style w:type="paragraph" w:customStyle="1" w:styleId="252">
    <w:name w:val="无间隔2"/>
    <w:basedOn w:val="1"/>
    <w:qFormat/>
    <w:uiPriority w:val="99"/>
  </w:style>
  <w:style w:type="character" w:customStyle="1" w:styleId="253">
    <w:name w:val="NormalCharacter1"/>
    <w:qFormat/>
    <w:uiPriority w:val="0"/>
    <w:rPr>
      <w:rFonts w:ascii="Calibri" w:hAnsi="Calibri" w:eastAsia="宋体" w:cs="Times New Roman"/>
      <w:sz w:val="21"/>
      <w:lang w:val="en-US" w:eastAsia="zh-CN" w:bidi="ar-SA"/>
    </w:rPr>
  </w:style>
  <w:style w:type="paragraph" w:customStyle="1" w:styleId="254">
    <w:name w:val="首行缩进"/>
    <w:basedOn w:val="1"/>
    <w:qFormat/>
    <w:uiPriority w:val="0"/>
    <w:pPr>
      <w:spacing w:line="360" w:lineRule="auto"/>
      <w:ind w:firstLine="480"/>
    </w:pPr>
    <w:rPr>
      <w:rFonts w:ascii="宋体" w:hAnsi="宋体"/>
      <w:sz w:val="24"/>
    </w:rPr>
  </w:style>
  <w:style w:type="paragraph" w:customStyle="1" w:styleId="255">
    <w:name w:val="*正文"/>
    <w:basedOn w:val="1"/>
    <w:qFormat/>
    <w:uiPriority w:val="0"/>
    <w:pPr>
      <w:spacing w:line="360" w:lineRule="auto"/>
      <w:ind w:firstLine="200"/>
    </w:pPr>
    <w:rPr>
      <w:rFonts w:ascii="MiSans" w:hAnsi="MiSans" w:eastAsia="MiSans" w:cs="仿宋_GB2312"/>
    </w:rPr>
  </w:style>
  <w:style w:type="character" w:customStyle="1" w:styleId="256">
    <w:name w:val="批注框文本 Char1"/>
    <w:basedOn w:val="40"/>
    <w:link w:val="22"/>
    <w:semiHidden/>
    <w:qFormat/>
    <w:uiPriority w:val="99"/>
    <w:rPr>
      <w:rFonts w:ascii="Calibri" w:hAnsi="Calibri"/>
      <w:sz w:val="18"/>
      <w:szCs w:val="18"/>
    </w:rPr>
  </w:style>
  <w:style w:type="character" w:customStyle="1" w:styleId="257">
    <w:name w:val="批注文字 Char"/>
    <w:basedOn w:val="40"/>
    <w:link w:val="15"/>
    <w:semiHidden/>
    <w:qFormat/>
    <w:uiPriority w:val="99"/>
    <w:rPr>
      <w:rFonts w:ascii="Calibri" w:hAnsi="Calibri"/>
      <w:sz w:val="21"/>
      <w:szCs w:val="24"/>
    </w:rPr>
  </w:style>
  <w:style w:type="character" w:customStyle="1" w:styleId="258">
    <w:name w:val="批注主题 Char"/>
    <w:basedOn w:val="257"/>
    <w:link w:val="35"/>
    <w:semiHidden/>
    <w:qFormat/>
    <w:uiPriority w:val="99"/>
    <w:rPr>
      <w:rFonts w:ascii="Calibri" w:hAnsi="Calibri"/>
      <w:b/>
      <w:bCs/>
      <w:sz w:val="21"/>
      <w:szCs w:val="24"/>
    </w:rPr>
  </w:style>
  <w:style w:type="character" w:customStyle="1" w:styleId="259">
    <w:name w:val="文档结构图 Char"/>
    <w:basedOn w:val="40"/>
    <w:link w:val="2"/>
    <w:qFormat/>
    <w:uiPriority w:val="0"/>
    <w:rPr>
      <w:rFonts w:ascii="Calibri" w:hAnsi="Calibri" w:eastAsiaTheme="minorHAnsi"/>
      <w:sz w:val="21"/>
      <w:lang w:eastAsia="en-US"/>
    </w:rPr>
  </w:style>
  <w:style w:type="character" w:customStyle="1" w:styleId="260">
    <w:name w:val="正文文本 Char"/>
    <w:basedOn w:val="40"/>
    <w:link w:val="3"/>
    <w:qFormat/>
    <w:uiPriority w:val="99"/>
    <w:rPr>
      <w:rFonts w:ascii="楷体_GB2312" w:hAnsi="Arial" w:eastAsia="楷体_GB2312"/>
      <w:sz w:val="28"/>
      <w:szCs w:val="2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16092</Words>
  <Characters>17502</Characters>
  <Lines>460</Lines>
  <Paragraphs>129</Paragraphs>
  <TotalTime>48</TotalTime>
  <ScaleCrop>false</ScaleCrop>
  <LinksUpToDate>false</LinksUpToDate>
  <CharactersWithSpaces>17654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2026-02-25T05:00:00Z</dcterms:created>
  <dc:creator>Adminis</dc:creator>
  <cp:lastModifiedBy>Only Q</cp:lastModifiedBy>
  <dcterms:modified xsi:type="dcterms:W3CDTF">2026-08-05T07:21:10Z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2052-12.1.0.28043</vt:lpwstr>
  </property>
  <property fmtid="{D5CDD505-2E9C-101B-9397-08002B2CF9AE}" pid="4" name="ICV">
    <vt:lpwstr>D0399AA04CF14554AB1B94CF568C0BB5_13</vt:lpwstr>
  </property>
</Properties>
</file>