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010"/>
        <w:rPr>
          <w:rFonts w:hint="eastAsia" w:ascii="宋体" w:hAnsi="宋体" w:cs="宋体"/>
          <w:color w:val="auto"/>
          <w:highlight w:val="none"/>
        </w:rPr>
      </w:pPr>
      <w:r>
        <w:rPr>
          <w:rFonts w:hint="eastAsia" w:ascii="宋体" w:hAnsi="宋体" w:cs="宋体"/>
          <w:color w:val="auto"/>
          <w:highlight w:val="none"/>
        </w:rPr>
      </w:r>
      <w:r/>
    </w:p>
    <w:p>
      <w:pPr>
        <w:pStyle w:val="1010"/>
        <w:ind w:left="0"/>
        <w:rPr>
          <w:rFonts w:hint="eastAsia" w:ascii="宋体" w:hAnsi="宋体" w:cs="宋体"/>
          <w:color w:val="auto"/>
          <w:highlight w:val="none"/>
        </w:rPr>
      </w:pPr>
      <w:r>
        <w:rPr>
          <w:rFonts w:hint="eastAsia" w:ascii="宋体" w:hAnsi="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pStyle w:val="1011"/>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JSZC-320300-HWZX-C2026-0451</w:t>
      </w:r>
      <w:r>
        <w:rPr>
          <w:rFonts w:hint="eastAsia" w:ascii="宋体" w:hAnsi="宋体" w:cs="宋体"/>
          <w:color w:val="auto"/>
          <w:sz w:val="32"/>
          <w:szCs w:val="32"/>
          <w:highlight w:val="none"/>
        </w:rPr>
        <w:t xml:space="preserve">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项目名称：江苏省徐州医药高等职业学校学府校区零星</w:t>
      </w:r>
      <w:r/>
    </w:p>
    <w:p>
      <w:pPr>
        <w:ind w:right="-218"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维修服务项目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江苏省徐州医药高等职业学校</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jc w:val="center"/>
        <w:spacing w:line="300" w:lineRule="auto"/>
        <w:rPr>
          <w:rFonts w:hint="eastAsia" w:ascii="宋体" w:hAnsi="宋体" w:cs="宋体"/>
          <w:color w:val="auto"/>
          <w:sz w:val="44"/>
          <w:highlight w:val="none"/>
        </w:rPr>
      </w:pPr>
      <w:r>
        <w:rPr>
          <w:rFonts w:hint="eastAsia" w:ascii="宋体" w:hAnsi="宋体" w:eastAsia="宋体" w:cs="宋体"/>
          <w:color w:val="auto"/>
          <w:sz w:val="32"/>
          <w:szCs w:val="32"/>
          <w:highlight w:val="none"/>
          <w:lang w:eastAsia="zh-CN"/>
        </w:rPr>
        <mc:AlternateContent>
          <mc:Choice Requires="wpg">
            <w:drawing>
              <wp:inline xmlns:wp="http://schemas.openxmlformats.org/drawingml/2006/wordprocessingDrawing" distT="0" distB="0" distL="0" distR="0">
                <wp:extent cx="1366520" cy="934085"/>
                <wp:effectExtent l="0" t="0" r="5080" b="18415"/>
                <wp:docPr id="8" name="图片 17"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蓝色透明底PNG"/>
                        <pic:cNvPicPr>
                          <a:picLocks noChangeAspect="1"/>
                        </pic:cNvPicPr>
                        <pic:nvPr/>
                      </pic:nvPicPr>
                      <pic:blipFill>
                        <a:blip r:embed="rId20"/>
                        <a:stretch/>
                      </pic:blipFill>
                      <pic:spPr bwMode="auto">
                        <a:xfrm>
                          <a:off x="0" y="0"/>
                          <a:ext cx="1366520" cy="934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7.6pt;height:73.5pt;mso-wrap-distance-left:0.0pt;mso-wrap-distance-top:0.0pt;mso-wrap-distance-right:0.0pt;mso-wrap-distance-bottom:0.0pt;" stroked="false">
                <v:path textboxrect="0,0,0,0"/>
                <v:imagedata r:id="rId20" o:title=""/>
              </v:shape>
            </w:pict>
          </mc:Fallback>
        </mc:AlternateConten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八</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JSZC-320300-HWZX-C2026-0451</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江苏省徐州医药高等职业学校学府校区零星维修服务项目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江苏省徐州医药高等职业学校</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江苏省徐州医药高等职业学校学府校区零星维修服务项目</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JSZC-320300-HWZX-C2026-0451。</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006"/>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6"/>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006"/>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0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0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2、供应商</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4"/>
          <w:highlight w:val="none"/>
          <w:lang w:val="en-US" w:eastAsia="zh-CN"/>
        </w:rPr>
        <w:t xml:space="preserve">财务状况报告</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提供距磋商文件递交截止时间（不含“提交首次响应文件截止时间”当月）前六个月内任何时间的资产负债表、利润表扫描件</w:t>
      </w:r>
      <w:r>
        <w:rPr>
          <w:rFonts w:hint="eastAsia" w:ascii="宋体" w:hAnsi="宋体" w:cs="宋体"/>
          <w:b/>
          <w:bCs w:val="0"/>
          <w:color w:val="auto"/>
          <w:sz w:val="24"/>
          <w:highlight w:val="none"/>
        </w:rPr>
        <w:t xml:space="preserve">各一份，</w:t>
      </w:r>
      <w:r>
        <w:rPr>
          <w:rFonts w:hint="eastAsia" w:ascii="宋体" w:hAnsi="宋体" w:cs="宋体"/>
          <w:b w:val="0"/>
          <w:bCs/>
          <w:color w:val="auto"/>
          <w:sz w:val="24"/>
          <w:highlight w:val="none"/>
        </w:rPr>
        <w:t xml:space="preserve">或其银行出具的资信证书扫描件（响应文件递交截止时间前六个月内，不含“提交首次响应文件截止时间”当月）</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或其2025年度经审计的财务报告扫描件</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3、供应商有依法缴纳税收的良好记录，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提供距磋商文件递交截止时间（不含“提交首次响应文件截止时间”当月）前六个月内任意一个月份的纳税凭据扫描件</w:t>
      </w:r>
      <w:r>
        <w:rPr>
          <w:rFonts w:hint="eastAsia" w:ascii="宋体" w:hAnsi="宋体" w:cs="宋体"/>
          <w:b/>
          <w:bCs w:val="0"/>
          <w:color w:val="auto"/>
          <w:sz w:val="24"/>
          <w:highlight w:val="none"/>
          <w:lang w:val="en-US" w:eastAsia="zh-CN"/>
        </w:rPr>
        <w:t xml:space="preserve">一份</w:t>
      </w:r>
      <w:r>
        <w:rPr>
          <w:rFonts w:hint="eastAsia" w:ascii="宋体" w:hAnsi="宋体" w:cs="宋体"/>
          <w:b w:val="0"/>
          <w:bCs/>
          <w:color w:val="auto"/>
          <w:sz w:val="24"/>
          <w:highlight w:val="none"/>
        </w:rPr>
        <w:t xml:space="preserve">（依法免税的应提供相应文件说明）；</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4、有依法缴纳社会保障资金的良好记录，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提供距磋商文件递交截止时间（不含“提交首次响应文件截止时间”当月）前六个月内任意一个月份的依法缴纳社会保障资金的凭据扫描件</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5、具备履行合同所必需的设备和专业技术能力的证明材料，即响应文件中提供《具备履行合同所必需的设备和专业技术能力的书面声明》（附证明材料，加盖电子签章，格式见《磋商文件》附件）：</w:t>
      </w:r>
      <w:r/>
    </w:p>
    <w:p>
      <w:pPr>
        <w:ind w:right="-334"/>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 提供供应商有效的建筑工程施工总承包叁级（含）以上资质证书</w:t>
      </w:r>
      <w:r>
        <w:rPr>
          <w:rFonts w:hint="eastAsia" w:ascii="宋体" w:hAnsi="宋体" w:cs="宋体"/>
          <w:bCs/>
          <w:color w:val="auto"/>
          <w:sz w:val="24"/>
          <w:highlight w:val="none"/>
          <w:lang w:val="en-US" w:eastAsia="zh-CN"/>
        </w:rPr>
        <w:t xml:space="preserve">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提供供应商拟选派项目负责人（注册建造师）具备有效的建筑工程专业贰级（含）以上建造师资格证书；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有效的《建筑施工企业项目负责人安全生产考核合格证书》（B证），响应文件中提供证书扫描件；</w:t>
      </w:r>
      <w:r/>
    </w:p>
    <w:p>
      <w:pPr>
        <w:ind w:right="-334"/>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③ 供应商具备安全生产条件，取得有效的《安全生产许可证》，响应文件中提供证书扫描件</w:t>
      </w:r>
      <w:r>
        <w:rPr>
          <w:rFonts w:hint="eastAsia" w:ascii="宋体" w:hAnsi="宋体" w:cs="宋体"/>
          <w:bCs/>
          <w:color w:val="auto"/>
          <w:sz w:val="24"/>
          <w:highlight w:val="none"/>
          <w:lang w:eastAsia="zh-CN"/>
        </w:rPr>
        <w:t xml:space="preserve">；</w:t>
      </w:r>
      <w:r/>
    </w:p>
    <w:p>
      <w:pPr>
        <w:ind w:right="-334"/>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④ 供应商拟选派项目负责人（注册建造师）无在建工程，响应文件中提供证明材料或承诺书（</w:t>
      </w:r>
      <w:r>
        <w:rPr>
          <w:rFonts w:hint="eastAsia" w:ascii="宋体" w:hAnsi="宋体" w:cs="宋体"/>
          <w:bCs/>
          <w:color w:val="auto"/>
          <w:sz w:val="24"/>
          <w:highlight w:val="none"/>
          <w:lang w:val="en-US" w:eastAsia="zh-CN"/>
        </w:rPr>
        <w:t xml:space="preserve">承诺书</w:t>
      </w:r>
      <w:r>
        <w:rPr>
          <w:rFonts w:hint="eastAsia" w:ascii="宋体" w:hAnsi="宋体" w:cs="宋体"/>
          <w:bCs/>
          <w:color w:val="auto"/>
          <w:sz w:val="24"/>
          <w:highlight w:val="none"/>
          <w:lang w:eastAsia="zh-CN"/>
        </w:rPr>
        <w:t xml:space="preserve">格式自拟）。</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rPr>
          <w:rFonts w:hint="eastAsia" w:ascii="宋体" w:hAnsi="宋体" w:cs="宋体"/>
          <w:b/>
          <w:bCs/>
          <w:color w:val="auto"/>
          <w:sz w:val="24"/>
          <w:highlight w:val="none"/>
          <w:lang w:eastAsia="zh-CN"/>
        </w:rPr>
        <w:t xml:space="preserve">。</w:t>
      </w:r>
      <w:r/>
    </w:p>
    <w:p>
      <w:pPr>
        <w:ind w:right="-334"/>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1、报价符合性审</w:t>
      </w:r>
      <w:r>
        <w:rPr>
          <w:rFonts w:hint="eastAsia" w:ascii="宋体" w:hAnsi="宋体" w:cs="宋体"/>
          <w:b w:val="0"/>
          <w:bCs w:val="0"/>
          <w:color w:val="auto"/>
          <w:sz w:val="24"/>
          <w:highlight w:val="none"/>
          <w:lang w:eastAsia="zh-CN"/>
        </w:rPr>
        <w:t xml:space="preserve">（属于(1-投标（响应）优惠率报价)低于45%的，即(1-投标（响应）优惠率报价)&lt;45%，供应商可随投标（响应）文件一并提交相关书面说明及必要的证明材料。）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《承诺书》（加盖电子签章，格式见《磋商文件》附件）；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、《磋商报价表》（政府采购客户端工具输入报价自动生成）；</w:t>
      </w:r>
      <w:r/>
    </w:p>
    <w:p>
      <w:pPr>
        <w:ind w:right="-334"/>
        <w:spacing w:line="360" w:lineRule="auto"/>
        <w:rPr>
          <w:rFonts w:hint="eastAsia" w:ascii="宋体" w:hAnsi="宋体" w:cs="宋体"/>
          <w:b w:val="0"/>
          <w:bCs w:val="0"/>
          <w:color w:val="ff0000"/>
          <w:sz w:val="24"/>
          <w:highlight w:val="none"/>
        </w:rPr>
      </w:pPr>
      <w:r>
        <w:rPr>
          <w:rFonts w:hint="eastAsia" w:ascii="宋体" w:hAnsi="宋体" w:cs="宋体"/>
          <w:b w:val="0"/>
          <w:bCs w:val="0"/>
          <w:color w:val="ff0000"/>
          <w:sz w:val="24"/>
          <w:highlight w:val="none"/>
          <w:lang w:val="en-US" w:eastAsia="zh-CN"/>
        </w:rPr>
        <w:t xml:space="preserve">4</w:t>
      </w:r>
      <w:r>
        <w:rPr>
          <w:rFonts w:hint="eastAsia" w:ascii="宋体" w:hAnsi="宋体" w:cs="宋体"/>
          <w:b w:val="0"/>
          <w:bCs w:val="0"/>
          <w:color w:val="ff0000"/>
          <w:sz w:val="24"/>
          <w:highlight w:val="none"/>
        </w:rPr>
        <w:t xml:space="preserve">、分项价格表（加盖电子签章，格式见《磋商文件》附件）</w:t>
      </w:r>
      <w:r>
        <w:rPr>
          <w:rFonts w:hint="eastAsia" w:ascii="宋体" w:hAnsi="宋体" w:cs="宋体"/>
          <w:b w:val="0"/>
          <w:bCs w:val="0"/>
          <w:color w:val="ff0000"/>
          <w:sz w:val="24"/>
          <w:highlight w:val="none"/>
        </w:rPr>
        <w:t xml:space="preserve">；</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、授权委托书（后附授权委托书中受托人身份证原件的扫描件）（提供原件的扫描件，格式见《磋商文件》附件）；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、偏离表（加盖电子签章，格式见《磋商文件》附件）；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、主要施工管理人员表（加盖电子签章，格式见《磋商文件》</w:t>
      </w:r>
      <w:bookmarkStart w:id="7" w:name="_GoBack"/>
      <w:r/>
      <w:bookmarkEnd w:id="7"/>
      <w:r>
        <w:rPr>
          <w:rFonts w:hint="eastAsia" w:ascii="宋体" w:hAnsi="宋体" w:cs="宋体"/>
          <w:b w:val="0"/>
          <w:bCs w:val="0"/>
          <w:color w:val="auto"/>
          <w:sz w:val="24"/>
          <w:highlight w:val="none"/>
        </w:rPr>
        <w:t xml:space="preserve">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rPr>
        <w:t xml:space="preserve">、磋商文件</w:t>
      </w:r>
      <w:r>
        <w:rPr>
          <w:rFonts w:hint="eastAsia" w:ascii="宋体" w:hAnsi="宋体" w:cs="宋体"/>
          <w:b w:val="0"/>
          <w:bCs w:val="0"/>
          <w:color w:val="auto"/>
          <w:sz w:val="24"/>
          <w:highlight w:val="none"/>
          <w:lang w:val="en-US" w:eastAsia="zh-CN"/>
        </w:rPr>
        <w:t xml:space="preserve">及</w:t>
      </w:r>
      <w:r>
        <w:rPr>
          <w:rFonts w:hint="eastAsia" w:ascii="宋体" w:hAnsi="宋体" w:cs="宋体"/>
          <w:b w:val="0"/>
          <w:bCs w:val="0"/>
          <w:color w:val="auto"/>
          <w:sz w:val="24"/>
          <w:highlight w:val="none"/>
        </w:rPr>
        <w:t xml:space="preserve">相关法律法规规定的其他响应无效的情形</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无内容及格式要求，供应商可自行拟定</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2、施工组织设计（要求见《磋商文件》附件1、《评分细则》及附件：2、《项目要求（采购需求）》）；</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零星维修总体实施方案</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应急抢修</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）安全管理</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质量保障与材料管理</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进度计划与机械保障</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人员保障</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3、服务响应与保障方案（要求见《磋商文件》附件2、《项目要求（采购需求）》及附件1、《评分细则》）；</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（1）响应时效承诺；</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（2）维修完工时限；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（3）常驻值班与每日值守；</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（4）本地化服务与常备力量；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4、售后服务方案（要求见《磋商文件》附件2、《项目要求（采购需求）》及附件1、《评分细则》）；</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（1）缺陷责任期内服务；</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（2）缺陷责任期外服务。</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2、评分细则中评分得分需提供的相关证明文件或供应商认为需要提供的其他资料。</w:t>
      </w:r>
      <w:r/>
    </w:p>
    <w:p>
      <w:pPr>
        <w:pStyle w:val="100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06"/>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06"/>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06"/>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0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0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0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0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006"/>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优惠率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高</w:t>
      </w:r>
      <w:r>
        <w:rPr>
          <w:rFonts w:hint="eastAsia" w:ascii="宋体" w:hAnsi="宋体" w:cs="宋体"/>
          <w:color w:val="auto"/>
          <w:sz w:val="24"/>
          <w:highlight w:val="none"/>
        </w:rPr>
        <w:t xml:space="preserve">到</w:t>
      </w:r>
      <w:r>
        <w:rPr>
          <w:rFonts w:hint="eastAsia" w:ascii="宋体" w:hAnsi="宋体" w:cs="宋体"/>
          <w:color w:val="auto"/>
          <w:sz w:val="24"/>
          <w:highlight w:val="none"/>
          <w:lang w:val="en-US" w:eastAsia="zh-CN"/>
        </w:rPr>
        <w:t xml:space="preserve">低</w:t>
      </w:r>
      <w:r>
        <w:rPr>
          <w:rFonts w:hint="eastAsia" w:ascii="宋体" w:hAnsi="宋体" w:cs="宋体"/>
          <w:color w:val="auto"/>
          <w:sz w:val="24"/>
          <w:highlight w:val="none"/>
        </w:rPr>
        <w:t xml:space="preserve">的顺序推荐。评审得分且最后报价相同的，按照施工组织设计优劣顺序推荐。</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7"/>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97"/>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06"/>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0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006"/>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06"/>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6"/>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6"/>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06"/>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06"/>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06"/>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6"/>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06"/>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06"/>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06"/>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06"/>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06"/>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江苏省徐州医药高等职业学校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地址：徐州市铜山区学府路1号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联系方式：孔凡琳</w:t>
      </w:r>
      <w:r>
        <w:rPr>
          <w:rFonts w:hint="eastAsia" w:ascii="宋体" w:hAnsi="宋体" w:cs="宋体"/>
          <w:color w:val="auto"/>
          <w:sz w:val="24"/>
          <w:highlight w:val="none"/>
          <w:lang w:val="en-US" w:eastAsia="zh-CN"/>
        </w:rPr>
        <w:t xml:space="preserve">  0516-82559063</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联系方式：孙逊</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本项目按委托协议书约定按人民币5000元收取</w:t>
      </w:r>
      <w:r>
        <w:rPr>
          <w:rFonts w:hint="eastAsia" w:ascii="宋体" w:hAnsi="宋体" w:cs="宋体"/>
          <w:b/>
          <w:bCs/>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二十六、履约担保（履约保证金）：</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于合同签订后七个工作日内向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支付履约保证金，</w:t>
      </w:r>
      <w:r>
        <w:rPr>
          <w:rFonts w:hint="eastAsia" w:ascii="宋体" w:hAnsi="宋体" w:cs="宋体"/>
          <w:b/>
          <w:bCs/>
          <w:color w:val="auto"/>
          <w:sz w:val="24"/>
          <w:highlight w:val="none"/>
        </w:rPr>
        <w:t xml:space="preserve">金额为</w:t>
      </w:r>
      <w:r>
        <w:rPr>
          <w:rFonts w:hint="eastAsia" w:ascii="宋体" w:hAnsi="宋体" w:cs="宋体"/>
          <w:b/>
          <w:bCs/>
          <w:color w:val="auto"/>
          <w:sz w:val="24"/>
          <w:highlight w:val="none"/>
          <w:lang w:val="en-US" w:eastAsia="zh-CN"/>
        </w:rPr>
        <w:t xml:space="preserve">人民币</w:t>
      </w:r>
      <w:r>
        <w:rPr>
          <w:rFonts w:hint="eastAsia" w:ascii="宋体" w:hAnsi="宋体" w:cs="宋体"/>
          <w:b/>
          <w:bCs/>
          <w:color w:val="auto"/>
          <w:sz w:val="24"/>
          <w:highlight w:val="none"/>
        </w:rPr>
        <w:t xml:space="preserve">20000元（贰万元）。</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合同到期之日后30日内，经确认乙方无违约行为、应交费用及对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财物无损坏现象，</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将履约保证金无息全额退还给</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，如有违反上述约定的，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有权将履约保证金作为违约金扣留，如履约保证金不足支付全部损失的，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有权要求</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赔偿并弥补损失。</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5、《主要施工管理人员表》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w:t>
      </w:r>
      <w:r/>
    </w:p>
    <w:p>
      <w:pPr>
        <w:numPr>
          <w:ilvl w:val="0"/>
          <w:numId w:val="3"/>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44"/>
        <w:tblW w:w="90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6847"/>
        <w:gridCol w:w="744"/>
      </w:tblGrid>
      <w:tr>
        <w:trPr>
          <w:jc w:val="center"/>
          <w:trHeight w:val="397"/>
        </w:trPr>
        <w:tc>
          <w:tcPr>
            <w:tcW w:w="1452" w:type="dxa"/>
            <w:vAlign w:val="center"/>
            <w:textDirection w:val="lrTb"/>
            <w:noWrap w:val="false"/>
          </w:tcPr>
          <w:p>
            <w:pPr>
              <w:pStyle w:val="1188"/>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6847" w:type="dxa"/>
            <w:vAlign w:val="center"/>
            <w:textDirection w:val="lrTb"/>
            <w:noWrap w:val="false"/>
          </w:tcPr>
          <w:p>
            <w:pPr>
              <w:pStyle w:val="1188"/>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评分依据</w:t>
            </w:r>
            <w:r/>
          </w:p>
        </w:tc>
        <w:tc>
          <w:tcPr>
            <w:tcW w:w="744" w:type="dxa"/>
            <w:vAlign w:val="center"/>
            <w:textDirection w:val="lrTb"/>
            <w:noWrap w:val="false"/>
          </w:tcPr>
          <w:p>
            <w:pPr>
              <w:pStyle w:val="1188"/>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是否为客观分</w:t>
            </w:r>
            <w:r/>
          </w:p>
        </w:tc>
      </w:tr>
      <w:tr>
        <w:trPr>
          <w:jc w:val="center"/>
          <w:trHeight w:val="1190"/>
        </w:trPr>
        <w:tc>
          <w:tcPr>
            <w:tcW w:w="1452" w:type="dxa"/>
            <w:vAlign w:val="center"/>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采用低价优先法计算</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价格得分=(100%-</w:t>
            </w:r>
            <w:r>
              <w:rPr>
                <w:rFonts w:hint="eastAsia" w:ascii="宋体" w:hAnsi="宋体" w:cs="宋体"/>
                <w:color w:val="auto"/>
                <w:sz w:val="24"/>
                <w:highlight w:val="none"/>
                <w:lang w:val="en-US" w:eastAsia="zh-CN"/>
              </w:rPr>
              <w:t xml:space="preserve">供应商所报</w:t>
            </w:r>
            <w:r>
              <w:rPr>
                <w:rFonts w:hint="eastAsia" w:ascii="宋体" w:hAnsi="宋体" w:cs="宋体"/>
                <w:color w:val="auto"/>
                <w:sz w:val="24"/>
                <w:highlight w:val="none"/>
              </w:rPr>
              <w:t xml:space="preserve">的最高优惠率)÷(100%-各</w:t>
            </w:r>
            <w:r>
              <w:rPr>
                <w:rFonts w:hint="eastAsia" w:ascii="宋体" w:hAnsi="宋体" w:cs="宋体"/>
                <w:color w:val="auto"/>
                <w:sz w:val="24"/>
                <w:highlight w:val="none"/>
                <w:lang w:val="en-US" w:eastAsia="zh-CN"/>
              </w:rPr>
              <w:t xml:space="preserve">供应商所报</w:t>
            </w:r>
            <w:r>
              <w:rPr>
                <w:rFonts w:hint="eastAsia" w:ascii="宋体" w:hAnsi="宋体" w:cs="宋体"/>
                <w:color w:val="auto"/>
                <w:sz w:val="24"/>
                <w:highlight w:val="none"/>
              </w:rPr>
              <w:t xml:space="preserve">优惠率)×</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得分四舍五入保留小数点后2位。</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1441"/>
        </w:trPr>
        <w:tc>
          <w:tcPr>
            <w:tcW w:w="1452" w:type="dxa"/>
            <w:vAlign w:val="center"/>
            <w:textDirection w:val="lrTb"/>
            <w:noWrap w:val="false"/>
          </w:tcPr>
          <w:p>
            <w:pPr>
              <w:ind w:left="0" w:right="0" w:firstLine="0"/>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6847" w:type="dxa"/>
            <w:vAlign w:val="center"/>
            <w:textDirection w:val="lrTb"/>
            <w:noWrap w:val="false"/>
          </w:tcPr>
          <w:p>
            <w:pPr>
              <w:ind w:left="0" w:right="0" w:firstLine="0"/>
              <w:rPr>
                <w:rFonts w:hint="eastAsia" w:ascii="宋体" w:hAnsi="宋体" w:cs="宋体"/>
                <w:b/>
                <w:bCs/>
                <w:color w:val="auto"/>
                <w:sz w:val="24"/>
                <w:highlight w:val="none"/>
              </w:rPr>
            </w:pPr>
            <w:r>
              <w:rPr>
                <w:rFonts w:hint="eastAsia" w:ascii="宋体" w:hAnsi="宋体" w:cs="宋体"/>
                <w:color w:val="auto"/>
                <w:sz w:val="24"/>
                <w:highlight w:val="none"/>
              </w:rPr>
              <w:t xml:space="preserve">供应商自2023年1月1日（含，以合同签订时间为准）以来独立承担过合同内容为零星维修或日常维保类似项目</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每份得2分，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最高得4分。 </w:t>
            </w:r>
            <w:r>
              <w:rPr>
                <w:rFonts w:hint="eastAsia" w:ascii="宋体" w:hAnsi="宋体" w:cs="宋体"/>
                <w:b/>
                <w:bCs/>
                <w:color w:val="auto"/>
                <w:sz w:val="24"/>
                <w:highlight w:val="none"/>
              </w:rPr>
              <w:t xml:space="preserve"> </w:t>
            </w:r>
            <w:r/>
          </w:p>
          <w:p>
            <w:pPr>
              <w:pStyle w:val="997"/>
              <w:ind w:left="0" w:right="0" w:firstLine="0"/>
              <w:spacing w:after="0"/>
              <w:rPr>
                <w:color w:val="auto"/>
                <w:highlight w:val="none"/>
              </w:rPr>
            </w:pPr>
            <w:r>
              <w:rPr>
                <w:rFonts w:hint="eastAsia" w:ascii="宋体" w:hAnsi="宋体" w:cs="宋体"/>
                <w:b w:val="0"/>
                <w:bCs w:val="0"/>
                <w:color w:val="auto"/>
                <w:sz w:val="24"/>
                <w:highlight w:val="none"/>
                <w:lang w:val="en-US" w:eastAsia="zh-CN"/>
              </w:rPr>
              <w:t xml:space="preserve">注：</w:t>
            </w:r>
            <w:r>
              <w:rPr>
                <w:rFonts w:hint="eastAsia" w:ascii="宋体" w:hAnsi="宋体" w:cs="宋体"/>
                <w:b w:val="0"/>
                <w:bCs w:val="0"/>
                <w:color w:val="auto"/>
                <w:sz w:val="24"/>
                <w:highlight w:val="none"/>
              </w:rPr>
              <w:t xml:space="preserve">响应文件中</w:t>
            </w:r>
            <w:r>
              <w:rPr>
                <w:rFonts w:hint="eastAsia" w:ascii="宋体" w:hAnsi="宋体" w:cs="宋体"/>
                <w:b w:val="0"/>
                <w:bCs w:val="0"/>
                <w:color w:val="auto"/>
                <w:sz w:val="24"/>
                <w:highlight w:val="none"/>
                <w:lang w:val="en-US" w:eastAsia="zh-CN"/>
              </w:rPr>
              <w:t xml:space="preserve">同时</w:t>
            </w:r>
            <w:r>
              <w:rPr>
                <w:rFonts w:hint="eastAsia" w:ascii="宋体" w:hAnsi="宋体" w:cs="宋体"/>
                <w:b w:val="0"/>
                <w:bCs w:val="0"/>
                <w:color w:val="auto"/>
                <w:sz w:val="24"/>
                <w:highlight w:val="none"/>
              </w:rPr>
              <w:t xml:space="preserve">提供业绩合同</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中标（成交）通知书扫描件</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须同时具备</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，如上述材料无法体现时间、项目内容、供应商名称等关键评审因素，须另附加盖</w:t>
            </w:r>
            <w:r>
              <w:rPr>
                <w:rFonts w:hint="eastAsia" w:ascii="宋体" w:hAnsi="宋体" w:cs="宋体"/>
                <w:b w:val="0"/>
                <w:bCs w:val="0"/>
                <w:color w:val="auto"/>
                <w:sz w:val="24"/>
                <w:highlight w:val="none"/>
                <w:lang w:val="en-US" w:eastAsia="zh-CN"/>
              </w:rPr>
              <w:t xml:space="preserve">所属项目</w:t>
            </w:r>
            <w:r>
              <w:rPr>
                <w:rFonts w:hint="eastAsia" w:ascii="宋体" w:hAnsi="宋体" w:cs="宋体"/>
                <w:b w:val="0"/>
                <w:bCs w:val="0"/>
                <w:color w:val="auto"/>
                <w:sz w:val="24"/>
                <w:highlight w:val="none"/>
              </w:rPr>
              <w:t xml:space="preserve">业主单位（或合同甲方）公章的相关证明材料扫描件</w:t>
            </w:r>
            <w:r>
              <w:rPr>
                <w:rFonts w:hint="eastAsia" w:ascii="宋体" w:hAnsi="宋体" w:cs="宋体"/>
                <w:b w:val="0"/>
                <w:bCs w:val="0"/>
                <w:color w:val="auto"/>
                <w:sz w:val="24"/>
                <w:highlight w:val="none"/>
                <w:lang w:val="en-US" w:eastAsia="zh-CN"/>
              </w:rPr>
              <w:t xml:space="preserve">方为有效</w:t>
            </w:r>
            <w:r>
              <w:rPr>
                <w:rFonts w:hint="eastAsia" w:ascii="宋体" w:hAnsi="宋体" w:cs="宋体"/>
                <w:b w:val="0"/>
                <w:bCs w:val="0"/>
                <w:color w:val="auto"/>
                <w:sz w:val="24"/>
                <w:highlight w:val="none"/>
              </w:rPr>
              <w:t xml:space="preserve">，否则不得分。</w:t>
            </w:r>
            <w:r/>
          </w:p>
        </w:tc>
        <w:tc>
          <w:tcPr>
            <w:tcW w:w="744" w:type="dxa"/>
            <w:vAlign w:val="center"/>
            <w:textDirection w:val="lrTb"/>
            <w:noWrap w:val="false"/>
          </w:tcPr>
          <w:p>
            <w:pPr>
              <w:pStyle w:val="997"/>
              <w:ind w:left="0" w:right="0" w:firstLine="0"/>
              <w:jc w:val="center"/>
              <w:spacing w:after="0"/>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是</w:t>
            </w:r>
            <w:r/>
          </w:p>
        </w:tc>
      </w:tr>
      <w:tr>
        <w:trPr>
          <w:cantSplit/>
          <w:jc w:val="center"/>
          <w:trHeight w:val="1292"/>
        </w:trPr>
        <w:tc>
          <w:tcPr>
            <w:tcW w:w="1452" w:type="dxa"/>
            <w:vAlign w:val="center"/>
            <w:textDirection w:val="lrTb"/>
            <w:noWrap w:val="false"/>
          </w:tcPr>
          <w:p>
            <w:pPr>
              <w:ind w:left="0" w:right="0" w:firstLine="0"/>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服务响应（</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W w:w="6847" w:type="dxa"/>
            <w:vAlign w:val="center"/>
            <w:textDirection w:val="lrTb"/>
            <w:noWrap w:val="false"/>
          </w:tcPr>
          <w:p>
            <w:pPr>
              <w:pStyle w:val="1010"/>
              <w:ind w:left="0" w:right="0" w:firstLine="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依据响应文件中偏离表内容对竞争性磋商文件《2、项目要求（采购需求）》满足程度进行评价。</w:t>
            </w:r>
            <w:r/>
          </w:p>
          <w:p>
            <w:pPr>
              <w:pStyle w:val="1010"/>
              <w:ind w:left="0" w:right="0" w:firstLine="0"/>
              <w:spacing w:after="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完全满足的得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分，任意一项响应指标不满足或负偏离的，本项不得分。</w:t>
            </w:r>
            <w:r>
              <w:rPr>
                <w:rFonts w:hint="eastAsia" w:ascii="宋体" w:hAnsi="宋体" w:cs="宋体"/>
                <w:color w:val="auto"/>
                <w:sz w:val="24"/>
                <w:highlight w:val="none"/>
                <w:lang w:val="en-US" w:eastAsia="zh-CN"/>
              </w:rPr>
              <w:t xml:space="preserve">本项最高得5分，最低不得分。</w:t>
            </w:r>
            <w:r/>
          </w:p>
        </w:tc>
        <w:tc>
          <w:tcPr>
            <w:tcW w:w="744" w:type="dxa"/>
            <w:vAlign w:val="center"/>
            <w:textDirection w:val="lrTb"/>
            <w:noWrap w:val="false"/>
          </w:tcPr>
          <w:p>
            <w:pPr>
              <w:pStyle w:val="1010"/>
              <w:ind w:left="0" w:right="0" w:firstLine="0"/>
              <w:jc w:val="center"/>
              <w:spacing w:after="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2044"/>
        </w:trPr>
        <w:tc>
          <w:tcPr>
            <w:tcW w:w="1452" w:type="dxa"/>
            <w:vAlign w:val="center"/>
            <w:vMerge w:val="restart"/>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w:t>
            </w: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1、零星维修总体实施方案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有针对5万元以下维修项目的专项管理流程（报修响应→现场勘查→报价确认→施工→验收）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有与学校后勤系统对接方案（如对接现有报修平台或建立微信群/热线）</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内容完善、可行性高、贴合项目实际的得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分；内容较完善、可行性较高、基本符合学校实际需求的得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分；内容存在欠缺，符合性较低的得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分，未提供的不得分，最高得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分，最低得0分。</w:t>
            </w:r>
            <w:r/>
          </w:p>
          <w:p>
            <w:pPr>
              <w:numPr>
                <w:ilvl w:val="0"/>
                <w:numId w:val="4"/>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有防止破坏教学秩序的具体措施（如上课时间静音施工、节假日集中作业</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numPr>
                <w:ilvl w:val="0"/>
                <w:numId w:val="0"/>
              </w:num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本项最高得8分，最低得0分。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593"/>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numPr>
                <w:ilvl w:val="0"/>
                <w:numId w:val="3"/>
              </w:num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应急抢修（2分）：</w:t>
            </w:r>
            <w:r/>
          </w:p>
          <w:p>
            <w:pPr>
              <w:numPr>
                <w:ilvl w:val="0"/>
                <w:numId w:val="0"/>
              </w:numPr>
              <w:ind w:right="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要求明确应急抢修响应时限（如接到通知后2小时内到场）得2分，每增加1小时扣1分，扣完为止，最高得2分。响应文件中提供承诺函方为有效（承诺函格式自拟）。</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593"/>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安全管理（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有触电、漏水、高空坠落等校园常见险情的专项应急预案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（2）要求提供</w:t>
            </w:r>
            <w:r>
              <w:rPr>
                <w:rFonts w:hint="eastAsia" w:ascii="宋体" w:hAnsi="宋体" w:cs="宋体"/>
                <w:color w:val="auto"/>
                <w:sz w:val="24"/>
                <w:highlight w:val="none"/>
              </w:rPr>
              <w:t xml:space="preserve">安全文明施工措施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符合《徐州市建筑工地扬尘污染防治管理》要求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numPr>
                <w:ilvl w:val="0"/>
                <w:numId w:val="0"/>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本项最高得6分，最低得0分。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445"/>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、质量保障与材料管理（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乙供材料品牌档次明确且不低于中档得2分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响应文件中提供承诺函（承诺函格式自拟）</w:t>
            </w:r>
            <w:r>
              <w:rPr>
                <w:rFonts w:hint="eastAsia" w:ascii="宋体" w:hAnsi="宋体" w:cs="宋体"/>
                <w:color w:val="auto"/>
                <w:sz w:val="24"/>
                <w:highlight w:val="none"/>
              </w:rPr>
              <w:t xml:space="preserve">；</w:t>
            </w:r>
            <w:r/>
          </w:p>
          <w:p>
            <w:pPr>
              <w:ind w:left="0" w:right="0" w:firstLine="0"/>
              <w:rPr>
                <w:rFonts w:hint="default" w:ascii="宋体" w:hAnsi="宋体" w:eastAsia="宋体" w:cs="宋体"/>
                <w:color w:val="0000ff"/>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提供对</w:t>
            </w:r>
            <w:r>
              <w:rPr>
                <w:rFonts w:hint="eastAsia" w:ascii="宋体" w:hAnsi="宋体" w:cs="宋体"/>
                <w:color w:val="auto"/>
                <w:sz w:val="24"/>
                <w:highlight w:val="none"/>
              </w:rPr>
              <w:t xml:space="preserve">甲供材（管道、阀门、电缆、灯具等）的接收、保管、领用、退库制度</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得1分</w:t>
            </w:r>
            <w:r>
              <w:rPr>
                <w:rFonts w:hint="eastAsia" w:ascii="宋体" w:hAnsi="宋体" w:cs="宋体"/>
                <w:color w:val="0000ff"/>
                <w:sz w:val="24"/>
                <w:highlight w:val="none"/>
                <w:lang w:val="en-US" w:eastAsia="zh-CN"/>
              </w:rPr>
              <w:t xml:space="preserve">。</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维修质保期承诺（如单项维修质保期≥6个月）</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rPr>
                <w:rFonts w:hint="eastAsia" w:ascii="宋体" w:hAnsi="宋体" w:cs="宋体"/>
                <w:color w:val="auto"/>
                <w:sz w:val="24"/>
                <w:highlight w:val="none"/>
                <w:lang w:eastAsia="zh-CN"/>
              </w:rPr>
              <w:t xml:space="preserve">，响应文件中提供承诺函（承诺函格式自拟）。</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最高得5分，最低得0分。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、进度计划与机械保障（</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提供月度/学期巡检计划（而非大型工程横道图）</w:t>
            </w:r>
            <w:r>
              <w:rPr>
                <w:rFonts w:hint="eastAsia" w:ascii="宋体" w:hAnsi="宋体" w:cs="宋体"/>
                <w:color w:val="auto"/>
                <w:sz w:val="24"/>
                <w:highlight w:val="none"/>
                <w:lang w:val="en-US" w:eastAsia="zh-CN"/>
              </w:rPr>
              <w:t xml:space="preserve">且内容完善</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常备维修机械和工具清单（如疏通机、高空作业车、电焊机等）</w:t>
            </w:r>
            <w:r>
              <w:rPr>
                <w:rFonts w:hint="eastAsia" w:ascii="宋体" w:hAnsi="宋体" w:cs="宋体"/>
                <w:color w:val="auto"/>
                <w:sz w:val="24"/>
                <w:highlight w:val="none"/>
                <w:lang w:val="en-US" w:eastAsia="zh-CN"/>
              </w:rPr>
              <w:t xml:space="preserve">且</w:t>
            </w:r>
            <w:r>
              <w:rPr>
                <w:rFonts w:hint="eastAsia" w:ascii="宋体" w:hAnsi="宋体" w:cs="宋体"/>
                <w:color w:val="auto"/>
                <w:sz w:val="24"/>
                <w:highlight w:val="none"/>
              </w:rPr>
              <w:t xml:space="preserve">与项目需求匹配</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numPr>
                <w:ilvl w:val="0"/>
                <w:numId w:val="0"/>
              </w:numPr>
              <w:ind w:right="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6、人员保障（3分）：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要求劳动力配置合理（电工、瓦工、水暖工常驻人数明确），提供人员配置，配置合理、贴合项目实际的得3分；配置较合理、基本符合学校实际需求的得2分；人员配置符合性较低的得1分，未提供的不得分，最高得3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措施科学、合理、</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操作性强、规范、高效</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得5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措施较</w:t>
            </w:r>
            <w:r>
              <w:rPr>
                <w:rFonts w:hint="eastAsia" w:ascii="宋体" w:hAnsi="宋体" w:cs="宋体"/>
                <w:color w:val="auto"/>
                <w:sz w:val="24"/>
                <w:highlight w:val="none"/>
              </w:rPr>
              <w:t xml:space="preserve">科学合理、</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操作性</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强、考虑</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周全的得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措施合理性及可</w:t>
            </w:r>
            <w:r>
              <w:rPr>
                <w:rFonts w:hint="eastAsia" w:ascii="宋体" w:hAnsi="宋体" w:cs="宋体"/>
                <w:color w:val="auto"/>
                <w:sz w:val="24"/>
                <w:highlight w:val="none"/>
              </w:rPr>
              <w:t xml:space="preserve">操作性</w:t>
            </w:r>
            <w:r>
              <w:rPr>
                <w:rFonts w:hint="eastAsia" w:ascii="宋体" w:hAnsi="宋体" w:cs="宋体"/>
                <w:color w:val="auto"/>
                <w:sz w:val="24"/>
                <w:highlight w:val="none"/>
                <w:lang w:val="en-US" w:eastAsia="zh-CN"/>
              </w:rPr>
              <w:t xml:space="preserve">一般</w:t>
            </w:r>
            <w:r>
              <w:rPr>
                <w:rFonts w:hint="eastAsia" w:ascii="宋体" w:hAnsi="宋体" w:cs="宋体"/>
                <w:color w:val="auto"/>
                <w:sz w:val="24"/>
                <w:highlight w:val="none"/>
              </w:rPr>
              <w:t xml:space="preserve">的得2分；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综合评定一般，方案简单，操作性不强的得1分</w:t>
            </w:r>
            <w:r>
              <w:rPr>
                <w:rFonts w:hint="eastAsia" w:ascii="宋体" w:hAnsi="宋体" w:cs="宋体"/>
                <w:color w:val="auto"/>
                <w:sz w:val="24"/>
                <w:highlight w:val="none"/>
                <w:lang w:eastAsia="zh-CN"/>
              </w:rPr>
              <w:t xml:space="preserve">。</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restart"/>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服务响应与保障方案</w:t>
            </w:r>
            <w:r/>
          </w:p>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1、响应时效承诺（</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紧急抢修（漏水、断电、门锁损坏等）：承诺接到通知后≤2小时到场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＞2小时，</w:t>
            </w:r>
            <w:r>
              <w:rPr>
                <w:rFonts w:hint="eastAsia" w:ascii="宋体" w:hAnsi="宋体" w:cs="宋体"/>
                <w:color w:val="auto"/>
                <w:sz w:val="24"/>
                <w:highlight w:val="none"/>
              </w:rPr>
              <w:t xml:space="preserve">≤4小时到场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4小时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不得分。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一般维修：承诺≤24小时到场勘查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小时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≤48小时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48小时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不得分。</w:t>
            </w:r>
            <w:r/>
          </w:p>
          <w:p>
            <w:pPr>
              <w:ind w:left="0" w:right="0" w:firstLine="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最高得4分，最低得0分。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2、维修完工时限（6分）：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一般维修（换灯、修龙头等）：承诺≤24小时完工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较大维修（墙面铲除粉刷、卫生间防水等）：承诺≤5日历天完工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有超期违约金承诺（如每超期1天扣合同款500元）</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最高得6分，最低得0分。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3、常驻值班与每日值守（5分）：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承诺派驻≥1名维修人员常驻学校（或在学校周边步行/骑行10分钟范围内驻点），</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提供人员姓名、工种、</w:t>
            </w:r>
            <w:r>
              <w:rPr>
                <w:rFonts w:hint="eastAsia" w:ascii="宋体" w:hAnsi="宋体" w:cs="宋体"/>
                <w:color w:val="auto"/>
                <w:sz w:val="24"/>
                <w:highlight w:val="none"/>
                <w:lang w:val="en-US" w:eastAsia="zh-CN"/>
              </w:rPr>
              <w:t xml:space="preserve">供应商为其缴纳的</w:t>
            </w:r>
            <w:r>
              <w:rPr>
                <w:rFonts w:hint="eastAsia" w:ascii="宋体" w:hAnsi="宋体" w:cs="宋体"/>
                <w:color w:val="auto"/>
                <w:sz w:val="24"/>
                <w:highlight w:val="none"/>
              </w:rPr>
              <w:t xml:space="preserve">近6个月社保证明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不含“提交首次响应文件截止时间”当月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响应文件中提供承诺函方为有效，承诺函格式自拟</w:t>
            </w:r>
            <w:r>
              <w:rPr>
                <w:rFonts w:hint="eastAsia" w:ascii="宋体" w:hAnsi="宋体" w:cs="宋体"/>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承诺工作日每天8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00-17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30在校内值班（提供值班制度、值班地点、值班表模板）</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得2分；仅承诺电话值班或远程响应</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得1分；响应文件中提供承诺函方为有效，承诺函格式自拟。</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承诺非工作日（周末、节假日）安排人员轮值，接到报修后2小时内到场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得1分；响应文件中提供承诺函方为有效，承诺函格式自拟。</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4、本地化服务与常备力量（4分）：</w:t>
            </w:r>
            <w:r/>
          </w:p>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（1）在项目所在地区有固定办公场所或维修站点或承诺成交后设置办公场所（响应文件中提供房产证明扫描件或租赁合同扫描件或承诺函（承诺函格式自拟））的得2分；</w:t>
            </w:r>
            <w:r/>
          </w:p>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（2）供应商有常备库存材料仓库（响应文件中提供照片及地址）的得2分。</w:t>
            </w:r>
            <w:r/>
          </w:p>
          <w:p>
            <w:pPr>
              <w:ind w:left="0" w:right="0"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以上内容未提供不得分，最高得4分，最低得0分。</w:t>
            </w:r>
            <w:r/>
          </w:p>
        </w:tc>
        <w:tc>
          <w:tcPr>
            <w:tcW w:w="744" w:type="dxa"/>
            <w:vAlign w:val="center"/>
            <w:textDirection w:val="lrTb"/>
            <w:noWrap w:val="false"/>
          </w:tcPr>
          <w:p>
            <w:p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restart"/>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售后服务方案(1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1、缺陷责任期内服务（</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明确质保期内免费返修响应时间（如接到通知后4小时内到场）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提供季度主动巡检计划（每学期开学前、放假前各1次）</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根据供应商响应文件中提供的除上述（1）、（2）内容外的缺陷责任期内服务内容进行评价（3分）。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内容完善、可行性高、贴合项目实际的得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分；内容较完善、可行性较高、基本符合学校实际需求的得2分；内容存在欠缺，符合性较低的得1分，未提供的不得分，最高得3分，最低得0分。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continue"/>
            <w:textDirection w:val="lrTb"/>
            <w:noWrap w:val="false"/>
          </w:tcPr>
          <w:p>
            <w:pPr>
              <w:pStyle w:val="1188"/>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、缺陷责任期外服务（</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明确</w:t>
            </w:r>
            <w:r>
              <w:rPr>
                <w:rFonts w:hint="eastAsia" w:ascii="宋体" w:hAnsi="宋体" w:cs="宋体"/>
                <w:color w:val="auto"/>
                <w:sz w:val="24"/>
                <w:highlight w:val="none"/>
              </w:rPr>
              <w:t xml:space="preserve">缺陷责任期外维修收费标准承诺（如仍按中标优惠率计费或仅收取成本费+人工费）</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明确</w:t>
            </w:r>
            <w:r>
              <w:rPr>
                <w:rFonts w:hint="eastAsia" w:ascii="宋体" w:hAnsi="宋体" w:cs="宋体"/>
                <w:color w:val="auto"/>
                <w:sz w:val="24"/>
                <w:highlight w:val="none"/>
              </w:rPr>
              <w:t xml:space="preserve">缺陷责任期外应急响应承诺（到场时间、完工时间不低于投标标准）</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结果保留2位小数</w:t>
      </w:r>
      <w:r>
        <w:rPr>
          <w:rFonts w:hint="eastAsia" w:ascii="宋体" w:hAnsi="宋体" w:cs="宋体"/>
          <w:b/>
          <w:bCs/>
          <w:color w:val="auto"/>
          <w:sz w:val="24"/>
          <w:highlight w:val="none"/>
        </w:rPr>
        <w:t xml:space="preserve">。</w:t>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spacing w:line="360" w:lineRule="auto"/>
        <w:rPr>
          <w:rFonts w:hint="eastAsia" w:ascii="宋体" w:hAnsi="宋体" w:cs="宋体"/>
          <w:b/>
          <w:bCs/>
          <w:color w:val="auto"/>
          <w:highlight w:val="none"/>
        </w:rPr>
      </w:pPr>
      <w:r/>
      <w:bookmarkStart w:id="0" w:name="OLE_LINK1"/>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预算为</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390.00</w:t>
      </w:r>
      <w:r>
        <w:rPr>
          <w:rFonts w:hint="eastAsia" w:ascii="宋体" w:hAnsi="宋体" w:cs="宋体"/>
          <w:b/>
          <w:bCs/>
          <w:color w:val="auto"/>
          <w:sz w:val="24"/>
          <w:highlight w:val="none"/>
        </w:rPr>
        <w:t xml:space="preserve">万</w:t>
      </w:r>
      <w:bookmarkEnd w:id="0"/>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最高限价为人民币350.00万元，且本项目不接受低于5.00%的优惠率的响应报价</w:t>
      </w:r>
      <w:r>
        <w:rPr>
          <w:rFonts w:hint="eastAsia" w:ascii="宋体" w:hAnsi="宋体" w:cs="宋体"/>
          <w:b/>
          <w:bCs/>
          <w:color w:val="auto"/>
          <w:sz w:val="24"/>
          <w:highlight w:val="none"/>
        </w:rPr>
        <w:t xml:space="preserve">（首次报价和最终报价）。</w:t>
      </w:r>
      <w:r/>
    </w:p>
    <w:p>
      <w:pPr>
        <w:pStyle w:val="1189"/>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189"/>
        <w:spacing w:before="0" w:beforeAutospacing="0" w:after="0" w:afterAutospacing="0" w:line="360" w:lineRule="auto"/>
        <w:rPr>
          <w:rFonts w:hint="eastAsia"/>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江苏省徐州医药高等职业学校学府校区零星维修服务项目</w:t>
      </w:r>
      <w:r>
        <w:rPr>
          <w:rFonts w:hint="eastAsia"/>
          <w:b/>
          <w:bCs/>
          <w:color w:val="auto"/>
          <w:highlight w:val="none"/>
        </w:rPr>
        <w:t xml:space="preserve">。</w:t>
      </w:r>
      <w:r/>
    </w:p>
    <w:p>
      <w:pPr>
        <w:pStyle w:val="1189"/>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2、项目地址：</w:t>
      </w:r>
      <w:r>
        <w:rPr>
          <w:rFonts w:hint="eastAsia"/>
          <w:b w:val="0"/>
          <w:bCs w:val="0"/>
          <w:color w:val="auto"/>
          <w:highlight w:val="none"/>
          <w:lang w:eastAsia="zh-CN"/>
        </w:rPr>
        <w:t xml:space="preserve">江苏省徐州医药高等职业学校学府校区</w:t>
      </w:r>
      <w:r>
        <w:rPr>
          <w:rFonts w:hint="eastAsia"/>
          <w:b w:val="0"/>
          <w:bCs w:val="0"/>
          <w:color w:val="auto"/>
          <w:highlight w:val="none"/>
        </w:rPr>
        <w:t xml:space="preserve">所辖范围内。</w:t>
      </w:r>
      <w:r/>
    </w:p>
    <w:p>
      <w:pPr>
        <w:pStyle w:val="1189"/>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3</w:t>
      </w:r>
      <w:r>
        <w:rPr>
          <w:rFonts w:hint="eastAsia"/>
          <w:b w:val="0"/>
          <w:bCs w:val="0"/>
          <w:color w:val="auto"/>
          <w:highlight w:val="none"/>
          <w:lang w:eastAsia="zh-CN"/>
        </w:rPr>
        <w:t xml:space="preserve">、</w:t>
      </w:r>
      <w:r>
        <w:rPr>
          <w:rFonts w:hint="eastAsia"/>
          <w:b w:val="0"/>
          <w:bCs w:val="0"/>
          <w:color w:val="auto"/>
          <w:highlight w:val="none"/>
        </w:rPr>
        <w:t xml:space="preserve">本项目为校内零星维修服务项目，具体日期以签订合同期为准。</w:t>
      </w:r>
      <w:r/>
    </w:p>
    <w:p>
      <w:pPr>
        <w:pStyle w:val="1189"/>
        <w:spacing w:before="0" w:beforeAutospacing="0" w:after="0" w:afterAutospacing="0" w:line="360" w:lineRule="auto"/>
        <w:rPr>
          <w:rFonts w:hint="eastAsia"/>
          <w:b/>
          <w:bCs/>
          <w:color w:val="auto"/>
          <w:highlight w:val="none"/>
        </w:rPr>
      </w:pPr>
      <w:r>
        <w:rPr>
          <w:rFonts w:hint="eastAsia"/>
          <w:b/>
          <w:bCs/>
          <w:color w:val="auto"/>
          <w:highlight w:val="none"/>
          <w:lang w:val="en-US" w:eastAsia="zh-CN"/>
        </w:rPr>
        <w:t xml:space="preserve">4</w:t>
      </w:r>
      <w:r>
        <w:rPr>
          <w:rFonts w:hint="eastAsia"/>
          <w:b/>
          <w:bCs/>
          <w:color w:val="auto"/>
          <w:highlight w:val="none"/>
          <w:lang w:eastAsia="zh-CN"/>
        </w:rPr>
        <w:t xml:space="preserve">、</w:t>
      </w:r>
      <w:r>
        <w:rPr>
          <w:rFonts w:hint="eastAsia"/>
          <w:b/>
          <w:bCs/>
          <w:color w:val="auto"/>
          <w:highlight w:val="none"/>
        </w:rPr>
        <w:t xml:space="preserve">采购人不接受超出限价的</w:t>
      </w:r>
      <w:r>
        <w:rPr>
          <w:rFonts w:hint="eastAsia"/>
          <w:b/>
          <w:bCs/>
          <w:color w:val="auto"/>
          <w:highlight w:val="none"/>
          <w:lang w:val="en-US" w:eastAsia="zh-CN"/>
        </w:rPr>
        <w:t xml:space="preserve">响应</w:t>
      </w:r>
      <w:r>
        <w:rPr>
          <w:rFonts w:hint="eastAsia"/>
          <w:b/>
          <w:bCs/>
          <w:color w:val="auto"/>
          <w:highlight w:val="none"/>
        </w:rPr>
        <w:t xml:space="preserve">报价，有效报价范围为（优惠率）：≧5﹪（如供应商优惠率为10%，则折扣为9折）。</w:t>
      </w:r>
      <w:r/>
    </w:p>
    <w:p>
      <w:pPr>
        <w:pStyle w:val="1189"/>
        <w:spacing w:before="0" w:beforeAutospacing="0" w:after="0" w:afterAutospacing="0" w:line="360" w:lineRule="auto"/>
        <w:rPr>
          <w:rFonts w:hint="default"/>
          <w:b/>
          <w:bCs/>
          <w:color w:val="auto"/>
          <w:highlight w:val="none"/>
          <w:lang w:val="en-US" w:eastAsia="zh-CN"/>
        </w:rPr>
      </w:pPr>
      <w:r>
        <w:rPr>
          <w:rFonts w:hint="eastAsia"/>
          <w:b/>
          <w:bCs/>
          <w:color w:val="auto"/>
          <w:highlight w:val="none"/>
          <w:lang w:val="en-US" w:eastAsia="zh-CN"/>
        </w:rPr>
        <w:t xml:space="preserve">三、合同履行期限：自合同签订之日起11个月。</w:t>
      </w:r>
      <w:r/>
    </w:p>
    <w:p>
      <w:pPr>
        <w:pStyle w:val="1189"/>
        <w:spacing w:before="0" w:beforeAutospacing="0" w:after="0" w:afterAutospacing="0" w:line="360" w:lineRule="auto"/>
        <w:rPr>
          <w:rFonts w:hint="eastAsia" w:eastAsia="宋体"/>
          <w:b/>
          <w:bCs/>
          <w:color w:val="auto"/>
          <w:highlight w:val="none"/>
          <w:lang w:val="en-US" w:eastAsia="zh-CN"/>
        </w:rPr>
      </w:pPr>
      <w:r>
        <w:rPr>
          <w:rFonts w:hint="eastAsia"/>
          <w:b/>
          <w:bCs/>
          <w:color w:val="auto"/>
          <w:highlight w:val="none"/>
          <w:lang w:val="en-US" w:eastAsia="zh-CN"/>
        </w:rPr>
        <w:t xml:space="preserve">四</w:t>
      </w:r>
      <w:r>
        <w:rPr>
          <w:rFonts w:hint="eastAsia"/>
          <w:b/>
          <w:bCs/>
          <w:color w:val="auto"/>
          <w:highlight w:val="none"/>
        </w:rPr>
        <w:t xml:space="preserve">、项目要求</w:t>
      </w:r>
      <w:r>
        <w:rPr>
          <w:rFonts w:hint="eastAsia"/>
          <w:b/>
          <w:bCs/>
          <w:color w:val="auto"/>
          <w:highlight w:val="none"/>
          <w:lang w:eastAsia="zh-CN"/>
        </w:rPr>
        <w:t xml:space="preserve">：</w:t>
      </w:r>
      <w:r/>
    </w:p>
    <w:p>
      <w:pPr>
        <w:pStyle w:val="1189"/>
        <w:keepLines w:val="0"/>
        <w:keepNext w:val="0"/>
        <w:pageBreakBefore w:val="0"/>
        <w:spacing w:before="0" w:beforeAutospacing="0" w:after="0" w:afterAutospacing="0" w:line="360" w:lineRule="auto"/>
        <w:widowControl/>
        <w:rPr>
          <w:rFonts w:hint="default"/>
          <w:b w:val="0"/>
          <w:bCs w:val="0"/>
          <w:color w:val="auto"/>
          <w:highlight w:val="none"/>
          <w:lang w:val="en-US" w:eastAsia="zh-CN"/>
        </w:rPr>
      </w:pPr>
      <w:r>
        <w:rPr>
          <w:rFonts w:hint="eastAsia"/>
          <w:b w:val="0"/>
          <w:bCs w:val="0"/>
          <w:color w:val="auto"/>
          <w:highlight w:val="none"/>
        </w:rPr>
        <w:t xml:space="preserve">1</w:t>
      </w:r>
      <w:r>
        <w:rPr>
          <w:rFonts w:hint="eastAsia"/>
          <w:b w:val="0"/>
          <w:bCs w:val="0"/>
          <w:color w:val="auto"/>
          <w:highlight w:val="none"/>
          <w:lang w:eastAsia="zh-CN"/>
        </w:rPr>
        <w:t xml:space="preserve">、</w:t>
      </w:r>
      <w:r>
        <w:rPr>
          <w:rFonts w:hint="eastAsia"/>
          <w:b w:val="0"/>
          <w:bCs w:val="0"/>
          <w:color w:val="auto"/>
          <w:highlight w:val="none"/>
        </w:rPr>
        <w:t xml:space="preserve">本</w:t>
      </w:r>
      <w:r>
        <w:rPr>
          <w:rFonts w:hint="eastAsia"/>
          <w:b w:val="0"/>
          <w:bCs w:val="0"/>
          <w:color w:val="auto"/>
          <w:highlight w:val="none"/>
          <w:lang w:val="en-US" w:eastAsia="zh-CN"/>
        </w:rPr>
        <w:t xml:space="preserve">项目</w:t>
      </w:r>
      <w:r>
        <w:rPr>
          <w:rFonts w:hint="eastAsia"/>
          <w:b w:val="0"/>
          <w:bCs w:val="0"/>
          <w:color w:val="auto"/>
          <w:highlight w:val="none"/>
        </w:rPr>
        <w:t xml:space="preserve">执行现行国家标准《建设工程工程量清单计价标准》（GB/T 50500-2024）、《房屋建筑与装饰工程工程量计算标准》（GB/T 50854-2024）、《通用安装工程工程量计算标准》（GB/T 50856-2024）、《江苏省建筑与装饰工程消耗量》（2026年）、《江苏省通用安装工程消耗量》（2026年）、《江苏省市政工程消耗量》（2026年）、《江苏修缮建筑定额》（2009年）、《江苏抗震加固定额》（2009年）、《江苏修缮安装定额》（2009年）及其他有关文件规定，</w:t>
      </w:r>
      <w:r>
        <w:rPr>
          <w:rFonts w:hint="eastAsia"/>
          <w:b/>
          <w:bCs/>
          <w:color w:val="auto"/>
          <w:highlight w:val="none"/>
        </w:rPr>
        <w:t xml:space="preserve">进行计价后</w:t>
      </w:r>
      <w:r>
        <w:rPr>
          <w:rFonts w:hint="eastAsia"/>
          <w:b/>
          <w:bCs/>
          <w:color w:val="auto"/>
          <w:highlight w:val="none"/>
          <w:lang w:eastAsia="zh-CN"/>
        </w:rPr>
        <w:t xml:space="preserve">，</w:t>
      </w:r>
      <w:r>
        <w:rPr>
          <w:rFonts w:hint="eastAsia"/>
          <w:b/>
          <w:bCs/>
          <w:color w:val="auto"/>
          <w:highlight w:val="none"/>
          <w:lang w:val="en-US" w:eastAsia="zh-CN"/>
        </w:rPr>
        <w:t xml:space="preserve">每个单项项目以学校</w:t>
      </w:r>
      <w:r>
        <w:rPr>
          <w:rFonts w:hint="eastAsia"/>
          <w:b/>
          <w:bCs/>
          <w:color w:val="auto"/>
          <w:highlight w:val="none"/>
          <w:lang w:eastAsia="zh-CN"/>
        </w:rPr>
        <w:t xml:space="preserve">委托的第三方</w:t>
      </w:r>
      <w:r>
        <w:rPr>
          <w:rFonts w:hint="eastAsia"/>
          <w:b/>
          <w:bCs/>
          <w:color w:val="auto"/>
          <w:highlight w:val="none"/>
          <w:lang w:val="en-US" w:eastAsia="zh-CN"/>
        </w:rPr>
        <w:t xml:space="preserve">审计机构审计后金额*（1-成交优惠率）的方式进行结算。</w:t>
      </w:r>
      <w:r/>
    </w:p>
    <w:p>
      <w:pPr>
        <w:pStyle w:val="1189"/>
        <w:spacing w:before="0" w:beforeAutospacing="0" w:after="0" w:afterAutospacing="0" w:line="360" w:lineRule="auto"/>
        <w:rPr>
          <w:rFonts w:hint="eastAsia" w:eastAsia="宋体"/>
          <w:b w:val="0"/>
          <w:bCs w:val="0"/>
          <w:color w:val="auto"/>
          <w:highlight w:val="none"/>
          <w:lang w:eastAsia="zh-CN"/>
        </w:rPr>
      </w:pPr>
      <w:r>
        <w:rPr>
          <w:rFonts w:hint="eastAsia"/>
          <w:b w:val="0"/>
          <w:bCs w:val="0"/>
          <w:color w:val="auto"/>
          <w:highlight w:val="none"/>
          <w:lang w:val="en-US" w:eastAsia="zh-CN"/>
        </w:rPr>
        <w:t xml:space="preserve">2、</w:t>
      </w:r>
      <w:r>
        <w:rPr>
          <w:rFonts w:hint="eastAsia"/>
          <w:b w:val="0"/>
          <w:bCs w:val="0"/>
          <w:color w:val="auto"/>
          <w:highlight w:val="none"/>
        </w:rPr>
        <w:t xml:space="preserve">质量标准：合格</w:t>
      </w:r>
      <w:r>
        <w:rPr>
          <w:rFonts w:hint="eastAsia"/>
          <w:b w:val="0"/>
          <w:bCs w:val="0"/>
          <w:color w:val="auto"/>
          <w:highlight w:val="none"/>
          <w:lang w:eastAsia="zh-CN"/>
        </w:rPr>
        <w:t xml:space="preserve">。</w:t>
      </w:r>
      <w:r/>
    </w:p>
    <w:p>
      <w:pPr>
        <w:pStyle w:val="1189"/>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3、</w:t>
      </w:r>
      <w:r>
        <w:rPr>
          <w:rFonts w:hint="eastAsia"/>
          <w:b w:val="0"/>
          <w:bCs w:val="0"/>
          <w:color w:val="auto"/>
          <w:highlight w:val="none"/>
        </w:rPr>
        <w:t xml:space="preserve">一个年度内累计3次未按承诺时间到场或完工的，采购人有权解除合同并追究违约责任。</w:t>
      </w:r>
      <w:r/>
    </w:p>
    <w:p>
      <w:pPr>
        <w:pStyle w:val="1189"/>
        <w:spacing w:before="0" w:beforeAutospacing="0" w:after="0" w:afterAutospacing="0" w:line="360" w:lineRule="auto"/>
        <w:rPr>
          <w:rFonts w:hint="eastAsia"/>
          <w:b/>
          <w:bCs/>
          <w:color w:val="auto"/>
          <w:highlight w:val="none"/>
        </w:rPr>
      </w:pPr>
      <w:r>
        <w:rPr>
          <w:rFonts w:hint="eastAsia"/>
          <w:b/>
          <w:bCs/>
          <w:color w:val="auto"/>
          <w:highlight w:val="none"/>
          <w:lang w:val="en-US" w:eastAsia="zh-CN"/>
        </w:rPr>
        <w:t xml:space="preserve">4、项目</w:t>
      </w:r>
      <w:r>
        <w:rPr>
          <w:rFonts w:hint="eastAsia"/>
          <w:b/>
          <w:bCs/>
          <w:color w:val="auto"/>
          <w:highlight w:val="none"/>
        </w:rPr>
        <w:t xml:space="preserve">建设规模：</w:t>
      </w:r>
      <w:r/>
    </w:p>
    <w:p>
      <w:pPr>
        <w:pStyle w:val="1189"/>
        <w:spacing w:before="0" w:beforeAutospacing="0" w:after="0" w:afterAutospacing="0" w:line="360" w:lineRule="auto"/>
        <w:rPr>
          <w:rFonts w:hint="eastAsia"/>
          <w:b/>
          <w:bCs/>
          <w:color w:val="auto"/>
          <w:highlight w:val="none"/>
        </w:rPr>
      </w:pPr>
      <w:r>
        <w:rPr>
          <w:rFonts w:hint="eastAsia"/>
          <w:b/>
          <w:bCs/>
          <w:color w:val="auto"/>
          <w:highlight w:val="none"/>
        </w:rPr>
        <w:t xml:space="preserve">校内维修系统上报的维修申请单。具体内容包括：</w:t>
      </w:r>
      <w:r/>
    </w:p>
    <w:p>
      <w:pPr>
        <w:pStyle w:val="1189"/>
        <w:numPr>
          <w:ilvl w:val="0"/>
          <w:numId w:val="5"/>
        </w:numPr>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各个部门、学生宿舍上报的日常零星维修服务（5万元以下</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不含5万元</w:t>
      </w:r>
      <w:r>
        <w:rPr>
          <w:rFonts w:hint="eastAsia"/>
          <w:b w:val="0"/>
          <w:bCs w:val="0"/>
          <w:color w:val="auto"/>
          <w:highlight w:val="none"/>
        </w:rPr>
        <w:t xml:space="preserve">）：如灯具、开关、水龙头、上下水管道疏通、门锁、折页、桌椅板凳的维修，宿舍室内墙面的铲除及粉刷；宿舍内或公共卫生间改造及防水；建筑物外墙局部瓷砖的修缮及恢复；建筑物屋面渗水或漏水的局部处理；宿舍内电源线路改造等。</w:t>
      </w:r>
      <w:r/>
    </w:p>
    <w:p>
      <w:pPr>
        <w:pStyle w:val="1189"/>
        <w:numPr>
          <w:ilvl w:val="0"/>
          <w:numId w:val="0"/>
        </w:numPr>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（2）校内应急抢修的服务等。</w:t>
      </w:r>
      <w:r/>
    </w:p>
    <w:p>
      <w:pPr>
        <w:pStyle w:val="1189"/>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5</w:t>
      </w:r>
      <w:r>
        <w:rPr>
          <w:rFonts w:hint="eastAsia"/>
          <w:b w:val="0"/>
          <w:bCs w:val="0"/>
          <w:color w:val="auto"/>
          <w:highlight w:val="none"/>
          <w:lang w:eastAsia="zh-CN"/>
        </w:rPr>
        <w:t xml:space="preserve">、</w:t>
      </w:r>
      <w:r>
        <w:rPr>
          <w:rFonts w:hint="eastAsia"/>
          <w:b w:val="0"/>
          <w:bCs w:val="0"/>
          <w:color w:val="auto"/>
          <w:highlight w:val="none"/>
        </w:rPr>
        <w:t xml:space="preserve">供应商供应材料价格执行《徐州工程造价信息》施工任务下达当期中指导价，指导价没有的参照施工期材料市场价。</w:t>
      </w:r>
      <w:r/>
    </w:p>
    <w:p>
      <w:pPr>
        <w:pStyle w:val="1189"/>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6</w:t>
      </w:r>
      <w:r>
        <w:rPr>
          <w:rFonts w:hint="eastAsia"/>
          <w:b w:val="0"/>
          <w:bCs w:val="0"/>
          <w:color w:val="auto"/>
          <w:highlight w:val="none"/>
          <w:lang w:eastAsia="zh-CN"/>
        </w:rPr>
        <w:t xml:space="preserve">、</w:t>
      </w:r>
      <w:r>
        <w:rPr>
          <w:rFonts w:hint="eastAsia"/>
          <w:b w:val="0"/>
          <w:bCs w:val="0"/>
          <w:color w:val="auto"/>
          <w:highlight w:val="none"/>
        </w:rPr>
        <w:t xml:space="preserve">采购人供应材料（如管道、阀门、电缆、电线、灯具、洁具等）不参与下浮。</w:t>
      </w:r>
      <w:r/>
    </w:p>
    <w:p>
      <w:pPr>
        <w:pStyle w:val="997"/>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、响应文件载明的招标项目完成期限超过磋商文件规定的期限的；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、明显不符合技术规范、技术标准的要求的；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、响应文件载明的货物包装方式、检验标准和方法等不符合磋商文件的要求的；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认为不应当雷同的情况的； </w:t>
      </w:r>
      <w:r/>
    </w:p>
    <w:p>
      <w:pPr>
        <w:pStyle w:val="997"/>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97"/>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97"/>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、其他要求：</w:t>
      </w:r>
      <w:r/>
    </w:p>
    <w:p>
      <w:pPr>
        <w:pStyle w:val="997"/>
        <w:spacing w:after="0" w:line="360" w:lineRule="auto"/>
        <w:rPr>
          <w:rFonts w:hint="eastAsia" w:ascii="宋体" w:hAnsi="宋体" w:cs="宋体"/>
          <w:b w:val="0"/>
          <w:bCs w:val="0"/>
          <w:color w:val="auto"/>
          <w:highlight w:val="none"/>
        </w:rPr>
      </w:pPr>
      <w:r>
        <w:rPr>
          <w:rFonts w:hint="eastAsia" w:ascii="宋体" w:hAnsi="宋体" w:cs="宋体"/>
          <w:b w:val="0"/>
          <w:bCs w:val="0"/>
          <w:color w:val="auto"/>
          <w:sz w:val="24"/>
          <w:highlight w:val="none"/>
        </w:rPr>
        <w:t xml:space="preserve">1、见《磋商文件》附件：6、《拟签订的合同文本》。</w:t>
      </w:r>
      <w:r/>
    </w:p>
    <w:p>
      <w:pPr>
        <w:jc w:val="center"/>
        <w:spacing w:line="360" w:lineRule="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3、磋商报价表</w:t>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pStyle w:val="997"/>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color w:val="auto"/>
        </w:rPr>
      </w:pPr>
      <w:r>
        <w:rPr>
          <w:rFonts w:hint="eastAsia"/>
          <w:color w:val="auto"/>
        </w:rPr>
      </w:r>
      <w:r/>
    </w:p>
    <w:p>
      <w:pPr>
        <w:jc w:val="center"/>
        <w:spacing w:line="360" w:lineRule="auto"/>
        <w:rPr>
          <w:rFonts w:hint="eastAsia" w:ascii="宋体" w:hAnsi="宋体" w:cs="宋体"/>
          <w:b/>
          <w:bCs/>
          <w:color w:val="auto"/>
          <w:sz w:val="36"/>
          <w:highlight w:val="none"/>
        </w:rPr>
      </w:pPr>
      <w:r>
        <w:rPr>
          <w:rFonts w:hint="eastAsia" w:ascii="宋体" w:hAnsi="宋体" w:cs="宋体"/>
          <w:i/>
          <w:iCs/>
          <w:color w:val="auto"/>
          <w:sz w:val="24"/>
          <w:u w:val="single"/>
        </w:rPr>
        <w:t xml:space="preserve">政府采购客户端工具输入报价自动生成</w:t>
      </w:r>
      <w:r/>
    </w:p>
    <w:p>
      <w:pPr>
        <w:pStyle w:val="997"/>
        <w:rPr>
          <w:rFonts w:hint="eastAsia"/>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4、分项价格表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06"/>
        <w:rPr>
          <w:rFonts w:hint="eastAsia" w:ascii="宋体" w:hAnsi="宋体" w:cs="宋体"/>
          <w:color w:val="auto"/>
          <w:highlight w:val="none"/>
        </w:rPr>
      </w:pPr>
      <w:r>
        <w:rPr>
          <w:rFonts w:hint="eastAsia" w:ascii="宋体" w:hAnsi="宋体" w:cs="宋体"/>
          <w:color w:val="auto"/>
          <w:highlight w:val="none"/>
        </w:rPr>
      </w:r>
      <w:r/>
    </w:p>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格式自拟</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69"/>
        <w:rPr>
          <w:rFonts w:hint="eastAsia" w:ascii="宋体" w:hAnsi="宋体" w:cs="宋体"/>
          <w:color w:val="auto"/>
          <w:sz w:val="24"/>
          <w:highlight w:val="none"/>
        </w:rPr>
      </w:pPr>
      <w:r>
        <w:rPr>
          <w:rFonts w:hint="eastAsia" w:ascii="宋体" w:hAnsi="宋体" w:cs="宋体"/>
          <w:color w:val="auto"/>
          <w:sz w:val="24"/>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5、主要施工管理人员表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44"/>
        <w:tblW w:w="9150" w:type="dxa"/>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90"/>
        <w:gridCol w:w="1810"/>
        <w:gridCol w:w="1810"/>
        <w:gridCol w:w="1810"/>
        <w:gridCol w:w="1830"/>
      </w:tblGrid>
      <w:tr>
        <w:trPr>
          <w:trHeight w:val="668"/>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pStyle w:val="997"/>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pStyle w:val="1190"/>
        <w:jc w:val="center"/>
        <w:spacing w:after="312" w:line="360" w:lineRule="auto"/>
        <w:rPr>
          <w:rFonts w:hint="eastAsia" w:hAnsi="宋体" w:cs="宋体"/>
          <w:b/>
          <w:bCs/>
          <w:color w:val="auto"/>
          <w:sz w:val="32"/>
          <w:szCs w:val="32"/>
          <w:highlight w:val="none"/>
        </w:rPr>
      </w:pPr>
      <w:r>
        <w:rPr>
          <w:rFonts w:hint="eastAsia" w:hAnsi="宋体" w:cs="宋体"/>
          <w:b/>
          <w:bCs/>
          <w:color w:val="auto"/>
          <w:sz w:val="32"/>
          <w:szCs w:val="32"/>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4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90"/>
        <w:jc w:val="center"/>
        <w:spacing w:after="312" w:line="360" w:lineRule="auto"/>
        <w:rPr>
          <w:rFonts w:hint="eastAsia" w:hAnsi="宋体" w:cs="宋体"/>
          <w:b/>
          <w:color w:val="auto"/>
          <w:sz w:val="32"/>
          <w:szCs w:val="32"/>
          <w:highlight w:val="none"/>
        </w:rPr>
      </w:pPr>
      <w:r>
        <w:rPr>
          <w:rFonts w:hint="eastAsia" w:hAnsi="宋体" w:cs="宋体"/>
          <w:b/>
          <w:bCs/>
          <w:color w:val="auto"/>
          <w:sz w:val="32"/>
          <w:szCs w:val="32"/>
          <w:highlight w:val="none"/>
        </w:rPr>
        <w:t xml:space="preserve">7、拟签订的合同文本</w:t>
      </w:r>
      <w:r/>
    </w:p>
    <w:p>
      <w:pPr>
        <w:pStyle w:val="1191"/>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191"/>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江苏省徐州医药高等职业学校学府校区零星维修服务项目</w:t>
      </w:r>
      <w:r>
        <w:rPr>
          <w:rFonts w:hint="eastAsia" w:ascii="宋体" w:hAnsi="宋体" w:cs="宋体"/>
          <w:b/>
          <w:color w:val="auto"/>
          <w:sz w:val="44"/>
          <w:szCs w:val="44"/>
          <w:highlight w:val="none"/>
        </w:rPr>
        <w:t xml:space="preserve">合同</w:t>
      </w:r>
      <w:r/>
    </w:p>
    <w:p>
      <w:pPr>
        <w:pStyle w:val="1191"/>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91"/>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江苏省徐州医药高等职业学校学府校区零星维修服务项目</w:t>
      </w:r>
      <w:r/>
    </w:p>
    <w:p>
      <w:pPr>
        <w:pStyle w:val="1191"/>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江苏省徐州医药高等职业学校</w:t>
      </w:r>
      <w:r/>
    </w:p>
    <w:p>
      <w:pPr>
        <w:pStyle w:val="1191"/>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1"/>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月</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日 </w:t>
      </w:r>
      <w:r/>
    </w:p>
    <w:p>
      <w:pPr>
        <w:pStyle w:val="1191"/>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91"/>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191"/>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w:t>
      </w:r>
      <w:r>
        <w:rPr>
          <w:rFonts w:hint="eastAsia" w:ascii="宋体" w:hAnsi="宋体" w:cs="宋体"/>
          <w:b/>
          <w:color w:val="auto"/>
          <w:sz w:val="28"/>
          <w:szCs w:val="28"/>
          <w:highlight w:val="none"/>
          <w:lang w:val="en-US" w:eastAsia="zh-CN"/>
        </w:rPr>
        <w:t xml:space="preserve">30</w:t>
      </w:r>
      <w:r>
        <w:rPr>
          <w:rFonts w:hint="eastAsia" w:ascii="宋体" w:hAnsi="宋体" w:cs="宋体"/>
          <w:b/>
          <w:color w:val="auto"/>
          <w:sz w:val="28"/>
          <w:szCs w:val="28"/>
          <w:highlight w:val="none"/>
        </w:rPr>
        <w:t xml:space="preserve">日内，按照采购文件确定的事项签订政府采购合同。</w:t>
      </w:r>
      <w:r/>
    </w:p>
    <w:p>
      <w:pPr>
        <w:pStyle w:val="1191"/>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02"/>
        <w:ind w:left="0" w:right="0" w:firstLine="0"/>
        <w:jc w:val="center"/>
        <w:spacing w:before="0" w:after="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江苏省徐州医药高等职业学校学府校区零星维修服务项目合同</w:t>
      </w:r>
      <w:r/>
    </w:p>
    <w:p>
      <w:pPr>
        <w:spacing w:line="360" w:lineRule="auto"/>
        <w:tabs>
          <w:tab w:val="left" w:pos="3600" w:leader="none"/>
        </w:tabs>
        <w:rPr>
          <w:rFonts w:hint="eastAsia" w:ascii="宋体" w:hAnsi="宋体" w:cs="宋体"/>
          <w:b/>
          <w:color w:val="auto"/>
          <w:sz w:val="24"/>
        </w:rPr>
      </w:pPr>
      <w:r>
        <w:rPr>
          <w:rFonts w:hint="eastAsia" w:ascii="宋体" w:hAnsi="宋体" w:cs="宋体"/>
          <w:b/>
          <w:color w:val="auto"/>
          <w:sz w:val="24"/>
        </w:rPr>
      </w:r>
      <w:r/>
    </w:p>
    <w:p>
      <w:pPr>
        <w:spacing w:line="360" w:lineRule="auto"/>
        <w:tabs>
          <w:tab w:val="left" w:pos="3600" w:leader="none"/>
        </w:tabs>
        <w:rPr>
          <w:rFonts w:hint="eastAsia" w:ascii="宋体" w:hAnsi="宋体" w:eastAsia="宋体" w:cs="宋体"/>
          <w:color w:val="auto"/>
          <w:sz w:val="24"/>
        </w:rPr>
      </w:pPr>
      <w:r>
        <w:rPr>
          <w:rFonts w:hint="eastAsia" w:ascii="宋体" w:hAnsi="宋体" w:eastAsia="宋体" w:cs="宋体"/>
          <w:b/>
          <w:color w:val="auto"/>
          <w:sz w:val="24"/>
        </w:rPr>
        <w:t xml:space="preserve">甲方：江苏省徐州医药高等职业学校</w:t>
      </w:r>
      <w:r>
        <w:rPr>
          <w:rFonts w:hint="eastAsia" w:ascii="宋体" w:hAnsi="宋体" w:eastAsia="宋体" w:cs="宋体"/>
          <w:color w:val="auto"/>
          <w:sz w:val="24"/>
        </w:rPr>
        <w:t xml:space="preserve"> </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乙方： </w:t>
      </w:r>
      <w:r/>
    </w:p>
    <w:p>
      <w:pPr>
        <w:ind w:firstLine="480"/>
        <w:spacing w:line="360" w:lineRule="auto"/>
        <w:rPr>
          <w:rFonts w:hint="eastAsia" w:ascii="宋体" w:hAnsi="宋体" w:eastAsia="宋体" w:cs="宋体"/>
          <w:bCs/>
          <w:color w:val="auto"/>
          <w:sz w:val="24"/>
        </w:rPr>
        <w:outlineLvl w:val="0"/>
      </w:pPr>
      <w:r/>
      <w:bookmarkStart w:id="1" w:name="_Hlk230333362"/>
      <w:r/>
      <w:bookmarkStart w:id="2" w:name="_Hlk230333576"/>
      <w:r>
        <w:rPr>
          <w:rFonts w:hint="eastAsia" w:ascii="宋体" w:hAnsi="宋体" w:eastAsia="宋体" w:cs="宋体"/>
          <w:bCs/>
          <w:color w:val="auto"/>
          <w:sz w:val="24"/>
        </w:rPr>
        <w:t xml:space="preserve">根据《中华人民共和国民法典》、参照《中华人民共和国建筑法》及有关法律规定，遵循平等、自愿、公平和诚实守信的原则，双方就校内零星维修服务项目及有关事项协商一致，共同达成如下协议：</w:t>
      </w:r>
      <w:bookmarkEnd w:id="1"/>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合同内容和服务期限</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1.1校内零星维修及应急抢修服务，校内维修系统上报的维修申请单（5万元以下）。具体内容包括：各个部门、学生宿舍上报的日常零星维修服务：如灯具、开关、水龙头、上下水管道疏通、门锁、折页、桌椅板凳的维修，宿舍室内墙面的铲除及粉刷；宿舍内或公共卫生间改造及防水；建筑物外墙局部瓷砖的修缮及恢复；建筑物屋面渗水或漏水的局部处理；宿舍内电源线路改造；校内应急抢修的服务等。根据甲方要求，在每个报修单服务完工后，流程上必须注明材料、人工的数量及价格，作为双方结算的参考依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1.2服务期限：</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1.3履约保证金：乙方于合同签订后七个工作日内向甲方支付履约保证金，金额为</w:t>
      </w:r>
      <w:r>
        <w:rPr>
          <w:rFonts w:hint="eastAsia" w:ascii="宋体" w:hAnsi="宋体" w:eastAsia="宋体" w:cs="宋体"/>
          <w:bCs/>
          <w:color w:val="auto"/>
          <w:sz w:val="24"/>
          <w:u w:val="single"/>
        </w:rPr>
        <w:t xml:space="preserve">20000 </w:t>
      </w:r>
      <w:r>
        <w:rPr>
          <w:rFonts w:hint="eastAsia" w:ascii="宋体" w:hAnsi="宋体" w:eastAsia="宋体" w:cs="宋体"/>
          <w:bCs/>
          <w:color w:val="auto"/>
          <w:sz w:val="24"/>
        </w:rPr>
        <w:t xml:space="preserve">元（贰万元）。</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到期之日后30日内，经确认乙方无违约行为、应交费用及对甲方财物无损坏现象，甲方将履约保证金无息全额退还给乙方，如有违反上述约定的，甲方有权将履约保证金作为违约金扣留，如履约保证金不足支付全部损失的，甲方有权要求乙方赔偿并弥补损失。</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2．服务费用</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2.1服务合同总金额：乙方根据已完成的甲方报修单进行编制结算，经甲方审核后，由甲方委托审计公司审计，结算价按审定价后</w:t>
      </w:r>
      <w:r>
        <w:rPr>
          <w:rFonts w:hint="eastAsia" w:ascii="宋体" w:hAnsi="宋体" w:cs="宋体"/>
          <w:bCs/>
          <w:color w:val="auto"/>
          <w:sz w:val="24"/>
          <w:lang w:val="en-US" w:eastAsia="zh-CN"/>
        </w:rPr>
        <w:t xml:space="preserve">1-优惠</w:t>
      </w:r>
      <w:r>
        <w:rPr>
          <w:rFonts w:hint="eastAsia" w:ascii="宋体" w:hAnsi="宋体" w:eastAsia="宋体" w:cs="宋体"/>
          <w:bCs/>
          <w:color w:val="auto"/>
          <w:sz w:val="24"/>
        </w:rPr>
        <w:t xml:space="preserve">率（</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）作为最终结算价支付。</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2.2审计方式：根据江苏省徐州医药高等职业学校现行审计办法量价同审。</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2.3付款步骤：经校方确认服务完工并验收合格后，执行现行国家标准《</w:t>
      </w:r>
      <w:r>
        <w:rPr>
          <w:rFonts w:hint="eastAsia" w:ascii="宋体" w:hAnsi="宋体" w:eastAsia="宋体" w:cs="宋体"/>
          <w:bCs/>
          <w:color w:val="auto"/>
          <w:sz w:val="24"/>
        </w:rPr>
        <w:t xml:space="preserve">建设工程工程量清单计价标准》（GB/T 50500-2024）、《房屋建筑与装饰工程工程量计算标准》（GB/T 50854-2024）、《通用安装工程工程量计算标准》（GB/T 50856-2024）、《江苏省建筑与装饰工程消耗量》（2026年）、《江苏省通用安装工程消耗量》（2026年）、《江苏省市政工程消耗量》（2026年）、《江苏修缮建筑定额》（2009年）、《江苏抗震加固定额》（2009年）、《江苏修缮安装定额》（2009年）及其他有关文件规定，进行计价后，每个单项项目以学校委托的第三方审计机构审计</w:t>
      </w:r>
      <w:r>
        <w:rPr>
          <w:rFonts w:hint="eastAsia" w:ascii="宋体" w:hAnsi="宋体" w:cs="宋体"/>
          <w:bCs/>
          <w:color w:val="auto"/>
          <w:sz w:val="24"/>
          <w:lang w:val="en-US" w:eastAsia="zh-CN"/>
        </w:rPr>
        <w:t xml:space="preserve">后</w:t>
      </w:r>
      <w:r>
        <w:rPr>
          <w:rFonts w:hint="eastAsia" w:ascii="宋体" w:hAnsi="宋体" w:eastAsia="宋体" w:cs="宋体"/>
          <w:bCs/>
          <w:color w:val="auto"/>
          <w:sz w:val="24"/>
        </w:rPr>
        <w:t xml:space="preserve">金额*（1-成交优惠率）的方式进行结算。</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2.4付款方式：乙方应按甲方财务规定的程序和要求办理付款手续。乙方应提前开具相应金额的合法的增值税发票，不能按时提供发票的，甲方支付时间顺延，不承担逾期付款违约责任。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3.违约责任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合同一方不履行合同义务或者履行合同义务不符合约定的，应当承担继续履行、采取补救措施或者赔偿损失等违约责任。相关违约赔偿由甲乙双方协商确定。</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3.1乙方应在约定时间内完成服务内容，如乙方延时服务，除不可抗力因素外，乙方应向甲方就延期支付违约金，每延期一日按审计后合同总价的万分之五支付违约金，最高支付违约金不超过合同总价的5％。延期时间超过2周，甲方有权解除合同，并保留进一步追诉权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3.2乙方不得以任何形式将合同约定的服务项目转包、分包给其他单位和个人，乙方擅自转包或分包的，甲方有权解除合同，乙方应支付合同审计总价的20%的违约金，并赔偿甲方损失。</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4.不可抗力</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5.安全管理</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5.1乙方必须贯彻执行国家有关安全生产的方针、政策、法令、法规，遵守现场的各项规章制度。</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5.2乙方进驻前，必须组织全体服务人员分工种进行安全教育、技能和安全规程考试，合格后方可进入现场施工。需调换工种、增补或调动人员者，在上岗前均必须进行安全教育和技能安全规程考试，并报给总务处备案。特种作业人员，必须持有有效的《特种作业证》。</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5.3乙方进驻前，必须向服务人员进行安全技术交底，让全体服务人员掌握项目特点及安全措施。</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5.4乙方进行特殊作业、危险作业的项目服务时，必须事先编制安全服务措施，并派员监督。</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5.5乙方必须按国家有关规定，为服务人员配备合格的劳动防护用品及安全用具，并保证施工工具、器械的使用安全。</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5.6乙方应对工作地段采取的安全技术措施、工作人员状态以及施工中的安全责任负责；如因乙方采取的安全措施不当、违反有关安全规程、规定及其他安全事项而造成的一切事故或对第三方造成损失的，均由乙方承担所造成的经济损失及法律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6.合同修改</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甲方和乙方因约定不得擅自变更本合同，但合同继续履行将损害国家和社会公共利益的除外。如必须对合同条款进行改动时，应签订补充协议。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7.合同的解除和转让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7.1如乙方发生以下情况，甲方有权解除合同。</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7.1.1未履行合同规定的义务的，未按承诺的时间提供服务的；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7.1.2提供服务期间，不服从甲方管理的；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7.1.3提供服务期间，因质量或技术问题导致使用单位事故的；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7.1.4提供服务期间，质量不合格次数累计达到5次的，且由此造成的损失由乙方自行承担；如造成甲方的损失，甲方有权要求乙方赔偿；</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7.1.5违纪违法的，被行业主管部门取消经营资格的； </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7.1.6因违反职业道德和违法执业行为受到相关主管部门公开批评、处理的；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7.2合同的部分和全部都不得转让。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8.工程验收与保修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8.1.乙方采购的材料须符合国家质量标准。</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8.2.屋面防水工程、有防水要求的卫生间、房间和外墙面的防渗漏，质保期为5年。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8.3.供热与供冷系统质保期为2个采暖期。例如：暖气片、暖气管道。</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8.4.给排水管道、设备安装服务质保期为1年。例如：供水管道、排水管道、水龙头。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8.5.建筑物内部的电气管线、照明电气安装服务质保期为1年。例如：灯具、排气扇、开关、插座等。</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8.6.门窗扇框（玻璃除外）更换及维修服务质保期为2年。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8.7.吊顶扣板、折页、门锁、窗户滑轮、桌椅板凳等维修服务质保期为1年。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8.8.学生用床板维修服务质保期为5年。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8.9.其它未涉及到的服务项目保质期暂定为1年。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8.10.人为损坏的项目不在此范围。 </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8.11.更换下的旧材料，乙方应按甲方要求合理处置。</w:t>
      </w:r>
      <w:r/>
    </w:p>
    <w:p>
      <w:pPr>
        <w:ind w:firstLine="480"/>
        <w:spacing w:line="360" w:lineRule="auto"/>
        <w:rPr>
          <w:rFonts w:hint="eastAsia" w:ascii="宋体" w:hAnsi="宋体" w:eastAsia="宋体" w:cs="宋体"/>
          <w:bCs/>
          <w:color w:val="auto"/>
          <w:sz w:val="24"/>
        </w:rPr>
        <w:outlineLvl w:val="0"/>
      </w:pPr>
      <w:r/>
      <w:bookmarkStart w:id="3" w:name="_Hlk231282213"/>
      <w:r/>
      <w:bookmarkStart w:id="4" w:name="_Hlk231282302"/>
      <w:r>
        <w:rPr>
          <w:rFonts w:hint="eastAsia" w:ascii="宋体" w:hAnsi="宋体" w:eastAsia="宋体" w:cs="宋体"/>
          <w:bCs/>
          <w:color w:val="auto"/>
          <w:sz w:val="24"/>
        </w:rPr>
        <w:t xml:space="preserve">8.12.乙方提出验收申请，甲方应于收到后3日内验收。不合格的，乙方应于5日内完成整改并重新验收。仍不合格的，按500元/天扣除相关费用。</w:t>
      </w:r>
      <w:bookmarkEnd w:id="3"/>
      <w:bookmarkEnd w:id="4"/>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9.争议解决办法</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因本合同或与本合同有关的一切事项发生争议，由双方友好协商解决。协商不成的，可以向甲方所在地人民法院起诉。</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10.合同生效及份数</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color w:val="auto"/>
          <w:sz w:val="24"/>
        </w:rPr>
        <w:t xml:space="preserve">1</w:t>
      </w:r>
      <w:r>
        <w:rPr>
          <w:rFonts w:hint="eastAsia" w:ascii="宋体" w:hAnsi="宋体" w:eastAsia="宋体" w:cs="宋体"/>
          <w:bCs/>
          <w:color w:val="auto"/>
          <w:sz w:val="24"/>
        </w:rPr>
        <w:t xml:space="preserve">0.1本合同经双方法定（授权）代表人签字（或盖章）并盖单位公章后生效。</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10.2本合同一式陆份，甲方肆份，乙方贰份。</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发包人    （公章）                       承包人    （公章）</w:t>
      </w:r>
      <w:r/>
    </w:p>
    <w:p>
      <w:pPr>
        <w:pStyle w:val="1020"/>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法定代表人或其委托代理人：               法定代表人或其委托代理人：                                                                 </w:t>
      </w:r>
      <w:r/>
    </w:p>
    <w:p>
      <w:pPr>
        <w:pStyle w:val="1020"/>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委托联系人：                             委托联系人：</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bCs/>
          <w:color w:val="auto"/>
          <w:sz w:val="24"/>
        </w:rPr>
        <w:t xml:space="preserve">日期</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                                   日期</w:t>
      </w:r>
      <w:bookmarkEnd w:id="2"/>
      <w:r>
        <w:rPr>
          <w:rFonts w:hint="eastAsia" w:ascii="宋体" w:hAnsi="宋体" w:cs="宋体"/>
          <w:bCs/>
          <w:color w:val="auto"/>
          <w:sz w:val="24"/>
          <w:lang w:eastAsia="zh-CN"/>
        </w:rPr>
        <w:t xml:space="preserve">：</w:t>
      </w:r>
      <w:r/>
    </w:p>
    <w:p>
      <w:pPr>
        <w:pStyle w:val="1190"/>
        <w:jc w:val="center"/>
        <w:spacing w:after="312" w:line="520" w:lineRule="exact"/>
        <w:rPr>
          <w:rFonts w:hint="eastAsia" w:hAnsi="宋体" w:cs="宋体"/>
          <w:b/>
          <w:bCs/>
          <w:color w:val="auto"/>
          <w:sz w:val="36"/>
          <w:szCs w:val="36"/>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bCs/>
          <w:color w:val="auto"/>
          <w:sz w:val="36"/>
          <w:szCs w:val="36"/>
          <w:highlight w:val="none"/>
        </w:rPr>
      </w:r>
      <w:r/>
    </w:p>
    <w:p>
      <w:pPr>
        <w:pStyle w:val="1190"/>
        <w:jc w:val="center"/>
        <w:spacing w:after="312" w:line="360" w:lineRule="auto"/>
        <w:rPr>
          <w:rFonts w:hint="eastAsia" w:hAnsi="宋体" w:cs="宋体"/>
          <w:b/>
          <w:bCs/>
          <w:color w:val="auto"/>
          <w:sz w:val="32"/>
          <w:szCs w:val="32"/>
          <w:highlight w:val="none"/>
        </w:rPr>
      </w:pPr>
      <w:r>
        <w:rPr>
          <w:rFonts w:hint="eastAsia" w:hAnsi="宋体" w:cs="宋体"/>
          <w:b/>
          <w:bCs/>
          <w:color w:val="auto"/>
          <w:sz w:val="32"/>
          <w:szCs w:val="32"/>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江苏省徐州医药高等职业学校</w:t>
      </w:r>
      <w:r>
        <w:rPr>
          <w:rFonts w:hint="eastAsia" w:ascii="宋体" w:hAnsi="宋体" w:cs="宋体"/>
          <w:b/>
          <w:bCs/>
          <w:color w:val="auto"/>
          <w:sz w:val="24"/>
          <w:highlight w:val="none"/>
        </w:rPr>
        <w:t xml:space="preserve">：</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9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pStyle w:val="1190"/>
        <w:jc w:val="center"/>
        <w:spacing w:after="312" w:line="360" w:lineRule="auto"/>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hAnsi="宋体" w:cs="宋体"/>
          <w:b/>
          <w:bCs/>
          <w:color w:val="auto"/>
          <w:sz w:val="32"/>
          <w:szCs w:val="32"/>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10、具备履行合同所必需的设备和专业技术能力的书面声明（附证明材料）格式（格式供参考，供应商可自行拟定）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keepLines w:val="0"/>
        <w:keepNext w:val="0"/>
        <w:pageBreakBefore w:val="0"/>
        <w:spacing w:line="360" w:lineRule="auto"/>
        <w:widowControl w:val="off"/>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JSZC-320300-HWZX-C2026-0451</w:t>
      </w:r>
      <w:r>
        <w:rPr>
          <w:rFonts w:hint="eastAsia" w:ascii="宋体" w:hAnsi="宋体" w:cs="宋体"/>
          <w:color w:val="auto"/>
          <w:sz w:val="28"/>
          <w:szCs w:val="28"/>
          <w:highlight w:val="none"/>
        </w:rPr>
        <w:t xml:space="preserve">所必需的设备和专业技术能力，具体为：</w:t>
      </w:r>
      <w:r/>
    </w:p>
    <w:p>
      <w:pPr>
        <w:pStyle w:val="1010"/>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提供供应商有效的建筑工程施工总承包叁级（含）以上资质证书扫描件；</w:t>
      </w:r>
      <w:r/>
    </w:p>
    <w:p>
      <w:pPr>
        <w:pStyle w:val="1010"/>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010"/>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rPr>
          <w:rFonts w:hint="eastAsia" w:ascii="宋体" w:hAnsi="宋体" w:cs="宋体"/>
          <w:b/>
          <w:bCs/>
          <w:color w:val="auto"/>
          <w:sz w:val="28"/>
          <w:szCs w:val="28"/>
          <w:highlight w:val="none"/>
          <w:lang w:eastAsia="zh-CN"/>
        </w:rPr>
        <w:t xml:space="preserve">；</w:t>
      </w:r>
      <w:r/>
    </w:p>
    <w:p>
      <w:pPr>
        <w:pStyle w:val="1010"/>
        <w:ind w:left="0" w:firstLine="562"/>
        <w:jc w:val="left"/>
        <w:keepLines w:val="0"/>
        <w:keepNext w:val="0"/>
        <w:pageBreakBefore w:val="0"/>
        <w:spacing w:after="0"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④ 供应商拟选派项目负责人（注册建造师）无在建工程，响应文件中提供证明材料或承诺书（格式自拟）。</w:t>
      </w:r>
      <w:r/>
    </w:p>
    <w:p>
      <w:pPr>
        <w:pStyle w:val="101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1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11、中小企业声明函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江苏省徐州医药高等职业学校</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4"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1"/>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12、供应商参加政府采购活动前3年内在经营活动中没有重大违法记录的书面声明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pStyle w:val="1189"/>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2"/>
          <w:szCs w:val="32"/>
          <w:highlight w:val="none"/>
        </w:rPr>
      </w:pPr>
      <w:r/>
      <w:bookmarkStart w:id="5" w:name="OLE_LINK14"/>
      <w:r/>
      <w:bookmarkStart w:id="6" w:name="OLE_LINK13"/>
      <w:r>
        <w:rPr>
          <w:rFonts w:hint="eastAsia" w:ascii="宋体" w:hAnsi="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rPr>
        <w:t xml:space="preserve">、残疾人福利性单位声明函</w:t>
      </w:r>
      <w:bookmarkEnd w:id="5"/>
      <w:r/>
      <w:bookmarkEnd w:id="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pacing w:val="6"/>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pacing w:val="6"/>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010"/>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14</w:t>
      </w:r>
      <w:r>
        <w:rPr>
          <w:rFonts w:hint="eastAsia" w:ascii="宋体" w:hAnsi="宋体" w:cs="宋体"/>
          <w:b/>
          <w:bCs/>
          <w:color w:val="auto"/>
          <w:sz w:val="32"/>
          <w:szCs w:val="32"/>
          <w:highlight w:val="none"/>
        </w:rPr>
        <w:t xml:space="preserve">、代理服务收费标准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944"/>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15、预付款保函支付条款模板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010"/>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方正书宋简体">
    <w:panose1 w:val="020B05030202020202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widowControl/>
      <w:rPr>
        <w:rStyle w:val="120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20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97"/>
                            <w:widowControl/>
                            <w:tabs>
                              <w:tab w:val="clear" w:pos="4153" w:leader="none"/>
                              <w:tab w:val="clear" w:pos="8306" w:leader="none"/>
                            </w:tabs>
                            <w:rPr>
                              <w:rStyle w:val="1201"/>
                              <w:sz w:val="18"/>
                              <w:szCs w:val="18"/>
                            </w:rPr>
                          </w:pPr>
                          <w:r>
                            <w:rPr>
                              <w:sz w:val="18"/>
                              <w:szCs w:val="18"/>
                            </w:rPr>
                          </w:r>
                          <w:r/>
                        </w:p>
                        <w:p>
                          <w:pPr>
                            <w:widowControl/>
                            <w:rPr>
                              <w:rStyle w:val="1201"/>
                            </w:rPr>
                          </w:pPr>
                          <w:r/>
                          <w:r/>
                        </w:p>
                        <w:p>
                          <w:r/>
                          <w:r/>
                        </w:p>
                        <w:p>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97"/>
                      <w:widowControl/>
                      <w:tabs>
                        <w:tab w:val="clear" w:pos="4153" w:leader="none"/>
                        <w:tab w:val="clear" w:pos="8306" w:leader="none"/>
                      </w:tabs>
                      <w:rPr>
                        <w:rStyle w:val="1201"/>
                        <w:sz w:val="18"/>
                        <w:szCs w:val="18"/>
                      </w:rPr>
                    </w:pPr>
                    <w:r>
                      <w:rPr>
                        <w:sz w:val="18"/>
                        <w:szCs w:val="18"/>
                      </w:rPr>
                    </w:r>
                    <w:r/>
                  </w:p>
                  <w:p>
                    <w:pPr>
                      <w:widowControl/>
                      <w:rPr>
                        <w:rStyle w:val="1201"/>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0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3" w:default="1">
    <w:name w:val="Normal"/>
    <w:next w:val="945"/>
    <w:uiPriority w:val="0"/>
    <w:qFormat/>
    <w:pPr>
      <w:jc w:val="both"/>
      <w:widowControl w:val="off"/>
    </w:pPr>
    <w:rPr>
      <w:rFonts w:hint="default" w:ascii="Calibri" w:hAnsi="Calibri" w:eastAsia="宋体" w:cs="Times New Roman"/>
      <w:sz w:val="21"/>
      <w:szCs w:val="24"/>
      <w:lang w:val="en-US" w:eastAsia="zh-CN" w:bidi="ar-SA"/>
    </w:rPr>
  </w:style>
  <w:style w:type="paragraph" w:styleId="934">
    <w:name w:val="Heading 1"/>
    <w:basedOn w:val="933"/>
    <w:next w:val="933"/>
    <w:link w:val="1004"/>
    <w:uiPriority w:val="9"/>
    <w:qFormat/>
    <w:pPr>
      <w:keepLines/>
      <w:keepNext/>
      <w:spacing w:before="480" w:after="200"/>
      <w:outlineLvl w:val="0"/>
    </w:pPr>
    <w:rPr>
      <w:rFonts w:ascii="Arial" w:hAnsi="Arial" w:eastAsia="Arial" w:cs="Arial"/>
      <w:sz w:val="40"/>
      <w:szCs w:val="40"/>
    </w:rPr>
  </w:style>
  <w:style w:type="paragraph" w:styleId="935">
    <w:name w:val="Heading 2"/>
    <w:basedOn w:val="933"/>
    <w:next w:val="933"/>
    <w:link w:val="1002"/>
    <w:uiPriority w:val="9"/>
    <w:unhideWhenUsed/>
    <w:qFormat/>
    <w:pPr>
      <w:keepLines/>
      <w:keepNext/>
      <w:spacing w:before="360" w:after="200"/>
      <w:outlineLvl w:val="1"/>
    </w:pPr>
    <w:rPr>
      <w:rFonts w:ascii="Arial" w:hAnsi="Arial" w:eastAsia="Arial" w:cs="Arial"/>
      <w:sz w:val="34"/>
    </w:rPr>
  </w:style>
  <w:style w:type="paragraph" w:styleId="936">
    <w:name w:val="Heading 3"/>
    <w:basedOn w:val="933"/>
    <w:next w:val="933"/>
    <w:link w:val="1003"/>
    <w:uiPriority w:val="9"/>
    <w:unhideWhenUsed/>
    <w:qFormat/>
    <w:pPr>
      <w:keepLines/>
      <w:keepNext/>
      <w:spacing w:before="320" w:after="200"/>
      <w:outlineLvl w:val="2"/>
    </w:pPr>
    <w:rPr>
      <w:rFonts w:ascii="Arial" w:hAnsi="Arial" w:eastAsia="Arial" w:cs="Arial"/>
      <w:sz w:val="30"/>
      <w:szCs w:val="30"/>
    </w:rPr>
  </w:style>
  <w:style w:type="paragraph" w:styleId="937">
    <w:name w:val="Heading 4"/>
    <w:basedOn w:val="933"/>
    <w:next w:val="933"/>
    <w:link w:val="1062"/>
    <w:uiPriority w:val="9"/>
    <w:unhideWhenUsed/>
    <w:qFormat/>
    <w:pPr>
      <w:keepLines/>
      <w:keepNext/>
      <w:spacing w:before="320" w:after="200"/>
      <w:outlineLvl w:val="3"/>
    </w:pPr>
    <w:rPr>
      <w:rFonts w:ascii="Arial" w:hAnsi="Arial" w:eastAsia="Arial" w:cs="Arial"/>
      <w:b/>
      <w:bCs/>
      <w:sz w:val="26"/>
      <w:szCs w:val="26"/>
    </w:rPr>
  </w:style>
  <w:style w:type="paragraph" w:styleId="938">
    <w:name w:val="Heading 5"/>
    <w:basedOn w:val="933"/>
    <w:next w:val="933"/>
    <w:link w:val="1063"/>
    <w:uiPriority w:val="9"/>
    <w:unhideWhenUsed/>
    <w:qFormat/>
    <w:pPr>
      <w:keepLines/>
      <w:keepNext/>
      <w:spacing w:before="320" w:after="200"/>
      <w:outlineLvl w:val="4"/>
    </w:pPr>
    <w:rPr>
      <w:rFonts w:ascii="Arial" w:hAnsi="Arial" w:eastAsia="Arial" w:cs="Arial"/>
      <w:b/>
      <w:bCs/>
      <w:sz w:val="24"/>
    </w:rPr>
  </w:style>
  <w:style w:type="paragraph" w:styleId="939">
    <w:name w:val="Heading 6"/>
    <w:basedOn w:val="933"/>
    <w:next w:val="933"/>
    <w:link w:val="1064"/>
    <w:uiPriority w:val="9"/>
    <w:unhideWhenUsed/>
    <w:qFormat/>
    <w:pPr>
      <w:keepLines/>
      <w:keepNext/>
      <w:spacing w:before="320" w:after="200"/>
      <w:outlineLvl w:val="5"/>
    </w:pPr>
    <w:rPr>
      <w:rFonts w:ascii="Arial" w:hAnsi="Arial" w:eastAsia="Arial" w:cs="Arial"/>
      <w:b/>
      <w:bCs/>
      <w:sz w:val="22"/>
      <w:szCs w:val="22"/>
    </w:rPr>
  </w:style>
  <w:style w:type="paragraph" w:styleId="940">
    <w:name w:val="Heading 7"/>
    <w:basedOn w:val="933"/>
    <w:next w:val="933"/>
    <w:link w:val="1065"/>
    <w:uiPriority w:val="9"/>
    <w:unhideWhenUsed/>
    <w:qFormat/>
    <w:pPr>
      <w:keepLines/>
      <w:keepNext/>
      <w:spacing w:before="320" w:after="200"/>
      <w:outlineLvl w:val="6"/>
    </w:pPr>
    <w:rPr>
      <w:rFonts w:ascii="Arial" w:hAnsi="Arial" w:eastAsia="Arial" w:cs="Arial"/>
      <w:b/>
      <w:bCs/>
      <w:i/>
      <w:iCs/>
      <w:sz w:val="22"/>
      <w:szCs w:val="22"/>
    </w:rPr>
  </w:style>
  <w:style w:type="paragraph" w:styleId="941">
    <w:name w:val="Heading 8"/>
    <w:basedOn w:val="933"/>
    <w:next w:val="933"/>
    <w:link w:val="1066"/>
    <w:uiPriority w:val="9"/>
    <w:unhideWhenUsed/>
    <w:qFormat/>
    <w:pPr>
      <w:keepLines/>
      <w:keepNext/>
      <w:spacing w:before="320" w:after="200"/>
      <w:outlineLvl w:val="7"/>
    </w:pPr>
    <w:rPr>
      <w:rFonts w:ascii="Arial" w:hAnsi="Arial" w:eastAsia="Arial" w:cs="Arial"/>
      <w:i/>
      <w:iCs/>
      <w:sz w:val="22"/>
      <w:szCs w:val="22"/>
    </w:rPr>
  </w:style>
  <w:style w:type="paragraph" w:styleId="942">
    <w:name w:val="Heading 9"/>
    <w:basedOn w:val="933"/>
    <w:next w:val="933"/>
    <w:link w:val="1067"/>
    <w:uiPriority w:val="9"/>
    <w:unhideWhenUsed/>
    <w:qFormat/>
    <w:pPr>
      <w:keepLines/>
      <w:keepNext/>
      <w:spacing w:before="320" w:after="200"/>
      <w:outlineLvl w:val="8"/>
    </w:pPr>
    <w:rPr>
      <w:rFonts w:ascii="Arial" w:hAnsi="Arial" w:eastAsia="Arial" w:cs="Arial"/>
      <w:i/>
      <w:iCs/>
      <w:szCs w:val="21"/>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name w:val="Block Text"/>
    <w:basedOn w:val="933"/>
    <w:uiPriority w:val="0"/>
    <w:qFormat/>
    <w:pPr>
      <w:ind w:left="256" w:right="6" w:firstLine="624"/>
    </w:pPr>
    <w:rPr>
      <w:rFonts w:eastAsia="仿宋"/>
      <w:sz w:val="28"/>
      <w:szCs w:val="20"/>
    </w:rPr>
  </w:style>
  <w:style w:type="paragraph" w:styleId="946">
    <w:name w:val="toc 7"/>
    <w:basedOn w:val="933"/>
    <w:next w:val="933"/>
    <w:uiPriority w:val="39"/>
    <w:unhideWhenUsed/>
    <w:qFormat/>
    <w:pPr>
      <w:ind w:left="1701"/>
      <w:spacing w:after="57"/>
    </w:pPr>
  </w:style>
  <w:style w:type="paragraph" w:styleId="947">
    <w:name w:val="Caption"/>
    <w:basedOn w:val="933"/>
    <w:next w:val="9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8">
    <w:name w:val="annotation text"/>
    <w:basedOn w:val="933"/>
    <w:link w:val="1206"/>
    <w:uiPriority w:val="99"/>
    <w:semiHidden/>
    <w:unhideWhenUsed/>
    <w:qFormat/>
    <w:pPr>
      <w:jc w:val="left"/>
    </w:pPr>
  </w:style>
  <w:style w:type="paragraph" w:styleId="949">
    <w:name w:val="Body Text"/>
    <w:basedOn w:val="933"/>
    <w:link w:val="1203"/>
    <w:uiPriority w:val="0"/>
    <w:qFormat/>
    <w:pPr>
      <w:ind w:left="72" w:right="30"/>
      <w:jc w:val="center"/>
      <w:spacing w:after="60" w:line="360" w:lineRule="atLeast"/>
    </w:pPr>
    <w:rPr>
      <w:rFonts w:ascii="Times New Roman" w:hAnsi="Times New Roman"/>
      <w:sz w:val="20"/>
      <w:szCs w:val="20"/>
    </w:rPr>
  </w:style>
  <w:style w:type="paragraph" w:styleId="950">
    <w:name w:val="Body Text Indent"/>
    <w:basedOn w:val="933"/>
    <w:uiPriority w:val="0"/>
    <w:qFormat/>
    <w:pPr>
      <w:ind w:firstLine="600"/>
      <w:spacing w:line="317" w:lineRule="auto"/>
    </w:pPr>
    <w:rPr>
      <w:rFonts w:ascii="方正书宋简体" w:eastAsia="方正书宋简体"/>
      <w:sz w:val="30"/>
    </w:rPr>
  </w:style>
  <w:style w:type="paragraph" w:styleId="951">
    <w:name w:val="toc 5"/>
    <w:basedOn w:val="933"/>
    <w:next w:val="933"/>
    <w:uiPriority w:val="39"/>
    <w:unhideWhenUsed/>
    <w:qFormat/>
    <w:pPr>
      <w:ind w:left="1134"/>
      <w:spacing w:after="57"/>
    </w:pPr>
  </w:style>
  <w:style w:type="paragraph" w:styleId="952">
    <w:name w:val="toc 3"/>
    <w:basedOn w:val="933"/>
    <w:next w:val="933"/>
    <w:uiPriority w:val="39"/>
    <w:unhideWhenUsed/>
    <w:qFormat/>
    <w:pPr>
      <w:ind w:left="567"/>
      <w:spacing w:after="57"/>
    </w:pPr>
  </w:style>
  <w:style w:type="paragraph" w:styleId="953">
    <w:name w:val="Plain Text"/>
    <w:basedOn w:val="933"/>
    <w:next w:val="933"/>
    <w:uiPriority w:val="0"/>
    <w:qFormat/>
    <w:rPr>
      <w:rFonts w:hint="eastAsia" w:ascii="宋体" w:hAnsi="Courier New" w:eastAsia="仿宋_GB2312"/>
      <w:sz w:val="30"/>
      <w:szCs w:val="20"/>
    </w:rPr>
  </w:style>
  <w:style w:type="paragraph" w:styleId="954">
    <w:name w:val="toc 8"/>
    <w:basedOn w:val="933"/>
    <w:next w:val="933"/>
    <w:uiPriority w:val="39"/>
    <w:unhideWhenUsed/>
    <w:qFormat/>
    <w:pPr>
      <w:ind w:left="1984"/>
      <w:spacing w:after="57"/>
    </w:pPr>
  </w:style>
  <w:style w:type="paragraph" w:styleId="955">
    <w:name w:val="Date"/>
    <w:basedOn w:val="933"/>
    <w:next w:val="933"/>
    <w:uiPriority w:val="0"/>
    <w:unhideWhenUsed/>
    <w:qFormat/>
    <w:rPr>
      <w:rFonts w:ascii="宋体" w:hAnsi="Times New Roman"/>
    </w:rPr>
  </w:style>
  <w:style w:type="paragraph" w:styleId="956">
    <w:name w:val="endnote text"/>
    <w:basedOn w:val="933"/>
    <w:link w:val="1186"/>
    <w:uiPriority w:val="99"/>
    <w:semiHidden/>
    <w:unhideWhenUsed/>
    <w:qFormat/>
    <w:rPr>
      <w:sz w:val="20"/>
    </w:rPr>
  </w:style>
  <w:style w:type="paragraph" w:styleId="957">
    <w:name w:val="Balloon Text"/>
    <w:basedOn w:val="933"/>
    <w:link w:val="1205"/>
    <w:uiPriority w:val="99"/>
    <w:semiHidden/>
    <w:unhideWhenUsed/>
    <w:qFormat/>
    <w:rPr>
      <w:sz w:val="18"/>
      <w:szCs w:val="18"/>
    </w:rPr>
  </w:style>
  <w:style w:type="paragraph" w:styleId="958">
    <w:name w:val="Footer"/>
    <w:basedOn w:val="933"/>
    <w:link w:val="1078"/>
    <w:uiPriority w:val="99"/>
    <w:unhideWhenUsed/>
    <w:qFormat/>
    <w:pPr>
      <w:tabs>
        <w:tab w:val="center" w:pos="7143" w:leader="none"/>
        <w:tab w:val="right" w:pos="14287" w:leader="none"/>
      </w:tabs>
    </w:pPr>
  </w:style>
  <w:style w:type="paragraph" w:styleId="959">
    <w:name w:val="Header"/>
    <w:basedOn w:val="933"/>
    <w:link w:val="1076"/>
    <w:uiPriority w:val="99"/>
    <w:unhideWhenUsed/>
    <w:qFormat/>
    <w:pPr>
      <w:tabs>
        <w:tab w:val="center" w:pos="7143" w:leader="none"/>
        <w:tab w:val="right" w:pos="14287" w:leader="none"/>
      </w:tabs>
    </w:pPr>
  </w:style>
  <w:style w:type="paragraph" w:styleId="960">
    <w:name w:val="toc 1"/>
    <w:basedOn w:val="933"/>
    <w:next w:val="933"/>
    <w:uiPriority w:val="39"/>
    <w:unhideWhenUsed/>
    <w:qFormat/>
    <w:pPr>
      <w:spacing w:after="57"/>
    </w:pPr>
  </w:style>
  <w:style w:type="paragraph" w:styleId="961">
    <w:name w:val="toc 4"/>
    <w:basedOn w:val="933"/>
    <w:next w:val="933"/>
    <w:uiPriority w:val="39"/>
    <w:unhideWhenUsed/>
    <w:qFormat/>
    <w:pPr>
      <w:ind w:left="850"/>
      <w:spacing w:after="57"/>
    </w:pPr>
  </w:style>
  <w:style w:type="paragraph" w:styleId="962">
    <w:name w:val="Subtitle"/>
    <w:basedOn w:val="933"/>
    <w:next w:val="933"/>
    <w:link w:val="1071"/>
    <w:uiPriority w:val="11"/>
    <w:qFormat/>
    <w:pPr>
      <w:spacing w:before="200" w:after="200"/>
    </w:pPr>
    <w:rPr>
      <w:sz w:val="24"/>
    </w:rPr>
  </w:style>
  <w:style w:type="paragraph" w:styleId="963">
    <w:name w:val="footnote text"/>
    <w:basedOn w:val="933"/>
    <w:link w:val="1185"/>
    <w:uiPriority w:val="99"/>
    <w:semiHidden/>
    <w:unhideWhenUsed/>
    <w:qFormat/>
    <w:pPr>
      <w:spacing w:after="40"/>
    </w:pPr>
    <w:rPr>
      <w:sz w:val="18"/>
    </w:rPr>
  </w:style>
  <w:style w:type="paragraph" w:styleId="964">
    <w:name w:val="toc 6"/>
    <w:basedOn w:val="933"/>
    <w:next w:val="933"/>
    <w:uiPriority w:val="39"/>
    <w:unhideWhenUsed/>
    <w:qFormat/>
    <w:pPr>
      <w:ind w:left="1417"/>
      <w:spacing w:after="57"/>
    </w:pPr>
  </w:style>
  <w:style w:type="paragraph" w:styleId="965">
    <w:name w:val="table of figures"/>
    <w:basedOn w:val="933"/>
    <w:next w:val="933"/>
    <w:uiPriority w:val="99"/>
    <w:unhideWhenUsed/>
    <w:qFormat/>
  </w:style>
  <w:style w:type="paragraph" w:styleId="966">
    <w:name w:val="toc 2"/>
    <w:basedOn w:val="933"/>
    <w:next w:val="933"/>
    <w:uiPriority w:val="39"/>
    <w:unhideWhenUsed/>
    <w:qFormat/>
    <w:pPr>
      <w:ind w:left="283"/>
      <w:spacing w:after="57"/>
    </w:pPr>
  </w:style>
  <w:style w:type="paragraph" w:styleId="967">
    <w:name w:val="toc 9"/>
    <w:basedOn w:val="933"/>
    <w:next w:val="933"/>
    <w:uiPriority w:val="39"/>
    <w:unhideWhenUsed/>
    <w:qFormat/>
    <w:pPr>
      <w:ind w:left="2268"/>
      <w:spacing w:after="57"/>
    </w:pPr>
  </w:style>
  <w:style w:type="paragraph" w:styleId="968">
    <w:name w:val="Normal (Web)"/>
    <w:basedOn w:val="933"/>
    <w:uiPriority w:val="0"/>
    <w:unhideWhenUsed/>
    <w:qFormat/>
    <w:pPr>
      <w:jc w:val="left"/>
      <w:spacing w:before="100" w:beforeAutospacing="1" w:after="100" w:afterAutospacing="1"/>
      <w:widowControl/>
    </w:pPr>
    <w:rPr>
      <w:rFonts w:ascii="宋体" w:hAnsi="宋体" w:cs="宋体"/>
      <w:sz w:val="24"/>
    </w:rPr>
  </w:style>
  <w:style w:type="paragraph" w:styleId="969">
    <w:name w:val="Title"/>
    <w:basedOn w:val="933"/>
    <w:next w:val="933"/>
    <w:link w:val="1070"/>
    <w:uiPriority w:val="10"/>
    <w:qFormat/>
    <w:pPr>
      <w:contextualSpacing/>
      <w:spacing w:before="300" w:after="200"/>
    </w:pPr>
    <w:rPr>
      <w:sz w:val="48"/>
      <w:szCs w:val="48"/>
    </w:rPr>
  </w:style>
  <w:style w:type="paragraph" w:styleId="970">
    <w:name w:val="annotation subject"/>
    <w:basedOn w:val="948"/>
    <w:next w:val="948"/>
    <w:link w:val="1207"/>
    <w:uiPriority w:val="99"/>
    <w:semiHidden/>
    <w:unhideWhenUsed/>
    <w:qFormat/>
    <w:rPr>
      <w:b/>
      <w:bCs/>
    </w:rPr>
  </w:style>
  <w:style w:type="table" w:styleId="971">
    <w:name w:val="Table Grid"/>
    <w:basedOn w:val="94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endnote reference"/>
    <w:basedOn w:val="943"/>
    <w:uiPriority w:val="99"/>
    <w:semiHidden/>
    <w:unhideWhenUsed/>
    <w:qFormat/>
    <w:rPr>
      <w:vertAlign w:val="superscript"/>
    </w:rPr>
  </w:style>
  <w:style w:type="character" w:styleId="973">
    <w:name w:val="page number"/>
    <w:uiPriority w:val="0"/>
    <w:qFormat/>
  </w:style>
  <w:style w:type="character" w:styleId="974">
    <w:name w:val="Hyperlink"/>
    <w:uiPriority w:val="99"/>
    <w:unhideWhenUsed/>
    <w:qFormat/>
    <w:rPr>
      <w:color w:val="0563c1" w:themeColor="hyperlink"/>
      <w:u w:val="single"/>
      <w14:textFill>
        <w14:solidFill>
          <w14:schemeClr w14:val="hlink"/>
        </w14:solidFill>
      </w14:textFill>
    </w:rPr>
  </w:style>
  <w:style w:type="character" w:styleId="975">
    <w:name w:val="annotation reference"/>
    <w:basedOn w:val="943"/>
    <w:uiPriority w:val="99"/>
    <w:semiHidden/>
    <w:unhideWhenUsed/>
    <w:qFormat/>
    <w:rPr>
      <w:sz w:val="21"/>
      <w:szCs w:val="21"/>
    </w:rPr>
  </w:style>
  <w:style w:type="character" w:styleId="976">
    <w:name w:val="footnote reference"/>
    <w:basedOn w:val="943"/>
    <w:uiPriority w:val="99"/>
    <w:unhideWhenUsed/>
    <w:qFormat/>
    <w:rPr>
      <w:vertAlign w:val="superscript"/>
    </w:rPr>
  </w:style>
  <w:style w:type="table" w:styleId="977" w:customStyle="1">
    <w:name w:val="Plain Table 1"/>
    <w:basedOn w:val="9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2"/>
    <w:basedOn w:val="9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3"/>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Plain Table 4"/>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Plain Table 5"/>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Grid Table 1 Light"/>
    <w:basedOn w:val="9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2"/>
    <w:basedOn w:val="9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3"/>
    <w:basedOn w:val="9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basedOn w:val="9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5 Dark"/>
    <w:basedOn w:val="9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6 Colorful"/>
    <w:basedOn w:val="9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7 Colorful"/>
    <w:basedOn w:val="9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1 Light"/>
    <w:basedOn w:val="9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2"/>
    <w:basedOn w:val="9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3"/>
    <w:basedOn w:val="9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w:basedOn w:val="9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5 Dark"/>
    <w:basedOn w:val="9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9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7 Colorful"/>
    <w:basedOn w:val="9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6" w:customStyle="1">
    <w:name w:val="TOC Heading"/>
    <w:uiPriority w:val="39"/>
    <w:unhideWhenUsed/>
    <w:qFormat/>
    <w:rPr>
      <w:rFonts w:hint="default" w:ascii="Times New Roman" w:hAnsi="Times New Roman" w:eastAsia="宋体" w:cs="Times New Roman"/>
    </w:rPr>
  </w:style>
  <w:style w:type="paragraph" w:styleId="997" w:customStyle="1">
    <w:name w:val="正文文本11"/>
    <w:basedOn w:val="998"/>
    <w:next w:val="1000"/>
    <w:uiPriority w:val="0"/>
    <w:qFormat/>
    <w:pPr>
      <w:spacing w:after="120"/>
    </w:pPr>
  </w:style>
  <w:style w:type="paragraph" w:styleId="998" w:customStyle="1">
    <w:name w:val="正文112"/>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无间隔1"/>
    <w:uiPriority w:val="0"/>
    <w:qFormat/>
    <w:rPr>
      <w:rFonts w:ascii="Times New Roman" w:hAnsi="Times New Roman" w:eastAsia="宋体" w:cs="Times New Roman"/>
      <w:sz w:val="22"/>
      <w:szCs w:val="22"/>
      <w:lang w:val="en-US" w:eastAsia="en-US" w:bidi="ar-SA"/>
    </w:rPr>
  </w:style>
  <w:style w:type="paragraph" w:styleId="1000" w:customStyle="1">
    <w:name w:val="正文11"/>
    <w:basedOn w:val="933"/>
    <w:next w:val="1001"/>
    <w:uiPriority w:val="0"/>
    <w:qFormat/>
  </w:style>
  <w:style w:type="paragraph" w:styleId="1001" w:customStyle="1">
    <w:name w:val="正文文本 21"/>
    <w:basedOn w:val="1000"/>
    <w:uiPriority w:val="0"/>
    <w:qFormat/>
    <w:pPr>
      <w:spacing w:after="120" w:line="480" w:lineRule="auto"/>
    </w:pPr>
  </w:style>
  <w:style w:type="character" w:styleId="1002" w:customStyle="1">
    <w:name w:val="标题 2 字符"/>
    <w:basedOn w:val="943"/>
    <w:link w:val="935"/>
    <w:uiPriority w:val="9"/>
    <w:qFormat/>
    <w:rPr>
      <w:rFonts w:ascii="Arial" w:hAnsi="Arial" w:eastAsia="Arial" w:cs="Arial"/>
      <w:sz w:val="34"/>
    </w:rPr>
  </w:style>
  <w:style w:type="character" w:styleId="1003" w:customStyle="1">
    <w:name w:val="标题 3 字符"/>
    <w:basedOn w:val="943"/>
    <w:link w:val="936"/>
    <w:uiPriority w:val="9"/>
    <w:qFormat/>
    <w:rPr>
      <w:rFonts w:ascii="Arial" w:hAnsi="Arial" w:eastAsia="Arial" w:cs="Arial"/>
      <w:sz w:val="30"/>
      <w:szCs w:val="30"/>
    </w:rPr>
  </w:style>
  <w:style w:type="character" w:styleId="1004" w:customStyle="1">
    <w:name w:val="标题 1 字符"/>
    <w:basedOn w:val="943"/>
    <w:link w:val="934"/>
    <w:uiPriority w:val="9"/>
    <w:qFormat/>
    <w:rPr>
      <w:rFonts w:ascii="Arial" w:hAnsi="Arial" w:eastAsia="Arial" w:cs="Arial"/>
      <w:sz w:val="40"/>
      <w:szCs w:val="40"/>
    </w:rPr>
  </w:style>
  <w:style w:type="paragraph" w:styleId="1005" w:customStyle="1">
    <w:name w:val="列表段落1"/>
    <w:basedOn w:val="1006"/>
    <w:next w:val="933"/>
    <w:uiPriority w:val="99"/>
    <w:qFormat/>
    <w:pPr>
      <w:ind w:firstLine="420"/>
    </w:pPr>
  </w:style>
  <w:style w:type="paragraph" w:styleId="1006" w:customStyle="1">
    <w:name w:val="正文1"/>
    <w:basedOn w:val="1007"/>
    <w:next w:val="1012"/>
    <w:uiPriority w:val="0"/>
    <w:qFormat/>
  </w:style>
  <w:style w:type="paragraph" w:styleId="1007" w:customStyle="1">
    <w:name w:val="正文111"/>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1"/>
    <w:basedOn w:val="997"/>
    <w:next w:val="1009"/>
    <w:uiPriority w:val="0"/>
    <w:qFormat/>
    <w:pPr>
      <w:ind w:firstLine="420"/>
    </w:pPr>
    <w:rPr>
      <w:szCs w:val="22"/>
    </w:rPr>
  </w:style>
  <w:style w:type="paragraph" w:styleId="1009" w:customStyle="1">
    <w:name w:val="正文首行缩进 21"/>
    <w:basedOn w:val="1010"/>
    <w:uiPriority w:val="0"/>
    <w:qFormat/>
    <w:pPr>
      <w:ind w:firstLine="420"/>
    </w:pPr>
    <w:rPr>
      <w:rFonts w:ascii="仿宋_GB2312" w:eastAsia="仿宋_GB2312"/>
      <w:color w:val="ff6600"/>
      <w:sz w:val="21"/>
    </w:rPr>
  </w:style>
  <w:style w:type="paragraph" w:styleId="1010" w:customStyle="1">
    <w:name w:val="正文文本缩进1"/>
    <w:basedOn w:val="1006"/>
    <w:next w:val="1011"/>
    <w:uiPriority w:val="0"/>
    <w:qFormat/>
    <w:pPr>
      <w:ind w:left="420"/>
      <w:spacing w:after="120"/>
    </w:pPr>
  </w:style>
  <w:style w:type="paragraph" w:styleId="1011" w:customStyle="1">
    <w:name w:val="寄信人地址1"/>
    <w:basedOn w:val="933"/>
    <w:uiPriority w:val="0"/>
    <w:qFormat/>
    <w:rPr>
      <w:rFonts w:ascii="Arial" w:hAnsi="Arial"/>
    </w:rPr>
  </w:style>
  <w:style w:type="paragraph" w:styleId="1012" w:customStyle="1">
    <w:name w:val="标题 21"/>
    <w:basedOn w:val="1013"/>
    <w:next w:val="100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3" w:customStyle="1">
    <w:name w:val="正文12"/>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正文文本111"/>
    <w:basedOn w:val="1015"/>
    <w:next w:val="1013"/>
    <w:uiPriority w:val="0"/>
    <w:qFormat/>
  </w:style>
  <w:style w:type="paragraph" w:styleId="1015" w:customStyle="1">
    <w:name w:val="正文1121"/>
    <w:next w:val="1014"/>
    <w:uiPriority w:val="0"/>
    <w:qFormat/>
    <w:pPr>
      <w:jc w:val="both"/>
      <w:widowControl w:val="off"/>
    </w:pPr>
    <w:rPr>
      <w:rFonts w:ascii="Calibri" w:hAnsi="Calibri" w:eastAsia="宋体" w:cs="Times New Roman"/>
      <w:sz w:val="21"/>
      <w:szCs w:val="24"/>
      <w:lang w:val="en-US" w:eastAsia="zh-CN" w:bidi="ar-SA"/>
    </w:rPr>
  </w:style>
  <w:style w:type="paragraph" w:styleId="1016" w:customStyle="1">
    <w:name w:val="目录 11"/>
    <w:basedOn w:val="1013"/>
    <w:next w:val="1000"/>
    <w:uiPriority w:val="39"/>
    <w:unhideWhenUsed/>
    <w:qFormat/>
    <w:pPr>
      <w:jc w:val="left"/>
      <w:spacing w:after="100" w:line="259" w:lineRule="auto"/>
      <w:widowControl/>
    </w:pPr>
    <w:rPr>
      <w:rFonts w:ascii="Calibri" w:hAnsi="Calibri"/>
      <w:sz w:val="22"/>
      <w:szCs w:val="22"/>
    </w:rPr>
  </w:style>
  <w:style w:type="paragraph" w:styleId="1017" w:customStyle="1">
    <w:name w:val="正文文本1"/>
    <w:basedOn w:val="1006"/>
    <w:next w:val="1006"/>
    <w:uiPriority w:val="0"/>
    <w:qFormat/>
    <w:pPr>
      <w:spacing w:after="120"/>
    </w:pPr>
    <w:rPr>
      <w:lang w:eastAsia="en-US"/>
    </w:rPr>
  </w:style>
  <w:style w:type="paragraph" w:styleId="1018" w:customStyle="1">
    <w:name w:val="一级条标题"/>
    <w:basedOn w:val="1019"/>
    <w:next w:val="10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9" w:customStyle="1">
    <w:name w:val="章标题"/>
    <w:next w:val="10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0" w:customStyle="1">
    <w:name w:val="段"/>
    <w:basedOn w:val="1006"/>
    <w:next w:val="933"/>
    <w:uiPriority w:val="0"/>
    <w:qFormat/>
    <w:pPr>
      <w:ind w:firstLine="200"/>
      <w:widowControl/>
    </w:pPr>
    <w:rPr>
      <w:rFonts w:hint="eastAsia" w:ascii="宋体"/>
      <w:szCs w:val="20"/>
    </w:rPr>
  </w:style>
  <w:style w:type="paragraph" w:styleId="1021" w:customStyle="1">
    <w:name w:val="脚注文本1"/>
    <w:basedOn w:val="1006"/>
    <w:next w:val="1022"/>
    <w:uiPriority w:val="0"/>
    <w:qFormat/>
    <w:pPr>
      <w:jc w:val="left"/>
      <w:spacing w:line="360" w:lineRule="atLeast"/>
    </w:pPr>
    <w:rPr>
      <w:rFonts w:ascii="宋体" w:eastAsia="Times New Roman"/>
      <w:sz w:val="18"/>
      <w:szCs w:val="18"/>
    </w:rPr>
  </w:style>
  <w:style w:type="paragraph" w:styleId="1022" w:customStyle="1">
    <w:name w:val="索引 51"/>
    <w:basedOn w:val="1006"/>
    <w:next w:val="1006"/>
    <w:uiPriority w:val="0"/>
    <w:qFormat/>
    <w:pPr>
      <w:ind w:left="798"/>
      <w:jc w:val="left"/>
      <w:spacing w:line="360" w:lineRule="atLeast"/>
    </w:pPr>
    <w:rPr>
      <w:sz w:val="24"/>
      <w:szCs w:val="20"/>
    </w:rPr>
  </w:style>
  <w:style w:type="table" w:styleId="1023" w:customStyle="1">
    <w:name w:val="无格式表格 11"/>
    <w:basedOn w:val="9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无格式表格 21"/>
    <w:basedOn w:val="9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无格式表格 31"/>
    <w:basedOn w:val="9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无格式表格 41"/>
    <w:basedOn w:val="9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无格式表格 51"/>
    <w:basedOn w:val="9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网格表 1 浅色1"/>
    <w:basedOn w:val="9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网格表 21"/>
    <w:basedOn w:val="9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网格表 31"/>
    <w:basedOn w:val="9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basedOn w:val="9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网格表 5 深色1"/>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网格表 6 彩色1"/>
    <w:basedOn w:val="9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网格表 7 彩色1"/>
    <w:basedOn w:val="9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清单表 1 浅色1"/>
    <w:basedOn w:val="9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清单表 21"/>
    <w:basedOn w:val="9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清单表 31"/>
    <w:basedOn w:val="9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清单表 41"/>
    <w:basedOn w:val="9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清单表 5 深色1"/>
    <w:basedOn w:val="9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清单表 6 彩色1"/>
    <w:basedOn w:val="9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清单表 7 彩色1"/>
    <w:basedOn w:val="9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2" w:customStyle="1">
    <w:name w:val="TOC 标题1"/>
    <w:uiPriority w:val="39"/>
    <w:unhideWhenUsed/>
    <w:qFormat/>
    <w:rPr>
      <w:rFonts w:hint="default" w:ascii="Times New Roman" w:hAnsi="Times New Roman" w:eastAsia="宋体" w:cs="Times New Roman"/>
      <w:lang w:val="en-US" w:eastAsia="zh-CN" w:bidi="ar-SA"/>
    </w:rPr>
  </w:style>
  <w:style w:type="paragraph" w:styleId="1043" w:customStyle="1">
    <w:name w:val="TOC 标题112"/>
    <w:uiPriority w:val="39"/>
    <w:unhideWhenUsed/>
    <w:qFormat/>
    <w:rPr>
      <w:rFonts w:hint="default" w:ascii="Times New Roman" w:hAnsi="Times New Roman" w:eastAsia="宋体" w:cs="Times New Roman"/>
      <w:lang w:val="en-US" w:eastAsia="zh-CN" w:bidi="ar-SA"/>
    </w:rPr>
  </w:style>
  <w:style w:type="character" w:styleId="1044" w:customStyle="1">
    <w:name w:val="Heading 1 Char"/>
    <w:basedOn w:val="943"/>
    <w:uiPriority w:val="9"/>
    <w:qFormat/>
    <w:rPr>
      <w:rFonts w:ascii="Arial" w:hAnsi="Arial" w:eastAsia="Arial" w:cs="Arial"/>
      <w:sz w:val="40"/>
      <w:szCs w:val="40"/>
    </w:rPr>
  </w:style>
  <w:style w:type="character" w:styleId="1045" w:customStyle="1">
    <w:name w:val="Heading 2 Char"/>
    <w:basedOn w:val="943"/>
    <w:uiPriority w:val="9"/>
    <w:qFormat/>
    <w:rPr>
      <w:rFonts w:ascii="Arial" w:hAnsi="Arial" w:eastAsia="Arial" w:cs="Arial"/>
      <w:sz w:val="34"/>
    </w:rPr>
  </w:style>
  <w:style w:type="character" w:styleId="1046" w:customStyle="1">
    <w:name w:val="Heading 3 Char"/>
    <w:basedOn w:val="943"/>
    <w:uiPriority w:val="9"/>
    <w:qFormat/>
    <w:rPr>
      <w:rFonts w:ascii="Arial" w:hAnsi="Arial" w:eastAsia="Arial" w:cs="Arial"/>
      <w:sz w:val="30"/>
      <w:szCs w:val="30"/>
    </w:rPr>
  </w:style>
  <w:style w:type="character" w:styleId="1047" w:customStyle="1">
    <w:name w:val="Heading 4 Char"/>
    <w:basedOn w:val="943"/>
    <w:uiPriority w:val="9"/>
    <w:qFormat/>
    <w:rPr>
      <w:rFonts w:ascii="Arial" w:hAnsi="Arial" w:eastAsia="Arial" w:cs="Arial"/>
      <w:b/>
      <w:bCs/>
      <w:sz w:val="26"/>
      <w:szCs w:val="26"/>
    </w:rPr>
  </w:style>
  <w:style w:type="character" w:styleId="1048" w:customStyle="1">
    <w:name w:val="Heading 5 Char"/>
    <w:basedOn w:val="943"/>
    <w:uiPriority w:val="9"/>
    <w:qFormat/>
    <w:rPr>
      <w:rFonts w:ascii="Arial" w:hAnsi="Arial" w:eastAsia="Arial" w:cs="Arial"/>
      <w:b/>
      <w:bCs/>
      <w:sz w:val="24"/>
      <w:szCs w:val="24"/>
    </w:rPr>
  </w:style>
  <w:style w:type="character" w:styleId="1049" w:customStyle="1">
    <w:name w:val="Heading 6 Char"/>
    <w:basedOn w:val="943"/>
    <w:uiPriority w:val="9"/>
    <w:qFormat/>
    <w:rPr>
      <w:rFonts w:ascii="Arial" w:hAnsi="Arial" w:eastAsia="Arial" w:cs="Arial"/>
      <w:b/>
      <w:bCs/>
      <w:sz w:val="22"/>
      <w:szCs w:val="22"/>
    </w:rPr>
  </w:style>
  <w:style w:type="character" w:styleId="1050" w:customStyle="1">
    <w:name w:val="Heading 7 Char"/>
    <w:basedOn w:val="943"/>
    <w:uiPriority w:val="9"/>
    <w:qFormat/>
    <w:rPr>
      <w:rFonts w:ascii="Arial" w:hAnsi="Arial" w:eastAsia="Arial" w:cs="Arial"/>
      <w:b/>
      <w:bCs/>
      <w:i/>
      <w:iCs/>
      <w:sz w:val="22"/>
      <w:szCs w:val="22"/>
    </w:rPr>
  </w:style>
  <w:style w:type="character" w:styleId="1051" w:customStyle="1">
    <w:name w:val="Heading 8 Char"/>
    <w:basedOn w:val="943"/>
    <w:uiPriority w:val="9"/>
    <w:qFormat/>
    <w:rPr>
      <w:rFonts w:ascii="Arial" w:hAnsi="Arial" w:eastAsia="Arial" w:cs="Arial"/>
      <w:i/>
      <w:iCs/>
      <w:sz w:val="22"/>
      <w:szCs w:val="22"/>
    </w:rPr>
  </w:style>
  <w:style w:type="character" w:styleId="1052" w:customStyle="1">
    <w:name w:val="Heading 9 Char"/>
    <w:basedOn w:val="943"/>
    <w:uiPriority w:val="9"/>
    <w:qFormat/>
    <w:rPr>
      <w:rFonts w:ascii="Arial" w:hAnsi="Arial" w:eastAsia="Arial" w:cs="Arial"/>
      <w:i/>
      <w:iCs/>
      <w:sz w:val="21"/>
      <w:szCs w:val="21"/>
    </w:rPr>
  </w:style>
  <w:style w:type="character" w:styleId="1053" w:customStyle="1">
    <w:name w:val="Title Char"/>
    <w:basedOn w:val="943"/>
    <w:uiPriority w:val="10"/>
    <w:qFormat/>
    <w:rPr>
      <w:sz w:val="48"/>
      <w:szCs w:val="48"/>
    </w:rPr>
  </w:style>
  <w:style w:type="character" w:styleId="1054" w:customStyle="1">
    <w:name w:val="Subtitle Char"/>
    <w:basedOn w:val="943"/>
    <w:uiPriority w:val="11"/>
    <w:qFormat/>
    <w:rPr>
      <w:sz w:val="24"/>
      <w:szCs w:val="24"/>
    </w:rPr>
  </w:style>
  <w:style w:type="character" w:styleId="1055" w:customStyle="1">
    <w:name w:val="Quote Char"/>
    <w:uiPriority w:val="29"/>
    <w:qFormat/>
    <w:rPr>
      <w:i/>
    </w:rPr>
  </w:style>
  <w:style w:type="character" w:styleId="1056" w:customStyle="1">
    <w:name w:val="Intense Quote Char"/>
    <w:uiPriority w:val="30"/>
    <w:qFormat/>
    <w:rPr>
      <w:i/>
    </w:rPr>
  </w:style>
  <w:style w:type="character" w:styleId="1057" w:customStyle="1">
    <w:name w:val="Header Char"/>
    <w:basedOn w:val="943"/>
    <w:uiPriority w:val="99"/>
    <w:qFormat/>
  </w:style>
  <w:style w:type="character" w:styleId="1058" w:customStyle="1">
    <w:name w:val="Caption Char"/>
    <w:uiPriority w:val="99"/>
    <w:qFormat/>
  </w:style>
  <w:style w:type="character" w:styleId="1059" w:customStyle="1">
    <w:name w:val="Footnote Text Char"/>
    <w:uiPriority w:val="99"/>
    <w:qFormat/>
    <w:rPr>
      <w:sz w:val="18"/>
    </w:rPr>
  </w:style>
  <w:style w:type="character" w:styleId="1060" w:customStyle="1">
    <w:name w:val="Endnote Text Char"/>
    <w:uiPriority w:val="99"/>
    <w:qFormat/>
    <w:rPr>
      <w:sz w:val="20"/>
    </w:rPr>
  </w:style>
  <w:style w:type="paragraph" w:styleId="1061" w:customStyle="1">
    <w:name w:val="TOC 标题111"/>
    <w:uiPriority w:val="39"/>
    <w:unhideWhenUsed/>
    <w:qFormat/>
    <w:rPr>
      <w:rFonts w:hint="default" w:ascii="Calibri" w:hAnsi="Calibri" w:eastAsia="宋体" w:cs="Times New Roman"/>
      <w:lang w:val="en-US" w:eastAsia="zh-CN" w:bidi="ar-SA"/>
    </w:rPr>
  </w:style>
  <w:style w:type="character" w:styleId="1062" w:customStyle="1">
    <w:name w:val="标题 4 字符"/>
    <w:basedOn w:val="943"/>
    <w:link w:val="937"/>
    <w:uiPriority w:val="9"/>
    <w:qFormat/>
    <w:rPr>
      <w:rFonts w:ascii="Arial" w:hAnsi="Arial" w:eastAsia="Arial" w:cs="Arial"/>
      <w:b/>
      <w:bCs/>
      <w:sz w:val="26"/>
      <w:szCs w:val="26"/>
    </w:rPr>
  </w:style>
  <w:style w:type="character" w:styleId="1063" w:customStyle="1">
    <w:name w:val="标题 5 字符"/>
    <w:basedOn w:val="943"/>
    <w:link w:val="938"/>
    <w:uiPriority w:val="9"/>
    <w:qFormat/>
    <w:rPr>
      <w:rFonts w:ascii="Arial" w:hAnsi="Arial" w:eastAsia="Arial" w:cs="Arial"/>
      <w:b/>
      <w:bCs/>
      <w:sz w:val="24"/>
      <w:szCs w:val="24"/>
    </w:rPr>
  </w:style>
  <w:style w:type="character" w:styleId="1064" w:customStyle="1">
    <w:name w:val="标题 6 字符"/>
    <w:basedOn w:val="943"/>
    <w:link w:val="939"/>
    <w:uiPriority w:val="9"/>
    <w:qFormat/>
    <w:rPr>
      <w:rFonts w:ascii="Arial" w:hAnsi="Arial" w:eastAsia="Arial" w:cs="Arial"/>
      <w:b/>
      <w:bCs/>
      <w:sz w:val="22"/>
      <w:szCs w:val="22"/>
    </w:rPr>
  </w:style>
  <w:style w:type="character" w:styleId="1065" w:customStyle="1">
    <w:name w:val="标题 7 字符"/>
    <w:basedOn w:val="943"/>
    <w:link w:val="940"/>
    <w:uiPriority w:val="9"/>
    <w:qFormat/>
    <w:rPr>
      <w:rFonts w:ascii="Arial" w:hAnsi="Arial" w:eastAsia="Arial" w:cs="Arial"/>
      <w:b/>
      <w:bCs/>
      <w:i/>
      <w:iCs/>
      <w:sz w:val="22"/>
      <w:szCs w:val="22"/>
    </w:rPr>
  </w:style>
  <w:style w:type="character" w:styleId="1066" w:customStyle="1">
    <w:name w:val="标题 8 字符"/>
    <w:basedOn w:val="943"/>
    <w:link w:val="941"/>
    <w:uiPriority w:val="9"/>
    <w:qFormat/>
    <w:rPr>
      <w:rFonts w:ascii="Arial" w:hAnsi="Arial" w:eastAsia="Arial" w:cs="Arial"/>
      <w:i/>
      <w:iCs/>
      <w:sz w:val="22"/>
      <w:szCs w:val="22"/>
    </w:rPr>
  </w:style>
  <w:style w:type="character" w:styleId="1067" w:customStyle="1">
    <w:name w:val="标题 9 字符"/>
    <w:basedOn w:val="943"/>
    <w:link w:val="942"/>
    <w:uiPriority w:val="9"/>
    <w:qFormat/>
    <w:rPr>
      <w:rFonts w:ascii="Arial" w:hAnsi="Arial" w:eastAsia="Arial" w:cs="Arial"/>
      <w:i/>
      <w:iCs/>
      <w:sz w:val="21"/>
      <w:szCs w:val="21"/>
    </w:rPr>
  </w:style>
  <w:style w:type="paragraph" w:styleId="1068">
    <w:name w:val="List Paragraph"/>
    <w:basedOn w:val="933"/>
    <w:uiPriority w:val="34"/>
    <w:qFormat/>
    <w:pPr>
      <w:contextualSpacing/>
      <w:ind w:left="720"/>
    </w:pPr>
  </w:style>
  <w:style w:type="paragraph" w:styleId="1069">
    <w:name w:val="No Spacing"/>
    <w:uiPriority w:val="1"/>
    <w:qFormat/>
    <w:rPr>
      <w:rFonts w:hint="default" w:asciiTheme="minorHAnsi" w:hAnsiTheme="minorHAnsi" w:eastAsiaTheme="minorEastAsia" w:cstheme="minorBidi"/>
      <w:lang w:val="en-US" w:eastAsia="zh-CN" w:bidi="ar-SA"/>
    </w:rPr>
  </w:style>
  <w:style w:type="character" w:styleId="1070" w:customStyle="1">
    <w:name w:val="标题 字符"/>
    <w:basedOn w:val="943"/>
    <w:link w:val="969"/>
    <w:uiPriority w:val="10"/>
    <w:qFormat/>
    <w:rPr>
      <w:sz w:val="48"/>
      <w:szCs w:val="48"/>
    </w:rPr>
  </w:style>
  <w:style w:type="character" w:styleId="1071" w:customStyle="1">
    <w:name w:val="副标题 字符"/>
    <w:basedOn w:val="943"/>
    <w:link w:val="962"/>
    <w:uiPriority w:val="11"/>
    <w:qFormat/>
    <w:rPr>
      <w:sz w:val="24"/>
      <w:szCs w:val="24"/>
    </w:rPr>
  </w:style>
  <w:style w:type="paragraph" w:styleId="1072">
    <w:name w:val="Quote"/>
    <w:basedOn w:val="933"/>
    <w:next w:val="933"/>
    <w:link w:val="1073"/>
    <w:uiPriority w:val="29"/>
    <w:qFormat/>
    <w:pPr>
      <w:ind w:left="720" w:right="720"/>
    </w:pPr>
    <w:rPr>
      <w:i/>
    </w:rPr>
  </w:style>
  <w:style w:type="character" w:styleId="1073" w:customStyle="1">
    <w:name w:val="引用 字符"/>
    <w:link w:val="1072"/>
    <w:uiPriority w:val="29"/>
    <w:qFormat/>
    <w:rPr>
      <w:i/>
    </w:rPr>
  </w:style>
  <w:style w:type="paragraph" w:styleId="1074">
    <w:name w:val="Intense Quote"/>
    <w:basedOn w:val="933"/>
    <w:next w:val="933"/>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字符"/>
    <w:link w:val="1074"/>
    <w:uiPriority w:val="30"/>
    <w:qFormat/>
    <w:rPr>
      <w:i/>
    </w:rPr>
  </w:style>
  <w:style w:type="character" w:styleId="1076" w:customStyle="1">
    <w:name w:val="页眉 字符"/>
    <w:basedOn w:val="943"/>
    <w:link w:val="959"/>
    <w:uiPriority w:val="99"/>
    <w:qFormat/>
  </w:style>
  <w:style w:type="character" w:styleId="1077" w:customStyle="1">
    <w:name w:val="Footer Char"/>
    <w:basedOn w:val="943"/>
    <w:uiPriority w:val="99"/>
    <w:qFormat/>
  </w:style>
  <w:style w:type="character" w:styleId="1078" w:customStyle="1">
    <w:name w:val="页脚 字符"/>
    <w:link w:val="958"/>
    <w:uiPriority w:val="99"/>
    <w:qFormat/>
  </w:style>
  <w:style w:type="table" w:styleId="1079" w:customStyle="1">
    <w:name w:val="Table Grid Light"/>
    <w:basedOn w:val="9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80" w:customStyle="1">
    <w:name w:val="Grid Table 1 Light - Accent 1"/>
    <w:basedOn w:val="9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2"/>
    <w:basedOn w:val="9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3"/>
    <w:basedOn w:val="9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4"/>
    <w:basedOn w:val="9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5"/>
    <w:basedOn w:val="9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6"/>
    <w:basedOn w:val="9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6" w:customStyle="1">
    <w:name w:val="Grid Table 2 - Accent 1"/>
    <w:basedOn w:val="9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87" w:customStyle="1">
    <w:name w:val="Grid Table 2 - Accent 2"/>
    <w:basedOn w:val="9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88" w:customStyle="1">
    <w:name w:val="Grid Table 2 - Accent 3"/>
    <w:basedOn w:val="9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89" w:customStyle="1">
    <w:name w:val="Grid Table 2 - Accent 4"/>
    <w:basedOn w:val="9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0" w:customStyle="1">
    <w:name w:val="Grid Table 2 - Accent 5"/>
    <w:basedOn w:val="9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1" w:customStyle="1">
    <w:name w:val="Grid Table 2 - Accent 6"/>
    <w:basedOn w:val="9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2" w:customStyle="1">
    <w:name w:val="Grid Table 3 - Accent 1"/>
    <w:basedOn w:val="9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2"/>
    <w:basedOn w:val="9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3"/>
    <w:basedOn w:val="9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4"/>
    <w:basedOn w:val="9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5"/>
    <w:basedOn w:val="9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6"/>
    <w:basedOn w:val="9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4 - Accent 1"/>
    <w:basedOn w:val="9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99" w:customStyle="1">
    <w:name w:val="Grid Table 4 - Accent 2"/>
    <w:basedOn w:val="9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0" w:customStyle="1">
    <w:name w:val="Grid Table 4 - Accent 3"/>
    <w:basedOn w:val="9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1" w:customStyle="1">
    <w:name w:val="Grid Table 4 - Accent 4"/>
    <w:basedOn w:val="9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2" w:customStyle="1">
    <w:name w:val="Grid Table 4 - Accent 5"/>
    <w:basedOn w:val="9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3" w:customStyle="1">
    <w:name w:val="Grid Table 4 - Accent 6"/>
    <w:basedOn w:val="9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4" w:customStyle="1">
    <w:name w:val="Grid Table 5 Dark- Accent 1"/>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05" w:customStyle="1">
    <w:name w:val="Grid Table 5 Dark - Accent 2"/>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06" w:customStyle="1">
    <w:name w:val="Grid Table 5 Dark - Accent 3"/>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07" w:customStyle="1">
    <w:name w:val="Grid Table 5 Dark- Accent 4"/>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08" w:customStyle="1">
    <w:name w:val="Grid Table 5 Dark - Accent 5"/>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09" w:customStyle="1">
    <w:name w:val="Grid Table 5 Dark - Accent 6"/>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0" w:customStyle="1">
    <w:name w:val="Grid Table 6 Colorful - Accent 1"/>
    <w:basedOn w:val="9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1" w:customStyle="1">
    <w:name w:val="Grid Table 6 Colorful - Accent 2"/>
    <w:basedOn w:val="9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2" w:customStyle="1">
    <w:name w:val="Grid Table 6 Colorful - Accent 3"/>
    <w:basedOn w:val="9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13" w:customStyle="1">
    <w:name w:val="Grid Table 6 Colorful - Accent 4"/>
    <w:basedOn w:val="9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14" w:customStyle="1">
    <w:name w:val="Grid Table 6 Colorful - Accent 5"/>
    <w:basedOn w:val="9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15" w:customStyle="1">
    <w:name w:val="Grid Table 6 Colorful - Accent 6"/>
    <w:basedOn w:val="9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16" w:customStyle="1">
    <w:name w:val="Grid Table 7 Colorful - Accent 1"/>
    <w:basedOn w:val="9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basedOn w:val="9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basedOn w:val="9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basedOn w:val="9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basedOn w:val="9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basedOn w:val="9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22" w:customStyle="1">
    <w:name w:val="List Table 1 Light - Accent 1"/>
    <w:basedOn w:val="9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23" w:customStyle="1">
    <w:name w:val="List Table 1 Light - Accent 2"/>
    <w:basedOn w:val="9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24" w:customStyle="1">
    <w:name w:val="List Table 1 Light - Accent 3"/>
    <w:basedOn w:val="9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25" w:customStyle="1">
    <w:name w:val="List Table 1 Light - Accent 4"/>
    <w:basedOn w:val="9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26" w:customStyle="1">
    <w:name w:val="List Table 1 Light - Accent 5"/>
    <w:basedOn w:val="9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27" w:customStyle="1">
    <w:name w:val="List Table 1 Light - Accent 6"/>
    <w:basedOn w:val="9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28" w:customStyle="1">
    <w:name w:val="List Table 2 - Accent 1"/>
    <w:basedOn w:val="9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29" w:customStyle="1">
    <w:name w:val="List Table 2 - Accent 2"/>
    <w:basedOn w:val="9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30" w:customStyle="1">
    <w:name w:val="List Table 2 - Accent 3"/>
    <w:basedOn w:val="9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31" w:customStyle="1">
    <w:name w:val="List Table 2 - Accent 4"/>
    <w:basedOn w:val="9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32" w:customStyle="1">
    <w:name w:val="List Table 2 - Accent 5"/>
    <w:basedOn w:val="9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33" w:customStyle="1">
    <w:name w:val="List Table 2 - Accent 6"/>
    <w:basedOn w:val="9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34" w:customStyle="1">
    <w:name w:val="List Table 3 - Accent 1"/>
    <w:basedOn w:val="9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35" w:customStyle="1">
    <w:name w:val="List Table 3 - Accent 2"/>
    <w:basedOn w:val="9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36" w:customStyle="1">
    <w:name w:val="List Table 3 - Accent 3"/>
    <w:basedOn w:val="9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37" w:customStyle="1">
    <w:name w:val="List Table 3 - Accent 4"/>
    <w:basedOn w:val="9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38" w:customStyle="1">
    <w:name w:val="List Table 3 - Accent 5"/>
    <w:basedOn w:val="9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39" w:customStyle="1">
    <w:name w:val="List Table 3 - Accent 6"/>
    <w:basedOn w:val="9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40" w:customStyle="1">
    <w:name w:val="List Table 4 - Accent 1"/>
    <w:basedOn w:val="9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1" w:customStyle="1">
    <w:name w:val="List Table 4 - Accent 2"/>
    <w:basedOn w:val="9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42" w:customStyle="1">
    <w:name w:val="List Table 4 - Accent 3"/>
    <w:basedOn w:val="9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43" w:customStyle="1">
    <w:name w:val="List Table 4 - Accent 4"/>
    <w:basedOn w:val="9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44" w:customStyle="1">
    <w:name w:val="List Table 4 - Accent 5"/>
    <w:basedOn w:val="9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45" w:customStyle="1">
    <w:name w:val="List Table 4 - Accent 6"/>
    <w:basedOn w:val="9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46" w:customStyle="1">
    <w:name w:val="List Table 5 Dark - Accent 1"/>
    <w:basedOn w:val="9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2"/>
    <w:basedOn w:val="9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3"/>
    <w:basedOn w:val="9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4"/>
    <w:basedOn w:val="9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5"/>
    <w:basedOn w:val="9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6"/>
    <w:basedOn w:val="9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6 Colorful - Accent 1"/>
    <w:basedOn w:val="9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53" w:customStyle="1">
    <w:name w:val="List Table 6 Colorful - Accent 2"/>
    <w:basedOn w:val="9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54" w:customStyle="1">
    <w:name w:val="List Table 6 Colorful - Accent 3"/>
    <w:basedOn w:val="9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55" w:customStyle="1">
    <w:name w:val="List Table 6 Colorful - Accent 4"/>
    <w:basedOn w:val="9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56" w:customStyle="1">
    <w:name w:val="List Table 6 Colorful - Accent 5"/>
    <w:basedOn w:val="9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57" w:customStyle="1">
    <w:name w:val="List Table 6 Colorful - Accent 6"/>
    <w:basedOn w:val="9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58" w:customStyle="1">
    <w:name w:val="List Table 7 Colorful - Accent 1"/>
    <w:basedOn w:val="9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59" w:customStyle="1">
    <w:name w:val="List Table 7 Colorful - Accent 2"/>
    <w:basedOn w:val="9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0" w:customStyle="1">
    <w:name w:val="List Table 7 Colorful - Accent 3"/>
    <w:basedOn w:val="9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61" w:customStyle="1">
    <w:name w:val="List Table 7 Colorful - Accent 4"/>
    <w:basedOn w:val="9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2" w:customStyle="1">
    <w:name w:val="List Table 7 Colorful - Accent 5"/>
    <w:basedOn w:val="9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63" w:customStyle="1">
    <w:name w:val="List Table 7 Colorful - Accent 6"/>
    <w:basedOn w:val="9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64" w:customStyle="1">
    <w:name w:val="Lined - Accent"/>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5" w:customStyle="1">
    <w:name w:val="Lined - Accent 1"/>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66" w:customStyle="1">
    <w:name w:val="Lined - Accent 2"/>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7" w:customStyle="1">
    <w:name w:val="Lined - Accent 3"/>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8" w:customStyle="1">
    <w:name w:val="Lined - Accent 4"/>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9" w:customStyle="1">
    <w:name w:val="Lined - Accent 5"/>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70" w:customStyle="1">
    <w:name w:val="Lined - Accent 6"/>
    <w:basedOn w:val="9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1" w:customStyle="1">
    <w:name w:val="Bordered &amp; Lined - Accent"/>
    <w:basedOn w:val="9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Bordered &amp; Lined - Accent 1"/>
    <w:basedOn w:val="9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73" w:customStyle="1">
    <w:name w:val="Bordered &amp; Lined - Accent 2"/>
    <w:basedOn w:val="9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74" w:customStyle="1">
    <w:name w:val="Bordered &amp; Lined - Accent 3"/>
    <w:basedOn w:val="9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5" w:customStyle="1">
    <w:name w:val="Bordered &amp; Lined - Accent 4"/>
    <w:basedOn w:val="9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6" w:customStyle="1">
    <w:name w:val="Bordered &amp; Lined - Accent 5"/>
    <w:basedOn w:val="9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77" w:customStyle="1">
    <w:name w:val="Bordered &amp; Lined - Accent 6"/>
    <w:basedOn w:val="9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8" w:customStyle="1">
    <w:name w:val="Bordered"/>
    <w:basedOn w:val="9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9" w:customStyle="1">
    <w:name w:val="Bordered - Accent 1"/>
    <w:basedOn w:val="9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80" w:customStyle="1">
    <w:name w:val="Bordered - Accent 2"/>
    <w:basedOn w:val="9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81" w:customStyle="1">
    <w:name w:val="Bordered - Accent 3"/>
    <w:basedOn w:val="9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82" w:customStyle="1">
    <w:name w:val="Bordered - Accent 4"/>
    <w:basedOn w:val="9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83" w:customStyle="1">
    <w:name w:val="Bordered - Accent 5"/>
    <w:basedOn w:val="9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84" w:customStyle="1">
    <w:name w:val="Bordered - Accent 6"/>
    <w:basedOn w:val="9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85" w:customStyle="1">
    <w:name w:val="脚注文本 字符"/>
    <w:link w:val="963"/>
    <w:uiPriority w:val="99"/>
    <w:qFormat/>
    <w:rPr>
      <w:sz w:val="18"/>
    </w:rPr>
  </w:style>
  <w:style w:type="character" w:styleId="1186" w:customStyle="1">
    <w:name w:val="尾注文本 字符"/>
    <w:link w:val="956"/>
    <w:uiPriority w:val="99"/>
    <w:qFormat/>
    <w:rPr>
      <w:sz w:val="20"/>
    </w:rPr>
  </w:style>
  <w:style w:type="paragraph" w:styleId="1187"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188" w:customStyle="1">
    <w:name w:val="彩色列表 - 着色 11"/>
    <w:basedOn w:val="933"/>
    <w:uiPriority w:val="0"/>
    <w:qFormat/>
    <w:pPr>
      <w:ind w:firstLine="420"/>
    </w:pPr>
    <w:rPr>
      <w:rFonts w:ascii="Times New Roman" w:hAnsi="Times New Roman"/>
      <w:sz w:val="20"/>
    </w:rPr>
  </w:style>
  <w:style w:type="paragraph" w:styleId="1189" w:customStyle="1">
    <w:name w:val="普通(网站)1"/>
    <w:basedOn w:val="933"/>
    <w:uiPriority w:val="99"/>
    <w:qFormat/>
    <w:pPr>
      <w:jc w:val="left"/>
      <w:spacing w:before="100" w:beforeAutospacing="1" w:after="100" w:afterAutospacing="1"/>
      <w:widowControl/>
    </w:pPr>
    <w:rPr>
      <w:rFonts w:ascii="宋体" w:hAnsi="宋体" w:cs="宋体"/>
      <w:sz w:val="24"/>
    </w:rPr>
  </w:style>
  <w:style w:type="paragraph" w:styleId="1190" w:customStyle="1">
    <w:name w:val="纯文本1"/>
    <w:basedOn w:val="933"/>
    <w:uiPriority w:val="0"/>
    <w:qFormat/>
    <w:rPr>
      <w:rFonts w:ascii="宋体" w:hAnsi="Courier New"/>
      <w:szCs w:val="21"/>
    </w:rPr>
  </w:style>
  <w:style w:type="paragraph" w:styleId="11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_Style 2"/>
    <w:basedOn w:val="1193"/>
    <w:next w:val="933"/>
    <w:uiPriority w:val="0"/>
    <w:qFormat/>
    <w:pPr>
      <w:jc w:val="both"/>
      <w:spacing w:line="576" w:lineRule="auto"/>
      <w:outlineLvl w:val="9"/>
    </w:pPr>
    <w:rPr>
      <w:rFonts w:ascii="Times New Roman" w:hAnsi="Times New Roman"/>
    </w:rPr>
  </w:style>
  <w:style w:type="paragraph" w:styleId="1193" w:customStyle="1">
    <w:name w:val="标题 11"/>
    <w:basedOn w:val="933"/>
    <w:next w:val="933"/>
    <w:uiPriority w:val="0"/>
    <w:qFormat/>
    <w:pPr>
      <w:jc w:val="center"/>
      <w:keepLines/>
      <w:keepNext/>
      <w:spacing w:before="340" w:after="330" w:line="578" w:lineRule="auto"/>
      <w:outlineLvl w:val="0"/>
    </w:pPr>
    <w:rPr>
      <w:b/>
      <w:bCs/>
      <w:sz w:val="44"/>
      <w:szCs w:val="44"/>
    </w:rPr>
  </w:style>
  <w:style w:type="paragraph" w:styleId="1194" w:customStyle="1">
    <w:name w:val="标题 31"/>
    <w:basedOn w:val="933"/>
    <w:next w:val="933"/>
    <w:uiPriority w:val="0"/>
    <w:qFormat/>
    <w:pPr>
      <w:keepLines/>
      <w:keepNext/>
      <w:spacing w:before="260" w:after="260" w:line="416" w:lineRule="auto"/>
      <w:outlineLvl w:val="2"/>
    </w:pPr>
    <w:rPr>
      <w:b/>
      <w:bCs/>
      <w:sz w:val="32"/>
      <w:szCs w:val="32"/>
    </w:rPr>
  </w:style>
  <w:style w:type="paragraph" w:styleId="1195" w:customStyle="1">
    <w:name w:val="标题 41"/>
    <w:basedOn w:val="933"/>
    <w:next w:val="933"/>
    <w:uiPriority w:val="0"/>
    <w:qFormat/>
    <w:pPr>
      <w:keepLines/>
      <w:keepNext/>
      <w:spacing w:before="280" w:after="290" w:line="372" w:lineRule="auto"/>
      <w:outlineLvl w:val="3"/>
    </w:pPr>
    <w:rPr>
      <w:rFonts w:ascii="Cambria" w:hAnsi="Cambria"/>
      <w:b/>
      <w:bCs/>
      <w:sz w:val="28"/>
      <w:szCs w:val="28"/>
    </w:rPr>
  </w:style>
  <w:style w:type="paragraph" w:styleId="1196" w:customStyle="1">
    <w:name w:val="文本块1"/>
    <w:basedOn w:val="1007"/>
    <w:uiPriority w:val="6"/>
    <w:qFormat/>
    <w:pPr>
      <w:ind w:left="256" w:right="6" w:firstLine="624"/>
    </w:pPr>
    <w:rPr>
      <w:rFonts w:eastAsia="仿宋"/>
      <w:sz w:val="28"/>
      <w:szCs w:val="20"/>
    </w:rPr>
  </w:style>
  <w:style w:type="paragraph" w:styleId="1197" w:customStyle="1">
    <w:name w:val="页脚1"/>
    <w:basedOn w:val="933"/>
    <w:uiPriority w:val="0"/>
    <w:qFormat/>
    <w:pPr>
      <w:jc w:val="left"/>
      <w:tabs>
        <w:tab w:val="center" w:pos="4153" w:leader="none"/>
        <w:tab w:val="right" w:pos="8306" w:leader="none"/>
      </w:tabs>
    </w:pPr>
    <w:rPr>
      <w:sz w:val="18"/>
      <w:szCs w:val="18"/>
    </w:rPr>
  </w:style>
  <w:style w:type="paragraph" w:styleId="1198" w:customStyle="1">
    <w:name w:val="页眉1"/>
    <w:basedOn w:val="933"/>
    <w:uiPriority w:val="0"/>
    <w:qFormat/>
    <w:pPr>
      <w:jc w:val="center"/>
      <w:tabs>
        <w:tab w:val="center" w:pos="4153" w:leader="none"/>
        <w:tab w:val="right" w:pos="8306" w:leader="none"/>
      </w:tabs>
      <w:pBdr>
        <w:bottom w:val="single" w:color="000000" w:sz="6" w:space="1"/>
      </w:pBdr>
    </w:pPr>
    <w:rPr>
      <w:sz w:val="18"/>
      <w:szCs w:val="18"/>
    </w:rPr>
  </w:style>
  <w:style w:type="character" w:styleId="1199" w:customStyle="1">
    <w:name w:val="页码1"/>
    <w:basedOn w:val="1200"/>
    <w:uiPriority w:val="0"/>
    <w:qFormat/>
    <w:rPr>
      <w:rFonts w:hint="default" w:ascii="Calibri" w:hAnsi="Calibri" w:eastAsia="宋体" w:cs="Times New Roman"/>
      <w:sz w:val="21"/>
      <w:szCs w:val="24"/>
      <w:lang w:val="en-US" w:eastAsia="zh-CN" w:bidi="ar-SA"/>
    </w:rPr>
  </w:style>
  <w:style w:type="character" w:styleId="1200" w:customStyle="1">
    <w:name w:val="默认段落字体1"/>
    <w:uiPriority w:val="0"/>
    <w:semiHidden/>
    <w:qFormat/>
  </w:style>
  <w:style w:type="character" w:styleId="1201" w:customStyle="1">
    <w:name w:val="NormalCharacter1"/>
    <w:uiPriority w:val="0"/>
    <w:semiHidden/>
    <w:qFormat/>
    <w:rPr>
      <w:sz w:val="21"/>
      <w:szCs w:val="24"/>
      <w:lang w:val="en-US" w:eastAsia="zh-CN" w:bidi="ar-SA"/>
    </w:rPr>
  </w:style>
  <w:style w:type="paragraph" w:styleId="1202" w:customStyle="1">
    <w:name w:val="Blockquote"/>
    <w:basedOn w:val="933"/>
    <w:uiPriority w:val="0"/>
    <w:qFormat/>
    <w:pPr>
      <w:ind w:left="764" w:right="567"/>
      <w:jc w:val="left"/>
      <w:spacing w:before="100" w:after="100"/>
    </w:pPr>
    <w:rPr>
      <w:rFonts w:ascii="Times New Roman" w:hAnsi="Times New Roman"/>
      <w:sz w:val="24"/>
      <w:szCs w:val="20"/>
    </w:rPr>
  </w:style>
  <w:style w:type="character" w:styleId="1203" w:customStyle="1">
    <w:name w:val="正文文本 字符"/>
    <w:link w:val="949"/>
    <w:uiPriority w:val="0"/>
    <w:qFormat/>
  </w:style>
  <w:style w:type="character" w:styleId="1204" w:customStyle="1">
    <w:name w:val="正文文本 字符1"/>
    <w:basedOn w:val="943"/>
    <w:uiPriority w:val="99"/>
    <w:semiHidden/>
    <w:qFormat/>
    <w:rPr>
      <w:rFonts w:ascii="Calibri" w:hAnsi="Calibri"/>
      <w:sz w:val="21"/>
      <w:szCs w:val="24"/>
    </w:rPr>
  </w:style>
  <w:style w:type="character" w:styleId="1205" w:customStyle="1">
    <w:name w:val="批注框文本 字符"/>
    <w:basedOn w:val="943"/>
    <w:link w:val="957"/>
    <w:uiPriority w:val="99"/>
    <w:semiHidden/>
    <w:qFormat/>
    <w:rPr>
      <w:rFonts w:ascii="Calibri" w:hAnsi="Calibri"/>
      <w:sz w:val="18"/>
      <w:szCs w:val="18"/>
    </w:rPr>
  </w:style>
  <w:style w:type="character" w:styleId="1206" w:customStyle="1">
    <w:name w:val="批注文字 字符"/>
    <w:basedOn w:val="943"/>
    <w:link w:val="948"/>
    <w:uiPriority w:val="99"/>
    <w:semiHidden/>
    <w:qFormat/>
    <w:rPr>
      <w:sz w:val="21"/>
      <w:szCs w:val="24"/>
    </w:rPr>
  </w:style>
  <w:style w:type="character" w:styleId="1207" w:customStyle="1">
    <w:name w:val="批注主题 字符"/>
    <w:basedOn w:val="1206"/>
    <w:link w:val="970"/>
    <w:uiPriority w:val="99"/>
    <w:semiHidden/>
    <w:qFormat/>
    <w:rPr>
      <w:b/>
      <w:bCs/>
      <w:sz w:val="21"/>
      <w:szCs w:val="24"/>
    </w:rPr>
  </w:style>
  <w:style w:type="paragraph" w:styleId="1208" w:customStyle="1">
    <w:name w:val="正文首行缩进 211"/>
    <w:basedOn w:val="1209"/>
    <w:next w:val="998"/>
    <w:uiPriority w:val="0"/>
    <w:qFormat/>
    <w:pPr>
      <w:ind w:firstLine="420"/>
    </w:pPr>
    <w:rPr>
      <w:sz w:val="24"/>
    </w:rPr>
  </w:style>
  <w:style w:type="paragraph" w:styleId="1209" w:customStyle="1">
    <w:name w:val="正文文本缩进11"/>
    <w:basedOn w:val="998"/>
    <w:next w:val="1210"/>
    <w:uiPriority w:val="0"/>
    <w:qFormat/>
    <w:pPr>
      <w:ind w:firstLine="538"/>
    </w:pPr>
    <w:rPr>
      <w:sz w:val="28"/>
    </w:rPr>
  </w:style>
  <w:style w:type="paragraph" w:styleId="1210" w:customStyle="1">
    <w:name w:val="寄信人地址11"/>
    <w:basedOn w:val="933"/>
    <w:uiPriority w:val="0"/>
    <w:qFormat/>
    <w:rPr>
      <w:rFonts w:ascii="Arial" w:hAnsi="Arial"/>
    </w:rPr>
  </w:style>
  <w:style w:type="numbering" w:styleId="65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20</cp:revision>
  <dcterms:created xsi:type="dcterms:W3CDTF">2025-06-18T00:51:00Z</dcterms:created>
  <dcterms:modified xsi:type="dcterms:W3CDTF">2026-08-11T09:13:27Z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972AB28734554850A12931157C8D95B4_13</vt:lpwstr>
  </property>
  <property fmtid="{D5CDD505-2E9C-101B-9397-08002B2CF9AE}" pid="4" name="KSOTemplateDocerSaveRecord">
    <vt:lpwstr>eyJoZGlkIjoiNTVjYjM4NTU1NzQ3Nzk2MWVkZWVlZjU5YWM1ZGEwMDYiLCJ1c2VySWQiOiI2MjAyNjAwNDcifQ==</vt:lpwstr>
  </property>
</Properties>
</file>