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283758">
      <w:pPr>
        <w:jc w:val="center"/>
        <w:rPr>
          <w:b/>
          <w:color w:val="000000"/>
          <w:sz w:val="32"/>
          <w:szCs w:val="32"/>
        </w:rPr>
      </w:pPr>
      <w:r>
        <w:rPr>
          <w:rFonts w:hint="eastAsia"/>
          <w:b/>
          <w:color w:val="000000"/>
          <w:sz w:val="36"/>
          <w:szCs w:val="36"/>
        </w:rPr>
        <w:t>南京医科大学食堂大宗食材采购合同</w:t>
      </w:r>
    </w:p>
    <w:p w14:paraId="3F57F879">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w:t>
      </w:r>
    </w:p>
    <w:p w14:paraId="5446FE1C">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乙方：南京宝珠粮油贸易有限公司</w:t>
      </w:r>
    </w:p>
    <w:p w14:paraId="2FD9ADC8">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为切实保障师生在校用餐安全，规范学校食堂原材料采购及供货服务流程，维护师生权益，本着食品安全至上、平等互利、真诚合作的原则，经甲乙双方充分协商达成如下协议并遵照执行。</w:t>
      </w:r>
    </w:p>
    <w:p w14:paraId="22522DE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合同期限</w:t>
      </w:r>
    </w:p>
    <w:p w14:paraId="2FD7350B">
      <w:pPr>
        <w:spacing w:line="360" w:lineRule="auto"/>
        <w:ind w:left="559" w:leftChars="266" w:firstLine="240" w:firstLineChars="100"/>
        <w:rPr>
          <w:rFonts w:hint="eastAsia" w:ascii="宋体" w:hAnsi="宋体" w:cs="宋体"/>
          <w:color w:val="000000"/>
          <w:sz w:val="24"/>
        </w:rPr>
      </w:pPr>
      <w:r>
        <w:rPr>
          <w:rFonts w:hint="eastAsia" w:ascii="宋体" w:hAnsi="宋体" w:cs="宋体"/>
          <w:color w:val="000000"/>
          <w:sz w:val="24"/>
        </w:rPr>
        <w:t>合同期限：</w:t>
      </w:r>
      <w:r>
        <w:rPr>
          <w:rFonts w:hint="eastAsia" w:ascii="宋体" w:hAnsi="宋体" w:cs="宋体"/>
          <w:color w:val="000000"/>
          <w:sz w:val="24"/>
          <w:u w:val="single"/>
        </w:rPr>
        <w:t>2025</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10</w:t>
      </w:r>
      <w:r>
        <w:rPr>
          <w:rFonts w:hint="eastAsia" w:ascii="宋体" w:hAnsi="宋体" w:cs="宋体"/>
          <w:color w:val="000000"/>
          <w:sz w:val="24"/>
        </w:rPr>
        <w:t>日起至</w:t>
      </w:r>
      <w:r>
        <w:rPr>
          <w:rFonts w:hint="eastAsia" w:ascii="宋体" w:hAnsi="宋体" w:cs="宋体"/>
          <w:color w:val="000000"/>
          <w:sz w:val="24"/>
          <w:u w:val="single"/>
        </w:rPr>
        <w:t>2026</w:t>
      </w:r>
      <w:r>
        <w:rPr>
          <w:rFonts w:hint="eastAsia" w:ascii="宋体" w:hAnsi="宋体" w:cs="宋体"/>
          <w:color w:val="000000"/>
          <w:sz w:val="24"/>
        </w:rPr>
        <w:t>年</w:t>
      </w:r>
      <w:r>
        <w:rPr>
          <w:rFonts w:hint="eastAsia" w:ascii="宋体" w:hAnsi="宋体" w:cs="宋体"/>
          <w:color w:val="000000"/>
          <w:sz w:val="24"/>
          <w:u w:val="single"/>
        </w:rPr>
        <w:t>4</w:t>
      </w:r>
      <w:r>
        <w:rPr>
          <w:rFonts w:hint="eastAsia" w:ascii="宋体" w:hAnsi="宋体" w:cs="宋体"/>
          <w:color w:val="000000"/>
          <w:sz w:val="24"/>
        </w:rPr>
        <w:t>月</w:t>
      </w:r>
      <w:r>
        <w:rPr>
          <w:rFonts w:hint="eastAsia" w:ascii="宋体" w:hAnsi="宋体" w:cs="宋体"/>
          <w:color w:val="000000"/>
          <w:sz w:val="24"/>
          <w:u w:val="single"/>
        </w:rPr>
        <w:t>9</w:t>
      </w:r>
      <w:r>
        <w:rPr>
          <w:rFonts w:hint="eastAsia" w:ascii="宋体" w:hAnsi="宋体" w:cs="宋体"/>
          <w:color w:val="000000"/>
          <w:sz w:val="24"/>
        </w:rPr>
        <w:t>日。</w:t>
      </w:r>
    </w:p>
    <w:p w14:paraId="1089B703">
      <w:pPr>
        <w:numPr>
          <w:ilvl w:val="0"/>
          <w:numId w:val="1"/>
        </w:numPr>
        <w:spacing w:line="360" w:lineRule="auto"/>
        <w:jc w:val="left"/>
        <w:rPr>
          <w:rFonts w:hint="eastAsia" w:ascii="宋体" w:hAnsi="宋体" w:cs="宋体"/>
          <w:color w:val="000000"/>
          <w:sz w:val="24"/>
        </w:rPr>
      </w:pPr>
      <w:r>
        <w:rPr>
          <w:rFonts w:hint="eastAsia" w:ascii="宋体" w:hAnsi="宋体" w:cs="宋体"/>
          <w:b/>
          <w:bCs/>
          <w:color w:val="000000"/>
          <w:sz w:val="24"/>
        </w:rPr>
        <w:t>供应品类范围</w:t>
      </w:r>
    </w:p>
    <w:p w14:paraId="5CE29E66">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乙方必须根据甲方的要求为甲方供应</w:t>
      </w:r>
      <w:r>
        <w:rPr>
          <w:rFonts w:hint="eastAsia" w:ascii="宋体" w:hAnsi="宋体" w:cs="宋体"/>
          <w:b/>
          <w:bCs/>
          <w:color w:val="000000"/>
          <w:kern w:val="0"/>
          <w:sz w:val="24"/>
          <w:u w:val="single"/>
          <w:lang w:val="en-US" w:eastAsia="zh-CN" w:bidi="ar"/>
        </w:rPr>
        <w:t>大米、面粉</w:t>
      </w:r>
      <w:r>
        <w:rPr>
          <w:rFonts w:hint="eastAsia" w:ascii="宋体" w:hAnsi="宋体" w:cs="宋体"/>
          <w:color w:val="000000"/>
          <w:sz w:val="24"/>
        </w:rPr>
        <w:t>等物资。（供货品种、价格及规格参照附件）</w:t>
      </w:r>
    </w:p>
    <w:p w14:paraId="08E6470B">
      <w:pPr>
        <w:numPr>
          <w:ilvl w:val="0"/>
          <w:numId w:val="1"/>
        </w:numPr>
        <w:spacing w:line="360" w:lineRule="auto"/>
        <w:jc w:val="left"/>
        <w:rPr>
          <w:rFonts w:hint="eastAsia" w:ascii="宋体" w:hAnsi="宋体" w:cs="宋体"/>
          <w:color w:val="000000"/>
          <w:sz w:val="24"/>
        </w:rPr>
      </w:pPr>
      <w:r>
        <w:rPr>
          <w:rFonts w:hint="eastAsia" w:ascii="宋体" w:hAnsi="宋体" w:cs="宋体"/>
          <w:b/>
          <w:color w:val="000000"/>
          <w:sz w:val="24"/>
        </w:rPr>
        <w:t>履约保证金</w:t>
      </w:r>
    </w:p>
    <w:p w14:paraId="10C82BFC">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双方签订本合同3个工作日内，乙方向甲方缴纳履约保证金人民币</w:t>
      </w:r>
      <w:r>
        <w:rPr>
          <w:rFonts w:hint="eastAsia" w:ascii="宋体" w:hAnsi="宋体" w:cs="宋体"/>
          <w:b/>
          <w:bCs/>
          <w:color w:val="000000"/>
          <w:sz w:val="24"/>
          <w:u w:val="single"/>
        </w:rPr>
        <w:t>3</w:t>
      </w:r>
      <w:r>
        <w:rPr>
          <w:rFonts w:hint="eastAsia" w:ascii="宋体" w:hAnsi="宋体" w:cs="宋体"/>
          <w:color w:val="000000"/>
          <w:sz w:val="24"/>
        </w:rPr>
        <w:t>万元整。乙方在合同履行期内有违法违规行为或支付违约金的，甲方有权直接从履约保证金中扣除，如履约保证金不满足违约扣款金额的，甲方有权从待付货款中直接扣除。合同履行完毕后2个月无任何服务质量及其他法律纠纷的，无息返还履约保证金。</w:t>
      </w:r>
    </w:p>
    <w:p w14:paraId="65BD7430">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供货质量要求及价格要求</w:t>
      </w:r>
    </w:p>
    <w:p w14:paraId="3360BD2E">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乙方所供食品物资均应符合国家关于该食品物资的质量标准和卫生条件的相关要求，并按招标文件要求或相关行业主管部门要求送货时提供相关质检报告。</w:t>
      </w:r>
    </w:p>
    <w:p w14:paraId="01A70ED8">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乙方应严格按照甲方的要求生产和供应产品，不得以任何借口不按甲方订单要求供应，或在未经甲方允许的情况下私自改变所定品种规格、数量等，如甲方有新的要求，乙方应按甲方要求供货。</w:t>
      </w:r>
    </w:p>
    <w:p w14:paraId="0A401F79">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供货价格是指产品交付使用涉及的一切费用，包括货物采购、检验、仓储、分装、运输、装卸、管理、税金及所有其它费用，甲方不再支付其他费用。</w:t>
      </w:r>
    </w:p>
    <w:p w14:paraId="7D69DD07">
      <w:pPr>
        <w:numPr>
          <w:ilvl w:val="0"/>
          <w:numId w:val="2"/>
        </w:numPr>
        <w:spacing w:line="360" w:lineRule="auto"/>
        <w:rPr>
          <w:rFonts w:hint="eastAsia" w:ascii="宋体" w:hAnsi="宋体" w:cs="宋体"/>
          <w:color w:val="000000"/>
          <w:sz w:val="24"/>
        </w:rPr>
      </w:pPr>
      <w:r>
        <w:rPr>
          <w:rFonts w:hint="eastAsia" w:ascii="宋体" w:hAnsi="宋体" w:cs="宋体"/>
          <w:color w:val="000000"/>
          <w:sz w:val="24"/>
        </w:rPr>
        <w:t>乙方应严格按照甲方招标时要求的调价原则执行供货价格。</w:t>
      </w:r>
    </w:p>
    <w:p w14:paraId="3296F3E0">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结帐及付款</w:t>
      </w:r>
    </w:p>
    <w:p w14:paraId="051F5F59">
      <w:pPr>
        <w:spacing w:line="360" w:lineRule="auto"/>
        <w:ind w:left="420" w:firstLine="420"/>
        <w:rPr>
          <w:rFonts w:hint="eastAsia" w:ascii="宋体" w:hAnsi="宋体" w:cs="宋体"/>
          <w:color w:val="000000"/>
          <w:sz w:val="24"/>
        </w:rPr>
      </w:pPr>
      <w:r>
        <w:rPr>
          <w:rFonts w:hint="eastAsia" w:ascii="宋体" w:hAnsi="宋体" w:cs="宋体"/>
          <w:color w:val="000000"/>
          <w:sz w:val="24"/>
        </w:rPr>
        <w:t>乙方所供货物，经甲方验收合格使用确认无质量问题后，凭供货明细单和乙方开具发票，双方约定按月结算，次月完成结算。若乙方提供的发票、户名、开户行、账号与供货单位不一致，甲方有权不予付款，或延期提供发票，且无需承担延期付款的责任。</w:t>
      </w:r>
    </w:p>
    <w:p w14:paraId="56CD2CB9">
      <w:pPr>
        <w:numPr>
          <w:ilvl w:val="0"/>
          <w:numId w:val="1"/>
        </w:numPr>
        <w:spacing w:line="360" w:lineRule="auto"/>
        <w:jc w:val="left"/>
        <w:rPr>
          <w:rFonts w:hint="eastAsia" w:ascii="宋体" w:hAnsi="宋体" w:cs="宋体"/>
          <w:b/>
          <w:color w:val="000000"/>
          <w:sz w:val="24"/>
        </w:rPr>
      </w:pPr>
      <w:r>
        <w:rPr>
          <w:rFonts w:hint="eastAsia" w:ascii="宋体" w:hAnsi="宋体" w:cs="宋体"/>
          <w:b/>
          <w:bCs/>
          <w:color w:val="000000"/>
          <w:sz w:val="24"/>
        </w:rPr>
        <w:t xml:space="preserve"> </w:t>
      </w:r>
      <w:r>
        <w:rPr>
          <w:rFonts w:hint="eastAsia" w:ascii="宋体" w:hAnsi="宋体" w:cs="宋体"/>
          <w:b/>
          <w:color w:val="000000"/>
          <w:sz w:val="24"/>
        </w:rPr>
        <w:t>供货能力及运输</w:t>
      </w:r>
    </w:p>
    <w:p w14:paraId="0C1E713D">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乙方必须具备同时配送两个校区(五台、江宁)的能力，按照甲方规定时间和要求将所订货物送达指定地点。否则，甲方有权解除合同，并向乙方主张违约金。</w:t>
      </w:r>
    </w:p>
    <w:p w14:paraId="36FD1AC8">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交货及验收：</w:t>
      </w:r>
    </w:p>
    <w:p w14:paraId="5052AD72">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乙方须按甲方要求分装打包，并按订单要求的交货时间将货物送至指定地点等待甲方验收，</w:t>
      </w:r>
    </w:p>
    <w:p w14:paraId="0A600776">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甲方各食堂验收人员，按照招标文件及合同约定的质量标准及时验收。</w:t>
      </w:r>
    </w:p>
    <w:p w14:paraId="45A666E0">
      <w:pPr>
        <w:numPr>
          <w:ilvl w:val="0"/>
          <w:numId w:val="3"/>
        </w:numPr>
        <w:spacing w:line="360" w:lineRule="auto"/>
        <w:rPr>
          <w:rFonts w:hint="eastAsia" w:ascii="宋体" w:hAnsi="宋体" w:cs="宋体"/>
          <w:color w:val="000000"/>
          <w:sz w:val="24"/>
        </w:rPr>
      </w:pPr>
      <w:r>
        <w:rPr>
          <w:rFonts w:hint="eastAsia" w:ascii="宋体" w:hAnsi="宋体" w:cs="宋体"/>
          <w:color w:val="000000"/>
          <w:sz w:val="24"/>
        </w:rPr>
        <w:t>甲方各食堂验收人员在验收过程中，发现供货质量、数量等问题，乙方必须及时响应并进行处理或补货或退货，批量大的货物虽已入库，但在使用过程中发现有质量问题或数量问题的，乙方及时采取有效措施予以补救，以满足甲方正常使用和运营的需要，并承担由此引发的全部责任。如不及时处理造成甲方影响和损失，甲方有权解除合同并追究乙方违约责任（不限于暂停结算货款、退货、承担合同总金额30%违约金等）。</w:t>
      </w:r>
    </w:p>
    <w:p w14:paraId="5C0E298C">
      <w:pPr>
        <w:numPr>
          <w:ilvl w:val="0"/>
          <w:numId w:val="1"/>
        </w:numPr>
        <w:spacing w:line="360" w:lineRule="auto"/>
        <w:jc w:val="left"/>
        <w:rPr>
          <w:rFonts w:hint="eastAsia" w:ascii="宋体" w:hAnsi="宋体" w:cs="宋体"/>
          <w:b/>
          <w:color w:val="000000"/>
          <w:sz w:val="24"/>
        </w:rPr>
      </w:pPr>
      <w:r>
        <w:rPr>
          <w:rFonts w:hint="eastAsia" w:ascii="宋体" w:hAnsi="宋体" w:cs="宋体"/>
          <w:b/>
          <w:color w:val="000000"/>
          <w:sz w:val="24"/>
        </w:rPr>
        <w:t>合同双方权利与义务：</w:t>
      </w:r>
    </w:p>
    <w:p w14:paraId="6F12C7A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甲方工作人员严格验收、客观公正，确保食堂食品物资供货服务工作有序有效进行。</w:t>
      </w:r>
    </w:p>
    <w:p w14:paraId="1364BBFD">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甲方及时为乙方送货入校办理多项进校手续。</w:t>
      </w:r>
    </w:p>
    <w:p w14:paraId="6308B5C2">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甲方有义务配合乙方对所到货物进行收货、验货。</w:t>
      </w:r>
    </w:p>
    <w:p w14:paraId="096B544A">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甲方有义务按合同约定及时付清货款。</w:t>
      </w:r>
    </w:p>
    <w:p w14:paraId="2408D4E6">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甲方根据合同约定对乙方的违约行为，有权提出终止合同并要求乙方承担违约责任。</w:t>
      </w:r>
    </w:p>
    <w:p w14:paraId="4F8468D9">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w:t>
      </w:r>
      <w:r>
        <w:rPr>
          <w:rFonts w:hint="eastAsia" w:ascii="宋体" w:hAnsi="宋体" w:cs="宋体"/>
          <w:color w:val="000000"/>
          <w:sz w:val="24"/>
          <w:lang w:val="en-US" w:eastAsia="zh-CN"/>
        </w:rPr>
        <w:t>需</w:t>
      </w:r>
      <w:r>
        <w:rPr>
          <w:rFonts w:hint="eastAsia" w:ascii="宋体" w:hAnsi="宋体" w:cs="宋体"/>
          <w:color w:val="000000"/>
          <w:sz w:val="24"/>
        </w:rPr>
        <w:t>提供企业的</w:t>
      </w:r>
      <w:r>
        <w:rPr>
          <w:rFonts w:hint="eastAsia" w:ascii="宋体" w:hAnsi="宋体" w:eastAsia="宋体" w:cs="宋体"/>
          <w:color w:val="000000"/>
          <w:kern w:val="0"/>
          <w:sz w:val="24"/>
          <w:szCs w:val="24"/>
          <w:lang w:val="en-US" w:eastAsia="zh-CN" w:bidi="ar"/>
        </w:rPr>
        <w:t>生产许可证或食</w:t>
      </w:r>
      <w:r>
        <w:rPr>
          <w:rFonts w:hint="eastAsia" w:ascii="宋体" w:hAnsi="宋体" w:eastAsia="宋体" w:cs="宋体"/>
          <w:color w:val="000000"/>
          <w:kern w:val="1"/>
          <w:sz w:val="24"/>
          <w:szCs w:val="24"/>
          <w:lang w:val="en-US" w:eastAsia="zh-CN" w:bidi="ar-SA"/>
        </w:rPr>
        <w:t>品</w:t>
      </w:r>
      <w:r>
        <w:rPr>
          <w:rFonts w:hint="eastAsia" w:ascii="宋体" w:hAnsi="宋体" w:eastAsia="宋体" w:cs="宋体"/>
          <w:color w:val="000000"/>
          <w:kern w:val="0"/>
          <w:sz w:val="24"/>
          <w:szCs w:val="24"/>
          <w:lang w:val="en-US" w:eastAsia="zh-CN" w:bidi="ar"/>
        </w:rPr>
        <w:t>流通许可证</w:t>
      </w:r>
      <w:r>
        <w:rPr>
          <w:rFonts w:hint="eastAsia" w:ascii="宋体" w:hAnsi="宋体" w:cs="宋体"/>
          <w:color w:val="000000"/>
          <w:kern w:val="0"/>
          <w:sz w:val="24"/>
          <w:szCs w:val="24"/>
          <w:lang w:val="en-US" w:eastAsia="zh-CN" w:bidi="ar"/>
        </w:rPr>
        <w:t>、</w:t>
      </w:r>
      <w:r>
        <w:rPr>
          <w:rFonts w:hint="eastAsia" w:ascii="宋体" w:hAnsi="宋体" w:eastAsia="宋体" w:cs="宋体"/>
          <w:color w:val="000000"/>
          <w:kern w:val="0"/>
          <w:sz w:val="24"/>
          <w:szCs w:val="24"/>
          <w:lang w:val="en-US" w:eastAsia="zh-CN" w:bidi="ar"/>
        </w:rPr>
        <w:t>税务登记证、检测或检验检疫报告</w:t>
      </w:r>
      <w:r>
        <w:rPr>
          <w:rFonts w:hint="eastAsia" w:ascii="宋体" w:hAnsi="宋体" w:cs="宋体"/>
          <w:color w:val="000000"/>
          <w:kern w:val="0"/>
          <w:sz w:val="24"/>
          <w:szCs w:val="24"/>
          <w:lang w:val="en-US" w:eastAsia="zh-CN" w:bidi="ar"/>
        </w:rPr>
        <w:t>、</w:t>
      </w:r>
      <w:r>
        <w:rPr>
          <w:rFonts w:hint="eastAsia" w:ascii="宋体" w:hAnsi="宋体" w:cs="宋体"/>
          <w:color w:val="000000"/>
          <w:sz w:val="24"/>
        </w:rPr>
        <w:t>企业法人的营业执照</w:t>
      </w:r>
      <w:r>
        <w:rPr>
          <w:rFonts w:hint="eastAsia" w:ascii="宋体" w:hAnsi="宋体" w:eastAsia="宋体" w:cs="宋体"/>
          <w:color w:val="000000"/>
          <w:kern w:val="0"/>
          <w:sz w:val="24"/>
          <w:szCs w:val="24"/>
          <w:lang w:val="en-US" w:eastAsia="zh-CN" w:bidi="ar"/>
        </w:rPr>
        <w:t>、</w:t>
      </w:r>
      <w:r>
        <w:rPr>
          <w:rFonts w:hint="eastAsia" w:ascii="宋体" w:hAnsi="宋体" w:cs="宋体"/>
          <w:color w:val="000000"/>
          <w:sz w:val="24"/>
        </w:rPr>
        <w:t>法人代表的身份证等复印件给甲方</w:t>
      </w:r>
      <w:r>
        <w:rPr>
          <w:rFonts w:hint="eastAsia" w:ascii="宋体" w:hAnsi="宋体" w:cs="宋体"/>
          <w:color w:val="000000"/>
          <w:kern w:val="0"/>
          <w:sz w:val="24"/>
          <w:szCs w:val="24"/>
          <w:lang w:val="en-US" w:eastAsia="zh-CN" w:bidi="ar"/>
        </w:rPr>
        <w:t>。</w:t>
      </w:r>
    </w:p>
    <w:p w14:paraId="1F0B93E8">
      <w:pPr>
        <w:pStyle w:val="2"/>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乙方须根据甲方需求，定期提供产品报价。</w:t>
      </w:r>
    </w:p>
    <w:p w14:paraId="79098F96">
      <w:pPr>
        <w:numPr>
          <w:ilvl w:val="0"/>
          <w:numId w:val="4"/>
        </w:numPr>
        <w:spacing w:line="360" w:lineRule="auto"/>
        <w:jc w:val="left"/>
        <w:rPr>
          <w:rFonts w:hint="eastAsia" w:ascii="宋体" w:hAnsi="宋体" w:cs="宋体"/>
          <w:color w:val="000000"/>
          <w:sz w:val="24"/>
        </w:rPr>
      </w:pPr>
      <w:r>
        <w:rPr>
          <w:rFonts w:hint="eastAsia" w:ascii="宋体" w:hAnsi="宋体" w:cs="宋体"/>
          <w:color w:val="000000"/>
          <w:sz w:val="24"/>
        </w:rPr>
        <w:t>甲方如按上级政府部门要求需进行农校对接或执行帮扶项目时，乙方必须积极服从甲方供货分配工作，乙方不得以任何方式提出疑议。</w:t>
      </w:r>
    </w:p>
    <w:p w14:paraId="1CAB266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乙方承接甲方的食品物资供货服务工作，服从甲方管理，积极配合做好供货服务工作，按时按要求保质保量完成。</w:t>
      </w:r>
    </w:p>
    <w:p w14:paraId="3822041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乙方应服从政府相关职能部门的业务指导和监管。</w:t>
      </w:r>
    </w:p>
    <w:p w14:paraId="63FBBCF2">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乙方根据投标书的有关承诺条款，严格执行《中华人民共和国食品安全法》等法律法规，建立并自觉履行食品卫生安全和食品质量的保障机制，确保安全。</w:t>
      </w:r>
    </w:p>
    <w:p w14:paraId="2C55DDBE">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乙方每次供货均需提供食品物资的检测报告、检疫合格证等合格证明材料，并确保与所供物资完全一致。</w:t>
      </w:r>
    </w:p>
    <w:p w14:paraId="24048315">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配送时，乙方应按照甲方对食品物资深加工要求来提供服务，对采购的整鸡、活鱼、肉类有现场二次加工要求的，应安排持有有效期内健康证明的工人进入食堂进行深加工；无二次加工要求的，可以按照甲方要求在市场加工好，再配送到甲方指定区域。</w:t>
      </w:r>
    </w:p>
    <w:p w14:paraId="62AA1961">
      <w:pPr>
        <w:numPr>
          <w:ilvl w:val="0"/>
          <w:numId w:val="4"/>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乙方进入校园的车辆和人员必须遵守学校相关管理规定。</w:t>
      </w:r>
    </w:p>
    <w:p w14:paraId="7618C9A4">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违约责任</w:t>
      </w:r>
    </w:p>
    <w:p w14:paraId="301CBF58">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质量违约</w:t>
      </w:r>
    </w:p>
    <w:p w14:paraId="6B03A6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供货质量必须符合《中华人民共和国食品安全法》等相关法律法规的规定和南京市关于该物资的质量标准，并满足学校对该物资品种的质量标准等级要求。</w:t>
      </w:r>
    </w:p>
    <w:p w14:paraId="636D1FD7">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所供食品物资属于下列情况之一的，处以同批次货款的50%作为违约金，最低不少于1000元/次，并根据性质严重程度，甲方可以全部或部分没收乙方的履约保证金，并有权暂停结算货款、解除合同，同时乙方须承担所有赔偿责任，履约保证金不足以赔偿的，乙方应予以补足。</w:t>
      </w:r>
    </w:p>
    <w:p w14:paraId="650D8429">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①无品名、产地、厂名、生产日期、保质期、中文标识及原材料说明的预包装食品。</w:t>
      </w:r>
    </w:p>
    <w:p w14:paraId="2F9A87A7">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②预包装食品标签不醒目、不清晰、不持久，预包装食品标签执行《预包装食品标签规则》（GB7718—2011）。</w:t>
      </w:r>
    </w:p>
    <w:p w14:paraId="7AF76322">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③腐败变质、油脂酸败、霉变、生虫、污秽不洁、混有异物或者其它感官性状异常，含有毒、有害物质或者被有毒、有害物质污染，可能对人体健康有害的食品。</w:t>
      </w:r>
    </w:p>
    <w:p w14:paraId="659789C4">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④病死、死因不明或从疫区采购的水产品、畜、禽及其制品，食品添加剂超标的原材料，农药残留超标蔬菜等。</w:t>
      </w:r>
    </w:p>
    <w:p w14:paraId="1C6740DB">
      <w:pPr>
        <w:spacing w:line="360" w:lineRule="auto"/>
        <w:ind w:left="280" w:firstLine="480" w:firstLineChars="200"/>
        <w:rPr>
          <w:rFonts w:hint="eastAsia" w:ascii="宋体" w:hAnsi="宋体" w:cs="宋体"/>
          <w:color w:val="000000"/>
          <w:sz w:val="24"/>
        </w:rPr>
      </w:pPr>
      <w:r>
        <w:rPr>
          <w:rFonts w:hint="eastAsia" w:ascii="宋体" w:hAnsi="宋体" w:cs="宋体"/>
          <w:color w:val="000000"/>
          <w:sz w:val="24"/>
        </w:rPr>
        <w:t>⑤其它不符合食品卫生标准和要求的食品。</w:t>
      </w:r>
    </w:p>
    <w:p w14:paraId="2BDB8019">
      <w:pPr>
        <w:numPr>
          <w:ilvl w:val="0"/>
          <w:numId w:val="6"/>
        </w:numPr>
        <w:spacing w:line="360" w:lineRule="auto"/>
        <w:rPr>
          <w:rFonts w:hint="eastAsia" w:ascii="宋体" w:hAnsi="宋体" w:cs="宋体"/>
          <w:color w:val="000000"/>
          <w:sz w:val="24"/>
        </w:rPr>
      </w:pPr>
      <w:r>
        <w:rPr>
          <w:rFonts w:hint="eastAsia" w:ascii="宋体" w:hAnsi="宋体" w:cs="宋体"/>
          <w:color w:val="000000"/>
          <w:sz w:val="24"/>
        </w:rPr>
        <w:t>乙方的质量责任：质量不符合要求，包括不新鲜、有残次的，甲方有权拒收。拒收的后果：每拒收一次，乙方应按照拒收物资总价的20%承担违约金，最低不少于500元/次。同时，乙方应满足甲方需要及时按拒收的品种、数量补足质量符合要求的货品，否则，甲方可自行组织购买，费用由乙方承担，甲方可在货款或其他应付乙方款项中扣除。连续拒收超过三次或者在本合同有效期内累计拒收超过五次，按不能履行合同处理，甲方有权解除合同并追究乙方违约责任同时没收乙方合同履约保证金。</w:t>
      </w:r>
    </w:p>
    <w:p w14:paraId="600ADBC1">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 xml:space="preserve"> 交货期限违约</w:t>
      </w:r>
    </w:p>
    <w:p w14:paraId="5CC4D99B">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在接到甲方的要货通知时要及时快捷的进行配送。乙方若不能按时将物资送到甲方指定的地点，必须承担违约责任（按照逾期送达物资总价的日千分之三承担相应滞纳金）。除不可抗力外（不可抗力的范围按照民法典的解释），交通拥堵、意外、事故、限行及季节性雨雪天气等或其他类似原因均不是延时的理由。所供物资必须按照甲方指定时间送到指定地点。超过限时且未满2小时的，处违约金500元/次；超过2小时的，处违约金1000元/次。若配送地点有误而不能在约定的时间内调整送到的，按延时处理。连续延时2小时以上超过三次或者在本合同有效期内累计超过五次，按不能履行合同处理，甲方有权解除合同并追究违约责任同时没收乙方合同履约保证金。</w:t>
      </w:r>
    </w:p>
    <w:p w14:paraId="3E69A498">
      <w:pPr>
        <w:numPr>
          <w:ilvl w:val="0"/>
          <w:numId w:val="7"/>
        </w:numPr>
        <w:spacing w:line="360" w:lineRule="auto"/>
        <w:rPr>
          <w:rFonts w:hint="eastAsia" w:ascii="宋体" w:hAnsi="宋体" w:cs="宋体"/>
          <w:color w:val="000000"/>
          <w:sz w:val="24"/>
        </w:rPr>
      </w:pPr>
      <w:r>
        <w:rPr>
          <w:rFonts w:hint="eastAsia" w:ascii="宋体" w:hAnsi="宋体" w:cs="宋体"/>
          <w:color w:val="000000"/>
          <w:sz w:val="24"/>
        </w:rPr>
        <w:t>乙方进行货物配送时不得和食堂工作人员发生口角、殴斗。每发生口角一次，对乙方处以违约金500元；若发生殴斗事件，相关人员将被移送公安机关，乙方亦被永久性取缔其供货资格，甲方解除合同将追索相应损失并没收乙方合同履约保证金。</w:t>
      </w:r>
    </w:p>
    <w:p w14:paraId="08F3D5F5">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其他违约</w:t>
      </w:r>
    </w:p>
    <w:p w14:paraId="083E37A6">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乙方相关人员送货后仍在餐厅内停留、乱串、抽烟、随意吃食堂食物的，每发现一次对乙方处以500元违约金。</w:t>
      </w:r>
    </w:p>
    <w:p w14:paraId="45FAB4B6">
      <w:pPr>
        <w:numPr>
          <w:ilvl w:val="0"/>
          <w:numId w:val="8"/>
        </w:numPr>
        <w:spacing w:line="360" w:lineRule="auto"/>
        <w:rPr>
          <w:rFonts w:hint="eastAsia" w:ascii="宋体" w:hAnsi="宋体" w:cs="宋体"/>
          <w:bCs/>
          <w:color w:val="000000"/>
          <w:sz w:val="24"/>
        </w:rPr>
      </w:pPr>
      <w:r>
        <w:rPr>
          <w:rFonts w:hint="eastAsia" w:ascii="宋体" w:hAnsi="宋体" w:cs="宋体"/>
          <w:color w:val="000000"/>
          <w:sz w:val="24"/>
        </w:rPr>
        <w:t xml:space="preserve"> 乙方相关人员在物资的装卸、运输过程中，造成甲方所属食堂、餐厅物品摔坏或丢失的，须按物品的采购价值赔偿。</w:t>
      </w:r>
    </w:p>
    <w:p w14:paraId="3124F610">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乙方相关人员未经甲方许可擅自向甲方所属食堂供货的，除全部退货外并处3000元违约金。</w:t>
      </w:r>
    </w:p>
    <w:p w14:paraId="3947615E">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乙方违约金在三天内完成缴纳，不按规定及时缴纳违约金的，将从货款中扣除。</w:t>
      </w:r>
    </w:p>
    <w:p w14:paraId="219F726F">
      <w:pPr>
        <w:numPr>
          <w:ilvl w:val="0"/>
          <w:numId w:val="8"/>
        </w:numPr>
        <w:spacing w:line="360" w:lineRule="auto"/>
        <w:rPr>
          <w:rFonts w:hint="eastAsia" w:ascii="宋体" w:hAnsi="宋体" w:cs="宋体"/>
          <w:color w:val="000000"/>
          <w:sz w:val="24"/>
        </w:rPr>
      </w:pPr>
      <w:r>
        <w:rPr>
          <w:rFonts w:hint="eastAsia" w:ascii="宋体" w:hAnsi="宋体" w:cs="宋体"/>
          <w:color w:val="000000"/>
          <w:sz w:val="24"/>
        </w:rPr>
        <w:t>乙方进入校园的车辆和人员须遵守学校相关管理规定。</w:t>
      </w:r>
    </w:p>
    <w:p w14:paraId="67F9B5FA">
      <w:pPr>
        <w:numPr>
          <w:ilvl w:val="0"/>
          <w:numId w:val="5"/>
        </w:numPr>
        <w:spacing w:line="360" w:lineRule="auto"/>
        <w:rPr>
          <w:rFonts w:hint="eastAsia" w:ascii="宋体" w:hAnsi="宋体" w:cs="宋体"/>
          <w:color w:val="000000"/>
          <w:sz w:val="24"/>
        </w:rPr>
      </w:pPr>
      <w:r>
        <w:rPr>
          <w:rFonts w:hint="eastAsia" w:ascii="宋体" w:hAnsi="宋体" w:cs="宋体"/>
          <w:color w:val="000000"/>
          <w:sz w:val="24"/>
        </w:rPr>
        <w:t>乙方无故停止供应或将本合同有关权利义务转让给第三方，甲方有权不予结算未结货款，合同履约保证金不予退还，同时甲方可以立即解除合同。</w:t>
      </w:r>
    </w:p>
    <w:p w14:paraId="17B247B7">
      <w:pPr>
        <w:numPr>
          <w:ilvl w:val="0"/>
          <w:numId w:val="1"/>
        </w:numPr>
        <w:spacing w:line="360" w:lineRule="auto"/>
        <w:jc w:val="left"/>
        <w:rPr>
          <w:rFonts w:hint="eastAsia" w:ascii="宋体" w:hAnsi="宋体" w:cs="宋体"/>
          <w:b/>
          <w:bCs/>
          <w:color w:val="000000"/>
          <w:sz w:val="24"/>
        </w:rPr>
      </w:pPr>
      <w:r>
        <w:rPr>
          <w:rFonts w:hint="eastAsia" w:ascii="宋体" w:hAnsi="宋体" w:cs="宋体"/>
          <w:b/>
          <w:bCs/>
          <w:color w:val="000000"/>
          <w:sz w:val="24"/>
        </w:rPr>
        <w:t>其他约定事项</w:t>
      </w:r>
    </w:p>
    <w:p w14:paraId="6EF1AF3B">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招标文件和中标单位的投标文件作为双方签订合同的依据，并作为正式合同的附件，具有法律效力。各类文件的具体效力顺序为：供货合同、招标文件、投标文件。</w:t>
      </w:r>
    </w:p>
    <w:p w14:paraId="7BAF552F">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在履行过程中发生的争议，由双方当事人协商解决；协商不成的，依法向甲方所在人民法院提起诉讼。因诉讼产生的相关费用及开支（包括但不限于公证费、诉讼费、保全费、保全担保费、鉴定费、律师费、交通费用）均由败诉方承担。</w:t>
      </w:r>
    </w:p>
    <w:p w14:paraId="154499EC">
      <w:pPr>
        <w:numPr>
          <w:ilvl w:val="0"/>
          <w:numId w:val="9"/>
        </w:numPr>
        <w:spacing w:line="360" w:lineRule="auto"/>
        <w:rPr>
          <w:rFonts w:hint="eastAsia" w:ascii="宋体" w:hAnsi="宋体" w:cs="宋体"/>
          <w:color w:val="000000"/>
          <w:sz w:val="24"/>
        </w:rPr>
      </w:pPr>
      <w:r>
        <w:rPr>
          <w:rFonts w:hint="eastAsia" w:ascii="宋体" w:hAnsi="宋体" w:cs="宋体"/>
          <w:color w:val="000000"/>
          <w:sz w:val="24"/>
        </w:rPr>
        <w:t>本合同一式四份，甲方三份，乙方一份。</w:t>
      </w:r>
    </w:p>
    <w:p w14:paraId="277DB03B">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甲方：南京医科大学                       乙方：</w:t>
      </w:r>
    </w:p>
    <w:p w14:paraId="50E9D60A">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单位地址：                                单位地址：</w:t>
      </w:r>
    </w:p>
    <w:p w14:paraId="4D2C5227">
      <w:pPr>
        <w:spacing w:line="360" w:lineRule="auto"/>
        <w:ind w:firstLine="480" w:firstLineChars="200"/>
        <w:jc w:val="left"/>
        <w:rPr>
          <w:rFonts w:hint="eastAsia" w:ascii="宋体" w:hAnsi="宋体" w:cs="宋体"/>
          <w:color w:val="000000"/>
          <w:sz w:val="24"/>
        </w:rPr>
      </w:pPr>
      <w:r>
        <w:rPr>
          <w:rFonts w:hint="eastAsia" w:ascii="宋体" w:hAnsi="宋体" w:cs="宋体"/>
          <w:color w:val="000000"/>
          <w:sz w:val="24"/>
        </w:rPr>
        <w:t xml:space="preserve">江苏省南京市江宁区南京医科大学                        </w:t>
      </w:r>
    </w:p>
    <w:p w14:paraId="6A4F5432">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代表人：                             代表人：</w:t>
      </w:r>
    </w:p>
    <w:p w14:paraId="2DECF231">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联系电话：                           联系电话：</w:t>
      </w:r>
    </w:p>
    <w:p w14:paraId="6812B326">
      <w:pPr>
        <w:spacing w:line="360" w:lineRule="auto"/>
        <w:ind w:firstLine="480" w:firstLineChars="200"/>
        <w:rPr>
          <w:rFonts w:hint="eastAsia" w:ascii="宋体" w:hAnsi="宋体" w:cs="宋体"/>
          <w:color w:val="000000"/>
          <w:sz w:val="24"/>
        </w:rPr>
      </w:pPr>
      <w:r>
        <w:rPr>
          <w:rFonts w:hint="eastAsia" w:ascii="宋体" w:hAnsi="宋体" w:cs="宋体"/>
          <w:color w:val="000000"/>
          <w:sz w:val="24"/>
        </w:rPr>
        <w:t>签字时间：                           签字时间：</w:t>
      </w:r>
    </w:p>
    <w:p w14:paraId="1E85F021"/>
    <w:p w14:paraId="3AE66EC4">
      <w:pPr>
        <w:pStyle w:val="2"/>
      </w:pPr>
    </w:p>
    <w:p w14:paraId="527B7A05"/>
    <w:p w14:paraId="689367C4">
      <w:pPr>
        <w:pStyle w:val="2"/>
      </w:pPr>
    </w:p>
    <w:p w14:paraId="67E999DE"/>
    <w:p w14:paraId="62158040">
      <w:pPr>
        <w:pStyle w:val="2"/>
      </w:pPr>
    </w:p>
    <w:p w14:paraId="66574F0F"/>
    <w:p w14:paraId="321EC5FA">
      <w:pPr>
        <w:pStyle w:val="2"/>
      </w:pPr>
    </w:p>
    <w:p w14:paraId="0E99F54E"/>
    <w:p w14:paraId="1F7A3AC4">
      <w:pPr>
        <w:pStyle w:val="2"/>
      </w:pPr>
    </w:p>
    <w:p w14:paraId="6FA16C57">
      <w:pPr>
        <w:rPr>
          <w:rFonts w:hint="eastAsia"/>
          <w:lang w:val="en-US" w:eastAsia="zh-CN"/>
        </w:rPr>
      </w:pPr>
      <w:r>
        <w:rPr>
          <w:rFonts w:hint="eastAsia"/>
          <w:lang w:val="en-US" w:eastAsia="zh-CN"/>
        </w:rPr>
        <w:t>附件：</w:t>
      </w:r>
    </w:p>
    <w:tbl>
      <w:tblPr>
        <w:tblW w:w="831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812"/>
        <w:gridCol w:w="1132"/>
        <w:gridCol w:w="2066"/>
        <w:gridCol w:w="1428"/>
        <w:gridCol w:w="747"/>
        <w:gridCol w:w="920"/>
        <w:gridCol w:w="1213"/>
      </w:tblGrid>
      <w:tr w14:paraId="5FFD3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318" w:type="dxa"/>
            <w:gridSpan w:val="7"/>
            <w:tcBorders>
              <w:top w:val="nil"/>
              <w:left w:val="nil"/>
              <w:bottom w:val="nil"/>
              <w:right w:val="nil"/>
            </w:tcBorders>
            <w:shd w:val="clear"/>
            <w:noWrap/>
            <w:vAlign w:val="center"/>
          </w:tcPr>
          <w:p w14:paraId="47607D2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南京医科大学食堂大宗食材采购项目 包4：大米、面粉</w:t>
            </w:r>
            <w:r>
              <w:rPr>
                <w:rFonts w:hint="eastAsia" w:ascii="宋体" w:hAnsi="宋体" w:eastAsia="宋体" w:cs="宋体"/>
                <w:b/>
                <w:bCs/>
                <w:i w:val="0"/>
                <w:iCs w:val="0"/>
                <w:color w:val="000000"/>
                <w:kern w:val="0"/>
                <w:sz w:val="24"/>
                <w:szCs w:val="24"/>
                <w:u w:val="none"/>
                <w:bdr w:val="none" w:color="auto" w:sz="0" w:space="0"/>
                <w:lang w:val="en-US" w:eastAsia="zh-CN" w:bidi="ar"/>
              </w:rPr>
              <w:br w:type="textWrapping"/>
            </w:r>
            <w:r>
              <w:rPr>
                <w:rFonts w:hint="eastAsia" w:ascii="宋体" w:hAnsi="宋体" w:eastAsia="宋体" w:cs="宋体"/>
                <w:b/>
                <w:bCs/>
                <w:i w:val="0"/>
                <w:iCs w:val="0"/>
                <w:color w:val="000000"/>
                <w:kern w:val="0"/>
                <w:sz w:val="24"/>
                <w:szCs w:val="24"/>
                <w:u w:val="none"/>
                <w:bdr w:val="none" w:color="auto" w:sz="0" w:space="0"/>
                <w:lang w:val="en-US" w:eastAsia="zh-CN" w:bidi="ar"/>
              </w:rPr>
              <w:t>中标单价清单</w:t>
            </w:r>
          </w:p>
        </w:tc>
      </w:tr>
      <w:tr w14:paraId="6D4CA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71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序号</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291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品类</w:t>
            </w:r>
          </w:p>
        </w:tc>
        <w:tc>
          <w:tcPr>
            <w:tcW w:w="2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2F6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商品名称</w:t>
            </w:r>
          </w:p>
        </w:tc>
        <w:tc>
          <w:tcPr>
            <w:tcW w:w="1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AFC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投标品牌</w:t>
            </w: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2F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规格</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5CE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单位</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6F3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中标单价（元）</w:t>
            </w:r>
          </w:p>
        </w:tc>
      </w:tr>
      <w:tr w14:paraId="3C1E5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0" w:hRule="atLeast"/>
        </w:trPr>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4490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w:t>
            </w:r>
          </w:p>
        </w:tc>
        <w:tc>
          <w:tcPr>
            <w:tcW w:w="1132"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409BF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面粉</w:t>
            </w:r>
          </w:p>
        </w:tc>
        <w:tc>
          <w:tcPr>
            <w:tcW w:w="2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139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特制一等高筋面粉</w:t>
            </w:r>
          </w:p>
        </w:tc>
        <w:tc>
          <w:tcPr>
            <w:tcW w:w="1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301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五得利六星</w:t>
            </w: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D8A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847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EAF6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1.7</w:t>
            </w:r>
          </w:p>
        </w:tc>
      </w:tr>
      <w:tr w14:paraId="0F9A7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4CD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w:t>
            </w:r>
          </w:p>
        </w:tc>
        <w:tc>
          <w:tcPr>
            <w:tcW w:w="1132"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8C60C0">
            <w:pPr>
              <w:jc w:val="center"/>
              <w:rPr>
                <w:rFonts w:hint="eastAsia" w:ascii="宋体" w:hAnsi="宋体" w:eastAsia="宋体" w:cs="宋体"/>
                <w:i w:val="0"/>
                <w:iCs w:val="0"/>
                <w:color w:val="000000"/>
                <w:sz w:val="22"/>
                <w:szCs w:val="22"/>
                <w:u w:val="none"/>
              </w:rPr>
            </w:pPr>
          </w:p>
        </w:tc>
        <w:tc>
          <w:tcPr>
            <w:tcW w:w="2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88D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特制一</w:t>
            </w:r>
            <w:bookmarkStart w:id="0" w:name="_GoBack"/>
            <w:bookmarkEnd w:id="0"/>
            <w:r>
              <w:rPr>
                <w:rFonts w:hint="eastAsia" w:ascii="宋体" w:hAnsi="宋体" w:eastAsia="宋体" w:cs="宋体"/>
                <w:i w:val="0"/>
                <w:iCs w:val="0"/>
                <w:color w:val="000000"/>
                <w:kern w:val="0"/>
                <w:sz w:val="22"/>
                <w:szCs w:val="22"/>
                <w:u w:val="none"/>
                <w:bdr w:val="none" w:color="auto" w:sz="0" w:space="0"/>
                <w:lang w:val="en-US" w:eastAsia="zh-CN" w:bidi="ar"/>
              </w:rPr>
              <w:t>等中筋面粉</w:t>
            </w:r>
          </w:p>
        </w:tc>
        <w:tc>
          <w:tcPr>
            <w:tcW w:w="1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54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海悦特一</w:t>
            </w: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FC9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F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891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1.66</w:t>
            </w:r>
          </w:p>
        </w:tc>
      </w:tr>
      <w:tr w14:paraId="43293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00" w:hRule="atLeast"/>
        </w:trPr>
        <w:tc>
          <w:tcPr>
            <w:tcW w:w="81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8CE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3</w:t>
            </w:r>
          </w:p>
        </w:tc>
        <w:tc>
          <w:tcPr>
            <w:tcW w:w="11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56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大米</w:t>
            </w:r>
          </w:p>
        </w:tc>
        <w:tc>
          <w:tcPr>
            <w:tcW w:w="206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F00C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一级粳米</w:t>
            </w:r>
          </w:p>
        </w:tc>
        <w:tc>
          <w:tcPr>
            <w:tcW w:w="142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67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宝洁玉</w:t>
            </w:r>
          </w:p>
        </w:tc>
        <w:tc>
          <w:tcPr>
            <w:tcW w:w="74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A162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1*50斤</w:t>
            </w:r>
          </w:p>
        </w:tc>
        <w:tc>
          <w:tcPr>
            <w:tcW w:w="9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714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斤</w:t>
            </w:r>
          </w:p>
        </w:tc>
        <w:tc>
          <w:tcPr>
            <w:tcW w:w="121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99A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bdr w:val="none" w:color="auto" w:sz="0" w:space="0"/>
                <w:lang w:val="en-US" w:eastAsia="zh-CN" w:bidi="ar"/>
              </w:rPr>
              <w:t>2.02</w:t>
            </w:r>
          </w:p>
        </w:tc>
      </w:tr>
    </w:tbl>
    <w:p w14:paraId="2BC00C99">
      <w:pPr>
        <w:pStyle w:val="2"/>
        <w:rPr>
          <w:rFonts w:hint="eastAsia"/>
          <w:lang w:val="en-US" w:eastAsia="zh-CN"/>
        </w:rPr>
      </w:pPr>
    </w:p>
    <w:p w14:paraId="568C9580">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94A0C0"/>
    <w:multiLevelType w:val="singleLevel"/>
    <w:tmpl w:val="8594A0C0"/>
    <w:lvl w:ilvl="0" w:tentative="0">
      <w:start w:val="1"/>
      <w:numFmt w:val="chineseCounting"/>
      <w:suff w:val="nothing"/>
      <w:lvlText w:val="%1、"/>
      <w:lvlJc w:val="left"/>
      <w:pPr>
        <w:ind w:left="0" w:firstLine="420"/>
      </w:pPr>
      <w:rPr>
        <w:rFonts w:hint="eastAsia"/>
      </w:rPr>
    </w:lvl>
  </w:abstractNum>
  <w:abstractNum w:abstractNumId="1">
    <w:nsid w:val="8D5773AA"/>
    <w:multiLevelType w:val="singleLevel"/>
    <w:tmpl w:val="8D5773AA"/>
    <w:lvl w:ilvl="0" w:tentative="0">
      <w:start w:val="1"/>
      <w:numFmt w:val="decimal"/>
      <w:lvlText w:val="%1."/>
      <w:lvlJc w:val="left"/>
      <w:pPr>
        <w:ind w:left="425" w:hanging="425"/>
      </w:pPr>
      <w:rPr>
        <w:rFonts w:hint="default"/>
      </w:rPr>
    </w:lvl>
  </w:abstractNum>
  <w:abstractNum w:abstractNumId="2">
    <w:nsid w:val="9547D394"/>
    <w:multiLevelType w:val="singleLevel"/>
    <w:tmpl w:val="9547D394"/>
    <w:lvl w:ilvl="0" w:tentative="0">
      <w:start w:val="1"/>
      <w:numFmt w:val="decimal"/>
      <w:lvlText w:val="%1."/>
      <w:lvlJc w:val="left"/>
      <w:pPr>
        <w:ind w:left="425" w:hanging="425"/>
      </w:pPr>
      <w:rPr>
        <w:rFonts w:hint="default"/>
      </w:rPr>
    </w:lvl>
  </w:abstractNum>
  <w:abstractNum w:abstractNumId="3">
    <w:nsid w:val="A1E46426"/>
    <w:multiLevelType w:val="singleLevel"/>
    <w:tmpl w:val="A1E46426"/>
    <w:lvl w:ilvl="0" w:tentative="0">
      <w:start w:val="1"/>
      <w:numFmt w:val="chineseCounting"/>
      <w:suff w:val="nothing"/>
      <w:lvlText w:val="（%1）"/>
      <w:lvlJc w:val="left"/>
      <w:pPr>
        <w:ind w:left="0" w:firstLine="420"/>
      </w:pPr>
      <w:rPr>
        <w:rFonts w:hint="eastAsia"/>
      </w:rPr>
    </w:lvl>
  </w:abstractNum>
  <w:abstractNum w:abstractNumId="4">
    <w:nsid w:val="A22CB9E5"/>
    <w:multiLevelType w:val="singleLevel"/>
    <w:tmpl w:val="A22CB9E5"/>
    <w:lvl w:ilvl="0" w:tentative="0">
      <w:start w:val="1"/>
      <w:numFmt w:val="chineseCounting"/>
      <w:suff w:val="nothing"/>
      <w:lvlText w:val="（%1）"/>
      <w:lvlJc w:val="left"/>
      <w:pPr>
        <w:ind w:left="0" w:firstLine="420"/>
      </w:pPr>
      <w:rPr>
        <w:rFonts w:hint="eastAsia"/>
      </w:rPr>
    </w:lvl>
  </w:abstractNum>
  <w:abstractNum w:abstractNumId="5">
    <w:nsid w:val="EFD5747A"/>
    <w:multiLevelType w:val="singleLevel"/>
    <w:tmpl w:val="EFD5747A"/>
    <w:lvl w:ilvl="0" w:tentative="0">
      <w:start w:val="1"/>
      <w:numFmt w:val="chineseCounting"/>
      <w:suff w:val="nothing"/>
      <w:lvlText w:val="（%1）"/>
      <w:lvlJc w:val="left"/>
      <w:pPr>
        <w:ind w:left="0" w:firstLine="420"/>
      </w:pPr>
      <w:rPr>
        <w:rFonts w:hint="eastAsia"/>
      </w:rPr>
    </w:lvl>
  </w:abstractNum>
  <w:abstractNum w:abstractNumId="6">
    <w:nsid w:val="08B6E6F9"/>
    <w:multiLevelType w:val="singleLevel"/>
    <w:tmpl w:val="08B6E6F9"/>
    <w:lvl w:ilvl="0" w:tentative="0">
      <w:start w:val="1"/>
      <w:numFmt w:val="chineseCounting"/>
      <w:suff w:val="nothing"/>
      <w:lvlText w:val="（%1）"/>
      <w:lvlJc w:val="left"/>
      <w:pPr>
        <w:ind w:left="0" w:firstLine="420"/>
      </w:pPr>
      <w:rPr>
        <w:rFonts w:hint="eastAsia"/>
      </w:rPr>
    </w:lvl>
  </w:abstractNum>
  <w:abstractNum w:abstractNumId="7">
    <w:nsid w:val="4C9DE884"/>
    <w:multiLevelType w:val="singleLevel"/>
    <w:tmpl w:val="4C9DE884"/>
    <w:lvl w:ilvl="0" w:tentative="0">
      <w:start w:val="1"/>
      <w:numFmt w:val="decimal"/>
      <w:lvlText w:val="%1."/>
      <w:lvlJc w:val="left"/>
      <w:pPr>
        <w:ind w:left="425" w:hanging="425"/>
      </w:pPr>
      <w:rPr>
        <w:rFonts w:hint="default"/>
      </w:rPr>
    </w:lvl>
  </w:abstractNum>
  <w:abstractNum w:abstractNumId="8">
    <w:nsid w:val="4E0F3C9A"/>
    <w:multiLevelType w:val="singleLevel"/>
    <w:tmpl w:val="4E0F3C9A"/>
    <w:lvl w:ilvl="0" w:tentative="0">
      <w:start w:val="1"/>
      <w:numFmt w:val="chineseCounting"/>
      <w:suff w:val="nothing"/>
      <w:lvlText w:val="（%1）"/>
      <w:lvlJc w:val="left"/>
      <w:pPr>
        <w:ind w:left="0" w:firstLine="420"/>
      </w:pPr>
      <w:rPr>
        <w:rFonts w:hint="eastAsia"/>
      </w:rPr>
    </w:lvl>
  </w:abstractNum>
  <w:num w:numId="1">
    <w:abstractNumId w:val="0"/>
  </w:num>
  <w:num w:numId="2">
    <w:abstractNumId w:val="3"/>
  </w:num>
  <w:num w:numId="3">
    <w:abstractNumId w:val="8"/>
  </w:num>
  <w:num w:numId="4">
    <w:abstractNumId w:val="5"/>
  </w:num>
  <w:num w:numId="5">
    <w:abstractNumId w:val="6"/>
  </w:num>
  <w:num w:numId="6">
    <w:abstractNumId w:val="1"/>
  </w:num>
  <w:num w:numId="7">
    <w:abstractNumId w:val="7"/>
  </w:num>
  <w:num w:numId="8">
    <w:abstractNumId w:val="2"/>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017F62"/>
    <w:rsid w:val="0003274F"/>
    <w:rsid w:val="000E622D"/>
    <w:rsid w:val="001807DB"/>
    <w:rsid w:val="003E4FAD"/>
    <w:rsid w:val="00526536"/>
    <w:rsid w:val="00570A9A"/>
    <w:rsid w:val="005B1381"/>
    <w:rsid w:val="00753011"/>
    <w:rsid w:val="00A651FB"/>
    <w:rsid w:val="00CC77D2"/>
    <w:rsid w:val="00DB0705"/>
    <w:rsid w:val="00EA3135"/>
    <w:rsid w:val="0ED32660"/>
    <w:rsid w:val="0F8C6010"/>
    <w:rsid w:val="111B7B9E"/>
    <w:rsid w:val="13C77D88"/>
    <w:rsid w:val="16BC7E7D"/>
    <w:rsid w:val="17984446"/>
    <w:rsid w:val="18333768"/>
    <w:rsid w:val="25010FCF"/>
    <w:rsid w:val="29512388"/>
    <w:rsid w:val="3DBA0E7D"/>
    <w:rsid w:val="3E9B4698"/>
    <w:rsid w:val="3F1E3C34"/>
    <w:rsid w:val="46000B9B"/>
    <w:rsid w:val="5D373386"/>
    <w:rsid w:val="61431A24"/>
    <w:rsid w:val="61A30588"/>
    <w:rsid w:val="659F6A49"/>
    <w:rsid w:val="680B78E9"/>
    <w:rsid w:val="71257C6E"/>
    <w:rsid w:val="747D391D"/>
    <w:rsid w:val="7C2C72DA"/>
    <w:rsid w:val="7CB43C54"/>
    <w:rsid w:val="7F017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1"/>
      <w:sz w:val="21"/>
      <w:szCs w:val="24"/>
      <w:lang w:val="en-US" w:eastAsia="zh-CN" w:bidi="ar-SA"/>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style>
  <w:style w:type="paragraph" w:styleId="3">
    <w:name w:val="annotation text"/>
    <w:basedOn w:val="1"/>
    <w:link w:val="18"/>
    <w:qFormat/>
    <w:uiPriority w:val="0"/>
    <w:pPr>
      <w:jc w:val="left"/>
    </w:pPr>
  </w:style>
  <w:style w:type="paragraph" w:styleId="4">
    <w:name w:val="Body Text"/>
    <w:basedOn w:val="1"/>
    <w:qFormat/>
    <w:uiPriority w:val="0"/>
    <w:pPr>
      <w:spacing w:after="120"/>
    </w:pPr>
    <w:rPr>
      <w:sz w:val="24"/>
    </w:rPr>
  </w:style>
  <w:style w:type="paragraph" w:styleId="5">
    <w:name w:val="Body Text Indent"/>
    <w:basedOn w:val="1"/>
    <w:next w:val="1"/>
    <w:qFormat/>
    <w:uiPriority w:val="0"/>
    <w:pPr>
      <w:spacing w:after="120"/>
      <w:ind w:left="420"/>
    </w:pPr>
    <w:rPr>
      <w:sz w:val="24"/>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tabs>
        <w:tab w:val="center" w:pos="4153"/>
        <w:tab w:val="right" w:pos="8306"/>
      </w:tabs>
      <w:snapToGrid w:val="0"/>
      <w:jc w:val="center"/>
    </w:pPr>
    <w:rPr>
      <w:sz w:val="18"/>
      <w:szCs w:val="18"/>
    </w:rPr>
  </w:style>
  <w:style w:type="paragraph" w:styleId="8">
    <w:name w:val="annotation subject"/>
    <w:basedOn w:val="3"/>
    <w:next w:val="3"/>
    <w:link w:val="19"/>
    <w:qFormat/>
    <w:uiPriority w:val="0"/>
    <w:rPr>
      <w:b/>
      <w:bCs/>
    </w:rPr>
  </w:style>
  <w:style w:type="paragraph" w:styleId="9">
    <w:name w:val="Body Text First Indent"/>
    <w:basedOn w:val="4"/>
    <w:qFormat/>
    <w:uiPriority w:val="0"/>
    <w:pPr>
      <w:ind w:firstLine="420"/>
    </w:pPr>
    <w:rPr>
      <w:sz w:val="21"/>
    </w:rPr>
  </w:style>
  <w:style w:type="paragraph" w:styleId="10">
    <w:name w:val="Body Text First Indent 2"/>
    <w:basedOn w:val="5"/>
    <w:next w:val="9"/>
    <w:qFormat/>
    <w:uiPriority w:val="0"/>
    <w:pPr>
      <w:spacing w:line="360" w:lineRule="auto"/>
      <w:ind w:firstLine="420"/>
    </w:pPr>
    <w:rPr>
      <w:rFonts w:ascii="宋体" w:hAnsi="宋体"/>
    </w:rPr>
  </w:style>
  <w:style w:type="character" w:styleId="13">
    <w:name w:val="annotation reference"/>
    <w:basedOn w:val="12"/>
    <w:qFormat/>
    <w:uiPriority w:val="0"/>
    <w:rPr>
      <w:sz w:val="21"/>
      <w:szCs w:val="21"/>
    </w:rPr>
  </w:style>
  <w:style w:type="character" w:customStyle="1" w:styleId="14">
    <w:name w:val="font01"/>
    <w:basedOn w:val="12"/>
    <w:qFormat/>
    <w:uiPriority w:val="0"/>
    <w:rPr>
      <w:rFonts w:hint="eastAsia" w:ascii="宋体" w:hAnsi="宋体" w:eastAsia="宋体" w:cs="宋体"/>
      <w:color w:val="000000"/>
      <w:sz w:val="22"/>
      <w:szCs w:val="22"/>
      <w:u w:val="none"/>
    </w:rPr>
  </w:style>
  <w:style w:type="character" w:customStyle="1" w:styleId="15">
    <w:name w:val="页眉 字符"/>
    <w:basedOn w:val="12"/>
    <w:link w:val="7"/>
    <w:qFormat/>
    <w:uiPriority w:val="0"/>
    <w:rPr>
      <w:kern w:val="1"/>
      <w:sz w:val="18"/>
      <w:szCs w:val="18"/>
    </w:rPr>
  </w:style>
  <w:style w:type="character" w:customStyle="1" w:styleId="16">
    <w:name w:val="页脚 字符"/>
    <w:basedOn w:val="12"/>
    <w:link w:val="6"/>
    <w:qFormat/>
    <w:uiPriority w:val="0"/>
    <w:rPr>
      <w:kern w:val="1"/>
      <w:sz w:val="18"/>
      <w:szCs w:val="18"/>
    </w:rPr>
  </w:style>
  <w:style w:type="paragraph" w:customStyle="1" w:styleId="17">
    <w:name w:val="Revision"/>
    <w:hidden/>
    <w:unhideWhenUsed/>
    <w:qFormat/>
    <w:uiPriority w:val="99"/>
    <w:rPr>
      <w:rFonts w:ascii="Times New Roman" w:hAnsi="Times New Roman" w:eastAsia="宋体" w:cs="Times New Roman"/>
      <w:kern w:val="1"/>
      <w:sz w:val="21"/>
      <w:szCs w:val="24"/>
      <w:lang w:val="en-US" w:eastAsia="zh-CN" w:bidi="ar-SA"/>
    </w:rPr>
  </w:style>
  <w:style w:type="character" w:customStyle="1" w:styleId="18">
    <w:name w:val="批注文字 字符"/>
    <w:basedOn w:val="12"/>
    <w:link w:val="3"/>
    <w:qFormat/>
    <w:uiPriority w:val="0"/>
    <w:rPr>
      <w:kern w:val="1"/>
      <w:sz w:val="21"/>
      <w:szCs w:val="24"/>
    </w:rPr>
  </w:style>
  <w:style w:type="character" w:customStyle="1" w:styleId="19">
    <w:name w:val="批注主题 字符"/>
    <w:basedOn w:val="18"/>
    <w:link w:val="8"/>
    <w:qFormat/>
    <w:uiPriority w:val="0"/>
    <w:rPr>
      <w:b/>
      <w:bCs/>
      <w:kern w:val="1"/>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3345</Words>
  <Characters>3401</Characters>
  <Lines>41</Lines>
  <Paragraphs>11</Paragraphs>
  <TotalTime>5</TotalTime>
  <ScaleCrop>false</ScaleCrop>
  <LinksUpToDate>false</LinksUpToDate>
  <CharactersWithSpaces>3567</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2025-03-26T00:55:00Z</dcterms:created>
  <dc:creator>吱屋猪</dc:creator>
  <cp:lastModifiedBy>吱屋猪</cp:lastModifiedBy>
  <cp:lastPrinted>2025-03-31T07:09:00Z</cp:lastPrinted>
  <dcterms:modified xsi:type="dcterms:W3CDTF">2025-04-01T01:26:40Z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5FE14741A710432D8A47B087C1418ABB_13</vt:lpwstr>
  </property>
  <property fmtid="{D5CDD505-2E9C-101B-9397-08002B2CF9AE}" pid="4" name="KSOTemplateDocerSaveRecord">
    <vt:lpwstr>eyJoZGlkIjoiYjU4ZWUzYWU0ZjNkYWYwM2QyYzcxZjE4ZWE3MTk0OTciLCJ1c2VySWQiOiIxMjYxMjAwNjM3In0=</vt:lpwstr>
  </property>
</Properties>
</file>