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393856">
      <w:pPr>
        <w:pBdr>
          <w:top w:val="none" w:color="000000" w:sz="0" w:space="0"/>
          <w:left w:val="none" w:color="000000" w:sz="0" w:space="0"/>
          <w:bottom w:val="none" w:color="000000" w:sz="0" w:space="0"/>
          <w:right w:val="none" w:color="000000" w:sz="0" w:space="0"/>
        </w:pBdr>
        <w:spacing w:line="113" w:lineRule="atLeast"/>
        <w:jc w:val="center"/>
        <w:rPr>
          <w:rFonts w:ascii="宋体" w:hAnsi="宋体" w:cs="宋体"/>
          <w:b/>
          <w:sz w:val="48"/>
        </w:rPr>
      </w:pPr>
    </w:p>
    <w:p w14:paraId="6A7A305E">
      <w:pPr>
        <w:pBdr>
          <w:top w:val="none" w:color="000000" w:sz="0" w:space="0"/>
          <w:left w:val="none" w:color="000000" w:sz="0" w:space="0"/>
          <w:bottom w:val="none" w:color="000000" w:sz="0" w:space="0"/>
          <w:right w:val="none" w:color="000000" w:sz="0" w:space="0"/>
        </w:pBdr>
        <w:spacing w:line="113" w:lineRule="atLeast"/>
        <w:jc w:val="center"/>
        <w:rPr>
          <w:rFonts w:ascii="宋体" w:hAnsi="宋体" w:cs="宋体"/>
          <w:b/>
          <w:sz w:val="48"/>
        </w:rPr>
      </w:pPr>
    </w:p>
    <w:p w14:paraId="1FAED132">
      <w:pPr>
        <w:pBdr>
          <w:top w:val="none" w:color="000000" w:sz="0" w:space="0"/>
          <w:left w:val="none" w:color="000000" w:sz="0" w:space="0"/>
          <w:bottom w:val="none" w:color="000000" w:sz="0" w:space="0"/>
          <w:right w:val="none" w:color="000000" w:sz="0" w:space="0"/>
        </w:pBdr>
        <w:spacing w:line="113" w:lineRule="atLeast"/>
        <w:jc w:val="center"/>
      </w:pPr>
      <w:r>
        <w:rPr>
          <w:rFonts w:hint="eastAsia" w:ascii="宋体" w:hAnsi="宋体" w:cs="宋体"/>
          <w:b/>
          <w:sz w:val="48"/>
        </w:rPr>
        <w:t>大丰区村卫生室心电检查设备采购项目</w:t>
      </w:r>
    </w:p>
    <w:p w14:paraId="640AA948">
      <w:pPr>
        <w:pBdr>
          <w:top w:val="none" w:color="000000" w:sz="0" w:space="0"/>
          <w:left w:val="none" w:color="000000" w:sz="0" w:space="0"/>
          <w:bottom w:val="none" w:color="000000" w:sz="0" w:space="0"/>
          <w:right w:val="none" w:color="000000" w:sz="0" w:space="0"/>
        </w:pBdr>
        <w:spacing w:line="113" w:lineRule="atLeast"/>
      </w:pPr>
      <w:r>
        <w:rPr>
          <w:rFonts w:ascii="宋体" w:hAnsi="宋体" w:cs="宋体"/>
          <w:b/>
          <w:sz w:val="48"/>
        </w:rPr>
        <w:t> </w:t>
      </w:r>
    </w:p>
    <w:p w14:paraId="2E1A836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48"/>
        </w:rPr>
        <w:t> </w:t>
      </w:r>
    </w:p>
    <w:p w14:paraId="4742EA41">
      <w:pPr>
        <w:pBdr>
          <w:top w:val="none" w:color="000000" w:sz="0" w:space="0"/>
          <w:left w:val="none" w:color="000000" w:sz="0" w:space="0"/>
          <w:bottom w:val="none" w:color="000000" w:sz="0" w:space="0"/>
          <w:right w:val="none" w:color="000000" w:sz="0" w:space="0"/>
        </w:pBdr>
        <w:spacing w:line="85" w:lineRule="atLeast"/>
      </w:pPr>
      <w:r>
        <w:rPr>
          <w:rFonts w:ascii="宋体" w:hAnsi="宋体" w:cs="宋体"/>
          <w:sz w:val="72"/>
        </w:rPr>
        <w:t> </w:t>
      </w:r>
    </w:p>
    <w:p w14:paraId="62B4E4CF">
      <w:pPr>
        <w:pBdr>
          <w:top w:val="none" w:color="000000" w:sz="0" w:space="0"/>
          <w:left w:val="none" w:color="000000" w:sz="0" w:space="0"/>
          <w:bottom w:val="none" w:color="000000" w:sz="0" w:space="0"/>
          <w:right w:val="none" w:color="000000" w:sz="0" w:space="0"/>
        </w:pBdr>
        <w:spacing w:before="240" w:after="240"/>
      </w:pPr>
      <w:r>
        <w:rPr>
          <w:rFonts w:ascii="宋体" w:hAnsi="宋体" w:cs="宋体"/>
          <w:b/>
          <w:sz w:val="24"/>
        </w:rPr>
        <w:t> </w:t>
      </w:r>
    </w:p>
    <w:p w14:paraId="636AC5AF">
      <w:pPr>
        <w:pBdr>
          <w:top w:val="none" w:color="000000" w:sz="0" w:space="0"/>
          <w:left w:val="none" w:color="000000" w:sz="0" w:space="0"/>
          <w:bottom w:val="none" w:color="000000" w:sz="0" w:space="0"/>
          <w:right w:val="none" w:color="000000" w:sz="0" w:space="0"/>
        </w:pBdr>
        <w:spacing w:line="315" w:lineRule="atLeast"/>
        <w:ind w:firstLine="420"/>
      </w:pPr>
      <w:r>
        <w:rPr>
          <w:rFonts w:ascii="宋体" w:hAnsi="宋体" w:cs="宋体"/>
        </w:rPr>
        <w:t> </w:t>
      </w:r>
    </w:p>
    <w:p w14:paraId="4544E22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84"/>
        </w:rPr>
        <w:t>招 标 文 件</w:t>
      </w:r>
    </w:p>
    <w:p w14:paraId="3FE3ED7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sz w:val="28"/>
        </w:rPr>
        <w:t> </w:t>
      </w:r>
    </w:p>
    <w:p w14:paraId="436EC02E">
      <w:pPr>
        <w:pBdr>
          <w:top w:val="none" w:color="000000" w:sz="0" w:space="0"/>
          <w:left w:val="none" w:color="000000" w:sz="0" w:space="0"/>
          <w:bottom w:val="none" w:color="000000" w:sz="0" w:space="0"/>
          <w:right w:val="none" w:color="000000" w:sz="0" w:space="0"/>
        </w:pBdr>
        <w:spacing w:line="85" w:lineRule="atLeast"/>
        <w:rPr>
          <w:rFonts w:ascii="宋体" w:hAnsi="宋体" w:cs="宋体"/>
          <w:b/>
          <w:sz w:val="32"/>
        </w:rPr>
      </w:pPr>
      <w:r>
        <w:rPr>
          <w:rFonts w:ascii="宋体" w:hAnsi="宋体" w:cs="宋体"/>
          <w:b/>
          <w:sz w:val="32"/>
        </w:rPr>
        <w:t> </w:t>
      </w:r>
    </w:p>
    <w:p w14:paraId="100219D9">
      <w:pPr>
        <w:pStyle w:val="40"/>
      </w:pPr>
    </w:p>
    <w:p w14:paraId="7A18A9DD">
      <w:pPr>
        <w:pBdr>
          <w:top w:val="none" w:color="000000" w:sz="0" w:space="0"/>
          <w:left w:val="none" w:color="000000" w:sz="0" w:space="0"/>
          <w:bottom w:val="none" w:color="000000" w:sz="0" w:space="0"/>
          <w:right w:val="none" w:color="000000" w:sz="0" w:space="0"/>
        </w:pBdr>
        <w:spacing w:line="85" w:lineRule="atLeast"/>
        <w:jc w:val="center"/>
        <w:rPr>
          <w:rFonts w:hint="eastAsia" w:eastAsia="宋体"/>
          <w:lang w:eastAsia="zh-CN"/>
        </w:rPr>
      </w:pPr>
      <w:r>
        <w:rPr>
          <w:rFonts w:ascii="宋体" w:hAnsi="宋体" w:cs="宋体"/>
          <w:b/>
          <w:sz w:val="32"/>
        </w:rPr>
        <w:t>项目编号：</w:t>
      </w:r>
      <w:r>
        <w:rPr>
          <w:rFonts w:hint="eastAsia" w:ascii="宋体" w:hAnsi="宋体" w:cs="宋体"/>
          <w:b/>
          <w:sz w:val="32"/>
          <w:lang w:eastAsia="zh-CN"/>
        </w:rPr>
        <w:t>JSZC-320904-JSYF-G2026-0016</w:t>
      </w:r>
    </w:p>
    <w:p w14:paraId="13162EDC">
      <w:pPr>
        <w:pBdr>
          <w:top w:val="none" w:color="000000" w:sz="0" w:space="0"/>
          <w:left w:val="none" w:color="000000" w:sz="0" w:space="0"/>
          <w:bottom w:val="none" w:color="000000" w:sz="0" w:space="0"/>
          <w:right w:val="none" w:color="000000" w:sz="0" w:space="0"/>
        </w:pBdr>
        <w:spacing w:line="85" w:lineRule="atLeast"/>
      </w:pPr>
      <w:r>
        <w:rPr>
          <w:rFonts w:ascii="宋体" w:hAnsi="宋体" w:cs="宋体"/>
          <w:sz w:val="28"/>
        </w:rPr>
        <w:t> </w:t>
      </w:r>
    </w:p>
    <w:p w14:paraId="5383D4E8">
      <w:pPr>
        <w:pBdr>
          <w:top w:val="none" w:color="000000" w:sz="0" w:space="0"/>
          <w:left w:val="none" w:color="000000" w:sz="0" w:space="0"/>
          <w:bottom w:val="none" w:color="000000" w:sz="0" w:space="0"/>
          <w:right w:val="none" w:color="000000" w:sz="0" w:space="0"/>
        </w:pBdr>
        <w:spacing w:line="85" w:lineRule="atLeast"/>
      </w:pPr>
      <w:r>
        <w:rPr>
          <w:rFonts w:ascii="宋体" w:hAnsi="宋体" w:cs="宋体"/>
          <w:sz w:val="28"/>
        </w:rPr>
        <w:t> </w:t>
      </w:r>
    </w:p>
    <w:p w14:paraId="57E1F3D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13C6DEE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7855C1A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4B904D2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56610BE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056F17A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2724904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sz w:val="28"/>
        </w:rPr>
        <w:t> </w:t>
      </w:r>
    </w:p>
    <w:p w14:paraId="7CC4088D">
      <w:pPr>
        <w:pBdr>
          <w:top w:val="none" w:color="000000" w:sz="0" w:space="0"/>
          <w:left w:val="none" w:color="000000" w:sz="0" w:space="0"/>
          <w:bottom w:val="none" w:color="000000" w:sz="0" w:space="0"/>
          <w:right w:val="none" w:color="000000" w:sz="0" w:space="0"/>
        </w:pBdr>
        <w:ind w:firstLine="420"/>
      </w:pPr>
      <w:r>
        <w:rPr>
          <w:rFonts w:ascii="宋体" w:hAnsi="宋体" w:cs="宋体"/>
          <w:sz w:val="28"/>
        </w:rPr>
        <w:t> </w:t>
      </w:r>
    </w:p>
    <w:p w14:paraId="5717978E">
      <w:pPr>
        <w:pBdr>
          <w:top w:val="none" w:color="000000" w:sz="0" w:space="0"/>
          <w:left w:val="none" w:color="000000" w:sz="0" w:space="0"/>
          <w:bottom w:val="none" w:color="000000" w:sz="0" w:space="0"/>
          <w:right w:val="none" w:color="000000" w:sz="0" w:space="0"/>
        </w:pBdr>
        <w:spacing w:line="85" w:lineRule="atLeast"/>
      </w:pPr>
      <w:r>
        <w:rPr>
          <w:rFonts w:ascii="宋体" w:hAnsi="宋体" w:cs="宋体"/>
          <w:b/>
          <w:sz w:val="32"/>
        </w:rPr>
        <w:t> </w:t>
      </w:r>
    </w:p>
    <w:p w14:paraId="127752D3">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32"/>
        </w:rPr>
        <w:t>招标人：</w:t>
      </w:r>
      <w:r>
        <w:rPr>
          <w:rFonts w:ascii="宋体" w:hAnsi="宋体" w:cs="宋体"/>
          <w:b/>
          <w:sz w:val="32"/>
          <w:u w:val="single"/>
        </w:rPr>
        <w:t>盐城市大丰区卫生健康委员会</w:t>
      </w:r>
    </w:p>
    <w:p w14:paraId="0430379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32"/>
        </w:rPr>
        <w:t>招标代理机构：</w:t>
      </w:r>
      <w:r>
        <w:rPr>
          <w:rFonts w:ascii="宋体" w:hAnsi="宋体" w:cs="宋体"/>
          <w:b/>
          <w:sz w:val="32"/>
          <w:u w:val="single"/>
        </w:rPr>
        <w:t>江苏昱丰华项目管理有限公司</w:t>
      </w:r>
    </w:p>
    <w:p w14:paraId="479A385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 w:val="32"/>
          <w:szCs w:val="32"/>
        </w:rPr>
      </w:pPr>
      <w:r>
        <w:rPr>
          <w:rFonts w:ascii="宋体" w:hAnsi="宋体" w:cs="宋体"/>
          <w:b/>
          <w:sz w:val="32"/>
        </w:rPr>
        <w:t>日  期：202</w:t>
      </w:r>
      <w:r>
        <w:rPr>
          <w:rFonts w:hint="eastAsia" w:ascii="宋体" w:hAnsi="宋体" w:cs="宋体"/>
          <w:b/>
          <w:sz w:val="32"/>
        </w:rPr>
        <w:t>6</w:t>
      </w:r>
      <w:r>
        <w:rPr>
          <w:rFonts w:ascii="宋体" w:hAnsi="宋体" w:cs="宋体"/>
          <w:b/>
          <w:sz w:val="32"/>
        </w:rPr>
        <w:t>年</w:t>
      </w:r>
      <w:r>
        <w:rPr>
          <w:rFonts w:hint="eastAsia" w:ascii="宋体" w:hAnsi="宋体" w:cs="宋体"/>
          <w:b/>
          <w:sz w:val="32"/>
          <w:lang w:val="en-US" w:eastAsia="zh-CN"/>
        </w:rPr>
        <w:t>8</w:t>
      </w:r>
      <w:r>
        <w:rPr>
          <w:rFonts w:ascii="宋体" w:hAnsi="宋体" w:cs="宋体"/>
          <w:b/>
          <w:sz w:val="32"/>
        </w:rPr>
        <w:t>月</w:t>
      </w:r>
    </w:p>
    <w:p w14:paraId="6E4673A1">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36"/>
        </w:rPr>
        <w:t>总目录</w:t>
      </w:r>
    </w:p>
    <w:p w14:paraId="3C61787E">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 xml:space="preserve">招标公告……………………………………………3 </w:t>
      </w:r>
    </w:p>
    <w:p w14:paraId="039096FE">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投标人须知………………………………………6  </w:t>
      </w:r>
    </w:p>
    <w:p w14:paraId="2FB93E9F">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合同条款及格式……………………………………19</w:t>
      </w:r>
    </w:p>
    <w:p w14:paraId="63D775C9">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采购需求……………………………………………24</w:t>
      </w:r>
    </w:p>
    <w:p w14:paraId="0E8911A4">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定标原则与评标标准………………………………30</w:t>
      </w:r>
    </w:p>
    <w:p w14:paraId="5C83EF56">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投标文件格式………………………………………33</w:t>
      </w:r>
    </w:p>
    <w:p w14:paraId="4AEE8073">
      <w:pPr>
        <w:pStyle w:val="5"/>
        <w:pBdr>
          <w:top w:val="none" w:color="000000" w:sz="0" w:space="0"/>
          <w:left w:val="none" w:color="000000" w:sz="0" w:space="0"/>
          <w:bottom w:val="none" w:color="000000" w:sz="0" w:space="0"/>
          <w:right w:val="none" w:color="000000" w:sz="0" w:space="0"/>
        </w:pBdr>
        <w:spacing w:before="0" w:after="0"/>
        <w:jc w:val="center"/>
      </w:pPr>
      <w:r>
        <w:rPr>
          <w:rFonts w:ascii="黑体" w:hAnsi="黑体" w:eastAsia="黑体" w:cs="黑体"/>
          <w:b/>
          <w:sz w:val="44"/>
        </w:rPr>
        <w:t> </w:t>
      </w:r>
    </w:p>
    <w:p w14:paraId="776A1B98">
      <w:pPr>
        <w:pStyle w:val="5"/>
        <w:pBdr>
          <w:top w:val="none" w:color="000000" w:sz="0" w:space="0"/>
          <w:left w:val="none" w:color="000000" w:sz="0" w:space="0"/>
          <w:bottom w:val="none" w:color="000000" w:sz="0" w:space="0"/>
          <w:right w:val="none" w:color="000000" w:sz="0" w:space="0"/>
        </w:pBdr>
        <w:spacing w:before="0" w:after="0"/>
        <w:jc w:val="center"/>
      </w:pPr>
      <w:r>
        <w:rPr>
          <w:rFonts w:ascii="黑体" w:hAnsi="黑体" w:eastAsia="黑体" w:cs="黑体"/>
          <w:b/>
          <w:sz w:val="44"/>
        </w:rPr>
        <w:t> </w:t>
      </w:r>
    </w:p>
    <w:p w14:paraId="20CC2CA4">
      <w:pPr>
        <w:pBdr>
          <w:top w:val="none" w:color="000000" w:sz="0" w:space="0"/>
          <w:left w:val="none" w:color="000000" w:sz="0" w:space="0"/>
          <w:bottom w:val="none" w:color="000000" w:sz="0" w:space="0"/>
          <w:right w:val="none" w:color="000000" w:sz="0" w:space="0"/>
        </w:pBdr>
      </w:pPr>
      <w:r>
        <w:rPr>
          <w:rFonts w:ascii="宋体" w:hAnsi="宋体" w:cs="宋体"/>
        </w:rPr>
        <w:t> </w:t>
      </w:r>
    </w:p>
    <w:p w14:paraId="18FEA865">
      <w:pPr>
        <w:pBdr>
          <w:top w:val="none" w:color="000000" w:sz="0" w:space="0"/>
          <w:left w:val="none" w:color="000000" w:sz="0" w:space="0"/>
          <w:bottom w:val="none" w:color="000000" w:sz="0" w:space="0"/>
          <w:right w:val="none" w:color="000000" w:sz="0" w:space="0"/>
        </w:pBdr>
      </w:pPr>
      <w:r>
        <w:rPr>
          <w:rFonts w:ascii="宋体" w:hAnsi="宋体" w:cs="宋体"/>
        </w:rPr>
        <w:t> </w:t>
      </w:r>
    </w:p>
    <w:p w14:paraId="4D1DD166">
      <w:pPr>
        <w:pBdr>
          <w:top w:val="none" w:color="000000" w:sz="0" w:space="0"/>
          <w:left w:val="none" w:color="000000" w:sz="0" w:space="0"/>
          <w:bottom w:val="none" w:color="000000" w:sz="0" w:space="0"/>
          <w:right w:val="none" w:color="000000" w:sz="0" w:space="0"/>
        </w:pBdr>
      </w:pPr>
      <w:r>
        <w:rPr>
          <w:rFonts w:ascii="宋体" w:hAnsi="宋体" w:cs="宋体"/>
        </w:rPr>
        <w:t> </w:t>
      </w:r>
    </w:p>
    <w:p w14:paraId="5ADD2919">
      <w:pPr>
        <w:pBdr>
          <w:top w:val="none" w:color="000000" w:sz="0" w:space="0"/>
          <w:left w:val="none" w:color="000000" w:sz="0" w:space="0"/>
          <w:bottom w:val="none" w:color="000000" w:sz="0" w:space="0"/>
          <w:right w:val="none" w:color="000000" w:sz="0" w:space="0"/>
        </w:pBdr>
      </w:pPr>
      <w:r>
        <w:rPr>
          <w:rFonts w:ascii="宋体" w:hAnsi="宋体" w:cs="宋体"/>
        </w:rPr>
        <w:t> </w:t>
      </w:r>
    </w:p>
    <w:p w14:paraId="2785BD31">
      <w:pPr>
        <w:pBdr>
          <w:top w:val="none" w:color="000000" w:sz="0" w:space="0"/>
          <w:left w:val="none" w:color="000000" w:sz="0" w:space="0"/>
          <w:bottom w:val="none" w:color="000000" w:sz="0" w:space="0"/>
          <w:right w:val="none" w:color="000000" w:sz="0" w:space="0"/>
        </w:pBdr>
      </w:pPr>
      <w:r>
        <w:rPr>
          <w:rFonts w:ascii="宋体" w:hAnsi="宋体" w:cs="宋体"/>
        </w:rPr>
        <w:t> </w:t>
      </w:r>
    </w:p>
    <w:p w14:paraId="60EADA9A">
      <w:pPr>
        <w:pBdr>
          <w:top w:val="none" w:color="000000" w:sz="0" w:space="0"/>
          <w:left w:val="none" w:color="000000" w:sz="0" w:space="0"/>
          <w:bottom w:val="none" w:color="000000" w:sz="0" w:space="0"/>
          <w:right w:val="none" w:color="000000" w:sz="0" w:space="0"/>
        </w:pBdr>
      </w:pPr>
      <w:r>
        <w:rPr>
          <w:rFonts w:ascii="宋体" w:hAnsi="宋体" w:cs="宋体"/>
        </w:rPr>
        <w:t> </w:t>
      </w:r>
    </w:p>
    <w:p w14:paraId="6A32446E">
      <w:pPr>
        <w:pBdr>
          <w:top w:val="none" w:color="000000" w:sz="0" w:space="0"/>
          <w:left w:val="none" w:color="000000" w:sz="0" w:space="0"/>
          <w:bottom w:val="none" w:color="000000" w:sz="0" w:space="0"/>
          <w:right w:val="none" w:color="000000" w:sz="0" w:space="0"/>
        </w:pBdr>
      </w:pPr>
      <w:r>
        <w:rPr>
          <w:rFonts w:ascii="宋体" w:hAnsi="宋体" w:cs="宋体"/>
        </w:rPr>
        <w:t> </w:t>
      </w:r>
    </w:p>
    <w:p w14:paraId="68F5205E">
      <w:pPr>
        <w:pBdr>
          <w:top w:val="none" w:color="000000" w:sz="0" w:space="0"/>
          <w:left w:val="none" w:color="000000" w:sz="0" w:space="0"/>
          <w:bottom w:val="none" w:color="000000" w:sz="0" w:space="0"/>
          <w:right w:val="none" w:color="000000" w:sz="0" w:space="0"/>
        </w:pBdr>
      </w:pPr>
      <w:r>
        <w:rPr>
          <w:rFonts w:ascii="宋体" w:hAnsi="宋体" w:cs="宋体"/>
        </w:rPr>
        <w:t> </w:t>
      </w:r>
    </w:p>
    <w:p w14:paraId="2079758E">
      <w:pPr>
        <w:pBdr>
          <w:top w:val="none" w:color="000000" w:sz="0" w:space="0"/>
          <w:left w:val="none" w:color="000000" w:sz="0" w:space="0"/>
          <w:bottom w:val="none" w:color="000000" w:sz="0" w:space="0"/>
          <w:right w:val="none" w:color="000000" w:sz="0" w:space="0"/>
        </w:pBdr>
      </w:pPr>
      <w:r>
        <w:rPr>
          <w:rFonts w:ascii="宋体" w:hAnsi="宋体" w:cs="宋体"/>
        </w:rPr>
        <w:t> </w:t>
      </w:r>
    </w:p>
    <w:p w14:paraId="79DCEEEC">
      <w:pPr>
        <w:pBdr>
          <w:top w:val="none" w:color="000000" w:sz="0" w:space="0"/>
          <w:left w:val="none" w:color="000000" w:sz="0" w:space="0"/>
          <w:bottom w:val="none" w:color="000000" w:sz="0" w:space="0"/>
          <w:right w:val="none" w:color="000000" w:sz="0" w:space="0"/>
        </w:pBdr>
      </w:pPr>
      <w:r>
        <w:rPr>
          <w:rFonts w:ascii="宋体" w:hAnsi="宋体" w:cs="宋体"/>
        </w:rPr>
        <w:t> </w:t>
      </w:r>
    </w:p>
    <w:p w14:paraId="12675E59">
      <w:pPr>
        <w:pBdr>
          <w:top w:val="none" w:color="000000" w:sz="0" w:space="0"/>
          <w:left w:val="none" w:color="000000" w:sz="0" w:space="0"/>
          <w:bottom w:val="none" w:color="000000" w:sz="0" w:space="0"/>
          <w:right w:val="none" w:color="000000" w:sz="0" w:space="0"/>
        </w:pBdr>
      </w:pPr>
      <w:r>
        <w:rPr>
          <w:rFonts w:ascii="宋体" w:hAnsi="宋体" w:cs="宋体"/>
        </w:rPr>
        <w:t> </w:t>
      </w:r>
    </w:p>
    <w:p w14:paraId="353D763A">
      <w:pPr>
        <w:pBdr>
          <w:top w:val="none" w:color="000000" w:sz="0" w:space="0"/>
          <w:left w:val="none" w:color="000000" w:sz="0" w:space="0"/>
          <w:bottom w:val="none" w:color="000000" w:sz="0" w:space="0"/>
          <w:right w:val="none" w:color="000000" w:sz="0" w:space="0"/>
        </w:pBdr>
      </w:pPr>
      <w:r>
        <w:rPr>
          <w:rFonts w:ascii="宋体" w:hAnsi="宋体" w:cs="宋体"/>
        </w:rPr>
        <w:t> </w:t>
      </w:r>
    </w:p>
    <w:p w14:paraId="55F2F88F">
      <w:pPr>
        <w:pBdr>
          <w:top w:val="none" w:color="000000" w:sz="0" w:space="0"/>
          <w:left w:val="none" w:color="000000" w:sz="0" w:space="0"/>
          <w:bottom w:val="none" w:color="000000" w:sz="0" w:space="0"/>
          <w:right w:val="none" w:color="000000" w:sz="0" w:space="0"/>
        </w:pBdr>
      </w:pPr>
      <w:r>
        <w:rPr>
          <w:rFonts w:ascii="宋体" w:hAnsi="宋体" w:cs="宋体"/>
        </w:rPr>
        <w:t> </w:t>
      </w:r>
    </w:p>
    <w:p w14:paraId="409FE0CF">
      <w:pPr>
        <w:pBdr>
          <w:top w:val="none" w:color="000000" w:sz="0" w:space="0"/>
          <w:left w:val="none" w:color="000000" w:sz="0" w:space="0"/>
          <w:bottom w:val="none" w:color="000000" w:sz="0" w:space="0"/>
          <w:right w:val="none" w:color="000000" w:sz="0" w:space="0"/>
        </w:pBdr>
      </w:pPr>
      <w:r>
        <w:rPr>
          <w:rFonts w:ascii="宋体" w:hAnsi="宋体" w:cs="宋体"/>
        </w:rPr>
        <w:t> </w:t>
      </w:r>
    </w:p>
    <w:p w14:paraId="7140F559">
      <w:pPr>
        <w:pBdr>
          <w:top w:val="none" w:color="000000" w:sz="0" w:space="0"/>
          <w:left w:val="none" w:color="000000" w:sz="0" w:space="0"/>
          <w:bottom w:val="none" w:color="000000" w:sz="0" w:space="0"/>
          <w:right w:val="none" w:color="000000" w:sz="0" w:space="0"/>
        </w:pBdr>
      </w:pPr>
      <w:r>
        <w:rPr/>
        <w:br w:type="page" w:clear="all"/>
      </w:r>
    </w:p>
    <w:p w14:paraId="13633F9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40"/>
        </w:rPr>
        <w:t>第一章  招标公告 </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780"/>
      </w:tblGrid>
      <w:tr w14:paraId="7F6CC6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23" w:hRule="atLeast"/>
        </w:trPr>
        <w:tc>
          <w:tcPr>
            <w:tcW w:w="9354" w:type="dxa"/>
            <w:tcBorders>
              <w:top w:val="single" w:color="999999" w:sz="8" w:space="0"/>
              <w:left w:val="single" w:color="999999" w:sz="8" w:space="0"/>
              <w:bottom w:val="single" w:color="000000" w:sz="8" w:space="0"/>
              <w:right w:val="single" w:color="000000" w:sz="8" w:space="0"/>
            </w:tcBorders>
            <w:noWrap/>
            <w:tcMar>
              <w:top w:w="0" w:type="dxa"/>
              <w:left w:w="24" w:type="dxa"/>
              <w:bottom w:w="0" w:type="dxa"/>
              <w:right w:w="24" w:type="dxa"/>
            </w:tcMar>
            <w:vAlign w:val="center"/>
          </w:tcPr>
          <w:p w14:paraId="407C83D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项目概况</w:t>
            </w:r>
          </w:p>
          <w:p w14:paraId="4A42C077">
            <w:pPr>
              <w:pBdr>
                <w:top w:val="none" w:color="000000" w:sz="0" w:space="0"/>
                <w:left w:val="none" w:color="000000" w:sz="0" w:space="0"/>
                <w:bottom w:val="none" w:color="000000" w:sz="0" w:space="0"/>
                <w:right w:val="none" w:color="000000" w:sz="0" w:space="0"/>
              </w:pBdr>
              <w:spacing w:line="360" w:lineRule="auto"/>
              <w:ind w:firstLine="420"/>
            </w:pPr>
            <w:r>
              <w:rPr>
                <w:rFonts w:hint="eastAsia"/>
              </w:rPr>
              <w:t>大丰区村卫生室心电检查设备采购项目</w:t>
            </w:r>
            <w:r>
              <w:rPr>
                <w:rFonts w:hint="eastAsia"/>
                <w:lang w:eastAsia="zh-CN"/>
              </w:rPr>
              <w:t>JSZC-320904-JSYF-G2026-0016</w:t>
            </w:r>
            <w:r>
              <w:t>招标项目的潜在投标</w:t>
            </w:r>
            <w:r>
              <w:rPr>
                <w:rFonts w:hint="eastAsia"/>
              </w:rPr>
              <w:t>人应在“苏采云”系统内免费下载(投标人必须在苏采云系统中获取采购文件，方能参与政府采购项目);获取招标文件，并于</w:t>
            </w:r>
            <w:r>
              <w:rPr>
                <w:rFonts w:ascii="宋体" w:hAnsi="宋体" w:cs="宋体"/>
              </w:rPr>
              <w:t>202</w:t>
            </w:r>
            <w:r>
              <w:rPr>
                <w:rFonts w:hint="eastAsia" w:ascii="宋体" w:hAnsi="宋体" w:cs="宋体"/>
              </w:rPr>
              <w:t>6</w:t>
            </w:r>
            <w:r>
              <w:rPr>
                <w:rFonts w:ascii="宋体" w:hAnsi="宋体" w:cs="宋体"/>
              </w:rPr>
              <w:t>-</w:t>
            </w:r>
            <w:r>
              <w:rPr>
                <w:rFonts w:hint="eastAsia" w:ascii="宋体" w:hAnsi="宋体" w:cs="宋体"/>
              </w:rPr>
              <w:t>0</w:t>
            </w:r>
            <w:r>
              <w:rPr>
                <w:rFonts w:hint="eastAsia" w:ascii="宋体" w:hAnsi="宋体" w:cs="宋体"/>
                <w:lang w:val="en-US" w:eastAsia="zh-CN"/>
              </w:rPr>
              <w:t>9</w:t>
            </w:r>
            <w:r>
              <w:rPr>
                <w:rFonts w:ascii="宋体" w:hAnsi="宋体" w:cs="宋体"/>
              </w:rPr>
              <w:t>-</w:t>
            </w:r>
            <w:r>
              <w:rPr>
                <w:rFonts w:hint="eastAsia" w:ascii="宋体" w:hAnsi="宋体" w:cs="宋体"/>
                <w:lang w:val="en-US" w:eastAsia="zh-CN"/>
              </w:rPr>
              <w:t>10</w:t>
            </w:r>
            <w:r>
              <w:rPr>
                <w:rFonts w:ascii="宋体" w:hAnsi="宋体" w:cs="宋体"/>
              </w:rPr>
              <w:t xml:space="preserve"> 09:</w:t>
            </w:r>
            <w:r>
              <w:rPr>
                <w:rFonts w:hint="eastAsia" w:ascii="宋体" w:hAnsi="宋体" w:cs="宋体"/>
              </w:rPr>
              <w:t>3</w:t>
            </w:r>
            <w:r>
              <w:rPr>
                <w:rFonts w:ascii="宋体" w:hAnsi="宋体" w:cs="宋体"/>
              </w:rPr>
              <w:t>0</w:t>
            </w:r>
            <w:r>
              <w:rPr>
                <w:rFonts w:hint="eastAsia"/>
              </w:rPr>
              <w:t>(北京时间)前递交投标文件。</w:t>
            </w:r>
          </w:p>
        </w:tc>
      </w:tr>
    </w:tbl>
    <w:p w14:paraId="5B250D70">
      <w:pPr>
        <w:pStyle w:val="7"/>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一、项目基本情况</w:t>
      </w:r>
    </w:p>
    <w:p w14:paraId="20E5EBA8">
      <w:pPr>
        <w:pBdr>
          <w:top w:val="none" w:color="000000" w:sz="0" w:space="0"/>
          <w:left w:val="none" w:color="000000" w:sz="0" w:space="0"/>
          <w:bottom w:val="none" w:color="000000" w:sz="0" w:space="0"/>
          <w:right w:val="none" w:color="000000" w:sz="0" w:space="0"/>
        </w:pBdr>
        <w:spacing w:line="360" w:lineRule="auto"/>
        <w:ind w:firstLine="420"/>
        <w:rPr>
          <w:rFonts w:hint="eastAsia" w:eastAsia="宋体"/>
          <w:lang w:eastAsia="zh-CN"/>
        </w:rPr>
      </w:pPr>
      <w:r>
        <w:rPr>
          <w:rFonts w:ascii="宋体" w:hAnsi="宋体" w:cs="宋体"/>
        </w:rPr>
        <w:t>项目编号：</w:t>
      </w:r>
      <w:r>
        <w:rPr>
          <w:rFonts w:hint="eastAsia" w:ascii="宋体" w:hAnsi="宋体" w:cs="宋体"/>
          <w:lang w:eastAsia="zh-CN"/>
        </w:rPr>
        <w:t>JSZC-320904-JSYF-G2026-0016</w:t>
      </w:r>
    </w:p>
    <w:p w14:paraId="5678B60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项目名称：</w:t>
      </w:r>
      <w:r>
        <w:rPr>
          <w:rFonts w:hint="eastAsia" w:ascii="宋体" w:hAnsi="宋体" w:cs="宋体"/>
        </w:rPr>
        <w:t>大丰区村卫生室心电检查设备采购项目</w:t>
      </w:r>
      <w:r>
        <w:rPr>
          <w:rFonts w:ascii="宋体" w:hAnsi="宋体" w:cs="宋体"/>
        </w:rPr>
        <w:t> </w:t>
      </w:r>
    </w:p>
    <w:p w14:paraId="0940A4A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ascii="宋体" w:hAnsi="宋体" w:cs="宋体"/>
        </w:rPr>
        <w:t>预算金额：</w:t>
      </w:r>
      <w:r>
        <w:rPr>
          <w:rFonts w:hint="eastAsia" w:ascii="宋体" w:hAnsi="宋体" w:cs="宋体"/>
        </w:rPr>
        <w:t>288.6</w:t>
      </w:r>
      <w:r>
        <w:rPr>
          <w:rFonts w:ascii="宋体" w:hAnsi="宋体" w:cs="宋体"/>
        </w:rPr>
        <w:t>万元 </w:t>
      </w:r>
    </w:p>
    <w:p w14:paraId="2E6ABCB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最高限价（如有）：</w:t>
      </w:r>
      <w:r>
        <w:rPr>
          <w:rFonts w:hint="eastAsia" w:ascii="宋体" w:hAnsi="宋体" w:cs="宋体"/>
        </w:rPr>
        <w:t>232.55</w:t>
      </w:r>
      <w:r>
        <w:rPr>
          <w:rFonts w:ascii="宋体" w:hAnsi="宋体" w:cs="宋体"/>
        </w:rPr>
        <w:t>万元，</w:t>
      </w:r>
      <w:r>
        <w:rPr>
          <w:rFonts w:hint="eastAsia" w:ascii="宋体" w:hAnsi="宋体" w:cs="宋体"/>
        </w:rPr>
        <w:t>(便携式心电检查设备7000元/台、数字式心电检查设备16500元/台、动态心电检查设备13500元/台)</w:t>
      </w:r>
      <w:r>
        <w:rPr>
          <w:rFonts w:ascii="宋体" w:hAnsi="宋体" w:cs="宋体"/>
        </w:rPr>
        <w:t>投标报价高于最高限价的作无效标处理；  </w:t>
      </w:r>
    </w:p>
    <w:p w14:paraId="6E0DE7B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采购需求：</w:t>
      </w:r>
      <w:r>
        <w:rPr>
          <w:rFonts w:hint="eastAsia" w:ascii="宋体" w:hAnsi="宋体" w:cs="宋体"/>
        </w:rPr>
        <w:t>便携式心电检查设备、数字式心电检查设备以及动态心电检查设备</w:t>
      </w:r>
      <w:r>
        <w:rPr>
          <w:rFonts w:ascii="宋体" w:hAnsi="宋体" w:cs="宋体"/>
        </w:rPr>
        <w:t>采购以及相关</w:t>
      </w:r>
      <w:r>
        <w:rPr>
          <w:rFonts w:hint="eastAsia" w:ascii="宋体" w:hAnsi="宋体" w:cs="宋体"/>
        </w:rPr>
        <w:t>伴随</w:t>
      </w:r>
      <w:r>
        <w:rPr>
          <w:rFonts w:ascii="宋体" w:hAnsi="宋体" w:cs="宋体"/>
        </w:rPr>
        <w:t>服务，具体内容及要求详见招标文件第五章采购需求；</w:t>
      </w:r>
    </w:p>
    <w:p w14:paraId="73D7866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合同履行期限：签订合同后</w:t>
      </w:r>
      <w:r>
        <w:rPr>
          <w:rFonts w:hint="eastAsia" w:ascii="宋体" w:hAnsi="宋体" w:cs="宋体"/>
        </w:rPr>
        <w:t>30</w:t>
      </w:r>
      <w:r>
        <w:rPr>
          <w:rFonts w:ascii="宋体" w:hAnsi="宋体" w:cs="宋体"/>
        </w:rPr>
        <w:t>日历天内完成所需设备的采购、供应、运输、安装、调试等相关伴随服务，并通过采购人的验收。 </w:t>
      </w:r>
    </w:p>
    <w:p w14:paraId="51D2AAC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本项目（是/否）接受联合体投标：否</w:t>
      </w:r>
    </w:p>
    <w:p w14:paraId="21299603">
      <w:pPr>
        <w:pStyle w:val="7"/>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二、申请人的资格要求：</w:t>
      </w:r>
    </w:p>
    <w:p w14:paraId="6449F33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（一）满足《中华人民共和国政府采购法》第二十二条规定：</w:t>
      </w:r>
    </w:p>
    <w:p w14:paraId="21C38B5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1.法人或者其他组织的营业执照等证明文件，自然人的身份证明。</w:t>
      </w:r>
    </w:p>
    <w:p w14:paraId="461AC99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2.上一年度的财务状况报告（成立不满一年不需提供）。</w:t>
      </w:r>
    </w:p>
    <w:p w14:paraId="71F599A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3.依法缴纳税收和社会保障资金的相关材料。</w:t>
      </w:r>
    </w:p>
    <w:p w14:paraId="7618F06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4.具备履行合同所必需的设备和专业技术能力的书面声明。</w:t>
      </w:r>
    </w:p>
    <w:p w14:paraId="31DB1E0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5.参加政府采购活动前3年内在经营活动中没有重大违法记录的书面声明。</w:t>
      </w:r>
    </w:p>
    <w:p w14:paraId="7C0EFE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6.法律、行政法规规定的其他条件。</w:t>
      </w:r>
    </w:p>
    <w:p w14:paraId="616079A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（二）落实政府采购政策需满足的资格要求：</w:t>
      </w:r>
    </w:p>
    <w:p w14:paraId="1F45946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无</w:t>
      </w:r>
    </w:p>
    <w:p w14:paraId="62EE01D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（三）本项目的特定资格要求： </w:t>
      </w:r>
    </w:p>
    <w:p w14:paraId="1D2D975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1.投标人须提供有效的医疗器械产品注册证或产品备案凭证，投标时需提供</w:t>
      </w:r>
      <w:r>
        <w:rPr>
          <w:rFonts w:hint="eastAsia" w:ascii="宋体" w:hAnsi="宋体" w:cs="宋体"/>
        </w:rPr>
        <w:t>扫描件</w:t>
      </w:r>
      <w:r>
        <w:rPr>
          <w:rFonts w:ascii="宋体" w:hAnsi="宋体" w:cs="宋体"/>
        </w:rPr>
        <w:t>加盖投标单位公章；</w:t>
      </w:r>
    </w:p>
    <w:p w14:paraId="16EAC51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2.若投标供应商为代理商，须具有有效的《医疗器械经营许可证》或医疗器械经营备案凭证，投标时需提供</w:t>
      </w:r>
      <w:r>
        <w:rPr>
          <w:rFonts w:hint="eastAsia" w:ascii="宋体" w:hAnsi="宋体" w:cs="宋体"/>
        </w:rPr>
        <w:t>扫描件</w:t>
      </w:r>
      <w:r>
        <w:rPr>
          <w:rFonts w:ascii="宋体" w:hAnsi="宋体" w:cs="宋体"/>
        </w:rPr>
        <w:t>加盖投标单位公章；</w:t>
      </w:r>
    </w:p>
    <w:p w14:paraId="1F38F44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3.若投标供应商为生产商，须具有有效的《医疗器械生产许可证》或生产备案凭证（医疗器械生产许可证如有医疗器械生产产品登记表的须一并提供），投标时需提供</w:t>
      </w:r>
      <w:r>
        <w:rPr>
          <w:rFonts w:hint="eastAsia" w:ascii="宋体" w:hAnsi="宋体" w:cs="宋体"/>
        </w:rPr>
        <w:t>扫描件</w:t>
      </w:r>
      <w:r>
        <w:rPr>
          <w:rFonts w:ascii="宋体" w:hAnsi="宋体" w:cs="宋体"/>
        </w:rPr>
        <w:t>加盖投标单位公章；</w:t>
      </w:r>
    </w:p>
    <w:p w14:paraId="1BF6E0E7">
      <w:pPr>
        <w:pStyle w:val="7"/>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三、获取招标文件</w:t>
      </w:r>
    </w:p>
    <w:p w14:paraId="4B5BDC3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4"/>
          <w:shd w:val="clear" w:color="auto" w:fill="FFFFFF"/>
        </w:rPr>
      </w:pPr>
      <w:r>
        <w:rPr>
          <w:rFonts w:hint="eastAsia" w:ascii="宋体" w:hAnsi="宋体" w:cs="宋体"/>
          <w:szCs w:val="24"/>
          <w:shd w:val="clear" w:color="auto" w:fill="FFFFFF"/>
        </w:rPr>
        <w:t>时间：自招标文件公告发布之日起5个工作日。  </w:t>
      </w:r>
    </w:p>
    <w:p w14:paraId="2ADE255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4"/>
          <w:shd w:val="clear" w:color="auto" w:fill="FFFFFF"/>
        </w:rPr>
      </w:pPr>
      <w:r>
        <w:rPr>
          <w:rFonts w:hint="eastAsia" w:ascii="宋体" w:hAnsi="宋体" w:cs="宋体"/>
          <w:szCs w:val="24"/>
          <w:shd w:val="clear" w:color="auto" w:fill="FFFFFF"/>
        </w:rPr>
        <w:t>地点：“苏采云”系统内免费下载（投标人必须在苏采云系统中获取采购文件，方能参与政府采购项目）； </w:t>
      </w:r>
    </w:p>
    <w:p w14:paraId="4AFE368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4"/>
          <w:shd w:val="clear" w:color="auto" w:fill="FFFFFF"/>
          <w:lang w:eastAsia="zh-CN"/>
        </w:rPr>
      </w:pPr>
      <w:r>
        <w:rPr>
          <w:rFonts w:hint="eastAsia" w:ascii="宋体" w:hAnsi="宋体" w:cs="宋体"/>
          <w:szCs w:val="24"/>
          <w:shd w:val="clear" w:color="auto" w:fill="FFFFFF"/>
        </w:rPr>
        <w:t>方式：本项目采用网上注册登记方式，网址:https://jszfcg.jsczt.cn/jszc/login</w:t>
      </w:r>
      <w:r>
        <w:rPr>
          <w:rFonts w:hint="eastAsia" w:ascii="宋体" w:hAnsi="宋体" w:cs="宋体"/>
          <w:szCs w:val="24"/>
          <w:shd w:val="clear" w:color="auto" w:fill="FFFFFF"/>
          <w:lang w:eastAsia="zh-CN"/>
        </w:rPr>
        <w:t>；</w:t>
      </w:r>
    </w:p>
    <w:p w14:paraId="4BC4A0F4">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cs="宋体"/>
          <w:szCs w:val="24"/>
          <w:shd w:val="clear" w:color="auto" w:fill="FFFFFF"/>
        </w:rPr>
        <w:t>售价:0.00元。</w:t>
      </w:r>
      <w:r>
        <w:rPr>
          <w:rFonts w:ascii="宋体" w:hAnsi="宋体" w:cs="宋体"/>
        </w:rPr>
        <w:t> </w:t>
      </w:r>
    </w:p>
    <w:p w14:paraId="08ADC9E0">
      <w:pPr>
        <w:pStyle w:val="7"/>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四、提交投标文件截止时间、开标时间和地点</w:t>
      </w:r>
    </w:p>
    <w:p w14:paraId="0E0F88E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202</w:t>
      </w:r>
      <w:r>
        <w:rPr>
          <w:rFonts w:hint="eastAsia" w:ascii="宋体" w:hAnsi="宋体" w:cs="宋体"/>
        </w:rPr>
        <w:t>6</w:t>
      </w:r>
      <w:r>
        <w:rPr>
          <w:rFonts w:ascii="宋体" w:hAnsi="宋体" w:cs="宋体"/>
        </w:rPr>
        <w:t>-</w:t>
      </w:r>
      <w:r>
        <w:rPr>
          <w:rFonts w:hint="eastAsia" w:ascii="宋体" w:hAnsi="宋体" w:cs="宋体"/>
        </w:rPr>
        <w:t>0</w:t>
      </w:r>
      <w:r>
        <w:rPr>
          <w:rFonts w:hint="eastAsia" w:ascii="宋体" w:hAnsi="宋体" w:cs="宋体"/>
          <w:lang w:val="en-US" w:eastAsia="zh-CN"/>
        </w:rPr>
        <w:t>9</w:t>
      </w:r>
      <w:r>
        <w:rPr>
          <w:rFonts w:ascii="宋体" w:hAnsi="宋体" w:cs="宋体"/>
        </w:rPr>
        <w:t>-</w:t>
      </w:r>
      <w:r>
        <w:rPr>
          <w:rFonts w:hint="eastAsia" w:ascii="宋体" w:hAnsi="宋体" w:cs="宋体"/>
          <w:lang w:val="en-US" w:eastAsia="zh-CN"/>
        </w:rPr>
        <w:t>10</w:t>
      </w:r>
      <w:r>
        <w:rPr>
          <w:rFonts w:ascii="宋体" w:hAnsi="宋体" w:cs="宋体"/>
        </w:rPr>
        <w:t xml:space="preserve"> 09:</w:t>
      </w:r>
      <w:r>
        <w:rPr>
          <w:rFonts w:hint="eastAsia" w:ascii="宋体" w:hAnsi="宋体" w:cs="宋体"/>
        </w:rPr>
        <w:t>3</w:t>
      </w:r>
      <w:r>
        <w:rPr>
          <w:rFonts w:ascii="宋体" w:hAnsi="宋体" w:cs="宋体"/>
        </w:rPr>
        <w:t>0（北京时间）</w:t>
      </w:r>
    </w:p>
    <w:p w14:paraId="6EFAA0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60" w:lineRule="auto"/>
        <w:ind w:firstLine="420"/>
        <w:jc w:val="left"/>
        <w:textAlignment w:val="auto"/>
      </w:pPr>
      <w:r>
        <w:rPr>
          <w:rFonts w:hint="eastAsia" w:ascii="宋体" w:hAnsi="宋体" w:cs="宋体"/>
        </w:rPr>
        <w:t>地点:“苏采云”政府采购交易系统网上开标大厅(网址:https://jszfcg.jsczt.cn/jszc/login)</w:t>
      </w:r>
      <w:r>
        <w:rPr>
          <w:rFonts w:hint="eastAsia" w:ascii="宋体" w:hAnsi="宋体"/>
          <w:bCs/>
        </w:rPr>
        <w:t>。</w:t>
      </w:r>
    </w:p>
    <w:p w14:paraId="4B34E12C">
      <w:pPr>
        <w:pStyle w:val="7"/>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五、公告期限</w:t>
      </w:r>
      <w:bookmarkStart w:id="4" w:name="_GoBack"/>
      <w:bookmarkEnd w:id="4"/>
    </w:p>
    <w:p w14:paraId="66D1A38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自本公告发布之日起5个工作日。</w:t>
      </w:r>
    </w:p>
    <w:p w14:paraId="2B9DBE30">
      <w:pPr>
        <w:pStyle w:val="7"/>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六、其他补充事宜</w:t>
      </w:r>
    </w:p>
    <w:p w14:paraId="6A893789">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rPr>
        <w:t>1、电子投标文件一份(通过系统提交)；纸质投标文件正本一份，副本四份（评审结束后由中标候选人邮寄至采购人，未中标单位不需要提供）。</w:t>
      </w:r>
    </w:p>
    <w:p w14:paraId="26CD4E9D">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p>
    <w:p w14:paraId="02182CBC">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rPr>
        <w:t>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p>
    <w:p w14:paraId="7F6969E6">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rPr>
        <w:t>3、有关本次招标的事项若存在变动或修改，敬请及时关注采购人在“中国政府采购网”“江苏政府采购网”、“盐城市政府采购网”发布的更正公告。</w:t>
      </w:r>
    </w:p>
    <w:p w14:paraId="556D0EC1">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rPr>
        <w:t>4、本项目不收取投标保证金，不收取质量保证金。</w:t>
      </w:r>
    </w:p>
    <w:p w14:paraId="5F393336">
      <w:pPr>
        <w:pStyle w:val="7"/>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七、对本次招标提出询问，请按以下方式联系。</w:t>
      </w:r>
    </w:p>
    <w:p w14:paraId="7957B57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1.采购人信息 </w:t>
      </w:r>
    </w:p>
    <w:p w14:paraId="3B80747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采购包1</w:t>
      </w:r>
    </w:p>
    <w:p w14:paraId="19890F9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单位名称：盐城市大丰区卫生健康委员会</w:t>
      </w:r>
    </w:p>
    <w:p w14:paraId="65CCA4C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单位地址：盐城市大丰区幸福西大街68号</w:t>
      </w:r>
    </w:p>
    <w:p w14:paraId="25019B6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联系人：</w:t>
      </w:r>
      <w:r>
        <w:rPr>
          <w:rFonts w:hint="eastAsia" w:ascii="宋体" w:hAnsi="宋体" w:cs="宋体"/>
        </w:rPr>
        <w:t>沈杨</w:t>
      </w:r>
    </w:p>
    <w:p w14:paraId="041A689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联系电话：</w:t>
      </w:r>
      <w:r>
        <w:rPr>
          <w:rFonts w:hint="eastAsia" w:ascii="宋体" w:hAnsi="宋体" w:cs="宋体"/>
        </w:rPr>
        <w:t>13914699466</w:t>
      </w:r>
    </w:p>
    <w:p w14:paraId="565484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2.采购代理机构信息</w:t>
      </w:r>
    </w:p>
    <w:p w14:paraId="76A6FC5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单位名称：江苏昱丰华项目管理有限公司</w:t>
      </w:r>
    </w:p>
    <w:p w14:paraId="122A439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单位地址：盐城市大丰区丰尚国际（人民北路与通港大道交汇处）十七楼</w:t>
      </w:r>
    </w:p>
    <w:p w14:paraId="79B9998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联系人：丁亚祥</w:t>
      </w:r>
    </w:p>
    <w:p w14:paraId="5B65751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联系电话：15358280315</w:t>
      </w:r>
    </w:p>
    <w:p w14:paraId="406F804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3.项目联系方式</w:t>
      </w:r>
    </w:p>
    <w:p w14:paraId="212F7F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项目联系人：丁亚祥</w:t>
      </w:r>
    </w:p>
    <w:p w14:paraId="095C17B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电话：15358280315</w:t>
      </w:r>
    </w:p>
    <w:p w14:paraId="2B39DCEB">
      <w:pPr>
        <w:pBdr>
          <w:top w:val="none" w:color="000000" w:sz="0" w:space="0"/>
          <w:left w:val="none" w:color="000000" w:sz="0" w:space="0"/>
          <w:bottom w:val="none" w:color="000000" w:sz="0" w:space="0"/>
          <w:right w:val="none" w:color="000000" w:sz="0" w:space="0"/>
        </w:pBdr>
      </w:pPr>
      <w:r>
        <w:rPr>
          <w:rFonts w:eastAsia="Times New Roman"/>
        </w:rPr>
        <w:t> </w:t>
      </w:r>
    </w:p>
    <w:p w14:paraId="36A96C1B">
      <w:pPr>
        <w:pBdr>
          <w:top w:val="none" w:color="000000" w:sz="0" w:space="0"/>
          <w:left w:val="none" w:color="000000" w:sz="0" w:space="0"/>
          <w:bottom w:val="none" w:color="000000" w:sz="0" w:space="0"/>
          <w:right w:val="none" w:color="000000" w:sz="0" w:space="0"/>
        </w:pBdr>
        <w:spacing w:before="240" w:after="240"/>
        <w:ind w:firstLine="560"/>
      </w:pPr>
      <w:r>
        <w:rPr>
          <w:rFonts w:ascii="仿宋" w:hAnsi="仿宋" w:eastAsia="仿宋" w:cs="仿宋"/>
          <w:sz w:val="28"/>
        </w:rPr>
        <w:t> </w:t>
      </w:r>
    </w:p>
    <w:p w14:paraId="7D2E18D8">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sz w:val="28"/>
        </w:rPr>
        <w:t> </w:t>
      </w:r>
    </w:p>
    <w:p w14:paraId="0694664A">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sz w:val="28"/>
        </w:rPr>
        <w:t> </w:t>
      </w:r>
    </w:p>
    <w:p w14:paraId="00205775">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72CB26D8">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40"/>
        </w:rPr>
        <w:t>第二章  投标人须知</w:t>
      </w:r>
    </w:p>
    <w:p w14:paraId="5151F702">
      <w:pPr>
        <w:pStyle w:val="7"/>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一、总则</w:t>
      </w:r>
    </w:p>
    <w:p w14:paraId="193B43CE">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1、招标方式</w:t>
      </w:r>
    </w:p>
    <w:p w14:paraId="3D3299B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1.1 本次招标采取公开招标方式，本招标文件仅适用于招标公告中所述项目。</w:t>
      </w:r>
    </w:p>
    <w:p w14:paraId="2D13BC98">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2、合格的投标人</w:t>
      </w:r>
    </w:p>
    <w:p w14:paraId="2C6BCB9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2.1满足招标公告中供应商的资格要求的规定。</w:t>
      </w:r>
    </w:p>
    <w:p w14:paraId="35978E7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 满足本文件实质性条款的规定。</w:t>
      </w:r>
    </w:p>
    <w:p w14:paraId="21AB3BB5">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3、适用法律</w:t>
      </w:r>
    </w:p>
    <w:p w14:paraId="2A5818A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 本次招标及由此产生的合同受中华人民共和国有关的法律法规制约和保护。</w:t>
      </w:r>
    </w:p>
    <w:p w14:paraId="5DEACCFF">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4、投标费用</w:t>
      </w:r>
    </w:p>
    <w:p w14:paraId="22B2654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4.1 投标人应自行承担所有与参加投标有关的费用，无论投标过程中的做法和结果如何，盐城大丰区卫生健康委员会在任何情况下均无义务和责任承担这些费用。</w:t>
      </w:r>
    </w:p>
    <w:p w14:paraId="1136F1C3">
      <w:pPr>
        <w:pStyle w:val="8"/>
        <w:pBdr>
          <w:top w:val="none" w:color="000000" w:sz="0" w:space="0"/>
          <w:left w:val="none" w:color="000000" w:sz="0" w:space="0"/>
          <w:bottom w:val="none" w:color="000000" w:sz="0" w:space="0"/>
          <w:right w:val="none" w:color="000000" w:sz="0" w:space="0"/>
        </w:pBdr>
        <w:spacing w:before="0" w:after="0" w:line="360" w:lineRule="auto"/>
        <w:ind w:firstLine="422"/>
        <w:rPr>
          <w:sz w:val="21"/>
          <w:szCs w:val="21"/>
        </w:rPr>
      </w:pPr>
      <w:r>
        <w:rPr>
          <w:rFonts w:ascii="宋体" w:hAnsi="宋体" w:eastAsia="宋体" w:cs="宋体"/>
          <w:sz w:val="21"/>
          <w:szCs w:val="21"/>
        </w:rPr>
        <w:t>5、招标文件的约束力</w:t>
      </w:r>
    </w:p>
    <w:p w14:paraId="013BECA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5.1 投标人一旦参加本项目采购活动，即被认为接受了本招标文件的规定和约束，并且视为自招标公告期限届满之日起知道或应当知道自身权益是否受到了损害。</w:t>
      </w:r>
    </w:p>
    <w:p w14:paraId="3B6FF071">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6、招标文件的解释</w:t>
      </w:r>
    </w:p>
    <w:p w14:paraId="5F5D999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6.1 本招标文件由采购人和代理公司负责解释。</w:t>
      </w:r>
    </w:p>
    <w:p w14:paraId="4E8E3E7D">
      <w:pPr>
        <w:pStyle w:val="7"/>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二、招标文件</w:t>
      </w:r>
    </w:p>
    <w:p w14:paraId="4773C992">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7、招标文件构成</w:t>
      </w:r>
    </w:p>
    <w:p w14:paraId="2C16D9C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7.1 招标文件</w:t>
      </w:r>
      <w:r>
        <w:rPr>
          <w:rFonts w:hint="eastAsia" w:ascii="宋体" w:hAnsi="宋体" w:cs="宋体"/>
        </w:rPr>
        <w:t>由</w:t>
      </w:r>
      <w:r>
        <w:rPr>
          <w:rFonts w:ascii="宋体" w:hAnsi="宋体" w:cs="宋体"/>
        </w:rPr>
        <w:t>以下部分组成：</w:t>
      </w:r>
    </w:p>
    <w:p w14:paraId="7EE5672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（1）招标公告</w:t>
      </w:r>
    </w:p>
    <w:p w14:paraId="5309836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（2）投标人须知</w:t>
      </w:r>
    </w:p>
    <w:p w14:paraId="759CC62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（3）合同条款及格式</w:t>
      </w:r>
    </w:p>
    <w:p w14:paraId="271AC83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（4）采购需求</w:t>
      </w:r>
    </w:p>
    <w:p w14:paraId="5ED5851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（5）评标方法与评标标准</w:t>
      </w:r>
    </w:p>
    <w:p w14:paraId="4841E2C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（6）投标文件格式</w:t>
      </w:r>
    </w:p>
    <w:p w14:paraId="617A33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请仔细检查招标文件是否齐全，如有缺漏请立即与采购人联系解决。</w:t>
      </w:r>
    </w:p>
    <w:p w14:paraId="5152CCF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7.2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rPr>
        <w:t>做出</w:t>
      </w:r>
      <w:r>
        <w:rPr>
          <w:rFonts w:ascii="宋体" w:hAnsi="宋体" w:cs="宋体"/>
        </w:rPr>
        <w:t>实质性响应，否则其风险由投标人自行承担。</w:t>
      </w:r>
    </w:p>
    <w:p w14:paraId="1A952D96">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8、招标文件的询问</w:t>
      </w:r>
    </w:p>
    <w:p w14:paraId="66720D6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8.1 任何要求对招标文件进行询问的投标人，应在投标截止日期</w:t>
      </w:r>
      <w:r>
        <w:rPr>
          <w:rFonts w:ascii="宋体" w:hAnsi="宋体" w:cs="宋体"/>
          <w:b/>
        </w:rPr>
        <w:t>十日</w:t>
      </w:r>
      <w:r>
        <w:rPr>
          <w:rFonts w:ascii="宋体" w:hAnsi="宋体" w:cs="宋体"/>
        </w:rPr>
        <w:t>前按招标公告中的通讯地址，向代理公司或采购人提出。</w:t>
      </w:r>
    </w:p>
    <w:p w14:paraId="63AD2759">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9、招标文件的修改</w:t>
      </w:r>
    </w:p>
    <w:p w14:paraId="33C9F16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9.1 在投标截止时间前，采购人可以对招标文件进行修改。</w:t>
      </w:r>
    </w:p>
    <w:p w14:paraId="22AAFC3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9.2采购人和代理公司有权依法推迟投标截止日期和开标日期。</w:t>
      </w:r>
    </w:p>
    <w:p w14:paraId="35C5287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9.3招标文件的修改、补充文件将作为招标文件的组成部分，并对投标人具有约束力。</w:t>
      </w:r>
    </w:p>
    <w:p w14:paraId="1F8EDAF2">
      <w:pPr>
        <w:pStyle w:val="7"/>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三、投标文件的编制</w:t>
      </w:r>
    </w:p>
    <w:p w14:paraId="1CC22A9E">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10、投标文件的语言及度量衡单位</w:t>
      </w:r>
    </w:p>
    <w:p w14:paraId="0BB6E42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10.1 投标人提交的投标文件以及投标人与采购人、代理公司就有关投标的所有来往通知、函件和文件均应使用</w:t>
      </w:r>
      <w:r>
        <w:rPr>
          <w:rFonts w:ascii="宋体" w:hAnsi="宋体" w:cs="宋体"/>
          <w:b/>
        </w:rPr>
        <w:t>简体中文</w:t>
      </w:r>
      <w:r>
        <w:rPr>
          <w:rFonts w:ascii="宋体" w:hAnsi="宋体" w:cs="宋体"/>
        </w:rPr>
        <w:t>。</w:t>
      </w:r>
    </w:p>
    <w:p w14:paraId="0BED6FA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10.2 除技术性能另有规定外，投标文件所使用的度量衡单位，均须采用国家法定计量单位。</w:t>
      </w:r>
    </w:p>
    <w:p w14:paraId="06756892">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11、投标文件构成</w:t>
      </w:r>
    </w:p>
    <w:p w14:paraId="35B33E5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11.1 投标人编写的投标文件应包括资信证明文件、资格性审查响应对照表、符合性检查响应对照表、投标函、开标一览表、投标产品配置及分项报价表、技术参数响应及偏离表、商务条款响应及偏离表、服务承诺等。</w:t>
      </w:r>
    </w:p>
    <w:p w14:paraId="4ECE347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11.2</w:t>
      </w:r>
      <w:r>
        <w:rPr>
          <w:rFonts w:ascii="宋体" w:hAnsi="宋体" w:cs="宋体"/>
          <w:b/>
        </w:rPr>
        <w:t> </w:t>
      </w:r>
      <w:r>
        <w:rPr>
          <w:rFonts w:ascii="宋体" w:hAnsi="宋体" w:cs="宋体"/>
        </w:rPr>
        <w:t>投标人应将投标文件按顺序编制成册，并编制投标文件资料目录。</w:t>
      </w:r>
    </w:p>
    <w:p w14:paraId="613C5751">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12、证明投标人资格及符合招标文件规定的文件</w:t>
      </w:r>
    </w:p>
    <w:p w14:paraId="0256243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12.1投标人应按要求提交资格证明文件及符合招标文件规定的文件。</w:t>
      </w:r>
    </w:p>
    <w:p w14:paraId="3713876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12.2投标人应提交证明其有资格参加投标和中标后有能力独立履行合同的文件。</w:t>
      </w:r>
    </w:p>
    <w:p w14:paraId="11E6F11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12.3投标人除必须具有履行合同所需提供的货物以及服务的能力外，还必须具备相应的财务、技术方面的能力。</w:t>
      </w:r>
    </w:p>
    <w:p w14:paraId="7243496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12.4投标人应提交根据合同要求提供的证明产品质量合格以及符合招标文件规定的证明文件。</w:t>
      </w:r>
    </w:p>
    <w:p w14:paraId="273FBD3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12.5证明投标人所提供货物与招标文件的要求相一致的文件可以是手册、图纸、文字资料和数据。</w:t>
      </w:r>
    </w:p>
    <w:p w14:paraId="4361C2C1">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13、投标产品配置及分项报价表</w:t>
      </w:r>
    </w:p>
    <w:p w14:paraId="6E149A1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13.1 投标人应按照招标文件规定格式填报投标产品配置及分项报价表。每项货物和服务等只允许有一个报价，任何有选择的报价将不予接受(如有备选配件，备选配件的报价不属于选择的报价)。</w:t>
      </w:r>
    </w:p>
    <w:p w14:paraId="5625289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13.2 标的物</w:t>
      </w:r>
    </w:p>
    <w:p w14:paraId="0BBAEAF3">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采购人需求的货物供应、安装，调试及有关技术服务等</w:t>
      </w:r>
      <w:r>
        <w:rPr>
          <w:rFonts w:ascii="宋体" w:hAnsi="宋体" w:cs="宋体"/>
        </w:rPr>
        <w:t>。</w:t>
      </w:r>
    </w:p>
    <w:p w14:paraId="5A664ED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13.3计价方式</w:t>
      </w:r>
    </w:p>
    <w:p w14:paraId="23846CA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ascii="宋体" w:hAnsi="宋体" w:cs="宋体"/>
        </w:rPr>
        <w:t>投标报价是履行合同的最终价格（如采购需求发生变化，采购数量按实计算，中标全费用综合单价不变），投标所报单价为全费用综合单价,</w:t>
      </w:r>
      <w:r>
        <w:rPr>
          <w:rFonts w:hint="eastAsia" w:ascii="宋体" w:hAnsi="宋体" w:cs="宋体"/>
        </w:rPr>
        <w:t>包</w:t>
      </w:r>
      <w:r>
        <w:rPr>
          <w:rFonts w:ascii="宋体" w:hAnsi="宋体" w:cs="宋体"/>
        </w:rPr>
        <w:t>含</w:t>
      </w:r>
      <w:r>
        <w:rPr>
          <w:rFonts w:hint="eastAsia" w:ascii="宋体" w:hAnsi="宋体" w:cs="宋体"/>
          <w:b/>
          <w:bCs/>
        </w:rPr>
        <w:t>设备及配套软件的</w:t>
      </w:r>
      <w:r>
        <w:rPr>
          <w:rFonts w:ascii="宋体" w:hAnsi="宋体" w:cs="宋体"/>
          <w:b/>
          <w:bCs/>
        </w:rPr>
        <w:t>采购</w:t>
      </w:r>
      <w:r>
        <w:rPr>
          <w:rFonts w:ascii="宋体" w:hAnsi="宋体" w:cs="宋体"/>
        </w:rPr>
        <w:t>、运输及保险、装卸、不符合招标人要求的等免费更换、包装、检测、缺陷维修、材料、机械、劳务、质保期内免费更换、调试、培训、管理、利润、税金、招标代理费</w:t>
      </w:r>
      <w:r>
        <w:rPr>
          <w:rFonts w:hint="eastAsia" w:ascii="宋体" w:hAnsi="宋体" w:cs="宋体"/>
        </w:rPr>
        <w:t>(</w:t>
      </w:r>
      <w:r>
        <w:rPr>
          <w:rFonts w:ascii="宋体" w:hAnsi="宋体" w:cs="宋体"/>
        </w:rPr>
        <w:t>参照苏招协【2022】002号文件相关规定收取</w:t>
      </w:r>
      <w:r>
        <w:rPr>
          <w:rFonts w:hint="eastAsia" w:ascii="宋体" w:hAnsi="宋体" w:cs="宋体"/>
        </w:rPr>
        <w:t>)</w:t>
      </w:r>
      <w:r>
        <w:rPr>
          <w:rFonts w:ascii="宋体" w:hAnsi="宋体" w:cs="宋体"/>
        </w:rPr>
        <w:t>，</w:t>
      </w:r>
      <w:r>
        <w:rPr>
          <w:rFonts w:hint="eastAsia" w:ascii="宋体" w:hAnsi="宋体" w:cs="宋体"/>
        </w:rPr>
        <w:t>与本项目相关的</w:t>
      </w:r>
      <w:r>
        <w:rPr>
          <w:rFonts w:ascii="宋体" w:hAnsi="宋体" w:cs="宋体"/>
        </w:rPr>
        <w:t>专家评审费等以及合同履行过程中包含的所有风险、责任、政策性文件规定以及不可竞争费等所需的全部费用，投标预算书中若有漏项、缺项、少算部分，视同分摊至其余综合单价中，结算时不予增加。</w:t>
      </w:r>
    </w:p>
    <w:p w14:paraId="6CF9F03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13.4其它费用处理</w:t>
      </w:r>
    </w:p>
    <w:p w14:paraId="738D796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招标文件未列明，而投标人认为必需的费用也需列入报价。</w:t>
      </w:r>
    </w:p>
    <w:p w14:paraId="4DEA71F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13.5投标货币</w:t>
      </w:r>
    </w:p>
    <w:p w14:paraId="0E616C5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投标文件中的货物单价和总价无特殊规定的采用人民币报价，以元为单位标注。招标文件中另有规定的按规定执行。</w:t>
      </w:r>
    </w:p>
    <w:p w14:paraId="5E8AF6F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13.6 投标产品配置及分项报价表上的价格应按下列方式分开填写：</w:t>
      </w:r>
    </w:p>
    <w:p w14:paraId="41130C9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13.6.1 项目总价：包括买方需求的货物价格、质量保证费用、培训费用及售后服务费用，项目在指定地点、环境交付、安装、调试、验收所需费用和所有相关税金费用及为完成整个项目所产生的其它所有费用。</w:t>
      </w:r>
    </w:p>
    <w:p w14:paraId="07C0568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13.6.2项目单价按投标配置及分项报价表中要求填报。</w:t>
      </w:r>
    </w:p>
    <w:p w14:paraId="6B16C4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w:t>
      </w:r>
      <w:r>
        <w:rPr>
          <w:rFonts w:ascii="宋体" w:hAnsi="宋体" w:cs="宋体"/>
          <w:b/>
        </w:rPr>
        <w:t>、</w:t>
      </w:r>
      <w:r>
        <w:rPr>
          <w:rFonts w:ascii="宋体" w:hAnsi="宋体" w:cs="宋体"/>
        </w:rPr>
        <w:t>技术参数响应及偏离表、商务条款响应及偏离表及投标货物说明</w:t>
      </w:r>
    </w:p>
    <w:p w14:paraId="33052C3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14.1 对招标文件中的技术与商务条款要求逐项作出响应或偏离，并说明原因；</w:t>
      </w:r>
    </w:p>
    <w:p w14:paraId="1DD0581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14.2 提供参加本项目类似案例简介；</w:t>
      </w:r>
    </w:p>
    <w:p w14:paraId="32A2250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14.3 培训计划；</w:t>
      </w:r>
    </w:p>
    <w:p w14:paraId="460314D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14.4 详细阐述所投货物的主要组成部分、功能设计、实现思路及关键技术；</w:t>
      </w:r>
    </w:p>
    <w:p w14:paraId="18277D3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14.5 投标人认为需要的其他技术文件或说明。</w:t>
      </w:r>
    </w:p>
    <w:p w14:paraId="16F9399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15、服务承诺及售后服务机构、人员的情况介绍</w:t>
      </w:r>
    </w:p>
    <w:p w14:paraId="58B95AA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15.1投标人的服务承诺应按不低于招标文件中商务要求的标准。</w:t>
      </w:r>
    </w:p>
    <w:p w14:paraId="2989468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15.2提供投标人有关售后服务的管理制度、售后服务机构的分布情况、售后服务人员的数量、素质、技术水平及售后服务的反应能力。</w:t>
      </w:r>
    </w:p>
    <w:p w14:paraId="6E6BB030">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16、投标函和开标一览表</w:t>
      </w:r>
    </w:p>
    <w:p w14:paraId="1802F06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16.1 投标人应按照招标文件中提供的格式完整、正确填写投标函、开标一览表。</w:t>
      </w:r>
    </w:p>
    <w:p w14:paraId="257183B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16.2 开标一览表中的价格应与投标文件中投标产品配置及分项报价表中的价格一致，如不一致，不作为无效投标处理，但评标时按开标一览表中价格为准</w:t>
      </w:r>
      <w:r>
        <w:rPr>
          <w:rFonts w:ascii="宋体" w:hAnsi="宋体" w:cs="宋体"/>
          <w:b/>
        </w:rPr>
        <w:t>。</w:t>
      </w:r>
    </w:p>
    <w:p w14:paraId="01F50052">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17、投标有效期</w:t>
      </w:r>
    </w:p>
    <w:p w14:paraId="689224F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18.1 投标有效期为开标之日后</w:t>
      </w:r>
      <w:r>
        <w:rPr>
          <w:rFonts w:ascii="宋体" w:hAnsi="宋体" w:cs="宋体"/>
          <w:b/>
          <w:u w:val="single"/>
        </w:rPr>
        <w:t>六十（60）天</w:t>
      </w:r>
      <w:r>
        <w:rPr>
          <w:rFonts w:ascii="宋体" w:hAnsi="宋体" w:cs="宋体"/>
        </w:rPr>
        <w:t>。投标有效期比规定短的将被视为非响应性投标而予以拒绝。</w:t>
      </w:r>
    </w:p>
    <w:p w14:paraId="63732FA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p>
    <w:p w14:paraId="3BEC2F00">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18、投标文件份数和签署</w:t>
      </w:r>
    </w:p>
    <w:p w14:paraId="1805DC9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18.1</w:t>
      </w:r>
      <w:r>
        <w:rPr>
          <w:rFonts w:ascii="宋体" w:hAnsi="宋体" w:cs="宋体"/>
          <w:b/>
        </w:rPr>
        <w:t> </w:t>
      </w:r>
      <w:r>
        <w:rPr>
          <w:rFonts w:ascii="宋体" w:hAnsi="宋体" w:cs="宋体"/>
        </w:rPr>
        <w:t>投标人应严格按照招标公告和招标文件要求的份数准备投标文件，每份投标文件须清楚地标明“正本”或“副本”字样。一旦正本和副本不符，以正本为准。</w:t>
      </w:r>
    </w:p>
    <w:p w14:paraId="3D0F17D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18.2</w:t>
      </w:r>
      <w:r>
        <w:rPr>
          <w:rFonts w:ascii="宋体" w:hAnsi="宋体" w:cs="宋体"/>
          <w:b/>
        </w:rPr>
        <w:t> </w:t>
      </w:r>
      <w:r>
        <w:rPr>
          <w:rFonts w:ascii="宋体" w:hAnsi="宋体" w:cs="宋体"/>
        </w:rPr>
        <w:t>投标文件正本中，招标文件要求必须提供原件的按照要求提供，文字材料需打印或用不褪色墨水书写。投标文件的正本须经法定代表人或授权委托人（被授权人）签署和加盖投标人公章。 本采购文件所表述（指定）的公章是指法定名称章，不包括合同专用章、业务专用章等印章。</w:t>
      </w:r>
    </w:p>
    <w:p w14:paraId="3ABA910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18.3 除投标人对错处做必要修改外，投标文件不得行间插字、涂改或增删。如有修改错漏处，必须由投标文件签署人签字或盖章。</w:t>
      </w:r>
    </w:p>
    <w:p w14:paraId="3C15DBD0">
      <w:pPr>
        <w:pStyle w:val="7"/>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四、投标文件的递交</w:t>
      </w:r>
    </w:p>
    <w:p w14:paraId="0CD86B10">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19、投标文件的密封和标记</w:t>
      </w:r>
    </w:p>
    <w:p w14:paraId="11C34D4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19.1投标人应将投标文件正本和所有副本密封，不论投标人中标与否，投标文件均不退回。</w:t>
      </w:r>
    </w:p>
    <w:p w14:paraId="6E1F08E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19.2密封的投标文件应：</w:t>
      </w:r>
    </w:p>
    <w:p w14:paraId="6C86F57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19.2.1注明投标人名称，如因标注不清而产生的后果由投标人自负。按招标公告中注明的地址送达；</w:t>
      </w:r>
    </w:p>
    <w:p w14:paraId="32D8D79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19.2.2 注明投标项目名称、标书编号及包号。</w:t>
      </w:r>
    </w:p>
    <w:p w14:paraId="4232929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19.2.3未按要求密封和加写标记，采购人对误投或过早启封概不负责。对由此造成提前开封的投标文件，采购人将予以拒绝。</w:t>
      </w:r>
    </w:p>
    <w:p w14:paraId="13C3508A">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20、投标截止日期</w:t>
      </w:r>
    </w:p>
    <w:p w14:paraId="19B7721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20.1采购人收到投标文件的时间不得迟于招标公告中规定的截止时间。</w:t>
      </w:r>
    </w:p>
    <w:p w14:paraId="28F2FA6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20.2采购人有权通过修改招标文件酌情延长投标截止日期，在此情况下，投标人的所有权利和义务以及投标人受制的截止日期均应以延长后新的截止日期为准。</w:t>
      </w:r>
    </w:p>
    <w:p w14:paraId="429D27BD">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21、迟交的投标文件</w:t>
      </w:r>
    </w:p>
    <w:p w14:paraId="16243E6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21.1采购人拒绝接收在其规定的投标截止时间后递交的任何投标文件。</w:t>
      </w:r>
    </w:p>
    <w:p w14:paraId="3D12E957">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22、投标文件的修改和撤回</w:t>
      </w:r>
    </w:p>
    <w:p w14:paraId="17E4E0C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22.1投标人在递交投标文件后，可以修改或撤回其投标文件，但这种修改和撤回，必须在规定的投标截止时间前，以书面形式通知采购人，修改或撤回其投标文件。</w:t>
      </w:r>
    </w:p>
    <w:p w14:paraId="75A0459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22.2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采购人。</w:t>
      </w:r>
    </w:p>
    <w:p w14:paraId="56F995D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22.3在投标截止时间之后，投标人不得对其投标文件作任何修改。</w:t>
      </w:r>
    </w:p>
    <w:p w14:paraId="68A0646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22.4在投标截止时间至招标文件中规定的投标有效期满之间的这段时间内，投标人不得撤回其投标。</w:t>
      </w:r>
    </w:p>
    <w:p w14:paraId="7306832E">
      <w:pPr>
        <w:pBdr>
          <w:top w:val="none" w:color="000000" w:sz="0" w:space="0"/>
          <w:left w:val="none" w:color="000000" w:sz="0" w:space="0"/>
          <w:bottom w:val="none" w:color="000000" w:sz="0" w:space="0"/>
          <w:right w:val="none" w:color="000000" w:sz="0" w:space="0"/>
        </w:pBdr>
        <w:spacing w:before="145" w:after="145" w:line="360" w:lineRule="auto"/>
        <w:ind w:firstLine="321"/>
      </w:pPr>
      <w:r>
        <w:rPr>
          <w:rFonts w:ascii="宋体" w:hAnsi="宋体" w:cs="宋体"/>
          <w:b/>
        </w:rPr>
        <w:t>五、开标与评标</w:t>
      </w:r>
    </w:p>
    <w:p w14:paraId="2E6EEA5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23、开标</w:t>
      </w:r>
    </w:p>
    <w:p w14:paraId="7585C2A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23.1采购人将在招标公告中规定的时间和地点组织公开开标。投标人应当按照《操作手册》规定，参加开标活动和在苏采云系统规定的时间内对投标文件进行解密。</w:t>
      </w:r>
    </w:p>
    <w:p w14:paraId="19765E0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23.2开标仪式由采购人组织。苏采云系统将自动对项目进行开标，并宣布各投标人名称和投标价格。</w:t>
      </w:r>
    </w:p>
    <w:p w14:paraId="6D39BC1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23.3投标人在开标过程中涉及到的投标文件解密、开标结果确认等工作，应按照《操作手册》规定执行。</w:t>
      </w:r>
    </w:p>
    <w:p w14:paraId="129E7FE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23.4投标人如果对开标过程和开标记录有疑义，应当根据《操作手册》规定提出，如苏采云系统中《开标记录表》宣布后5分钟内未提出的，视同认可开标结果。</w:t>
      </w:r>
    </w:p>
    <w:p w14:paraId="5F2606A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24、资格审查</w:t>
      </w:r>
    </w:p>
    <w:p w14:paraId="7A22C6D8">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p>
    <w:p w14:paraId="1B9923D3">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p>
    <w:p w14:paraId="60F0ED1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接受联合体的项目，两个以上的自然人、法人或者其他组织组成一个联合体，以一个供应商的身份共同参加政府采购活动的,联合体成员存在不良信用记录的，视同联合体存在不良应用记录。</w:t>
      </w:r>
    </w:p>
    <w:p w14:paraId="68EAEAE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合格投标人不足3家的，不得评标。</w:t>
      </w:r>
    </w:p>
    <w:p w14:paraId="31391BAD">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25、评标委员会</w:t>
      </w:r>
    </w:p>
    <w:p w14:paraId="524127E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25.1资格审查通过后，采购人将组织评标委员会（以下简称评委会）进行评标。</w:t>
      </w:r>
    </w:p>
    <w:p w14:paraId="0A32B9D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25.2 评委会由采购人代表和有关技术、经济等方面的专家组成，且人员构成符合政府采购有关规定。</w:t>
      </w:r>
    </w:p>
    <w:p w14:paraId="594A59D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25.3评委会独立工作，负责评审所有投标文件并确定中标侯选人。</w:t>
      </w:r>
    </w:p>
    <w:p w14:paraId="758AEF53">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26、评标过程的保密与公正</w:t>
      </w:r>
    </w:p>
    <w:p w14:paraId="2A519A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26.1公开开标后，直至签订合同之日止，凡是与审查、澄清、评价和比较投标的有关资料以及授标建议等，采购人、评委、采购人均不得向投标人或与评标无关的其他人员透露。</w:t>
      </w:r>
    </w:p>
    <w:p w14:paraId="6352BD8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26.2在评标过程中，投标人不得以任何行为影响评标过程，否则其投标文件将被作为无效投标文件。</w:t>
      </w:r>
    </w:p>
    <w:p w14:paraId="1B67E14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26.3在评标期间，采购人将设专门人员与投标人联系。</w:t>
      </w:r>
    </w:p>
    <w:p w14:paraId="22DDDD5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26.4 采购人和评标委员会不向落标的投标人解释未中标原因，也不公布评标过程中的相关细节。</w:t>
      </w:r>
    </w:p>
    <w:p w14:paraId="7D29C28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26.5 采用综合评分法的项目，未中标的投标人如需了解自己的评审得分及排序情况，可向采购人提出申请。</w:t>
      </w:r>
    </w:p>
    <w:p w14:paraId="400BCE24">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27、投标的澄清</w:t>
      </w:r>
    </w:p>
    <w:p w14:paraId="2D0F5D3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27.1评标期间，为有助于对投标文件的审查、评价和比较，评委会有权以书面形式要求投标人对其投标文件进行澄清，但并非对每个投标人都作澄清要求。</w:t>
      </w:r>
    </w:p>
    <w:p w14:paraId="5F37118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27.2接到评委会澄清要求的投标人应派人按评委会通知的时间和地点做出书面澄清，书面澄清的内容须由投标人法人或授权代表签署，并作为投标文件的补充部分，但投标的价格和实质性的内容不得做任何更改。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5C035BB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27.3 接到评委会澄清要求的投标人如未按规定做出澄清，其风险由投标人自行承担。</w:t>
      </w:r>
    </w:p>
    <w:p w14:paraId="2CA08545">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28、对投标文件的评审</w:t>
      </w:r>
    </w:p>
    <w:p w14:paraId="6CABA6E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28.1符合性检查：依据招标文件的规定，从投标文件的有效性、完整性和对招标文件的响应程度进行审查，以确定是否对招标文件的实质性要求作出响应。</w:t>
      </w:r>
    </w:p>
    <w:p w14:paraId="6E65A3F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28.2在详细评标之前，评委会将首先审查每份投标文件是否实质性响应了招标文件的要求。实质性响应的投标应该是与招标文件要求的全部条款、条件和规格相符，没有重大偏离或保留的投标。</w:t>
      </w:r>
    </w:p>
    <w:p w14:paraId="51222C1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38E7DE5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28.3如果投标文件实质上没有响应招标文件的要求，评委会将按无效投标处理，投标人不得通过修改或撤销不合要求的偏离或保留而使其投标成为实质性响应的投标。</w:t>
      </w:r>
    </w:p>
    <w:p w14:paraId="27B71DD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28.4评委会将对确定为实质性响应的投标进行进一步审核，看其是否有计算上或累加上的算术错误，修正错误的原则如下：</w:t>
      </w:r>
    </w:p>
    <w:p w14:paraId="03181AD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（1）投标文件中开标一览表内容与投标文件中相应内容不一致的，以开标一览表为准。</w:t>
      </w:r>
    </w:p>
    <w:p w14:paraId="1603455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（2）大写金额和小写金额不一致的，以大写金额为准。</w:t>
      </w:r>
    </w:p>
    <w:p w14:paraId="27E9F8F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（3）单价金额小数点或者百分比有明显错位的，以开标一览表的总价为准，并修改单价。</w:t>
      </w:r>
    </w:p>
    <w:p w14:paraId="6437FB8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（4）总价金额与按单价汇总金额不一致的，以单价金额计算结果为准。</w:t>
      </w:r>
    </w:p>
    <w:p w14:paraId="6F19281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同时出现两种以上错误的，按照前款规定的顺序修正。</w:t>
      </w:r>
    </w:p>
    <w:p w14:paraId="5CC47B6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28.5评委会将按上述修正错误的方法调整投标文件中的投标报价，调整后的价格应对投标人具有约束力。如果投标人不接受修正后的价格，则其投标将被拒绝。</w:t>
      </w:r>
    </w:p>
    <w:p w14:paraId="5442845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28.6评委会将允许修正投标文件中不构成重大偏离的、微小的、非正规的、不一致的或不规则的地方，但这些修改不能影响任何投标人相应的名次排列。</w:t>
      </w:r>
    </w:p>
    <w:p w14:paraId="1A4700E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28.7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282575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19142E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非单一产品采购项目，采购人应当根据采购项目技术构成、产品价格比重等合理确定核心产品，并在招标文件中载明。多家投标人提供的核心产品品牌相同的，按前两款规定处理。(87号令第31条)</w:t>
      </w:r>
    </w:p>
    <w:p w14:paraId="37BBD495">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29、无效投标条款和废标条款</w:t>
      </w:r>
    </w:p>
    <w:p w14:paraId="5ADD6149">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29.1无效投标条款</w:t>
      </w:r>
    </w:p>
    <w:p w14:paraId="5A5FC6F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29.1.1未按照招标文件规定格式要求密封、签署、盖章的；</w:t>
      </w:r>
    </w:p>
    <w:p w14:paraId="7D93C9E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29.1.2投标人在报价时采用选择性报价；</w:t>
      </w:r>
    </w:p>
    <w:p w14:paraId="3BD10E5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29.1.3投标人不具备招标文件中规定资格要求的；</w:t>
      </w:r>
    </w:p>
    <w:p w14:paraId="7B912B4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29.1.4投标人的报价超过了采购预算或最高限价的；</w:t>
      </w:r>
    </w:p>
    <w:p w14:paraId="734289D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29.1.5未通过符合性检查的；</w:t>
      </w:r>
    </w:p>
    <w:p w14:paraId="49B540D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29.1.6不符合招标文件中规定的其他实质性要求和条件的；</w:t>
      </w:r>
    </w:p>
    <w:p w14:paraId="735164F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29.1.7投标人串通投标；</w:t>
      </w:r>
    </w:p>
    <w:p w14:paraId="3F4C747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ascii="宋体" w:hAnsi="宋体" w:cs="宋体"/>
        </w:rPr>
        <w:t>29.1.8投标文件含有采购人不能接受的附加条件的。</w:t>
      </w:r>
    </w:p>
    <w:p w14:paraId="2D994EE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rPr>
        <w:t>29.1.9</w:t>
      </w:r>
      <w:r>
        <w:rPr>
          <w:rFonts w:hint="eastAsia" w:ascii="宋体" w:hAnsi="宋体" w:cs="宋体"/>
          <w:lang w:val="zh-CN"/>
        </w:rPr>
        <w:t>供应商不能证明其报价合理性的，评标委员会应当将其作为无效投标处理。</w:t>
      </w:r>
    </w:p>
    <w:p w14:paraId="0D1F872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lang w:val="zh-CN"/>
        </w:rPr>
        <w:t>（一）评审过程中出现下列情形之一的，评标委员会应当启动异常低价投标审查程序：</w:t>
      </w:r>
    </w:p>
    <w:p w14:paraId="2A169C3D">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lang w:val="zh-CN"/>
        </w:rPr>
        <w:t>1.投标报价低于采购项目预算50%的，即投标报价&lt;采购项目预算×50%；</w:t>
      </w:r>
    </w:p>
    <w:p w14:paraId="611A6B3D">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lang w:val="zh-CN"/>
        </w:rPr>
        <w:t>2.投标报价低于采购项目最高限价45%的，即投标报价&lt;采购项目最高限价×45%；</w:t>
      </w:r>
    </w:p>
    <w:p w14:paraId="3F145F3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lang w:val="zh-CN"/>
        </w:rPr>
        <w:t>3.评标委员会认定的供应商报价过低、有可能影响产品质量或者不能诚信履约的其他情形。</w:t>
      </w:r>
    </w:p>
    <w:p w14:paraId="08F2DFD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hint="eastAsia" w:ascii="宋体" w:hAnsi="宋体" w:cs="宋体"/>
          <w:lang w:val="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宋体"/>
        </w:rPr>
        <w:t>。</w:t>
      </w:r>
    </w:p>
    <w:p w14:paraId="0BB00546">
      <w:pPr>
        <w:pBdr>
          <w:top w:val="none" w:color="000000" w:sz="0" w:space="0"/>
          <w:left w:val="none" w:color="000000" w:sz="0" w:space="0"/>
          <w:bottom w:val="none" w:color="000000" w:sz="0" w:space="0"/>
          <w:right w:val="none" w:color="000000" w:sz="0" w:space="0"/>
        </w:pBdr>
        <w:spacing w:line="360" w:lineRule="auto"/>
        <w:ind w:firstLine="420"/>
        <w:rPr>
          <w:rFonts w:eastAsia="Times New Roman"/>
        </w:rPr>
      </w:pPr>
      <w:r>
        <w:rPr>
          <w:rFonts w:ascii="宋体" w:hAnsi="宋体" w:cs="宋体"/>
        </w:rPr>
        <w:t>29.1.10其他法律、法规及本招标文件规定的属无效投标的情形。</w:t>
      </w:r>
    </w:p>
    <w:p w14:paraId="13F4347F">
      <w:pPr>
        <w:pBdr>
          <w:top w:val="none" w:color="000000" w:sz="0" w:space="0"/>
          <w:left w:val="none" w:color="000000" w:sz="0" w:space="0"/>
          <w:bottom w:val="none" w:color="000000" w:sz="0" w:space="0"/>
          <w:right w:val="none" w:color="000000" w:sz="0" w:space="0"/>
        </w:pBdr>
        <w:spacing w:line="360" w:lineRule="auto"/>
        <w:ind w:firstLine="422"/>
        <w:jc w:val="left"/>
        <w:rPr>
          <w:rFonts w:ascii="宋体" w:hAnsi="宋体" w:cs="宋体"/>
        </w:rPr>
      </w:pPr>
      <w:r>
        <w:rPr>
          <w:rFonts w:ascii="宋体" w:hAnsi="宋体" w:cs="宋体"/>
          <w:b/>
        </w:rPr>
        <w:t>29.2废标条款：</w:t>
      </w:r>
      <w:r>
        <w:rPr>
          <w:rFonts w:ascii="宋体" w:hAnsi="宋体" w:cs="宋体"/>
        </w:rPr>
        <w:t> </w:t>
      </w:r>
    </w:p>
    <w:p w14:paraId="050DA49C">
      <w:pPr>
        <w:pBdr>
          <w:top w:val="none" w:color="000000" w:sz="0" w:space="0"/>
          <w:left w:val="none" w:color="000000" w:sz="0" w:space="0"/>
          <w:bottom w:val="none" w:color="000000" w:sz="0" w:space="0"/>
          <w:right w:val="none" w:color="000000" w:sz="0" w:space="0"/>
        </w:pBdr>
        <w:spacing w:line="360" w:lineRule="auto"/>
        <w:ind w:firstLine="422"/>
        <w:jc w:val="left"/>
        <w:rPr>
          <w:rFonts w:eastAsia="Times New Roman"/>
        </w:rPr>
      </w:pPr>
      <w:r>
        <w:rPr>
          <w:rFonts w:ascii="宋体" w:hAnsi="宋体" w:cs="宋体"/>
        </w:rPr>
        <w:t>29.2.1符合专业条件的供应商或者对招标文件作实质响应的供应商不足三家的；</w:t>
      </w:r>
    </w:p>
    <w:p w14:paraId="2C7DA61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29.2.2出现影响采购公正的违法、违规行为的；</w:t>
      </w:r>
    </w:p>
    <w:p w14:paraId="06A3890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29.2.3因重大变故，采购任务取消的；</w:t>
      </w:r>
    </w:p>
    <w:p w14:paraId="540621F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29.2.4评标委员会认定招标文件存在歧义、 重大缺陷导致评审工作无法进行。</w:t>
      </w:r>
    </w:p>
    <w:p w14:paraId="17B40AC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29.3 投标截止时间结束后参加投标的供应商不足三家的处理：</w:t>
      </w:r>
    </w:p>
    <w:p w14:paraId="55BEBF2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29.3.1如出现投标截止时间结束后参加投标的供应商或者在评标期间对招标文件做出实质响应的供应商不足三家情况，按财政部第八十七号令第四十三条的规定执行。</w:t>
      </w:r>
    </w:p>
    <w:p w14:paraId="1DFD2E1D">
      <w:pPr>
        <w:pStyle w:val="7"/>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六、定标</w:t>
      </w:r>
    </w:p>
    <w:p w14:paraId="43903918">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30、确定中标单位</w:t>
      </w:r>
    </w:p>
    <w:p w14:paraId="5EB3183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30.1评委会根据本招标文件规定评标方法与评标标准向采购人推荐出中标候选人。</w:t>
      </w:r>
    </w:p>
    <w:p w14:paraId="6E7B787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30.2 采购人应根据评委会推荐的中标候选人确定中标供应商。</w:t>
      </w:r>
    </w:p>
    <w:p w14:paraId="58170A7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30.3采购人将在“中国政府采购网”、 “江苏政府采购网”、“盐城市政府采购网”发布中标公告，公告期限为1个工作日。</w:t>
      </w:r>
    </w:p>
    <w:p w14:paraId="432F13C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30.4若有充分证据证明，中标供应商出现下列情况之一的，一经查实，将被取消中标资格：</w:t>
      </w:r>
    </w:p>
    <w:p w14:paraId="5844559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30.4.1提供虚假材料谋取中标的；</w:t>
      </w:r>
    </w:p>
    <w:p w14:paraId="7781AA9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30.4.2向采购人、代理公司行贿或者提供其他不正当利益的；</w:t>
      </w:r>
    </w:p>
    <w:p w14:paraId="76072CF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30.4.3恶意竞争，投标总报价明显低于其自身合理成本且又无法提供证明的；</w:t>
      </w:r>
    </w:p>
    <w:p w14:paraId="66F8737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30.4.4属于本文件规定的无效条件，但在评标过程中又未被评委会发现的；</w:t>
      </w:r>
    </w:p>
    <w:p w14:paraId="584CAA7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30.4.5与采购人或者其他供应商恶意串通的；</w:t>
      </w:r>
    </w:p>
    <w:p w14:paraId="2D5898C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30.4.6采取不正当手段诋毁、排挤其他供应商的；</w:t>
      </w:r>
    </w:p>
    <w:p w14:paraId="7A8D991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30.4.7不符合</w:t>
      </w:r>
      <w:r>
        <w:rPr>
          <w:rFonts w:hint="eastAsia" w:ascii="宋体" w:hAnsi="宋体" w:cs="宋体"/>
        </w:rPr>
        <w:t>法律法规</w:t>
      </w:r>
      <w:r>
        <w:rPr>
          <w:rFonts w:ascii="宋体" w:hAnsi="宋体" w:cs="宋体"/>
        </w:rPr>
        <w:t>的规定的。</w:t>
      </w:r>
    </w:p>
    <w:p w14:paraId="77E7501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 有下列情形之一的，视为投标人串通投标，投标无效：</w:t>
      </w:r>
    </w:p>
    <w:p w14:paraId="618C821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30.5.1不同投标人的投标文件由同一单位或者个人编制。</w:t>
      </w:r>
    </w:p>
    <w:p w14:paraId="2D8C239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30.5.2不同投标人委托同一单位或者个人办理投标事宜。</w:t>
      </w:r>
    </w:p>
    <w:p w14:paraId="1BB237C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30.5.3 不同投标人的投标文件载明的项目管理成员或者联系人员为同一人。</w:t>
      </w:r>
    </w:p>
    <w:p w14:paraId="6508145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30.5.4不同投标人的投标文件异常一致或者投标报价呈规律性差异。</w:t>
      </w:r>
    </w:p>
    <w:p w14:paraId="0D3857C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30.5.5不同投标人的投标文件相互混装。</w:t>
      </w:r>
    </w:p>
    <w:p w14:paraId="2E0F65BE">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31、质疑处理</w:t>
      </w:r>
    </w:p>
    <w:p w14:paraId="35FDA1E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31.1供应商认为采购文件、采购过程、中标或者成交结果使自己的权益</w:t>
      </w:r>
      <w:r>
        <w:rPr>
          <w:rFonts w:hint="eastAsia" w:ascii="宋体" w:hAnsi="宋体" w:cs="宋体"/>
        </w:rPr>
        <w:t>受到</w:t>
      </w:r>
      <w:r>
        <w:rPr>
          <w:rFonts w:ascii="宋体" w:hAnsi="宋体" w:cs="宋体"/>
        </w:rPr>
        <w:t>损害的，可以在知道或者应知其权益受到损害之日起7个工作日内，以书面形式在法定质疑期内一次性提出针对同一采购程序环节的质疑。供应商提出质疑应当符合财政部令第94号《政府采购质疑和投诉办法》相关规定。上述应知其权益受到损害之日，是指：</w:t>
      </w:r>
    </w:p>
    <w:p w14:paraId="55D0EA6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31.1.1对可以质疑的招标文件提出质疑的，为收到招标文件之日或者招标文件公告期限届满之日；</w:t>
      </w:r>
    </w:p>
    <w:p w14:paraId="15D3A7A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31.1.2对采购过程提出质疑的，为各采购程序环节结束之日；</w:t>
      </w:r>
    </w:p>
    <w:p w14:paraId="17BD439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31.1.3对中标结果提出质疑的，为中标结果公告期限届满之日。</w:t>
      </w:r>
    </w:p>
    <w:p w14:paraId="1516B0F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31.2质疑必须按《政府采购法》、《政府采购法实施条例》及《江苏省政府采购供应商监督管理暂行办法》的相关规定提交，未按上述要求提交的质疑函（含传真、电子邮件等）采购人有权不予受理。</w:t>
      </w:r>
    </w:p>
    <w:p w14:paraId="764E099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31.3未参加投标活动的供应商或在投标活动中自身权益未受到损害的供应商所提出的质疑不予受理。</w:t>
      </w:r>
    </w:p>
    <w:p w14:paraId="2B1B0EF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31.4质疑函应当包括下列内容：</w:t>
      </w:r>
    </w:p>
    <w:p w14:paraId="6D18BA0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31.4.1质疑投标人的名称、地址、邮编、联系人、联系电话；</w:t>
      </w:r>
    </w:p>
    <w:p w14:paraId="518072C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31.4.2具体的质疑事项及明确的请求；</w:t>
      </w:r>
    </w:p>
    <w:p w14:paraId="18DCF3D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31.4.3认为自己合法权益受到损害或可能受到损害的相关证据材料；</w:t>
      </w:r>
    </w:p>
    <w:p w14:paraId="6BAD41E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31.4.4提起质疑的日期；</w:t>
      </w:r>
    </w:p>
    <w:p w14:paraId="4CC2C1A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p>
    <w:p w14:paraId="0257179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31.5采购人收到质疑函后，将对质疑的形式和内容进行审查，如质疑函内容、格式不符合规定，采购人将告知质疑人进行补正。</w:t>
      </w:r>
    </w:p>
    <w:p w14:paraId="5F7830C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31.6质疑人应当在法定质疑期限内进行补正并重新提交质疑函，拒不补正或者在法定期限内未重新提交质疑函的，为无效质疑，采购人将不予受理。</w:t>
      </w:r>
    </w:p>
    <w:p w14:paraId="4113212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31.7对于内容、格式符合规定的质疑函，采购人应当在收到投标供应商的书面质疑后七个工作日内作出答复，并以书面形式通知质疑供应商和其他有关供应商，但答复的内容不得涉及商业秘密。</w:t>
      </w:r>
    </w:p>
    <w:p w14:paraId="606EB54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31.8投标人提出书面质疑必须有理、有据，不得恶意质疑或提交虚假质疑。否则，一经查实，采购人有权依据政府采购的有关规定，报请政府采购监管部门对该投标人进行相应的行政处罚，并扣减其诚信记录分。</w:t>
      </w:r>
    </w:p>
    <w:p w14:paraId="0B34C25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32、投诉</w:t>
      </w:r>
    </w:p>
    <w:p w14:paraId="105C53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质疑供应商对采购人、采购代理机构的答复不满意的，或者采购人、采购代理机构未在规定时间内作出答复的，可以在答复期满后15个工作日内向盐城市大丰区财政局提起投诉。提起投诉应当符合财政部令第94号《政府采购质疑和投诉办法》相关规定。</w:t>
      </w:r>
    </w:p>
    <w:p w14:paraId="2A3D2BC9">
      <w:pPr>
        <w:pStyle w:val="8"/>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33、中标通知书</w:t>
      </w:r>
    </w:p>
    <w:p w14:paraId="6961CDD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33.l中标结果确定后，采购人将向中标供应商发出中标通知书。</w:t>
      </w:r>
    </w:p>
    <w:p w14:paraId="1E2ADBE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33.2中标通知书将是合同的一个组成部分。对采购人和中标供应商均具有法律效力。中标通知书发出后，采购人改变中标结果的，或者中标供应商放弃中标项目的，应当依法承担法律责任。</w:t>
      </w:r>
    </w:p>
    <w:p w14:paraId="7F6BA740">
      <w:pPr>
        <w:keepNext/>
        <w:keepLines/>
        <w:spacing w:line="480" w:lineRule="exact"/>
        <w:ind w:firstLine="482"/>
        <w:outlineLvl w:val="2"/>
        <w:rPr>
          <w:rFonts w:ascii="宋体" w:hAnsi="宋体"/>
          <w:b/>
          <w:bCs/>
          <w:sz w:val="24"/>
          <w:szCs w:val="24"/>
        </w:rPr>
      </w:pPr>
      <w:r>
        <w:rPr>
          <w:rFonts w:hint="eastAsia" w:ascii="宋体" w:hAnsi="宋体"/>
          <w:b/>
          <w:bCs/>
          <w:sz w:val="24"/>
          <w:szCs w:val="24"/>
        </w:rPr>
        <w:t>七、合同签订相关事项</w:t>
      </w:r>
    </w:p>
    <w:p w14:paraId="2B4F1962">
      <w:pPr>
        <w:keepNext/>
        <w:keepLines/>
        <w:spacing w:line="480" w:lineRule="exact"/>
        <w:ind w:firstLine="480"/>
        <w:outlineLvl w:val="3"/>
        <w:rPr>
          <w:rFonts w:ascii="宋体" w:hAnsi="宋体"/>
          <w:bCs/>
        </w:rPr>
      </w:pPr>
      <w:r>
        <w:rPr>
          <w:rFonts w:hint="eastAsia" w:ascii="宋体" w:hAnsi="宋体"/>
          <w:bCs/>
        </w:rPr>
        <w:t>33、签订合同</w:t>
      </w:r>
    </w:p>
    <w:p w14:paraId="566F1839">
      <w:pPr>
        <w:spacing w:line="480" w:lineRule="exact"/>
        <w:ind w:firstLine="480"/>
        <w:rPr>
          <w:rFonts w:ascii="宋体" w:hAnsi="宋体"/>
        </w:rPr>
      </w:pPr>
      <w:r>
        <w:rPr>
          <w:rFonts w:hint="eastAsia" w:ascii="宋体" w:hAnsi="宋体"/>
          <w:bCs/>
        </w:rPr>
        <w:t>33.l</w:t>
      </w:r>
      <w:r>
        <w:rPr>
          <w:rFonts w:hint="eastAsia" w:ascii="宋体" w:hAnsi="宋体"/>
        </w:rPr>
        <w:t>中标人应按中标通知书规定的时间、地点,按照招标文件确定的事项与采购人签订政府采购合同，且不得迟于中标通知书发出之日起三十日，由此给采购人造成损失的，中标人还应承担赔偿责任。</w:t>
      </w:r>
    </w:p>
    <w:p w14:paraId="58097877">
      <w:pPr>
        <w:spacing w:line="480" w:lineRule="exact"/>
        <w:ind w:firstLine="480"/>
        <w:rPr>
          <w:rFonts w:ascii="宋体" w:hAnsi="宋体"/>
        </w:rPr>
      </w:pPr>
      <w:r>
        <w:rPr>
          <w:rFonts w:hint="eastAsia" w:ascii="宋体" w:hAnsi="宋体"/>
        </w:rPr>
        <w:t>33.2招标文件、中标人的投标文件及招标过程中有关澄清、承诺文件均应作为合同附件。</w:t>
      </w:r>
    </w:p>
    <w:p w14:paraId="7D11FDB3">
      <w:pPr>
        <w:spacing w:line="480" w:lineRule="exact"/>
        <w:ind w:firstLine="480"/>
        <w:rPr>
          <w:rFonts w:ascii="宋体" w:hAnsi="宋体"/>
        </w:rPr>
      </w:pPr>
      <w:r>
        <w:rPr>
          <w:rFonts w:hint="eastAsia" w:ascii="宋体" w:hAnsi="宋体"/>
        </w:rPr>
        <w:t>33.3 签订合同后，中标人不得将相关服务进行转包。未经采购人同意，中标人也不得采用分包的形式履行合同，否则采购人有权终止合同，中标人的履约保证金将不予退还。转包或分包造成采购人损失的，中标人应承担相应赔偿责任。</w:t>
      </w:r>
    </w:p>
    <w:p w14:paraId="19F43E2C">
      <w:pPr>
        <w:spacing w:line="480" w:lineRule="exact"/>
        <w:ind w:firstLine="482"/>
        <w:rPr>
          <w:rFonts w:ascii="宋体" w:hAnsi="宋体"/>
        </w:rPr>
      </w:pPr>
      <w:r>
        <w:rPr>
          <w:rFonts w:hint="eastAsia" w:ascii="宋体" w:hAnsi="宋体"/>
          <w:b/>
          <w:bCs/>
        </w:rPr>
        <w:t>33.4中标或者成交后无正当理由拒不与采购人签订政府采购合同的，将被列入不良行为记录名单，在一至三年内禁止参加政府采购活动。</w:t>
      </w:r>
    </w:p>
    <w:p w14:paraId="712C1E4B">
      <w:pPr>
        <w:keepNext/>
        <w:keepLines/>
        <w:spacing w:line="480" w:lineRule="exact"/>
        <w:ind w:firstLine="480"/>
        <w:outlineLvl w:val="3"/>
        <w:rPr>
          <w:rFonts w:ascii="宋体" w:hAnsi="宋体"/>
        </w:rPr>
      </w:pPr>
      <w:r>
        <w:rPr>
          <w:rFonts w:hint="eastAsia" w:ascii="宋体" w:hAnsi="宋体"/>
        </w:rPr>
        <w:t>34、货物（包含与货物相关的服务）的追加</w:t>
      </w:r>
    </w:p>
    <w:p w14:paraId="7996816C">
      <w:pPr>
        <w:keepNext/>
        <w:keepLines/>
        <w:spacing w:line="480" w:lineRule="exact"/>
        <w:ind w:firstLine="480"/>
        <w:outlineLvl w:val="3"/>
        <w:rPr>
          <w:rFonts w:ascii="宋体" w:hAnsi="宋体"/>
        </w:rPr>
      </w:pPr>
      <w:r>
        <w:rPr>
          <w:rFonts w:hint="eastAsia" w:ascii="宋体" w:hAnsi="宋体"/>
        </w:rPr>
        <w:t>3</w:t>
      </w:r>
      <w:r>
        <w:rPr>
          <w:rFonts w:ascii="宋体" w:hAnsi="宋体"/>
        </w:rPr>
        <w:t>4</w:t>
      </w:r>
      <w:r>
        <w:rPr>
          <w:rFonts w:hint="eastAsia" w:ascii="宋体" w:hAnsi="宋体"/>
        </w:rPr>
        <w:t>.1政府采购合同履行中，采购人需追加与合同标的相同的货物（包含与货物相关的服务）的，在不改变合同其他条款的前提下，可以与中标人协商签订补充合同，但所有补充合同的采购金额不超过原合同金额10%。</w:t>
      </w:r>
    </w:p>
    <w:p w14:paraId="643FE29C">
      <w:pPr>
        <w:tabs>
          <w:tab w:val="left" w:pos="920"/>
        </w:tabs>
        <w:spacing w:line="460" w:lineRule="exact"/>
        <w:ind w:firstLine="480"/>
        <w:jc w:val="left"/>
        <w:rPr>
          <w:rFonts w:ascii="宋体" w:hAnsi="宋体"/>
          <w:bCs/>
        </w:rPr>
      </w:pPr>
      <w:r>
        <w:rPr>
          <w:rFonts w:ascii="宋体" w:hAnsi="宋体"/>
          <w:bCs/>
        </w:rPr>
        <w:t>35</w:t>
      </w:r>
      <w:r>
        <w:rPr>
          <w:rFonts w:hint="eastAsia" w:ascii="宋体" w:hAnsi="宋体"/>
          <w:bCs/>
        </w:rPr>
        <w:t>、政府采购政策功能落实</w:t>
      </w:r>
    </w:p>
    <w:p w14:paraId="18B6BA05">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.1政府采购线上合同信用融资政策</w:t>
      </w:r>
    </w:p>
    <w:p w14:paraId="36818FAE">
      <w:pPr>
        <w:tabs>
          <w:tab w:val="left" w:pos="920"/>
        </w:tabs>
        <w:spacing w:line="460" w:lineRule="exact"/>
        <w:ind w:firstLine="482"/>
        <w:jc w:val="left"/>
        <w:rPr>
          <w:rFonts w:ascii="宋体" w:hAnsi="宋体"/>
          <w:b/>
          <w:bCs/>
        </w:rPr>
      </w:pPr>
      <w:r>
        <w:rPr>
          <w:rFonts w:hint="eastAsia" w:ascii="宋体" w:hAnsi="宋体"/>
          <w:b/>
          <w:bCs/>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689140AD">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.2进口产品</w:t>
      </w:r>
    </w:p>
    <w:p w14:paraId="0C84F8D5">
      <w:pPr>
        <w:tabs>
          <w:tab w:val="left" w:pos="920"/>
        </w:tabs>
        <w:spacing w:line="460" w:lineRule="exact"/>
        <w:ind w:firstLine="480"/>
        <w:jc w:val="left"/>
        <w:rPr>
          <w:rFonts w:ascii="宋体" w:hAnsi="宋体"/>
          <w:bCs/>
        </w:rPr>
      </w:pPr>
      <w:r>
        <w:rPr>
          <w:rFonts w:hint="eastAsia" w:ascii="宋体" w:hAnsi="宋体"/>
          <w:bCs/>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3E3DDE0">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.3中小企业、监狱企业及残疾人福利性单位</w:t>
      </w:r>
    </w:p>
    <w:p w14:paraId="534C2411">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.3.1中小企业定义：</w:t>
      </w:r>
    </w:p>
    <w:p w14:paraId="66F9D770">
      <w:pPr>
        <w:tabs>
          <w:tab w:val="left" w:pos="920"/>
        </w:tabs>
        <w:spacing w:line="460" w:lineRule="exact"/>
        <w:ind w:firstLine="480"/>
        <w:jc w:val="left"/>
        <w:rPr>
          <w:rFonts w:ascii="宋体" w:hAnsi="宋体"/>
          <w:bCs/>
        </w:rPr>
      </w:pPr>
      <w:r>
        <w:rPr>
          <w:rFonts w:hint="eastAsia" w:ascii="宋体" w:hAnsi="宋体"/>
          <w:bCs/>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5F0E6D2">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.3.2供应商提供的货物、工程或者服务符合下列情形的，享受中小企业扶持政策：</w:t>
      </w:r>
    </w:p>
    <w:p w14:paraId="2880CAF7">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.3.2.1在货物采购项目中，货物由中小企业制造，即货物由中小企业生产且使用该中小企业商号或者注册商标；</w:t>
      </w:r>
    </w:p>
    <w:p w14:paraId="1CCFD162">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.3.2.2在工程采购项目中，工程由中小企业承建，即工程施工单位为中小企业；</w:t>
      </w:r>
    </w:p>
    <w:p w14:paraId="2E6217E0">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.3.2.3在服务采购项目中，服务由中小企业承接，即提供服务的人员为中小企业依照《中华人民共和国劳动合同法》订立劳动合同的从业人员。</w:t>
      </w:r>
    </w:p>
    <w:p w14:paraId="2FE059A4">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.3.3在货物采购项目中，供应商提供的货物既有中小企业制造货物，也有大型企业制造货物的，不享受中小企业扶持政策。</w:t>
      </w:r>
    </w:p>
    <w:p w14:paraId="11C283ED">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.3.4以联合体形式参加政府采购活动，联合体各方均为中小企业的，联合体视同中小企业。其中，联合体各方均为小微企业的，联合体视同小微企业。</w:t>
      </w:r>
    </w:p>
    <w:p w14:paraId="5D921E0F">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9DE7B98">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.3.6残疾人福利单位定义：享受政府采购支持政策的残疾人福利性单位应当同时满足以下条件：</w:t>
      </w:r>
    </w:p>
    <w:p w14:paraId="766AB917">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.3.6.1安置的残疾人占本单位在职职工人数的比例不低于25%（含25%），并且安置的残疾人人数不少于10 人（含10 人）；</w:t>
      </w:r>
    </w:p>
    <w:p w14:paraId="139964D6">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.3.6.2依法与安置的每位残疾人签订了一年以上（含一年）的劳动合同或服务协议；</w:t>
      </w:r>
    </w:p>
    <w:p w14:paraId="657DDAE9">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.3.6.3为安置的每位残疾人按月足额缴纳了基本养老保险、基本医疗保险、失业保险、工伤保险和生育保险等社会保险费；</w:t>
      </w:r>
    </w:p>
    <w:p w14:paraId="2EEBC909">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.3.6.4通过银行等金融机构向安置的每位残疾人，按月支付了不低于单位所在区县适用的经省级人民政府批准的月最低工资标准的工资；</w:t>
      </w:r>
    </w:p>
    <w:p w14:paraId="6C0B673D">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.3.6.5提供本单位制造的货物、承担的工程或者服务（以下简称产品），或者提供其他残疾人福利性单位制造的货物（不包括使用非残疾人福利性单位注册商标的货物）；</w:t>
      </w:r>
    </w:p>
    <w:p w14:paraId="2CB4C8B6">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2B5DB1E">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.3.7本项目是否专门面向中小企业预留采购份额见《招标公告》。</w:t>
      </w:r>
    </w:p>
    <w:p w14:paraId="3BE20F23">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.3.8采购标的对应的中小企业划分标准所属行业见《采购需求》。</w:t>
      </w:r>
    </w:p>
    <w:p w14:paraId="7A9EA0CE">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.3.9小微企业价格评审优惠的政策：见《评标方法及评分标准》。</w:t>
      </w:r>
    </w:p>
    <w:p w14:paraId="1A37DAD3">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.4政府采购节能产品、环境标志产品</w:t>
      </w:r>
    </w:p>
    <w:p w14:paraId="47CB36E4">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DE8019B">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A22771C">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.5绿色包装</w:t>
      </w:r>
    </w:p>
    <w:p w14:paraId="63F3C094">
      <w:pPr>
        <w:tabs>
          <w:tab w:val="left" w:pos="920"/>
        </w:tabs>
        <w:spacing w:line="460" w:lineRule="exact"/>
        <w:ind w:firstLine="480"/>
        <w:jc w:val="left"/>
        <w:rPr>
          <w:rFonts w:ascii="宋体" w:hAnsi="宋体"/>
          <w:bCs/>
        </w:rPr>
      </w:pPr>
      <w:r>
        <w:rPr>
          <w:rFonts w:hint="eastAsia" w:ascii="宋体" w:hAnsi="宋体"/>
          <w:bCs/>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4F6A11E">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.6政府采购创新产品</w:t>
      </w:r>
    </w:p>
    <w:p w14:paraId="49C1B2A3">
      <w:pPr>
        <w:tabs>
          <w:tab w:val="left" w:pos="920"/>
        </w:tabs>
        <w:spacing w:line="460" w:lineRule="exact"/>
        <w:ind w:firstLine="480"/>
        <w:jc w:val="left"/>
        <w:rPr>
          <w:rFonts w:ascii="宋体" w:hAnsi="宋体"/>
          <w:bCs/>
        </w:rPr>
      </w:pPr>
      <w:r>
        <w:rPr>
          <w:rFonts w:hint="eastAsia" w:ascii="宋体" w:hAnsi="宋体"/>
          <w:bCs/>
        </w:rPr>
        <w:t>采购人优先采购各级政府部门公开发布的有效期内的创新产品、创新服务、首台套、首购首用等《目录》的创新产品。</w:t>
      </w:r>
    </w:p>
    <w:p w14:paraId="323718F2">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 xml:space="preserve">.7绿色数据中心政策 </w:t>
      </w:r>
    </w:p>
    <w:p w14:paraId="42B40EBD">
      <w:pPr>
        <w:tabs>
          <w:tab w:val="left" w:pos="920"/>
        </w:tabs>
        <w:spacing w:line="460" w:lineRule="exact"/>
        <w:ind w:firstLine="480"/>
        <w:jc w:val="left"/>
        <w:rPr>
          <w:rFonts w:ascii="宋体" w:hAnsi="宋体"/>
          <w:bCs/>
        </w:rPr>
      </w:pPr>
      <w:r>
        <w:rPr>
          <w:rFonts w:hint="eastAsia" w:ascii="宋体" w:hAnsi="宋体"/>
          <w:bCs/>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8C67431">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.8履约保证金政策</w:t>
      </w:r>
    </w:p>
    <w:p w14:paraId="3E47ECA4">
      <w:pPr>
        <w:tabs>
          <w:tab w:val="left" w:pos="920"/>
        </w:tabs>
        <w:spacing w:line="460" w:lineRule="exact"/>
        <w:ind w:firstLine="480"/>
        <w:jc w:val="left"/>
        <w:rPr>
          <w:rFonts w:ascii="宋体" w:hAnsi="宋体"/>
          <w:bCs/>
        </w:rPr>
      </w:pPr>
      <w:r>
        <w:rPr>
          <w:rFonts w:hint="eastAsia" w:ascii="宋体" w:hAnsi="宋体"/>
          <w:bCs/>
        </w:rPr>
        <w:t>确需收取履约保证金的，履约保证金的缴纳形式：</w:t>
      </w:r>
    </w:p>
    <w:p w14:paraId="4A0BB0A6">
      <w:pPr>
        <w:tabs>
          <w:tab w:val="left" w:pos="920"/>
        </w:tabs>
        <w:spacing w:line="460" w:lineRule="exact"/>
        <w:ind w:firstLine="480"/>
        <w:jc w:val="left"/>
        <w:rPr>
          <w:rFonts w:ascii="宋体" w:hAnsi="宋体"/>
          <w:bCs/>
        </w:rPr>
      </w:pPr>
      <w:r>
        <w:rPr>
          <w:rFonts w:hint="eastAsia" w:ascii="宋体" w:hAnsi="宋体"/>
          <w:bCs/>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FB81F75">
      <w:pPr>
        <w:tabs>
          <w:tab w:val="left" w:pos="920"/>
        </w:tabs>
        <w:spacing w:line="460" w:lineRule="exact"/>
        <w:ind w:firstLine="480"/>
        <w:jc w:val="left"/>
        <w:rPr>
          <w:rFonts w:ascii="宋体" w:hAnsi="宋体"/>
          <w:bCs/>
        </w:rPr>
      </w:pPr>
      <w:r>
        <w:rPr>
          <w:rFonts w:hint="eastAsia" w:ascii="宋体" w:hAnsi="宋体"/>
          <w:bCs/>
        </w:rPr>
        <w:t xml:space="preserve"> 如以履约保函（保险）形式缴纳履约保证金，供应商可通过政府采购电子履约保函（保险）平台（www.jsdzbh.com）在线申请履约保函（保险）。</w:t>
      </w:r>
    </w:p>
    <w:p w14:paraId="46DF4F58">
      <w:pPr>
        <w:tabs>
          <w:tab w:val="left" w:pos="920"/>
        </w:tabs>
        <w:spacing w:line="460" w:lineRule="exact"/>
        <w:ind w:firstLine="480"/>
        <w:jc w:val="left"/>
        <w:rPr>
          <w:rFonts w:ascii="宋体" w:hAnsi="宋体"/>
          <w:bCs/>
        </w:rPr>
      </w:pPr>
      <w:r>
        <w:rPr>
          <w:rFonts w:hint="eastAsia" w:ascii="宋体" w:hAnsi="宋体"/>
          <w:bCs/>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4E0EEA26">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6</w:t>
      </w:r>
      <w:r>
        <w:rPr>
          <w:rFonts w:hint="eastAsia" w:ascii="宋体" w:hAnsi="宋体"/>
          <w:bCs/>
        </w:rPr>
        <w:t>、预付款制度</w:t>
      </w:r>
    </w:p>
    <w:p w14:paraId="4B1F7CCE">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bCs/>
        </w:rPr>
        <w:t>本项目落实预付款制度，</w:t>
      </w:r>
      <w:r>
        <w:rPr>
          <w:rFonts w:ascii="宋体" w:hAnsi="宋体" w:cs="宋体"/>
        </w:rPr>
        <w:t>本项目预付款为30%，货物安装调试完成并经甲方验收合格付至合同价款的90%（同时扣回预付款），余款在验收合格</w:t>
      </w:r>
      <w:r>
        <w:rPr>
          <w:rFonts w:hint="eastAsia" w:ascii="宋体" w:hAnsi="宋体" w:cs="宋体"/>
        </w:rPr>
        <w:t>且质保期满</w:t>
      </w:r>
      <w:r>
        <w:rPr>
          <w:rFonts w:ascii="宋体" w:hAnsi="宋体" w:cs="宋体"/>
        </w:rPr>
        <w:t>使用无质量问题后付清。付款时乙方须提供正规发票。合同款一律通过银行非现金结算，结算方式：转账。 （按以上进度付款无任何利息补偿）</w:t>
      </w:r>
    </w:p>
    <w:p w14:paraId="40976027">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42E361E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40"/>
        </w:rPr>
        <w:t>第三章  合同条款及格式</w:t>
      </w:r>
    </w:p>
    <w:p w14:paraId="62BDBF2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以下为中标后签定本项目合同的通用条款，中标供应商不得提出实质性的修改，关于专用条款将由采购人与中标供应商结合本项目具体情况协商后签订。此合同为货物类版本，其他如服务类项目采购人可参照此格式拟定。</w:t>
      </w:r>
    </w:p>
    <w:p w14:paraId="296BDECE">
      <w:pPr>
        <w:pBdr>
          <w:top w:val="none" w:color="000000" w:sz="0" w:space="0"/>
          <w:left w:val="none" w:color="000000" w:sz="0" w:space="0"/>
          <w:bottom w:val="none" w:color="000000" w:sz="0" w:space="0"/>
          <w:right w:val="none" w:color="000000" w:sz="0" w:space="0"/>
        </w:pBdr>
        <w:spacing w:before="145" w:after="145" w:line="360" w:lineRule="auto"/>
        <w:jc w:val="center"/>
      </w:pPr>
      <w:r>
        <w:rPr>
          <w:rFonts w:ascii="宋体" w:hAnsi="宋体" w:cs="宋体"/>
          <w:b/>
        </w:rPr>
        <w:t>政府采购合同（货物格式）</w:t>
      </w:r>
    </w:p>
    <w:p w14:paraId="13CC0387">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项目名称：项目编号：</w:t>
      </w:r>
    </w:p>
    <w:p w14:paraId="08B51B4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甲方：（买方）</w:t>
      </w:r>
      <w:r>
        <w:rPr>
          <w:rFonts w:ascii="宋体" w:hAnsi="宋体" w:cs="宋体"/>
          <w:u w:val="single"/>
        </w:rPr>
        <w:t>                        </w:t>
      </w:r>
    </w:p>
    <w:p w14:paraId="68A814E4">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乙方：（卖方）</w:t>
      </w:r>
      <w:r>
        <w:rPr>
          <w:rFonts w:ascii="宋体" w:hAnsi="宋体" w:cs="宋体"/>
          <w:u w:val="single"/>
        </w:rPr>
        <w:t>                        </w:t>
      </w:r>
    </w:p>
    <w:p w14:paraId="2163E468">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 xml:space="preserve">   甲、乙双方根据 </w:t>
      </w:r>
      <w:r>
        <w:rPr>
          <w:rFonts w:ascii="宋体" w:hAnsi="宋体" w:cs="宋体"/>
          <w:u w:val="single"/>
        </w:rPr>
        <w:t>              </w:t>
      </w:r>
      <w:r>
        <w:rPr>
          <w:rFonts w:ascii="宋体" w:hAnsi="宋体" w:cs="宋体"/>
        </w:rPr>
        <w:t>公开招标的结果，签署本合同。</w:t>
      </w:r>
    </w:p>
    <w:p w14:paraId="250E0A28">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一、货物内容</w:t>
      </w:r>
    </w:p>
    <w:p w14:paraId="18ED03E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1.1 货物名称：</w:t>
      </w:r>
      <w:r>
        <w:rPr>
          <w:rFonts w:ascii="宋体" w:hAnsi="宋体" w:cs="宋体"/>
          <w:u w:val="single"/>
        </w:rPr>
        <w:t>                 </w:t>
      </w:r>
    </w:p>
    <w:p w14:paraId="6290529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1.2 型号规格：详见采购清单</w:t>
      </w:r>
    </w:p>
    <w:p w14:paraId="3658CC7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1.3 数量（单位）：</w:t>
      </w:r>
    </w:p>
    <w:p w14:paraId="5DA380E8">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二、合同金额</w:t>
      </w:r>
    </w:p>
    <w:p w14:paraId="7F390C2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2.1 本合同金额为（大写）：</w:t>
      </w:r>
      <w:r>
        <w:rPr>
          <w:rFonts w:ascii="宋体" w:hAnsi="宋体" w:cs="宋体"/>
          <w:u w:val="single"/>
        </w:rPr>
        <w:t>        </w:t>
      </w:r>
      <w:r>
        <w:rPr>
          <w:rFonts w:ascii="宋体" w:hAnsi="宋体" w:cs="宋体"/>
        </w:rPr>
        <w:t>元（____________元）人民币或其他币种。</w:t>
      </w:r>
    </w:p>
    <w:p w14:paraId="15418C4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三、技术资料</w:t>
      </w:r>
    </w:p>
    <w:p w14:paraId="7C7AA17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3.1乙方应按招标文件规定的时间向甲方提供使用货物的有关技术资料。</w:t>
      </w:r>
    </w:p>
    <w:p w14:paraId="23B94F0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3033F7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四、知识产权</w:t>
      </w:r>
    </w:p>
    <w:p w14:paraId="6EB067F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4.1乙方应保证甲方在使用、接受本合同货物和服务或其任何一部分时不受第三方提出侵犯其专利权、版权、商标权和工业设计权等知识产权的起诉。一旦出现侵权，由乙方负全部责任。</w:t>
      </w:r>
    </w:p>
    <w:p w14:paraId="58AF9EB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五、产权担保</w:t>
      </w:r>
    </w:p>
    <w:p w14:paraId="5232D7A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5.1 乙方保证所交付的货物的所有权完全属于乙方且无任何抵押、查封等产权瑕疵。</w:t>
      </w:r>
    </w:p>
    <w:p w14:paraId="4A0F15D5">
      <w:pPr>
        <w:pBdr>
          <w:top w:val="none" w:color="000000" w:sz="0" w:space="0"/>
          <w:left w:val="none" w:color="000000" w:sz="0" w:space="0"/>
          <w:bottom w:val="none" w:color="000000" w:sz="0" w:space="0"/>
          <w:right w:val="none" w:color="000000" w:sz="0" w:space="0"/>
        </w:pBdr>
        <w:spacing w:before="231" w:after="231" w:line="360" w:lineRule="auto"/>
        <w:ind w:left="358" w:hanging="358"/>
        <w:rPr>
          <w:rFonts w:ascii="宋体" w:hAnsi="宋体" w:cs="宋体"/>
          <w:b/>
          <w:bCs/>
        </w:rPr>
      </w:pPr>
      <w:r>
        <w:rPr>
          <w:rFonts w:ascii="宋体" w:hAnsi="宋体" w:cs="宋体"/>
          <w:b/>
        </w:rPr>
        <w:t>六、履约保证金</w:t>
      </w:r>
    </w:p>
    <w:p w14:paraId="2F3947A0">
      <w:pPr>
        <w:pBdr>
          <w:top w:val="none" w:color="000000" w:sz="0" w:space="0"/>
          <w:left w:val="none" w:color="000000" w:sz="0" w:space="0"/>
          <w:bottom w:val="none" w:color="000000" w:sz="0" w:space="0"/>
          <w:right w:val="none" w:color="000000" w:sz="0" w:space="0"/>
        </w:pBdr>
        <w:spacing w:before="231" w:after="231" w:line="360" w:lineRule="auto"/>
        <w:ind w:firstLine="357"/>
        <w:rPr>
          <w:rFonts w:ascii="宋体" w:hAnsi="宋体" w:cs="宋体"/>
        </w:rPr>
      </w:pPr>
      <w:r>
        <w:rPr>
          <w:rFonts w:ascii="宋体" w:hAnsi="宋体" w:cs="宋体"/>
        </w:rPr>
        <w:t>6.1中标单位在签订合同前，须向采购人交纳（中标价10%）</w:t>
      </w:r>
      <w:r>
        <w:rPr>
          <w:rFonts w:ascii="宋体" w:hAnsi="宋体" w:cs="宋体"/>
          <w:u w:val="single"/>
        </w:rPr>
        <w:t>        </w:t>
      </w:r>
      <w:r>
        <w:rPr>
          <w:rFonts w:ascii="宋体" w:hAnsi="宋体" w:cs="宋体"/>
        </w:rPr>
        <w:t>元的履约保证金，于项目完成，验收合格后退还。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rPr>
        <w:t>免收履约保证金或降低履约保证金缴纳比例。</w:t>
      </w:r>
    </w:p>
    <w:p w14:paraId="6B8998C7">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6.2履约保证金形式：投标人应当以支票、汇票、本票或者金融机构、担保机构出具的保函等非现金形式提交。</w:t>
      </w:r>
    </w:p>
    <w:p w14:paraId="67295DB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6.3依据《关于在全省政府采购领域推行电子约保函(保险)的通知》，鼓励供应商自愿使用履约保函(保险)代替缴纳履约保证金)，可以通过政府采购电子履约保函（保险）平台（www.jsdzbh.com）在线申请履约保函（保险）。</w:t>
      </w:r>
    </w:p>
    <w:p w14:paraId="77E2140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b/>
        </w:rPr>
        <w:t>七、转包或分包</w:t>
      </w:r>
    </w:p>
    <w:p w14:paraId="36ABBFF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7.1本合同范围的货物，应由乙方直接供应，不得转让他人供应；</w:t>
      </w:r>
    </w:p>
    <w:p w14:paraId="68AC99B0">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7.2 除非得到甲方的书面同意，乙方不得部分分包给他人供应。</w:t>
      </w:r>
    </w:p>
    <w:p w14:paraId="0618BD79">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7.3如有转让和未经甲方同意的分包行为，甲方有权给予终止合同。</w:t>
      </w:r>
    </w:p>
    <w:p w14:paraId="0B2549F7">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八、质保期</w:t>
      </w:r>
    </w:p>
    <w:p w14:paraId="588754D7">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8.1 质保期年。（自交货验收合格之日起计）</w:t>
      </w:r>
    </w:p>
    <w:p w14:paraId="15BED061">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九、交货期、交货方式及交货地点</w:t>
      </w:r>
    </w:p>
    <w:p w14:paraId="58AA053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9.1 交货期：</w:t>
      </w:r>
      <w:r>
        <w:rPr>
          <w:rFonts w:ascii="宋体" w:hAnsi="宋体" w:cs="宋体"/>
          <w:u w:val="single"/>
        </w:rPr>
        <w:t>签订合同后</w:t>
      </w:r>
      <w:r>
        <w:rPr>
          <w:rFonts w:hint="eastAsia" w:ascii="宋体" w:hAnsi="宋体" w:cs="宋体"/>
          <w:u w:val="single"/>
        </w:rPr>
        <w:t>30</w:t>
      </w:r>
      <w:r>
        <w:rPr>
          <w:rFonts w:ascii="宋体" w:hAnsi="宋体" w:cs="宋体"/>
          <w:u w:val="single"/>
        </w:rPr>
        <w:t>日历天内完成所需设备的采购、供应、运输、安装、调试等相关伴随服务，并通过采购人的验收</w:t>
      </w:r>
      <w:r>
        <w:rPr>
          <w:rFonts w:ascii="宋体" w:hAnsi="宋体" w:cs="宋体"/>
        </w:rPr>
        <w:t>。</w:t>
      </w:r>
    </w:p>
    <w:p w14:paraId="1814DAE2">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9.2 交货方式：</w:t>
      </w:r>
      <w:r>
        <w:rPr>
          <w:rFonts w:hint="eastAsia" w:ascii="宋体" w:hAnsi="宋体" w:cs="宋体"/>
          <w:u w:val="single"/>
        </w:rPr>
        <w:t>甲方</w:t>
      </w:r>
      <w:r>
        <w:rPr>
          <w:rFonts w:ascii="宋体" w:hAnsi="宋体" w:cs="宋体"/>
          <w:u w:val="single"/>
        </w:rPr>
        <w:t>指定地点并安装调试</w:t>
      </w:r>
      <w:r>
        <w:rPr>
          <w:rFonts w:ascii="宋体" w:hAnsi="宋体" w:cs="宋体"/>
        </w:rPr>
        <w:t>。</w:t>
      </w:r>
    </w:p>
    <w:p w14:paraId="2D2A10E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9.3 交货地点：</w:t>
      </w:r>
      <w:r>
        <w:rPr>
          <w:rFonts w:hint="eastAsia" w:ascii="宋体" w:hAnsi="宋体" w:cs="宋体"/>
          <w:u w:val="single"/>
        </w:rPr>
        <w:t>甲方</w:t>
      </w:r>
      <w:r>
        <w:rPr>
          <w:rFonts w:ascii="宋体" w:hAnsi="宋体" w:cs="宋体"/>
          <w:u w:val="single"/>
        </w:rPr>
        <w:t>指定地点</w:t>
      </w:r>
      <w:r>
        <w:rPr>
          <w:rFonts w:ascii="宋体" w:hAnsi="宋体" w:cs="宋体"/>
        </w:rPr>
        <w:t>。</w:t>
      </w:r>
    </w:p>
    <w:p w14:paraId="41E2A222">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十、货款支付</w:t>
      </w:r>
    </w:p>
    <w:p w14:paraId="188E8C2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10.1付款方式：本项目预付款为30%，货物安装调试完成并经甲方验收合格付至合同价款的90%（同时扣回预付款），余款在验收合格</w:t>
      </w:r>
      <w:r>
        <w:rPr>
          <w:rFonts w:hint="eastAsia" w:ascii="宋体" w:hAnsi="宋体" w:cs="宋体"/>
        </w:rPr>
        <w:t>且质保期满</w:t>
      </w:r>
      <w:r>
        <w:rPr>
          <w:rFonts w:ascii="宋体" w:hAnsi="宋体" w:cs="宋体"/>
        </w:rPr>
        <w:t>使用无质量问题后付清。付款时乙方须提供正规发票。合同款一律通过银行非现金结算，结算方式：转账。 （按以上进度付款无任何利息补偿）</w:t>
      </w:r>
    </w:p>
    <w:p w14:paraId="527E727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10.2当采购数量与实际使用数量不一致时，乙方应根据实际使用量供货，合同的最终结算金额按实际使用量乘以成交单价进行计算。</w:t>
      </w:r>
    </w:p>
    <w:p w14:paraId="5588EE8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10.3如需向与财政部门签署融资合作协议的银行办理授信申请的, 需在协作银行开立结算户作为回款专用户,作为该笔合同唯一的收款帐户，供货结束货款结算时，财政部门将政府采购款项直接支付到该账户。</w:t>
      </w:r>
    </w:p>
    <w:p w14:paraId="2C1B0DB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b/>
        </w:rPr>
        <w:t>十一.税费</w:t>
      </w:r>
    </w:p>
    <w:p w14:paraId="06BD526B">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11.1本合同执行中相关的一切税费均由乙方负担。</w:t>
      </w:r>
    </w:p>
    <w:p w14:paraId="0BF93644">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十二、质量保证及售后服务</w:t>
      </w:r>
    </w:p>
    <w:p w14:paraId="436D19B1">
      <w:pPr>
        <w:pBdr>
          <w:top w:val="none" w:color="000000" w:sz="0" w:space="0"/>
          <w:left w:val="none" w:color="000000" w:sz="0" w:space="0"/>
          <w:bottom w:val="none" w:color="000000" w:sz="0" w:space="0"/>
          <w:right w:val="none" w:color="000000" w:sz="0" w:space="0"/>
        </w:pBdr>
        <w:spacing w:line="360" w:lineRule="auto"/>
        <w:jc w:val="left"/>
      </w:pPr>
      <w:r>
        <w:rPr>
          <w:rFonts w:ascii="宋体" w:hAnsi="宋体" w:cs="宋体"/>
        </w:rPr>
        <w:t>12.1乙方应按招标文件规定的货物性能、技术要求、质量标准向甲方提供未经使用的全新产品。</w:t>
      </w:r>
    </w:p>
    <w:p w14:paraId="3C9494C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12.2乙方提供的货物在质保期内因货物本身的质量问题发生故障，乙方应负责免费更换。对达不到技术要求者，根据实际情况，经双方协商，可按以下办法处理：</w:t>
      </w:r>
    </w:p>
    <w:p w14:paraId="5A1A5D7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⑴更换：由乙方承担所发生的全部费用。</w:t>
      </w:r>
    </w:p>
    <w:p w14:paraId="5D774A4F">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⑵贬值处理：由甲乙双方合议定价。</w:t>
      </w:r>
    </w:p>
    <w:p w14:paraId="491E85B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⑶退货处理：乙方应退还甲方支付的合同款，同时应承担该货物的直接费用（运输、保险、检验、货款利息及银行手续费等）。</w:t>
      </w:r>
    </w:p>
    <w:p w14:paraId="3D1C949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12.3 如在使用过程中发生质量问题，乙方在接到甲方通知后在</w:t>
      </w:r>
      <w:r>
        <w:rPr>
          <w:rFonts w:ascii="宋体" w:hAnsi="宋体" w:cs="宋体"/>
          <w:u w:val="single"/>
        </w:rPr>
        <w:t>       </w:t>
      </w:r>
      <w:r>
        <w:rPr>
          <w:rFonts w:ascii="宋体" w:hAnsi="宋体" w:cs="宋体"/>
        </w:rPr>
        <w:t>小时内到达甲方现场。</w:t>
      </w:r>
    </w:p>
    <w:p w14:paraId="593E08F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12.4 在质保期内，乙方应对货物出现的质量及安全问题负责处理解决并承担一切费用。</w:t>
      </w:r>
    </w:p>
    <w:p w14:paraId="160F9301">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12.5上述的</w:t>
      </w:r>
      <w:r>
        <w:rPr>
          <w:rFonts w:hint="eastAsia" w:ascii="宋体" w:hAnsi="宋体" w:cs="宋体"/>
        </w:rPr>
        <w:t>设备及信息系统</w:t>
      </w:r>
      <w:r>
        <w:rPr>
          <w:rFonts w:ascii="宋体" w:hAnsi="宋体" w:cs="宋体"/>
        </w:rPr>
        <w:t>免费保修期为</w:t>
      </w:r>
      <w:r>
        <w:rPr>
          <w:rFonts w:ascii="宋体" w:hAnsi="宋体" w:cs="宋体"/>
          <w:u w:val="single"/>
        </w:rPr>
        <w:t>  </w:t>
      </w:r>
      <w:r>
        <w:rPr>
          <w:rFonts w:ascii="宋体" w:hAnsi="宋体" w:cs="宋体"/>
        </w:rPr>
        <w:t>年，因人为因素出现的故障不在免费保修范围内。超过保修期的机器设备，终生维修，维修时只收部件成本费。</w:t>
      </w:r>
    </w:p>
    <w:p w14:paraId="3517E03B">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十三、调试和验收</w:t>
      </w:r>
    </w:p>
    <w:p w14:paraId="04BF607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13.1 甲方对乙方提交的货物依据招标文件上的技术规格要求和国家有关质量标准进行现场初步验收，外观、说明书符合招标文件技术要求的，甲方需在五个工作日内验收。货到后，初步验收不合格的不予签收。</w:t>
      </w:r>
    </w:p>
    <w:p w14:paraId="20E2D44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13.2 乙方交货前应对产品作出全面检查和对验收文件进行整理，并列出清单，作为甲方收货验收和使用的技术条件依据，检验的结果应随货物交甲方。</w:t>
      </w:r>
    </w:p>
    <w:p w14:paraId="56EEA31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13.3甲方对乙方提供的货物在使用前进行调试时，乙方需负责安装并培训甲方的使用操作人员，并协助甲方一起调试，直到符合技术要求，甲方才做最终验收。</w:t>
      </w:r>
    </w:p>
    <w:p w14:paraId="6A14504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13.4 对技术复杂的货物，甲方可请国家认可的专业检测机构参与初步验收及最终验收，并由其出具质量检测报告。</w:t>
      </w:r>
    </w:p>
    <w:p w14:paraId="1052779E">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13.5 验收时乙方必须在现场，验收完毕后作出验收结果报告；验收费用由甲乙双方协商解决。</w:t>
      </w:r>
    </w:p>
    <w:p w14:paraId="3BA63DF9">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十四、货物包装、发运及运输</w:t>
      </w:r>
    </w:p>
    <w:p w14:paraId="4A230B8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14.1乙方应在货物发运前对其进行满足运输距离、防潮、防震、防锈和防破损装卸等要求包装，以保证货物安全运达甲方指定地点。</w:t>
      </w:r>
    </w:p>
    <w:p w14:paraId="00E2536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14.2 使用说明书、质量检验证明书、随配附件和工具以及清单一并附于货物内。</w:t>
      </w:r>
    </w:p>
    <w:p w14:paraId="7B2873E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14.3 乙方在货物发运手续办理完毕后24小时内或货到甲方48小时前通知甲方，以准备接货。</w:t>
      </w:r>
    </w:p>
    <w:p w14:paraId="602A7A7D">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十五、违约责任</w:t>
      </w:r>
    </w:p>
    <w:p w14:paraId="4C5767E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15.1 甲方无正当理由拒收货物的，甲方向乙方偿付拒收货款总值的百分之五违约金。</w:t>
      </w:r>
    </w:p>
    <w:p w14:paraId="137C2F3F">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15.2甲方无故逾期验收和办理货款支付手续的,甲方应按逾期付款总额每日按LPR4倍向乙方支付违约金。</w:t>
      </w:r>
    </w:p>
    <w:p w14:paraId="47BB98E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15.3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交付、交货是指合同约定的15天完成最终验收） </w:t>
      </w:r>
    </w:p>
    <w:p w14:paraId="6C1FAF8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15.4乙方所交的货物品种、型号、规格、技术参数、质量不符合合同规定，且与投标文件所报产品不同的，甲方有权拒收该货物，乙方愿意更换货物但逾期交货的，按乙方逾期交货处理。乙方拒绝更换货物的，甲方可单方面解除合同，不予退还履约保证金。</w:t>
      </w:r>
    </w:p>
    <w:p w14:paraId="06476CA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十六、不可抗力事件处理</w:t>
      </w:r>
    </w:p>
    <w:p w14:paraId="70BF2D9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16.1 在合同有效期内，任何一方因不可抗力事件导致不能履行合同，则合同履行期可延长，其延长期与不可抗力影响期相同。</w:t>
      </w:r>
    </w:p>
    <w:p w14:paraId="683B791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16.2 不可抗力事件发生后，应立即通知对方，并寄送有关权威机构出具的证明。</w:t>
      </w:r>
    </w:p>
    <w:p w14:paraId="1BD278D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16.3 不可抗力事件延续120天以上，双方应通过友好协商，确定是否继续履行合同。</w:t>
      </w:r>
    </w:p>
    <w:p w14:paraId="1FAF81EF">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十七、诉讼</w:t>
      </w:r>
    </w:p>
    <w:p w14:paraId="1D3F9E3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17.1 双方在执行合同中所发生的一切争议，应通过协商解决。如协商不成，可向合同签订地法院起诉，合同签订地在此约定为盐城市大丰区。</w:t>
      </w:r>
    </w:p>
    <w:p w14:paraId="56C00D59">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十八、合同生效及其它</w:t>
      </w:r>
    </w:p>
    <w:p w14:paraId="471400A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18.1 合同经双方法定代表人或授权委托代表人签字并加盖单位公章后生效。</w:t>
      </w:r>
    </w:p>
    <w:p w14:paraId="623CC60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18.2本合同未尽事宜，遵照《民法典》有关条文执行。</w:t>
      </w:r>
    </w:p>
    <w:p w14:paraId="0196F1D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18.3 本合同一式肆份，具有同等法律效力，甲方、乙方各执两份。</w:t>
      </w:r>
    </w:p>
    <w:p w14:paraId="5095AED2">
      <w:pPr>
        <w:widowControl/>
        <w:pBdr>
          <w:top w:val="none" w:color="000000" w:sz="0" w:space="0"/>
          <w:left w:val="none" w:color="000000" w:sz="0" w:space="0"/>
          <w:bottom w:val="none" w:color="000000" w:sz="0" w:space="0"/>
          <w:right w:val="none" w:color="000000" w:sz="0" w:space="0"/>
        </w:pBdr>
        <w:spacing w:line="499" w:lineRule="atLeast"/>
        <w:ind w:firstLine="480"/>
        <w:jc w:val="center"/>
        <w:rPr>
          <w:rFonts w:asciiTheme="minorHAnsi" w:hAnsiTheme="minorHAnsi" w:eastAsiaTheme="minorEastAsia" w:cstheme="minorBidi"/>
          <w:szCs w:val="22"/>
        </w:rPr>
      </w:pPr>
      <w:r>
        <w:rPr/>
        <w:br w:type="page" w:clear="all"/>
      </w:r>
      <w:r>
        <w:rPr>
          <w:rFonts w:ascii="宋体" w:hAnsi="宋体" w:cs="宋体"/>
          <w:szCs w:val="22"/>
        </w:rPr>
        <w:t> </w:t>
      </w:r>
      <w:r>
        <w:rPr>
          <w:rFonts w:ascii="宋体" w:hAnsi="宋体" w:cs="宋体"/>
          <w:sz w:val="30"/>
          <w:szCs w:val="22"/>
        </w:rPr>
        <w:t>政府采购合同履约验收书（参考格式）</w:t>
      </w:r>
    </w:p>
    <w:p w14:paraId="034887EB">
      <w:pPr>
        <w:widowControl/>
        <w:pBdr>
          <w:top w:val="none" w:color="000000" w:sz="0" w:space="0"/>
          <w:left w:val="none" w:color="000000" w:sz="0" w:space="0"/>
          <w:bottom w:val="none" w:color="000000" w:sz="0" w:space="0"/>
          <w:right w:val="none" w:color="000000" w:sz="0" w:space="0"/>
        </w:pBdr>
        <w:spacing w:line="499" w:lineRule="atLeast"/>
        <w:ind w:firstLine="420"/>
        <w:rPr>
          <w:rFonts w:asciiTheme="minorHAnsi" w:hAnsiTheme="minorHAnsi" w:eastAsiaTheme="minorEastAsia" w:cstheme="minorBidi"/>
          <w:szCs w:val="22"/>
        </w:rPr>
      </w:pPr>
      <w:r>
        <w:rPr>
          <w:rFonts w:ascii="宋体" w:hAnsi="宋体" w:cs="宋体"/>
          <w:szCs w:val="22"/>
        </w:rPr>
        <w:t>根据政府采购合同（编号：</w:t>
      </w:r>
      <w:r>
        <w:rPr>
          <w:rFonts w:ascii="Calibri" w:hAnsi="Calibri" w:eastAsia="Calibri" w:cs="Calibri"/>
          <w:szCs w:val="22"/>
          <w:u w:val="single"/>
        </w:rPr>
        <w:t>             </w:t>
      </w:r>
      <w:r>
        <w:rPr>
          <w:rFonts w:ascii="宋体" w:hAnsi="宋体" w:cs="宋体"/>
          <w:szCs w:val="22"/>
        </w:rPr>
        <w:t>）的约定，我单位组织对</w:t>
      </w:r>
      <w:r>
        <w:rPr>
          <w:rFonts w:ascii="宋体" w:hAnsi="宋体" w:cs="宋体"/>
          <w:szCs w:val="22"/>
          <w:u w:val="single"/>
        </w:rPr>
        <w:t>（项目名称）</w:t>
      </w:r>
      <w:r>
        <w:rPr>
          <w:rFonts w:ascii="宋体" w:hAnsi="宋体" w:cs="宋体"/>
          <w:szCs w:val="22"/>
        </w:rPr>
        <w:t>项目中标（成交）供应商</w:t>
      </w:r>
      <w:r>
        <w:rPr>
          <w:rFonts w:ascii="宋体" w:hAnsi="宋体" w:cs="宋体"/>
          <w:szCs w:val="22"/>
          <w:u w:val="single"/>
        </w:rPr>
        <w:t>（公司名称）</w:t>
      </w:r>
      <w:r>
        <w:rPr>
          <w:rFonts w:ascii="宋体" w:hAnsi="宋体" w:cs="宋体"/>
          <w:szCs w:val="22"/>
        </w:rPr>
        <w:t>提供的货物（工程、服务）进行了履约验收，验收情况如下：</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43"/>
        <w:gridCol w:w="2529"/>
        <w:gridCol w:w="1479"/>
        <w:gridCol w:w="3257"/>
      </w:tblGrid>
      <w:tr w14:paraId="1A68F3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9322E0">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项目名称</w:t>
            </w:r>
          </w:p>
        </w:tc>
        <w:tc>
          <w:tcPr>
            <w:tcW w:w="252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634BEF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9474D8B">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项目地点</w:t>
            </w:r>
          </w:p>
        </w:tc>
        <w:tc>
          <w:tcPr>
            <w:tcW w:w="3257"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BEB55A4">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5B9E7D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C43228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预算金额</w:t>
            </w:r>
          </w:p>
        </w:tc>
        <w:tc>
          <w:tcPr>
            <w:tcW w:w="252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C78073">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nil"/>
              <w:left w:val="nil"/>
              <w:bottom w:val="nil"/>
              <w:right w:val="nil"/>
            </w:tcBorders>
            <w:noWrap/>
            <w:tcMar>
              <w:top w:w="0" w:type="dxa"/>
              <w:left w:w="108" w:type="dxa"/>
              <w:bottom w:w="0" w:type="dxa"/>
              <w:right w:w="108" w:type="dxa"/>
            </w:tcMar>
            <w:vAlign w:val="center"/>
          </w:tcPr>
          <w:p w14:paraId="7065CE32">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承接单位</w:t>
            </w:r>
          </w:p>
        </w:tc>
        <w:tc>
          <w:tcPr>
            <w:tcW w:w="325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E7D28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31AD16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AD726D">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合同时间</w:t>
            </w:r>
          </w:p>
        </w:tc>
        <w:tc>
          <w:tcPr>
            <w:tcW w:w="252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6478BF">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BD7102D">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项目开始时间</w:t>
            </w:r>
          </w:p>
        </w:tc>
        <w:tc>
          <w:tcPr>
            <w:tcW w:w="325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E83BB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01D6AC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3EA96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项目结束时间</w:t>
            </w:r>
          </w:p>
        </w:tc>
        <w:tc>
          <w:tcPr>
            <w:tcW w:w="252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6E05F5">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AF82E5">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项目联系人</w:t>
            </w:r>
          </w:p>
        </w:tc>
        <w:tc>
          <w:tcPr>
            <w:tcW w:w="325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9275EE">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5949C7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8FDBF6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验收情况和验收意见</w:t>
            </w:r>
          </w:p>
          <w:p w14:paraId="6F18B1D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（可另附）</w:t>
            </w:r>
          </w:p>
          <w:p w14:paraId="182FA1D3">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278864A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64905F7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4670A24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76EF01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617AF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验收小组（签字）：</w:t>
            </w:r>
          </w:p>
          <w:p w14:paraId="465BC1C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0BE91393">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10A6E10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2C8C937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Theme="minorHAnsi" w:hAnsiTheme="minorHAnsi" w:eastAsiaTheme="minorEastAsia" w:cstheme="minorBidi"/>
                <w:szCs w:val="22"/>
              </w:rPr>
              <w:br w:type="textWrapping"/>
            </w:r>
            <w:r>
              <w:rPr>
                <w:rFonts w:ascii="Calibri" w:hAnsi="Calibri" w:eastAsia="Calibri" w:cs="Calibri"/>
                <w:szCs w:val="22"/>
              </w:rPr>
              <w:t xml:space="preserve">                              </w:t>
            </w:r>
            <w:r>
              <w:rPr>
                <w:rFonts w:ascii="宋体" w:hAnsi="宋体" w:cs="宋体"/>
                <w:szCs w:val="22"/>
              </w:rPr>
              <w:t>年</w:t>
            </w:r>
            <w:r>
              <w:rPr>
                <w:rFonts w:ascii="Calibri" w:hAnsi="Calibri" w:eastAsia="Calibri" w:cs="Calibri"/>
                <w:szCs w:val="22"/>
              </w:rPr>
              <w:t xml:space="preserve">    </w:t>
            </w:r>
            <w:r>
              <w:rPr>
                <w:rFonts w:ascii="宋体" w:hAnsi="宋体" w:cs="宋体"/>
                <w:szCs w:val="22"/>
              </w:rPr>
              <w:t>月</w:t>
            </w:r>
            <w:r>
              <w:rPr>
                <w:rFonts w:ascii="Calibri" w:hAnsi="Calibri" w:eastAsia="Calibri" w:cs="Calibri"/>
                <w:szCs w:val="22"/>
              </w:rPr>
              <w:t xml:space="preserve">    </w:t>
            </w:r>
            <w:r>
              <w:rPr>
                <w:rFonts w:ascii="宋体" w:hAnsi="宋体" w:cs="宋体"/>
                <w:szCs w:val="22"/>
              </w:rPr>
              <w:t>日</w:t>
            </w:r>
          </w:p>
        </w:tc>
      </w:tr>
      <w:tr w14:paraId="09BB53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F7D9FC0">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供应商确认意见（签章）：</w:t>
            </w:r>
          </w:p>
          <w:p w14:paraId="2283AD8C">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7D6F05E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585182DF">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2AA45DC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Theme="minorHAnsi" w:hAnsiTheme="minorHAnsi" w:eastAsiaTheme="minorEastAsia" w:cstheme="minorBidi"/>
                <w:szCs w:val="22"/>
              </w:rPr>
              <w:br w:type="textWrapping"/>
            </w:r>
            <w:r>
              <w:rPr>
                <w:rFonts w:ascii="Calibri" w:hAnsi="Calibri" w:eastAsia="Calibri" w:cs="Calibri"/>
                <w:szCs w:val="22"/>
              </w:rPr>
              <w:t xml:space="preserve">                              </w:t>
            </w:r>
            <w:r>
              <w:rPr>
                <w:rFonts w:ascii="宋体" w:hAnsi="宋体" w:cs="宋体"/>
                <w:szCs w:val="22"/>
              </w:rPr>
              <w:t>年</w:t>
            </w:r>
            <w:r>
              <w:rPr>
                <w:rFonts w:ascii="Calibri" w:hAnsi="Calibri" w:eastAsia="Calibri" w:cs="Calibri"/>
                <w:szCs w:val="22"/>
              </w:rPr>
              <w:t xml:space="preserve">    </w:t>
            </w:r>
            <w:r>
              <w:rPr>
                <w:rFonts w:ascii="宋体" w:hAnsi="宋体" w:cs="宋体"/>
                <w:szCs w:val="22"/>
              </w:rPr>
              <w:t>月</w:t>
            </w:r>
            <w:r>
              <w:rPr>
                <w:rFonts w:ascii="Calibri" w:hAnsi="Calibri" w:eastAsia="Calibri" w:cs="Calibri"/>
                <w:szCs w:val="22"/>
              </w:rPr>
              <w:t xml:space="preserve">    </w:t>
            </w:r>
            <w:r>
              <w:rPr>
                <w:rFonts w:ascii="宋体" w:hAnsi="宋体" w:cs="宋体"/>
                <w:szCs w:val="22"/>
              </w:rPr>
              <w:t>日</w:t>
            </w:r>
          </w:p>
        </w:tc>
      </w:tr>
      <w:tr w14:paraId="705F40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A3279C0">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采购人确认意见（签章）：</w:t>
            </w:r>
          </w:p>
          <w:p w14:paraId="7A951147">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441993FB">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603BF7F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3857F042">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Theme="minorHAnsi" w:hAnsiTheme="minorHAnsi" w:eastAsiaTheme="minorEastAsia" w:cstheme="minorBidi"/>
                <w:szCs w:val="22"/>
              </w:rPr>
              <w:br w:type="textWrapping"/>
            </w:r>
            <w:r>
              <w:rPr>
                <w:rFonts w:ascii="Calibri" w:hAnsi="Calibri" w:eastAsia="Calibri" w:cs="Calibri"/>
                <w:szCs w:val="22"/>
              </w:rPr>
              <w:t xml:space="preserve">                              </w:t>
            </w:r>
            <w:r>
              <w:rPr>
                <w:rFonts w:ascii="宋体" w:hAnsi="宋体" w:cs="宋体"/>
                <w:szCs w:val="22"/>
              </w:rPr>
              <w:t>年</w:t>
            </w:r>
            <w:r>
              <w:rPr>
                <w:rFonts w:ascii="Calibri" w:hAnsi="Calibri" w:eastAsia="Calibri" w:cs="Calibri"/>
                <w:szCs w:val="22"/>
              </w:rPr>
              <w:t xml:space="preserve">    </w:t>
            </w:r>
            <w:r>
              <w:rPr>
                <w:rFonts w:ascii="宋体" w:hAnsi="宋体" w:cs="宋体"/>
                <w:szCs w:val="22"/>
              </w:rPr>
              <w:t>月</w:t>
            </w:r>
            <w:r>
              <w:rPr>
                <w:rFonts w:ascii="Calibri" w:hAnsi="Calibri" w:eastAsia="Calibri" w:cs="Calibri"/>
                <w:szCs w:val="22"/>
              </w:rPr>
              <w:t xml:space="preserve">    </w:t>
            </w:r>
            <w:r>
              <w:rPr>
                <w:rFonts w:ascii="宋体" w:hAnsi="宋体" w:cs="宋体"/>
                <w:szCs w:val="22"/>
              </w:rPr>
              <w:t>日</w:t>
            </w:r>
          </w:p>
        </w:tc>
      </w:tr>
    </w:tbl>
    <w:p w14:paraId="7CA79207">
      <w:pPr>
        <w:pBdr>
          <w:top w:val="none" w:color="000000" w:sz="0" w:space="0"/>
          <w:left w:val="none" w:color="000000" w:sz="0" w:space="0"/>
          <w:bottom w:val="none" w:color="000000" w:sz="0" w:space="0"/>
          <w:right w:val="none" w:color="000000" w:sz="0" w:space="0"/>
        </w:pBdr>
        <w:spacing w:before="120" w:after="120"/>
        <w:ind w:left="120" w:right="120"/>
      </w:pPr>
    </w:p>
    <w:p w14:paraId="0FD5E2AF">
      <w:pPr>
        <w:pageBreakBefore/>
        <w:numPr>
          <w:ilvl w:val="0"/>
          <w:numId w:val="6"/>
        </w:num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sz w:val="40"/>
        </w:rPr>
      </w:pPr>
      <w:r>
        <w:rPr>
          <w:rFonts w:ascii="宋体" w:hAnsi="宋体" w:cs="宋体"/>
          <w:b/>
          <w:sz w:val="40"/>
        </w:rPr>
        <w:t>采购需求</w:t>
      </w:r>
      <w:r>
        <w:rPr>
          <w:rFonts w:hint="eastAsia" w:ascii="宋体" w:hAnsi="宋体" w:cs="宋体"/>
          <w:b/>
          <w:sz w:val="40"/>
        </w:rPr>
        <w:t>（参数）</w:t>
      </w:r>
    </w:p>
    <w:p w14:paraId="1BF79D97">
      <w:pPr>
        <w:spacing w:line="360" w:lineRule="auto"/>
        <w:ind w:firstLine="482"/>
        <w:outlineLvl w:val="0"/>
      </w:pPr>
      <w:r>
        <w:rPr>
          <w:rFonts w:hint="eastAsia"/>
        </w:rPr>
        <w:t>本次采购核心设备为心电检查设备，</w:t>
      </w:r>
      <w:bookmarkStart w:id="0" w:name="_Toc28202"/>
      <w:r>
        <w:rPr>
          <w:rFonts w:hint="eastAsia"/>
        </w:rPr>
        <w:t>采购标的所属行业：工业。</w:t>
      </w:r>
      <w:bookmarkEnd w:id="0"/>
      <w:r>
        <w:rPr>
          <w:rFonts w:hint="eastAsia"/>
        </w:rPr>
        <w:t>数量为：</w:t>
      </w:r>
      <w:r>
        <w:rPr>
          <w:rFonts w:hint="eastAsia" w:ascii="Calibri" w:hAnsi="Calibri"/>
        </w:rPr>
        <w:t>便携式心电检查设备215台、数字式心电检查设备17台、动态心电检查设备40台。具体参数如下：</w:t>
      </w:r>
    </w:p>
    <w:p w14:paraId="1E148CD4">
      <w:pPr>
        <w:pBdr>
          <w:top w:val="none" w:color="000000" w:sz="0" w:space="0"/>
          <w:left w:val="none" w:color="000000" w:sz="0" w:space="0"/>
          <w:bottom w:val="none" w:color="000000" w:sz="0" w:space="0"/>
          <w:right w:val="none" w:color="000000" w:sz="0" w:space="0"/>
        </w:pBdr>
        <w:spacing w:line="360" w:lineRule="auto"/>
        <w:ind w:firstLine="422"/>
        <w:rPr>
          <w:rFonts w:ascii="Calibri" w:hAnsi="Calibri"/>
          <w:b/>
          <w:bCs/>
        </w:rPr>
      </w:pPr>
      <w:r>
        <w:rPr>
          <w:rFonts w:hint="eastAsia" w:ascii="宋体" w:hAnsi="宋体" w:cs="宋体"/>
          <w:b/>
        </w:rPr>
        <w:t>一、基层心电设备参数</w:t>
      </w:r>
    </w:p>
    <w:p w14:paraId="55010261">
      <w:pPr>
        <w:spacing w:line="360" w:lineRule="auto"/>
        <w:ind w:firstLine="422"/>
        <w:rPr>
          <w:rFonts w:ascii="Calibri" w:hAnsi="Calibri"/>
          <w:b/>
          <w:bCs/>
        </w:rPr>
      </w:pPr>
      <w:r>
        <w:rPr>
          <w:rFonts w:hint="eastAsia" w:ascii="Calibri" w:hAnsi="Calibri"/>
          <w:b/>
          <w:bCs/>
        </w:rPr>
        <w:t>1、便携式心电检查设备：</w:t>
      </w:r>
    </w:p>
    <w:p w14:paraId="79874251">
      <w:pPr>
        <w:numPr>
          <w:ilvl w:val="0"/>
          <w:numId w:val="7"/>
        </w:numPr>
        <w:spacing w:line="360" w:lineRule="auto"/>
        <w:ind w:left="0" w:firstLine="420"/>
      </w:pPr>
      <w:r>
        <w:rPr>
          <w:rFonts w:hint="eastAsia"/>
        </w:rPr>
        <w:t>▲</w:t>
      </w:r>
      <w:r>
        <w:t>ECG输入：≥12</w:t>
      </w:r>
      <w:r>
        <w:rPr>
          <w:rFonts w:hint="eastAsia"/>
        </w:rPr>
        <w:t>通道</w:t>
      </w:r>
      <w:r>
        <w:t>同步采集</w:t>
      </w:r>
      <w:r>
        <w:rPr>
          <w:rFonts w:hint="eastAsia"/>
        </w:rPr>
        <w:t>；</w:t>
      </w:r>
    </w:p>
    <w:p w14:paraId="64D9D601">
      <w:pPr>
        <w:numPr>
          <w:ilvl w:val="0"/>
          <w:numId w:val="7"/>
        </w:numPr>
        <w:spacing w:line="360" w:lineRule="auto"/>
        <w:ind w:left="0" w:firstLine="420"/>
        <w:rPr>
          <w:color w:val="auto"/>
        </w:rPr>
      </w:pPr>
      <w:r>
        <w:rPr>
          <w:rFonts w:hint="eastAsia"/>
        </w:rPr>
        <w:t>屏幕：</w:t>
      </w:r>
      <w:r>
        <w:rPr>
          <w:color w:val="auto"/>
        </w:rPr>
        <w:t>≥</w:t>
      </w:r>
      <w:r>
        <w:rPr>
          <w:rFonts w:hint="eastAsia"/>
          <w:color w:val="auto"/>
        </w:rPr>
        <w:t>5英寸触控屏，分辨率≥720*1280，要求同屏显示</w:t>
      </w:r>
      <w:r>
        <w:rPr>
          <w:color w:val="auto"/>
        </w:rPr>
        <w:t>≥</w:t>
      </w:r>
      <w:r>
        <w:rPr>
          <w:rFonts w:hint="eastAsia"/>
          <w:color w:val="auto"/>
        </w:rPr>
        <w:t>12导联波形；</w:t>
      </w:r>
    </w:p>
    <w:p w14:paraId="3D6383B2">
      <w:pPr>
        <w:numPr>
          <w:ilvl w:val="0"/>
          <w:numId w:val="7"/>
        </w:numPr>
        <w:spacing w:line="360" w:lineRule="auto"/>
        <w:ind w:left="0" w:firstLine="420"/>
        <w:rPr>
          <w:color w:val="auto"/>
        </w:rPr>
      </w:pPr>
      <w:r>
        <w:rPr>
          <w:rFonts w:hint="eastAsia"/>
          <w:color w:val="auto"/>
        </w:rPr>
        <w:t>▲</w:t>
      </w:r>
      <w:r>
        <w:rPr>
          <w:color w:val="auto"/>
        </w:rPr>
        <w:t>输入阻抗：≥</w:t>
      </w:r>
      <w:r>
        <w:rPr>
          <w:rFonts w:hint="eastAsia"/>
          <w:color w:val="auto"/>
        </w:rPr>
        <w:t>50</w:t>
      </w:r>
      <w:r>
        <w:rPr>
          <w:color w:val="auto"/>
        </w:rPr>
        <w:t>MΩ</w:t>
      </w:r>
      <w:r>
        <w:rPr>
          <w:rFonts w:hint="eastAsia"/>
          <w:color w:val="auto"/>
        </w:rPr>
        <w:t>；</w:t>
      </w:r>
      <w:r>
        <w:rPr>
          <w:rFonts w:hint="eastAsia"/>
          <w:b/>
          <w:bCs/>
          <w:color w:val="auto"/>
        </w:rPr>
        <w:t>提供产品注册证明或检测报告相关页扫描件加盖投标单位公章</w:t>
      </w:r>
      <w:r>
        <w:rPr>
          <w:rFonts w:hint="eastAsia"/>
          <w:b/>
          <w:color w:val="auto"/>
        </w:rPr>
        <w:t>。</w:t>
      </w:r>
    </w:p>
    <w:p w14:paraId="72C2D563">
      <w:pPr>
        <w:numPr>
          <w:ilvl w:val="0"/>
          <w:numId w:val="7"/>
        </w:numPr>
        <w:spacing w:line="360" w:lineRule="auto"/>
        <w:ind w:left="0" w:firstLine="420"/>
        <w:rPr>
          <w:color w:val="auto"/>
        </w:rPr>
      </w:pPr>
      <w:r>
        <w:rPr>
          <w:color w:val="auto"/>
        </w:rPr>
        <w:t>输入回路电流：≤0.1μA</w:t>
      </w:r>
      <w:r>
        <w:rPr>
          <w:rFonts w:hint="eastAsia"/>
          <w:color w:val="auto"/>
        </w:rPr>
        <w:t>；</w:t>
      </w:r>
    </w:p>
    <w:p w14:paraId="5561AC2D">
      <w:pPr>
        <w:numPr>
          <w:ilvl w:val="0"/>
          <w:numId w:val="7"/>
        </w:numPr>
        <w:spacing w:line="360" w:lineRule="auto"/>
        <w:ind w:left="0" w:firstLine="420"/>
        <w:rPr>
          <w:color w:val="auto"/>
        </w:rPr>
      </w:pPr>
      <w:r>
        <w:rPr>
          <w:color w:val="auto"/>
        </w:rPr>
        <w:t>噪声</w:t>
      </w:r>
      <w:r>
        <w:rPr>
          <w:rFonts w:hint="eastAsia"/>
          <w:color w:val="auto"/>
        </w:rPr>
        <w:t>电平</w:t>
      </w:r>
      <w:r>
        <w:rPr>
          <w:color w:val="auto"/>
        </w:rPr>
        <w:t>：</w:t>
      </w:r>
      <w:r>
        <w:rPr>
          <w:rFonts w:hint="eastAsia"/>
          <w:color w:val="auto"/>
        </w:rPr>
        <w:t>≤</w:t>
      </w:r>
      <w:r>
        <w:rPr>
          <w:color w:val="auto"/>
        </w:rPr>
        <w:t>15μVp-p</w:t>
      </w:r>
      <w:r>
        <w:rPr>
          <w:rFonts w:hint="eastAsia"/>
          <w:color w:val="auto"/>
        </w:rPr>
        <w:t>；</w:t>
      </w:r>
    </w:p>
    <w:p w14:paraId="23951574">
      <w:pPr>
        <w:numPr>
          <w:ilvl w:val="0"/>
          <w:numId w:val="7"/>
        </w:numPr>
        <w:spacing w:line="360" w:lineRule="auto"/>
        <w:ind w:left="0" w:firstLine="420"/>
        <w:rPr>
          <w:color w:val="auto"/>
        </w:rPr>
      </w:pPr>
      <w:r>
        <w:rPr>
          <w:color w:val="auto"/>
        </w:rPr>
        <w:t>共模抑制比：≥100dB</w:t>
      </w:r>
      <w:r>
        <w:rPr>
          <w:rFonts w:hint="eastAsia"/>
          <w:color w:val="auto"/>
        </w:rPr>
        <w:t>；</w:t>
      </w:r>
    </w:p>
    <w:p w14:paraId="5C7A4945">
      <w:pPr>
        <w:numPr>
          <w:ilvl w:val="0"/>
          <w:numId w:val="7"/>
        </w:numPr>
        <w:spacing w:line="360" w:lineRule="auto"/>
        <w:ind w:left="0" w:firstLine="420"/>
        <w:rPr>
          <w:color w:val="auto"/>
        </w:rPr>
      </w:pPr>
      <w:r>
        <w:rPr>
          <w:color w:val="auto"/>
        </w:rPr>
        <w:t>时间常数：≥</w:t>
      </w:r>
      <w:r>
        <w:rPr>
          <w:rFonts w:hint="eastAsia"/>
          <w:color w:val="auto"/>
        </w:rPr>
        <w:t>5</w:t>
      </w:r>
      <w:r>
        <w:rPr>
          <w:color w:val="auto"/>
        </w:rPr>
        <w:t>s</w:t>
      </w:r>
      <w:r>
        <w:rPr>
          <w:rFonts w:hint="eastAsia"/>
          <w:color w:val="auto"/>
        </w:rPr>
        <w:t>；</w:t>
      </w:r>
    </w:p>
    <w:p w14:paraId="62C86429">
      <w:pPr>
        <w:numPr>
          <w:ilvl w:val="0"/>
          <w:numId w:val="7"/>
        </w:numPr>
        <w:spacing w:line="360" w:lineRule="auto"/>
        <w:ind w:left="0" w:firstLine="420"/>
        <w:rPr>
          <w:color w:val="auto"/>
        </w:rPr>
      </w:pPr>
      <w:r>
        <w:rPr>
          <w:rFonts w:hint="eastAsia"/>
          <w:color w:val="auto"/>
        </w:rPr>
        <w:t>▲</w:t>
      </w:r>
      <w:r>
        <w:rPr>
          <w:color w:val="auto"/>
        </w:rPr>
        <w:t>耐极化电压：≥±9</w:t>
      </w:r>
      <w:r>
        <w:rPr>
          <w:rFonts w:hint="eastAsia"/>
          <w:color w:val="auto"/>
        </w:rPr>
        <w:t>6</w:t>
      </w:r>
      <w:r>
        <w:rPr>
          <w:color w:val="auto"/>
        </w:rPr>
        <w:t>0mV</w:t>
      </w:r>
      <w:r>
        <w:rPr>
          <w:rFonts w:hint="eastAsia"/>
          <w:color w:val="auto"/>
        </w:rPr>
        <w:t>；</w:t>
      </w:r>
      <w:r>
        <w:rPr>
          <w:rFonts w:hint="eastAsia"/>
          <w:b/>
          <w:bCs/>
          <w:color w:val="auto"/>
        </w:rPr>
        <w:t>提供产品检测报告相关页证明扫描件加盖投标单位公章</w:t>
      </w:r>
      <w:r>
        <w:rPr>
          <w:rFonts w:hint="eastAsia"/>
          <w:b/>
          <w:color w:val="auto"/>
        </w:rPr>
        <w:t>。</w:t>
      </w:r>
    </w:p>
    <w:p w14:paraId="7C7D8F6D">
      <w:pPr>
        <w:numPr>
          <w:ilvl w:val="0"/>
          <w:numId w:val="7"/>
        </w:numPr>
        <w:spacing w:line="360" w:lineRule="auto"/>
        <w:ind w:left="0" w:firstLine="420"/>
        <w:rPr>
          <w:color w:val="auto"/>
        </w:rPr>
      </w:pPr>
      <w:r>
        <w:rPr>
          <w:rFonts w:hint="eastAsia"/>
          <w:color w:val="auto"/>
        </w:rPr>
        <w:t>▲</w:t>
      </w:r>
      <w:r>
        <w:rPr>
          <w:color w:val="auto"/>
        </w:rPr>
        <w:t>频响范围:0.0</w:t>
      </w:r>
      <w:r>
        <w:rPr>
          <w:rFonts w:hint="eastAsia"/>
          <w:color w:val="auto"/>
        </w:rPr>
        <w:t>5</w:t>
      </w:r>
      <w:r>
        <w:rPr>
          <w:color w:val="auto"/>
        </w:rPr>
        <w:t>~</w:t>
      </w:r>
      <w:r>
        <w:rPr>
          <w:rFonts w:hint="eastAsia"/>
          <w:color w:val="auto"/>
        </w:rPr>
        <w:t>3</w:t>
      </w:r>
      <w:r>
        <w:rPr>
          <w:color w:val="auto"/>
        </w:rPr>
        <w:t>0</w:t>
      </w:r>
      <w:r>
        <w:rPr>
          <w:rFonts w:hint="eastAsia"/>
          <w:color w:val="auto"/>
        </w:rPr>
        <w:t>0</w:t>
      </w:r>
      <w:r>
        <w:rPr>
          <w:color w:val="auto"/>
        </w:rPr>
        <w:t>Hz</w:t>
      </w:r>
      <w:r>
        <w:rPr>
          <w:rFonts w:hint="eastAsia"/>
          <w:color w:val="auto"/>
        </w:rPr>
        <w:t>；</w:t>
      </w:r>
      <w:r>
        <w:rPr>
          <w:rFonts w:hint="eastAsia"/>
          <w:b/>
          <w:bCs/>
          <w:color w:val="auto"/>
        </w:rPr>
        <w:t>提供产品检测报告相关页证明扫描件加盖投标单位公章</w:t>
      </w:r>
      <w:r>
        <w:rPr>
          <w:rFonts w:hint="eastAsia"/>
          <w:b/>
          <w:color w:val="auto"/>
        </w:rPr>
        <w:t>。</w:t>
      </w:r>
    </w:p>
    <w:p w14:paraId="05CF5B14">
      <w:pPr>
        <w:numPr>
          <w:ilvl w:val="0"/>
          <w:numId w:val="7"/>
        </w:numPr>
        <w:spacing w:line="360" w:lineRule="auto"/>
        <w:ind w:left="0" w:firstLine="420"/>
        <w:rPr>
          <w:color w:val="auto"/>
        </w:rPr>
      </w:pPr>
      <w:r>
        <w:rPr>
          <w:rFonts w:hint="eastAsia"/>
          <w:color w:val="auto"/>
        </w:rPr>
        <w:t>模数（A/D）</w:t>
      </w:r>
      <w:r>
        <w:rPr>
          <w:color w:val="auto"/>
        </w:rPr>
        <w:t>转换：≥</w:t>
      </w:r>
      <w:r>
        <w:rPr>
          <w:rFonts w:hint="eastAsia"/>
          <w:color w:val="auto"/>
        </w:rPr>
        <w:t>24位（</w:t>
      </w:r>
      <w:r>
        <w:rPr>
          <w:color w:val="auto"/>
        </w:rPr>
        <w:t>bit</w:t>
      </w:r>
      <w:r>
        <w:rPr>
          <w:rFonts w:hint="eastAsia"/>
          <w:color w:val="auto"/>
        </w:rPr>
        <w:t>）；</w:t>
      </w:r>
    </w:p>
    <w:p w14:paraId="142392CA">
      <w:pPr>
        <w:numPr>
          <w:ilvl w:val="0"/>
          <w:numId w:val="7"/>
        </w:numPr>
        <w:spacing w:line="360" w:lineRule="auto"/>
        <w:ind w:left="0" w:firstLine="420"/>
        <w:rPr>
          <w:color w:val="auto"/>
        </w:rPr>
      </w:pPr>
      <w:r>
        <w:rPr>
          <w:rFonts w:hint="eastAsia"/>
          <w:color w:val="auto"/>
        </w:rPr>
        <w:t>▲</w:t>
      </w:r>
      <w:r>
        <w:rPr>
          <w:color w:val="auto"/>
        </w:rPr>
        <w:t>灵敏度（增益）：</w:t>
      </w:r>
      <w:r>
        <w:rPr>
          <w:rFonts w:hint="eastAsia"/>
          <w:color w:val="auto"/>
        </w:rPr>
        <w:t>至少包括</w:t>
      </w:r>
      <w:r>
        <w:rPr>
          <w:color w:val="auto"/>
        </w:rPr>
        <w:t>5mm/mV、10mm/mV、20mm/mV</w:t>
      </w:r>
      <w:r>
        <w:rPr>
          <w:rFonts w:hint="eastAsia"/>
          <w:color w:val="auto"/>
        </w:rPr>
        <w:t>，</w:t>
      </w:r>
      <w:r>
        <w:rPr>
          <w:color w:val="auto"/>
        </w:rPr>
        <w:t>误差不超过±5%</w:t>
      </w:r>
      <w:r>
        <w:rPr>
          <w:rFonts w:hint="eastAsia"/>
          <w:color w:val="auto"/>
        </w:rPr>
        <w:t>；</w:t>
      </w:r>
    </w:p>
    <w:p w14:paraId="06295E5C">
      <w:pPr>
        <w:numPr>
          <w:ilvl w:val="0"/>
          <w:numId w:val="7"/>
        </w:numPr>
        <w:spacing w:line="360" w:lineRule="auto"/>
        <w:ind w:left="0" w:firstLine="420"/>
        <w:rPr>
          <w:color w:val="auto"/>
        </w:rPr>
      </w:pPr>
      <w:r>
        <w:rPr>
          <w:color w:val="auto"/>
        </w:rPr>
        <w:t>走纸速度：</w:t>
      </w:r>
      <w:r>
        <w:rPr>
          <w:rFonts w:hint="eastAsia"/>
          <w:color w:val="auto"/>
        </w:rPr>
        <w:t>至少包括</w:t>
      </w:r>
      <w:r>
        <w:rPr>
          <w:color w:val="auto"/>
        </w:rPr>
        <w:t>12.5mm</w:t>
      </w:r>
      <w:r>
        <w:rPr>
          <w:rFonts w:hint="eastAsia"/>
          <w:color w:val="auto"/>
        </w:rPr>
        <w:t>/</w:t>
      </w:r>
      <w:r>
        <w:rPr>
          <w:color w:val="auto"/>
        </w:rPr>
        <w:t>s、25mm/s、50mm/s</w:t>
      </w:r>
      <w:r>
        <w:rPr>
          <w:rFonts w:hint="eastAsia"/>
          <w:color w:val="auto"/>
        </w:rPr>
        <w:t>和100mm</w:t>
      </w:r>
      <w:r>
        <w:rPr>
          <w:color w:val="auto"/>
        </w:rPr>
        <w:t>/s</w:t>
      </w:r>
      <w:r>
        <w:rPr>
          <w:rFonts w:hint="eastAsia"/>
          <w:color w:val="auto"/>
        </w:rPr>
        <w:t>四档选择</w:t>
      </w:r>
      <w:r>
        <w:rPr>
          <w:color w:val="auto"/>
        </w:rPr>
        <w:t>；</w:t>
      </w:r>
    </w:p>
    <w:p w14:paraId="3C4CF342">
      <w:pPr>
        <w:numPr>
          <w:ilvl w:val="0"/>
          <w:numId w:val="7"/>
        </w:numPr>
        <w:spacing w:line="360" w:lineRule="auto"/>
        <w:ind w:left="0" w:firstLine="420"/>
        <w:rPr>
          <w:color w:val="auto"/>
        </w:rPr>
      </w:pPr>
      <w:r>
        <w:rPr>
          <w:color w:val="auto"/>
        </w:rPr>
        <w:t>具备波形预采功能，可用于捕捉偶发、一过性的心律失常事件，预采集时间可设置</w:t>
      </w:r>
      <w:r>
        <w:rPr>
          <w:rFonts w:hint="eastAsia"/>
          <w:color w:val="auto"/>
        </w:rPr>
        <w:t>；</w:t>
      </w:r>
    </w:p>
    <w:p w14:paraId="787893DD">
      <w:pPr>
        <w:numPr>
          <w:ilvl w:val="0"/>
          <w:numId w:val="7"/>
        </w:numPr>
        <w:spacing w:line="360" w:lineRule="auto"/>
        <w:ind w:left="0" w:firstLine="420"/>
        <w:rPr>
          <w:color w:val="auto"/>
        </w:rPr>
      </w:pPr>
      <w:r>
        <w:rPr>
          <w:rFonts w:hint="eastAsia"/>
          <w:color w:val="auto"/>
        </w:rPr>
        <w:t>具备自动记录功能，自动记录菜单中包括：10秒、15秒、20秒、30秒、1分钟、3分钟、5分钟；</w:t>
      </w:r>
    </w:p>
    <w:p w14:paraId="1558B9C4">
      <w:pPr>
        <w:numPr>
          <w:ilvl w:val="0"/>
          <w:numId w:val="7"/>
        </w:numPr>
        <w:spacing w:line="360" w:lineRule="auto"/>
        <w:ind w:left="0" w:firstLine="420"/>
        <w:rPr>
          <w:color w:val="auto"/>
        </w:rPr>
      </w:pPr>
      <w:r>
        <w:rPr>
          <w:rFonts w:hint="eastAsia"/>
          <w:color w:val="auto"/>
        </w:rPr>
        <w:t>具备心电加做模式，在完成标准12导心电采集后，适合基层可加做右胸与后壁心电采集；</w:t>
      </w:r>
    </w:p>
    <w:p w14:paraId="6081D06E">
      <w:pPr>
        <w:numPr>
          <w:ilvl w:val="0"/>
          <w:numId w:val="7"/>
        </w:numPr>
        <w:spacing w:line="360" w:lineRule="auto"/>
        <w:ind w:left="0" w:firstLine="420"/>
        <w:rPr>
          <w:color w:val="auto"/>
        </w:rPr>
      </w:pPr>
      <w:r>
        <w:rPr>
          <w:color w:val="auto"/>
        </w:rPr>
        <w:t>支持起搏心电采集功能</w:t>
      </w:r>
      <w:r>
        <w:rPr>
          <w:rFonts w:hint="eastAsia"/>
          <w:color w:val="auto"/>
        </w:rPr>
        <w:t>；</w:t>
      </w:r>
    </w:p>
    <w:p w14:paraId="5DCC6748">
      <w:pPr>
        <w:numPr>
          <w:ilvl w:val="0"/>
          <w:numId w:val="7"/>
        </w:numPr>
        <w:spacing w:line="360" w:lineRule="auto"/>
        <w:ind w:left="0" w:firstLine="420"/>
        <w:rPr>
          <w:color w:val="auto"/>
        </w:rPr>
      </w:pPr>
      <w:r>
        <w:rPr>
          <w:rFonts w:hint="eastAsia"/>
          <w:color w:val="auto"/>
        </w:rPr>
        <w:t>具备WORKLIST功能，可从HIS一键提取待检查患者详细信息及病例信息，减少手工录入；</w:t>
      </w:r>
    </w:p>
    <w:p w14:paraId="38D179BF">
      <w:pPr>
        <w:numPr>
          <w:ilvl w:val="0"/>
          <w:numId w:val="7"/>
        </w:numPr>
        <w:spacing w:line="360" w:lineRule="auto"/>
        <w:ind w:left="0" w:firstLine="420"/>
        <w:rPr>
          <w:color w:val="auto"/>
        </w:rPr>
      </w:pPr>
      <w:r>
        <w:rPr>
          <w:rFonts w:hint="eastAsia"/>
          <w:color w:val="auto"/>
        </w:rPr>
        <w:t>心电采集时，具备智能波形识别提醒功能，包括：伪差识别提醒、左右手接反识别提醒、导联脱落提醒、异常波形识别及提醒，</w:t>
      </w:r>
      <w:r>
        <w:rPr>
          <w:rFonts w:hint="eastAsia"/>
          <w:bCs/>
          <w:color w:val="auto"/>
        </w:rPr>
        <w:t>提供包含以上功能的界面截图；</w:t>
      </w:r>
    </w:p>
    <w:p w14:paraId="0B7CCF42">
      <w:pPr>
        <w:numPr>
          <w:ilvl w:val="0"/>
          <w:numId w:val="7"/>
        </w:numPr>
        <w:spacing w:line="360" w:lineRule="auto"/>
        <w:ind w:left="0" w:firstLine="420"/>
        <w:rPr>
          <w:color w:val="auto"/>
        </w:rPr>
      </w:pPr>
      <w:r>
        <w:rPr>
          <w:rFonts w:hint="eastAsia"/>
          <w:color w:val="auto"/>
        </w:rPr>
        <w:t>支持诊断中心诊断后，基层医院可下载心电图报告至本机。</w:t>
      </w:r>
      <w:r>
        <w:rPr>
          <w:rFonts w:hint="eastAsia"/>
          <w:bCs/>
          <w:color w:val="auto"/>
        </w:rPr>
        <w:t>提供界面截图并支持打印；</w:t>
      </w:r>
    </w:p>
    <w:p w14:paraId="06666578">
      <w:pPr>
        <w:numPr>
          <w:ilvl w:val="0"/>
          <w:numId w:val="7"/>
        </w:numPr>
        <w:spacing w:line="360" w:lineRule="auto"/>
        <w:ind w:left="0" w:firstLine="420"/>
        <w:rPr>
          <w:color w:val="auto"/>
        </w:rPr>
      </w:pPr>
      <w:r>
        <w:rPr>
          <w:color w:val="auto"/>
        </w:rPr>
        <w:t>具备</w:t>
      </w:r>
      <w:r>
        <w:rPr>
          <w:rFonts w:hint="eastAsia"/>
          <w:color w:val="auto"/>
        </w:rPr>
        <w:t>一键</w:t>
      </w:r>
      <w:r>
        <w:rPr>
          <w:color w:val="auto"/>
        </w:rPr>
        <w:t>转胸痛功能，经心电图检查后，如诊断为胸痛患者，可在心电检查设备</w:t>
      </w:r>
      <w:r>
        <w:rPr>
          <w:rFonts w:hint="eastAsia"/>
          <w:color w:val="auto"/>
        </w:rPr>
        <w:t>端</w:t>
      </w:r>
      <w:r>
        <w:rPr>
          <w:color w:val="auto"/>
        </w:rPr>
        <w:t>直接对患者“转胸痛”，患者进入胸痛系统，建立胸痛档案</w:t>
      </w:r>
      <w:r>
        <w:rPr>
          <w:rFonts w:hint="eastAsia"/>
          <w:color w:val="auto"/>
        </w:rPr>
        <w:t>；</w:t>
      </w:r>
    </w:p>
    <w:p w14:paraId="271B0701">
      <w:pPr>
        <w:numPr>
          <w:ilvl w:val="0"/>
          <w:numId w:val="7"/>
        </w:numPr>
        <w:spacing w:line="360" w:lineRule="auto"/>
        <w:ind w:left="0" w:firstLine="420"/>
        <w:rPr>
          <w:color w:val="auto"/>
        </w:rPr>
      </w:pPr>
      <w:r>
        <w:rPr>
          <w:rFonts w:hint="eastAsia"/>
          <w:color w:val="auto"/>
        </w:rPr>
        <w:t>▲数据传输：可通过有线和无线（配备内网物联网卡，支持4G或5G,质保期内满足使用需求）完成数据上传。</w:t>
      </w:r>
    </w:p>
    <w:p w14:paraId="3EB16134">
      <w:pPr>
        <w:numPr>
          <w:ilvl w:val="0"/>
          <w:numId w:val="7"/>
        </w:numPr>
        <w:spacing w:line="360" w:lineRule="auto"/>
        <w:ind w:left="0" w:firstLine="420"/>
        <w:rPr>
          <w:color w:val="auto"/>
        </w:rPr>
      </w:pPr>
      <w:r>
        <w:rPr>
          <w:rFonts w:hint="eastAsia"/>
          <w:color w:val="auto"/>
        </w:rPr>
        <w:t>具备危急值管理功能；</w:t>
      </w:r>
      <w:r>
        <w:rPr>
          <w:rFonts w:hint="eastAsia"/>
          <w:bCs/>
          <w:color w:val="auto"/>
        </w:rPr>
        <w:t>提供医疗器械注册证或其附件的</w:t>
      </w:r>
      <w:r>
        <w:rPr>
          <w:rFonts w:hint="eastAsia" w:ascii="宋体" w:hAnsi="宋体" w:cs="宋体"/>
          <w:color w:val="auto"/>
        </w:rPr>
        <w:t>扫描件</w:t>
      </w:r>
      <w:r>
        <w:rPr>
          <w:rFonts w:hint="eastAsia"/>
          <w:bCs/>
          <w:color w:val="auto"/>
        </w:rPr>
        <w:t>并圈出相应文字内容证明；</w:t>
      </w:r>
    </w:p>
    <w:p w14:paraId="5ECE5AA5">
      <w:pPr>
        <w:numPr>
          <w:ilvl w:val="0"/>
          <w:numId w:val="7"/>
        </w:numPr>
        <w:spacing w:line="360" w:lineRule="auto"/>
        <w:ind w:left="0" w:firstLine="420"/>
        <w:rPr>
          <w:color w:val="auto"/>
        </w:rPr>
      </w:pPr>
      <w:r>
        <w:rPr>
          <w:color w:val="auto"/>
        </w:rPr>
        <w:t>具备用户访问控制：系统可分为操作员、管理员两种角色</w:t>
      </w:r>
      <w:r>
        <w:rPr>
          <w:rFonts w:hint="eastAsia"/>
          <w:color w:val="auto"/>
        </w:rPr>
        <w:t>，</w:t>
      </w:r>
      <w:r>
        <w:rPr>
          <w:color w:val="auto"/>
        </w:rPr>
        <w:t>系统登录有密码访问验证，没有授权的操作用户无法使用系统</w:t>
      </w:r>
      <w:r>
        <w:rPr>
          <w:rFonts w:hint="eastAsia"/>
          <w:color w:val="auto"/>
        </w:rPr>
        <w:t>以保证安全；</w:t>
      </w:r>
    </w:p>
    <w:p w14:paraId="0D6BF2B1">
      <w:pPr>
        <w:numPr>
          <w:ilvl w:val="0"/>
          <w:numId w:val="7"/>
        </w:numPr>
        <w:spacing w:line="360" w:lineRule="auto"/>
        <w:ind w:left="0" w:firstLine="420"/>
        <w:rPr>
          <w:color w:val="auto"/>
        </w:rPr>
      </w:pPr>
      <w:r>
        <w:rPr>
          <w:rFonts w:hint="eastAsia"/>
          <w:color w:val="auto"/>
        </w:rPr>
        <w:t>内置大容量锂电池，充满电后可工作时长</w:t>
      </w:r>
      <w:r>
        <w:rPr>
          <w:rFonts w:hint="eastAsia"/>
          <w:b/>
          <w:bCs/>
          <w:color w:val="auto"/>
        </w:rPr>
        <w:t>≥8小时。</w:t>
      </w:r>
    </w:p>
    <w:p w14:paraId="794517CE">
      <w:pPr>
        <w:numPr>
          <w:ilvl w:val="0"/>
          <w:numId w:val="7"/>
        </w:numPr>
        <w:spacing w:line="360" w:lineRule="auto"/>
        <w:ind w:left="0" w:firstLine="420"/>
        <w:rPr>
          <w:rFonts w:ascii="Calibri" w:hAnsi="Calibri"/>
          <w:b/>
          <w:bCs/>
          <w:color w:val="auto"/>
        </w:rPr>
      </w:pPr>
      <w:r>
        <w:rPr>
          <w:rFonts w:hint="eastAsia"/>
          <w:color w:val="auto"/>
        </w:rPr>
        <w:t>▲设备有效期≥8年。</w:t>
      </w:r>
    </w:p>
    <w:p w14:paraId="2150CFB9">
      <w:pPr>
        <w:spacing w:line="360" w:lineRule="auto"/>
        <w:ind w:firstLine="422"/>
        <w:rPr>
          <w:rFonts w:ascii="Calibri" w:hAnsi="Calibri"/>
          <w:b/>
          <w:bCs/>
          <w:color w:val="auto"/>
        </w:rPr>
      </w:pPr>
      <w:r>
        <w:rPr>
          <w:rFonts w:hint="eastAsia" w:ascii="Calibri" w:hAnsi="Calibri"/>
          <w:b/>
          <w:bCs/>
          <w:color w:val="auto"/>
        </w:rPr>
        <w:t>2、数字式心电检查设备：</w:t>
      </w:r>
    </w:p>
    <w:p w14:paraId="20F1EDD1">
      <w:pPr>
        <w:numPr>
          <w:ilvl w:val="0"/>
          <w:numId w:val="8"/>
        </w:numPr>
        <w:spacing w:line="360" w:lineRule="auto"/>
        <w:ind w:left="0" w:firstLine="420"/>
        <w:rPr>
          <w:color w:val="auto"/>
        </w:rPr>
      </w:pPr>
      <w:r>
        <w:rPr>
          <w:rFonts w:hint="eastAsia"/>
          <w:color w:val="auto"/>
        </w:rPr>
        <w:t>屏幕：</w:t>
      </w:r>
      <w:r>
        <w:rPr>
          <w:color w:val="auto"/>
        </w:rPr>
        <w:t>≥</w:t>
      </w:r>
      <w:r>
        <w:rPr>
          <w:rFonts w:hint="eastAsia"/>
          <w:color w:val="auto"/>
        </w:rPr>
        <w:t>8英寸触控屏。</w:t>
      </w:r>
    </w:p>
    <w:p w14:paraId="7EEBD560">
      <w:pPr>
        <w:numPr>
          <w:ilvl w:val="0"/>
          <w:numId w:val="8"/>
        </w:numPr>
        <w:spacing w:line="360" w:lineRule="auto"/>
        <w:ind w:left="0" w:firstLine="420"/>
        <w:rPr>
          <w:color w:val="auto"/>
        </w:rPr>
      </w:pPr>
      <w:r>
        <w:rPr>
          <w:rFonts w:hint="eastAsia"/>
          <w:color w:val="auto"/>
        </w:rPr>
        <w:t>▲1</w:t>
      </w:r>
      <w:r>
        <w:rPr>
          <w:color w:val="auto"/>
        </w:rPr>
        <w:t>2</w:t>
      </w:r>
      <w:r>
        <w:rPr>
          <w:rFonts w:hint="eastAsia"/>
          <w:color w:val="auto"/>
        </w:rPr>
        <w:t>导数字式心电图机，支持12通道同步采集。</w:t>
      </w:r>
    </w:p>
    <w:p w14:paraId="49E2AE23">
      <w:pPr>
        <w:numPr>
          <w:ilvl w:val="0"/>
          <w:numId w:val="8"/>
        </w:numPr>
        <w:spacing w:line="360" w:lineRule="auto"/>
        <w:ind w:left="0" w:firstLine="420"/>
        <w:rPr>
          <w:color w:val="auto"/>
        </w:rPr>
      </w:pPr>
      <w:r>
        <w:rPr>
          <w:rFonts w:hint="eastAsia"/>
          <w:color w:val="auto"/>
        </w:rPr>
        <w:t>▲共模抑制比：≥</w:t>
      </w:r>
      <w:r>
        <w:rPr>
          <w:color w:val="auto"/>
        </w:rPr>
        <w:t>1</w:t>
      </w:r>
      <w:r>
        <w:rPr>
          <w:rFonts w:hint="eastAsia"/>
          <w:color w:val="auto"/>
        </w:rPr>
        <w:t>00dB。</w:t>
      </w:r>
    </w:p>
    <w:p w14:paraId="256909FA">
      <w:pPr>
        <w:numPr>
          <w:ilvl w:val="0"/>
          <w:numId w:val="8"/>
        </w:numPr>
        <w:spacing w:line="360" w:lineRule="auto"/>
        <w:ind w:left="0" w:firstLine="420"/>
        <w:rPr>
          <w:color w:val="auto"/>
        </w:rPr>
      </w:pPr>
      <w:r>
        <w:rPr>
          <w:rFonts w:hint="eastAsia"/>
          <w:color w:val="auto"/>
        </w:rPr>
        <w:t>定标电压：各档位灵敏度最大允许误差为士1%。</w:t>
      </w:r>
    </w:p>
    <w:p w14:paraId="51590355">
      <w:pPr>
        <w:numPr>
          <w:ilvl w:val="0"/>
          <w:numId w:val="8"/>
        </w:numPr>
        <w:spacing w:line="360" w:lineRule="auto"/>
        <w:ind w:left="0" w:firstLine="420"/>
        <w:rPr>
          <w:color w:val="auto"/>
        </w:rPr>
      </w:pPr>
      <w:r>
        <w:rPr>
          <w:rFonts w:hint="eastAsia"/>
          <w:color w:val="auto"/>
        </w:rPr>
        <w:t>噪声电平：≤15μVP-P。</w:t>
      </w:r>
    </w:p>
    <w:p w14:paraId="114C1940">
      <w:pPr>
        <w:numPr>
          <w:ilvl w:val="0"/>
          <w:numId w:val="8"/>
        </w:numPr>
        <w:spacing w:line="360" w:lineRule="auto"/>
        <w:ind w:left="0" w:firstLine="420"/>
        <w:rPr>
          <w:color w:val="auto"/>
        </w:rPr>
      </w:pPr>
      <w:r>
        <w:rPr>
          <w:rFonts w:hint="eastAsia"/>
          <w:color w:val="auto"/>
        </w:rPr>
        <w:t>▲频响范围：0.05-300Hz。</w:t>
      </w:r>
    </w:p>
    <w:p w14:paraId="663E7FA5">
      <w:pPr>
        <w:numPr>
          <w:ilvl w:val="0"/>
          <w:numId w:val="8"/>
        </w:numPr>
        <w:spacing w:line="360" w:lineRule="auto"/>
        <w:ind w:left="0" w:firstLine="420"/>
        <w:rPr>
          <w:color w:val="auto"/>
        </w:rPr>
      </w:pPr>
      <w:r>
        <w:rPr>
          <w:rFonts w:hint="eastAsia"/>
          <w:color w:val="auto"/>
        </w:rPr>
        <w:t>时间常数：≥</w:t>
      </w:r>
      <w:r>
        <w:rPr>
          <w:color w:val="auto"/>
        </w:rPr>
        <w:t>5</w:t>
      </w:r>
      <w:r>
        <w:rPr>
          <w:rFonts w:hint="eastAsia"/>
          <w:color w:val="auto"/>
        </w:rPr>
        <w:t>s。</w:t>
      </w:r>
    </w:p>
    <w:p w14:paraId="26833FBA">
      <w:pPr>
        <w:numPr>
          <w:ilvl w:val="0"/>
          <w:numId w:val="8"/>
        </w:numPr>
        <w:spacing w:line="360" w:lineRule="auto"/>
        <w:ind w:left="0" w:firstLine="420"/>
        <w:rPr>
          <w:color w:val="auto"/>
        </w:rPr>
      </w:pPr>
      <w:r>
        <w:rPr>
          <w:rFonts w:hint="eastAsia"/>
          <w:color w:val="auto"/>
        </w:rPr>
        <w:t>▲心率测量范围：30bpm~300bpm。</w:t>
      </w:r>
    </w:p>
    <w:p w14:paraId="5E76295B">
      <w:pPr>
        <w:numPr>
          <w:ilvl w:val="0"/>
          <w:numId w:val="8"/>
        </w:numPr>
        <w:spacing w:line="360" w:lineRule="auto"/>
        <w:ind w:left="0" w:firstLine="420"/>
        <w:rPr>
          <w:color w:val="auto"/>
        </w:rPr>
      </w:pPr>
      <w:r>
        <w:rPr>
          <w:rFonts w:hint="eastAsia"/>
          <w:color w:val="auto"/>
        </w:rPr>
        <w:t>增益要求：2.5mm/mV、5mm/mV、10mm/mV、20mm/mV，增益准确度±1%。</w:t>
      </w:r>
    </w:p>
    <w:p w14:paraId="30445549">
      <w:pPr>
        <w:numPr>
          <w:ilvl w:val="0"/>
          <w:numId w:val="8"/>
        </w:numPr>
        <w:spacing w:line="360" w:lineRule="auto"/>
        <w:ind w:left="0" w:firstLine="420"/>
        <w:rPr>
          <w:color w:val="auto"/>
        </w:rPr>
      </w:pPr>
      <w:r>
        <w:rPr>
          <w:rFonts w:hint="eastAsia"/>
          <w:color w:val="auto"/>
        </w:rPr>
        <w:t>记录速度：支持50 mm/s、25mm/s和12.5mm/s三种记录速度，时间速度的精度应在土1%范围内。</w:t>
      </w:r>
    </w:p>
    <w:p w14:paraId="0DC2CF92">
      <w:pPr>
        <w:numPr>
          <w:ilvl w:val="0"/>
          <w:numId w:val="8"/>
        </w:numPr>
        <w:spacing w:line="360" w:lineRule="auto"/>
        <w:ind w:left="0" w:firstLine="420"/>
        <w:rPr>
          <w:color w:val="auto"/>
        </w:rPr>
      </w:pPr>
      <w:r>
        <w:rPr>
          <w:rFonts w:hint="eastAsia"/>
          <w:color w:val="auto"/>
        </w:rPr>
        <w:t>具有在有起搏器脉冲的情况下显示心电图的能力，具备全导联起搏检测，准确识别起搏信号。</w:t>
      </w:r>
    </w:p>
    <w:p w14:paraId="2D1930AE">
      <w:pPr>
        <w:numPr>
          <w:ilvl w:val="0"/>
          <w:numId w:val="8"/>
        </w:numPr>
        <w:spacing w:line="360" w:lineRule="auto"/>
        <w:ind w:left="0" w:firstLine="420"/>
        <w:rPr>
          <w:color w:val="auto"/>
        </w:rPr>
      </w:pPr>
      <w:r>
        <w:rPr>
          <w:rFonts w:hint="eastAsia"/>
          <w:color w:val="auto"/>
        </w:rPr>
        <w:t>心电图机支持批量下载预约记录功能，支持从心电网络系统获取预约的受检查者信息下发至心电图机并支持待检查列表显示，列表应包含检查姓名、性别、年龄等信息。</w:t>
      </w:r>
    </w:p>
    <w:p w14:paraId="2D2C9F5D">
      <w:pPr>
        <w:numPr>
          <w:ilvl w:val="0"/>
          <w:numId w:val="8"/>
        </w:numPr>
        <w:spacing w:line="360" w:lineRule="auto"/>
        <w:ind w:left="0" w:firstLine="420"/>
        <w:rPr>
          <w:color w:val="auto"/>
        </w:rPr>
      </w:pPr>
      <w:r>
        <w:rPr>
          <w:rFonts w:hint="eastAsia"/>
          <w:color w:val="auto"/>
        </w:rPr>
        <w:t>检查管理：具有加采新报告、上传数据、重新上传、加急、加采图谱、重采图谱、编辑删除查询、同步、批量上传心电图功能。</w:t>
      </w:r>
    </w:p>
    <w:p w14:paraId="6E693070">
      <w:pPr>
        <w:numPr>
          <w:ilvl w:val="0"/>
          <w:numId w:val="8"/>
        </w:numPr>
        <w:spacing w:line="360" w:lineRule="auto"/>
        <w:ind w:left="0" w:firstLine="420"/>
        <w:rPr>
          <w:color w:val="auto"/>
        </w:rPr>
      </w:pPr>
      <w:r>
        <w:rPr>
          <w:rFonts w:hint="eastAsia"/>
          <w:color w:val="auto"/>
        </w:rPr>
        <w:t>▲心电图机支持导联脱落、伪差、左右手接反、无法识别、心律失常波形的自动检测和提示功能。</w:t>
      </w:r>
    </w:p>
    <w:p w14:paraId="457C0BA2">
      <w:pPr>
        <w:numPr>
          <w:ilvl w:val="0"/>
          <w:numId w:val="8"/>
        </w:numPr>
        <w:spacing w:line="360" w:lineRule="auto"/>
        <w:ind w:left="0" w:firstLine="420"/>
        <w:rPr>
          <w:color w:val="auto"/>
        </w:rPr>
      </w:pPr>
      <w:r>
        <w:rPr>
          <w:rFonts w:hint="eastAsia"/>
          <w:color w:val="auto"/>
        </w:rPr>
        <w:t>支持消息实时提醒功能，如危急报告提醒、诊断退回提醒、导联纠错提醒、诊断完成提醒。</w:t>
      </w:r>
    </w:p>
    <w:p w14:paraId="1844F148">
      <w:pPr>
        <w:numPr>
          <w:ilvl w:val="0"/>
          <w:numId w:val="8"/>
        </w:numPr>
        <w:spacing w:line="360" w:lineRule="auto"/>
        <w:ind w:left="0" w:firstLine="420"/>
        <w:rPr>
          <w:color w:val="auto"/>
        </w:rPr>
      </w:pPr>
      <w:r>
        <w:rPr>
          <w:rFonts w:hint="eastAsia"/>
          <w:color w:val="auto"/>
        </w:rPr>
        <w:t>QTc参数测量：内置5种以上测量算法，QTc计算方法可通过系统设置调阅并设置。</w:t>
      </w:r>
    </w:p>
    <w:p w14:paraId="6BA4C63C">
      <w:pPr>
        <w:numPr>
          <w:ilvl w:val="0"/>
          <w:numId w:val="8"/>
        </w:numPr>
        <w:spacing w:line="360" w:lineRule="auto"/>
        <w:ind w:left="0" w:firstLine="420"/>
        <w:rPr>
          <w:color w:val="auto"/>
        </w:rPr>
      </w:pPr>
      <w:r>
        <w:rPr>
          <w:rFonts w:hint="eastAsia"/>
          <w:color w:val="auto"/>
        </w:rPr>
        <w:t>图谱采集具备自动记录功能，设置菜单中可设置图谱最小采集时长为10秒、20秒、30秒、1分钟、5分钟。</w:t>
      </w:r>
    </w:p>
    <w:p w14:paraId="4C7C0668">
      <w:pPr>
        <w:numPr>
          <w:ilvl w:val="0"/>
          <w:numId w:val="8"/>
        </w:numPr>
        <w:spacing w:line="360" w:lineRule="auto"/>
        <w:ind w:left="0" w:firstLine="420"/>
        <w:rPr>
          <w:color w:val="auto"/>
        </w:rPr>
      </w:pPr>
      <w:r>
        <w:rPr>
          <w:rFonts w:hint="eastAsia"/>
          <w:color w:val="auto"/>
        </w:rPr>
        <w:t>支持急性心肌梗塞等异常心电图的自动识别，并以弹窗或语音提醒方式提醒医患人员优先诊断。</w:t>
      </w:r>
    </w:p>
    <w:p w14:paraId="3EFF890E">
      <w:pPr>
        <w:numPr>
          <w:ilvl w:val="0"/>
          <w:numId w:val="8"/>
        </w:numPr>
        <w:spacing w:line="360" w:lineRule="auto"/>
        <w:ind w:left="0" w:firstLine="420"/>
        <w:rPr>
          <w:color w:val="auto"/>
        </w:rPr>
      </w:pPr>
      <w:r>
        <w:rPr>
          <w:rFonts w:hint="eastAsia"/>
          <w:color w:val="auto"/>
        </w:rPr>
        <w:t>记录测值包括：心率、电轴、P波时限、QRS时限、Q-T间期、P-R间期、QTc、T波、Rv5、Sv1等。</w:t>
      </w:r>
    </w:p>
    <w:p w14:paraId="168A656D">
      <w:pPr>
        <w:numPr>
          <w:ilvl w:val="0"/>
          <w:numId w:val="8"/>
        </w:numPr>
        <w:spacing w:line="360" w:lineRule="auto"/>
        <w:ind w:left="0" w:firstLine="420"/>
        <w:rPr>
          <w:color w:val="auto"/>
        </w:rPr>
      </w:pPr>
      <w:r>
        <w:rPr>
          <w:rFonts w:hint="eastAsia"/>
          <w:color w:val="auto"/>
        </w:rPr>
        <w:t>心电图机支持本地报告进行同屏对比。</w:t>
      </w:r>
    </w:p>
    <w:p w14:paraId="1DB8E6CF">
      <w:pPr>
        <w:numPr>
          <w:ilvl w:val="0"/>
          <w:numId w:val="8"/>
        </w:numPr>
        <w:spacing w:line="360" w:lineRule="auto"/>
        <w:ind w:left="0" w:firstLine="420"/>
        <w:rPr>
          <w:color w:val="auto"/>
        </w:rPr>
      </w:pPr>
      <w:r>
        <w:rPr>
          <w:rFonts w:hint="eastAsia"/>
          <w:color w:val="auto"/>
        </w:rPr>
        <w:t>心电图机具备报告分享功能。</w:t>
      </w:r>
    </w:p>
    <w:p w14:paraId="160DD506">
      <w:pPr>
        <w:numPr>
          <w:ilvl w:val="0"/>
          <w:numId w:val="8"/>
        </w:numPr>
        <w:spacing w:line="360" w:lineRule="auto"/>
        <w:ind w:left="0" w:firstLine="420"/>
        <w:rPr>
          <w:color w:val="auto"/>
        </w:rPr>
      </w:pPr>
      <w:r>
        <w:rPr>
          <w:rFonts w:hint="eastAsia"/>
          <w:color w:val="auto"/>
        </w:rPr>
        <w:t>锂电池额定容量≥5000mAh，支持8小时以上连续工作。</w:t>
      </w:r>
    </w:p>
    <w:p w14:paraId="1A569AB6">
      <w:pPr>
        <w:numPr>
          <w:ilvl w:val="0"/>
          <w:numId w:val="8"/>
        </w:numPr>
        <w:spacing w:line="360" w:lineRule="auto"/>
        <w:ind w:left="0" w:firstLine="420"/>
        <w:rPr>
          <w:color w:val="auto"/>
        </w:rPr>
      </w:pPr>
      <w:r>
        <w:rPr>
          <w:rFonts w:hint="eastAsia"/>
          <w:color w:val="auto"/>
        </w:rPr>
        <w:t>存储量：支持10000份心电数据存储。</w:t>
      </w:r>
    </w:p>
    <w:p w14:paraId="072D521F">
      <w:pPr>
        <w:numPr>
          <w:ilvl w:val="0"/>
          <w:numId w:val="8"/>
        </w:numPr>
        <w:spacing w:line="360" w:lineRule="auto"/>
        <w:ind w:left="0" w:firstLine="420"/>
        <w:rPr>
          <w:color w:val="auto"/>
        </w:rPr>
      </w:pPr>
      <w:r>
        <w:rPr>
          <w:rFonts w:hint="eastAsia"/>
          <w:color w:val="auto"/>
        </w:rPr>
        <w:t>▲数据传输：可通过有线和无线（配备内网物联网卡，支持4G或5G,质保期内满足使用需求）完成数据上传。</w:t>
      </w:r>
    </w:p>
    <w:p w14:paraId="2507A587">
      <w:pPr>
        <w:numPr>
          <w:ilvl w:val="0"/>
          <w:numId w:val="8"/>
        </w:numPr>
        <w:spacing w:line="360" w:lineRule="auto"/>
        <w:ind w:left="0" w:firstLine="420"/>
        <w:rPr>
          <w:color w:val="auto"/>
        </w:rPr>
      </w:pPr>
      <w:r>
        <w:rPr>
          <w:rFonts w:hint="eastAsia"/>
          <w:color w:val="auto"/>
        </w:rPr>
        <w:t>支持外接激光打印机和身份证读卡器。</w:t>
      </w:r>
    </w:p>
    <w:p w14:paraId="6C5ED5B5">
      <w:pPr>
        <w:numPr>
          <w:ilvl w:val="0"/>
          <w:numId w:val="8"/>
        </w:numPr>
        <w:spacing w:line="360" w:lineRule="auto"/>
        <w:ind w:left="0" w:firstLine="420"/>
        <w:rPr>
          <w:color w:val="auto"/>
        </w:rPr>
      </w:pPr>
      <w:r>
        <w:rPr>
          <w:rFonts w:hint="eastAsia"/>
          <w:color w:val="auto"/>
        </w:rPr>
        <w:t>满足与医疗卫生机构信息系统之间的信息互联、互通、集成共享。</w:t>
      </w:r>
    </w:p>
    <w:p w14:paraId="3D6A933B">
      <w:pPr>
        <w:numPr>
          <w:ilvl w:val="0"/>
          <w:numId w:val="8"/>
        </w:numPr>
        <w:spacing w:line="360" w:lineRule="auto"/>
        <w:ind w:left="0" w:firstLine="420"/>
        <w:rPr>
          <w:color w:val="auto"/>
        </w:rPr>
      </w:pPr>
      <w:r>
        <w:rPr>
          <w:rFonts w:hint="eastAsia"/>
          <w:color w:val="auto"/>
        </w:rPr>
        <w:t>▲具备心电加做模式，在完成标准12导心电采集后，适合基层可加做右胸与后壁心电采集；</w:t>
      </w:r>
    </w:p>
    <w:p w14:paraId="19C1FBAE">
      <w:pPr>
        <w:numPr>
          <w:ilvl w:val="0"/>
          <w:numId w:val="8"/>
        </w:numPr>
        <w:spacing w:line="360" w:lineRule="auto"/>
        <w:ind w:left="0" w:firstLine="420"/>
        <w:rPr>
          <w:color w:val="auto"/>
        </w:rPr>
      </w:pPr>
      <w:r>
        <w:rPr>
          <w:rFonts w:hint="eastAsia"/>
          <w:color w:val="auto"/>
        </w:rPr>
        <w:t>▲设备有效期≥8年。</w:t>
      </w:r>
    </w:p>
    <w:p w14:paraId="5271FED7">
      <w:pPr>
        <w:spacing w:line="360" w:lineRule="auto"/>
        <w:ind w:firstLine="422"/>
        <w:rPr>
          <w:rFonts w:ascii="Calibri" w:hAnsi="Calibri"/>
          <w:b/>
          <w:bCs/>
          <w:color w:val="auto"/>
        </w:rPr>
      </w:pPr>
      <w:r>
        <w:rPr>
          <w:rFonts w:hint="eastAsia" w:ascii="Calibri" w:hAnsi="Calibri"/>
          <w:b/>
          <w:bCs/>
          <w:color w:val="auto"/>
        </w:rPr>
        <w:t>3、动态心电检查设备：</w:t>
      </w:r>
    </w:p>
    <w:p w14:paraId="43579D36">
      <w:pPr>
        <w:numPr>
          <w:ilvl w:val="0"/>
          <w:numId w:val="9"/>
        </w:numPr>
        <w:spacing w:line="360" w:lineRule="auto"/>
        <w:ind w:left="0" w:firstLine="420"/>
        <w:rPr>
          <w:color w:val="auto"/>
        </w:rPr>
      </w:pPr>
      <w:r>
        <w:rPr>
          <w:rFonts w:hint="eastAsia"/>
          <w:color w:val="auto"/>
        </w:rPr>
        <w:t>▲支持十二导心电数据采集，十二通道同步分析。</w:t>
      </w:r>
    </w:p>
    <w:p w14:paraId="5C518227">
      <w:pPr>
        <w:numPr>
          <w:ilvl w:val="0"/>
          <w:numId w:val="9"/>
        </w:numPr>
        <w:spacing w:line="360" w:lineRule="auto"/>
        <w:ind w:left="0" w:firstLine="420"/>
        <w:rPr>
          <w:color w:val="auto"/>
        </w:rPr>
      </w:pPr>
      <w:r>
        <w:rPr>
          <w:rFonts w:hint="eastAsia"/>
          <w:color w:val="auto"/>
        </w:rPr>
        <w:t>支持72小时不间断采集和存储；配备液晶显示屏，支持心电波形实时预览。</w:t>
      </w:r>
    </w:p>
    <w:p w14:paraId="1B95D6A9">
      <w:pPr>
        <w:numPr>
          <w:ilvl w:val="0"/>
          <w:numId w:val="9"/>
        </w:numPr>
        <w:spacing w:line="360" w:lineRule="auto"/>
        <w:ind w:left="0" w:firstLine="420"/>
        <w:rPr>
          <w:color w:val="auto"/>
        </w:rPr>
      </w:pPr>
      <w:r>
        <w:rPr>
          <w:rFonts w:hint="eastAsia"/>
          <w:color w:val="auto"/>
        </w:rPr>
        <w:t>设备具有信息提示功能：支持低电量提示；支持导联未接入提醒；支持SD卡插入提醒；【提供功能截图或医疗器械注册相关证明</w:t>
      </w:r>
      <w:r>
        <w:rPr>
          <w:rFonts w:hint="eastAsia" w:ascii="宋体" w:hAnsi="宋体" w:cs="宋体"/>
          <w:color w:val="auto"/>
        </w:rPr>
        <w:t>扫描件</w:t>
      </w:r>
      <w:r>
        <w:rPr>
          <w:rFonts w:hint="eastAsia"/>
          <w:color w:val="auto"/>
        </w:rPr>
        <w:t>】</w:t>
      </w:r>
    </w:p>
    <w:p w14:paraId="3269BC86">
      <w:pPr>
        <w:numPr>
          <w:ilvl w:val="0"/>
          <w:numId w:val="9"/>
        </w:numPr>
        <w:spacing w:line="360" w:lineRule="auto"/>
        <w:ind w:left="0" w:firstLine="420"/>
        <w:rPr>
          <w:color w:val="auto"/>
        </w:rPr>
      </w:pPr>
      <w:r>
        <w:rPr>
          <w:rFonts w:hint="eastAsia"/>
          <w:color w:val="auto"/>
        </w:rPr>
        <w:t>耐极化电压：≥士300mV。</w:t>
      </w:r>
    </w:p>
    <w:p w14:paraId="1EF07F95">
      <w:pPr>
        <w:numPr>
          <w:ilvl w:val="0"/>
          <w:numId w:val="9"/>
        </w:numPr>
        <w:spacing w:line="360" w:lineRule="auto"/>
        <w:ind w:left="0" w:firstLine="420"/>
        <w:rPr>
          <w:color w:val="auto"/>
        </w:rPr>
      </w:pPr>
      <w:r>
        <w:rPr>
          <w:rFonts w:hint="eastAsia"/>
          <w:color w:val="auto"/>
        </w:rPr>
        <w:t>系统噪声：≤60μV。</w:t>
      </w:r>
    </w:p>
    <w:p w14:paraId="0BEAC47D">
      <w:pPr>
        <w:numPr>
          <w:ilvl w:val="0"/>
          <w:numId w:val="9"/>
        </w:numPr>
        <w:spacing w:line="360" w:lineRule="auto"/>
        <w:ind w:left="0" w:firstLine="420"/>
        <w:rPr>
          <w:color w:val="auto"/>
        </w:rPr>
      </w:pPr>
      <w:r>
        <w:rPr>
          <w:rFonts w:hint="eastAsia"/>
          <w:color w:val="auto"/>
        </w:rPr>
        <w:t>频率响应：0.1Hz-50Hz。</w:t>
      </w:r>
    </w:p>
    <w:p w14:paraId="75700FDC">
      <w:pPr>
        <w:numPr>
          <w:ilvl w:val="0"/>
          <w:numId w:val="9"/>
        </w:numPr>
        <w:spacing w:line="360" w:lineRule="auto"/>
        <w:ind w:left="0" w:firstLine="420"/>
        <w:rPr>
          <w:color w:val="auto"/>
        </w:rPr>
      </w:pPr>
      <w:r>
        <w:rPr>
          <w:rFonts w:hint="eastAsia"/>
          <w:color w:val="auto"/>
        </w:rPr>
        <w:t>▲输入阻抗：≥10M</w:t>
      </w:r>
      <w:r>
        <w:rPr>
          <w:rFonts w:ascii="Calibri" w:hAnsi="Calibri" w:cs="Calibri"/>
          <w:color w:val="auto"/>
        </w:rPr>
        <w:t>Ω</w:t>
      </w:r>
      <w:r>
        <w:rPr>
          <w:rFonts w:hint="eastAsia" w:ascii="Calibri" w:hAnsi="Calibri" w:cs="Calibri"/>
          <w:color w:val="auto"/>
        </w:rPr>
        <w:t>。</w:t>
      </w:r>
    </w:p>
    <w:p w14:paraId="1E348B03">
      <w:pPr>
        <w:numPr>
          <w:ilvl w:val="0"/>
          <w:numId w:val="9"/>
        </w:numPr>
        <w:spacing w:line="360" w:lineRule="auto"/>
        <w:ind w:left="0" w:firstLine="420"/>
        <w:rPr>
          <w:color w:val="auto"/>
        </w:rPr>
      </w:pPr>
      <w:r>
        <w:rPr>
          <w:rFonts w:hint="eastAsia"/>
          <w:color w:val="auto"/>
        </w:rPr>
        <w:t>共模抑制比：≥80dB。</w:t>
      </w:r>
    </w:p>
    <w:p w14:paraId="5EEC3C90">
      <w:pPr>
        <w:numPr>
          <w:ilvl w:val="0"/>
          <w:numId w:val="9"/>
        </w:numPr>
        <w:spacing w:line="360" w:lineRule="auto"/>
        <w:ind w:left="0" w:firstLine="420"/>
        <w:rPr>
          <w:color w:val="auto"/>
        </w:rPr>
      </w:pPr>
      <w:r>
        <w:rPr>
          <w:rFonts w:hint="eastAsia"/>
          <w:color w:val="auto"/>
        </w:rPr>
        <w:t>支持起搏脉冲显示能力。</w:t>
      </w:r>
    </w:p>
    <w:p w14:paraId="0255DBE7">
      <w:pPr>
        <w:numPr>
          <w:ilvl w:val="0"/>
          <w:numId w:val="9"/>
        </w:numPr>
        <w:spacing w:line="360" w:lineRule="auto"/>
        <w:ind w:left="0" w:firstLine="420"/>
        <w:rPr>
          <w:color w:val="auto"/>
        </w:rPr>
      </w:pPr>
      <w:r>
        <w:rPr>
          <w:rFonts w:hint="eastAsia"/>
          <w:color w:val="auto"/>
        </w:rPr>
        <w:t>采样精度：</w:t>
      </w:r>
      <w:r>
        <w:rPr>
          <w:rFonts w:ascii="Arial" w:hAnsi="Arial" w:cs="Arial"/>
          <w:color w:val="auto"/>
        </w:rPr>
        <w:t>≥</w:t>
      </w:r>
      <w:r>
        <w:rPr>
          <w:rFonts w:hint="eastAsia"/>
          <w:color w:val="auto"/>
        </w:rPr>
        <w:t>24位。</w:t>
      </w:r>
    </w:p>
    <w:p w14:paraId="32089FF6">
      <w:pPr>
        <w:numPr>
          <w:ilvl w:val="0"/>
          <w:numId w:val="9"/>
        </w:numPr>
        <w:spacing w:line="360" w:lineRule="auto"/>
        <w:ind w:left="0" w:firstLine="420"/>
        <w:rPr>
          <w:color w:val="auto"/>
        </w:rPr>
      </w:pPr>
      <w:r>
        <w:rPr>
          <w:rFonts w:hint="eastAsia"/>
          <w:color w:val="auto"/>
        </w:rPr>
        <w:t>时间常数：</w:t>
      </w:r>
      <w:r>
        <w:rPr>
          <w:rFonts w:ascii="Arial" w:hAnsi="Arial" w:cs="Arial"/>
          <w:color w:val="auto"/>
        </w:rPr>
        <w:t>≥</w:t>
      </w:r>
      <w:r>
        <w:rPr>
          <w:rFonts w:hint="eastAsia"/>
          <w:color w:val="auto"/>
        </w:rPr>
        <w:t>3.2S。</w:t>
      </w:r>
    </w:p>
    <w:p w14:paraId="2FA36920">
      <w:pPr>
        <w:numPr>
          <w:ilvl w:val="0"/>
          <w:numId w:val="9"/>
        </w:numPr>
        <w:spacing w:line="360" w:lineRule="auto"/>
        <w:ind w:left="0" w:firstLine="420"/>
        <w:rPr>
          <w:color w:val="auto"/>
        </w:rPr>
      </w:pPr>
      <w:r>
        <w:rPr>
          <w:rFonts w:hint="eastAsia"/>
          <w:color w:val="auto"/>
        </w:rPr>
        <w:t>增益准确度：增益可选选择20mm/mV、10mm/mV和5mm/mV，在每种增益设置下，输入信号等效到输入的最大振幅误差在士1%以内。</w:t>
      </w:r>
    </w:p>
    <w:p w14:paraId="165D6A44">
      <w:pPr>
        <w:numPr>
          <w:ilvl w:val="0"/>
          <w:numId w:val="9"/>
        </w:numPr>
        <w:spacing w:line="360" w:lineRule="auto"/>
        <w:ind w:left="0" w:firstLine="420"/>
        <w:rPr>
          <w:color w:val="auto"/>
        </w:rPr>
      </w:pPr>
      <w:r>
        <w:rPr>
          <w:rFonts w:hint="eastAsia"/>
          <w:color w:val="auto"/>
        </w:rPr>
        <w:t>▲</w:t>
      </w:r>
      <w:r>
        <w:rPr>
          <w:rFonts w:hint="eastAsia" w:ascii="宋体" w:hAnsi="宋体" w:cs="宋体"/>
          <w:color w:val="auto"/>
        </w:rPr>
        <w:t>支持USB或SD卡传输动态心电图数据，SD卡≥16GB。</w:t>
      </w:r>
    </w:p>
    <w:p w14:paraId="75047508">
      <w:pPr>
        <w:numPr>
          <w:ilvl w:val="0"/>
          <w:numId w:val="9"/>
        </w:numPr>
        <w:spacing w:line="360" w:lineRule="auto"/>
        <w:ind w:left="0" w:firstLine="420"/>
        <w:rPr>
          <w:color w:val="auto"/>
        </w:rPr>
      </w:pPr>
      <w:r>
        <w:rPr>
          <w:rFonts w:hint="eastAsia"/>
          <w:color w:val="auto"/>
        </w:rPr>
        <w:t>▲设备有效期≥8年。</w:t>
      </w:r>
    </w:p>
    <w:p w14:paraId="0E433EF1">
      <w:pPr>
        <w:pBdr>
          <w:top w:val="none" w:color="000000" w:sz="0" w:space="0"/>
          <w:left w:val="none" w:color="000000" w:sz="0" w:space="0"/>
          <w:bottom w:val="none" w:color="000000" w:sz="0" w:space="0"/>
          <w:right w:val="none" w:color="000000" w:sz="0" w:space="0"/>
        </w:pBdr>
        <w:spacing w:line="360" w:lineRule="auto"/>
        <w:ind w:firstLine="422"/>
        <w:rPr>
          <w:color w:val="auto"/>
        </w:rPr>
      </w:pPr>
      <w:r>
        <w:rPr>
          <w:rFonts w:hint="eastAsia" w:ascii="宋体" w:hAnsi="宋体" w:cs="宋体"/>
          <w:b/>
          <w:color w:val="auto"/>
        </w:rPr>
        <w:t>二、软件功能要求参数</w:t>
      </w:r>
    </w:p>
    <w:p w14:paraId="5CE9256F">
      <w:pPr>
        <w:spacing w:line="360" w:lineRule="auto"/>
        <w:ind w:firstLine="420"/>
        <w:rPr>
          <w:color w:val="auto"/>
        </w:rPr>
      </w:pPr>
      <w:r>
        <w:rPr>
          <w:rFonts w:hint="eastAsia"/>
          <w:color w:val="auto"/>
        </w:rPr>
        <w:t>1、▲系统采用BS+CS架构。</w:t>
      </w:r>
    </w:p>
    <w:p w14:paraId="0106C0D0">
      <w:pPr>
        <w:spacing w:line="360" w:lineRule="auto"/>
        <w:ind w:firstLine="420"/>
        <w:rPr>
          <w:color w:val="auto"/>
        </w:rPr>
      </w:pPr>
      <w:r>
        <w:rPr>
          <w:rFonts w:hint="eastAsia"/>
          <w:color w:val="auto"/>
        </w:rPr>
        <w:t>2、具备静息心电、动态心电、动态血压等多项业务，实现高度集约化建设。可以进行静息心电、动态心电、动态血压等检查的分析会诊。在全区范围内所有社区卫生服务中心、乡镇卫生院、村卫生室等基层医疗机构连接现有检查设备，具备数据远程传输能力，将患者心电图、动态心电数据远程传输至诊断中心诊断，医生在手机、平板端、办公电脑</w:t>
      </w:r>
      <w:r>
        <w:rPr>
          <w:rFonts w:hint="eastAsia"/>
          <w:color w:val="auto"/>
          <w:lang w:val="en-US" w:eastAsia="zh-CN"/>
        </w:rPr>
        <w:t>的</w:t>
      </w:r>
      <w:r>
        <w:rPr>
          <w:rFonts w:hint="eastAsia"/>
          <w:color w:val="auto"/>
        </w:rPr>
        <w:t>APP</w:t>
      </w:r>
      <w:r>
        <w:rPr>
          <w:rFonts w:hint="eastAsia" w:ascii="Times New Roman" w:eastAsia="宋体"/>
          <w:color w:val="auto"/>
          <w:lang w:val="en-US" w:eastAsia="zh-CN"/>
        </w:rPr>
        <w:t>或小程序</w:t>
      </w:r>
      <w:r>
        <w:rPr>
          <w:rFonts w:hint="eastAsia"/>
          <w:color w:val="auto"/>
        </w:rPr>
        <w:t xml:space="preserve">上均可登录。系统支持待诊断任务智能分配与手动领取相结合的工作模式，任务分配方式包括顺序分配、资质匹配分配、负载均衡分配等，确保诊断资源合理利用与诊断时效性。助力区域多类型检查业务开展，完善心血管和慢病患者的全周期管理。    </w:t>
      </w:r>
    </w:p>
    <w:p w14:paraId="5CE342C0">
      <w:pPr>
        <w:spacing w:line="360" w:lineRule="auto"/>
        <w:ind w:firstLine="420"/>
        <w:rPr>
          <w:color w:val="auto"/>
        </w:rPr>
      </w:pPr>
      <w:r>
        <w:rPr>
          <w:rFonts w:hint="eastAsia"/>
          <w:color w:val="auto"/>
        </w:rPr>
        <w:t>3、心电平台需与区域全民健康信息平台（医共体平台）、医院现有信息系统（包含不限于HIS、PACS、EMR、CA、体检、集成平台）等其它系统，进行对接和信息交互。系统对接方式支持：存储过程、视图、表、WebService、HISDLL、API、DICOM、HL7等方式。</w:t>
      </w:r>
    </w:p>
    <w:p w14:paraId="42B7B8EA">
      <w:pPr>
        <w:spacing w:line="360" w:lineRule="auto"/>
        <w:ind w:firstLine="420"/>
        <w:rPr>
          <w:color w:val="auto"/>
        </w:rPr>
      </w:pPr>
      <w:r>
        <w:rPr>
          <w:rFonts w:hint="eastAsia"/>
          <w:color w:val="auto"/>
        </w:rPr>
        <w:t>4、具备记录用户登录和操作日志，保证数据的可追溯性。</w:t>
      </w:r>
    </w:p>
    <w:p w14:paraId="1A633BAA">
      <w:pPr>
        <w:spacing w:line="360" w:lineRule="auto"/>
        <w:ind w:firstLine="420"/>
        <w:rPr>
          <w:color w:val="auto"/>
        </w:rPr>
      </w:pPr>
      <w:r>
        <w:rPr>
          <w:rFonts w:hint="eastAsia"/>
          <w:color w:val="auto"/>
        </w:rPr>
        <w:t>5、具备AI辅助诊断，并在图谱上显示，提醒医生关注，避免漏诊。心电 AI智能分析，具备深度学习心电分析模块可不断自我迭代升级，支持成人心律失常、心肌梗塞、ST-T异常、房室肥大等四大类异常心电图的自动识别【提供医疗器械注册相关证明或软件著作权证明扫描件加盖投标单位公章】。支持包括窦性心律、房性心律、室上性心动过速、心房颤动、心房扑动、停搏、起搏心律、短PR间期、预激综合征、传导阻滞等心律失常异常心电图的自动识别功能。支持急性心肌梗塞和陈旧性心肌梗塞等心肌梗塞异常心电图的自动识别。支持ST压低、ST抬高、T波异常、ST_T改变、QTc间期等ST-T异常心电图的自动识别。准确定位 ST-T改变，协助医生快速定位心肌缺血、急性梗死等心电事件【提供医疗器械注册相关证明或软件著作权证明扫描件加盖投标单位公章】。</w:t>
      </w:r>
    </w:p>
    <w:p w14:paraId="472D97CB">
      <w:pPr>
        <w:spacing w:line="360" w:lineRule="auto"/>
        <w:ind w:firstLine="420"/>
        <w:rPr>
          <w:color w:val="auto"/>
        </w:rPr>
      </w:pPr>
      <w:r>
        <w:rPr>
          <w:rFonts w:hint="eastAsia"/>
          <w:color w:val="auto"/>
        </w:rPr>
        <w:t>6、AI可自动识别心电图的采集质量，如是否有左右手接反、伪差、导联脱落、起搏信号等情况;辅助诊断: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p>
    <w:p w14:paraId="05601121">
      <w:pPr>
        <w:spacing w:line="360" w:lineRule="auto"/>
        <w:ind w:firstLine="420"/>
        <w:rPr>
          <w:color w:val="auto"/>
        </w:rPr>
      </w:pPr>
      <w:r>
        <w:rPr>
          <w:rFonts w:hint="eastAsia"/>
          <w:color w:val="auto"/>
        </w:rPr>
        <w:t>7、特征标记:AI诊断后，点击AI特征标记可跳转到对应波形位置，标记诊断依据。支持类型窦性心律不齐、房性早搏、室性心动过速、心动过缓、长RR间期、急性心梗等疾病类型心电波形特征的标记。起搏信号智能标识:通过AI帮助医生快速识别出微弱的起搏信号，避免漏诊误诊。</w:t>
      </w:r>
    </w:p>
    <w:p w14:paraId="3F65D9F5">
      <w:pPr>
        <w:spacing w:line="360" w:lineRule="auto"/>
        <w:ind w:firstLine="420"/>
        <w:rPr>
          <w:color w:val="auto"/>
        </w:rPr>
      </w:pPr>
      <w:r>
        <w:rPr>
          <w:rFonts w:hint="eastAsia"/>
          <w:color w:val="auto"/>
        </w:rPr>
        <w:t>8、区域大数据监管大屏可展示当前平台的运营状况，包括不限于检查量趋势、工作量、检查机构排名、异常类疾病排名、诊断分布统计、诊断分级，危急值统计分析，对病种、医生、检查报告的统计分析，根据机构、诊断中心查看报告检查量、诊断量等丰富全面的图表，通过业务指标数据分析与可视化展示等。【提供功能说明材料，中标后提供现场演示验证】</w:t>
      </w:r>
    </w:p>
    <w:p w14:paraId="48A41659">
      <w:pPr>
        <w:spacing w:line="360" w:lineRule="auto"/>
        <w:ind w:firstLine="420"/>
        <w:rPr>
          <w:color w:val="auto"/>
        </w:rPr>
      </w:pPr>
      <w:r>
        <w:rPr>
          <w:rFonts w:hint="eastAsia"/>
          <w:color w:val="auto"/>
        </w:rPr>
        <w:t>9、▲具备完整的报告质控流程，定期对报告质量进行回顾，支持根据病种、诊断医生、AI质控等多个维度对报告进行质控，支持抽取一定数量的报告按照时间定期开展质控工作。</w:t>
      </w:r>
    </w:p>
    <w:p w14:paraId="7D0A2DBE">
      <w:pPr>
        <w:spacing w:line="360" w:lineRule="auto"/>
        <w:ind w:firstLine="420"/>
        <w:rPr>
          <w:rFonts w:hint="eastAsia"/>
          <w:color w:val="auto"/>
        </w:rPr>
      </w:pPr>
      <w:r>
        <w:rPr>
          <w:rFonts w:hint="eastAsia"/>
          <w:color w:val="auto"/>
        </w:rPr>
        <w:t>10、报告全生命周期管理，支持心电数据的采集、传输、诊断和数据归档的全流程跟踪管理，记录每一份心电报告的生成过程。【提供功能说明材料，中标后提供现场演示验证】</w:t>
      </w:r>
    </w:p>
    <w:p w14:paraId="1E7D9C6D">
      <w:pPr>
        <w:spacing w:line="360" w:lineRule="auto"/>
        <w:ind w:firstLine="420"/>
        <w:rPr>
          <w:color w:val="auto"/>
        </w:rPr>
      </w:pPr>
      <w:r>
        <w:rPr>
          <w:rFonts w:hint="eastAsia"/>
          <w:color w:val="auto"/>
        </w:rPr>
        <w:t>11、具备管理医院向基层医疗机构开展常规心电、动态心电、动态血压等会诊服务。</w:t>
      </w:r>
    </w:p>
    <w:p w14:paraId="7F322585">
      <w:pPr>
        <w:spacing w:line="360" w:lineRule="auto"/>
        <w:ind w:firstLine="420"/>
        <w:rPr>
          <w:color w:val="auto"/>
        </w:rPr>
      </w:pPr>
      <w:r>
        <w:rPr>
          <w:rFonts w:hint="eastAsia"/>
          <w:color w:val="auto"/>
        </w:rPr>
        <w:t>12、具备危急值参数自定义设置，危急值自动预警，紧急/危急申请单置顶并以红色标识等危急值管理功能。</w:t>
      </w:r>
    </w:p>
    <w:p w14:paraId="6E05D4A1">
      <w:pPr>
        <w:spacing w:line="360" w:lineRule="auto"/>
        <w:ind w:firstLine="420"/>
        <w:rPr>
          <w:color w:val="auto"/>
        </w:rPr>
      </w:pPr>
      <w:r>
        <w:rPr>
          <w:rFonts w:hint="eastAsia"/>
          <w:color w:val="auto"/>
        </w:rPr>
        <w:t>13、▲系统具备危急值闭环管理，经诊断医生确认的危急值，可推送危急信息至临床医生提醒关注。</w:t>
      </w:r>
    </w:p>
    <w:p w14:paraId="7133966B">
      <w:pPr>
        <w:spacing w:line="360" w:lineRule="auto"/>
        <w:ind w:firstLine="420"/>
        <w:rPr>
          <w:color w:val="auto"/>
        </w:rPr>
      </w:pPr>
      <w:r>
        <w:rPr>
          <w:rFonts w:hint="eastAsia"/>
          <w:color w:val="auto"/>
        </w:rPr>
        <w:t>14、具备智能分析对危急值自动识别；采用弹窗、语音、置顶等不同方式提醒医生优先诊断。</w:t>
      </w:r>
    </w:p>
    <w:p w14:paraId="095C3225">
      <w:pPr>
        <w:spacing w:line="360" w:lineRule="auto"/>
        <w:ind w:firstLine="420"/>
        <w:rPr>
          <w:color w:val="auto"/>
        </w:rPr>
      </w:pPr>
      <w:r>
        <w:rPr>
          <w:rFonts w:hint="eastAsia"/>
          <w:color w:val="auto"/>
        </w:rPr>
        <w:t>15、</w:t>
      </w:r>
      <w:bookmarkStart w:id="1" w:name="OLE_LINK1"/>
      <w:r>
        <w:rPr>
          <w:rFonts w:hint="eastAsia"/>
          <w:color w:val="auto"/>
        </w:rPr>
        <w:t>▲可展示心电数据采集、传输、诊断（含AI辅助诊断）、危急值提醒、数据统计分析、生成质控报告（须提供证明材料，包括但不限于：系统功能截图或操作手册或用户报告样本或经公证的演示视频等，能佐证上述功能即可）。</w:t>
      </w:r>
      <w:bookmarkEnd w:id="1"/>
    </w:p>
    <w:p w14:paraId="608161D5">
      <w:pPr>
        <w:spacing w:line="360" w:lineRule="auto"/>
        <w:ind w:firstLine="420"/>
        <w:rPr>
          <w:color w:val="auto"/>
        </w:rPr>
      </w:pPr>
      <w:r>
        <w:rPr>
          <w:rFonts w:hint="eastAsia"/>
          <w:color w:val="auto"/>
        </w:rPr>
        <w:t>16、具备质控指标灵活配置；根据医院业务与规模灵活配置质控标准，指导持续改进。具备通过人工智能进行质控分析，评估诊断质量。</w:t>
      </w:r>
    </w:p>
    <w:p w14:paraId="1CAF7047">
      <w:pPr>
        <w:spacing w:line="360" w:lineRule="auto"/>
        <w:ind w:firstLine="420"/>
        <w:rPr>
          <w:color w:val="auto"/>
        </w:rPr>
      </w:pPr>
      <w:r>
        <w:rPr>
          <w:rFonts w:hint="eastAsia"/>
          <w:color w:val="auto"/>
        </w:rPr>
        <w:t>17、具备自定义报告质控样板抽取标准，自动抽取报告样本；根据抽取报告自动生成质控报告。</w:t>
      </w:r>
    </w:p>
    <w:p w14:paraId="29C7095B">
      <w:pPr>
        <w:spacing w:line="360" w:lineRule="auto"/>
        <w:ind w:firstLine="420"/>
        <w:rPr>
          <w:color w:val="auto"/>
        </w:rPr>
      </w:pPr>
      <w:r>
        <w:rPr>
          <w:rFonts w:hint="eastAsia"/>
          <w:color w:val="auto"/>
        </w:rPr>
        <w:t>18、工作量统计：医疗机构工作量、检查医生工作量、科室工作量、审核医生工作量、报告医生工作量。</w:t>
      </w:r>
    </w:p>
    <w:p w14:paraId="1277C339">
      <w:pPr>
        <w:spacing w:line="360" w:lineRule="auto"/>
        <w:ind w:firstLine="420"/>
      </w:pPr>
      <w:r>
        <w:rPr>
          <w:rFonts w:hint="eastAsia"/>
          <w:color w:val="auto"/>
        </w:rPr>
        <w:t>19、可自由定制的数据统计模块，所有的字段信息都可作为统计条件，并组合使用</w:t>
      </w:r>
      <w:r>
        <w:rPr>
          <w:rFonts w:hint="eastAsia"/>
        </w:rPr>
        <w:t>；根据需要可进行工作量、科研、教学统计。</w:t>
      </w:r>
    </w:p>
    <w:p w14:paraId="7895B78E">
      <w:pPr>
        <w:spacing w:line="360" w:lineRule="auto"/>
        <w:ind w:firstLine="420"/>
      </w:pPr>
      <w:r>
        <w:rPr>
          <w:rFonts w:hint="eastAsia"/>
        </w:rPr>
        <w:t>20、具备典型病例收藏功能。</w:t>
      </w:r>
    </w:p>
    <w:p w14:paraId="2B57E38C">
      <w:pPr>
        <w:spacing w:line="360" w:lineRule="auto"/>
        <w:ind w:firstLine="420"/>
      </w:pPr>
      <w:r>
        <w:rPr>
          <w:rFonts w:hint="eastAsia"/>
        </w:rPr>
        <w:t>21、▲具备在智能终端设备（手机或平板）上移动诊断。支持iOS系统和安卓系统。</w:t>
      </w:r>
    </w:p>
    <w:p w14:paraId="7AC673F1">
      <w:pPr>
        <w:spacing w:line="360" w:lineRule="auto"/>
        <w:ind w:firstLine="420"/>
      </w:pPr>
      <w:r>
        <w:rPr>
          <w:rFonts w:hint="eastAsia"/>
        </w:rPr>
        <w:t>22、动态心电分析软件与经验证的动态心电图设备联合使用，软件须支持第三方动态心电数据导入，适用于医疗机构对患者动态心电数据的导入、回放、测量与分析、编辑、报告和实时显示，供临床诊断。【提供功能截图或医疗器械注册相关证明</w:t>
      </w:r>
      <w:r>
        <w:rPr>
          <w:rFonts w:hint="eastAsia" w:ascii="宋体" w:hAnsi="宋体" w:cs="宋体"/>
        </w:rPr>
        <w:t>扫描件</w:t>
      </w:r>
      <w:r>
        <w:rPr>
          <w:rFonts w:hint="eastAsia"/>
        </w:rPr>
        <w:t>】</w:t>
      </w:r>
    </w:p>
    <w:p w14:paraId="5803EBBD">
      <w:pPr>
        <w:spacing w:line="360" w:lineRule="auto"/>
        <w:ind w:firstLine="420"/>
      </w:pPr>
      <w:r>
        <w:rPr>
          <w:rFonts w:hint="eastAsia"/>
        </w:rPr>
        <w:t>23、动态心电分析软件具有自动分析功能；支持用户事件、房早事件、室早事件、心率事件的自动分析；支持伪差，房早未下传独立显示。【须提供演示视频，可显示上述所有要求】</w:t>
      </w:r>
    </w:p>
    <w:p w14:paraId="187E2C7F">
      <w:pPr>
        <w:spacing w:line="360" w:lineRule="auto"/>
        <w:ind w:firstLine="420"/>
      </w:pPr>
      <w:r>
        <w:rPr>
          <w:rFonts w:hint="eastAsia"/>
        </w:rPr>
        <w:t>24、动态心电具有全导联起搏检测功能；起搏器分析模块可用于起搏钉分析，快速定位异常起搏钉；【提供功能截图或医疗器械注册相关证明</w:t>
      </w:r>
      <w:r>
        <w:rPr>
          <w:rFonts w:hint="eastAsia" w:ascii="宋体" w:hAnsi="宋体" w:cs="宋体"/>
        </w:rPr>
        <w:t>扫描件</w:t>
      </w:r>
      <w:r>
        <w:rPr>
          <w:rFonts w:hint="eastAsia"/>
        </w:rPr>
        <w:t>】</w:t>
      </w:r>
    </w:p>
    <w:p w14:paraId="3CAA37A7">
      <w:pPr>
        <w:spacing w:line="360" w:lineRule="auto"/>
        <w:ind w:firstLine="420"/>
      </w:pPr>
      <w:r>
        <w:rPr>
          <w:rFonts w:hint="eastAsia"/>
        </w:rPr>
        <w:t>25、动态心电诊断图界面支持自动识别心搏类型，可添加和修改心拍，支持往前或往后批量插入心搏;</w:t>
      </w:r>
    </w:p>
    <w:p w14:paraId="0143E744">
      <w:pPr>
        <w:spacing w:line="360" w:lineRule="auto"/>
        <w:ind w:firstLine="420"/>
      </w:pPr>
      <w:r>
        <w:rPr>
          <w:rFonts w:hint="eastAsia"/>
        </w:rPr>
        <w:t>26、动态心电诊断图界面支持选择片段波形后进行重新解析，支持手动设置无效波形;</w:t>
      </w:r>
    </w:p>
    <w:p w14:paraId="06041D32">
      <w:pPr>
        <w:spacing w:line="360" w:lineRule="auto"/>
        <w:ind w:firstLine="420"/>
      </w:pPr>
      <w:r>
        <w:rPr>
          <w:rFonts w:hint="eastAsia"/>
        </w:rPr>
        <w:t>27、动态心电支持导联纠错功能及分段导联纠错功能;</w:t>
      </w:r>
    </w:p>
    <w:p w14:paraId="4765F59C">
      <w:pPr>
        <w:spacing w:line="360" w:lineRule="auto"/>
        <w:ind w:firstLine="420"/>
      </w:pPr>
      <w:r>
        <w:rPr>
          <w:rFonts w:hint="eastAsia"/>
        </w:rPr>
        <w:t>28、动态心电全览图可通览整个采集期间的心电图谱，异常波形用颜色标记;支持心率、RR间期、RR间期比直方图;具备Lorenz散点图、差值散点图、</w:t>
      </w:r>
      <w:r>
        <w:rPr>
          <w:rFonts w:hint="eastAsia" w:ascii="宋体" w:hAnsi="宋体" w:cs="宋体"/>
        </w:rPr>
        <w:t>时间散点图、小时散点图、四象限散点图分析</w:t>
      </w:r>
      <w:r>
        <w:rPr>
          <w:rFonts w:hint="eastAsia"/>
        </w:rPr>
        <w:t>;K线图：支持以K线图的方式展示心搏间期变化;差分栅栏图：快速捕捉及定位偶发心率失常。【提供功能截图证明】</w:t>
      </w:r>
    </w:p>
    <w:p w14:paraId="487EB2F7">
      <w:pPr>
        <w:spacing w:line="360" w:lineRule="auto"/>
        <w:ind w:firstLine="420"/>
      </w:pPr>
      <w:r>
        <w:rPr>
          <w:rFonts w:hint="eastAsia"/>
        </w:rPr>
        <w:t>29、动态心电支持快速筛查房颤和自动分析房颤功能，根据不同房颤识别强度识别阵发性房颤的功能，快速批量编辑阵发性房颤;【提供截图证明】</w:t>
      </w:r>
    </w:p>
    <w:p w14:paraId="4E70FF49">
      <w:pPr>
        <w:spacing w:line="360" w:lineRule="auto"/>
        <w:ind w:firstLine="420"/>
        <w:rPr>
          <w:rFonts w:ascii="宋体" w:hAnsi="宋体" w:cs="宋体"/>
        </w:rPr>
      </w:pPr>
      <w:r>
        <w:rPr>
          <w:rFonts w:hint="eastAsia"/>
        </w:rPr>
        <w:t>30、动态心电</w:t>
      </w:r>
      <w:r>
        <w:rPr>
          <w:rFonts w:hint="eastAsia" w:ascii="宋体" w:hAnsi="宋体" w:cs="宋体"/>
        </w:rPr>
        <w:t>支持HRV分析、T波电交替、心率减速力、心率震荡、QTc间期散点图、睡眠呼吸暂停等高级分析功能。</w:t>
      </w:r>
      <w:r>
        <w:rPr>
          <w:rFonts w:hint="eastAsia"/>
        </w:rPr>
        <w:t>【提供功能截图或医疗器械注册相关证明</w:t>
      </w:r>
      <w:r>
        <w:rPr>
          <w:rFonts w:hint="eastAsia" w:ascii="宋体" w:hAnsi="宋体" w:cs="宋体"/>
        </w:rPr>
        <w:t>扫描件</w:t>
      </w:r>
      <w:r>
        <w:rPr>
          <w:rFonts w:hint="eastAsia"/>
        </w:rPr>
        <w:t>】</w:t>
      </w:r>
    </w:p>
    <w:p w14:paraId="3BE7AA76">
      <w:pPr>
        <w:spacing w:line="360" w:lineRule="auto"/>
        <w:ind w:firstLine="420"/>
      </w:pPr>
      <w:r>
        <w:rPr>
          <w:rFonts w:hint="eastAsia" w:ascii="宋体" w:hAnsi="宋体" w:cs="宋体"/>
        </w:rPr>
        <w:t>31、</w:t>
      </w:r>
      <w:r>
        <w:rPr>
          <w:rFonts w:hint="eastAsia"/>
        </w:rPr>
        <w:t>动态心电支持ST段扫描和参数编辑，可调整任意导联抬高压低参数</w:t>
      </w:r>
    </w:p>
    <w:p w14:paraId="39C407DC">
      <w:pPr>
        <w:spacing w:line="360" w:lineRule="auto"/>
        <w:ind w:firstLine="420"/>
      </w:pPr>
      <w:r>
        <w:rPr>
          <w:rFonts w:hint="eastAsia"/>
        </w:rPr>
        <w:t>32、动态心电支持不同心搏分类模板整体叠加反混淆,快速定位异常心博；</w:t>
      </w:r>
    </w:p>
    <w:p w14:paraId="3CDEAEB9">
      <w:pPr>
        <w:spacing w:line="360" w:lineRule="auto"/>
        <w:ind w:firstLine="420"/>
      </w:pPr>
      <w:r>
        <w:rPr>
          <w:rFonts w:hint="eastAsia"/>
        </w:rPr>
        <w:t>33、动态心电支持全局撤销，方便医生误操作后可快速恢复至上一步；支持事件删除和修改，可对事件进行统计和波形展示；</w:t>
      </w:r>
    </w:p>
    <w:p w14:paraId="3F469EAF">
      <w:pPr>
        <w:spacing w:line="360" w:lineRule="auto"/>
        <w:ind w:firstLine="420"/>
      </w:pPr>
      <w:r>
        <w:rPr>
          <w:rFonts w:hint="eastAsia"/>
        </w:rPr>
        <w:t>34、动态心电支持添加典型图功能：支持统计表格、结论模板、预览打印报告功能；</w:t>
      </w:r>
    </w:p>
    <w:p w14:paraId="160F4619">
      <w:pPr>
        <w:spacing w:line="360" w:lineRule="auto"/>
        <w:ind w:firstLine="420"/>
      </w:pPr>
      <w:r>
        <w:rPr>
          <w:rFonts w:hint="eastAsia"/>
        </w:rPr>
        <w:t>35、动态心电</w:t>
      </w:r>
      <w:r>
        <w:rPr>
          <w:rFonts w:hint="eastAsia" w:ascii="宋体" w:hAnsi="宋体" w:cs="宋体"/>
        </w:rPr>
        <w:t>报告编辑功能</w:t>
      </w:r>
      <w:r>
        <w:rPr>
          <w:rFonts w:hint="eastAsia"/>
        </w:rPr>
        <w:t>：可进行进行报告编与、保存、生成PDF及打比析汇总和报告助手提供丰富的报告诊断库和报告模板可以有效的提高编写检查结论的速度。【提供功能截图或医疗器械注册相关证明</w:t>
      </w:r>
      <w:r>
        <w:rPr>
          <w:rFonts w:hint="eastAsia" w:ascii="宋体" w:hAnsi="宋体" w:cs="宋体"/>
        </w:rPr>
        <w:t>扫描件</w:t>
      </w:r>
      <w:r>
        <w:rPr>
          <w:rFonts w:hint="eastAsia"/>
        </w:rPr>
        <w:t>】</w:t>
      </w:r>
    </w:p>
    <w:p w14:paraId="136E4F81">
      <w:pPr>
        <w:spacing w:line="360" w:lineRule="auto"/>
        <w:ind w:firstLine="420"/>
      </w:pPr>
      <w:r>
        <w:rPr>
          <w:rFonts w:hint="eastAsia"/>
        </w:rPr>
        <w:t>36、动态心电支持网络化功能，采用专业数据库管理原始数据和报告，支持科室分析终端、医院与分院、医院与社区医院之间进行原始数据的远程传输、管理和共享；动态心电分析软件可同时支持60台以上设备与服务器之间交互，支持同时在线查看、调用及诊断。每台设备与服务器之间的连接是独立的，通过TCP/IP协议传输心电数据文件，接收数据并展示心电波形。</w:t>
      </w:r>
    </w:p>
    <w:p w14:paraId="7996E6BB">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b/>
        </w:rPr>
      </w:pPr>
      <w:r>
        <w:rPr>
          <w:rFonts w:hint="eastAsia" w:ascii="宋体" w:hAnsi="宋体" w:cs="宋体"/>
          <w:b/>
        </w:rPr>
        <w:t>三、服务要求</w:t>
      </w:r>
    </w:p>
    <w:p w14:paraId="5A0E61B6">
      <w:pPr>
        <w:spacing w:line="360" w:lineRule="auto"/>
        <w:ind w:firstLine="420"/>
        <w:rPr>
          <w:rFonts w:ascii="宋体" w:hAnsi="宋体" w:cs="宋体"/>
        </w:rPr>
      </w:pPr>
      <w:r>
        <w:rPr>
          <w:rFonts w:hint="eastAsia" w:ascii="宋体" w:hAnsi="宋体" w:cs="宋体"/>
        </w:rPr>
        <w:t>1、供应商根据招标要求及本项目特点，制定项目供货运输、平台构建、安装及维护方案，各节点时间进度方案应做到完整全面、科学可行，并有针对性，确保在规定的交付时限内完成。</w:t>
      </w:r>
    </w:p>
    <w:p w14:paraId="1D4F7673">
      <w:pPr>
        <w:spacing w:line="360" w:lineRule="auto"/>
        <w:ind w:firstLine="420"/>
        <w:rPr>
          <w:rFonts w:ascii="宋体" w:hAnsi="宋体" w:cs="宋体"/>
        </w:rPr>
      </w:pPr>
      <w:r>
        <w:rPr>
          <w:rFonts w:hint="eastAsia" w:ascii="宋体" w:hAnsi="宋体" w:cs="宋体"/>
        </w:rPr>
        <w:t>2、投标供应商应针对本项目制定完整的售后保证措施，内容应包含质量监督管理措施、产品出厂生产的质量保障措施、运送过程中的产品保障措施、到货验收时的质量保障措施、服务质量保障措施以及售后服务管理措施（包含服务响应时间、服务内容、故障解决方案、专业技术人员保障及服务电话、配件和消耗品报价（附品目明细清单）。</w:t>
      </w:r>
    </w:p>
    <w:p w14:paraId="3A67E18B">
      <w:pPr>
        <w:spacing w:line="360" w:lineRule="auto"/>
        <w:ind w:firstLine="420"/>
        <w:rPr>
          <w:rFonts w:ascii="宋体" w:hAnsi="宋体" w:cs="宋体"/>
        </w:rPr>
      </w:pPr>
      <w:r>
        <w:rPr>
          <w:rFonts w:hint="eastAsia" w:ascii="宋体" w:hAnsi="宋体" w:cs="宋体"/>
        </w:rPr>
        <w:t>3、验收通过之日起对货物及信息系统原厂免费质保：三年。所提供产品均应符合国家规定的有关质量及环保标准，无瑕疵和缺陷的合格产品，中标人负责包退、包换，因此发生的费用由中标人负责。</w:t>
      </w:r>
    </w:p>
    <w:p w14:paraId="6F578D5A">
      <w:pPr>
        <w:spacing w:line="360" w:lineRule="auto"/>
        <w:ind w:firstLine="420"/>
        <w:rPr>
          <w:rFonts w:ascii="宋体" w:hAnsi="宋体" w:cs="宋体"/>
        </w:rPr>
      </w:pPr>
      <w:r>
        <w:rPr>
          <w:rFonts w:hint="eastAsia" w:ascii="宋体" w:hAnsi="宋体" w:cs="宋体"/>
        </w:rPr>
        <w:t>4、技术支持响应时间：硬件发生故障时，30分钟内响应，维修人员能够在24小时内赶到现场，72小时内解决故障；软件系统发生故障时，30分钟内响应，能够在24小时内解决故障。</w:t>
      </w:r>
    </w:p>
    <w:p w14:paraId="0F9442E6">
      <w:pPr>
        <w:spacing w:line="360" w:lineRule="auto"/>
        <w:ind w:firstLine="420"/>
        <w:rPr>
          <w:rFonts w:ascii="宋体" w:hAnsi="宋体" w:cs="宋体"/>
        </w:rPr>
      </w:pPr>
      <w:r>
        <w:rPr>
          <w:rFonts w:hint="eastAsia" w:ascii="宋体" w:hAnsi="宋体" w:cs="宋体"/>
        </w:rPr>
        <w:t>5、软件部署及数据存储所需硬件由供应商提供，数据存储满足质保期内使用需求，包含在本项目总价内，投标时不单列。</w:t>
      </w:r>
    </w:p>
    <w:p w14:paraId="230A4E25">
      <w:pPr>
        <w:spacing w:line="360" w:lineRule="auto"/>
        <w:ind w:firstLine="420"/>
        <w:rPr>
          <w:rFonts w:ascii="宋体" w:hAnsi="宋体" w:cs="宋体"/>
        </w:rPr>
      </w:pPr>
      <w:r>
        <w:rPr>
          <w:rFonts w:hint="eastAsia" w:ascii="宋体" w:hAnsi="宋体" w:cs="宋体"/>
        </w:rPr>
        <w:t>6、构建“大丰区心电管理一张网”，须连接各乡镇卫生院原有接入系统的不同品牌与型号的心电图设备，将现有设备及后续购入的设备接入系统内，且不收取任何费用。支持采集原始数据，不能以截屏、拷贝、拍照等方式获取数据，并以标准的数据格式存储，实现心电数据分析，支持接入心电图设备的数据归档和管理。对设备使用人员进行培训，确保医护人员可以熟练使用。</w:t>
      </w:r>
    </w:p>
    <w:p w14:paraId="709F1C97">
      <w:pPr>
        <w:spacing w:line="360" w:lineRule="auto"/>
        <w:ind w:firstLine="420"/>
        <w:rPr>
          <w:rFonts w:hint="eastAsia" w:ascii="宋体" w:hAnsi="宋体" w:cs="宋体"/>
          <w:color w:val="auto"/>
        </w:rPr>
      </w:pPr>
      <w:r>
        <w:rPr>
          <w:rFonts w:hint="eastAsia" w:ascii="宋体" w:hAnsi="宋体" w:cs="宋体"/>
          <w:color w:val="auto"/>
        </w:rPr>
        <w:t>7、与大丰区全民健康信息平台、公卫体检、基层HIS等系统无缝对接，实现患者心电图检查数据统一管理，上述对接所需的接口费由系统建设方各自承担。</w:t>
      </w:r>
    </w:p>
    <w:p w14:paraId="5FD66770">
      <w:pPr>
        <w:spacing w:line="360" w:lineRule="auto"/>
        <w:ind w:firstLine="420"/>
        <w:rPr>
          <w:rFonts w:ascii="宋体" w:hAnsi="宋体" w:cs="宋体"/>
          <w:color w:val="auto"/>
        </w:rPr>
      </w:pPr>
      <w:r>
        <w:rPr>
          <w:rFonts w:hint="eastAsia" w:ascii="宋体" w:hAnsi="宋体" w:cs="宋体"/>
          <w:color w:val="auto"/>
        </w:rPr>
        <w:t>8、同步归集至心电一张网平台，贯通</w:t>
      </w:r>
      <w:r>
        <w:rPr>
          <w:rFonts w:hint="eastAsia" w:ascii="宋体" w:hAnsi="宋体" w:cs="宋体"/>
          <w:color w:val="auto"/>
          <w:lang w:val="en-US" w:eastAsia="zh-CN"/>
        </w:rPr>
        <w:t>区</w:t>
      </w:r>
      <w:r>
        <w:rPr>
          <w:rFonts w:hint="eastAsia" w:ascii="宋体" w:hAnsi="宋体" w:cs="宋体"/>
          <w:color w:val="auto"/>
        </w:rPr>
        <w:t>、镇、村三级的县域心电一张网体系，实现心电检查、诊断报告全流程数据互通共享并配备50台存储不低于8G+</w:t>
      </w:r>
      <w:r>
        <w:rPr>
          <w:rFonts w:hint="eastAsia" w:ascii="宋体" w:hAnsi="宋体" w:cs="宋体"/>
          <w:color w:val="auto"/>
          <w:lang w:val="en-US" w:eastAsia="zh-CN"/>
        </w:rPr>
        <w:t>256</w:t>
      </w:r>
      <w:r>
        <w:rPr>
          <w:rFonts w:hint="eastAsia" w:ascii="宋体" w:hAnsi="宋体" w:cs="宋体"/>
          <w:color w:val="auto"/>
        </w:rPr>
        <w:t>G，屏幕尺寸不低于11英寸的平板电脑。本项目包含所有软硬件对接、安装调试、接口开发、部署实施、运维适配以及对接市级“心电AI场景”应用等全部相关费用，招标人无需另行支付任何额外费用。</w:t>
      </w:r>
    </w:p>
    <w:p w14:paraId="5C1DDF8A">
      <w:pPr>
        <w:spacing w:after="120"/>
        <w:ind w:firstLine="422"/>
        <w:rPr>
          <w:b/>
          <w:bCs/>
          <w:color w:val="auto"/>
          <w:szCs w:val="24"/>
        </w:rPr>
      </w:pPr>
      <w:r>
        <w:rPr>
          <w:rFonts w:hint="eastAsia" w:ascii="宋体" w:hAnsi="宋体" w:cs="宋体"/>
          <w:b/>
          <w:bCs/>
          <w:color w:val="auto"/>
        </w:rPr>
        <w:t>注：上述要求，投标时提供承诺书扫描件并加盖投标人公章，格式自拟。</w:t>
      </w:r>
    </w:p>
    <w:p w14:paraId="39F035A3">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b/>
        </w:rPr>
      </w:pPr>
      <w:r>
        <w:rPr>
          <w:rFonts w:hint="eastAsia" w:ascii="宋体" w:hAnsi="宋体" w:cs="宋体"/>
          <w:b/>
        </w:rPr>
        <w:t>四、安全保障</w:t>
      </w:r>
    </w:p>
    <w:p w14:paraId="2C820DDE">
      <w:pPr>
        <w:spacing w:line="360" w:lineRule="auto"/>
        <w:ind w:firstLine="420"/>
        <w:jc w:val="left"/>
        <w:rPr>
          <w:rFonts w:ascii="宋体" w:hAnsi="宋体" w:cs="宋体"/>
        </w:rPr>
      </w:pPr>
      <w:r>
        <w:rPr>
          <w:rFonts w:hint="eastAsia" w:ascii="宋体" w:hAnsi="宋体" w:cs="宋体"/>
        </w:rPr>
        <w:t>1、“大丰区心电管理一张网”软件开发、信息系统集成、运维相关过程应保障信息安全，具有中国质量认证中心颁发的“信息安全管理体系认证证书”【投标时提供证书扫描件并加盖投标人公章】；</w:t>
      </w:r>
    </w:p>
    <w:p w14:paraId="2643FB43">
      <w:pPr>
        <w:spacing w:line="360" w:lineRule="auto"/>
        <w:ind w:firstLine="420"/>
        <w:jc w:val="left"/>
        <w:rPr>
          <w:rFonts w:ascii="宋体" w:hAnsi="宋体" w:cs="宋体"/>
        </w:rPr>
      </w:pPr>
      <w:r>
        <w:rPr>
          <w:rFonts w:hint="eastAsia" w:ascii="宋体" w:hAnsi="宋体" w:cs="宋体"/>
        </w:rPr>
        <w:t>2、“大丰区心电管理一张网”需接入医疗系统，须做好信息安全保障，“大丰区心电管理一张网”应符合信息安全等级保护要求，具有公安机关颁发的“信息系统安全等级保护备案证明”【投标时提供证书扫描件并加盖投标人公章】。</w:t>
      </w:r>
    </w:p>
    <w:p w14:paraId="3A579FCC">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b/>
        </w:rPr>
      </w:pPr>
      <w:r>
        <w:rPr>
          <w:rFonts w:hint="eastAsia" w:ascii="宋体" w:hAnsi="宋体" w:cs="宋体"/>
          <w:b/>
        </w:rPr>
        <w:t>五、系统兼容性</w:t>
      </w:r>
    </w:p>
    <w:p w14:paraId="1A5743CE">
      <w:pPr>
        <w:spacing w:line="360" w:lineRule="auto"/>
        <w:ind w:firstLine="420"/>
        <w:rPr>
          <w:rFonts w:ascii="宋体" w:hAnsi="宋体" w:cs="宋体"/>
        </w:rPr>
      </w:pPr>
      <w:r>
        <w:rPr>
          <w:rFonts w:hint="eastAsia" w:ascii="宋体" w:hAnsi="宋体" w:cs="宋体"/>
        </w:rPr>
        <w:t>为响应国家核心技术自主性，满足国家提出的重要信息系统要全面实现国产化代替的新要求，“大丰区心电管理一张网”厂家与国产主流CPU、操作系统、云存储、数据库等兼容“大丰区心电管理一张网”管理系统符合信创替代政策要求，免费升级替代为符合信创要求的产品。【投标时提供承诺书扫描件并加盖投标人公章，格式自拟】</w:t>
      </w:r>
    </w:p>
    <w:p w14:paraId="535192DF">
      <w:pPr>
        <w:pageBreakBefore/>
        <w:pBdr>
          <w:top w:val="none" w:color="000000" w:sz="0" w:space="0"/>
          <w:left w:val="none" w:color="000000" w:sz="0" w:space="0"/>
          <w:bottom w:val="none" w:color="000000" w:sz="0" w:space="0"/>
          <w:right w:val="none" w:color="000000" w:sz="0" w:space="0"/>
        </w:pBdr>
        <w:spacing w:before="120" w:after="120"/>
        <w:ind w:left="119" w:right="119"/>
        <w:jc w:val="center"/>
      </w:pPr>
      <w:r>
        <w:rPr>
          <w:rFonts w:ascii="宋体" w:hAnsi="宋体" w:cs="宋体"/>
          <w:b/>
          <w:sz w:val="40"/>
        </w:rPr>
        <w:t>第五章</w:t>
      </w:r>
      <w:r>
        <w:rPr>
          <w:rFonts w:hint="eastAsia" w:ascii="宋体" w:hAnsi="宋体" w:cs="宋体"/>
          <w:b/>
          <w:sz w:val="40"/>
          <w:lang w:val="en-US" w:eastAsia="zh-CN"/>
        </w:rPr>
        <w:t xml:space="preserve">  </w:t>
      </w:r>
      <w:r>
        <w:rPr>
          <w:rFonts w:ascii="宋体" w:hAnsi="宋体" w:cs="宋体"/>
          <w:b/>
          <w:sz w:val="40"/>
        </w:rPr>
        <w:t>评标方法与评标标准</w:t>
      </w:r>
    </w:p>
    <w:p w14:paraId="331C9249">
      <w:pPr>
        <w:pBdr>
          <w:top w:val="none" w:color="000000" w:sz="0" w:space="0"/>
          <w:left w:val="none" w:color="000000" w:sz="0" w:space="0"/>
          <w:bottom w:val="none" w:color="000000" w:sz="0" w:space="0"/>
          <w:right w:val="none" w:color="000000" w:sz="0" w:space="0"/>
        </w:pBdr>
      </w:pPr>
      <w:r>
        <w:rPr>
          <w:rFonts w:ascii="宋体" w:hAnsi="宋体" w:cs="宋体"/>
        </w:rPr>
        <w:t> </w:t>
      </w:r>
    </w:p>
    <w:p w14:paraId="651B9951">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一、定标原则</w:t>
      </w:r>
    </w:p>
    <w:p w14:paraId="05DD012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本项目采用</w:t>
      </w:r>
      <w:r>
        <w:rPr>
          <w:rFonts w:ascii="宋体" w:hAnsi="宋体" w:cs="宋体"/>
          <w:u w:val="single"/>
        </w:rPr>
        <w:t>综合评分</w:t>
      </w:r>
      <w:r>
        <w:rPr>
          <w:rFonts w:ascii="宋体" w:hAnsi="宋体" w:cs="宋体"/>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63C53FE2">
      <w:pPr>
        <w:pBdr>
          <w:top w:val="none" w:color="000000" w:sz="0" w:space="0"/>
          <w:left w:val="none" w:color="000000" w:sz="0" w:space="0"/>
          <w:bottom w:val="none" w:color="000000" w:sz="0" w:space="0"/>
          <w:right w:val="none" w:color="000000" w:sz="0" w:space="0"/>
        </w:pBdr>
        <w:spacing w:line="360" w:lineRule="auto"/>
        <w:ind w:firstLine="479"/>
      </w:pPr>
      <w:r>
        <w:rPr>
          <w:rFonts w:ascii="宋体" w:hAnsi="宋体" w:cs="宋体"/>
          <w:b/>
        </w:rPr>
        <w:t>政府采购政策功能落实</w:t>
      </w:r>
    </w:p>
    <w:p w14:paraId="3175BF1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1、小微型企业价格扣除</w:t>
      </w:r>
    </w:p>
    <w:p w14:paraId="147ED2F3">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（1）本项目对小型和微型企业产品给予20%的扣除价格，用扣除后的价格参与评审。</w:t>
      </w:r>
    </w:p>
    <w:p w14:paraId="5F608DE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（2）供应商需按照采购文件的要求提供相应的《小微企业声明函》。</w:t>
      </w:r>
    </w:p>
    <w:p w14:paraId="1471CC26">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（3）企业标准请参照《关于印发中小企业划型标准规定的通知》（工信部联企业[2011]300号）文件规定自行填写。</w:t>
      </w:r>
    </w:p>
    <w:p w14:paraId="56B974B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2、残疾人福利单位价格扣除</w:t>
      </w:r>
    </w:p>
    <w:p w14:paraId="615FB70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（1）本项目对残疾人福利性单位视同小型、微型企业，给予20%</w:t>
      </w:r>
    </w:p>
    <w:p w14:paraId="66700B93">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（2）残疾人福利单位需按照采购文件的要求提供《残疾人福利性单位声明函》。</w:t>
      </w:r>
    </w:p>
    <w:p w14:paraId="527D41C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（3）残疾人福利单位标准请参照《关于促进残疾人就业政府采购政策的通知》（财库〔2017〕141号）。</w:t>
      </w:r>
    </w:p>
    <w:p w14:paraId="529BCCB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3、监狱和戒毒企业价格扣除</w:t>
      </w:r>
    </w:p>
    <w:p w14:paraId="049A1FB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（1）本项目对监狱和戒毒企业（简称监狱企业）视同小型、微型企业，给予20%</w:t>
      </w:r>
    </w:p>
    <w:p w14:paraId="6C33E26C">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（2）监狱企业参加政府采购活动时，需提供由省级以上监狱管理局、戒毒管理局(含新疆生产建设兵团)出具的属于监狱企业的证明文件。供应商如不提供上述证明文件，价格将不做相应扣除。</w:t>
      </w:r>
    </w:p>
    <w:p w14:paraId="20A0D856">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（3）监狱企业标准请参照《关于政府采购支持监狱企业发展有关问题的通知》（财库[2014]68号）。</w:t>
      </w:r>
    </w:p>
    <w:p w14:paraId="5391B84A">
      <w:pPr>
        <w:pBdr>
          <w:top w:val="none" w:color="000000" w:sz="0" w:space="0"/>
          <w:left w:val="none" w:color="000000" w:sz="0" w:space="0"/>
          <w:bottom w:val="none" w:color="000000" w:sz="0" w:space="0"/>
          <w:right w:val="none" w:color="000000" w:sz="0" w:space="0"/>
        </w:pBdr>
        <w:spacing w:line="360" w:lineRule="auto"/>
        <w:ind w:firstLine="480"/>
        <w:rPr>
          <w:b/>
          <w:bCs/>
        </w:rPr>
      </w:pPr>
      <w:r>
        <w:rPr>
          <w:rFonts w:hint="eastAsia" w:ascii="宋体" w:hAnsi="宋体" w:cs="宋体"/>
          <w:b/>
          <w:bCs/>
        </w:rPr>
        <w:t>注：</w:t>
      </w:r>
      <w:r>
        <w:rPr>
          <w:rFonts w:ascii="宋体" w:hAnsi="宋体" w:cs="宋体"/>
          <w:b/>
          <w:bCs/>
        </w:rPr>
        <w:t>残疾人福利单位、监狱企业属于小型、微型企业的，不重复享受政策。</w:t>
      </w:r>
    </w:p>
    <w:p w14:paraId="06238673">
      <w:pPr>
        <w:spacing w:line="440" w:lineRule="exact"/>
        <w:ind w:firstLine="480"/>
        <w:rPr>
          <w:rFonts w:ascii="宋体" w:hAnsi="宋体" w:cs="宋体"/>
        </w:rPr>
      </w:pPr>
      <w:r>
        <w:rPr>
          <w:rFonts w:hint="eastAsia" w:ascii="宋体" w:hAnsi="宋体" w:cs="宋体"/>
        </w:rPr>
        <w:t>4.1本项目政府采购活动中既有本国产品又有非本国产品参与竞争的，依法对本国产品给予价格评审优惠，对本国产品的报价给予20%的价格扣除，用扣除后的价格参与评审。</w:t>
      </w:r>
    </w:p>
    <w:p w14:paraId="19FF6DC4">
      <w:pPr>
        <w:spacing w:line="440" w:lineRule="exact"/>
        <w:ind w:firstLine="480"/>
        <w:rPr>
          <w:rFonts w:ascii="宋体" w:hAnsi="宋体" w:cs="宋体"/>
        </w:rPr>
      </w:pPr>
      <w:r>
        <w:rPr>
          <w:rFonts w:hint="eastAsia" w:ascii="宋体" w:hAnsi="宋体" w:cs="宋体"/>
        </w:rPr>
        <w:t>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5F51145F">
      <w:pPr>
        <w:spacing w:line="440" w:lineRule="exact"/>
        <w:ind w:firstLine="480"/>
        <w:rPr>
          <w:rFonts w:ascii="宋体" w:hAnsi="宋体" w:cs="宋体"/>
        </w:rPr>
      </w:pPr>
      <w:r>
        <w:rPr>
          <w:rFonts w:hint="eastAsia" w:ascii="宋体" w:hAnsi="宋体" w:cs="宋体"/>
        </w:rPr>
        <w:t>4.3投标人需按照招标文件的要求提供《关于符合本国产品标准的声明函》（以下简称《声明函》），如不提供将不享受本国产品价格评审优惠。</w:t>
      </w:r>
    </w:p>
    <w:p w14:paraId="306770F4">
      <w:pPr>
        <w:spacing w:line="440" w:lineRule="exact"/>
        <w:ind w:firstLine="480"/>
        <w:rPr>
          <w:rFonts w:ascii="宋体" w:hAnsi="宋体" w:cs="宋体"/>
        </w:rPr>
      </w:pPr>
      <w:r>
        <w:rPr>
          <w:rFonts w:hint="eastAsia" w:ascii="宋体" w:hAnsi="宋体" w:cs="宋体"/>
        </w:rPr>
        <w:t>4.4投标人需在《声明函》中逐一并且准确地填写产品名称、厂名、生产厂址三项信息（《声明函》中用斜线划除的地方无需填写），三项信息中任意一项未填写的视为该项产品不符合本国产品标准，不享受本国产品价格评审优惠。</w:t>
      </w:r>
    </w:p>
    <w:p w14:paraId="42D695CF">
      <w:pPr>
        <w:spacing w:line="440" w:lineRule="exact"/>
        <w:ind w:firstLine="480"/>
        <w:rPr>
          <w:rFonts w:hint="eastAsia" w:ascii="宋体" w:hAnsi="宋体" w:cs="宋体"/>
        </w:rPr>
      </w:pPr>
      <w:r>
        <w:rPr>
          <w:rFonts w:hint="eastAsia" w:ascii="宋体" w:hAnsi="宋体" w:cs="宋体"/>
        </w:rPr>
        <w:t>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B27E450">
      <w:pPr>
        <w:spacing w:line="440" w:lineRule="exact"/>
        <w:ind w:firstLine="480"/>
        <w:rPr>
          <w:rFonts w:hint="eastAsia" w:ascii="宋体" w:hAnsi="宋体" w:cs="宋体"/>
        </w:rPr>
      </w:pPr>
      <w:r>
        <w:rPr>
          <w:rFonts w:hint="eastAsia" w:ascii="宋体" w:hAnsi="宋体" w:cs="宋体"/>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7FE35D53">
      <w:pPr>
        <w:spacing w:line="440" w:lineRule="exact"/>
        <w:ind w:firstLine="480"/>
        <w:rPr>
          <w:rFonts w:hint="eastAsia" w:ascii="宋体" w:hAnsi="宋体" w:cs="宋体"/>
        </w:rPr>
      </w:pPr>
      <w:r>
        <w:rPr>
          <w:rFonts w:hint="eastAsia" w:ascii="宋体" w:hAnsi="宋体" w:cs="宋体"/>
        </w:rPr>
        <w:t>6、联合体各方均为小型、微型企业（残疾人福利单位、监狱企业）的，联合体享受20%。</w:t>
      </w:r>
    </w:p>
    <w:p w14:paraId="2898B8FB">
      <w:pPr>
        <w:spacing w:line="440" w:lineRule="exact"/>
        <w:ind w:firstLine="480"/>
        <w:rPr>
          <w:rFonts w:hint="eastAsia" w:ascii="宋体" w:hAnsi="宋体" w:cs="宋体"/>
        </w:rPr>
      </w:pPr>
      <w:r>
        <w:rPr>
          <w:rFonts w:hint="eastAsia" w:ascii="宋体" w:hAnsi="宋体" w:cs="宋体"/>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40EE5A5">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8、供应商对于投标产品的商品包装、快递包装应按照《关于印发《商品包装政府采购需求标准（试行）》、《快递包装政府采购需求标准（试行）》的通知》（财办库〔2020〕123号）执行。</w:t>
      </w:r>
    </w:p>
    <w:p w14:paraId="4CD96E79">
      <w:pPr>
        <w:spacing w:line="440" w:lineRule="exact"/>
        <w:ind w:firstLine="480"/>
        <w:rPr>
          <w:rFonts w:ascii="仿宋" w:hAnsi="仿宋" w:eastAsia="仿宋" w:cs="仿宋"/>
          <w:sz w:val="24"/>
          <w:szCs w:val="24"/>
        </w:rPr>
      </w:pPr>
      <w:r>
        <w:rPr>
          <w:rFonts w:ascii="宋体" w:hAnsi="宋体" w:cs="宋体"/>
        </w:rPr>
        <w:t>9、本文件中若涉及到数据中心采购，应按照《&lt;绿色数据中心政府采购需求标准（试行）&gt;的通知》（财库〔2023〕7号）执行。</w:t>
      </w:r>
      <w:r>
        <w:rPr>
          <w:rFonts w:hint="eastAsia" w:ascii="仿宋" w:hAnsi="仿宋" w:eastAsia="仿宋" w:cs="仿宋"/>
          <w:sz w:val="24"/>
          <w:szCs w:val="24"/>
        </w:rPr>
        <w:t>4.采购本国产品的支持政策</w:t>
      </w:r>
    </w:p>
    <w:p w14:paraId="3C6AC216">
      <w:pPr>
        <w:spacing w:line="440" w:lineRule="exact"/>
        <w:ind w:firstLine="480"/>
        <w:rPr>
          <w:rFonts w:ascii="宋体" w:hAnsi="宋体" w:cs="宋体"/>
        </w:rPr>
      </w:pPr>
      <w:r>
        <w:rPr>
          <w:rFonts w:hint="eastAsia" w:ascii="宋体" w:hAnsi="宋体" w:cs="宋体"/>
        </w:rPr>
        <w:t>4.1本项目政府采购活动中既有本国产品又有非本国产品参与竞争的，依法对本国产品给予价格评审优惠，对本国产品的报价给予20%的价格扣除，用扣除后的价格参与评审。</w:t>
      </w:r>
    </w:p>
    <w:p w14:paraId="2E7B01C8">
      <w:pPr>
        <w:spacing w:line="440" w:lineRule="exact"/>
        <w:ind w:firstLine="480"/>
        <w:rPr>
          <w:rFonts w:ascii="宋体" w:hAnsi="宋体" w:cs="宋体"/>
        </w:rPr>
      </w:pPr>
      <w:r>
        <w:rPr>
          <w:rFonts w:hint="eastAsia" w:ascii="宋体" w:hAnsi="宋体" w:cs="宋体"/>
        </w:rPr>
        <w:t>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574515C2">
      <w:pPr>
        <w:spacing w:line="440" w:lineRule="exact"/>
        <w:ind w:firstLine="480"/>
        <w:rPr>
          <w:rFonts w:ascii="宋体" w:hAnsi="宋体" w:cs="宋体"/>
        </w:rPr>
      </w:pPr>
      <w:r>
        <w:rPr>
          <w:rFonts w:hint="eastAsia" w:ascii="宋体" w:hAnsi="宋体" w:cs="宋体"/>
        </w:rPr>
        <w:t>4.3投标人需按照招标文件的要求提供《关于符合本国产品标准的声明函》（以下简称《声明函》），如不提供将不享受本国产品价格评审优惠。</w:t>
      </w:r>
    </w:p>
    <w:p w14:paraId="115D785E">
      <w:pPr>
        <w:spacing w:line="440" w:lineRule="exact"/>
        <w:ind w:firstLine="480"/>
        <w:rPr>
          <w:rFonts w:ascii="宋体" w:hAnsi="宋体" w:cs="宋体"/>
        </w:rPr>
      </w:pPr>
      <w:r>
        <w:rPr>
          <w:rFonts w:hint="eastAsia" w:ascii="宋体" w:hAnsi="宋体" w:cs="宋体"/>
        </w:rPr>
        <w:t>4.4投标人需在《声明函》中逐一并且准确地填写产品名称、厂名、生产厂址三项信息（《声明函》中用斜线划除的地方无需填写），三项信息中任意一项未填写的视为该项产品不符合本国产品标准，不享受本国产品价格评审优惠。</w:t>
      </w:r>
    </w:p>
    <w:p w14:paraId="18BD7B51">
      <w:pPr>
        <w:spacing w:line="440" w:lineRule="exact"/>
        <w:ind w:firstLine="480"/>
        <w:rPr>
          <w:rFonts w:ascii="宋体" w:hAnsi="宋体" w:cs="宋体"/>
        </w:rPr>
      </w:pPr>
      <w:r>
        <w:rPr>
          <w:rFonts w:hint="eastAsia" w:ascii="宋体" w:hAnsi="宋体" w:cs="宋体"/>
        </w:rPr>
        <w:t>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3095968B">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二、.评审标准</w:t>
      </w:r>
    </w:p>
    <w:p w14:paraId="0DC8AE9E">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2.评审标准</w:t>
      </w:r>
    </w:p>
    <w:p w14:paraId="0427261F">
      <w:pPr>
        <w:pStyle w:val="7"/>
        <w:pBdr>
          <w:top w:val="none" w:color="000000" w:sz="0" w:space="0"/>
          <w:left w:val="none" w:color="000000" w:sz="0" w:space="0"/>
          <w:bottom w:val="none" w:color="000000" w:sz="0" w:space="0"/>
          <w:right w:val="none" w:color="000000" w:sz="0" w:space="0"/>
        </w:pBdr>
        <w:spacing w:before="0" w:after="0" w:line="360" w:lineRule="auto"/>
        <w:ind w:firstLine="420"/>
      </w:pPr>
      <w:r>
        <w:rPr>
          <w:rFonts w:ascii="宋体" w:hAnsi="宋体" w:eastAsia="宋体" w:cs="宋体"/>
          <w:sz w:val="21"/>
        </w:rPr>
        <w:t>2.1 初步评审标准</w:t>
      </w:r>
    </w:p>
    <w:p w14:paraId="582F752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2.1.1 资质性评审标准：</w:t>
      </w:r>
    </w:p>
    <w:p w14:paraId="76BD38B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详见本项目招标文件申请人的资格要求。</w:t>
      </w:r>
    </w:p>
    <w:p w14:paraId="08A3FC8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2.1.2 符合性评审标准：</w:t>
      </w:r>
    </w:p>
    <w:p w14:paraId="55DCE52B">
      <w:pPr>
        <w:pStyle w:val="7"/>
        <w:pBdr>
          <w:top w:val="none" w:color="000000" w:sz="0" w:space="0"/>
          <w:left w:val="none" w:color="000000" w:sz="0" w:space="0"/>
          <w:bottom w:val="none" w:color="000000" w:sz="0" w:space="0"/>
          <w:right w:val="none" w:color="000000" w:sz="0" w:space="0"/>
        </w:pBdr>
        <w:spacing w:before="0" w:after="0" w:line="360" w:lineRule="auto"/>
        <w:ind w:firstLine="420"/>
      </w:pPr>
      <w:r>
        <w:rPr>
          <w:rFonts w:ascii="宋体" w:hAnsi="宋体" w:eastAsia="宋体" w:cs="宋体"/>
          <w:sz w:val="21"/>
        </w:rPr>
        <w:t>依据招标文件的规定，从投标文件的有效性、完整性和对招标文件的响应程度进行审查，以确定是否对招标文件的实质性要求作出响应。审查标准主要有投标文件规定的签字以及每页的投标人公章加章、投标文件的组成、投标文件及报价唯一、合同履行期限</w:t>
      </w:r>
      <w:r>
        <w:rPr>
          <w:rFonts w:hint="eastAsia" w:ascii="宋体" w:hAnsi="宋体" w:eastAsia="宋体" w:cs="宋体"/>
          <w:sz w:val="21"/>
        </w:rPr>
        <w:t>、</w:t>
      </w:r>
      <w:r>
        <w:rPr>
          <w:rFonts w:hint="eastAsia" w:ascii="宋体" w:hAnsi="宋体" w:eastAsia="宋体" w:cs="宋体"/>
          <w:b/>
          <w:bCs/>
          <w:sz w:val="21"/>
        </w:rPr>
        <w:t>相关的标注</w:t>
      </w:r>
      <w:r>
        <w:rPr>
          <w:rFonts w:ascii="宋体" w:hAnsi="宋体" w:eastAsia="宋体" w:cs="宋体"/>
          <w:sz w:val="21"/>
        </w:rPr>
        <w:t>等方面。</w:t>
      </w:r>
    </w:p>
    <w:p w14:paraId="43751A09">
      <w:pPr>
        <w:keepNext/>
        <w:keepLines/>
        <w:pBdr>
          <w:top w:val="none" w:color="000000" w:sz="0" w:space="0"/>
          <w:left w:val="none" w:color="000000" w:sz="0" w:space="0"/>
          <w:bottom w:val="none" w:color="000000" w:sz="0" w:space="0"/>
          <w:right w:val="none" w:color="000000" w:sz="0" w:space="0"/>
        </w:pBdr>
        <w:spacing w:line="460" w:lineRule="atLeast"/>
        <w:ind w:firstLine="422"/>
        <w:outlineLvl w:val="2"/>
        <w:rPr>
          <w:rFonts w:ascii="Arial" w:hAnsi="Arial" w:eastAsia="Arial" w:cs="Arial"/>
          <w:sz w:val="30"/>
          <w:szCs w:val="30"/>
        </w:rPr>
      </w:pPr>
      <w:r>
        <w:rPr>
          <w:rFonts w:ascii="宋体" w:hAnsi="宋体" w:cs="宋体"/>
          <w:b/>
          <w:szCs w:val="30"/>
        </w:rPr>
        <w:t>2.2 详细评审（100分）</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69"/>
        <w:gridCol w:w="1265"/>
        <w:gridCol w:w="6193"/>
        <w:gridCol w:w="921"/>
      </w:tblGrid>
      <w:tr w14:paraId="7E3C51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56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4C868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b/>
              </w:rPr>
              <w:t>序号</w:t>
            </w:r>
          </w:p>
        </w:tc>
        <w:tc>
          <w:tcPr>
            <w:tcW w:w="126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AEEE7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b/>
              </w:rPr>
              <w:t>项目</w:t>
            </w:r>
          </w:p>
        </w:tc>
        <w:tc>
          <w:tcPr>
            <w:tcW w:w="619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99049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b/>
              </w:rPr>
              <w:t>评分标准</w:t>
            </w:r>
          </w:p>
        </w:tc>
        <w:tc>
          <w:tcPr>
            <w:tcW w:w="92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FEA9D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b/>
              </w:rPr>
              <w:t>分值</w:t>
            </w:r>
          </w:p>
        </w:tc>
      </w:tr>
      <w:tr w14:paraId="21C8F7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69"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F2F05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1</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491AE7B">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投标报价</w:t>
            </w:r>
          </w:p>
          <w:p w14:paraId="2091FFE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 </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2B7DBB">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ascii="宋体" w:hAnsi="宋体" w:cs="宋体"/>
              </w:rPr>
              <w:t>价格分采用低价优先法计算，即满足招标文件要求且投标价格最低的投标报价为评标基准价，其价格分为满分30分。其他投标人的价格分按照下列公式计算：</w:t>
            </w:r>
          </w:p>
          <w:p w14:paraId="1A672856">
            <w:pPr>
              <w:pBdr>
                <w:top w:val="none" w:color="000000" w:sz="0" w:space="0"/>
                <w:left w:val="none" w:color="000000" w:sz="0" w:space="0"/>
                <w:bottom w:val="none" w:color="000000" w:sz="0" w:space="0"/>
                <w:right w:val="none" w:color="000000" w:sz="0" w:space="0"/>
              </w:pBdr>
              <w:spacing w:line="400" w:lineRule="atLeast"/>
            </w:pPr>
            <w:r>
              <w:rPr>
                <w:rFonts w:ascii="宋体" w:hAnsi="宋体" w:cs="宋体"/>
              </w:rPr>
              <w:t>投标报价得分=（评标基准价／投标报价）×30，结果保留到小数点后两位。</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E17BD3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30</w:t>
            </w:r>
          </w:p>
        </w:tc>
      </w:tr>
      <w:tr w14:paraId="26D797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00EF0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2</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4C055A">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hint="eastAsia" w:ascii="宋体" w:hAnsi="宋体" w:cs="宋体"/>
              </w:rPr>
              <w:t>招标需求响应</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80D71B">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根据各投标人对本次招标需求（参数）响应情况进行评定，投标人的所有招标需求（参数）满足招标要求的得满分38.5分。其中加“</w:t>
            </w:r>
            <w:r>
              <w:rPr>
                <w:rFonts w:hint="eastAsia"/>
              </w:rPr>
              <w:t>▲”招标</w:t>
            </w:r>
            <w:r>
              <w:rPr>
                <w:rFonts w:hint="eastAsia" w:ascii="宋体" w:hAnsi="宋体" w:cs="宋体"/>
              </w:rPr>
              <w:t>需求（参数）为实质性需求，出现负偏离作无效投标处理；其他的招标需求（参数），每项负偏离扣0.35分。</w:t>
            </w:r>
          </w:p>
          <w:p w14:paraId="7E69014D">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注：①除部分参数要求提供特定证明材料外，其他响应时须提供产品彩页扫描件或技术白皮书扫描件或操作截面截图或CMA报告加盖投标单位公章；</w:t>
            </w:r>
          </w:p>
          <w:p w14:paraId="405DBDEA">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②招标需求（参数）中每一条的要求为一项；</w:t>
            </w:r>
          </w:p>
          <w:p w14:paraId="4011B5B9">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③招标需求（参数）中要求提供证明材料的须在投标文件中</w:t>
            </w:r>
            <w:r>
              <w:rPr>
                <w:rFonts w:hint="eastAsia" w:ascii="宋体" w:hAnsi="宋体" w:cs="宋体"/>
                <w:b/>
                <w:bCs/>
              </w:rPr>
              <w:t>标注</w:t>
            </w:r>
            <w:r>
              <w:rPr>
                <w:rFonts w:hint="eastAsia" w:ascii="宋体" w:hAnsi="宋体" w:cs="宋体"/>
              </w:rPr>
              <w:t>对应页码和序号，便于评委审核。</w:t>
            </w:r>
          </w:p>
          <w:p w14:paraId="6A456F9A">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④</w:t>
            </w:r>
            <w:r>
              <w:rPr>
                <w:rFonts w:ascii="宋体" w:hAnsi="宋体" w:cs="宋体"/>
              </w:rPr>
              <w:t>投标人应按投标产品型号填写真实参数值，不得虚假响应，如经查实，将予以取消中标资格，并提交财政监管部门处理，有可能面临着被列入失信名单的法律风险。</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96FADF">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rPr>
              <w:t>38.5</w:t>
            </w:r>
          </w:p>
        </w:tc>
      </w:tr>
      <w:tr w14:paraId="54FD45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0"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FCE6A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3</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733D717">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ascii="宋体" w:hAnsi="宋体" w:cs="宋体"/>
              </w:rPr>
              <w:t>实施进</w:t>
            </w:r>
          </w:p>
          <w:p w14:paraId="4E14B9EE">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ascii="宋体" w:hAnsi="宋体" w:cs="宋体"/>
              </w:rPr>
              <w:t>度安排</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B6F1BF">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投标人提供的实施方案至少包含：详细的实施人员配置、管理机构配置、实施进度计划、供货保证措施、运输过程保障措施、产品质量保证措施。内容有针对性的、可操作性的、科学合理的方案，评委根据供应商提供的针对本项目制定的售后服务方案进行综合评分。方案优于要求的得3分，符合要求的得2分，不符合要求或未提供的不得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2A1996">
            <w:pPr>
              <w:pBdr>
                <w:top w:val="none" w:color="000000" w:sz="0" w:space="0"/>
                <w:left w:val="none" w:color="000000" w:sz="0" w:space="0"/>
                <w:bottom w:val="none" w:color="000000" w:sz="0" w:space="0"/>
                <w:right w:val="none" w:color="000000" w:sz="0" w:space="0"/>
              </w:pBdr>
              <w:spacing w:line="400" w:lineRule="atLeast"/>
              <w:jc w:val="center"/>
            </w:pPr>
            <w:r>
              <w:rPr>
                <w:rFonts w:hint="eastAsia"/>
              </w:rPr>
              <w:t>3</w:t>
            </w:r>
          </w:p>
        </w:tc>
      </w:tr>
      <w:tr w14:paraId="5A4162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00"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AB0AD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4</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C5E6ED">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ascii="宋体" w:hAnsi="宋体" w:cs="宋体"/>
              </w:rPr>
              <w:t>产品培训计划</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CD19A3C">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投标人提供详细产品培训计划方案：</w:t>
            </w:r>
          </w:p>
          <w:p w14:paraId="1F13353A">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包括设备操作和信息系统应用培训，得0.5分。</w:t>
            </w:r>
          </w:p>
          <w:p w14:paraId="0D3ECD17">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组织开展现场培训并进行操作考核，得0.5分。</w:t>
            </w:r>
          </w:p>
          <w:p w14:paraId="6E994B82">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承诺培训后设备和系统使用操作考核合格率100%，得0.5分。</w:t>
            </w:r>
          </w:p>
          <w:p w14:paraId="1AC73247">
            <w:pPr>
              <w:pBdr>
                <w:top w:val="none" w:color="000000" w:sz="0" w:space="0"/>
                <w:left w:val="none" w:color="000000" w:sz="0" w:space="0"/>
                <w:bottom w:val="none" w:color="000000" w:sz="0" w:space="0"/>
                <w:right w:val="none" w:color="000000" w:sz="0" w:space="0"/>
              </w:pBdr>
              <w:spacing w:line="400" w:lineRule="atLeast"/>
            </w:pPr>
            <w:r>
              <w:rPr>
                <w:rFonts w:hint="eastAsia" w:ascii="宋体" w:hAnsi="宋体" w:cs="宋体"/>
              </w:rPr>
              <w:t>承诺安排专业师资培训的得0.5分。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F0874E">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rPr>
              <w:t>2</w:t>
            </w:r>
          </w:p>
        </w:tc>
      </w:tr>
      <w:tr w14:paraId="6F7E8B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6"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35D5D2">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hint="eastAsia" w:ascii="宋体" w:hAnsi="宋体" w:cs="宋体"/>
              </w:rPr>
              <w:t>5</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078470">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hint="eastAsia" w:ascii="宋体" w:hAnsi="宋体" w:cs="宋体"/>
              </w:rPr>
              <w:t>企业认证</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543301">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投标人或所投产品生产厂家具有：</w:t>
            </w:r>
          </w:p>
          <w:p w14:paraId="0F6151C6">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质量管理体系认证证书，得1.5分；</w:t>
            </w:r>
          </w:p>
          <w:p w14:paraId="5CF0F90E">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医疗器械质量管理体系认证证书，得1.5分；</w:t>
            </w:r>
          </w:p>
          <w:p w14:paraId="40E66A8F">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职业健康安全管理体系认证证书，得1.5分；</w:t>
            </w:r>
          </w:p>
          <w:p w14:paraId="12FBD0DD">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环境管理体系认证证书，得1.5分；</w:t>
            </w:r>
          </w:p>
          <w:p w14:paraId="41814590">
            <w:pPr>
              <w:pBdr>
                <w:top w:val="none" w:color="000000" w:sz="0" w:space="0"/>
                <w:left w:val="none" w:color="000000" w:sz="0" w:space="0"/>
                <w:bottom w:val="none" w:color="000000" w:sz="0" w:space="0"/>
                <w:right w:val="none" w:color="000000" w:sz="0" w:space="0"/>
              </w:pBdr>
              <w:spacing w:line="400" w:lineRule="atLeast"/>
            </w:pPr>
            <w:r>
              <w:rPr>
                <w:rFonts w:hint="eastAsia" w:ascii="宋体" w:hAnsi="宋体" w:cs="宋体"/>
              </w:rPr>
              <w:t>（提供认证证书扫描件及所提供证书在全国认证认可信息公共服务平台（http://cx.cnca.cn）的查询结果“有效”的截图或网页截图并加盖公章，证明材料不齐全不得分。）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61C840">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hint="eastAsia" w:ascii="宋体" w:hAnsi="宋体" w:cs="宋体"/>
              </w:rPr>
              <w:t>6</w:t>
            </w:r>
          </w:p>
        </w:tc>
      </w:tr>
      <w:tr w14:paraId="195A7F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C32089">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6</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89D23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售后服务</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D33FAB">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1、承诺在招标文件要求的原厂质保（硬件及软件）三年要求基础上，延保一年的得1分，延保二年的得2分，满分2分。</w:t>
            </w:r>
          </w:p>
          <w:p w14:paraId="5F5E9D5E">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 xml:space="preserve">2、投标人承诺所投的产品出现任何不能修复的硬件问题24小时内提供新的硬件替换原有损坏机器，保证招标人正常开展工作的得1分。 </w:t>
            </w:r>
          </w:p>
          <w:p w14:paraId="333B7229">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3、投标人承诺在原厂质保期满后只收材料成本费、不收人工费得1分。</w:t>
            </w:r>
          </w:p>
          <w:p w14:paraId="61245629">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4、投标人承诺质保期满后的设备及信息系统维护费不高于中标总价的5%，得1分。</w:t>
            </w:r>
          </w:p>
          <w:p w14:paraId="584D53CA">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5、承诺便携和数字心电设备每台各增配一套原厂吸球和夹子的得1分。</w:t>
            </w:r>
          </w:p>
          <w:p w14:paraId="4A9561E3">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6、投标人承诺后续村卫生室设备增加，按中标价供货并免费接入“大丰区心电管理一张网”的得1分。</w:t>
            </w:r>
          </w:p>
          <w:p w14:paraId="75FBFA67">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7、承诺每台动态心电设备增配一套原厂导联线的得1分。</w:t>
            </w:r>
          </w:p>
          <w:p w14:paraId="4BB14AA9">
            <w:pPr>
              <w:pBdr>
                <w:top w:val="none" w:color="000000" w:sz="0" w:space="0"/>
                <w:left w:val="none" w:color="000000" w:sz="0" w:space="0"/>
                <w:bottom w:val="none" w:color="000000" w:sz="0" w:space="0"/>
                <w:right w:val="none" w:color="000000" w:sz="0" w:space="0"/>
              </w:pBdr>
              <w:spacing w:line="400" w:lineRule="atLeast"/>
            </w:pPr>
            <w:r>
              <w:rPr>
                <w:rFonts w:hint="eastAsia" w:ascii="宋体" w:hAnsi="宋体" w:cs="宋体"/>
              </w:rPr>
              <w:t>注：以上须提供承诺函加盖投标单位公章，不承诺不得分。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55A8F3">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rPr>
              <w:t>8</w:t>
            </w:r>
          </w:p>
        </w:tc>
      </w:tr>
      <w:tr w14:paraId="41B69B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8"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865D05">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7</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8CA0F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业绩</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380149">
            <w:pPr>
              <w:pBdr>
                <w:top w:val="none" w:color="000000" w:sz="0" w:space="0"/>
                <w:left w:val="none" w:color="000000" w:sz="0" w:space="0"/>
                <w:bottom w:val="none" w:color="000000" w:sz="0" w:space="0"/>
                <w:right w:val="none" w:color="000000" w:sz="0" w:space="0"/>
              </w:pBdr>
              <w:spacing w:line="400" w:lineRule="atLeast"/>
            </w:pPr>
            <w:r>
              <w:rPr>
                <w:rFonts w:ascii="宋体" w:hAnsi="宋体" w:cs="宋体"/>
              </w:rPr>
              <w:t>投标人</w:t>
            </w:r>
            <w:r>
              <w:rPr>
                <w:rFonts w:hint="eastAsia" w:ascii="宋体" w:hAnsi="宋体" w:cs="宋体"/>
              </w:rPr>
              <w:t>提供本单位销售业绩，</w:t>
            </w:r>
            <w:r>
              <w:rPr>
                <w:rFonts w:ascii="宋体" w:hAnsi="宋体" w:cs="宋体"/>
              </w:rPr>
              <w:t>202</w:t>
            </w:r>
            <w:r>
              <w:rPr>
                <w:rFonts w:hint="eastAsia" w:ascii="宋体" w:hAnsi="宋体" w:cs="宋体"/>
              </w:rPr>
              <w:t>3</w:t>
            </w:r>
            <w:r>
              <w:rPr>
                <w:rFonts w:ascii="宋体" w:hAnsi="宋体" w:cs="宋体"/>
              </w:rPr>
              <w:t>年1月1日以来（以签订时间为准）承担过所投产品的销售业绩，每提供一份得1分，满分3分。提供合同原件</w:t>
            </w:r>
            <w:r>
              <w:rPr>
                <w:rFonts w:hint="eastAsia" w:ascii="宋体" w:hAnsi="宋体" w:cs="宋体"/>
              </w:rPr>
              <w:t>扫描件</w:t>
            </w:r>
            <w:r>
              <w:rPr>
                <w:rFonts w:ascii="宋体" w:hAnsi="宋体" w:cs="宋体"/>
              </w:rPr>
              <w:t>加盖投标单位公章，合同需完整，不得隐蔽数据和文字，不提供合同不得分。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ED8C6B">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3</w:t>
            </w:r>
          </w:p>
        </w:tc>
      </w:tr>
      <w:tr w14:paraId="79E83F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1"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DB4B2F">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8</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B6CF6F3">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产品性能</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C17783">
            <w:pPr>
              <w:numPr>
                <w:ilvl w:val="0"/>
                <w:numId w:val="10"/>
              </w:numPr>
              <w:pBdr>
                <w:top w:val="none" w:color="000000" w:sz="0" w:space="0"/>
                <w:left w:val="none" w:color="000000" w:sz="0" w:space="0"/>
                <w:bottom w:val="none" w:color="000000" w:sz="0" w:space="0"/>
                <w:right w:val="none" w:color="000000" w:sz="0" w:space="0"/>
              </w:pBdr>
              <w:spacing w:line="360" w:lineRule="auto"/>
              <w:rPr>
                <w:rFonts w:ascii="宋体" w:hAnsi="宋体" w:cs="宋体"/>
              </w:rPr>
            </w:pPr>
            <w:r>
              <w:rPr>
                <w:rFonts w:hint="eastAsia" w:ascii="宋体" w:hAnsi="宋体" w:cs="宋体"/>
              </w:rPr>
              <w:t>所投设备有效期均为八年的基础上，增加2年的得1分，本项满分1分。须提供加盖投标单位公章的设备铭牌扫描件及加盖生产厂家公章的承诺函。</w:t>
            </w:r>
          </w:p>
          <w:p w14:paraId="529006AD">
            <w:pPr>
              <w:numPr>
                <w:ilvl w:val="0"/>
                <w:numId w:val="10"/>
              </w:numPr>
              <w:pBdr>
                <w:top w:val="none" w:color="000000" w:sz="0" w:space="0"/>
                <w:left w:val="none" w:color="000000" w:sz="0" w:space="0"/>
                <w:bottom w:val="none" w:color="000000" w:sz="0" w:space="0"/>
                <w:right w:val="none" w:color="000000" w:sz="0" w:space="0"/>
              </w:pBdr>
              <w:spacing w:line="360" w:lineRule="auto"/>
              <w:rPr>
                <w:rFonts w:ascii="宋体" w:hAnsi="宋体" w:cs="宋体"/>
              </w:rPr>
            </w:pPr>
            <w:r>
              <w:rPr>
                <w:rFonts w:hint="eastAsia"/>
              </w:rPr>
              <w:t>（</w:t>
            </w:r>
            <w:r>
              <w:rPr>
                <w:rFonts w:hint="eastAsia" w:ascii="Calibri" w:hAnsi="Calibri"/>
                <w:b/>
                <w:bCs/>
              </w:rPr>
              <w:t>便携式心电检查设备</w:t>
            </w:r>
            <w:r>
              <w:rPr>
                <w:rFonts w:hint="eastAsia" w:ascii="Calibri" w:hAnsi="Calibri"/>
              </w:rPr>
              <w:t>）</w:t>
            </w:r>
            <w:r>
              <w:rPr>
                <w:rFonts w:hint="eastAsia" w:ascii="宋体" w:hAnsi="宋体" w:cs="宋体"/>
              </w:rPr>
              <w:t>触摸尺寸≥10英寸的得1分。须提供加盖投标单位公章的承诺函。</w:t>
            </w:r>
          </w:p>
          <w:p w14:paraId="6DE0A81C">
            <w:pPr>
              <w:numPr>
                <w:ilvl w:val="0"/>
                <w:numId w:val="10"/>
              </w:numPr>
              <w:pBdr>
                <w:top w:val="none" w:color="000000" w:sz="0" w:space="0"/>
                <w:left w:val="none" w:color="000000" w:sz="0" w:space="0"/>
                <w:bottom w:val="none" w:color="000000" w:sz="0" w:space="0"/>
                <w:right w:val="none" w:color="000000" w:sz="0" w:space="0"/>
              </w:pBdr>
              <w:spacing w:line="360" w:lineRule="auto"/>
              <w:rPr>
                <w:rFonts w:ascii="宋体" w:hAnsi="宋体" w:cs="宋体"/>
              </w:rPr>
            </w:pPr>
            <w:r>
              <w:rPr>
                <w:rFonts w:hint="eastAsia" w:ascii="宋体" w:hAnsi="宋体" w:cs="宋体"/>
              </w:rPr>
              <w:t>投标人供货的设备为3个月内生产的得1分。须提供加盖投标单位公章的承诺函。</w:t>
            </w:r>
          </w:p>
          <w:p w14:paraId="130A42B0">
            <w:pPr>
              <w:numPr>
                <w:ilvl w:val="0"/>
                <w:numId w:val="10"/>
              </w:numPr>
              <w:pBdr>
                <w:top w:val="none" w:color="000000" w:sz="0" w:space="0"/>
                <w:left w:val="none" w:color="000000" w:sz="0" w:space="0"/>
                <w:bottom w:val="none" w:color="000000" w:sz="0" w:space="0"/>
                <w:right w:val="none" w:color="000000" w:sz="0" w:space="0"/>
              </w:pBdr>
              <w:spacing w:line="360" w:lineRule="auto"/>
              <w:rPr>
                <w:rFonts w:ascii="宋体" w:hAnsi="宋体" w:cs="宋体"/>
              </w:rPr>
            </w:pPr>
            <w:r>
              <w:rPr>
                <w:rFonts w:hint="eastAsia" w:ascii="宋体" w:hAnsi="宋体" w:cs="宋体"/>
              </w:rPr>
              <w:t>（</w:t>
            </w:r>
            <w:r>
              <w:rPr>
                <w:rFonts w:hint="eastAsia" w:ascii="Calibri" w:hAnsi="Calibri"/>
                <w:b/>
                <w:bCs/>
              </w:rPr>
              <w:t>便携式心电检查设备</w:t>
            </w:r>
            <w:r>
              <w:rPr>
                <w:rFonts w:hint="eastAsia" w:ascii="宋体" w:hAnsi="宋体" w:cs="宋体"/>
              </w:rPr>
              <w:t>）耐极化电压≥±980mV的得1分。须提供产品检测报告相关页证明扫描件加盖投标单位公章。</w:t>
            </w:r>
          </w:p>
          <w:p w14:paraId="79683DF5">
            <w:pPr>
              <w:numPr>
                <w:ilvl w:val="0"/>
                <w:numId w:val="10"/>
              </w:numPr>
              <w:pBdr>
                <w:top w:val="none" w:color="000000" w:sz="0" w:space="0"/>
                <w:left w:val="none" w:color="000000" w:sz="0" w:space="0"/>
                <w:bottom w:val="none" w:color="000000" w:sz="0" w:space="0"/>
                <w:right w:val="none" w:color="000000" w:sz="0" w:space="0"/>
              </w:pBdr>
              <w:spacing w:line="360" w:lineRule="auto"/>
              <w:rPr>
                <w:rFonts w:ascii="宋体" w:hAnsi="宋体" w:cs="宋体"/>
              </w:rPr>
            </w:pPr>
            <w:r>
              <w:rPr>
                <w:rFonts w:hint="eastAsia" w:ascii="宋体" w:hAnsi="宋体" w:cs="宋体"/>
              </w:rPr>
              <w:t>（</w:t>
            </w:r>
            <w:r>
              <w:rPr>
                <w:rFonts w:hint="eastAsia" w:ascii="Calibri" w:hAnsi="Calibri"/>
                <w:b/>
                <w:bCs/>
              </w:rPr>
              <w:t>便携式心电检查设备</w:t>
            </w:r>
            <w:r>
              <w:rPr>
                <w:rFonts w:hint="eastAsia" w:ascii="宋体" w:hAnsi="宋体" w:cs="宋体"/>
              </w:rPr>
              <w:t>）频响范围上限大于301Hz的得0.5分。须提供产品检测报告相关页证明扫描件加盖投标单位公章。</w:t>
            </w:r>
          </w:p>
          <w:p w14:paraId="4382F52D">
            <w:pPr>
              <w:numPr>
                <w:ilvl w:val="0"/>
                <w:numId w:val="10"/>
              </w:numPr>
              <w:pBdr>
                <w:top w:val="none" w:color="000000" w:sz="0" w:space="0"/>
                <w:left w:val="none" w:color="000000" w:sz="0" w:space="0"/>
                <w:bottom w:val="none" w:color="000000" w:sz="0" w:space="0"/>
                <w:right w:val="none" w:color="000000" w:sz="0" w:space="0"/>
              </w:pBdr>
              <w:spacing w:line="360" w:lineRule="auto"/>
              <w:rPr>
                <w:rFonts w:ascii="宋体" w:hAnsi="宋体" w:cs="宋体"/>
              </w:rPr>
            </w:pPr>
            <w:r>
              <w:rPr>
                <w:rFonts w:hint="eastAsia" w:ascii="宋体" w:hAnsi="宋体" w:cs="宋体"/>
              </w:rPr>
              <w:t>（</w:t>
            </w:r>
            <w:r>
              <w:rPr>
                <w:rFonts w:hint="eastAsia" w:ascii="Calibri" w:hAnsi="Calibri"/>
                <w:b/>
                <w:bCs/>
              </w:rPr>
              <w:t>数字式心电检查设备</w:t>
            </w:r>
            <w:r>
              <w:rPr>
                <w:rFonts w:hint="eastAsia" w:ascii="宋体" w:hAnsi="宋体" w:cs="宋体"/>
              </w:rPr>
              <w:t>）频响范围上限大于301Hz的得0.5分。须提供产品检测报告相关页证明扫描件加盖投标单位公章。</w:t>
            </w:r>
          </w:p>
          <w:p w14:paraId="19243794">
            <w:pPr>
              <w:numPr>
                <w:ilvl w:val="0"/>
                <w:numId w:val="10"/>
              </w:numPr>
              <w:spacing w:line="360" w:lineRule="auto"/>
            </w:pPr>
            <w:r>
              <w:rPr>
                <w:rFonts w:hint="eastAsia" w:ascii="宋体" w:hAnsi="宋体" w:cs="宋体"/>
                <w:szCs w:val="24"/>
              </w:rPr>
              <w:t>（</w:t>
            </w:r>
            <w:r>
              <w:rPr>
                <w:rFonts w:hint="eastAsia" w:ascii="宋体" w:hAnsi="宋体" w:cs="宋体"/>
                <w:b/>
                <w:bCs/>
                <w:szCs w:val="24"/>
              </w:rPr>
              <w:t>服务要求</w:t>
            </w:r>
            <w:r>
              <w:rPr>
                <w:rFonts w:hint="eastAsia" w:ascii="宋体" w:hAnsi="宋体" w:cs="宋体"/>
                <w:szCs w:val="24"/>
              </w:rPr>
              <w:t>）"心电管理一张网"利用人工智能技术应用于心电图检查、诊断、预警、分析等业务流程，提升临床使用体验和工作效率的得1分。提供人工智能心电分析系统医疗器械注册证（第二类或第三类）扫描件加盖投标单位公章，或提供具备同等功能的软件系统说明材料及真实性承诺函。</w:t>
            </w:r>
          </w:p>
          <w:p w14:paraId="0CAB0FAE">
            <w:pPr>
              <w:numPr>
                <w:ilvl w:val="0"/>
                <w:numId w:val="10"/>
              </w:numPr>
              <w:spacing w:line="360" w:lineRule="auto"/>
            </w:pPr>
            <w:r>
              <w:rPr>
                <w:rFonts w:hint="eastAsia"/>
              </w:rPr>
              <w:t>（</w:t>
            </w:r>
            <w:r>
              <w:rPr>
                <w:rFonts w:hint="eastAsia"/>
                <w:b/>
                <w:bCs/>
              </w:rPr>
              <w:t>动态心电检查设备</w:t>
            </w:r>
            <w:r>
              <w:rPr>
                <w:rFonts w:hint="eastAsia"/>
              </w:rPr>
              <w:t>）输入阻抗：≥20M</w:t>
            </w:r>
            <w:r>
              <w:t>Ω</w:t>
            </w:r>
            <w:r>
              <w:rPr>
                <w:rFonts w:hint="eastAsia"/>
              </w:rPr>
              <w:t>的得1分。</w:t>
            </w:r>
          </w:p>
          <w:p w14:paraId="021B0770">
            <w:pPr>
              <w:numPr>
                <w:ilvl w:val="0"/>
                <w:numId w:val="10"/>
              </w:numPr>
              <w:spacing w:line="360" w:lineRule="auto"/>
              <w:rPr>
                <w:szCs w:val="24"/>
              </w:rPr>
            </w:pPr>
            <w:r>
              <w:rPr>
                <w:rFonts w:hint="eastAsia"/>
              </w:rPr>
              <w:t>投标产品软硬件为同一品牌厂家生产的的得1分。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7BF2BE">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rPr>
              <w:t>8</w:t>
            </w:r>
          </w:p>
        </w:tc>
      </w:tr>
      <w:tr w14:paraId="294385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76"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0B3270">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ascii="宋体" w:hAnsi="宋体" w:cs="宋体"/>
              </w:rPr>
              <w:t>9</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E6281F">
            <w:pPr>
              <w:widowControl/>
              <w:spacing w:line="360" w:lineRule="auto"/>
              <w:jc w:val="center"/>
              <w:rPr>
                <w:rFonts w:ascii="宋体" w:hAnsi="宋体" w:cs="宋体"/>
              </w:rPr>
            </w:pPr>
            <w:r>
              <w:rPr>
                <w:rFonts w:hint="eastAsia" w:ascii="宋体" w:hAnsi="宋体" w:cs="宋体"/>
              </w:rPr>
              <w:t>节能产品</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CBED31">
            <w:pPr>
              <w:widowControl/>
              <w:spacing w:line="360" w:lineRule="auto"/>
              <w:jc w:val="left"/>
              <w:rPr>
                <w:rFonts w:ascii="宋体" w:hAnsi="宋体" w:cs="宋体"/>
              </w:rPr>
            </w:pPr>
            <w:r>
              <w:rPr>
                <w:rFonts w:hint="eastAsia" w:ascii="宋体" w:hAnsi="宋体" w:cs="宋体"/>
              </w:rPr>
              <w:t>投标产品属于财政部、国家发改委公布的“节能产品品目清单”范围内的，投标人提供国家确定的认证机构出具的、在开标当日处于有效期之内的该节能产品认证证书扫描件并标识出产品型号的，符合要求得0.5分。</w:t>
            </w:r>
          </w:p>
          <w:p w14:paraId="6C6AE450">
            <w:pPr>
              <w:widowControl/>
              <w:spacing w:line="360" w:lineRule="auto"/>
              <w:jc w:val="left"/>
              <w:rPr>
                <w:rFonts w:ascii="宋体" w:hAnsi="宋体" w:cs="宋体"/>
              </w:rPr>
            </w:pPr>
            <w:r>
              <w:rPr>
                <w:rFonts w:hint="eastAsia" w:ascii="宋体" w:hAnsi="宋体" w:cs="宋体"/>
              </w:rPr>
              <w:t>特别说明：本项目采购产品未被财政部、国家发改委等列入“节能产品品目清单”强制采购范围。</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5A7810">
            <w:pPr>
              <w:widowControl/>
              <w:spacing w:line="360" w:lineRule="auto"/>
              <w:jc w:val="center"/>
              <w:rPr>
                <w:rFonts w:ascii="宋体" w:hAnsi="宋体" w:cs="宋体"/>
              </w:rPr>
            </w:pPr>
            <w:r>
              <w:rPr>
                <w:rFonts w:hint="eastAsia" w:ascii="宋体" w:hAnsi="宋体" w:cs="宋体"/>
              </w:rPr>
              <w:t>0.5</w:t>
            </w:r>
          </w:p>
        </w:tc>
      </w:tr>
      <w:tr w14:paraId="313D8E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554"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71A76F">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rPr>
              <w:t>10</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7CDE02">
            <w:pPr>
              <w:widowControl/>
              <w:spacing w:line="360" w:lineRule="auto"/>
              <w:jc w:val="center"/>
            </w:pPr>
            <w:r>
              <w:rPr>
                <w:rFonts w:hint="eastAsia" w:ascii="宋体" w:hAnsi="宋体" w:cs="宋体"/>
              </w:rPr>
              <w:t>环境标志产品</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DD700F">
            <w:pPr>
              <w:widowControl/>
              <w:spacing w:line="360" w:lineRule="auto"/>
              <w:jc w:val="left"/>
              <w:rPr>
                <w:rFonts w:ascii="宋体" w:hAnsi="宋体" w:cs="宋体"/>
              </w:rPr>
            </w:pPr>
            <w:r>
              <w:rPr>
                <w:rFonts w:hint="eastAsia" w:ascii="宋体" w:hAnsi="宋体" w:cs="宋体"/>
              </w:rPr>
              <w:t>投标产品属于财政部、生态环境部公布的“环境标志产品品目清单”范围内的，投标人提供国家确定的认证机构出具的、在开标当日处于有效期内的该环保产品认证证书扫描件并标识出产品型号的，符合要求得0.5分。</w:t>
            </w:r>
          </w:p>
          <w:p w14:paraId="58FC9881">
            <w:pPr>
              <w:widowControl/>
              <w:spacing w:line="360" w:lineRule="auto"/>
              <w:jc w:val="left"/>
            </w:pPr>
            <w:r>
              <w:rPr>
                <w:rFonts w:hint="eastAsia" w:ascii="宋体" w:hAnsi="宋体" w:cs="宋体"/>
              </w:rPr>
              <w:t>特别说明：本项目采购产品未被财政部、生态环境部等列入 “环境标志产品品目清单”强制采购范围。</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3AEA95">
            <w:pPr>
              <w:widowControl/>
              <w:spacing w:line="360" w:lineRule="auto"/>
              <w:jc w:val="center"/>
            </w:pPr>
            <w:r>
              <w:rPr>
                <w:rFonts w:hint="eastAsia" w:ascii="宋体" w:hAnsi="宋体" w:cs="宋体"/>
              </w:rPr>
              <w:t>0.5</w:t>
            </w:r>
          </w:p>
        </w:tc>
      </w:tr>
      <w:tr w14:paraId="7511DE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5"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80271F">
            <w:pPr>
              <w:widowControl/>
              <w:spacing w:line="360" w:lineRule="auto"/>
              <w:jc w:val="left"/>
              <w:rPr>
                <w:rFonts w:ascii="宋体" w:hAnsi="宋体" w:cs="宋体"/>
              </w:rPr>
            </w:pPr>
            <w:r>
              <w:rPr>
                <w:rFonts w:hint="eastAsia" w:ascii="宋体" w:hAnsi="宋体" w:cs="宋体"/>
              </w:rPr>
              <w:t>11</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3966830">
            <w:pPr>
              <w:widowControl/>
              <w:spacing w:line="360" w:lineRule="auto"/>
              <w:jc w:val="center"/>
              <w:rPr>
                <w:rFonts w:ascii="宋体" w:hAnsi="宋体" w:cs="宋体"/>
              </w:rPr>
            </w:pPr>
            <w:r>
              <w:rPr>
                <w:rFonts w:hint="eastAsia" w:ascii="宋体" w:hAnsi="宋体" w:cs="宋体"/>
              </w:rPr>
              <w:t>承诺书</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BAD226">
            <w:pPr>
              <w:widowControl/>
              <w:spacing w:line="360" w:lineRule="auto"/>
              <w:jc w:val="left"/>
              <w:rPr>
                <w:rFonts w:ascii="宋体" w:hAnsi="宋体" w:cs="宋体"/>
              </w:rPr>
            </w:pPr>
            <w:r>
              <w:rPr>
                <w:rFonts w:hint="eastAsia" w:ascii="宋体" w:hAnsi="宋体" w:cs="宋体"/>
              </w:rPr>
              <w:t>投标文件中提供《盐城市大丰区政府招标采购供应商承诺书》的得 0.5 分，未提供的不得分。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327735">
            <w:pPr>
              <w:widowControl/>
              <w:spacing w:line="360" w:lineRule="auto"/>
              <w:jc w:val="center"/>
              <w:rPr>
                <w:rFonts w:ascii="宋体" w:hAnsi="宋体" w:cs="宋体"/>
              </w:rPr>
            </w:pPr>
            <w:r>
              <w:rPr>
                <w:rFonts w:hint="eastAsia" w:ascii="宋体" w:hAnsi="宋体" w:cs="宋体"/>
              </w:rPr>
              <w:t>0.5</w:t>
            </w:r>
          </w:p>
        </w:tc>
      </w:tr>
    </w:tbl>
    <w:p w14:paraId="6C819640"/>
    <w:p w14:paraId="5012E47B">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3.评标程序</w:t>
      </w:r>
    </w:p>
    <w:p w14:paraId="3E03916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 评标准备</w:t>
      </w:r>
    </w:p>
    <w:p w14:paraId="590989D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 评标委员会成员到达评标现场时应在签到表上签到（或通过门禁系统签到）以证明其出席。</w:t>
      </w:r>
    </w:p>
    <w:p w14:paraId="5AAE5BF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3.1.2 评标委员会成员首先推选一名评标委员会负责人，负责评标活动的组织领导工作。</w:t>
      </w:r>
    </w:p>
    <w:p w14:paraId="2AEA63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3.1.3 招标人或招标代理机构应向评标委员会提供评标所需的信息和数据。评标委员会负责人应组织评标委员会成员认真研究招标文件，未在招标文件中规定的标准和方法不得作为评标的依据。</w:t>
      </w:r>
    </w:p>
    <w:p w14:paraId="24A5412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 初步评审</w:t>
      </w:r>
    </w:p>
    <w:p w14:paraId="56E6A44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3.2.1评标委员会依据本章第2.1 款规定的标准对投标文件进行初步评审。</w:t>
      </w:r>
    </w:p>
    <w:p w14:paraId="26968B5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3.2.2投标文件不符合本章第2.1款评审标准的，属于重大偏差，视为未能对招标文件作出实质性响应，应当作为无效投标予以否决。</w:t>
      </w:r>
    </w:p>
    <w:p w14:paraId="13C424C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3.2.3 投标报价有算术错误的，评标委员会按以下原则对投标报价进行修正，修正的价格经投标人书面确认后具有约束力。</w:t>
      </w:r>
    </w:p>
    <w:p w14:paraId="29466F6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(1）投标文件中的大写金额与小写金额不一致的，以大写金额为准；</w:t>
      </w:r>
    </w:p>
    <w:p w14:paraId="0A6DF1C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(2）总价金额与依据单价计算出的结果不一致的，以单价金额为准修正总价，但单价金额小数点有明显错误的除外。</w:t>
      </w:r>
    </w:p>
    <w:p w14:paraId="2B63385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3.2.4只有通过初步评审的投标文件才能进入详细评审。</w:t>
      </w:r>
    </w:p>
    <w:p w14:paraId="37186C8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 详细评审</w:t>
      </w:r>
    </w:p>
    <w:p w14:paraId="159C3DE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3.3.1 在详细评审发现符合“无效标书条款”的，应当作为无效投标予以否决，其投标报价亦不作为评标基准价A值的依据。</w:t>
      </w:r>
    </w:p>
    <w:p w14:paraId="79D73B8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3.3.2 评标委员会按本章第2.2款规定的量化因素和分值进行打分，并计算出综合评估得分。</w:t>
      </w:r>
    </w:p>
    <w:p w14:paraId="6E6D312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3.3.3 评分分值计算保留小数点后两位，小数点后第三位“四舍五入”。</w:t>
      </w:r>
    </w:p>
    <w:p w14:paraId="6E2B217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 投标文件的澄清和补正</w:t>
      </w:r>
    </w:p>
    <w:p w14:paraId="5C19AD3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3.4.1 在评标过程中，评标委员会可以书面形式要求投标人对所提交投标文件中不明确的内容进行书面澄清或说明，或者对细微偏差进行补正。评标委员会不接受投标人主动提出的澄清、说明或补正。</w:t>
      </w:r>
    </w:p>
    <w:p w14:paraId="6D8F496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3.4.2 澄清、说明和补正不得改变投标文件的实质性内容（算术性错误修正的除外）。投标人的书面澄清、说明和补正属于投标文件的组成部分。</w:t>
      </w:r>
    </w:p>
    <w:p w14:paraId="232CD01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3.4.3 评标委员会对投标人提交的澄清、说明或补正有疑问的，可以要求投标人进一步澄清、说明或补正。</w:t>
      </w:r>
    </w:p>
    <w:p w14:paraId="0376F32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3.5 推荐中标候选人或直接确定中标人</w:t>
      </w:r>
    </w:p>
    <w:p w14:paraId="31734A0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3.5.1 除投标人须知前附表授权直接确定中标人外，评标委员会在推荐中标候选人时，应遵照以下原则:</w:t>
      </w:r>
    </w:p>
    <w:p w14:paraId="53D64CC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评标委员会按照最终得分由高至低的次序排列，并根据投标人须知前附表规定的中标候选人数量，将排序在前的投标人推荐为中标候选人。</w:t>
      </w:r>
    </w:p>
    <w:p w14:paraId="32A24EB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 xml:space="preserve">3.6 提交评标报告 </w:t>
      </w:r>
    </w:p>
    <w:p w14:paraId="1BFE1D3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评标委员会完成评标后，应当向招标人提交书面评标报告。评标报告应当由全体评标委员会成员签字，并于评标结束时抄送有关行政监督部门。</w:t>
      </w:r>
    </w:p>
    <w:p w14:paraId="24D98C4C">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7D5FA806">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40"/>
        </w:rPr>
        <w:t>第六章投标文件格式</w:t>
      </w:r>
    </w:p>
    <w:p w14:paraId="5EC714DA">
      <w:pPr>
        <w:pBdr>
          <w:top w:val="none" w:color="000000" w:sz="0" w:space="0"/>
          <w:left w:val="none" w:color="000000" w:sz="0" w:space="0"/>
          <w:bottom w:val="none" w:color="000000" w:sz="0" w:space="0"/>
          <w:right w:val="none" w:color="000000" w:sz="0" w:space="0"/>
        </w:pBdr>
        <w:jc w:val="center"/>
      </w:pPr>
      <w:r>
        <w:rPr>
          <w:rFonts w:ascii="宋体" w:hAnsi="宋体" w:cs="宋体"/>
          <w:b/>
          <w:sz w:val="48"/>
        </w:rPr>
        <w:t> </w:t>
      </w:r>
    </w:p>
    <w:p w14:paraId="03FDE796">
      <w:pPr>
        <w:pBdr>
          <w:top w:val="none" w:color="000000" w:sz="0" w:space="0"/>
          <w:left w:val="none" w:color="000000" w:sz="0" w:space="0"/>
          <w:bottom w:val="none" w:color="000000" w:sz="0" w:space="0"/>
          <w:right w:val="none" w:color="000000" w:sz="0" w:space="0"/>
        </w:pBdr>
        <w:spacing w:line="450" w:lineRule="atLeast"/>
        <w:ind w:firstLine="600"/>
      </w:pPr>
      <w:r>
        <w:rPr>
          <w:rFonts w:ascii="仿宋" w:hAnsi="仿宋" w:eastAsia="仿宋" w:cs="仿宋"/>
          <w:sz w:val="30"/>
        </w:rPr>
        <w:t> </w:t>
      </w:r>
    </w:p>
    <w:p w14:paraId="6A62D6A7">
      <w:pPr>
        <w:pBdr>
          <w:top w:val="none" w:color="000000" w:sz="0" w:space="0"/>
          <w:left w:val="none" w:color="000000" w:sz="0" w:space="0"/>
          <w:bottom w:val="none" w:color="000000" w:sz="0" w:space="0"/>
          <w:right w:val="none" w:color="000000" w:sz="0" w:space="0"/>
        </w:pBdr>
        <w:jc w:val="center"/>
      </w:pPr>
      <w:r>
        <w:rPr>
          <w:rFonts w:ascii="宋体" w:hAnsi="宋体" w:cs="宋体"/>
          <w:b/>
          <w:sz w:val="72"/>
        </w:rPr>
        <w:t>投标文件</w:t>
      </w:r>
    </w:p>
    <w:p w14:paraId="07B28ADD">
      <w:pPr>
        <w:pBdr>
          <w:top w:val="none" w:color="000000" w:sz="0" w:space="0"/>
          <w:left w:val="none" w:color="000000" w:sz="0" w:space="0"/>
          <w:bottom w:val="none" w:color="000000" w:sz="0" w:space="0"/>
          <w:right w:val="none" w:color="000000" w:sz="0" w:space="0"/>
        </w:pBdr>
        <w:jc w:val="center"/>
      </w:pPr>
      <w:r>
        <w:rPr>
          <w:rFonts w:ascii="黑体" w:hAnsi="黑体" w:eastAsia="黑体" w:cs="黑体"/>
          <w:b/>
          <w:sz w:val="36"/>
        </w:rPr>
        <w:t>（正或副本）</w:t>
      </w:r>
    </w:p>
    <w:p w14:paraId="27D93EF0">
      <w:pPr>
        <w:pBdr>
          <w:top w:val="none" w:color="000000" w:sz="0" w:space="0"/>
          <w:left w:val="none" w:color="000000" w:sz="0" w:space="0"/>
          <w:bottom w:val="none" w:color="000000" w:sz="0" w:space="0"/>
          <w:right w:val="none" w:color="000000" w:sz="0" w:space="0"/>
        </w:pBdr>
        <w:jc w:val="center"/>
      </w:pPr>
      <w:r>
        <w:rPr>
          <w:rFonts w:ascii="宋体" w:hAnsi="宋体" w:cs="宋体"/>
          <w:b/>
          <w:sz w:val="72"/>
        </w:rPr>
        <w:t> </w:t>
      </w:r>
    </w:p>
    <w:p w14:paraId="75540FE1">
      <w:pPr>
        <w:pBdr>
          <w:top w:val="none" w:color="000000" w:sz="0" w:space="0"/>
          <w:left w:val="none" w:color="000000" w:sz="0" w:space="0"/>
          <w:bottom w:val="none" w:color="000000" w:sz="0" w:space="0"/>
          <w:right w:val="none" w:color="000000" w:sz="0" w:space="0"/>
        </w:pBdr>
        <w:jc w:val="center"/>
      </w:pPr>
      <w:r>
        <w:rPr>
          <w:rFonts w:ascii="宋体" w:hAnsi="宋体" w:cs="宋体"/>
          <w:b/>
          <w:sz w:val="36"/>
        </w:rPr>
        <w:t> </w:t>
      </w:r>
    </w:p>
    <w:p w14:paraId="2668822F">
      <w:pPr>
        <w:pBdr>
          <w:top w:val="none" w:color="000000" w:sz="0" w:space="0"/>
          <w:left w:val="none" w:color="000000" w:sz="0" w:space="0"/>
          <w:bottom w:val="none" w:color="000000" w:sz="0" w:space="0"/>
          <w:right w:val="none" w:color="000000" w:sz="0" w:space="0"/>
        </w:pBdr>
        <w:jc w:val="center"/>
      </w:pPr>
      <w:r>
        <w:rPr>
          <w:rFonts w:ascii="宋体" w:hAnsi="宋体" w:cs="宋体"/>
          <w:b/>
          <w:sz w:val="36"/>
        </w:rPr>
        <w:t> </w:t>
      </w:r>
    </w:p>
    <w:p w14:paraId="14B88504">
      <w:pPr>
        <w:pBdr>
          <w:top w:val="none" w:color="000000" w:sz="0" w:space="0"/>
          <w:left w:val="none" w:color="000000" w:sz="0" w:space="0"/>
          <w:bottom w:val="none" w:color="000000" w:sz="0" w:space="0"/>
          <w:right w:val="none" w:color="000000" w:sz="0" w:space="0"/>
        </w:pBdr>
        <w:jc w:val="center"/>
      </w:pPr>
      <w:r>
        <w:rPr>
          <w:rFonts w:ascii="宋体" w:hAnsi="宋体" w:cs="宋体"/>
          <w:b/>
          <w:sz w:val="36"/>
        </w:rPr>
        <w:t> </w:t>
      </w:r>
    </w:p>
    <w:p w14:paraId="3F33A300">
      <w:pPr>
        <w:pBdr>
          <w:top w:val="none" w:color="000000" w:sz="0" w:space="0"/>
          <w:left w:val="none" w:color="000000" w:sz="0" w:space="0"/>
          <w:bottom w:val="none" w:color="000000" w:sz="0" w:space="0"/>
          <w:right w:val="none" w:color="000000" w:sz="0" w:space="0"/>
        </w:pBdr>
      </w:pPr>
      <w:r>
        <w:rPr>
          <w:rFonts w:ascii="宋体" w:hAnsi="宋体" w:cs="宋体"/>
          <w:b/>
          <w:sz w:val="36"/>
        </w:rPr>
        <w:t>项 目 名 称：</w:t>
      </w:r>
      <w:r>
        <w:rPr>
          <w:rFonts w:ascii="宋体" w:hAnsi="宋体" w:cs="宋体"/>
          <w:b/>
          <w:sz w:val="36"/>
          <w:u w:val="single"/>
        </w:rPr>
        <w:t>               </w:t>
      </w:r>
    </w:p>
    <w:p w14:paraId="2250B22C">
      <w:pPr>
        <w:pBdr>
          <w:top w:val="none" w:color="000000" w:sz="0" w:space="0"/>
          <w:left w:val="none" w:color="000000" w:sz="0" w:space="0"/>
          <w:bottom w:val="none" w:color="000000" w:sz="0" w:space="0"/>
          <w:right w:val="none" w:color="000000" w:sz="0" w:space="0"/>
        </w:pBdr>
      </w:pPr>
      <w:r>
        <w:rPr>
          <w:rFonts w:ascii="宋体" w:hAnsi="宋体" w:cs="宋体"/>
          <w:b/>
          <w:sz w:val="36"/>
        </w:rPr>
        <w:t>招 标 编 号：</w:t>
      </w:r>
      <w:r>
        <w:rPr>
          <w:rFonts w:ascii="宋体" w:hAnsi="宋体" w:cs="宋体"/>
          <w:b/>
          <w:sz w:val="36"/>
          <w:u w:val="single"/>
        </w:rPr>
        <w:t>               </w:t>
      </w:r>
    </w:p>
    <w:p w14:paraId="1C1D1BFE">
      <w:pPr>
        <w:pBdr>
          <w:top w:val="none" w:color="000000" w:sz="0" w:space="0"/>
          <w:left w:val="none" w:color="000000" w:sz="0" w:space="0"/>
          <w:bottom w:val="none" w:color="000000" w:sz="0" w:space="0"/>
          <w:right w:val="none" w:color="000000" w:sz="0" w:space="0"/>
        </w:pBdr>
      </w:pPr>
      <w:r>
        <w:rPr>
          <w:rFonts w:ascii="宋体" w:hAnsi="宋体" w:cs="宋体"/>
          <w:b/>
          <w:sz w:val="36"/>
        </w:rPr>
        <w:t>投标人名称：</w:t>
      </w:r>
      <w:r>
        <w:rPr>
          <w:rFonts w:ascii="宋体" w:hAnsi="宋体" w:cs="宋体"/>
          <w:b/>
          <w:sz w:val="36"/>
          <w:u w:val="single"/>
        </w:rPr>
        <w:t>               </w:t>
      </w:r>
    </w:p>
    <w:p w14:paraId="15FBC3CF">
      <w:pPr>
        <w:pBdr>
          <w:top w:val="none" w:color="000000" w:sz="0" w:space="0"/>
          <w:left w:val="none" w:color="000000" w:sz="0" w:space="0"/>
          <w:bottom w:val="none" w:color="000000" w:sz="0" w:space="0"/>
          <w:right w:val="none" w:color="000000" w:sz="0" w:space="0"/>
        </w:pBdr>
      </w:pPr>
      <w:r>
        <w:rPr>
          <w:rFonts w:ascii="宋体" w:hAnsi="宋体" w:cs="宋体"/>
          <w:b/>
          <w:sz w:val="36"/>
        </w:rPr>
        <w:t>  日期：</w:t>
      </w:r>
      <w:r>
        <w:rPr>
          <w:rFonts w:ascii="宋体" w:hAnsi="宋体" w:cs="宋体"/>
          <w:b/>
          <w:sz w:val="36"/>
          <w:u w:val="single"/>
        </w:rPr>
        <w:t>               </w:t>
      </w:r>
    </w:p>
    <w:p w14:paraId="348AC9DE">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sz w:val="32"/>
        </w:rPr>
        <w:t> </w:t>
      </w:r>
    </w:p>
    <w:p w14:paraId="2696251A">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4ADEEB55">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5DCF5ABF">
      <w:pPr>
        <w:pBdr>
          <w:top w:val="none" w:color="000000" w:sz="0" w:space="0"/>
          <w:left w:val="none" w:color="000000" w:sz="0" w:space="0"/>
          <w:bottom w:val="none" w:color="000000" w:sz="0" w:space="0"/>
          <w:right w:val="none" w:color="000000" w:sz="0" w:space="0"/>
        </w:pBdr>
        <w:spacing w:line="439" w:lineRule="atLeast"/>
        <w:jc w:val="center"/>
      </w:pPr>
      <w:r>
        <w:rPr/>
        <w:br w:type="page" w:clear="all"/>
      </w:r>
    </w:p>
    <w:p w14:paraId="5DDF8C02">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30"/>
        </w:rPr>
        <w:t>评分索引表</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90"/>
        <w:gridCol w:w="3458"/>
      </w:tblGrid>
      <w:tr w14:paraId="0A0C2C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60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CD660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评分项目</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E0547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在投标文件中的页码位置</w:t>
            </w:r>
          </w:p>
        </w:tc>
      </w:tr>
      <w:tr w14:paraId="33BD65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6"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A6E066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11F26A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5821A2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0" w:hRule="atLeast"/>
        </w:trPr>
        <w:tc>
          <w:tcPr>
            <w:tcW w:w="912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0A4AD69">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53073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E21CF1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6106461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016E5E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FA2F45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1271A9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2BAC0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FE7C0E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B7A6D9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AD732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DCE56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A7E68A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02A3F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FE23D4E">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E3F13E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7FE6E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9" w:hRule="atLeast"/>
        </w:trPr>
        <w:tc>
          <w:tcPr>
            <w:tcW w:w="912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B58F4A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616E1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011B02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31E9B69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89F22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94FB60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A2319B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2A967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9"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84D6B1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37CA81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EC000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67774A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2F86E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63F9D0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9"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03E4D529">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55472A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5EE6B2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912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960FC0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EE074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FA6BFCF">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75DF261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1D15BC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68C6F9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52012C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E7409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CB3469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A8EBED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F3DF7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0" w:hRule="atLeast"/>
        </w:trPr>
        <w:tc>
          <w:tcPr>
            <w:tcW w:w="912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773644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41DFCF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A3F110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1BD1E1F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6312D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89D83D">
            <w:pPr>
              <w:pStyle w:val="30"/>
              <w:spacing w:beforeAutospacing="0" w:afterAutospacing="0" w:line="0" w:lineRule="atLeast"/>
              <w:jc w:val="center"/>
            </w:pPr>
            <w:r>
              <w:rPr>
                <w:rFonts w:hint="eastAsia"/>
              </w:rPr>
              <w:t>……</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D3248B9">
            <w:pPr>
              <w:pStyle w:val="30"/>
              <w:spacing w:beforeAutospacing="0" w:afterAutospacing="0" w:line="0" w:lineRule="atLeast"/>
              <w:jc w:val="center"/>
            </w:pPr>
            <w:r>
              <w:rPr>
                <w:rFonts w:hint="eastAsia"/>
              </w:rPr>
              <w:t>……</w:t>
            </w:r>
          </w:p>
        </w:tc>
      </w:tr>
    </w:tbl>
    <w:p w14:paraId="0C0ACF59">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sz w:val="30"/>
        </w:rPr>
        <w:t> </w:t>
      </w:r>
    </w:p>
    <w:p w14:paraId="27C43937">
      <w:pPr>
        <w:pBdr>
          <w:top w:val="none" w:color="000000" w:sz="0" w:space="0"/>
          <w:left w:val="none" w:color="000000" w:sz="0" w:space="0"/>
          <w:bottom w:val="none" w:color="000000" w:sz="0" w:space="0"/>
          <w:right w:val="none" w:color="000000" w:sz="0" w:space="0"/>
        </w:pBdr>
      </w:pPr>
      <w:r>
        <w:rPr>
          <w:rFonts w:ascii="宋体" w:hAnsi="宋体" w:cs="宋体"/>
        </w:rPr>
        <w:t> </w:t>
      </w:r>
    </w:p>
    <w:p w14:paraId="297CAE28">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63C92A96">
      <w:pPr>
        <w:pBdr>
          <w:top w:val="none" w:color="000000" w:sz="0" w:space="0"/>
          <w:left w:val="none" w:color="000000" w:sz="0" w:space="0"/>
          <w:bottom w:val="none" w:color="000000" w:sz="0" w:space="0"/>
          <w:right w:val="none" w:color="000000" w:sz="0" w:space="0"/>
        </w:pBdr>
        <w:spacing w:line="360" w:lineRule="auto"/>
        <w:ind w:firstLine="964"/>
        <w:jc w:val="center"/>
      </w:pPr>
      <w:r>
        <w:rPr>
          <w:rFonts w:ascii="宋体" w:hAnsi="宋体" w:cs="宋体"/>
          <w:b/>
          <w:sz w:val="32"/>
        </w:rPr>
        <w:t>投标主要文件目录</w:t>
      </w:r>
    </w:p>
    <w:p w14:paraId="0D7FE734">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一、资信证明文件要求</w:t>
      </w:r>
    </w:p>
    <w:p w14:paraId="0204EA05">
      <w:p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24"/>
        </w:rPr>
        <w:t>二</w:t>
      </w:r>
      <w:r>
        <w:rPr>
          <w:rFonts w:ascii="宋体" w:hAnsi="宋体" w:cs="宋体"/>
          <w:sz w:val="24"/>
        </w:rPr>
        <w:t>、资格性审查响应对照表</w:t>
      </w:r>
    </w:p>
    <w:p w14:paraId="22472607">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三、符合性检查响应对照表</w:t>
      </w:r>
    </w:p>
    <w:p w14:paraId="6D88C79E">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四、投标函</w:t>
      </w:r>
    </w:p>
    <w:p w14:paraId="4DA6949C">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五</w:t>
      </w:r>
      <w:r>
        <w:rPr>
          <w:rFonts w:ascii="宋体" w:hAnsi="宋体" w:cs="宋体"/>
          <w:b/>
          <w:sz w:val="24"/>
        </w:rPr>
        <w:t>、</w:t>
      </w:r>
      <w:r>
        <w:rPr>
          <w:rFonts w:ascii="宋体" w:hAnsi="宋体" w:cs="宋体"/>
          <w:sz w:val="24"/>
        </w:rPr>
        <w:t>开标一览表</w:t>
      </w:r>
    </w:p>
    <w:p w14:paraId="116342E8">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六、投标产品配置及分项报价表</w:t>
      </w:r>
    </w:p>
    <w:p w14:paraId="07A7698F">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七、技术参数响应及偏离表</w:t>
      </w:r>
    </w:p>
    <w:p w14:paraId="4C308775">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八、商务条款响应及偏离表</w:t>
      </w:r>
    </w:p>
    <w:p w14:paraId="288FF8A0">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九、服务承诺等</w:t>
      </w:r>
    </w:p>
    <w:p w14:paraId="2908EC6E">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ascii="宋体" w:hAnsi="宋体" w:cs="宋体"/>
          <w:sz w:val="24"/>
        </w:rPr>
        <w:t>十、盐城市大丰区政府招标采购供应商承诺书</w:t>
      </w:r>
    </w:p>
    <w:p w14:paraId="287A2D19">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7A1EB416">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686A9852">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5C3F4AAD">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207DD07B">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72FCB977">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220D0A29">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5AC0FDEA">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69ADA8AE">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5DE21DA5">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2C69D77F">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761D55A9">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416220C2">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19F0F53C">
      <w:pPr>
        <w:pBdr>
          <w:top w:val="none" w:color="000000" w:sz="0" w:space="0"/>
          <w:left w:val="none" w:color="000000" w:sz="0" w:space="0"/>
          <w:bottom w:val="none" w:color="000000" w:sz="0" w:space="0"/>
          <w:right w:val="none" w:color="000000" w:sz="0" w:space="0"/>
        </w:pBdr>
        <w:spacing w:before="50" w:after="50"/>
        <w:jc w:val="center"/>
      </w:pPr>
      <w:r>
        <w:rPr/>
        <w:br w:type="page" w:clear="all"/>
      </w:r>
    </w:p>
    <w:p w14:paraId="76A7EA0F">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一、资信证明文件要求</w:t>
      </w:r>
    </w:p>
    <w:p w14:paraId="2656D965">
      <w:pPr>
        <w:pBdr>
          <w:top w:val="none" w:color="000000" w:sz="0" w:space="0"/>
          <w:left w:val="none" w:color="000000" w:sz="0" w:space="0"/>
          <w:bottom w:val="none" w:color="000000" w:sz="0" w:space="0"/>
          <w:right w:val="none" w:color="000000" w:sz="0" w:space="0"/>
        </w:pBdr>
        <w:spacing w:before="50" w:after="50" w:line="360" w:lineRule="auto"/>
      </w:pPr>
      <w:r>
        <w:rPr>
          <w:rFonts w:ascii="黑体" w:hAnsi="黑体" w:eastAsia="黑体" w:cs="黑体"/>
          <w:sz w:val="24"/>
        </w:rPr>
        <w:t> </w:t>
      </w:r>
      <w:r>
        <w:rPr>
          <w:rFonts w:ascii="宋体" w:hAnsi="宋体" w:cs="宋体"/>
          <w:b/>
          <w:sz w:val="24"/>
        </w:rPr>
        <w:t>1、实质性资格证明文件目录</w:t>
      </w:r>
    </w:p>
    <w:p w14:paraId="49DFD191">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文件</w:t>
      </w:r>
      <w:r>
        <w:rPr>
          <w:rFonts w:eastAsia="Times New Roman"/>
          <w:sz w:val="24"/>
        </w:rPr>
        <w:t>1</w:t>
      </w:r>
      <w:r>
        <w:rPr>
          <w:rFonts w:ascii="宋体" w:hAnsi="宋体" w:cs="宋体"/>
          <w:sz w:val="24"/>
        </w:rPr>
        <w:t>法人或者其他组织的营业执照等证明文件，自然人的身份证明（</w:t>
      </w:r>
      <w:r>
        <w:rPr>
          <w:rFonts w:hint="eastAsia" w:ascii="宋体" w:hAnsi="宋体" w:cs="宋体"/>
          <w:sz w:val="24"/>
        </w:rPr>
        <w:t>扫描件</w:t>
      </w:r>
      <w:r>
        <w:rPr>
          <w:rFonts w:ascii="宋体" w:hAnsi="宋体" w:cs="宋体"/>
          <w:sz w:val="24"/>
        </w:rPr>
        <w:t>）</w:t>
      </w:r>
    </w:p>
    <w:p w14:paraId="441BB8EB">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文件</w:t>
      </w:r>
      <w:r>
        <w:rPr>
          <w:rFonts w:eastAsia="Times New Roman"/>
          <w:sz w:val="24"/>
        </w:rPr>
        <w:t xml:space="preserve">2 </w:t>
      </w:r>
      <w:r>
        <w:rPr>
          <w:rFonts w:ascii="宋体" w:hAnsi="宋体" w:cs="宋体"/>
          <w:sz w:val="24"/>
        </w:rPr>
        <w:t>具备履行合同所必需的设备和专业技术能力证明材料 </w:t>
      </w:r>
    </w:p>
    <w:p w14:paraId="2FE0323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文件</w:t>
      </w:r>
      <w:r>
        <w:rPr>
          <w:rFonts w:eastAsia="Times New Roman"/>
          <w:sz w:val="24"/>
        </w:rPr>
        <w:t>3</w:t>
      </w:r>
      <w:r>
        <w:rPr>
          <w:rFonts w:ascii="宋体" w:hAnsi="宋体" w:cs="宋体"/>
          <w:sz w:val="24"/>
        </w:rPr>
        <w:t>参加政府采购活动前</w:t>
      </w:r>
      <w:r>
        <w:rPr>
          <w:rFonts w:eastAsia="Times New Roman"/>
          <w:sz w:val="24"/>
        </w:rPr>
        <w:t>3</w:t>
      </w:r>
      <w:r>
        <w:rPr>
          <w:rFonts w:ascii="宋体" w:hAnsi="宋体" w:cs="宋体"/>
          <w:sz w:val="24"/>
        </w:rPr>
        <w:t>年内在经营活动中没有重大违法记录的书面声明</w:t>
      </w:r>
    </w:p>
    <w:p w14:paraId="5C85B8D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文件</w:t>
      </w:r>
      <w:r>
        <w:rPr>
          <w:rFonts w:eastAsia="Times New Roman"/>
          <w:sz w:val="24"/>
        </w:rPr>
        <w:t>4</w:t>
      </w:r>
      <w:r>
        <w:rPr>
          <w:rFonts w:ascii="宋体" w:hAnsi="宋体" w:cs="宋体"/>
          <w:sz w:val="24"/>
        </w:rPr>
        <w:t> 招标文件中规定要求提供的证明材料和投标人认为需要提供的其他材料</w:t>
      </w:r>
    </w:p>
    <w:p w14:paraId="396BD8FB">
      <w:pPr>
        <w:pBdr>
          <w:top w:val="none" w:color="000000" w:sz="0" w:space="0"/>
          <w:left w:val="none" w:color="000000" w:sz="0" w:space="0"/>
          <w:bottom w:val="none" w:color="000000" w:sz="0" w:space="0"/>
          <w:right w:val="none" w:color="000000" w:sz="0" w:space="0"/>
        </w:pBdr>
        <w:spacing w:before="50" w:after="50" w:line="360" w:lineRule="auto"/>
        <w:ind w:firstLine="482"/>
      </w:pPr>
      <w:r>
        <w:rPr>
          <w:rFonts w:ascii="宋体" w:hAnsi="宋体" w:cs="宋体"/>
          <w:b/>
          <w:sz w:val="24"/>
        </w:rPr>
        <w:t>2、非实质性资信证明文件目录</w:t>
      </w:r>
    </w:p>
    <w:p w14:paraId="106232D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sz w:val="24"/>
        </w:rPr>
        <w:t>格式1《企业申明函》</w:t>
      </w:r>
    </w:p>
    <w:p w14:paraId="3B8F614F">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36AAF44A">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16EE7954">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33DB6DA8">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2C16F81C">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049F10E6">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614DFA8E">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700B444F">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13730593">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1557715E">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5C8AB9D1">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0B273A4B">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7949447E">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7FA4F2D3">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24429C43">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3A17EFFC">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2BB7E629">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517C715D">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08150695">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220586CA">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15ECE1AC">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381A7A2B">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705639B7">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57A7BBED">
      <w:pPr>
        <w:pStyle w:val="7"/>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3705C109">
      <w:pPr>
        <w:pStyle w:val="7"/>
        <w:pBdr>
          <w:top w:val="none" w:color="000000" w:sz="0" w:space="0"/>
          <w:left w:val="none" w:color="000000" w:sz="0" w:space="0"/>
          <w:bottom w:val="none" w:color="000000" w:sz="0" w:space="0"/>
          <w:right w:val="none" w:color="000000" w:sz="0" w:space="0"/>
        </w:pBdr>
        <w:spacing w:before="260" w:after="260" w:line="360" w:lineRule="auto"/>
        <w:jc w:val="center"/>
      </w:pPr>
      <w:r>
        <w:rPr>
          <w:rFonts w:ascii="宋体" w:hAnsi="宋体" w:eastAsia="宋体" w:cs="宋体"/>
          <w:b/>
          <w:sz w:val="24"/>
        </w:rPr>
        <w:t>具备履行合同所必需的设备和专业技术能力的书面声明</w:t>
      </w:r>
    </w:p>
    <w:p w14:paraId="6CB7B62B">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我公司郑重声明：我公司具备履行本项采购合同所必需的设备和专业技术能力，为履行本项采购合同我公司具备如下主要设备和主要专业技术能力：</w:t>
      </w:r>
    </w:p>
    <w:p w14:paraId="49FBFD9F">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主要设备有：</w:t>
      </w:r>
      <w:r>
        <w:rPr>
          <w:rFonts w:ascii="宋体" w:hAnsi="宋体" w:cs="宋体"/>
          <w:sz w:val="24"/>
          <w:u w:val="single"/>
        </w:rPr>
        <w:t>           </w:t>
      </w:r>
      <w:r>
        <w:rPr>
          <w:rFonts w:ascii="宋体" w:hAnsi="宋体" w:cs="宋体"/>
          <w:sz w:val="24"/>
        </w:rPr>
        <w:t>。</w:t>
      </w:r>
    </w:p>
    <w:p w14:paraId="661118E0">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主要专业技术能力有：</w:t>
      </w:r>
      <w:r>
        <w:rPr>
          <w:rFonts w:ascii="宋体" w:hAnsi="宋体" w:cs="宋体"/>
          <w:sz w:val="24"/>
          <w:u w:val="single"/>
        </w:rPr>
        <w:t>             </w:t>
      </w:r>
      <w:r>
        <w:rPr>
          <w:rFonts w:ascii="宋体" w:hAnsi="宋体" w:cs="宋体"/>
          <w:sz w:val="24"/>
        </w:rPr>
        <w:t>。</w:t>
      </w:r>
    </w:p>
    <w:p w14:paraId="220B9B97">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 </w:t>
      </w:r>
    </w:p>
    <w:p w14:paraId="3D395FA0">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 </w:t>
      </w:r>
    </w:p>
    <w:p w14:paraId="7E740990">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 </w:t>
      </w:r>
    </w:p>
    <w:p w14:paraId="72DE3DDF">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供应商名称（公章）：</w:t>
      </w:r>
    </w:p>
    <w:p w14:paraId="433F02FB">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p w14:paraId="4949192A">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日期：</w:t>
      </w:r>
      <w:r>
        <w:rPr>
          <w:rFonts w:ascii="宋体" w:hAnsi="宋体" w:cs="宋体"/>
          <w:sz w:val="24"/>
          <w:u w:val="single"/>
        </w:rPr>
        <w:t>     </w:t>
      </w:r>
      <w:r>
        <w:rPr>
          <w:rFonts w:ascii="宋体" w:hAnsi="宋体" w:cs="宋体"/>
          <w:sz w:val="24"/>
        </w:rPr>
        <w:t>年</w:t>
      </w:r>
      <w:r>
        <w:rPr>
          <w:rFonts w:ascii="宋体" w:hAnsi="宋体" w:cs="宋体"/>
          <w:sz w:val="24"/>
          <w:u w:val="single"/>
        </w:rPr>
        <w:t>    </w:t>
      </w:r>
      <w:r>
        <w:rPr>
          <w:rFonts w:ascii="宋体" w:hAnsi="宋体" w:cs="宋体"/>
          <w:sz w:val="24"/>
        </w:rPr>
        <w:t>月</w:t>
      </w:r>
      <w:r>
        <w:rPr>
          <w:rFonts w:ascii="宋体" w:hAnsi="宋体" w:cs="宋体"/>
          <w:sz w:val="24"/>
          <w:u w:val="single"/>
        </w:rPr>
        <w:t>    </w:t>
      </w:r>
      <w:r>
        <w:rPr>
          <w:rFonts w:ascii="宋体" w:hAnsi="宋体" w:cs="宋体"/>
          <w:sz w:val="24"/>
        </w:rPr>
        <w:t>日</w:t>
      </w:r>
    </w:p>
    <w:p w14:paraId="1E4AA2C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p w14:paraId="06CEB61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p w14:paraId="7CB32B29">
      <w:pPr>
        <w:pBdr>
          <w:top w:val="none" w:color="000000" w:sz="0" w:space="0"/>
          <w:left w:val="none" w:color="000000" w:sz="0" w:space="0"/>
          <w:bottom w:val="none" w:color="000000" w:sz="0" w:space="0"/>
          <w:right w:val="none" w:color="000000" w:sz="0" w:space="0"/>
        </w:pBdr>
      </w:pPr>
      <w:r>
        <w:rPr>
          <w:rFonts w:ascii="宋体" w:hAnsi="宋体" w:cs="宋体"/>
        </w:rPr>
        <w:t> </w:t>
      </w:r>
    </w:p>
    <w:p w14:paraId="3FE993AB">
      <w:pPr>
        <w:pBdr>
          <w:top w:val="none" w:color="000000" w:sz="0" w:space="0"/>
          <w:left w:val="none" w:color="000000" w:sz="0" w:space="0"/>
          <w:bottom w:val="none" w:color="000000" w:sz="0" w:space="0"/>
          <w:right w:val="none" w:color="000000" w:sz="0" w:space="0"/>
        </w:pBdr>
      </w:pPr>
      <w:r>
        <w:rPr>
          <w:rFonts w:ascii="宋体" w:hAnsi="宋体" w:cs="宋体"/>
        </w:rPr>
        <w:t> </w:t>
      </w:r>
    </w:p>
    <w:p w14:paraId="3BFD7EE8">
      <w:pPr>
        <w:pBdr>
          <w:top w:val="none" w:color="000000" w:sz="0" w:space="0"/>
          <w:left w:val="none" w:color="000000" w:sz="0" w:space="0"/>
          <w:bottom w:val="none" w:color="000000" w:sz="0" w:space="0"/>
          <w:right w:val="none" w:color="000000" w:sz="0" w:space="0"/>
        </w:pBdr>
      </w:pPr>
      <w:r>
        <w:rPr>
          <w:rFonts w:ascii="宋体" w:hAnsi="宋体" w:cs="宋体"/>
        </w:rPr>
        <w:t> </w:t>
      </w:r>
    </w:p>
    <w:p w14:paraId="2F7117CF">
      <w:pPr>
        <w:pBdr>
          <w:top w:val="none" w:color="000000" w:sz="0" w:space="0"/>
          <w:left w:val="none" w:color="000000" w:sz="0" w:space="0"/>
          <w:bottom w:val="none" w:color="000000" w:sz="0" w:space="0"/>
          <w:right w:val="none" w:color="000000" w:sz="0" w:space="0"/>
        </w:pBdr>
      </w:pPr>
      <w:r>
        <w:rPr>
          <w:rFonts w:ascii="宋体" w:hAnsi="宋体" w:cs="宋体"/>
        </w:rPr>
        <w:t> </w:t>
      </w:r>
    </w:p>
    <w:p w14:paraId="616364A2">
      <w:pPr>
        <w:pBdr>
          <w:top w:val="none" w:color="000000" w:sz="0" w:space="0"/>
          <w:left w:val="none" w:color="000000" w:sz="0" w:space="0"/>
          <w:bottom w:val="none" w:color="000000" w:sz="0" w:space="0"/>
          <w:right w:val="none" w:color="000000" w:sz="0" w:space="0"/>
        </w:pBdr>
      </w:pPr>
      <w:r>
        <w:rPr>
          <w:rFonts w:ascii="宋体" w:hAnsi="宋体" w:cs="宋体"/>
        </w:rPr>
        <w:t> </w:t>
      </w:r>
    </w:p>
    <w:p w14:paraId="06707D64">
      <w:pPr>
        <w:pBdr>
          <w:top w:val="none" w:color="000000" w:sz="0" w:space="0"/>
          <w:left w:val="none" w:color="000000" w:sz="0" w:space="0"/>
          <w:bottom w:val="none" w:color="000000" w:sz="0" w:space="0"/>
          <w:right w:val="none" w:color="000000" w:sz="0" w:space="0"/>
        </w:pBdr>
      </w:pPr>
      <w:r>
        <w:rPr>
          <w:rFonts w:ascii="宋体" w:hAnsi="宋体" w:cs="宋体"/>
        </w:rPr>
        <w:t> </w:t>
      </w:r>
    </w:p>
    <w:p w14:paraId="4DDB8918">
      <w:pPr>
        <w:pBdr>
          <w:top w:val="none" w:color="000000" w:sz="0" w:space="0"/>
          <w:left w:val="none" w:color="000000" w:sz="0" w:space="0"/>
          <w:bottom w:val="none" w:color="000000" w:sz="0" w:space="0"/>
          <w:right w:val="none" w:color="000000" w:sz="0" w:space="0"/>
        </w:pBdr>
      </w:pPr>
      <w:r>
        <w:rPr>
          <w:rFonts w:ascii="宋体" w:hAnsi="宋体" w:cs="宋体"/>
        </w:rPr>
        <w:t> </w:t>
      </w:r>
    </w:p>
    <w:p w14:paraId="278DA2CC">
      <w:pPr>
        <w:pBdr>
          <w:top w:val="none" w:color="000000" w:sz="0" w:space="0"/>
          <w:left w:val="none" w:color="000000" w:sz="0" w:space="0"/>
          <w:bottom w:val="none" w:color="000000" w:sz="0" w:space="0"/>
          <w:right w:val="none" w:color="000000" w:sz="0" w:space="0"/>
        </w:pBdr>
      </w:pPr>
      <w:r>
        <w:rPr>
          <w:rFonts w:ascii="宋体" w:hAnsi="宋体" w:cs="宋体"/>
        </w:rPr>
        <w:t> </w:t>
      </w:r>
    </w:p>
    <w:p w14:paraId="72A6EF76">
      <w:pPr>
        <w:pBdr>
          <w:top w:val="none" w:color="000000" w:sz="0" w:space="0"/>
          <w:left w:val="none" w:color="000000" w:sz="0" w:space="0"/>
          <w:bottom w:val="none" w:color="000000" w:sz="0" w:space="0"/>
          <w:right w:val="none" w:color="000000" w:sz="0" w:space="0"/>
        </w:pBdr>
      </w:pPr>
      <w:r>
        <w:rPr>
          <w:rFonts w:ascii="宋体" w:hAnsi="宋体" w:cs="宋体"/>
        </w:rPr>
        <w:t> </w:t>
      </w:r>
    </w:p>
    <w:p w14:paraId="094750FE">
      <w:pPr>
        <w:pBdr>
          <w:top w:val="none" w:color="000000" w:sz="0" w:space="0"/>
          <w:left w:val="none" w:color="000000" w:sz="0" w:space="0"/>
          <w:bottom w:val="none" w:color="000000" w:sz="0" w:space="0"/>
          <w:right w:val="none" w:color="000000" w:sz="0" w:space="0"/>
        </w:pBdr>
      </w:pPr>
      <w:r>
        <w:rPr>
          <w:rFonts w:ascii="宋体" w:hAnsi="宋体" w:cs="宋体"/>
        </w:rPr>
        <w:t> </w:t>
      </w:r>
    </w:p>
    <w:p w14:paraId="0971AD0F">
      <w:pPr>
        <w:pBdr>
          <w:top w:val="none" w:color="000000" w:sz="0" w:space="0"/>
          <w:left w:val="none" w:color="000000" w:sz="0" w:space="0"/>
          <w:bottom w:val="none" w:color="000000" w:sz="0" w:space="0"/>
          <w:right w:val="none" w:color="000000" w:sz="0" w:space="0"/>
        </w:pBdr>
      </w:pPr>
      <w:r>
        <w:rPr>
          <w:rFonts w:ascii="宋体" w:hAnsi="宋体" w:cs="宋体"/>
        </w:rPr>
        <w:t> </w:t>
      </w:r>
    </w:p>
    <w:p w14:paraId="77A47B95">
      <w:pPr>
        <w:pBdr>
          <w:top w:val="none" w:color="000000" w:sz="0" w:space="0"/>
          <w:left w:val="none" w:color="000000" w:sz="0" w:space="0"/>
          <w:bottom w:val="none" w:color="000000" w:sz="0" w:space="0"/>
          <w:right w:val="none" w:color="000000" w:sz="0" w:space="0"/>
        </w:pBdr>
      </w:pPr>
      <w:r>
        <w:rPr>
          <w:rFonts w:ascii="宋体" w:hAnsi="宋体" w:cs="宋体"/>
        </w:rPr>
        <w:t> </w:t>
      </w:r>
    </w:p>
    <w:p w14:paraId="00861B6E">
      <w:pPr>
        <w:pBdr>
          <w:top w:val="none" w:color="000000" w:sz="0" w:space="0"/>
          <w:left w:val="none" w:color="000000" w:sz="0" w:space="0"/>
          <w:bottom w:val="none" w:color="000000" w:sz="0" w:space="0"/>
          <w:right w:val="none" w:color="000000" w:sz="0" w:space="0"/>
        </w:pBdr>
      </w:pPr>
      <w:r>
        <w:rPr>
          <w:rFonts w:ascii="宋体" w:hAnsi="宋体" w:cs="宋体"/>
        </w:rPr>
        <w:t> </w:t>
      </w:r>
    </w:p>
    <w:p w14:paraId="589F1E5D">
      <w:pPr>
        <w:pBdr>
          <w:top w:val="none" w:color="000000" w:sz="0" w:space="0"/>
          <w:left w:val="none" w:color="000000" w:sz="0" w:space="0"/>
          <w:bottom w:val="none" w:color="000000" w:sz="0" w:space="0"/>
          <w:right w:val="none" w:color="000000" w:sz="0" w:space="0"/>
        </w:pBdr>
      </w:pPr>
      <w:r>
        <w:rPr>
          <w:rFonts w:ascii="宋体" w:hAnsi="宋体" w:cs="宋体"/>
        </w:rPr>
        <w:t> </w:t>
      </w:r>
    </w:p>
    <w:p w14:paraId="4F2D6741">
      <w:pPr>
        <w:pBdr>
          <w:top w:val="none" w:color="000000" w:sz="0" w:space="0"/>
          <w:left w:val="none" w:color="000000" w:sz="0" w:space="0"/>
          <w:bottom w:val="none" w:color="000000" w:sz="0" w:space="0"/>
          <w:right w:val="none" w:color="000000" w:sz="0" w:space="0"/>
        </w:pBdr>
      </w:pPr>
      <w:r>
        <w:rPr>
          <w:rFonts w:ascii="宋体" w:hAnsi="宋体" w:cs="宋体"/>
        </w:rPr>
        <w:t> </w:t>
      </w:r>
    </w:p>
    <w:p w14:paraId="349DC918">
      <w:pPr>
        <w:pBdr>
          <w:top w:val="none" w:color="000000" w:sz="0" w:space="0"/>
          <w:left w:val="none" w:color="000000" w:sz="0" w:space="0"/>
          <w:bottom w:val="none" w:color="000000" w:sz="0" w:space="0"/>
          <w:right w:val="none" w:color="000000" w:sz="0" w:space="0"/>
        </w:pBdr>
      </w:pPr>
      <w:r>
        <w:rPr>
          <w:rFonts w:ascii="宋体" w:hAnsi="宋体" w:cs="宋体"/>
        </w:rPr>
        <w:t> </w:t>
      </w:r>
    </w:p>
    <w:p w14:paraId="75D0AAE7">
      <w:pPr>
        <w:pBdr>
          <w:top w:val="none" w:color="000000" w:sz="0" w:space="0"/>
          <w:left w:val="none" w:color="000000" w:sz="0" w:space="0"/>
          <w:bottom w:val="none" w:color="000000" w:sz="0" w:space="0"/>
          <w:right w:val="none" w:color="000000" w:sz="0" w:space="0"/>
        </w:pBdr>
      </w:pPr>
      <w:r>
        <w:rPr>
          <w:rFonts w:ascii="宋体" w:hAnsi="宋体" w:cs="宋体"/>
        </w:rPr>
        <w:t> </w:t>
      </w:r>
    </w:p>
    <w:p w14:paraId="5E1C95BB">
      <w:pPr>
        <w:pBdr>
          <w:top w:val="none" w:color="000000" w:sz="0" w:space="0"/>
          <w:left w:val="none" w:color="000000" w:sz="0" w:space="0"/>
          <w:bottom w:val="none" w:color="000000" w:sz="0" w:space="0"/>
          <w:right w:val="none" w:color="000000" w:sz="0" w:space="0"/>
        </w:pBdr>
      </w:pPr>
      <w:r>
        <w:rPr>
          <w:rFonts w:ascii="宋体" w:hAnsi="宋体" w:cs="宋体"/>
        </w:rPr>
        <w:t> </w:t>
      </w:r>
    </w:p>
    <w:p w14:paraId="3A39B54C">
      <w:pPr>
        <w:pBdr>
          <w:top w:val="none" w:color="000000" w:sz="0" w:space="0"/>
          <w:left w:val="none" w:color="000000" w:sz="0" w:space="0"/>
          <w:bottom w:val="none" w:color="000000" w:sz="0" w:space="0"/>
          <w:right w:val="none" w:color="000000" w:sz="0" w:space="0"/>
        </w:pBdr>
      </w:pPr>
      <w:r>
        <w:rPr>
          <w:rFonts w:ascii="宋体" w:hAnsi="宋体" w:cs="宋体"/>
        </w:rPr>
        <w:t> </w:t>
      </w:r>
    </w:p>
    <w:p w14:paraId="3984EF0B">
      <w:pPr>
        <w:pBdr>
          <w:top w:val="none" w:color="000000" w:sz="0" w:space="0"/>
          <w:left w:val="none" w:color="000000" w:sz="0" w:space="0"/>
          <w:bottom w:val="none" w:color="000000" w:sz="0" w:space="0"/>
          <w:right w:val="none" w:color="000000" w:sz="0" w:space="0"/>
        </w:pBdr>
      </w:pPr>
      <w:r>
        <w:rPr>
          <w:rFonts w:ascii="宋体" w:hAnsi="宋体" w:cs="宋体"/>
        </w:rPr>
        <w:t> </w:t>
      </w:r>
    </w:p>
    <w:p w14:paraId="064B9342">
      <w:pPr>
        <w:pBdr>
          <w:top w:val="none" w:color="000000" w:sz="0" w:space="0"/>
          <w:left w:val="none" w:color="000000" w:sz="0" w:space="0"/>
          <w:bottom w:val="none" w:color="000000" w:sz="0" w:space="0"/>
          <w:right w:val="none" w:color="000000" w:sz="0" w:space="0"/>
        </w:pBdr>
      </w:pPr>
      <w:r>
        <w:rPr>
          <w:rFonts w:ascii="宋体" w:hAnsi="宋体" w:cs="宋体"/>
        </w:rPr>
        <w:t> </w:t>
      </w:r>
    </w:p>
    <w:p w14:paraId="11F77D96">
      <w:pPr>
        <w:pBdr>
          <w:top w:val="none" w:color="000000" w:sz="0" w:space="0"/>
          <w:left w:val="none" w:color="000000" w:sz="0" w:space="0"/>
          <w:bottom w:val="none" w:color="000000" w:sz="0" w:space="0"/>
          <w:right w:val="none" w:color="000000" w:sz="0" w:space="0"/>
        </w:pBdr>
      </w:pPr>
      <w:r>
        <w:rPr>
          <w:rFonts w:ascii="宋体" w:hAnsi="宋体" w:cs="宋体"/>
        </w:rPr>
        <w:t> </w:t>
      </w:r>
    </w:p>
    <w:p w14:paraId="68FF9E83">
      <w:pPr>
        <w:pBdr>
          <w:top w:val="none" w:color="000000" w:sz="0" w:space="0"/>
          <w:left w:val="none" w:color="000000" w:sz="0" w:space="0"/>
          <w:bottom w:val="none" w:color="000000" w:sz="0" w:space="0"/>
          <w:right w:val="none" w:color="000000" w:sz="0" w:space="0"/>
        </w:pBdr>
      </w:pPr>
      <w:r>
        <w:rPr>
          <w:rFonts w:ascii="宋体" w:hAnsi="宋体" w:cs="宋体"/>
        </w:rPr>
        <w:t> </w:t>
      </w:r>
    </w:p>
    <w:p w14:paraId="1E116CB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rPr>
        <w:t>参加政府采购活动前 3 年内在经营活动中没有重大违法记录的书面声明</w:t>
      </w:r>
    </w:p>
    <w:p w14:paraId="72ADEEE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44"/>
        </w:rPr>
        <w:t>声明</w:t>
      </w:r>
    </w:p>
    <w:p w14:paraId="2172D1C7">
      <w:pPr>
        <w:pBdr>
          <w:top w:val="none" w:color="000000" w:sz="0" w:space="0"/>
          <w:left w:val="none" w:color="000000" w:sz="0" w:space="0"/>
          <w:bottom w:val="none" w:color="000000" w:sz="0" w:space="0"/>
          <w:right w:val="none" w:color="000000" w:sz="0" w:space="0"/>
        </w:pBdr>
        <w:spacing w:line="360" w:lineRule="auto"/>
        <w:ind w:firstLine="480" w:firstLineChars="200"/>
      </w:pPr>
      <w:r>
        <w:rPr>
          <w:rFonts w:ascii="宋体" w:hAnsi="宋体" w:cs="宋体"/>
          <w:sz w:val="24"/>
        </w:rPr>
        <w:t>我公司郑重声明：参加本次政府采购活动前 3 年内，我公司在经营活动中没有因违法经营受到刑事处罚或者责令停产停业、吊销许可证或者执照、较大数额罚款等行政处罚。</w:t>
      </w:r>
    </w:p>
    <w:p w14:paraId="17F3E0C5">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供应商名称（公章）：</w:t>
      </w:r>
    </w:p>
    <w:p w14:paraId="696FC760">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p w14:paraId="01B25C2C">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日期：</w:t>
      </w:r>
      <w:r>
        <w:rPr>
          <w:rFonts w:ascii="宋体" w:hAnsi="宋体" w:cs="宋体"/>
          <w:sz w:val="24"/>
          <w:u w:val="single"/>
        </w:rPr>
        <w:t>     </w:t>
      </w:r>
      <w:r>
        <w:rPr>
          <w:rFonts w:ascii="宋体" w:hAnsi="宋体" w:cs="宋体"/>
          <w:sz w:val="24"/>
        </w:rPr>
        <w:t>年</w:t>
      </w:r>
      <w:r>
        <w:rPr>
          <w:rFonts w:ascii="宋体" w:hAnsi="宋体" w:cs="宋体"/>
          <w:sz w:val="24"/>
          <w:u w:val="single"/>
        </w:rPr>
        <w:t>    </w:t>
      </w:r>
      <w:r>
        <w:rPr>
          <w:rFonts w:ascii="宋体" w:hAnsi="宋体" w:cs="宋体"/>
          <w:sz w:val="24"/>
        </w:rPr>
        <w:t>月</w:t>
      </w:r>
      <w:r>
        <w:rPr>
          <w:rFonts w:ascii="宋体" w:hAnsi="宋体" w:cs="宋体"/>
          <w:sz w:val="24"/>
          <w:u w:val="single"/>
        </w:rPr>
        <w:t>    </w:t>
      </w:r>
      <w:r>
        <w:rPr>
          <w:rFonts w:ascii="宋体" w:hAnsi="宋体" w:cs="宋体"/>
          <w:sz w:val="24"/>
        </w:rPr>
        <w:t>日</w:t>
      </w:r>
    </w:p>
    <w:p w14:paraId="424CE591">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5162B763">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2CF9A4D8">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395B57E6">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306CB223">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1BBFCABB">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0A5E85E6">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360AB2B5">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75B7747D">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5F7AEB9B">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0BF75039">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4B1BE47B">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406102DC">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4AB8EA9F">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65B11DBC">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02FF438E">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3930AB40">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6452BC1D">
      <w:pPr>
        <w:pStyle w:val="7"/>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69C8B3CD">
      <w:pPr>
        <w:pStyle w:val="7"/>
        <w:pBdr>
          <w:top w:val="none" w:color="000000" w:sz="0" w:space="0"/>
          <w:left w:val="none" w:color="000000" w:sz="0" w:space="0"/>
          <w:bottom w:val="none" w:color="000000" w:sz="0" w:space="0"/>
          <w:right w:val="none" w:color="000000" w:sz="0" w:space="0"/>
        </w:pBdr>
        <w:spacing w:before="260" w:after="260" w:line="360" w:lineRule="auto"/>
        <w:jc w:val="center"/>
      </w:pPr>
      <w:r>
        <w:rPr>
          <w:rFonts w:ascii="宋体" w:hAnsi="宋体" w:eastAsia="宋体" w:cs="宋体"/>
          <w:b/>
          <w:sz w:val="24"/>
        </w:rPr>
        <w:t>法人授权书</w:t>
      </w:r>
    </w:p>
    <w:p w14:paraId="3C4ACE8C">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cs="宋体"/>
          <w:sz w:val="24"/>
        </w:rPr>
        <w:t>本授权书声明：</w:t>
      </w:r>
      <w:r>
        <w:rPr>
          <w:rFonts w:ascii="宋体" w:hAnsi="宋体" w:cs="宋体"/>
          <w:sz w:val="24"/>
          <w:u w:val="single"/>
        </w:rPr>
        <w:t>       </w:t>
      </w:r>
      <w:r>
        <w:rPr>
          <w:rFonts w:ascii="宋体" w:hAnsi="宋体" w:cs="宋体"/>
          <w:sz w:val="24"/>
        </w:rPr>
        <w:t>（供应商名称）授权</w:t>
      </w:r>
      <w:r>
        <w:rPr>
          <w:rFonts w:ascii="宋体" w:hAnsi="宋体" w:cs="宋体"/>
          <w:sz w:val="24"/>
          <w:u w:val="single"/>
        </w:rPr>
        <w:t>    </w:t>
      </w:r>
      <w:r>
        <w:rPr>
          <w:rFonts w:ascii="宋体" w:hAnsi="宋体" w:cs="宋体"/>
          <w:sz w:val="24"/>
        </w:rPr>
        <w:t>（被授权人的姓名）为我方就</w:t>
      </w:r>
      <w:r>
        <w:rPr>
          <w:rFonts w:ascii="宋体" w:hAnsi="宋体" w:cs="宋体"/>
          <w:sz w:val="24"/>
          <w:u w:val="single"/>
        </w:rPr>
        <w:t>                </w:t>
      </w:r>
      <w:r>
        <w:rPr>
          <w:rFonts w:ascii="宋体" w:hAnsi="宋体" w:cs="宋体"/>
          <w:sz w:val="24"/>
        </w:rPr>
        <w:t>项目采购活动的合法代理人，以本公司名义全权处理一切与该项目采购有关的事务。</w:t>
      </w:r>
    </w:p>
    <w:p w14:paraId="22D6E562">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cs="宋体"/>
          <w:sz w:val="24"/>
        </w:rPr>
        <w:t>本授权书于</w:t>
      </w:r>
      <w:r>
        <w:rPr>
          <w:rFonts w:eastAsia="Times New Roman"/>
          <w:sz w:val="24"/>
        </w:rPr>
        <w:t>______</w:t>
      </w:r>
      <w:r>
        <w:rPr>
          <w:rFonts w:ascii="宋体" w:hAnsi="宋体" w:cs="宋体"/>
          <w:sz w:val="24"/>
        </w:rPr>
        <w:t>年</w:t>
      </w:r>
      <w:r>
        <w:rPr>
          <w:rFonts w:eastAsia="Times New Roman"/>
          <w:sz w:val="24"/>
        </w:rPr>
        <w:t>____</w:t>
      </w:r>
      <w:r>
        <w:rPr>
          <w:rFonts w:ascii="宋体" w:hAnsi="宋体" w:cs="宋体"/>
          <w:sz w:val="24"/>
        </w:rPr>
        <w:t>月</w:t>
      </w:r>
      <w:r>
        <w:rPr>
          <w:rFonts w:eastAsia="Times New Roman"/>
          <w:sz w:val="24"/>
        </w:rPr>
        <w:t>____</w:t>
      </w:r>
      <w:r>
        <w:rPr>
          <w:rFonts w:ascii="宋体" w:hAnsi="宋体" w:cs="宋体"/>
          <w:sz w:val="24"/>
        </w:rPr>
        <w:t>日起生效，特此声明。</w:t>
      </w:r>
    </w:p>
    <w:p w14:paraId="32465ED6">
      <w:pPr>
        <w:pBdr>
          <w:top w:val="none" w:color="000000" w:sz="0" w:space="0"/>
          <w:left w:val="none" w:color="000000" w:sz="0" w:space="0"/>
          <w:bottom w:val="none" w:color="000000" w:sz="0" w:space="0"/>
          <w:right w:val="none" w:color="000000" w:sz="0" w:space="0"/>
        </w:pBdr>
        <w:spacing w:before="240" w:after="240" w:line="360" w:lineRule="auto"/>
      </w:pPr>
      <w:r>
        <w:rPr>
          <w:rFonts w:ascii="宋体" w:hAnsi="宋体" w:cs="宋体"/>
          <w:sz w:val="24"/>
        </w:rPr>
        <w:t> 代理人（被授权人）：</w:t>
      </w:r>
      <w:r>
        <w:rPr>
          <w:rFonts w:ascii="宋体" w:hAnsi="宋体" w:cs="宋体"/>
          <w:sz w:val="24"/>
          <w:u w:val="single"/>
        </w:rPr>
        <w:t>                   </w:t>
      </w:r>
    </w:p>
    <w:p w14:paraId="32558585">
      <w:pPr>
        <w:pBdr>
          <w:top w:val="none" w:color="000000" w:sz="0" w:space="0"/>
          <w:left w:val="none" w:color="000000" w:sz="0" w:space="0"/>
          <w:bottom w:val="none" w:color="000000" w:sz="0" w:space="0"/>
          <w:right w:val="none" w:color="000000" w:sz="0" w:space="0"/>
        </w:pBdr>
        <w:spacing w:before="240" w:after="240" w:line="360" w:lineRule="auto"/>
      </w:pPr>
      <w:r>
        <w:rPr>
          <w:rFonts w:ascii="宋体" w:hAnsi="宋体" w:cs="宋体"/>
          <w:sz w:val="24"/>
        </w:rPr>
        <w:t> 单位名称：</w:t>
      </w:r>
      <w:r>
        <w:rPr>
          <w:rFonts w:ascii="宋体" w:hAnsi="宋体" w:cs="宋体"/>
          <w:sz w:val="24"/>
          <w:u w:val="single"/>
        </w:rPr>
        <w:t>                 </w:t>
      </w:r>
    </w:p>
    <w:p w14:paraId="5E9EEB2D">
      <w:pPr>
        <w:pBdr>
          <w:top w:val="none" w:color="000000" w:sz="0" w:space="0"/>
          <w:left w:val="none" w:color="000000" w:sz="0" w:space="0"/>
          <w:bottom w:val="none" w:color="000000" w:sz="0" w:space="0"/>
          <w:right w:val="none" w:color="000000" w:sz="0" w:space="0"/>
        </w:pBdr>
        <w:spacing w:before="240" w:after="240" w:line="360" w:lineRule="auto"/>
      </w:pPr>
      <w:r>
        <w:rPr>
          <w:rFonts w:ascii="宋体" w:hAnsi="宋体" w:cs="宋体"/>
          <w:sz w:val="24"/>
        </w:rPr>
        <w:t> 授权单位盖章：</w:t>
      </w:r>
      <w:r>
        <w:rPr>
          <w:rFonts w:ascii="宋体" w:hAnsi="宋体" w:cs="宋体"/>
          <w:sz w:val="24"/>
          <w:u w:val="single"/>
        </w:rPr>
        <w:t>                  </w:t>
      </w:r>
    </w:p>
    <w:p w14:paraId="1D2D3EAE">
      <w:pPr>
        <w:pBdr>
          <w:top w:val="none" w:color="000000" w:sz="0" w:space="0"/>
          <w:left w:val="none" w:color="000000" w:sz="0" w:space="0"/>
          <w:bottom w:val="none" w:color="000000" w:sz="0" w:space="0"/>
          <w:right w:val="none" w:color="000000" w:sz="0" w:space="0"/>
        </w:pBdr>
        <w:spacing w:before="240" w:after="240" w:line="360" w:lineRule="auto"/>
        <w:ind w:firstLine="240" w:firstLineChars="100"/>
      </w:pPr>
      <w:r>
        <w:rPr>
          <w:rFonts w:ascii="宋体" w:hAnsi="宋体" w:cs="宋体"/>
          <w:sz w:val="24"/>
        </w:rPr>
        <w:t>单位名称：</w:t>
      </w:r>
      <w:r>
        <w:rPr>
          <w:rFonts w:ascii="宋体" w:hAnsi="宋体" w:cs="宋体"/>
          <w:sz w:val="24"/>
          <w:u w:val="single"/>
        </w:rPr>
        <w:t>               </w:t>
      </w:r>
    </w:p>
    <w:p w14:paraId="584E7EC8">
      <w:pPr>
        <w:pBdr>
          <w:top w:val="none" w:color="000000" w:sz="0" w:space="0"/>
          <w:left w:val="none" w:color="000000" w:sz="0" w:space="0"/>
          <w:bottom w:val="none" w:color="000000" w:sz="0" w:space="0"/>
          <w:right w:val="none" w:color="000000" w:sz="0" w:space="0"/>
        </w:pBdr>
        <w:spacing w:before="240" w:after="240" w:line="360" w:lineRule="auto"/>
        <w:ind w:firstLine="240" w:firstLineChars="100"/>
      </w:pPr>
      <w:r>
        <w:rPr>
          <w:rFonts w:ascii="宋体" w:hAnsi="宋体" w:cs="宋体"/>
          <w:sz w:val="24"/>
        </w:rPr>
        <w:t>地址：</w:t>
      </w:r>
      <w:r>
        <w:rPr>
          <w:rFonts w:ascii="宋体" w:hAnsi="宋体" w:cs="宋体"/>
          <w:sz w:val="24"/>
          <w:u w:val="single"/>
        </w:rPr>
        <w:t>                  </w:t>
      </w:r>
    </w:p>
    <w:p w14:paraId="2AC3C107">
      <w:pPr>
        <w:pBdr>
          <w:top w:val="none" w:color="000000" w:sz="0" w:space="0"/>
          <w:left w:val="none" w:color="000000" w:sz="0" w:space="0"/>
          <w:bottom w:val="none" w:color="000000" w:sz="0" w:space="0"/>
          <w:right w:val="none" w:color="000000" w:sz="0" w:space="0"/>
        </w:pBdr>
        <w:spacing w:before="240" w:after="240" w:line="360" w:lineRule="auto"/>
        <w:ind w:firstLine="240" w:firstLineChars="100"/>
      </w:pPr>
      <w:r>
        <w:rPr>
          <w:rFonts w:hint="eastAsia" w:ascii="宋体" w:hAnsi="宋体" w:cs="宋体"/>
          <w:sz w:val="24"/>
        </w:rPr>
        <w:t>日</w:t>
      </w:r>
      <w:r>
        <w:rPr>
          <w:rFonts w:ascii="宋体" w:hAnsi="宋体" w:cs="宋体"/>
          <w:sz w:val="24"/>
        </w:rPr>
        <w:t>期：</w:t>
      </w:r>
      <w:r>
        <w:rPr>
          <w:rFonts w:ascii="宋体" w:hAnsi="宋体" w:cs="宋体"/>
          <w:sz w:val="24"/>
          <w:u w:val="single"/>
        </w:rPr>
        <w:t>   </w:t>
      </w:r>
      <w:r>
        <w:rPr>
          <w:rFonts w:ascii="宋体" w:hAnsi="宋体" w:cs="宋体"/>
          <w:sz w:val="24"/>
        </w:rPr>
        <w:t>               </w:t>
      </w:r>
    </w:p>
    <w:p w14:paraId="26575843">
      <w:pPr>
        <w:pStyle w:val="7"/>
        <w:pBdr>
          <w:top w:val="none" w:color="000000" w:sz="0" w:space="0"/>
          <w:left w:val="none" w:color="000000" w:sz="0" w:space="0"/>
          <w:bottom w:val="none" w:color="000000" w:sz="0" w:space="0"/>
          <w:right w:val="none" w:color="000000" w:sz="0" w:space="0"/>
        </w:pBdr>
        <w:spacing w:before="260" w:after="260" w:line="360" w:lineRule="auto"/>
      </w:pPr>
      <w:r>
        <w:rPr>
          <w:rFonts w:ascii="宋体" w:hAnsi="宋体" w:eastAsia="宋体" w:cs="宋体"/>
          <w:b/>
          <w:sz w:val="32"/>
        </w:rPr>
        <w:t> </w:t>
      </w:r>
    </w:p>
    <w:p w14:paraId="03E0D7C8">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0B57DC3C">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00D72D59">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05EEC513">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1D7B12C6">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5B7C7157">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3860F1E8">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1E56088C">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106236D2">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301B6A31">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7B3DD044">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61BDFDE1">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0B914599">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69ADD4DD">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53A1DF8A">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1360340F">
      <w:pPr>
        <w:pBdr>
          <w:top w:val="none" w:color="000000" w:sz="0" w:space="0"/>
          <w:left w:val="none" w:color="000000" w:sz="0" w:space="0"/>
          <w:bottom w:val="none" w:color="000000" w:sz="0" w:space="0"/>
          <w:right w:val="none" w:color="000000" w:sz="0" w:space="0"/>
        </w:pBdr>
        <w:spacing w:before="50" w:after="50"/>
        <w:jc w:val="center"/>
      </w:pPr>
      <w:r>
        <w:rPr/>
        <w:br w:type="page" w:clear="all"/>
      </w:r>
    </w:p>
    <w:p w14:paraId="05A06816">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二、资格性审查响应对照表（格式）</w:t>
      </w:r>
    </w:p>
    <w:p w14:paraId="5F004894">
      <w:pPr>
        <w:pBdr>
          <w:top w:val="none" w:color="000000" w:sz="0" w:space="0"/>
          <w:left w:val="none" w:color="000000" w:sz="0" w:space="0"/>
          <w:bottom w:val="none" w:color="000000" w:sz="0" w:space="0"/>
          <w:right w:val="none" w:color="000000" w:sz="0" w:space="0"/>
        </w:pBdr>
        <w:spacing w:line="360" w:lineRule="auto"/>
        <w:ind w:firstLine="309"/>
      </w:pPr>
      <w:r>
        <w:rPr>
          <w:rFonts w:ascii="宋体" w:hAnsi="宋体" w:cs="宋体"/>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69"/>
        <w:gridCol w:w="5050"/>
        <w:gridCol w:w="1566"/>
        <w:gridCol w:w="1663"/>
      </w:tblGrid>
      <w:tr w14:paraId="1D0A40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63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DCC033">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序号</w:t>
            </w:r>
          </w:p>
        </w:tc>
        <w:tc>
          <w:tcPr>
            <w:tcW w:w="533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5A1C9F">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资格性审查响应内容</w:t>
            </w:r>
          </w:p>
        </w:tc>
        <w:tc>
          <w:tcPr>
            <w:tcW w:w="164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CB114D">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是否响应</w:t>
            </w:r>
          </w:p>
          <w:p w14:paraId="293A7313">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（填是或者否）</w:t>
            </w:r>
          </w:p>
        </w:tc>
        <w:tc>
          <w:tcPr>
            <w:tcW w:w="174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820146">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投标文件中的</w:t>
            </w:r>
          </w:p>
          <w:p w14:paraId="1D45F630">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页码位置</w:t>
            </w:r>
          </w:p>
        </w:tc>
      </w:tr>
      <w:tr w14:paraId="7FA836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4E37A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rPr>
              <w:t>1</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ECE74B">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DA2F31">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7DCDBD">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 </w:t>
            </w:r>
          </w:p>
        </w:tc>
      </w:tr>
      <w:tr w14:paraId="33D932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986CD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2</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A727D2">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B076E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D467F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605B6D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2576B2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3</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9C8233">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BC7A2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CEDE17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BC632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821A7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4</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5C12E4">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1FD65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396F67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4764C4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79"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1BE67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5</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54DEAF">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3CE1D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F9A469">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52E713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986DDB">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6</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0861D6">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41A07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E5873A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A86F4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B605DB7">
            <w:pPr>
              <w:pStyle w:val="30"/>
              <w:spacing w:beforeAutospacing="0" w:afterAutospacing="0" w:line="0" w:lineRule="atLeast"/>
              <w:jc w:val="center"/>
            </w:pPr>
            <w:r>
              <w:rPr>
                <w:rFonts w:hint="eastAsia"/>
              </w:rPr>
              <w:t>……</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2997FCD">
            <w:pPr>
              <w:pStyle w:val="30"/>
              <w:spacing w:beforeAutospacing="0" w:afterAutospacing="0" w:line="0" w:lineRule="atLeast"/>
              <w:jc w:val="center"/>
            </w:pPr>
            <w:r>
              <w:rPr>
                <w:rFonts w:hint="eastAsia"/>
              </w:rPr>
              <w:t>……</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DD1F0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B4673D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bl>
    <w:p w14:paraId="3F2A5656">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20432265">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277FA707">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3807E62F">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36D40748">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30821A95">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585A8DB7">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32"/>
        </w:rPr>
        <w:t> </w:t>
      </w:r>
    </w:p>
    <w:p w14:paraId="0C6E71DC">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632AC06E">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三、符合性检查响应对照表（格式）</w:t>
      </w:r>
    </w:p>
    <w:p w14:paraId="3F18F7E5">
      <w:pPr>
        <w:pBdr>
          <w:top w:val="none" w:color="000000" w:sz="0" w:space="0"/>
          <w:left w:val="none" w:color="000000" w:sz="0" w:space="0"/>
          <w:bottom w:val="none" w:color="000000" w:sz="0" w:space="0"/>
          <w:right w:val="none" w:color="000000" w:sz="0" w:space="0"/>
        </w:pBdr>
        <w:spacing w:line="360" w:lineRule="auto"/>
        <w:ind w:firstLine="309"/>
      </w:pPr>
      <w:r>
        <w:rPr>
          <w:rFonts w:ascii="宋体" w:hAnsi="宋体" w:cs="宋体"/>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69"/>
        <w:gridCol w:w="5050"/>
        <w:gridCol w:w="1566"/>
        <w:gridCol w:w="1663"/>
      </w:tblGrid>
      <w:tr w14:paraId="4C5B98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63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7C896D8">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序号</w:t>
            </w:r>
          </w:p>
        </w:tc>
        <w:tc>
          <w:tcPr>
            <w:tcW w:w="533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B2BC70">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符合性检查响应内容</w:t>
            </w:r>
          </w:p>
        </w:tc>
        <w:tc>
          <w:tcPr>
            <w:tcW w:w="164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AE084B">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是否响应</w:t>
            </w:r>
          </w:p>
          <w:p w14:paraId="1609F66A">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（填是或者否）</w:t>
            </w:r>
          </w:p>
        </w:tc>
        <w:tc>
          <w:tcPr>
            <w:tcW w:w="174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74FCC23">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投标文件中的</w:t>
            </w:r>
          </w:p>
          <w:p w14:paraId="77E2E785">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页码位置</w:t>
            </w:r>
          </w:p>
        </w:tc>
      </w:tr>
      <w:tr w14:paraId="618388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649B9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rPr>
              <w:t>1</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ABB12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DB989A">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F52FD4">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 </w:t>
            </w:r>
          </w:p>
        </w:tc>
      </w:tr>
      <w:tr w14:paraId="504C15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9D7A6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2</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DD447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3ACC4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495582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0233E6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12199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3</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EAFCD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1A38D1">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1B7EE5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4AF7C6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9"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57A0A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4</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31E1A5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CB8D3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70B984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4D9CB4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2"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34ADF2">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5</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06CCB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AF8E9BD">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BF444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AC3D2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D0936C">
            <w:pPr>
              <w:pStyle w:val="30"/>
              <w:spacing w:beforeAutospacing="0" w:afterAutospacing="0" w:line="0" w:lineRule="atLeast"/>
              <w:jc w:val="center"/>
            </w:pPr>
            <w:r>
              <w:rPr>
                <w:rFonts w:hint="eastAsia"/>
              </w:rPr>
              <w:t>……</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98ED0A">
            <w:pPr>
              <w:pStyle w:val="30"/>
              <w:spacing w:beforeAutospacing="0" w:afterAutospacing="0" w:line="0" w:lineRule="atLeast"/>
              <w:jc w:val="center"/>
            </w:pPr>
            <w:r>
              <w:rPr>
                <w:rFonts w:hint="eastAsia"/>
              </w:rPr>
              <w:t>……</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9E6D0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6ED9F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1858C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2B5B66">
            <w:pPr>
              <w:pBdr>
                <w:top w:val="none" w:color="000000" w:sz="0" w:space="0"/>
                <w:left w:val="none" w:color="000000" w:sz="0" w:space="0"/>
                <w:bottom w:val="none" w:color="000000" w:sz="0" w:space="0"/>
                <w:right w:val="none" w:color="000000" w:sz="0" w:space="0"/>
              </w:pBdr>
              <w:spacing w:line="360" w:lineRule="auto"/>
              <w:jc w:val="center"/>
            </w:pP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8E7E5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招标文件中的其他实质性要求</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E83AEC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43B6DF">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bl>
    <w:p w14:paraId="5638DC67">
      <w:pPr>
        <w:pBdr>
          <w:top w:val="none" w:color="000000" w:sz="0" w:space="0"/>
          <w:left w:val="none" w:color="000000" w:sz="0" w:space="0"/>
          <w:bottom w:val="none" w:color="000000" w:sz="0" w:space="0"/>
          <w:right w:val="none" w:color="000000" w:sz="0" w:space="0"/>
        </w:pBdr>
        <w:spacing w:before="50" w:after="50" w:line="360" w:lineRule="auto"/>
      </w:pPr>
      <w:r>
        <w:rPr>
          <w:rFonts w:ascii="黑体" w:hAnsi="黑体" w:eastAsia="黑体" w:cs="黑体"/>
          <w:sz w:val="44"/>
        </w:rPr>
        <w:t> </w:t>
      </w:r>
    </w:p>
    <w:p w14:paraId="3FCADCC3">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011F4FC6">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682773C7">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2ACABC50">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32"/>
        </w:rPr>
        <w:t>           </w:t>
      </w:r>
    </w:p>
    <w:p w14:paraId="1510C7CE">
      <w:pPr>
        <w:pBdr>
          <w:top w:val="none" w:color="000000" w:sz="0" w:space="0"/>
          <w:left w:val="none" w:color="000000" w:sz="0" w:space="0"/>
          <w:bottom w:val="none" w:color="000000" w:sz="0" w:space="0"/>
          <w:right w:val="none" w:color="000000" w:sz="0" w:space="0"/>
        </w:pBdr>
        <w:spacing w:before="50" w:after="50"/>
      </w:pPr>
      <w:r>
        <w:rPr>
          <w:rFonts w:ascii="宋体" w:hAnsi="宋体" w:cs="宋体"/>
          <w:sz w:val="24"/>
        </w:rPr>
        <w:t> </w:t>
      </w:r>
    </w:p>
    <w:p w14:paraId="21A7F7AB">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07745595">
      <w:pPr>
        <w:pBdr>
          <w:top w:val="none" w:color="000000" w:sz="0" w:space="0"/>
          <w:left w:val="none" w:color="000000" w:sz="0" w:space="0"/>
          <w:bottom w:val="none" w:color="000000" w:sz="0" w:space="0"/>
          <w:right w:val="none" w:color="000000" w:sz="0" w:space="0"/>
        </w:pBdr>
        <w:spacing w:line="450" w:lineRule="atLeast"/>
        <w:ind w:firstLine="600"/>
      </w:pPr>
      <w:r>
        <w:rPr>
          <w:rFonts w:ascii="仿宋" w:hAnsi="仿宋" w:eastAsia="仿宋" w:cs="仿宋"/>
          <w:sz w:val="30"/>
        </w:rPr>
        <w:t> </w:t>
      </w:r>
    </w:p>
    <w:p w14:paraId="22F808EB">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3629BE02">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3577F754">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四、投标函（格式）</w:t>
      </w:r>
    </w:p>
    <w:p w14:paraId="350C2B8F">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致：盐城大丰区卫生健康委员会</w:t>
      </w:r>
    </w:p>
    <w:p w14:paraId="19EB8A6D">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根据贵方的</w:t>
      </w:r>
      <w:r>
        <w:rPr>
          <w:rFonts w:ascii="宋体" w:hAnsi="宋体" w:cs="宋体"/>
          <w:b/>
          <w:u w:val="single"/>
        </w:rPr>
        <w:t>         </w:t>
      </w:r>
      <w:r>
        <w:rPr>
          <w:rFonts w:ascii="宋体" w:hAnsi="宋体" w:cs="宋体"/>
        </w:rPr>
        <w:t>招标文件，正式授权下述签字人__________(姓名)代表我方______________（投标人的名称），全权处理本次项目投标的有关事宜。</w:t>
      </w:r>
    </w:p>
    <w:p w14:paraId="5E6C53EC">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据此函，__________签字人兹宣布同意如下：</w:t>
      </w:r>
    </w:p>
    <w:p w14:paraId="46A2D29C">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1.按招标文件规定的各项要求，向买方提供所需货物与服务。</w:t>
      </w:r>
    </w:p>
    <w:p w14:paraId="3390A725">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2.我们完全理解贵方不一定将合同授予最低报价的投标人。</w:t>
      </w:r>
    </w:p>
    <w:p w14:paraId="3195C917">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3.我们已详细审核全部招标文件及其有效补充文件，我们知道必须放弃提出含糊不清或误解问题的权利。</w:t>
      </w:r>
    </w:p>
    <w:p w14:paraId="1295F59D">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4.我们同意从规定的开标日期起遵循本投标文件，并在规定的投标有效期期满之前均具有约束力。</w:t>
      </w:r>
    </w:p>
    <w:p w14:paraId="14814430">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5.如果在开标后规定的投标有效期内撤回投标或中标后拒绝签订合同，则按照国家相关法律法规受到相应处罚。</w:t>
      </w:r>
    </w:p>
    <w:p w14:paraId="30C68112">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6.同意向贵方提供贵方可能另外要求的与投标有关的任何证据或资料，并保证我方已提供和将要提供的文件是真实的、准确的。</w:t>
      </w:r>
    </w:p>
    <w:p w14:paraId="275F7B02">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7.一旦我方中标,我方将根据招标文件的规定，严格履行合同的责任和义务,并保证在招标文件规定的时间完成项目，交付买方验收、使用。</w:t>
      </w:r>
    </w:p>
    <w:p w14:paraId="32D04CB6">
      <w:pPr>
        <w:pBdr>
          <w:top w:val="none" w:color="000000" w:sz="0" w:space="0"/>
          <w:left w:val="none" w:color="000000" w:sz="0" w:space="0"/>
          <w:bottom w:val="none" w:color="000000" w:sz="0" w:space="0"/>
          <w:right w:val="none" w:color="000000" w:sz="0" w:space="0"/>
        </w:pBdr>
        <w:spacing w:line="360" w:lineRule="auto"/>
        <w:ind w:left="425"/>
      </w:pPr>
      <w:r>
        <w:rPr>
          <w:rFonts w:ascii="宋体" w:hAnsi="宋体" w:cs="宋体"/>
        </w:rPr>
        <w:t>8.与本投标有关的正式通讯地址为：</w:t>
      </w:r>
    </w:p>
    <w:p w14:paraId="56F2C47F">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地址：</w:t>
      </w:r>
    </w:p>
    <w:p w14:paraId="725CA4BD">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邮编：</w:t>
      </w:r>
    </w:p>
    <w:p w14:paraId="49B8B6FA">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电话：</w:t>
      </w:r>
    </w:p>
    <w:p w14:paraId="47E929DB">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传真：</w:t>
      </w:r>
    </w:p>
    <w:p w14:paraId="08858AFF">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投标人开户行：</w:t>
      </w:r>
    </w:p>
    <w:p w14:paraId="389422F5">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 xml:space="preserve">账户：  </w:t>
      </w:r>
    </w:p>
    <w:p w14:paraId="4C6F5220">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 xml:space="preserve">投标人名称（公章）： </w:t>
      </w:r>
    </w:p>
    <w:p w14:paraId="1D968FC4">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日期：________年____月____日</w:t>
      </w:r>
    </w:p>
    <w:p w14:paraId="40D8886D">
      <w:pPr>
        <w:pBdr>
          <w:top w:val="none" w:color="000000" w:sz="0" w:space="0"/>
          <w:left w:val="none" w:color="000000" w:sz="0" w:space="0"/>
          <w:bottom w:val="none" w:color="000000" w:sz="0" w:space="0"/>
          <w:right w:val="none" w:color="000000" w:sz="0" w:space="0"/>
        </w:pBdr>
        <w:spacing w:before="50" w:after="145"/>
      </w:pPr>
      <w:r>
        <w:rPr>
          <w:rFonts w:ascii="黑体" w:hAnsi="黑体" w:eastAsia="黑体" w:cs="黑体"/>
          <w:sz w:val="44"/>
        </w:rPr>
        <w:t>          </w:t>
      </w:r>
    </w:p>
    <w:p w14:paraId="4420CC77">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7FBA5200">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003BE80">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3DA5EF7C">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五、开标一览表（格式）</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902"/>
        <w:gridCol w:w="6046"/>
      </w:tblGrid>
      <w:tr w14:paraId="507C8CF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trPr>
        <w:tc>
          <w:tcPr>
            <w:tcW w:w="290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60A24C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项 目 编 号</w:t>
            </w:r>
          </w:p>
        </w:tc>
        <w:tc>
          <w:tcPr>
            <w:tcW w:w="604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DB2D4B">
            <w:pPr>
              <w:pBdr>
                <w:top w:val="none" w:color="000000" w:sz="0" w:space="0"/>
                <w:left w:val="none" w:color="000000" w:sz="0" w:space="0"/>
                <w:bottom w:val="none" w:color="000000" w:sz="0" w:space="0"/>
                <w:right w:val="none" w:color="000000" w:sz="0" w:space="0"/>
              </w:pBdr>
              <w:spacing w:before="200" w:after="200" w:line="360" w:lineRule="auto"/>
              <w:ind w:firstLine="689"/>
            </w:pPr>
            <w:r>
              <w:rPr>
                <w:rFonts w:ascii="宋体" w:hAnsi="宋体" w:cs="宋体"/>
                <w:b/>
                <w:sz w:val="28"/>
              </w:rPr>
              <w:t> </w:t>
            </w:r>
          </w:p>
        </w:tc>
      </w:tr>
      <w:tr w14:paraId="44E96A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trPr>
        <w:tc>
          <w:tcPr>
            <w:tcW w:w="290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AD2F0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项 目 名 称</w:t>
            </w:r>
          </w:p>
        </w:tc>
        <w:tc>
          <w:tcPr>
            <w:tcW w:w="60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2CF5A2">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cs="宋体"/>
              </w:rPr>
              <w:t> </w:t>
            </w:r>
          </w:p>
        </w:tc>
      </w:tr>
      <w:tr w14:paraId="1A2BA9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trPr>
        <w:tc>
          <w:tcPr>
            <w:tcW w:w="290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53ACF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投标产品品牌及型号</w:t>
            </w:r>
            <w:r>
              <w:rPr>
                <w:rFonts w:hint="eastAsia" w:ascii="宋体" w:hAnsi="宋体" w:cs="宋体"/>
              </w:rPr>
              <w:t>（便携式心电检查设备/数字式心电检查设备/动态心电检查设备）</w:t>
            </w:r>
          </w:p>
        </w:tc>
        <w:tc>
          <w:tcPr>
            <w:tcW w:w="60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4EB9DE">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cs="宋体"/>
              </w:rPr>
              <w:t> </w:t>
            </w:r>
          </w:p>
        </w:tc>
      </w:tr>
      <w:tr w14:paraId="501AE6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9A81B3">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项目投标报价：（大写）</w:t>
            </w:r>
            <w:r>
              <w:rPr>
                <w:rFonts w:ascii="宋体" w:hAnsi="宋体" w:cs="宋体"/>
                <w:b/>
                <w:u w:val="single"/>
              </w:rPr>
              <w:t>     </w:t>
            </w:r>
            <w:r>
              <w:rPr>
                <w:rFonts w:ascii="宋体" w:hAnsi="宋体" w:cs="宋体"/>
                <w:b/>
              </w:rPr>
              <w:t>，小写：</w:t>
            </w:r>
            <w:r>
              <w:rPr>
                <w:rFonts w:ascii="宋体" w:hAnsi="宋体" w:cs="宋体"/>
                <w:b/>
                <w:u w:val="single"/>
              </w:rPr>
              <w:t>         </w:t>
            </w:r>
            <w:r>
              <w:rPr>
                <w:rFonts w:ascii="宋体" w:hAnsi="宋体" w:cs="宋体"/>
                <w:b/>
              </w:rPr>
              <w:t> </w:t>
            </w:r>
          </w:p>
        </w:tc>
      </w:tr>
      <w:tr w14:paraId="1327C3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FFED688">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法定代表人或委托代理人：            联系方式：</w:t>
            </w:r>
          </w:p>
        </w:tc>
      </w:tr>
      <w:tr w14:paraId="40469B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F7488E">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是否提供《企业类型声明函》：</w:t>
            </w:r>
            <w:r>
              <w:rPr>
                <w:rFonts w:ascii="宋体" w:hAnsi="宋体" w:cs="宋体"/>
                <w:b/>
                <w:u w:val="single"/>
              </w:rPr>
              <w:t>  是/否</w:t>
            </w:r>
            <w:r>
              <w:rPr>
                <w:rFonts w:ascii="宋体" w:hAnsi="宋体" w:cs="宋体"/>
                <w:b/>
              </w:rPr>
              <w:t>     见</w:t>
            </w:r>
            <w:r>
              <w:rPr>
                <w:rFonts w:ascii="宋体" w:hAnsi="宋体" w:cs="宋体"/>
                <w:b/>
                <w:u w:val="single"/>
              </w:rPr>
              <w:t>（          ）</w:t>
            </w:r>
            <w:r>
              <w:rPr>
                <w:rFonts w:ascii="宋体" w:hAnsi="宋体" w:cs="宋体"/>
                <w:b/>
              </w:rPr>
              <w:t>页</w:t>
            </w:r>
          </w:p>
        </w:tc>
      </w:tr>
      <w:tr w14:paraId="547870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75BC8D">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合同履行期限：</w:t>
            </w:r>
          </w:p>
        </w:tc>
      </w:tr>
      <w:tr w14:paraId="62239F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A19840">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质保期：</w:t>
            </w:r>
          </w:p>
        </w:tc>
      </w:tr>
    </w:tbl>
    <w:p w14:paraId="17E939C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填写说明：</w:t>
      </w:r>
    </w:p>
    <w:p w14:paraId="27FED379">
      <w:pPr>
        <w:numPr>
          <w:ilvl w:val="0"/>
          <w:numId w:val="11"/>
        </w:num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开标一览表不得填报选择性报价，否则将作为无效投标；</w:t>
      </w:r>
    </w:p>
    <w:p w14:paraId="258ED86D">
      <w:pPr>
        <w:numPr>
          <w:ilvl w:val="0"/>
          <w:numId w:val="11"/>
        </w:num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开标一览表中报价与投标分项明细报价表中不符时时，以开标一览表为准；</w:t>
      </w:r>
    </w:p>
    <w:p w14:paraId="3F6B1634">
      <w:pPr>
        <w:pBdr>
          <w:top w:val="none" w:color="000000" w:sz="0" w:space="0"/>
          <w:left w:val="none" w:color="000000" w:sz="0" w:space="0"/>
          <w:bottom w:val="none" w:color="000000" w:sz="0" w:space="0"/>
          <w:right w:val="none" w:color="000000" w:sz="0" w:space="0"/>
        </w:pBdr>
        <w:spacing w:line="360" w:lineRule="auto"/>
        <w:ind w:firstLine="2640"/>
      </w:pPr>
      <w:r>
        <w:rPr>
          <w:rFonts w:ascii="黑体" w:hAnsi="黑体" w:eastAsia="黑体" w:cs="黑体"/>
          <w:sz w:val="44"/>
        </w:rPr>
        <w:t> </w:t>
      </w:r>
    </w:p>
    <w:p w14:paraId="4B532645">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 </w:t>
      </w:r>
    </w:p>
    <w:p w14:paraId="73BCE2D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 </w:t>
      </w:r>
    </w:p>
    <w:p w14:paraId="246308A6">
      <w:pPr>
        <w:pBdr>
          <w:top w:val="none" w:color="000000" w:sz="0" w:space="0"/>
          <w:left w:val="none" w:color="000000" w:sz="0" w:space="0"/>
          <w:bottom w:val="none" w:color="000000" w:sz="0" w:space="0"/>
          <w:right w:val="none" w:color="000000" w:sz="0" w:space="0"/>
        </w:pBdr>
        <w:spacing w:line="360" w:lineRule="auto"/>
        <w:ind w:firstLine="4080"/>
      </w:pPr>
      <w:r>
        <w:rPr>
          <w:rFonts w:ascii="宋体" w:hAnsi="宋体" w:cs="宋体"/>
          <w:sz w:val="24"/>
        </w:rPr>
        <w:t>供应商名称（公章）：</w:t>
      </w:r>
    </w:p>
    <w:p w14:paraId="6006C378">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                                           日期：</w:t>
      </w:r>
      <w:r>
        <w:rPr>
          <w:rFonts w:ascii="宋体" w:hAnsi="宋体" w:cs="宋体"/>
          <w:sz w:val="24"/>
          <w:u w:val="single"/>
        </w:rPr>
        <w:t>     </w:t>
      </w:r>
      <w:r>
        <w:rPr>
          <w:rFonts w:ascii="宋体" w:hAnsi="宋体" w:cs="宋体"/>
          <w:sz w:val="24"/>
        </w:rPr>
        <w:t>年</w:t>
      </w:r>
      <w:r>
        <w:rPr>
          <w:rFonts w:ascii="宋体" w:hAnsi="宋体" w:cs="宋体"/>
          <w:sz w:val="24"/>
          <w:u w:val="single"/>
        </w:rPr>
        <w:t>   </w:t>
      </w:r>
      <w:r>
        <w:rPr>
          <w:rFonts w:ascii="宋体" w:hAnsi="宋体" w:cs="宋体"/>
          <w:sz w:val="24"/>
        </w:rPr>
        <w:t>月</w:t>
      </w:r>
      <w:r>
        <w:rPr>
          <w:rFonts w:ascii="宋体" w:hAnsi="宋体" w:cs="宋体"/>
          <w:sz w:val="24"/>
          <w:u w:val="single"/>
        </w:rPr>
        <w:t>   </w:t>
      </w:r>
      <w:r>
        <w:rPr>
          <w:rFonts w:ascii="宋体" w:hAnsi="宋体" w:cs="宋体"/>
          <w:sz w:val="24"/>
        </w:rPr>
        <w:t>日</w:t>
      </w:r>
    </w:p>
    <w:p w14:paraId="4F2FA0C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32"/>
        </w:rPr>
        <w:t> </w:t>
      </w:r>
    </w:p>
    <w:p w14:paraId="54D5F322">
      <w:pPr>
        <w:pBdr>
          <w:top w:val="none" w:color="000000" w:sz="0" w:space="0"/>
          <w:left w:val="none" w:color="000000" w:sz="0" w:space="0"/>
          <w:bottom w:val="none" w:color="000000" w:sz="0" w:space="0"/>
          <w:right w:val="none" w:color="000000" w:sz="0" w:space="0"/>
        </w:pBdr>
        <w:jc w:val="center"/>
      </w:pPr>
      <w:r>
        <w:rPr>
          <w:rFonts w:ascii="宋体" w:hAnsi="宋体" w:cs="宋体"/>
          <w:b/>
          <w:sz w:val="32"/>
        </w:rPr>
        <w:t> </w:t>
      </w:r>
    </w:p>
    <w:p w14:paraId="723CC25C">
      <w:pPr>
        <w:pBdr>
          <w:top w:val="none" w:color="000000" w:sz="0" w:space="0"/>
          <w:left w:val="none" w:color="000000" w:sz="0" w:space="0"/>
          <w:bottom w:val="none" w:color="000000" w:sz="0" w:space="0"/>
          <w:right w:val="none" w:color="000000" w:sz="0" w:space="0"/>
        </w:pBdr>
        <w:spacing w:before="50" w:after="50"/>
        <w:jc w:val="center"/>
      </w:pPr>
      <w:r>
        <w:rPr/>
        <w:br w:type="page" w:clear="all"/>
      </w:r>
    </w:p>
    <w:p w14:paraId="3174CF33">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六、投标产品配置及分项报价表（格式）</w:t>
      </w:r>
    </w:p>
    <w:p w14:paraId="73ABE59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p w14:paraId="220C8FC3">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148"/>
        <w:gridCol w:w="1627"/>
        <w:gridCol w:w="1941"/>
        <w:gridCol w:w="1927"/>
      </w:tblGrid>
      <w:tr w14:paraId="19A4DE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7" w:hRule="atLeast"/>
        </w:trPr>
        <w:tc>
          <w:tcPr>
            <w:tcW w:w="314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5C5AD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24"/>
              </w:rPr>
              <w:t>1</w:t>
            </w:r>
          </w:p>
        </w:tc>
        <w:tc>
          <w:tcPr>
            <w:tcW w:w="162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2F629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24"/>
              </w:rPr>
              <w:t>2</w:t>
            </w:r>
          </w:p>
        </w:tc>
        <w:tc>
          <w:tcPr>
            <w:tcW w:w="194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F0954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24"/>
              </w:rPr>
              <w:t>3</w:t>
            </w:r>
          </w:p>
        </w:tc>
        <w:tc>
          <w:tcPr>
            <w:tcW w:w="192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6276D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24"/>
              </w:rPr>
              <w:t>4</w:t>
            </w:r>
          </w:p>
        </w:tc>
      </w:tr>
      <w:tr w14:paraId="00A5C6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DDAC7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货物名称品牌及规格、型号</w:t>
            </w:r>
            <w:r>
              <w:rPr>
                <w:rFonts w:hint="eastAsia" w:ascii="宋体" w:hAnsi="宋体" w:cs="宋体"/>
                <w:sz w:val="24"/>
              </w:rPr>
              <w:t>（</w:t>
            </w:r>
            <w:r>
              <w:rPr>
                <w:rFonts w:hint="eastAsia" w:ascii="宋体" w:hAnsi="宋体" w:cs="宋体"/>
              </w:rPr>
              <w:t>便携式心电检查设备/数字式心电检查设备/动态心电检查设备）</w:t>
            </w: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EFD59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数量</w:t>
            </w: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1525B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单价</w:t>
            </w: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F11F50">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总价</w:t>
            </w:r>
          </w:p>
        </w:tc>
      </w:tr>
      <w:tr w14:paraId="371FF2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0"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99072A">
            <w:pPr>
              <w:pBdr>
                <w:top w:val="none" w:color="000000" w:sz="0" w:space="0"/>
                <w:left w:val="none" w:color="000000" w:sz="0" w:space="0"/>
                <w:bottom w:val="none" w:color="000000" w:sz="0" w:space="0"/>
                <w:right w:val="none" w:color="000000" w:sz="0" w:space="0"/>
              </w:pBdr>
              <w:spacing w:line="360" w:lineRule="auto"/>
              <w:jc w:val="center"/>
            </w:pP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A31D91A">
            <w:pPr>
              <w:pBdr>
                <w:top w:val="none" w:color="000000" w:sz="0" w:space="0"/>
                <w:left w:val="none" w:color="000000" w:sz="0" w:space="0"/>
                <w:bottom w:val="none" w:color="000000" w:sz="0" w:space="0"/>
                <w:right w:val="none" w:color="000000" w:sz="0" w:space="0"/>
              </w:pBdr>
              <w:spacing w:line="360" w:lineRule="auto"/>
              <w:jc w:val="center"/>
            </w:pP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5A9728">
            <w:pPr>
              <w:pBdr>
                <w:top w:val="none" w:color="000000" w:sz="0" w:space="0"/>
                <w:left w:val="none" w:color="000000" w:sz="0" w:space="0"/>
                <w:bottom w:val="none" w:color="000000" w:sz="0" w:space="0"/>
                <w:right w:val="none" w:color="000000" w:sz="0" w:space="0"/>
              </w:pBdr>
              <w:spacing w:line="360" w:lineRule="auto"/>
              <w:jc w:val="center"/>
            </w:pP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F792B59">
            <w:pPr>
              <w:pBdr>
                <w:top w:val="none" w:color="000000" w:sz="0" w:space="0"/>
                <w:left w:val="none" w:color="000000" w:sz="0" w:space="0"/>
                <w:bottom w:val="none" w:color="000000" w:sz="0" w:space="0"/>
                <w:right w:val="none" w:color="000000" w:sz="0" w:space="0"/>
              </w:pBdr>
              <w:spacing w:line="360" w:lineRule="auto"/>
              <w:jc w:val="center"/>
            </w:pPr>
          </w:p>
        </w:tc>
      </w:tr>
      <w:tr w14:paraId="574F28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0"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17EE48A">
            <w:pPr>
              <w:pBdr>
                <w:top w:val="none" w:color="000000" w:sz="0" w:space="0"/>
                <w:left w:val="none" w:color="000000" w:sz="0" w:space="0"/>
                <w:bottom w:val="none" w:color="000000" w:sz="0" w:space="0"/>
                <w:right w:val="none" w:color="000000" w:sz="0" w:space="0"/>
              </w:pBdr>
              <w:spacing w:line="360" w:lineRule="auto"/>
              <w:jc w:val="center"/>
            </w:pP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ABC4B6">
            <w:pPr>
              <w:pBdr>
                <w:top w:val="none" w:color="000000" w:sz="0" w:space="0"/>
                <w:left w:val="none" w:color="000000" w:sz="0" w:space="0"/>
                <w:bottom w:val="none" w:color="000000" w:sz="0" w:space="0"/>
                <w:right w:val="none" w:color="000000" w:sz="0" w:space="0"/>
              </w:pBdr>
              <w:spacing w:line="360" w:lineRule="auto"/>
              <w:jc w:val="center"/>
            </w:pP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3E7E9B">
            <w:pPr>
              <w:pBdr>
                <w:top w:val="none" w:color="000000" w:sz="0" w:space="0"/>
                <w:left w:val="none" w:color="000000" w:sz="0" w:space="0"/>
                <w:bottom w:val="none" w:color="000000" w:sz="0" w:space="0"/>
                <w:right w:val="none" w:color="000000" w:sz="0" w:space="0"/>
              </w:pBdr>
              <w:spacing w:line="360" w:lineRule="auto"/>
              <w:jc w:val="center"/>
            </w:pP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F77750">
            <w:pPr>
              <w:pBdr>
                <w:top w:val="none" w:color="000000" w:sz="0" w:space="0"/>
                <w:left w:val="none" w:color="000000" w:sz="0" w:space="0"/>
                <w:bottom w:val="none" w:color="000000" w:sz="0" w:space="0"/>
                <w:right w:val="none" w:color="000000" w:sz="0" w:space="0"/>
              </w:pBdr>
              <w:spacing w:line="360" w:lineRule="auto"/>
              <w:jc w:val="center"/>
            </w:pPr>
          </w:p>
        </w:tc>
      </w:tr>
      <w:tr w14:paraId="57AA6F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0"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78FB56">
            <w:pPr>
              <w:pBdr>
                <w:top w:val="none" w:color="000000" w:sz="0" w:space="0"/>
                <w:left w:val="none" w:color="000000" w:sz="0" w:space="0"/>
                <w:bottom w:val="none" w:color="000000" w:sz="0" w:space="0"/>
                <w:right w:val="none" w:color="000000" w:sz="0" w:space="0"/>
              </w:pBdr>
              <w:spacing w:line="360" w:lineRule="auto"/>
              <w:jc w:val="center"/>
            </w:pP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001DD8">
            <w:pPr>
              <w:pBdr>
                <w:top w:val="none" w:color="000000" w:sz="0" w:space="0"/>
                <w:left w:val="none" w:color="000000" w:sz="0" w:space="0"/>
                <w:bottom w:val="none" w:color="000000" w:sz="0" w:space="0"/>
                <w:right w:val="none" w:color="000000" w:sz="0" w:space="0"/>
              </w:pBdr>
              <w:spacing w:line="360" w:lineRule="auto"/>
              <w:jc w:val="center"/>
            </w:pP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32EB3BF">
            <w:pPr>
              <w:pBdr>
                <w:top w:val="none" w:color="000000" w:sz="0" w:space="0"/>
                <w:left w:val="none" w:color="000000" w:sz="0" w:space="0"/>
                <w:bottom w:val="none" w:color="000000" w:sz="0" w:space="0"/>
                <w:right w:val="none" w:color="000000" w:sz="0" w:space="0"/>
              </w:pBdr>
              <w:spacing w:line="360" w:lineRule="auto"/>
              <w:jc w:val="center"/>
            </w:pP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21B5C91">
            <w:pPr>
              <w:pBdr>
                <w:top w:val="none" w:color="000000" w:sz="0" w:space="0"/>
                <w:left w:val="none" w:color="000000" w:sz="0" w:space="0"/>
                <w:bottom w:val="none" w:color="000000" w:sz="0" w:space="0"/>
                <w:right w:val="none" w:color="000000" w:sz="0" w:space="0"/>
              </w:pBdr>
              <w:spacing w:line="360" w:lineRule="auto"/>
              <w:jc w:val="center"/>
            </w:pPr>
          </w:p>
        </w:tc>
      </w:tr>
      <w:tr w14:paraId="4B105C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5"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002D37">
            <w:pPr>
              <w:pStyle w:val="30"/>
              <w:spacing w:beforeAutospacing="0" w:afterAutospacing="0" w:line="0" w:lineRule="atLeast"/>
              <w:jc w:val="center"/>
            </w:pPr>
            <w:r>
              <w:rPr>
                <w:rFonts w:hint="eastAsia"/>
              </w:rPr>
              <w:t>……</w:t>
            </w: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0E5DC3">
            <w:pPr>
              <w:pStyle w:val="30"/>
              <w:spacing w:beforeAutospacing="0" w:afterAutospacing="0" w:line="0" w:lineRule="atLeast"/>
              <w:jc w:val="center"/>
            </w:pPr>
            <w:r>
              <w:rPr>
                <w:rFonts w:hint="eastAsia"/>
              </w:rPr>
              <w:t>……</w:t>
            </w: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FDB42D">
            <w:pPr>
              <w:pBdr>
                <w:top w:val="none" w:color="000000" w:sz="0" w:space="0"/>
                <w:left w:val="none" w:color="000000" w:sz="0" w:space="0"/>
                <w:bottom w:val="none" w:color="000000" w:sz="0" w:space="0"/>
                <w:right w:val="none" w:color="000000" w:sz="0" w:space="0"/>
              </w:pBdr>
              <w:spacing w:line="360" w:lineRule="auto"/>
              <w:jc w:val="center"/>
            </w:pP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87B3F7">
            <w:pPr>
              <w:pBdr>
                <w:top w:val="none" w:color="000000" w:sz="0" w:space="0"/>
                <w:left w:val="none" w:color="000000" w:sz="0" w:space="0"/>
                <w:bottom w:val="none" w:color="000000" w:sz="0" w:space="0"/>
                <w:right w:val="none" w:color="000000" w:sz="0" w:space="0"/>
              </w:pBdr>
              <w:spacing w:line="360" w:lineRule="auto"/>
              <w:jc w:val="center"/>
            </w:pPr>
          </w:p>
        </w:tc>
      </w:tr>
      <w:tr w14:paraId="0FC518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93"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34D57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合计</w:t>
            </w:r>
          </w:p>
        </w:tc>
        <w:tc>
          <w:tcPr>
            <w:tcW w:w="5495" w:type="dxa"/>
            <w:gridSpan w:val="3"/>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2B310C">
            <w:pPr>
              <w:pBdr>
                <w:top w:val="none" w:color="000000" w:sz="0" w:space="0"/>
                <w:left w:val="none" w:color="000000" w:sz="0" w:space="0"/>
                <w:bottom w:val="none" w:color="000000" w:sz="0" w:space="0"/>
                <w:right w:val="none" w:color="000000" w:sz="0" w:space="0"/>
              </w:pBdr>
              <w:spacing w:line="360" w:lineRule="auto"/>
              <w:jc w:val="center"/>
            </w:pPr>
          </w:p>
        </w:tc>
      </w:tr>
    </w:tbl>
    <w:p w14:paraId="4D97A612">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1、此表可以根据需要自行增减行数。</w:t>
      </w:r>
    </w:p>
    <w:p w14:paraId="6C9BB927">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2、项目如有分包，请各供应商按投报的分包分别列表。</w:t>
      </w:r>
    </w:p>
    <w:p w14:paraId="778448F0">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p w14:paraId="740B1112">
      <w:pPr>
        <w:pBdr>
          <w:top w:val="none" w:color="000000" w:sz="0" w:space="0"/>
          <w:left w:val="none" w:color="000000" w:sz="0" w:space="0"/>
          <w:bottom w:val="none" w:color="000000" w:sz="0" w:space="0"/>
          <w:right w:val="none" w:color="000000" w:sz="0" w:space="0"/>
        </w:pBdr>
      </w:pPr>
      <w:r>
        <w:rPr>
          <w:rFonts w:ascii="宋体" w:hAnsi="宋体" w:cs="宋体"/>
          <w:sz w:val="24"/>
        </w:rPr>
        <w:t> </w:t>
      </w:r>
    </w:p>
    <w:p w14:paraId="6282807D">
      <w:pPr>
        <w:pBdr>
          <w:top w:val="none" w:color="000000" w:sz="0" w:space="0"/>
          <w:left w:val="none" w:color="000000" w:sz="0" w:space="0"/>
          <w:bottom w:val="none" w:color="000000" w:sz="0" w:space="0"/>
          <w:right w:val="none" w:color="000000" w:sz="0" w:space="0"/>
        </w:pBdr>
      </w:pPr>
      <w:r>
        <w:rPr/>
        <w:br w:type="page" w:clear="all"/>
      </w:r>
    </w:p>
    <w:p w14:paraId="4AA4E993">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七、设备参数响应及偏离表</w:t>
      </w:r>
    </w:p>
    <w:p w14:paraId="08BBF91A">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81"/>
        <w:gridCol w:w="1138"/>
        <w:gridCol w:w="1590"/>
        <w:gridCol w:w="2859"/>
        <w:gridCol w:w="1648"/>
        <w:gridCol w:w="932"/>
      </w:tblGrid>
      <w:tr w14:paraId="706615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EDCD6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序号</w:t>
            </w:r>
          </w:p>
        </w:tc>
        <w:tc>
          <w:tcPr>
            <w:tcW w:w="118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2AAF5B">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招标设备参数</w:t>
            </w:r>
          </w:p>
        </w:tc>
        <w:tc>
          <w:tcPr>
            <w:tcW w:w="166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50A27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投标产品响应设备参数</w:t>
            </w:r>
          </w:p>
        </w:tc>
        <w:tc>
          <w:tcPr>
            <w:tcW w:w="299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BCEAE2">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投标产品型号证明材料在投标文件中的页码</w:t>
            </w:r>
          </w:p>
        </w:tc>
        <w:tc>
          <w:tcPr>
            <w:tcW w:w="172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9C5BF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超出、符合或偏离</w:t>
            </w:r>
          </w:p>
        </w:tc>
        <w:tc>
          <w:tcPr>
            <w:tcW w:w="97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AF7E3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原因</w:t>
            </w:r>
          </w:p>
        </w:tc>
      </w:tr>
      <w:tr w14:paraId="1EB874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36A14E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B7C3E8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612EE3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79EF4F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22E98E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6A9443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14DAF0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24A85A5">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99F224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24E9C2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132548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3720DE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E938E8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3E7B0F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D48D06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459AF7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172A5A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0934CB1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11F40A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7D66D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4A3E9C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0DBF14B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D53150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10E3AB5">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F6ECEB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384386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0630B1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1482D9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19C3E7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218428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9814D4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377A26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EEE9AE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4F8CB0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14D8EC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49A30C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E49349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9AB100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39DA75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0B732A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7EB16CB">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384E1D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BC5742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7275F7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4422D0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66BD99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3DE7AE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69C629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44DDE7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D2F7B9B">
            <w:pPr>
              <w:pStyle w:val="30"/>
              <w:spacing w:beforeAutospacing="0" w:afterAutospacing="0" w:line="0" w:lineRule="atLeast"/>
              <w:jc w:val="center"/>
            </w:pPr>
            <w:r>
              <w:rPr>
                <w:rFonts w:hint="eastAsia"/>
              </w:rPr>
              <w:t>……</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1A505C">
            <w:pPr>
              <w:pStyle w:val="30"/>
              <w:spacing w:beforeAutospacing="0" w:afterAutospacing="0" w:line="0" w:lineRule="atLeast"/>
              <w:jc w:val="center"/>
            </w:pPr>
            <w:r>
              <w:rPr>
                <w:rFonts w:hint="eastAsia"/>
              </w:rPr>
              <w:t>……</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8C25E3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4B2395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9CFF6C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8336D3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bl>
    <w:p w14:paraId="0CB55F4F">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p w14:paraId="4063F678">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注：1、按照基本技术要求详细填列。</w:t>
      </w:r>
    </w:p>
    <w:p w14:paraId="5DFF089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2、行数不够，可自行添加。</w:t>
      </w:r>
    </w:p>
    <w:p w14:paraId="4A67F20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3、设备参数偏离表应针对采购需求逐条应答不可简单复制粘贴注，投标人应按投标产品填写真实技术参数值，不得虚假响应，如经查实，将予以取消中标资格，并提交财政监管部门处理，有可能面临着被列入失信名单的法律风险。</w:t>
      </w:r>
    </w:p>
    <w:p w14:paraId="31A8DAED">
      <w:pPr>
        <w:pBdr>
          <w:top w:val="none" w:color="000000" w:sz="0" w:space="0"/>
          <w:left w:val="none" w:color="000000" w:sz="0" w:space="0"/>
          <w:bottom w:val="none" w:color="000000" w:sz="0" w:space="0"/>
          <w:right w:val="none" w:color="000000" w:sz="0" w:space="0"/>
        </w:pBdr>
      </w:pPr>
      <w:r>
        <w:rPr>
          <w:rFonts w:ascii="宋体" w:hAnsi="宋体" w:cs="宋体"/>
          <w:sz w:val="24"/>
        </w:rPr>
        <w:t> </w:t>
      </w:r>
    </w:p>
    <w:p w14:paraId="7D383338">
      <w:pPr>
        <w:pBdr>
          <w:top w:val="none" w:color="000000" w:sz="0" w:space="0"/>
          <w:left w:val="none" w:color="000000" w:sz="0" w:space="0"/>
          <w:bottom w:val="none" w:color="000000" w:sz="0" w:space="0"/>
          <w:right w:val="none" w:color="000000" w:sz="0" w:space="0"/>
        </w:pBdr>
        <w:jc w:val="center"/>
      </w:pPr>
      <w:r>
        <w:rPr>
          <w:rFonts w:ascii="黑体" w:hAnsi="黑体" w:eastAsia="黑体" w:cs="黑体"/>
          <w:b/>
          <w:sz w:val="36"/>
        </w:rPr>
        <w:t> </w:t>
      </w:r>
    </w:p>
    <w:p w14:paraId="1ACAF844">
      <w:pPr>
        <w:pBdr>
          <w:top w:val="none" w:color="000000" w:sz="0" w:space="0"/>
          <w:left w:val="none" w:color="000000" w:sz="0" w:space="0"/>
          <w:bottom w:val="none" w:color="000000" w:sz="0" w:space="0"/>
          <w:right w:val="none" w:color="000000" w:sz="0" w:space="0"/>
        </w:pBdr>
        <w:jc w:val="center"/>
      </w:pPr>
      <w:r>
        <w:rPr>
          <w:rFonts w:ascii="黑体" w:hAnsi="黑体" w:eastAsia="黑体" w:cs="黑体"/>
          <w:b/>
          <w:sz w:val="36"/>
        </w:rPr>
        <w:t> </w:t>
      </w:r>
    </w:p>
    <w:p w14:paraId="2F8D5A36">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431DC28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32"/>
        </w:rPr>
        <w:t>八、商务条款响应及偏离表（如有）</w:t>
      </w:r>
    </w:p>
    <w:p w14:paraId="059093F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p w14:paraId="1E8ED062">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投标人全称（加盖公章）：</w:t>
      </w:r>
    </w:p>
    <w:tbl>
      <w:tblPr>
        <w:tblStyle w:val="33"/>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616"/>
        <w:gridCol w:w="2500"/>
        <w:gridCol w:w="1176"/>
        <w:gridCol w:w="2652"/>
      </w:tblGrid>
      <w:tr w14:paraId="765A32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2" w:hRule="atLeast"/>
        </w:trPr>
        <w:tc>
          <w:tcPr>
            <w:tcW w:w="907" w:type="pct"/>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6C7BED64">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项目</w:t>
            </w:r>
          </w:p>
        </w:tc>
        <w:tc>
          <w:tcPr>
            <w:tcW w:w="1582" w:type="pct"/>
            <w:tcBorders>
              <w:top w:val="single" w:color="000000" w:sz="8" w:space="0"/>
              <w:left w:val="nil"/>
              <w:bottom w:val="single" w:color="000000" w:sz="8" w:space="0"/>
              <w:right w:val="single" w:color="000000" w:sz="8" w:space="0"/>
            </w:tcBorders>
            <w:noWrap/>
            <w:tcMar>
              <w:top w:w="0" w:type="dxa"/>
              <w:left w:w="108" w:type="dxa"/>
              <w:bottom w:w="0" w:type="dxa"/>
              <w:right w:w="108" w:type="dxa"/>
            </w:tcMar>
          </w:tcPr>
          <w:p w14:paraId="101267FD">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招标文件要求</w:t>
            </w:r>
          </w:p>
        </w:tc>
        <w:tc>
          <w:tcPr>
            <w:tcW w:w="738" w:type="pct"/>
            <w:tcBorders>
              <w:top w:val="single" w:color="000000" w:sz="8" w:space="0"/>
              <w:left w:val="nil"/>
              <w:bottom w:val="single" w:color="000000" w:sz="8" w:space="0"/>
              <w:right w:val="single" w:color="000000" w:sz="8" w:space="0"/>
            </w:tcBorders>
            <w:noWrap/>
            <w:tcMar>
              <w:top w:w="0" w:type="dxa"/>
              <w:left w:w="108" w:type="dxa"/>
              <w:bottom w:w="0" w:type="dxa"/>
              <w:right w:w="108" w:type="dxa"/>
            </w:tcMar>
          </w:tcPr>
          <w:p w14:paraId="4CD9A96A">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是否响应</w:t>
            </w:r>
          </w:p>
        </w:tc>
        <w:tc>
          <w:tcPr>
            <w:tcW w:w="1770" w:type="pct"/>
            <w:tcBorders>
              <w:top w:val="single" w:color="000000" w:sz="8" w:space="0"/>
              <w:left w:val="nil"/>
              <w:bottom w:val="single" w:color="000000" w:sz="8" w:space="0"/>
              <w:right w:val="single" w:color="000000" w:sz="8" w:space="0"/>
            </w:tcBorders>
            <w:noWrap/>
            <w:tcMar>
              <w:top w:w="0" w:type="dxa"/>
              <w:left w:w="108" w:type="dxa"/>
              <w:bottom w:w="0" w:type="dxa"/>
              <w:right w:w="108" w:type="dxa"/>
            </w:tcMar>
          </w:tcPr>
          <w:p w14:paraId="7F8CFCDE">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投标人的承诺或说明</w:t>
            </w:r>
          </w:p>
        </w:tc>
      </w:tr>
      <w:tr w14:paraId="6D084C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9"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3AF1DF2">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质保期</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27D3F08A">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067FE380">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6E301DF8">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5E9252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9"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B1D4D43">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售后技术服务要求</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594DDE1D">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458E4B28">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50063F4F">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1F343E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E995FA6">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交货时间</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17D67BFE">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合同签订后</w:t>
            </w:r>
            <w:r>
              <w:rPr>
                <w:rFonts w:ascii="仿宋" w:hAnsi="仿宋" w:eastAsia="仿宋" w:cs="仿宋"/>
                <w:sz w:val="24"/>
                <w:u w:val="single"/>
              </w:rPr>
              <w:t>     </w:t>
            </w:r>
            <w:r>
              <w:rPr>
                <w:rFonts w:ascii="宋体" w:hAnsi="宋体" w:cs="宋体"/>
                <w:sz w:val="24"/>
              </w:rPr>
              <w:t>天内</w:t>
            </w:r>
            <w:r>
              <w:rPr>
                <w:rFonts w:ascii="仿宋" w:hAnsi="仿宋" w:eastAsia="仿宋" w:cs="仿宋"/>
                <w:sz w:val="24"/>
                <w:u w:val="single"/>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7D6A1255">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7026D881">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r>
      <w:tr w14:paraId="6B77B4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3267824">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交货方式</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4F4139EC">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 </w:t>
            </w:r>
          </w:p>
          <w:p w14:paraId="7A37B408">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44344FDD">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1E6AC5D7">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r>
      <w:tr w14:paraId="45DE20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DB7316D">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交货地点</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06E52F7D">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 </w:t>
            </w:r>
          </w:p>
          <w:p w14:paraId="0F944787">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30AC511E">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72293905">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r>
      <w:tr w14:paraId="2606EF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3F3D122">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付款方式</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49878C69">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31167B4C">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627DAE17">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2D13CD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7C6189D">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投标货币</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0EC3231E">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p w14:paraId="3248128D">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71643CE9">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0055B745">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7262D8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1017698">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备品备件及耗材等要求</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14FD9D7E">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1F8A5313">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7B4349A3">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12A923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1F48382">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其他</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2FCB86EC">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2E3F88A7">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1171D0E2">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bl>
    <w:p w14:paraId="5585957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 </w:t>
      </w:r>
    </w:p>
    <w:p w14:paraId="1486F05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 </w:t>
      </w:r>
    </w:p>
    <w:p w14:paraId="587EB1D3">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30"/>
        </w:rPr>
        <w:t>    </w:t>
      </w:r>
    </w:p>
    <w:p w14:paraId="0BB8C355">
      <w:pPr>
        <w:pBdr>
          <w:top w:val="none" w:color="000000" w:sz="0" w:space="0"/>
          <w:left w:val="none" w:color="000000" w:sz="0" w:space="0"/>
          <w:bottom w:val="none" w:color="000000" w:sz="0" w:space="0"/>
          <w:right w:val="none" w:color="000000" w:sz="0" w:space="0"/>
        </w:pBdr>
      </w:pPr>
      <w:r>
        <w:rPr>
          <w:rFonts w:ascii="宋体" w:hAnsi="宋体" w:cs="宋体"/>
          <w:sz w:val="24"/>
        </w:rPr>
        <w:t> </w:t>
      </w:r>
    </w:p>
    <w:p w14:paraId="1A1CE1EC">
      <w:pPr>
        <w:pBdr>
          <w:top w:val="none" w:color="000000" w:sz="0" w:space="0"/>
          <w:left w:val="none" w:color="000000" w:sz="0" w:space="0"/>
          <w:bottom w:val="none" w:color="000000" w:sz="0" w:space="0"/>
          <w:right w:val="none" w:color="000000" w:sz="0" w:space="0"/>
        </w:pBdr>
        <w:spacing w:before="50" w:after="50"/>
        <w:jc w:val="center"/>
      </w:pPr>
      <w:r>
        <w:rPr/>
        <w:br w:type="page" w:clear="all"/>
      </w:r>
    </w:p>
    <w:p w14:paraId="24C2ACAF">
      <w:pPr>
        <w:pBdr>
          <w:top w:val="none" w:color="000000" w:sz="0" w:space="0"/>
          <w:left w:val="none" w:color="000000" w:sz="0" w:space="0"/>
          <w:bottom w:val="none" w:color="000000" w:sz="0" w:space="0"/>
          <w:right w:val="none" w:color="000000" w:sz="0" w:space="0"/>
        </w:pBdr>
        <w:spacing w:before="50" w:after="50"/>
        <w:jc w:val="center"/>
      </w:pPr>
      <w:r>
        <w:rPr>
          <w:rFonts w:ascii="宋体" w:hAnsi="宋体" w:cs="宋体"/>
          <w:b/>
          <w:sz w:val="32"/>
        </w:rPr>
        <w:t>九、服务承诺、培训承诺等</w:t>
      </w:r>
    </w:p>
    <w:p w14:paraId="16F29FDB">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4866D6E4">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09D820D">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65D951F7">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2C3EF78">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0580B8E9">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327B3226">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2259C31">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AA5C418">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18E823FA">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448FC827">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D59F5AA">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47FA4980">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35942138">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00FD91E5">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3E854E4">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7E891966">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A8BD963">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720F1350">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61EB1B33">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7C3A43AA">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1EAF26B9">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019150D7">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6D637486">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5BC85F3">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6F566770">
      <w:pPr>
        <w:pBdr>
          <w:top w:val="none" w:color="000000" w:sz="0" w:space="0"/>
          <w:left w:val="none" w:color="000000" w:sz="0" w:space="0"/>
          <w:bottom w:val="none" w:color="000000" w:sz="0" w:space="0"/>
          <w:right w:val="none" w:color="000000" w:sz="0" w:space="0"/>
        </w:pBdr>
        <w:spacing w:line="450" w:lineRule="atLeast"/>
        <w:ind w:firstLine="600"/>
      </w:pPr>
      <w:r>
        <w:rPr>
          <w:rFonts w:ascii="仿宋" w:hAnsi="仿宋" w:eastAsia="仿宋" w:cs="仿宋"/>
          <w:sz w:val="30"/>
        </w:rPr>
        <w:t> </w:t>
      </w:r>
    </w:p>
    <w:p w14:paraId="252467AC">
      <w:pPr>
        <w:pBdr>
          <w:top w:val="none" w:color="000000" w:sz="0" w:space="0"/>
          <w:left w:val="none" w:color="000000" w:sz="0" w:space="0"/>
          <w:bottom w:val="none" w:color="000000" w:sz="0" w:space="0"/>
          <w:right w:val="none" w:color="000000" w:sz="0" w:space="0"/>
        </w:pBdr>
      </w:pPr>
      <w:r>
        <w:rPr>
          <w:rFonts w:ascii="宋体" w:hAnsi="宋体" w:cs="宋体"/>
        </w:rPr>
        <w:t> </w:t>
      </w:r>
    </w:p>
    <w:p w14:paraId="37C45D5F">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39BD250">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A857D65">
      <w:pPr>
        <w:pageBreakBefore/>
        <w:pBdr>
          <w:top w:val="none" w:color="000000" w:sz="0" w:space="0"/>
          <w:left w:val="none" w:color="000000" w:sz="0" w:space="0"/>
          <w:bottom w:val="none" w:color="000000" w:sz="0" w:space="0"/>
          <w:right w:val="none" w:color="000000" w:sz="0" w:space="0"/>
        </w:pBdr>
        <w:spacing w:before="50" w:after="50"/>
        <w:jc w:val="center"/>
      </w:pPr>
      <w:r>
        <w:rPr>
          <w:rFonts w:ascii="宋体" w:hAnsi="宋体" w:cs="宋体"/>
          <w:b/>
          <w:sz w:val="32"/>
        </w:rPr>
        <w:t>十、盐城市大丰区政府招标采购供应商承诺书</w:t>
      </w:r>
    </w:p>
    <w:p w14:paraId="6E9A8E3B">
      <w:pPr>
        <w:pBdr>
          <w:top w:val="none" w:color="000000" w:sz="0" w:space="0"/>
          <w:left w:val="none" w:color="000000" w:sz="0" w:space="0"/>
          <w:bottom w:val="none" w:color="000000" w:sz="0" w:space="0"/>
          <w:right w:val="none" w:color="000000" w:sz="0" w:space="0"/>
        </w:pBdr>
        <w:spacing w:line="360" w:lineRule="auto"/>
        <w:ind w:firstLine="600"/>
        <w:rPr>
          <w:sz w:val="24"/>
          <w:szCs w:val="24"/>
        </w:rPr>
      </w:pPr>
      <w:r>
        <w:rPr>
          <w:rFonts w:eastAsia="Times New Roman"/>
          <w:sz w:val="24"/>
          <w:szCs w:val="24"/>
        </w:rPr>
        <w:t> </w:t>
      </w:r>
    </w:p>
    <w:p w14:paraId="172A3895">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为营造公开、公平、公正、诚实守信的政府招标采购交易环境，树立诚信守法的投标人形象，本单位参加政府招标采购项目</w:t>
      </w:r>
      <w:r>
        <w:rPr>
          <w:rFonts w:ascii="仿宋" w:hAnsi="仿宋" w:eastAsia="仿宋" w:cs="仿宋"/>
          <w:sz w:val="24"/>
          <w:szCs w:val="24"/>
          <w:u w:val="single"/>
        </w:rPr>
        <w:t>：</w:t>
      </w:r>
    </w:p>
    <w:p w14:paraId="14DE3737">
      <w:pPr>
        <w:pBdr>
          <w:top w:val="none" w:color="000000" w:sz="0" w:space="0"/>
          <w:left w:val="none" w:color="000000" w:sz="0" w:space="0"/>
          <w:bottom w:val="none" w:color="000000" w:sz="0" w:space="0"/>
          <w:right w:val="none" w:color="000000" w:sz="0" w:space="0"/>
        </w:pBdr>
        <w:spacing w:line="360" w:lineRule="auto"/>
        <w:rPr>
          <w:sz w:val="24"/>
          <w:szCs w:val="24"/>
        </w:rPr>
      </w:pPr>
      <w:r>
        <w:rPr>
          <w:rFonts w:ascii="仿宋" w:hAnsi="仿宋" w:eastAsia="仿宋" w:cs="仿宋"/>
          <w:sz w:val="24"/>
          <w:szCs w:val="24"/>
        </w:rPr>
        <w:t>的招标采购活动，本人代表本单位作出以下承诺：</w:t>
      </w:r>
    </w:p>
    <w:p w14:paraId="1BDB2B48">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891276C">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（二）本单位无涉及政府招标采购活动的违法、违规不良记录，我公司及相关负责人无因存在重大隐患整改不力、发生有重大社会影响生产安全事故或其他严重违法违规行为而被列入失信联合惩戒的不良记录；</w:t>
      </w:r>
    </w:p>
    <w:p w14:paraId="4A9B9376">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 xml:space="preserve">（三）严格依照国家和省、市关于政府招标采购的法律、法规、规章、规范性文件，参加政府招标采购的投标活动；积极履行社会责任，促进廉政建设； </w:t>
      </w:r>
    </w:p>
    <w:p w14:paraId="752E3D15">
      <w:pPr>
        <w:pBdr>
          <w:top w:val="none" w:color="000000" w:sz="0" w:space="0"/>
          <w:left w:val="none" w:color="000000" w:sz="0" w:space="0"/>
          <w:bottom w:val="none" w:color="000000" w:sz="0" w:space="0"/>
          <w:right w:val="none" w:color="000000" w:sz="0" w:space="0"/>
        </w:pBdr>
        <w:spacing w:line="360" w:lineRule="auto"/>
        <w:rPr>
          <w:sz w:val="24"/>
          <w:szCs w:val="24"/>
        </w:rPr>
      </w:pPr>
      <w:r>
        <w:rPr>
          <w:rFonts w:ascii="宋体" w:hAnsi="宋体" w:cs="宋体"/>
          <w:sz w:val="24"/>
          <w:szCs w:val="24"/>
        </w:rPr>
        <w:t> </w:t>
      </w:r>
      <w:r>
        <w:rPr>
          <w:rFonts w:ascii="仿宋" w:hAnsi="仿宋" w:eastAsia="仿宋" w:cs="仿宋"/>
          <w:sz w:val="24"/>
          <w:szCs w:val="24"/>
        </w:rPr>
        <w:t>  （四）严格遵守即时信息公示规定，及时维护和更新盐城市政府采购网、公共资源交易平台中与本单位相关的信息；</w:t>
      </w:r>
    </w:p>
    <w:p w14:paraId="46468114">
      <w:pPr>
        <w:pBdr>
          <w:top w:val="none" w:color="000000" w:sz="0" w:space="0"/>
          <w:left w:val="none" w:color="000000" w:sz="0" w:space="0"/>
          <w:bottom w:val="none" w:color="000000" w:sz="0" w:space="0"/>
          <w:right w:val="none" w:color="000000" w:sz="0" w:space="0"/>
        </w:pBdr>
        <w:spacing w:line="360" w:lineRule="auto"/>
        <w:ind w:firstLine="367"/>
        <w:rPr>
          <w:sz w:val="24"/>
          <w:szCs w:val="24"/>
        </w:rPr>
      </w:pPr>
      <w:r>
        <w:rPr>
          <w:rFonts w:ascii="仿宋" w:hAnsi="仿宋" w:eastAsia="仿宋" w:cs="仿宋"/>
          <w:sz w:val="24"/>
          <w:szCs w:val="24"/>
        </w:rPr>
        <w:t>（五）自我约束、自我管理，守合同、重信用，自觉维护政府招标采购交易的良好秩序，与参与本次政府招标采购活动的其他供应商不存在直接控股或管理关系，不参与围标串标、弄虚作假、骗取中标、干扰评标、违约毁约等行为；</w:t>
      </w:r>
    </w:p>
    <w:p w14:paraId="1727F983">
      <w:pPr>
        <w:pBdr>
          <w:top w:val="none" w:color="000000" w:sz="0" w:space="0"/>
          <w:left w:val="none" w:color="000000" w:sz="0" w:space="0"/>
          <w:bottom w:val="none" w:color="000000" w:sz="0" w:space="0"/>
          <w:right w:val="none" w:color="000000" w:sz="0" w:space="0"/>
        </w:pBdr>
        <w:spacing w:line="360" w:lineRule="auto"/>
        <w:ind w:firstLine="367"/>
        <w:rPr>
          <w:sz w:val="24"/>
          <w:szCs w:val="24"/>
        </w:rPr>
      </w:pPr>
      <w:r>
        <w:rPr>
          <w:rFonts w:ascii="仿宋" w:hAnsi="仿宋" w:eastAsia="仿宋" w:cs="仿宋"/>
          <w:sz w:val="24"/>
          <w:szCs w:val="24"/>
        </w:rPr>
        <w:t>（六）自觉接受政府、行业组织、社会公众、新闻舆论的监督；</w:t>
      </w:r>
    </w:p>
    <w:p w14:paraId="20355F8E">
      <w:pPr>
        <w:pBdr>
          <w:top w:val="none" w:color="000000" w:sz="0" w:space="0"/>
          <w:left w:val="none" w:color="000000" w:sz="0" w:space="0"/>
          <w:bottom w:val="none" w:color="000000" w:sz="0" w:space="0"/>
          <w:right w:val="none" w:color="000000" w:sz="0" w:space="0"/>
        </w:pBdr>
        <w:spacing w:line="360" w:lineRule="auto"/>
        <w:ind w:firstLine="367"/>
        <w:rPr>
          <w:sz w:val="24"/>
          <w:szCs w:val="24"/>
        </w:rPr>
      </w:pPr>
      <w:r>
        <w:rPr>
          <w:rFonts w:ascii="仿宋" w:hAnsi="仿宋" w:eastAsia="仿宋" w:cs="仿宋"/>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22552D4">
      <w:pPr>
        <w:pBdr>
          <w:top w:val="none" w:color="000000" w:sz="0" w:space="0"/>
          <w:left w:val="none" w:color="000000" w:sz="0" w:space="0"/>
          <w:bottom w:val="none" w:color="000000" w:sz="0" w:space="0"/>
          <w:right w:val="none" w:color="000000" w:sz="0" w:space="0"/>
        </w:pBdr>
        <w:spacing w:line="360" w:lineRule="auto"/>
        <w:ind w:firstLine="367"/>
        <w:rPr>
          <w:sz w:val="24"/>
          <w:szCs w:val="24"/>
        </w:rPr>
      </w:pPr>
      <w:r>
        <w:rPr>
          <w:rFonts w:ascii="仿宋" w:hAnsi="仿宋" w:eastAsia="仿宋" w:cs="仿宋"/>
          <w:sz w:val="24"/>
          <w:szCs w:val="24"/>
        </w:rPr>
        <w:t>（八）本人已认真阅读了上述承诺，并向本单位员工作了宣传教育。</w:t>
      </w:r>
    </w:p>
    <w:p w14:paraId="0BFC06AD">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 </w:t>
      </w:r>
    </w:p>
    <w:p w14:paraId="78BE4FC8">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 </w:t>
      </w:r>
    </w:p>
    <w:p w14:paraId="67662E7C">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法定代表人</w:t>
      </w:r>
      <w:r>
        <w:rPr>
          <w:rFonts w:hint="eastAsia" w:ascii="仿宋" w:hAnsi="仿宋" w:eastAsia="仿宋" w:cs="仿宋"/>
          <w:sz w:val="24"/>
          <w:szCs w:val="24"/>
          <w:lang w:val="en-US" w:eastAsia="zh-CN"/>
        </w:rPr>
        <w:t>盖章</w:t>
      </w:r>
      <w:r>
        <w:rPr>
          <w:rFonts w:ascii="仿宋" w:hAnsi="仿宋" w:eastAsia="仿宋" w:cs="仿宋"/>
          <w:sz w:val="24"/>
          <w:szCs w:val="24"/>
        </w:rPr>
        <w:t>：</w:t>
      </w:r>
      <w:r>
        <w:rPr>
          <w:rFonts w:hint="eastAsia" w:ascii="仿宋" w:hAnsi="仿宋" w:eastAsia="仿宋" w:cs="仿宋"/>
          <w:sz w:val="24"/>
          <w:szCs w:val="24"/>
          <w:lang w:val="en-US" w:eastAsia="zh-CN"/>
        </w:rPr>
        <w:t xml:space="preserve">                       </w:t>
      </w:r>
      <w:r>
        <w:rPr>
          <w:rFonts w:ascii="仿宋" w:hAnsi="仿宋" w:eastAsia="仿宋" w:cs="仿宋"/>
          <w:sz w:val="24"/>
          <w:szCs w:val="24"/>
        </w:rPr>
        <w:t>单位名称（盖章）：</w:t>
      </w:r>
    </w:p>
    <w:p w14:paraId="3F3E6D94">
      <w:pPr>
        <w:pBdr>
          <w:top w:val="none" w:color="000000" w:sz="0" w:space="0"/>
          <w:left w:val="none" w:color="000000" w:sz="0" w:space="0"/>
          <w:bottom w:val="none" w:color="000000" w:sz="0" w:space="0"/>
          <w:right w:val="none" w:color="000000" w:sz="0" w:space="0"/>
        </w:pBdr>
        <w:spacing w:line="360" w:lineRule="auto"/>
        <w:rPr>
          <w:sz w:val="24"/>
          <w:szCs w:val="24"/>
        </w:rPr>
      </w:pPr>
      <w:r>
        <w:rPr>
          <w:rFonts w:ascii="仿宋" w:hAnsi="仿宋" w:eastAsia="仿宋" w:cs="仿宋"/>
          <w:sz w:val="24"/>
          <w:szCs w:val="24"/>
        </w:rPr>
        <w:t> </w:t>
      </w:r>
    </w:p>
    <w:p w14:paraId="42EA953D">
      <w:pPr>
        <w:pBdr>
          <w:top w:val="none" w:color="000000" w:sz="0" w:space="0"/>
          <w:left w:val="none" w:color="000000" w:sz="0" w:space="0"/>
          <w:bottom w:val="none" w:color="000000" w:sz="0" w:space="0"/>
          <w:right w:val="none" w:color="000000" w:sz="0" w:space="0"/>
        </w:pBdr>
        <w:spacing w:line="360" w:lineRule="auto"/>
        <w:jc w:val="center"/>
        <w:rPr>
          <w:sz w:val="24"/>
          <w:szCs w:val="24"/>
        </w:rPr>
      </w:pPr>
      <w:r>
        <w:rPr>
          <w:rFonts w:ascii="仿宋" w:hAnsi="仿宋" w:eastAsia="仿宋" w:cs="仿宋"/>
          <w:sz w:val="24"/>
          <w:szCs w:val="24"/>
        </w:rPr>
        <w:t>年月日</w:t>
      </w:r>
    </w:p>
    <w:p w14:paraId="027F4778">
      <w:pPr>
        <w:widowControl/>
        <w:jc w:val="left"/>
        <w:outlineLvl w:val="1"/>
        <w:rPr>
          <w:rFonts w:ascii="宋体" w:hAnsi="宋体" w:cs="宋体"/>
          <w:sz w:val="24"/>
          <w:szCs w:val="24"/>
        </w:rPr>
      </w:pPr>
    </w:p>
    <w:p w14:paraId="2DF8CF40">
      <w:pPr>
        <w:pageBreakBefore/>
        <w:pBdr>
          <w:top w:val="none" w:color="000000" w:sz="0" w:space="0"/>
          <w:left w:val="none" w:color="000000" w:sz="0" w:space="0"/>
          <w:bottom w:val="none" w:color="000000" w:sz="0" w:space="0"/>
          <w:right w:val="none" w:color="000000" w:sz="0" w:space="0"/>
        </w:pBdr>
        <w:spacing w:before="50" w:after="50"/>
        <w:jc w:val="center"/>
        <w:rPr>
          <w:rFonts w:ascii="宋体" w:hAnsi="宋体" w:cs="宋体"/>
          <w:b/>
          <w:sz w:val="32"/>
        </w:rPr>
      </w:pPr>
      <w:r>
        <w:rPr>
          <w:rFonts w:hint="eastAsia" w:ascii="宋体" w:hAnsi="宋体" w:cs="宋体"/>
          <w:b/>
          <w:sz w:val="32"/>
        </w:rPr>
        <w:t>十一、中小企业声明函（货物）</w:t>
      </w:r>
    </w:p>
    <w:p w14:paraId="1A7ABA45">
      <w:pPr>
        <w:spacing w:line="460" w:lineRule="exact"/>
        <w:ind w:firstLine="600"/>
        <w:rPr>
          <w:rFonts w:ascii="宋体" w:hAnsi="宋体" w:eastAsia="Arial"/>
          <w:sz w:val="24"/>
          <w:szCs w:val="24"/>
        </w:rPr>
      </w:pPr>
      <w:r>
        <w:rPr>
          <w:rFonts w:hint="eastAsia" w:ascii="宋体" w:hAnsi="宋体" w:eastAsia="Arial"/>
          <w:sz w:val="24"/>
          <w:szCs w:val="24"/>
        </w:rPr>
        <w:t>本公司（联合体）郑重声明，根据《政府采购促进中小企业发展管理办法》(财库[2020]46号)的规定，本公司（联合体）参加的采购编号为</w:t>
      </w:r>
      <w:r>
        <w:rPr>
          <w:rFonts w:hint="eastAsia" w:ascii="宋体" w:hAnsi="宋体"/>
          <w:sz w:val="24"/>
          <w:szCs w:val="24"/>
          <w:u w:val="single"/>
          <w:lang w:val="en-US" w:eastAsia="zh-CN"/>
        </w:rPr>
        <w:t xml:space="preserve">      </w:t>
      </w:r>
      <w:r>
        <w:rPr>
          <w:rFonts w:hint="eastAsia" w:ascii="宋体" w:hAnsi="宋体" w:eastAsia="Arial"/>
          <w:sz w:val="24"/>
          <w:szCs w:val="24"/>
        </w:rPr>
        <w:t>，</w:t>
      </w:r>
      <w:r>
        <w:rPr>
          <w:rFonts w:hint="eastAsia" w:ascii="宋体" w:hAnsi="宋体"/>
          <w:sz w:val="24"/>
          <w:szCs w:val="24"/>
          <w:u w:val="single"/>
          <w:lang w:val="en-US" w:eastAsia="zh-CN"/>
        </w:rPr>
        <w:t xml:space="preserve">    </w:t>
      </w:r>
      <w:r>
        <w:rPr>
          <w:rFonts w:hint="eastAsia" w:ascii="宋体" w:hAnsi="宋体" w:eastAsia="Arial"/>
          <w:sz w:val="24"/>
          <w:szCs w:val="24"/>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w:t>
      </w:r>
      <w:r>
        <w:rPr>
          <w:rFonts w:hint="eastAsia" w:ascii="宋体" w:hAnsi="宋体" w:cs="宋体"/>
          <w:sz w:val="24"/>
          <w:szCs w:val="24"/>
        </w:rPr>
        <w:t>中小企业</w:t>
      </w:r>
      <w:r>
        <w:rPr>
          <w:rFonts w:hint="eastAsia" w:ascii="宋体" w:hAnsi="宋体" w:eastAsia="Arial"/>
          <w:sz w:val="24"/>
          <w:szCs w:val="24"/>
        </w:rPr>
        <w:t>、签订分包意向协议的</w:t>
      </w:r>
      <w:r>
        <w:rPr>
          <w:rFonts w:hint="eastAsia" w:ascii="宋体" w:hAnsi="宋体" w:cs="宋体"/>
          <w:sz w:val="24"/>
          <w:szCs w:val="24"/>
        </w:rPr>
        <w:t>中小企业</w:t>
      </w:r>
      <w:r>
        <w:rPr>
          <w:rFonts w:hint="eastAsia" w:ascii="宋体" w:hAnsi="宋体" w:eastAsia="Arial"/>
          <w:sz w:val="24"/>
          <w:szCs w:val="24"/>
        </w:rPr>
        <w:t>）的具体情况如下：</w:t>
      </w:r>
    </w:p>
    <w:p w14:paraId="73169640">
      <w:pPr>
        <w:spacing w:line="480" w:lineRule="exact"/>
        <w:ind w:firstLine="480"/>
        <w:rPr>
          <w:rFonts w:ascii="宋体" w:hAnsi="宋体" w:cs="宋体"/>
          <w:sz w:val="24"/>
          <w:szCs w:val="24"/>
        </w:rPr>
      </w:pPr>
      <w:r>
        <w:rPr>
          <w:rFonts w:hint="eastAsia" w:ascii="宋体" w:hAnsi="宋体" w:cs="宋体"/>
          <w:sz w:val="24"/>
          <w:szCs w:val="24"/>
        </w:rPr>
        <w:t>1.</w:t>
      </w:r>
      <w:r>
        <w:rPr>
          <w:rFonts w:hint="eastAsia" w:ascii="宋体" w:hAnsi="宋体" w:cs="宋体"/>
          <w:sz w:val="24"/>
          <w:szCs w:val="24"/>
          <w:u w:val="single"/>
        </w:rPr>
        <w:t xml:space="preserve">  （标的名称） </w:t>
      </w:r>
      <w:r>
        <w:rPr>
          <w:rFonts w:hint="eastAsia" w:ascii="宋体" w:hAnsi="宋体" w:cs="宋体"/>
          <w:sz w:val="24"/>
          <w:szCs w:val="24"/>
        </w:rPr>
        <w:t xml:space="preserve"> ，属于</w:t>
      </w:r>
      <w:r>
        <w:rPr>
          <w:rFonts w:hint="eastAsia" w:ascii="宋体" w:hAnsi="宋体" w:cs="宋体"/>
          <w:sz w:val="24"/>
          <w:szCs w:val="24"/>
          <w:u w:val="single"/>
        </w:rPr>
        <w:t xml:space="preserve">     （采购文件中明确的所属行业）行业</w:t>
      </w:r>
      <w:r>
        <w:rPr>
          <w:rFonts w:hint="eastAsia" w:ascii="宋体" w:hAnsi="宋体" w:cs="宋体"/>
          <w:sz w:val="24"/>
          <w:szCs w:val="24"/>
        </w:rPr>
        <w:t xml:space="preserve">；制造商为 </w:t>
      </w:r>
      <w:r>
        <w:rPr>
          <w:rFonts w:hint="eastAsia" w:ascii="宋体" w:hAnsi="宋体" w:cs="宋体"/>
          <w:sz w:val="24"/>
          <w:szCs w:val="24"/>
          <w:u w:val="single"/>
        </w:rPr>
        <w:t xml:space="preserve">  （企业名称）</w:t>
      </w:r>
      <w:r>
        <w:rPr>
          <w:rFonts w:hint="eastAsia" w:ascii="宋体" w:hAnsi="宋体" w:cs="宋体"/>
          <w:sz w:val="24"/>
          <w:szCs w:val="24"/>
        </w:rPr>
        <w:t>，从业人员 </w:t>
      </w:r>
      <w:r>
        <w:rPr>
          <w:rFonts w:hint="eastAsia" w:ascii="宋体" w:hAnsi="宋体" w:cs="宋体"/>
          <w:sz w:val="24"/>
          <w:szCs w:val="24"/>
          <w:u w:val="single"/>
        </w:rPr>
        <w:t>     </w:t>
      </w:r>
      <w:r>
        <w:rPr>
          <w:rFonts w:hint="eastAsia" w:ascii="宋体" w:hAnsi="宋体" w:cs="宋体"/>
          <w:sz w:val="24"/>
          <w:szCs w:val="24"/>
        </w:rPr>
        <w:t>人，营业收入为 </w:t>
      </w:r>
      <w:r>
        <w:rPr>
          <w:rFonts w:hint="eastAsia" w:ascii="宋体" w:hAnsi="宋体" w:cs="宋体"/>
          <w:sz w:val="24"/>
          <w:szCs w:val="24"/>
          <w:u w:val="single"/>
        </w:rPr>
        <w:t>     </w:t>
      </w:r>
      <w:r>
        <w:rPr>
          <w:rFonts w:hint="eastAsia" w:ascii="宋体" w:hAnsi="宋体" w:cs="宋体"/>
          <w:sz w:val="24"/>
          <w:szCs w:val="24"/>
        </w:rPr>
        <w:t>万元，资产总额为 </w:t>
      </w:r>
      <w:r>
        <w:rPr>
          <w:rFonts w:hint="eastAsia" w:ascii="宋体" w:hAnsi="宋体" w:cs="宋体"/>
          <w:sz w:val="24"/>
          <w:szCs w:val="24"/>
          <w:u w:val="single"/>
        </w:rPr>
        <w:t>   </w:t>
      </w:r>
      <w:r>
        <w:rPr>
          <w:rFonts w:hint="eastAsia" w:ascii="宋体" w:hAnsi="宋体" w:cs="宋体"/>
          <w:sz w:val="24"/>
          <w:szCs w:val="24"/>
        </w:rPr>
        <w:t xml:space="preserve"> 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w:t>
      </w:r>
    </w:p>
    <w:p w14:paraId="1D4CE3AE">
      <w:pPr>
        <w:spacing w:line="480" w:lineRule="exact"/>
        <w:ind w:firstLine="480"/>
        <w:rPr>
          <w:rFonts w:ascii="宋体" w:hAnsi="宋体" w:cs="宋体"/>
          <w:sz w:val="24"/>
          <w:szCs w:val="24"/>
        </w:rPr>
      </w:pPr>
      <w:r>
        <w:rPr>
          <w:rFonts w:hint="eastAsia" w:ascii="宋体" w:hAnsi="宋体" w:cs="宋体"/>
          <w:sz w:val="24"/>
          <w:szCs w:val="24"/>
        </w:rPr>
        <w:t>2.</w:t>
      </w:r>
      <w:r>
        <w:rPr>
          <w:rFonts w:hint="eastAsia" w:ascii="宋体" w:hAnsi="宋体" w:cs="宋体"/>
          <w:sz w:val="24"/>
          <w:szCs w:val="24"/>
          <w:u w:val="single"/>
        </w:rPr>
        <w:t xml:space="preserve">   （标的名称） </w:t>
      </w:r>
      <w:r>
        <w:rPr>
          <w:rFonts w:hint="eastAsia" w:ascii="宋体" w:hAnsi="宋体" w:cs="宋体"/>
          <w:sz w:val="24"/>
          <w:szCs w:val="24"/>
        </w:rPr>
        <w:t xml:space="preserve"> ，属于 </w:t>
      </w:r>
      <w:r>
        <w:rPr>
          <w:rFonts w:hint="eastAsia" w:ascii="宋体" w:hAnsi="宋体" w:cs="宋体"/>
          <w:sz w:val="24"/>
          <w:szCs w:val="24"/>
          <w:u w:val="single"/>
        </w:rPr>
        <w:t xml:space="preserve">    （采购文件中明确的所属行业）行业</w:t>
      </w:r>
      <w:r>
        <w:rPr>
          <w:rFonts w:hint="eastAsia" w:ascii="宋体" w:hAnsi="宋体" w:cs="宋体"/>
          <w:sz w:val="24"/>
          <w:szCs w:val="24"/>
        </w:rPr>
        <w:t>；制造商为</w:t>
      </w:r>
      <w:r>
        <w:rPr>
          <w:rFonts w:hint="eastAsia" w:ascii="宋体" w:hAnsi="宋体" w:cs="宋体"/>
          <w:sz w:val="24"/>
          <w:szCs w:val="24"/>
          <w:u w:val="single"/>
        </w:rPr>
        <w:t xml:space="preserve">   （企业名称）</w:t>
      </w:r>
      <w:r>
        <w:rPr>
          <w:rFonts w:hint="eastAsia" w:ascii="宋体" w:hAnsi="宋体" w:cs="宋体"/>
          <w:sz w:val="24"/>
          <w:szCs w:val="24"/>
        </w:rPr>
        <w:t>，从业人员 </w:t>
      </w:r>
      <w:r>
        <w:rPr>
          <w:rFonts w:hint="eastAsia" w:ascii="宋体" w:hAnsi="宋体" w:cs="宋体"/>
          <w:sz w:val="24"/>
          <w:szCs w:val="24"/>
          <w:u w:val="single"/>
        </w:rPr>
        <w:t>   </w:t>
      </w:r>
      <w:r>
        <w:rPr>
          <w:rFonts w:hint="eastAsia" w:ascii="宋体" w:hAnsi="宋体" w:cs="宋体"/>
          <w:sz w:val="24"/>
          <w:szCs w:val="24"/>
        </w:rPr>
        <w:t>人，营业收入为 </w:t>
      </w:r>
      <w:r>
        <w:rPr>
          <w:rFonts w:hint="eastAsia" w:ascii="宋体" w:hAnsi="宋体" w:cs="宋体"/>
          <w:sz w:val="24"/>
          <w:szCs w:val="24"/>
          <w:u w:val="single"/>
        </w:rPr>
        <w:t>   </w:t>
      </w:r>
      <w:r>
        <w:rPr>
          <w:rFonts w:hint="eastAsia" w:ascii="宋体" w:hAnsi="宋体" w:cs="宋体"/>
          <w:sz w:val="24"/>
          <w:szCs w:val="24"/>
        </w:rPr>
        <w:t>万元，资产总额为 </w:t>
      </w:r>
      <w:r>
        <w:rPr>
          <w:rFonts w:hint="eastAsia" w:ascii="宋体" w:hAnsi="宋体" w:cs="宋体"/>
          <w:sz w:val="24"/>
          <w:szCs w:val="24"/>
          <w:u w:val="single"/>
        </w:rPr>
        <w:t>   </w:t>
      </w:r>
      <w:r>
        <w:rPr>
          <w:rFonts w:hint="eastAsia" w:ascii="宋体" w:hAnsi="宋体" w:cs="宋体"/>
          <w:sz w:val="24"/>
          <w:szCs w:val="24"/>
        </w:rPr>
        <w:t xml:space="preserve"> 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w:t>
      </w:r>
    </w:p>
    <w:p w14:paraId="186F253D">
      <w:pPr>
        <w:spacing w:line="480" w:lineRule="exact"/>
        <w:ind w:firstLine="480"/>
        <w:rPr>
          <w:rFonts w:ascii="宋体" w:hAnsi="宋体" w:cs="宋体"/>
          <w:sz w:val="24"/>
          <w:szCs w:val="24"/>
        </w:rPr>
      </w:pPr>
      <w:r>
        <w:rPr>
          <w:rFonts w:hint="eastAsia" w:ascii="宋体" w:hAnsi="宋体" w:cs="宋体"/>
          <w:sz w:val="24"/>
          <w:szCs w:val="24"/>
        </w:rPr>
        <w:t>……</w:t>
      </w:r>
    </w:p>
    <w:p w14:paraId="1A8ADCB4">
      <w:pPr>
        <w:spacing w:line="500" w:lineRule="exact"/>
        <w:ind w:firstLine="360"/>
        <w:rPr>
          <w:rFonts w:ascii="宋体" w:hAnsi="宋体" w:eastAsia="Arial"/>
          <w:sz w:val="24"/>
          <w:szCs w:val="24"/>
        </w:rPr>
      </w:pPr>
      <w:r>
        <w:rPr>
          <w:rFonts w:hint="eastAsia" w:ascii="宋体" w:hAnsi="宋体" w:eastAsia="Arial"/>
          <w:sz w:val="24"/>
          <w:szCs w:val="24"/>
        </w:rPr>
        <w:t>以上企业，不属于大企业的分支机构，不存在控股股东为大企业的情形，也不存在与大企业的负责人为同一人的情形。</w:t>
      </w:r>
    </w:p>
    <w:p w14:paraId="053D4597">
      <w:pPr>
        <w:spacing w:line="500" w:lineRule="exact"/>
        <w:ind w:firstLine="360"/>
        <w:rPr>
          <w:rFonts w:ascii="宋体" w:hAnsi="宋体" w:eastAsia="Arial"/>
          <w:sz w:val="24"/>
          <w:szCs w:val="24"/>
        </w:rPr>
      </w:pPr>
      <w:r>
        <w:rPr>
          <w:rFonts w:hint="eastAsia" w:ascii="宋体" w:hAnsi="宋体" w:eastAsia="Arial"/>
          <w:sz w:val="24"/>
          <w:szCs w:val="24"/>
        </w:rPr>
        <w:t>本企业对上述声明内容的真实性负责。如有虚假，将依法承担相应责任</w:t>
      </w:r>
    </w:p>
    <w:p w14:paraId="35784C81">
      <w:pPr>
        <w:spacing w:line="560" w:lineRule="exact"/>
        <w:ind w:right="180" w:firstLine="360"/>
        <w:jc w:val="right"/>
        <w:rPr>
          <w:rFonts w:ascii="宋体" w:hAnsi="宋体" w:eastAsia="Arial"/>
          <w:sz w:val="24"/>
          <w:szCs w:val="24"/>
        </w:rPr>
      </w:pPr>
      <w:r>
        <w:rPr>
          <w:rFonts w:hint="eastAsia" w:ascii="宋体" w:hAnsi="宋体" w:eastAsia="Arial"/>
          <w:sz w:val="24"/>
          <w:szCs w:val="24"/>
        </w:rPr>
        <w:t>企业名称（加盖CA电子公章）：</w:t>
      </w:r>
    </w:p>
    <w:p w14:paraId="029DAF3A">
      <w:pPr>
        <w:spacing w:line="560" w:lineRule="exact"/>
        <w:ind w:right="480" w:firstLine="5880"/>
        <w:rPr>
          <w:rFonts w:ascii="宋体" w:hAnsi="宋体" w:eastAsia="Arial"/>
          <w:sz w:val="24"/>
          <w:szCs w:val="24"/>
        </w:rPr>
      </w:pPr>
      <w:r>
        <w:rPr>
          <w:rFonts w:hint="eastAsia" w:ascii="宋体" w:hAnsi="宋体" w:eastAsia="Arial"/>
          <w:sz w:val="24"/>
          <w:szCs w:val="24"/>
        </w:rPr>
        <w:t>日  期：</w:t>
      </w:r>
    </w:p>
    <w:p w14:paraId="54D2F4C0">
      <w:pPr>
        <w:rPr>
          <w:rFonts w:ascii="Calibri" w:hAnsi="Calibri" w:eastAsia="Arial"/>
          <w:szCs w:val="24"/>
        </w:rPr>
      </w:pPr>
    </w:p>
    <w:p w14:paraId="7B9A89DA">
      <w:pPr>
        <w:spacing w:line="420" w:lineRule="exact"/>
        <w:ind w:firstLine="432"/>
        <w:rPr>
          <w:rFonts w:ascii="宋体" w:hAnsi="宋体" w:cs="宋体"/>
          <w:sz w:val="24"/>
          <w:szCs w:val="24"/>
        </w:rPr>
      </w:pPr>
      <w:r>
        <w:rPr>
          <w:rFonts w:hint="eastAsia" w:ascii="宋体" w:hAnsi="宋体" w:cs="宋体"/>
          <w:sz w:val="24"/>
          <w:szCs w:val="24"/>
        </w:rPr>
        <w:t> </w:t>
      </w:r>
    </w:p>
    <w:p w14:paraId="0BE95386">
      <w:pPr>
        <w:spacing w:line="420" w:lineRule="exact"/>
        <w:ind w:firstLine="432"/>
        <w:rPr>
          <w:rFonts w:ascii="宋体" w:hAnsi="宋体" w:cs="宋体"/>
          <w:sz w:val="24"/>
          <w:szCs w:val="24"/>
        </w:rPr>
      </w:pPr>
      <w:r>
        <w:rPr>
          <w:rFonts w:hint="eastAsia" w:ascii="宋体" w:hAnsi="宋体" w:cs="宋体"/>
          <w:sz w:val="24"/>
          <w:szCs w:val="24"/>
        </w:rPr>
        <w:t>备注：1、从业人员、营业收入、资产总额填报上一年度数据，无上一年度数据的新成立企业可不填报。</w:t>
      </w:r>
    </w:p>
    <w:p w14:paraId="344F51E4">
      <w:pPr>
        <w:spacing w:line="588" w:lineRule="exact"/>
        <w:ind w:firstLine="643"/>
        <w:rPr>
          <w:rFonts w:ascii="Calibri" w:hAnsi="Calibri" w:eastAsia="仿宋_GB2312"/>
          <w:spacing w:val="6"/>
          <w:sz w:val="30"/>
          <w:szCs w:val="30"/>
        </w:rPr>
      </w:pPr>
      <w:r>
        <w:rPr>
          <w:rFonts w:ascii="黑体" w:hAnsi="黑体" w:eastAsia="黑体"/>
          <w:b/>
          <w:sz w:val="32"/>
          <w:szCs w:val="32"/>
        </w:rPr>
        <w:br w:type="page" w:clear="all"/>
      </w:r>
      <w:r>
        <w:rPr>
          <w:rFonts w:hint="eastAsia" w:ascii="Calibri" w:hAnsi="Calibri" w:eastAsia="仿宋_GB2312"/>
          <w:spacing w:val="6"/>
          <w:sz w:val="30"/>
          <w:szCs w:val="30"/>
        </w:rPr>
        <w:t>附件</w:t>
      </w:r>
    </w:p>
    <w:p w14:paraId="4DDD237A">
      <w:pPr>
        <w:spacing w:line="588" w:lineRule="exact"/>
        <w:jc w:val="center"/>
        <w:rPr>
          <w:rFonts w:ascii="仿宋_GB2312" w:hAnsi="Calibri" w:eastAsia="仿宋_GB2312"/>
          <w:b/>
          <w:spacing w:val="6"/>
          <w:sz w:val="32"/>
          <w:szCs w:val="32"/>
        </w:rPr>
      </w:pPr>
      <w:bookmarkStart w:id="2" w:name="OLE_LINK13"/>
      <w:bookmarkStart w:id="3" w:name="OLE_LINK14"/>
      <w:r>
        <w:rPr>
          <w:rFonts w:hint="eastAsia" w:ascii="仿宋_GB2312" w:hAnsi="Calibri" w:eastAsia="仿宋_GB2312"/>
          <w:b/>
          <w:spacing w:val="6"/>
          <w:sz w:val="32"/>
          <w:szCs w:val="32"/>
        </w:rPr>
        <w:t>残疾人福利性单位声明函</w:t>
      </w:r>
      <w:bookmarkEnd w:id="2"/>
      <w:bookmarkEnd w:id="3"/>
    </w:p>
    <w:p w14:paraId="33340597">
      <w:pPr>
        <w:spacing w:line="588" w:lineRule="exact"/>
        <w:rPr>
          <w:rFonts w:ascii="仿宋_GB2312" w:hAnsi="Calibri" w:eastAsia="仿宋_GB2312"/>
          <w:b/>
          <w:spacing w:val="6"/>
          <w:sz w:val="30"/>
          <w:szCs w:val="30"/>
        </w:rPr>
      </w:pPr>
    </w:p>
    <w:p w14:paraId="4CE9CB41">
      <w:pPr>
        <w:spacing w:line="588" w:lineRule="exact"/>
        <w:ind w:firstLine="624"/>
        <w:rPr>
          <w:rFonts w:ascii="仿宋_GB2312" w:hAnsi="Calibri" w:eastAsia="仿宋_GB2312"/>
          <w:spacing w:val="6"/>
          <w:sz w:val="30"/>
          <w:szCs w:val="30"/>
        </w:rPr>
      </w:pPr>
      <w:r>
        <w:rPr>
          <w:rFonts w:hint="eastAsia" w:ascii="仿宋_GB2312" w:hAnsi="Calibri" w:eastAsia="仿宋_GB2312"/>
          <w:spacing w:val="6"/>
          <w:sz w:val="30"/>
          <w:szCs w:val="30"/>
        </w:rPr>
        <w:t>本单位郑重声明，根据《财政部 民政部 中国残疾人联合会关于促进残疾人就业政府采购政策的通知》（财库</w:t>
      </w:r>
      <w:r>
        <w:rPr>
          <w:rFonts w:hint="eastAsia" w:ascii="仿宋_GB2312" w:hAnsi="Calibri" w:eastAsia="仿宋_GB2312"/>
          <w:sz w:val="32"/>
          <w:szCs w:val="32"/>
        </w:rPr>
        <w:t>〔2017〕 141</w:t>
      </w:r>
      <w:r>
        <w:rPr>
          <w:rFonts w:hint="eastAsia" w:ascii="仿宋_GB2312" w:hAnsi="Calibri" w:eastAsia="仿宋_GB2312"/>
          <w:spacing w:val="6"/>
          <w:sz w:val="30"/>
          <w:szCs w:val="30"/>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8376515">
      <w:pPr>
        <w:spacing w:line="588" w:lineRule="exact"/>
        <w:ind w:firstLine="624"/>
        <w:rPr>
          <w:rFonts w:ascii="仿宋_GB2312" w:hAnsi="Calibri" w:eastAsia="仿宋_GB2312"/>
          <w:spacing w:val="6"/>
          <w:sz w:val="30"/>
          <w:szCs w:val="30"/>
        </w:rPr>
      </w:pPr>
      <w:r>
        <w:rPr>
          <w:rFonts w:hint="eastAsia" w:ascii="仿宋_GB2312" w:hAnsi="Calibri" w:eastAsia="仿宋_GB2312"/>
          <w:spacing w:val="6"/>
          <w:sz w:val="30"/>
          <w:szCs w:val="30"/>
        </w:rPr>
        <w:t>本单位对上述声明的真实性负责。如有虚假，将依法承担相应责任。</w:t>
      </w:r>
    </w:p>
    <w:p w14:paraId="57657035">
      <w:pPr>
        <w:spacing w:line="588" w:lineRule="exact"/>
        <w:ind w:firstLine="624"/>
        <w:rPr>
          <w:rFonts w:ascii="仿宋_GB2312" w:hAnsi="Calibri" w:eastAsia="仿宋_GB2312"/>
          <w:spacing w:val="6"/>
          <w:sz w:val="30"/>
          <w:szCs w:val="30"/>
        </w:rPr>
      </w:pPr>
    </w:p>
    <w:p w14:paraId="2F51ADB7">
      <w:pPr>
        <w:spacing w:line="588" w:lineRule="exact"/>
        <w:ind w:firstLine="624"/>
        <w:rPr>
          <w:rFonts w:ascii="仿宋_GB2312" w:hAnsi="Calibri" w:eastAsia="仿宋_GB2312"/>
          <w:spacing w:val="6"/>
          <w:sz w:val="30"/>
          <w:szCs w:val="30"/>
        </w:rPr>
      </w:pPr>
    </w:p>
    <w:p w14:paraId="29B32D50">
      <w:pPr>
        <w:tabs>
          <w:tab w:val="left" w:pos="4860"/>
        </w:tabs>
        <w:spacing w:line="588" w:lineRule="exact"/>
        <w:ind w:right="1560" w:firstLine="624"/>
        <w:jc w:val="center"/>
        <w:rPr>
          <w:rFonts w:ascii="仿宋_GB2312" w:hAnsi="Calibri" w:eastAsia="仿宋_GB2312"/>
          <w:spacing w:val="6"/>
          <w:sz w:val="30"/>
          <w:szCs w:val="30"/>
        </w:rPr>
      </w:pPr>
      <w:r>
        <w:rPr>
          <w:rFonts w:hint="eastAsia" w:ascii="仿宋_GB2312" w:hAnsi="Calibri" w:eastAsia="仿宋_GB2312"/>
          <w:spacing w:val="6"/>
          <w:sz w:val="30"/>
          <w:szCs w:val="30"/>
        </w:rPr>
        <w:t xml:space="preserve">               单位名称（盖章）：</w:t>
      </w:r>
    </w:p>
    <w:p w14:paraId="253BE730">
      <w:pPr>
        <w:tabs>
          <w:tab w:val="left" w:pos="4860"/>
        </w:tabs>
        <w:spacing w:line="588" w:lineRule="exact"/>
        <w:ind w:right="1560" w:firstLine="624"/>
        <w:jc w:val="center"/>
        <w:rPr>
          <w:rFonts w:ascii="仿宋_GB2312" w:hAnsi="Calibri" w:eastAsia="仿宋_GB2312"/>
          <w:spacing w:val="6"/>
          <w:sz w:val="30"/>
          <w:szCs w:val="30"/>
        </w:rPr>
      </w:pPr>
      <w:r>
        <w:rPr>
          <w:rFonts w:hint="eastAsia" w:ascii="仿宋_GB2312" w:hAnsi="Calibri" w:eastAsia="仿宋_GB2312"/>
          <w:spacing w:val="6"/>
          <w:sz w:val="30"/>
          <w:szCs w:val="30"/>
        </w:rPr>
        <w:t xml:space="preserve">       日  期：</w:t>
      </w:r>
    </w:p>
    <w:p w14:paraId="175599EE">
      <w:pPr>
        <w:spacing w:line="360" w:lineRule="auto"/>
        <w:ind w:firstLine="2880"/>
        <w:rPr>
          <w:rFonts w:ascii="黑体" w:hAnsi="宋体" w:eastAsia="黑体"/>
          <w:sz w:val="32"/>
          <w:szCs w:val="32"/>
        </w:rPr>
      </w:pPr>
    </w:p>
    <w:p w14:paraId="1FCB8DBF">
      <w:pPr>
        <w:widowControl/>
        <w:spacing w:before="160" w:after="160" w:line="240" w:lineRule="atLeast"/>
        <w:ind w:left="1260"/>
        <w:jc w:val="left"/>
        <w:rPr>
          <w:rFonts w:eastAsia="Arial" w:cs="Arial"/>
        </w:rPr>
      </w:pPr>
    </w:p>
    <w:p w14:paraId="54E367F8">
      <w:pPr>
        <w:rPr>
          <w:rFonts w:ascii="Calibri" w:hAnsi="Calibri" w:eastAsia="Arial"/>
          <w:szCs w:val="24"/>
        </w:rPr>
      </w:pPr>
    </w:p>
    <w:p w14:paraId="688F0AD7">
      <w:pPr>
        <w:widowControl/>
        <w:spacing w:before="160" w:after="160" w:line="240" w:lineRule="atLeast"/>
        <w:ind w:left="1260"/>
        <w:jc w:val="left"/>
        <w:rPr>
          <w:rFonts w:eastAsia="Arial" w:cs="Arial"/>
        </w:rPr>
      </w:pPr>
    </w:p>
    <w:p w14:paraId="0C3C2DA0">
      <w:pPr>
        <w:rPr>
          <w:rFonts w:ascii="Calibri" w:hAnsi="Calibri" w:eastAsia="Arial"/>
          <w:szCs w:val="24"/>
        </w:rPr>
      </w:pPr>
    </w:p>
    <w:p w14:paraId="4CD1C2EE">
      <w:pPr>
        <w:spacing w:line="360" w:lineRule="auto"/>
        <w:ind w:firstLine="2880"/>
        <w:rPr>
          <w:rFonts w:ascii="黑体" w:hAnsi="宋体" w:eastAsia="黑体"/>
          <w:sz w:val="32"/>
          <w:szCs w:val="32"/>
        </w:rPr>
      </w:pPr>
    </w:p>
    <w:p w14:paraId="6ECBD7A5">
      <w:pPr>
        <w:spacing w:line="360" w:lineRule="auto"/>
        <w:ind w:firstLine="2880"/>
        <w:rPr>
          <w:rFonts w:ascii="黑体" w:hAnsi="宋体" w:eastAsia="黑体"/>
          <w:sz w:val="32"/>
          <w:szCs w:val="32"/>
        </w:rPr>
      </w:pPr>
    </w:p>
    <w:p w14:paraId="74EC7652">
      <w:pPr>
        <w:spacing w:line="440" w:lineRule="exact"/>
        <w:ind w:firstLine="1335"/>
        <w:rPr>
          <w:rFonts w:ascii="宋体" w:hAnsi="宋体"/>
          <w:sz w:val="28"/>
          <w:szCs w:val="28"/>
        </w:rPr>
      </w:pPr>
      <w:r>
        <w:rPr>
          <w:rFonts w:hint="eastAsia" w:ascii="宋体" w:hAnsi="宋体" w:eastAsia="Arial"/>
          <w:sz w:val="28"/>
          <w:szCs w:val="28"/>
        </w:rPr>
        <w:t> 备注：</w:t>
      </w:r>
      <w:r>
        <w:rPr>
          <w:rFonts w:hint="eastAsia" w:ascii="宋体" w:hAnsi="宋体"/>
          <w:sz w:val="28"/>
          <w:szCs w:val="28"/>
        </w:rPr>
        <w:t>如是残疾人福利性单位需提供</w:t>
      </w:r>
      <w:r>
        <w:rPr>
          <w:rFonts w:hint="eastAsia" w:ascii="宋体" w:hAnsi="宋体" w:eastAsia="Arial"/>
          <w:sz w:val="28"/>
          <w:szCs w:val="28"/>
        </w:rPr>
        <w:t>。</w:t>
      </w:r>
    </w:p>
    <w:p w14:paraId="4C51D942">
      <w:pPr>
        <w:spacing w:line="360" w:lineRule="auto"/>
        <w:ind w:firstLine="2880"/>
        <w:rPr>
          <w:rFonts w:ascii="黑体" w:hAnsi="宋体" w:eastAsia="黑体"/>
          <w:sz w:val="32"/>
          <w:szCs w:val="32"/>
        </w:rPr>
      </w:pPr>
    </w:p>
    <w:p w14:paraId="7F57F59C">
      <w:pPr>
        <w:spacing w:line="400" w:lineRule="exact"/>
        <w:ind w:firstLine="420"/>
        <w:rPr>
          <w:rFonts w:ascii="黑体" w:hAnsi="宋体" w:eastAsia="黑体"/>
          <w:sz w:val="32"/>
          <w:szCs w:val="32"/>
        </w:rPr>
      </w:pPr>
    </w:p>
    <w:p w14:paraId="6CA234EE">
      <w:pPr>
        <w:spacing w:line="400" w:lineRule="exact"/>
        <w:rPr>
          <w:rFonts w:ascii="黑体" w:hAnsi="宋体" w:eastAsia="黑体"/>
          <w:sz w:val="32"/>
          <w:szCs w:val="32"/>
        </w:rPr>
      </w:pPr>
    </w:p>
    <w:p w14:paraId="461473ED">
      <w:pPr>
        <w:spacing w:line="360" w:lineRule="auto"/>
        <w:ind w:firstLine="2880"/>
        <w:rPr>
          <w:rFonts w:ascii="黑体" w:hAnsi="宋体" w:eastAsia="黑体"/>
          <w:sz w:val="32"/>
          <w:szCs w:val="32"/>
        </w:rPr>
      </w:pPr>
      <w:r>
        <w:rPr>
          <w:rFonts w:hint="eastAsia" w:ascii="黑体" w:hAnsi="宋体" w:eastAsia="黑体"/>
          <w:sz w:val="32"/>
          <w:szCs w:val="32"/>
        </w:rPr>
        <w:t>属于监狱企业的证明文件</w:t>
      </w:r>
    </w:p>
    <w:p w14:paraId="2D8BAEC7">
      <w:pPr>
        <w:widowControl/>
        <w:spacing w:line="500" w:lineRule="exact"/>
        <w:ind w:firstLine="560"/>
        <w:jc w:val="left"/>
        <w:rPr>
          <w:rFonts w:ascii="宋体" w:hAnsi="宋体" w:cs="Arial"/>
          <w:sz w:val="28"/>
          <w:szCs w:val="28"/>
        </w:rPr>
      </w:pPr>
      <w:r>
        <w:rPr>
          <w:rFonts w:ascii="宋体" w:hAnsi="宋体" w:cs="Arial"/>
          <w:sz w:val="28"/>
          <w:szCs w:val="28"/>
        </w:rPr>
        <w:t>（提供由省级以上监狱管理局、戒毒管理局(含新疆生产建设兵团)出具的属于监狱企业的证明文件）</w:t>
      </w:r>
    </w:p>
    <w:p w14:paraId="32B1A52F">
      <w:pPr>
        <w:widowControl/>
        <w:spacing w:line="440" w:lineRule="exact"/>
        <w:ind w:firstLine="560"/>
        <w:jc w:val="left"/>
        <w:rPr>
          <w:rFonts w:ascii="宋体" w:hAnsi="宋体" w:cs="Arial"/>
          <w:sz w:val="28"/>
          <w:szCs w:val="28"/>
        </w:rPr>
      </w:pPr>
    </w:p>
    <w:p w14:paraId="2AF10845">
      <w:pPr>
        <w:rPr>
          <w:rFonts w:ascii="Calibri" w:hAnsi="Calibri" w:eastAsia="Arial"/>
          <w:szCs w:val="24"/>
        </w:rPr>
      </w:pPr>
    </w:p>
    <w:p w14:paraId="7998E1AC">
      <w:pPr>
        <w:rPr>
          <w:rFonts w:ascii="Calibri" w:hAnsi="Calibri" w:eastAsia="Arial"/>
          <w:szCs w:val="24"/>
        </w:rPr>
      </w:pPr>
    </w:p>
    <w:p w14:paraId="12417E5F">
      <w:pPr>
        <w:spacing w:line="400" w:lineRule="exact"/>
        <w:ind w:firstLine="420"/>
        <w:rPr>
          <w:rFonts w:ascii="宋体" w:hAnsi="宋体" w:eastAsia="Arial"/>
          <w:sz w:val="28"/>
          <w:szCs w:val="28"/>
        </w:rPr>
      </w:pPr>
    </w:p>
    <w:p w14:paraId="5412DA73">
      <w:pPr>
        <w:spacing w:line="400" w:lineRule="exact"/>
        <w:ind w:firstLine="420"/>
        <w:rPr>
          <w:rFonts w:ascii="宋体" w:hAnsi="宋体" w:eastAsia="Arial"/>
          <w:sz w:val="24"/>
        </w:rPr>
      </w:pPr>
    </w:p>
    <w:p w14:paraId="1E580620">
      <w:pPr>
        <w:spacing w:line="440" w:lineRule="exact"/>
        <w:ind w:firstLine="2240"/>
        <w:rPr>
          <w:rFonts w:ascii="黑体" w:hAnsi="宋体" w:eastAsia="黑体"/>
          <w:sz w:val="32"/>
          <w:szCs w:val="32"/>
        </w:rPr>
      </w:pPr>
    </w:p>
    <w:p w14:paraId="4353ED4A">
      <w:pPr>
        <w:spacing w:line="440" w:lineRule="exact"/>
        <w:ind w:firstLine="2240"/>
        <w:rPr>
          <w:rFonts w:ascii="黑体" w:hAnsi="宋体" w:eastAsia="黑体"/>
          <w:sz w:val="32"/>
          <w:szCs w:val="32"/>
        </w:rPr>
      </w:pPr>
    </w:p>
    <w:p w14:paraId="7ACAC6CA">
      <w:pPr>
        <w:spacing w:line="440" w:lineRule="exact"/>
        <w:ind w:firstLine="2240"/>
        <w:rPr>
          <w:rFonts w:ascii="黑体" w:hAnsi="宋体" w:eastAsia="黑体"/>
          <w:sz w:val="32"/>
          <w:szCs w:val="32"/>
        </w:rPr>
      </w:pPr>
    </w:p>
    <w:p w14:paraId="04C9358E">
      <w:pPr>
        <w:spacing w:line="440" w:lineRule="exact"/>
        <w:ind w:firstLine="2240"/>
        <w:rPr>
          <w:rFonts w:ascii="黑体" w:hAnsi="宋体" w:eastAsia="黑体"/>
          <w:sz w:val="32"/>
          <w:szCs w:val="32"/>
        </w:rPr>
      </w:pPr>
    </w:p>
    <w:p w14:paraId="053BE846">
      <w:pPr>
        <w:spacing w:line="440" w:lineRule="exact"/>
        <w:ind w:firstLine="2240"/>
        <w:rPr>
          <w:rFonts w:ascii="黑体" w:hAnsi="宋体" w:eastAsia="黑体"/>
          <w:sz w:val="32"/>
          <w:szCs w:val="32"/>
        </w:rPr>
      </w:pPr>
    </w:p>
    <w:p w14:paraId="209EBB58">
      <w:pPr>
        <w:spacing w:line="440" w:lineRule="exact"/>
        <w:ind w:firstLine="2240"/>
        <w:rPr>
          <w:rFonts w:ascii="黑体" w:hAnsi="宋体" w:eastAsia="黑体"/>
          <w:sz w:val="32"/>
          <w:szCs w:val="32"/>
        </w:rPr>
      </w:pPr>
    </w:p>
    <w:p w14:paraId="7F945237">
      <w:pPr>
        <w:spacing w:line="440" w:lineRule="exact"/>
        <w:ind w:firstLine="2240"/>
        <w:rPr>
          <w:rFonts w:ascii="黑体" w:hAnsi="宋体" w:eastAsia="黑体"/>
          <w:sz w:val="32"/>
          <w:szCs w:val="32"/>
        </w:rPr>
      </w:pPr>
    </w:p>
    <w:p w14:paraId="543BC8FA">
      <w:pPr>
        <w:spacing w:line="440" w:lineRule="exact"/>
        <w:ind w:firstLine="2240"/>
        <w:rPr>
          <w:rFonts w:ascii="黑体" w:hAnsi="宋体" w:eastAsia="黑体"/>
          <w:sz w:val="32"/>
          <w:szCs w:val="32"/>
        </w:rPr>
      </w:pPr>
    </w:p>
    <w:p w14:paraId="4FDFB1E8">
      <w:pPr>
        <w:spacing w:line="440" w:lineRule="exact"/>
        <w:ind w:firstLine="2240"/>
        <w:rPr>
          <w:rFonts w:ascii="黑体" w:hAnsi="宋体" w:eastAsia="黑体"/>
          <w:sz w:val="32"/>
          <w:szCs w:val="32"/>
        </w:rPr>
      </w:pPr>
    </w:p>
    <w:p w14:paraId="5B468ECC">
      <w:pPr>
        <w:spacing w:line="440" w:lineRule="exact"/>
        <w:ind w:firstLine="2240"/>
        <w:rPr>
          <w:rFonts w:ascii="黑体" w:hAnsi="宋体" w:eastAsia="黑体"/>
          <w:sz w:val="32"/>
          <w:szCs w:val="32"/>
        </w:rPr>
      </w:pPr>
    </w:p>
    <w:p w14:paraId="2C0DD6F5">
      <w:pPr>
        <w:spacing w:line="440" w:lineRule="exact"/>
        <w:ind w:firstLine="2240"/>
        <w:rPr>
          <w:rFonts w:ascii="黑体" w:hAnsi="宋体" w:eastAsia="黑体"/>
          <w:sz w:val="32"/>
          <w:szCs w:val="32"/>
        </w:rPr>
      </w:pPr>
    </w:p>
    <w:p w14:paraId="134162F3">
      <w:pPr>
        <w:spacing w:line="440" w:lineRule="exact"/>
        <w:ind w:firstLine="2240"/>
        <w:rPr>
          <w:rFonts w:ascii="黑体" w:hAnsi="宋体" w:eastAsia="黑体"/>
          <w:sz w:val="32"/>
          <w:szCs w:val="32"/>
        </w:rPr>
      </w:pPr>
    </w:p>
    <w:p w14:paraId="6A95C819">
      <w:pPr>
        <w:spacing w:line="440" w:lineRule="exact"/>
        <w:ind w:firstLine="2240"/>
        <w:rPr>
          <w:rFonts w:ascii="黑体" w:hAnsi="宋体" w:eastAsia="黑体"/>
          <w:sz w:val="32"/>
          <w:szCs w:val="32"/>
        </w:rPr>
      </w:pPr>
    </w:p>
    <w:p w14:paraId="4C2600D5">
      <w:pPr>
        <w:spacing w:line="440" w:lineRule="exact"/>
        <w:ind w:firstLine="2240"/>
        <w:rPr>
          <w:rFonts w:ascii="黑体" w:hAnsi="宋体" w:eastAsia="黑体"/>
          <w:sz w:val="32"/>
          <w:szCs w:val="32"/>
        </w:rPr>
      </w:pPr>
    </w:p>
    <w:p w14:paraId="0226657E">
      <w:pPr>
        <w:spacing w:line="440" w:lineRule="exact"/>
        <w:ind w:firstLine="2240"/>
        <w:rPr>
          <w:rFonts w:ascii="黑体" w:hAnsi="宋体" w:eastAsia="黑体"/>
          <w:sz w:val="32"/>
          <w:szCs w:val="32"/>
        </w:rPr>
      </w:pPr>
    </w:p>
    <w:p w14:paraId="1BD684AA">
      <w:pPr>
        <w:spacing w:line="440" w:lineRule="exact"/>
        <w:ind w:firstLine="2240"/>
        <w:rPr>
          <w:rFonts w:ascii="黑体" w:hAnsi="宋体" w:eastAsia="黑体"/>
          <w:sz w:val="32"/>
          <w:szCs w:val="32"/>
        </w:rPr>
      </w:pPr>
    </w:p>
    <w:p w14:paraId="3A1FF8BE">
      <w:pPr>
        <w:tabs>
          <w:tab w:val="left" w:pos="4860"/>
        </w:tabs>
        <w:spacing w:line="588" w:lineRule="exact"/>
        <w:ind w:right="1560" w:firstLine="560"/>
        <w:jc w:val="center"/>
        <w:rPr>
          <w:rFonts w:ascii="黑体" w:hAnsi="黑体" w:eastAsia="黑体"/>
          <w:b/>
          <w:sz w:val="32"/>
          <w:szCs w:val="32"/>
        </w:rPr>
      </w:pPr>
      <w:r>
        <w:rPr>
          <w:rFonts w:hint="eastAsia" w:ascii="宋体" w:hAnsi="宋体" w:eastAsia="Arial"/>
          <w:sz w:val="28"/>
          <w:szCs w:val="28"/>
        </w:rPr>
        <w:t> 备注：</w:t>
      </w:r>
      <w:r>
        <w:rPr>
          <w:rFonts w:hint="eastAsia" w:ascii="宋体" w:hAnsi="宋体"/>
          <w:sz w:val="28"/>
          <w:szCs w:val="28"/>
        </w:rPr>
        <w:t>如是监狱企业需提供</w:t>
      </w:r>
      <w:r>
        <w:rPr>
          <w:rFonts w:hint="eastAsia" w:ascii="宋体" w:hAnsi="宋体" w:eastAsia="Arial"/>
          <w:sz w:val="28"/>
          <w:szCs w:val="28"/>
        </w:rPr>
        <w:t>。</w:t>
      </w:r>
    </w:p>
    <w:p w14:paraId="0C4FF490">
      <w:pPr>
        <w:tabs>
          <w:tab w:val="left" w:pos="4860"/>
        </w:tabs>
        <w:spacing w:line="588" w:lineRule="exact"/>
        <w:ind w:right="1560" w:firstLine="643"/>
        <w:jc w:val="center"/>
        <w:rPr>
          <w:rFonts w:ascii="黑体" w:hAnsi="黑体" w:eastAsia="黑体"/>
          <w:b/>
          <w:sz w:val="32"/>
          <w:szCs w:val="32"/>
        </w:rPr>
      </w:pPr>
    </w:p>
    <w:p w14:paraId="5105B69E">
      <w:pPr>
        <w:spacing w:after="120"/>
        <w:rPr>
          <w:rFonts w:ascii="黑体" w:hAnsi="黑体" w:eastAsia="黑体"/>
          <w:b/>
          <w:sz w:val="32"/>
          <w:szCs w:val="32"/>
        </w:rPr>
      </w:pPr>
    </w:p>
    <w:p w14:paraId="13B504FD">
      <w:pPr>
        <w:pageBreakBefore/>
        <w:pBdr>
          <w:top w:val="none" w:color="000000" w:sz="0" w:space="0"/>
          <w:left w:val="none" w:color="000000" w:sz="0" w:space="0"/>
          <w:bottom w:val="none" w:color="000000" w:sz="0" w:space="0"/>
          <w:right w:val="none" w:color="000000" w:sz="0" w:space="0"/>
        </w:pBdr>
        <w:spacing w:before="50" w:after="50"/>
        <w:jc w:val="center"/>
        <w:rPr>
          <w:rFonts w:ascii="宋体" w:hAnsi="宋体" w:cs="宋体"/>
          <w:b/>
          <w:sz w:val="32"/>
        </w:rPr>
      </w:pPr>
      <w:r>
        <w:rPr>
          <w:rFonts w:ascii="宋体" w:hAnsi="宋体" w:cs="宋体"/>
          <w:b/>
          <w:sz w:val="32"/>
        </w:rPr>
        <w:t>十</w:t>
      </w:r>
      <w:r>
        <w:rPr>
          <w:rFonts w:hint="eastAsia" w:ascii="宋体" w:hAnsi="宋体" w:cs="宋体"/>
          <w:b/>
          <w:sz w:val="32"/>
        </w:rPr>
        <w:t>二</w:t>
      </w:r>
      <w:r>
        <w:rPr>
          <w:rFonts w:ascii="宋体" w:hAnsi="宋体" w:cs="宋体"/>
          <w:b/>
          <w:sz w:val="32"/>
        </w:rPr>
        <w:t>、关于符合本国产品标准的声明函</w:t>
      </w:r>
    </w:p>
    <w:p w14:paraId="3022A788">
      <w:pPr>
        <w:ind w:firstLine="420"/>
        <w:rPr>
          <w:rFonts w:ascii="Calibri" w:hAnsi="Calibri" w:eastAsia="Arial"/>
          <w:sz w:val="24"/>
          <w:szCs w:val="24"/>
        </w:rPr>
      </w:pPr>
      <w:r>
        <w:rPr>
          <w:rFonts w:ascii="Arial" w:hAnsi="Arial" w:eastAsia="Arial" w:cs="Arial"/>
          <w:sz w:val="24"/>
          <w:szCs w:val="24"/>
        </w:rPr>
        <w:t> </w:t>
      </w:r>
    </w:p>
    <w:p w14:paraId="162046F3">
      <w:pPr>
        <w:ind w:firstLine="420"/>
        <w:rPr>
          <w:rFonts w:ascii="Calibri" w:hAnsi="Calibri" w:eastAsia="Arial"/>
          <w:sz w:val="24"/>
          <w:szCs w:val="24"/>
        </w:rPr>
      </w:pPr>
      <w:r>
        <w:rPr>
          <w:rFonts w:ascii="宋体" w:hAnsi="宋体" w:cs="宋体"/>
          <w:sz w:val="24"/>
          <w:szCs w:val="24"/>
        </w:rPr>
        <w:t>本公司（单位）郑重声明，根据《国务院办公厅关于在政府采购中实施本国产品标准及相关政策的通知》（国办发〔2025〕34号）的规定，本公司（单位）提供的以下产品属于本国产品。具体情况如下：</w:t>
      </w:r>
    </w:p>
    <w:p w14:paraId="3D3699AD">
      <w:pPr>
        <w:spacing w:before="30" w:after="30"/>
        <w:ind w:firstLine="420"/>
        <w:rPr>
          <w:rFonts w:ascii="Calibri" w:hAnsi="Calibri" w:eastAsia="Arial"/>
          <w:sz w:val="24"/>
          <w:szCs w:val="24"/>
        </w:rPr>
      </w:pPr>
      <w:r>
        <w:rPr>
          <w:rFonts w:ascii="宋体" w:hAnsi="宋体" w:cs="宋体"/>
          <w:sz w:val="24"/>
          <w:szCs w:val="24"/>
          <w:shd w:val="clear" w:color="auto" w:fill="FFFFFF"/>
        </w:rPr>
        <w:t>1.</w:t>
      </w:r>
      <w:r>
        <w:rPr>
          <w:rFonts w:ascii="宋体" w:hAnsi="宋体" w:cs="宋体"/>
          <w:sz w:val="24"/>
          <w:szCs w:val="24"/>
          <w:u w:val="single"/>
          <w:shd w:val="clear" w:color="auto" w:fill="FFFFFF"/>
        </w:rPr>
        <w:t>（产品名称1）</w:t>
      </w:r>
      <w:r>
        <w:rPr>
          <w:rFonts w:ascii="宋体" w:hAnsi="宋体" w:cs="宋体"/>
          <w:sz w:val="24"/>
          <w:szCs w:val="24"/>
          <w:shd w:val="clear" w:color="auto" w:fill="FFFFFF"/>
          <w:vertAlign w:val="superscript"/>
        </w:rPr>
        <w:t>1</w:t>
      </w:r>
      <w:r>
        <w:rPr>
          <w:rFonts w:ascii="宋体" w:hAnsi="宋体" w:cs="宋体"/>
          <w:sz w:val="24"/>
          <w:szCs w:val="24"/>
          <w:shd w:val="clear" w:color="auto" w:fill="FFFFFF"/>
        </w:rPr>
        <w:t>，生产厂为</w:t>
      </w:r>
      <w:r>
        <w:rPr>
          <w:rFonts w:ascii="宋体" w:hAnsi="宋体" w:cs="宋体"/>
          <w:sz w:val="24"/>
          <w:szCs w:val="24"/>
          <w:u w:val="single"/>
          <w:shd w:val="clear" w:color="auto" w:fill="FFFFFF"/>
        </w:rPr>
        <w:t>（厂名）</w:t>
      </w:r>
      <w:r>
        <w:rPr>
          <w:rFonts w:ascii="宋体" w:hAnsi="宋体" w:cs="宋体"/>
          <w:sz w:val="24"/>
          <w:szCs w:val="24"/>
          <w:shd w:val="clear" w:color="auto" w:fill="FFFFFF"/>
          <w:vertAlign w:val="superscript"/>
        </w:rPr>
        <w:t>2</w:t>
      </w:r>
      <w:r>
        <w:rPr>
          <w:rFonts w:ascii="宋体" w:hAnsi="宋体" w:cs="宋体"/>
          <w:sz w:val="24"/>
          <w:szCs w:val="24"/>
          <w:shd w:val="clear" w:color="auto" w:fill="FFFFFF"/>
        </w:rPr>
        <w:t>，厂址为</w:t>
      </w:r>
      <w:r>
        <w:rPr>
          <w:rFonts w:ascii="宋体" w:hAnsi="宋体" w:cs="宋体"/>
          <w:sz w:val="24"/>
          <w:szCs w:val="24"/>
          <w:u w:val="single"/>
          <w:shd w:val="clear" w:color="auto" w:fill="FFFFFF"/>
        </w:rPr>
        <w:t>（生产厂址）</w:t>
      </w:r>
      <w:r>
        <w:rPr>
          <w:rFonts w:ascii="宋体" w:hAnsi="宋体" w:cs="宋体"/>
          <w:sz w:val="24"/>
          <w:szCs w:val="24"/>
          <w:shd w:val="clear" w:color="auto" w:fill="FFFFFF"/>
        </w:rPr>
        <w:t>。</w:t>
      </w:r>
      <w:r>
        <w:rPr>
          <w:rFonts w:ascii="宋体" w:hAnsi="宋体" w:cs="宋体"/>
          <w:strike/>
          <w:sz w:val="24"/>
          <w:szCs w:val="24"/>
          <w:u w:val="single"/>
          <w:shd w:val="clear" w:color="auto" w:fill="FFFFFF"/>
        </w:rPr>
        <w:t> （产品名称1）</w:t>
      </w:r>
      <w:r>
        <w:rPr>
          <w:rFonts w:ascii="宋体" w:hAnsi="宋体" w:cs="宋体"/>
          <w:sz w:val="24"/>
          <w:szCs w:val="24"/>
          <w:u w:val="single"/>
          <w:shd w:val="clear" w:color="auto" w:fill="FFFFFF"/>
        </w:rPr>
        <w:t> </w:t>
      </w:r>
      <w:r>
        <w:rPr>
          <w:rFonts w:ascii="宋体" w:hAnsi="宋体" w:cs="宋体"/>
          <w:sz w:val="24"/>
          <w:szCs w:val="24"/>
          <w:shd w:val="clear" w:color="auto" w:fill="FFFFFF"/>
        </w:rPr>
        <w:t>的中国境内生产的组件成本占比≥</w:t>
      </w:r>
      <w:r>
        <w:rPr>
          <w:rFonts w:ascii="宋体" w:hAnsi="宋体" w:cs="宋体"/>
          <w:strike/>
          <w:sz w:val="24"/>
          <w:szCs w:val="24"/>
          <w:u w:val="single"/>
          <w:shd w:val="clear" w:color="auto" w:fill="FFFFFF"/>
        </w:rPr>
        <w:t>（规定比例）</w:t>
      </w:r>
      <w:r>
        <w:rPr>
          <w:rFonts w:ascii="宋体" w:hAnsi="宋体" w:cs="宋体"/>
          <w:strike/>
          <w:sz w:val="24"/>
          <w:szCs w:val="24"/>
          <w:shd w:val="clear" w:color="auto" w:fill="FFFFFF"/>
          <w:vertAlign w:val="superscript"/>
        </w:rPr>
        <w:t>3</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（关键组件）</w:t>
      </w:r>
      <w:r>
        <w:rPr>
          <w:rFonts w:ascii="宋体" w:hAnsi="宋体" w:cs="宋体"/>
          <w:strike/>
          <w:sz w:val="24"/>
          <w:szCs w:val="24"/>
          <w:shd w:val="clear" w:color="auto" w:fill="FFFFFF"/>
          <w:vertAlign w:val="superscript"/>
        </w:rPr>
        <w:t>4</w:t>
      </w:r>
      <w:r>
        <w:rPr>
          <w:rFonts w:ascii="宋体" w:hAnsi="宋体" w:cs="宋体"/>
          <w:sz w:val="24"/>
          <w:szCs w:val="24"/>
          <w:shd w:val="clear" w:color="auto" w:fill="FFFFFF"/>
        </w:rPr>
        <w:t>在中国境内生产。</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（关键工序）</w:t>
      </w:r>
      <w:r>
        <w:rPr>
          <w:rFonts w:ascii="宋体" w:hAnsi="宋体" w:cs="宋体"/>
          <w:strike/>
          <w:sz w:val="24"/>
          <w:szCs w:val="24"/>
          <w:shd w:val="clear" w:color="auto" w:fill="FFFFFF"/>
          <w:vertAlign w:val="superscript"/>
        </w:rPr>
        <w:t>5</w:t>
      </w:r>
      <w:r>
        <w:rPr>
          <w:rFonts w:ascii="宋体" w:hAnsi="宋体" w:cs="宋体"/>
          <w:sz w:val="24"/>
          <w:szCs w:val="24"/>
          <w:shd w:val="clear" w:color="auto" w:fill="FFFFFF"/>
        </w:rPr>
        <w:t>在中国境内完成。</w:t>
      </w:r>
    </w:p>
    <w:p w14:paraId="4647A4EB">
      <w:pPr>
        <w:spacing w:before="30" w:after="30"/>
        <w:ind w:firstLine="420"/>
        <w:rPr>
          <w:rFonts w:ascii="Calibri" w:hAnsi="Calibri" w:eastAsia="Arial"/>
          <w:sz w:val="24"/>
          <w:szCs w:val="24"/>
        </w:rPr>
      </w:pPr>
      <w:r>
        <w:rPr>
          <w:rFonts w:ascii="宋体" w:hAnsi="宋体" w:cs="宋体"/>
          <w:sz w:val="24"/>
          <w:szCs w:val="24"/>
          <w:shd w:val="clear" w:color="auto" w:fill="FFFFFF"/>
        </w:rPr>
        <w:t>2.</w:t>
      </w:r>
      <w:r>
        <w:rPr>
          <w:rFonts w:ascii="宋体" w:hAnsi="宋体" w:cs="宋体"/>
          <w:sz w:val="24"/>
          <w:szCs w:val="24"/>
          <w:u w:val="single"/>
          <w:shd w:val="clear" w:color="auto" w:fill="FFFFFF"/>
        </w:rPr>
        <w:t>（产品名称2）</w:t>
      </w:r>
      <w:r>
        <w:rPr>
          <w:rFonts w:ascii="宋体" w:hAnsi="宋体" w:cs="宋体"/>
          <w:sz w:val="24"/>
          <w:szCs w:val="24"/>
          <w:shd w:val="clear" w:color="auto" w:fill="FFFFFF"/>
        </w:rPr>
        <w:t>，生产厂为</w:t>
      </w:r>
      <w:r>
        <w:rPr>
          <w:rFonts w:ascii="宋体" w:hAnsi="宋体" w:cs="宋体"/>
          <w:sz w:val="24"/>
          <w:szCs w:val="24"/>
          <w:u w:val="single"/>
          <w:shd w:val="clear" w:color="auto" w:fill="FFFFFF"/>
        </w:rPr>
        <w:t>（厂名）</w:t>
      </w:r>
      <w:r>
        <w:rPr>
          <w:rFonts w:ascii="宋体" w:hAnsi="宋体" w:cs="宋体"/>
          <w:sz w:val="24"/>
          <w:szCs w:val="24"/>
          <w:shd w:val="clear" w:color="auto" w:fill="FFFFFF"/>
        </w:rPr>
        <w:t>，厂址为</w:t>
      </w:r>
      <w:r>
        <w:rPr>
          <w:rFonts w:ascii="宋体" w:hAnsi="宋体" w:cs="宋体"/>
          <w:sz w:val="24"/>
          <w:szCs w:val="24"/>
          <w:u w:val="single"/>
          <w:shd w:val="clear" w:color="auto" w:fill="FFFFFF"/>
        </w:rPr>
        <w:t>（生产厂址）</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（产品名称2）</w:t>
      </w:r>
      <w:r>
        <w:rPr>
          <w:rFonts w:ascii="宋体" w:hAnsi="宋体" w:cs="宋体"/>
          <w:sz w:val="24"/>
          <w:szCs w:val="24"/>
          <w:shd w:val="clear" w:color="auto" w:fill="FFFFFF"/>
        </w:rPr>
        <w:t>的中国境内生产的组件成本占比≥</w:t>
      </w:r>
      <w:r>
        <w:rPr>
          <w:rFonts w:ascii="宋体" w:hAnsi="宋体" w:cs="宋体"/>
          <w:strike/>
          <w:sz w:val="24"/>
          <w:szCs w:val="24"/>
          <w:u w:val="single"/>
          <w:shd w:val="clear" w:color="auto" w:fill="FFFFFF"/>
        </w:rPr>
        <w:t>（规定比例）</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（产品名称2）</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（关键组件）</w:t>
      </w:r>
      <w:r>
        <w:rPr>
          <w:rFonts w:ascii="宋体" w:hAnsi="宋体" w:cs="宋体"/>
          <w:sz w:val="24"/>
          <w:szCs w:val="24"/>
          <w:shd w:val="clear" w:color="auto" w:fill="FFFFFF"/>
        </w:rPr>
        <w:t>在中国境内生产。</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（关键工序）</w:t>
      </w:r>
      <w:r>
        <w:rPr>
          <w:rFonts w:ascii="宋体" w:hAnsi="宋体" w:cs="宋体"/>
          <w:sz w:val="24"/>
          <w:szCs w:val="24"/>
          <w:shd w:val="clear" w:color="auto" w:fill="FFFFFF"/>
        </w:rPr>
        <w:t>在中国境内完成。</w:t>
      </w:r>
    </w:p>
    <w:p w14:paraId="05234689">
      <w:pPr>
        <w:spacing w:before="30" w:after="30"/>
        <w:ind w:firstLine="420"/>
        <w:rPr>
          <w:rFonts w:ascii="Calibri" w:hAnsi="Calibri" w:eastAsia="Arial"/>
          <w:sz w:val="24"/>
          <w:szCs w:val="24"/>
        </w:rPr>
      </w:pPr>
      <w:r>
        <w:rPr>
          <w:rFonts w:ascii="宋体" w:hAnsi="宋体" w:cs="宋体"/>
          <w:sz w:val="24"/>
          <w:szCs w:val="24"/>
          <w:shd w:val="clear" w:color="auto" w:fill="FFFFFF"/>
        </w:rPr>
        <w:t>……</w:t>
      </w:r>
    </w:p>
    <w:p w14:paraId="46483122">
      <w:pPr>
        <w:spacing w:before="30" w:after="30"/>
        <w:ind w:firstLine="420"/>
        <w:rPr>
          <w:rFonts w:ascii="Calibri" w:hAnsi="Calibri" w:eastAsia="Arial"/>
          <w:sz w:val="24"/>
          <w:szCs w:val="24"/>
        </w:rPr>
      </w:pPr>
      <w:r>
        <w:rPr>
          <w:rFonts w:ascii="宋体" w:hAnsi="宋体" w:cs="宋体"/>
          <w:sz w:val="24"/>
          <w:szCs w:val="24"/>
          <w:shd w:val="clear" w:color="auto" w:fill="FFFFFF"/>
        </w:rPr>
        <w:t>本公司（单位）对上述声明内容的真实性负责。如有虚假，愿承担相应法律责任。</w:t>
      </w:r>
    </w:p>
    <w:p w14:paraId="5A886863">
      <w:pPr>
        <w:spacing w:before="30" w:after="30"/>
        <w:ind w:right="480" w:firstLine="3720"/>
        <w:rPr>
          <w:rFonts w:ascii="Calibri" w:hAnsi="Calibri" w:eastAsia="Arial"/>
          <w:sz w:val="24"/>
          <w:szCs w:val="24"/>
        </w:rPr>
      </w:pPr>
      <w:r>
        <w:rPr>
          <w:rFonts w:ascii="宋体" w:hAnsi="宋体" w:cs="宋体"/>
          <w:sz w:val="24"/>
          <w:szCs w:val="24"/>
          <w:shd w:val="clear" w:color="auto" w:fill="FFFFFF"/>
        </w:rPr>
        <w:t>公司（单位）名称（盖章）：　</w:t>
      </w:r>
    </w:p>
    <w:p w14:paraId="2D0616B7">
      <w:pPr>
        <w:spacing w:before="30" w:after="30"/>
        <w:jc w:val="center"/>
        <w:rPr>
          <w:rFonts w:ascii="Calibri" w:hAnsi="Calibri" w:eastAsia="Arial"/>
          <w:sz w:val="24"/>
          <w:szCs w:val="24"/>
        </w:rPr>
      </w:pPr>
      <w:r>
        <w:rPr>
          <w:rFonts w:ascii="宋体" w:hAnsi="宋体" w:cs="宋体"/>
          <w:sz w:val="24"/>
          <w:szCs w:val="24"/>
          <w:shd w:val="clear" w:color="auto" w:fill="FFFFFF"/>
        </w:rPr>
        <w:t>                        日期：　   年　  月　  日</w:t>
      </w:r>
    </w:p>
    <w:p w14:paraId="7AF913CA">
      <w:pPr>
        <w:spacing w:before="30" w:after="30"/>
        <w:rPr>
          <w:rFonts w:ascii="Calibri" w:hAnsi="Calibri" w:eastAsia="Arial"/>
          <w:sz w:val="24"/>
          <w:szCs w:val="24"/>
        </w:rPr>
      </w:pPr>
      <w:r>
        <w:rPr>
          <w:rFonts w:ascii="宋体" w:hAnsi="宋体" w:cs="宋体"/>
          <w:sz w:val="24"/>
          <w:szCs w:val="24"/>
          <w:shd w:val="clear" w:color="auto" w:fill="FFFFFF"/>
        </w:rPr>
        <w:t>__________________</w:t>
      </w:r>
    </w:p>
    <w:p w14:paraId="6812BC12">
      <w:pPr>
        <w:spacing w:before="30" w:after="30"/>
        <w:rPr>
          <w:rFonts w:ascii="Calibri" w:hAnsi="Calibri" w:eastAsia="Arial"/>
          <w:sz w:val="24"/>
          <w:szCs w:val="24"/>
        </w:rPr>
      </w:pPr>
      <w:r>
        <w:rPr>
          <w:rFonts w:ascii="宋体" w:hAnsi="宋体" w:cs="宋体"/>
          <w:sz w:val="24"/>
          <w:szCs w:val="24"/>
          <w:shd w:val="clear" w:color="auto" w:fill="FFFFFF"/>
        </w:rPr>
        <w:t>1.产品如有型号，请在“产品名称”栏一并填写。</w:t>
      </w:r>
    </w:p>
    <w:p w14:paraId="6F43BE9A">
      <w:pPr>
        <w:spacing w:before="30" w:after="30"/>
        <w:rPr>
          <w:rFonts w:ascii="Calibri" w:hAnsi="Calibri" w:eastAsia="Arial"/>
          <w:sz w:val="24"/>
          <w:szCs w:val="24"/>
        </w:rPr>
      </w:pPr>
      <w:r>
        <w:rPr>
          <w:rFonts w:ascii="宋体" w:hAnsi="宋体" w:cs="宋体"/>
          <w:sz w:val="24"/>
          <w:szCs w:val="24"/>
          <w:shd w:val="clear" w:color="auto" w:fill="FFFFFF"/>
        </w:rPr>
        <w:t>2.生产厂名与厂址应与生产厂营业执照载明的相关信息保持一致。</w:t>
      </w:r>
    </w:p>
    <w:p w14:paraId="58064629">
      <w:pPr>
        <w:spacing w:before="30" w:after="30"/>
        <w:rPr>
          <w:rFonts w:ascii="Calibri" w:hAnsi="Calibri" w:eastAsia="Arial"/>
          <w:sz w:val="24"/>
          <w:szCs w:val="24"/>
        </w:rPr>
      </w:pPr>
      <w:r>
        <w:rPr>
          <w:rFonts w:ascii="宋体" w:hAnsi="宋体" w:cs="宋体"/>
          <w:sz w:val="24"/>
          <w:szCs w:val="24"/>
          <w:shd w:val="clear" w:color="auto" w:fill="FFFFFF"/>
        </w:rPr>
        <w:t>3.该产品的中国境内生产的组件成本占比相关要求实施前，“规定比例”栏可不填，下同。</w:t>
      </w:r>
    </w:p>
    <w:p w14:paraId="55E99682">
      <w:pPr>
        <w:spacing w:before="30" w:after="30"/>
        <w:rPr>
          <w:rFonts w:ascii="Calibri" w:hAnsi="Calibri" w:eastAsia="Arial"/>
          <w:sz w:val="24"/>
          <w:szCs w:val="24"/>
        </w:rPr>
      </w:pPr>
      <w:r>
        <w:rPr>
          <w:rFonts w:ascii="宋体" w:hAnsi="宋体" w:cs="宋体"/>
          <w:sz w:val="24"/>
          <w:szCs w:val="24"/>
          <w:shd w:val="clear" w:color="auto" w:fill="FFFFFF"/>
        </w:rPr>
        <w:t>4.该产品的关键组件要求实施前，“关键组件”栏可不填，下同。</w:t>
      </w:r>
    </w:p>
    <w:p w14:paraId="7869DCF0">
      <w:pPr>
        <w:spacing w:before="30" w:after="30"/>
        <w:rPr>
          <w:rFonts w:ascii="Calibri" w:hAnsi="Calibri" w:eastAsia="Arial"/>
          <w:sz w:val="24"/>
          <w:szCs w:val="24"/>
        </w:rPr>
      </w:pPr>
      <w:r>
        <w:rPr>
          <w:rFonts w:ascii="宋体" w:hAnsi="宋体" w:cs="宋体"/>
          <w:sz w:val="24"/>
          <w:szCs w:val="24"/>
          <w:shd w:val="clear" w:color="auto" w:fill="FFFFFF"/>
        </w:rPr>
        <w:t>5.该产品的关键工序要求实施前，“关键工序”栏可不填，下同。</w:t>
      </w:r>
    </w:p>
    <w:p w14:paraId="0287C376">
      <w:pPr>
        <w:spacing w:before="30" w:after="30"/>
        <w:rPr>
          <w:rFonts w:ascii="Calibri" w:hAnsi="Calibri" w:eastAsia="Arial"/>
          <w:sz w:val="24"/>
          <w:szCs w:val="24"/>
        </w:rPr>
      </w:pPr>
      <w:r>
        <w:rPr>
          <w:rFonts w:ascii="宋体" w:hAnsi="宋体" w:cs="宋体"/>
          <w:sz w:val="24"/>
          <w:szCs w:val="24"/>
          <w:shd w:val="clear" w:color="auto" w:fill="FFFFFF"/>
        </w:rPr>
        <w:t>6.用</w:t>
      </w:r>
      <w:r>
        <w:rPr>
          <w:rFonts w:hint="eastAsia" w:ascii="宋体" w:hAnsi="宋体" w:cs="宋体"/>
          <w:sz w:val="24"/>
          <w:szCs w:val="24"/>
          <w:shd w:val="clear" w:color="auto" w:fill="FFFFFF"/>
        </w:rPr>
        <w:t>横</w:t>
      </w:r>
      <w:r>
        <w:rPr>
          <w:rFonts w:ascii="宋体" w:hAnsi="宋体" w:cs="宋体"/>
          <w:sz w:val="24"/>
          <w:szCs w:val="24"/>
          <w:shd w:val="clear" w:color="auto" w:fill="FFFFFF"/>
        </w:rPr>
        <w:t>线划除的地方无需填写。</w:t>
      </w:r>
    </w:p>
    <w:p w14:paraId="52222979">
      <w:pPr>
        <w:jc w:val="center"/>
        <w:rPr>
          <w:rFonts w:ascii="黑体" w:hAnsi="黑体" w:eastAsia="黑体"/>
          <w:i/>
          <w:sz w:val="32"/>
          <w:szCs w:val="32"/>
          <w:u w:val="single"/>
        </w:rPr>
      </w:pPr>
    </w:p>
    <w:p w14:paraId="70C1C3E0">
      <w:pPr>
        <w:pBdr>
          <w:top w:val="none" w:color="000000" w:sz="0" w:space="0"/>
          <w:left w:val="none" w:color="000000" w:sz="0" w:space="0"/>
          <w:bottom w:val="none" w:color="000000" w:sz="0" w:space="0"/>
          <w:right w:val="none" w:color="000000" w:sz="0" w:space="0"/>
        </w:pBdr>
        <w:spacing w:line="360" w:lineRule="auto"/>
        <w:jc w:val="center"/>
      </w:pPr>
    </w:p>
    <w:sectPr>
      <w:footerReference r:id="rId3" w:type="default"/>
      <w:pgSz w:w="11906" w:h="16838"/>
      <w:pgMar w:top="1440" w:right="1587" w:bottom="1440" w:left="1587"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幼圆">
    <w:altName w:val="宋体"/>
    <w:panose1 w:val="02010509060101010101"/>
    <w:charset w:val="86"/>
    <w:family w:val="modern"/>
    <w:pitch w:val="default"/>
    <w:sig w:usb0="00000000" w:usb1="00000000" w:usb2="00000010" w:usb3="00000000" w:csb0="00040000"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Bookshelf Symbol 7">
    <w:altName w:val="Symbol"/>
    <w:panose1 w:val="05010101010101010101"/>
    <w:charset w:val="02"/>
    <w:family w:val="auto"/>
    <w:pitch w:val="default"/>
    <w:sig w:usb0="00000000" w:usb1="00000000" w:usb2="00000000" w:usb3="00000000" w:csb0="80000000" w:csb1="00000000"/>
  </w:font>
  <w:font w:name="方正黑体_GBK">
    <w:altName w:val="微软雅黑"/>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AC12D">
    <w:pPr>
      <w:pStyle w:val="224"/>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2EF14D2">
                          <w:pPr>
                            <w:pStyle w:val="224"/>
                            <w:tabs>
                              <w:tab w:val="clear" w:pos="4153"/>
                              <w:tab w:val="clear" w:pos="8306"/>
                            </w:tabs>
                          </w:pPr>
                          <w:r>
                            <w:fldChar w:fldCharType="begin"/>
                          </w:r>
                          <w:r>
                            <w:instrText xml:space="preserve"> PAGE  \* MERGEFORMAT </w:instrText>
                          </w:r>
                          <w:r>
                            <w:fldChar w:fldCharType="separate"/>
                          </w:r>
                          <w:r>
                            <w:t>24</w:t>
                          </w:r>
                          <w:r>
                            <w:fldChar w:fldCharType="end"/>
                          </w:r>
                        </w:p>
                        <w:p w14:paraId="4B85D35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12EF14D2">
                    <w:pPr>
                      <w:pStyle w:val="224"/>
                      <w:tabs>
                        <w:tab w:val="clear" w:pos="4153"/>
                        <w:tab w:val="clear" w:pos="8306"/>
                      </w:tabs>
                    </w:pPr>
                    <w:r>
                      <w:fldChar w:fldCharType="begin"/>
                    </w:r>
                    <w:r>
                      <w:instrText xml:space="preserve"> PAGE  \* MERGEFORMAT </w:instrText>
                    </w:r>
                    <w:r>
                      <w:fldChar w:fldCharType="separate"/>
                    </w:r>
                    <w:r>
                      <w:t>24</w:t>
                    </w:r>
                    <w:r>
                      <w:fldChar w:fldCharType="end"/>
                    </w:r>
                  </w:p>
                  <w:p w14:paraId="4B85D350"/>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480" w:hanging="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3DD8AB5"/>
    <w:multiLevelType w:val="singleLevel"/>
    <w:tmpl w:val="93DD8AB5"/>
    <w:lvl w:ilvl="0" w:tentative="0">
      <w:start w:val="1"/>
      <w:numFmt w:val="decimal"/>
      <w:lvlText w:val="%1."/>
      <w:lvlJc w:val="left"/>
      <w:pPr>
        <w:ind w:left="425" w:hanging="425"/>
      </w:pPr>
      <w:rPr>
        <w:rFonts w:hint="default"/>
      </w:rPr>
    </w:lvl>
  </w:abstractNum>
  <w:abstractNum w:abstractNumId="2">
    <w:nsid w:val="B5E306ED"/>
    <w:multiLevelType w:val="multilevel"/>
    <w:tmpl w:val="B5E306ED"/>
    <w:lvl w:ilvl="0" w:tentative="0">
      <w:start w:val="1"/>
      <w:numFmt w:val="decimal"/>
      <w:pStyle w:val="27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BF205925"/>
    <w:multiLevelType w:val="multilevel"/>
    <w:tmpl w:val="BF205925"/>
    <w:lvl w:ilvl="0" w:tentative="0">
      <w:start w:val="1"/>
      <w:numFmt w:val="bullet"/>
      <w:pStyle w:val="270"/>
      <w:lvlText w:val=""/>
      <w:lvlJc w:val="left"/>
      <w:pPr>
        <w:tabs>
          <w:tab w:val="left" w:pos="717"/>
        </w:tabs>
        <w:ind w:left="602" w:hanging="245"/>
      </w:pPr>
      <w:rPr>
        <w:rFonts w:ascii="Wingdings" w:hAnsi="Wingdings"/>
      </w:rPr>
    </w:lvl>
    <w:lvl w:ilvl="1" w:tentative="0">
      <w:start w:val="1"/>
      <w:numFmt w:val="bullet"/>
      <w:lvlText w:val=""/>
      <w:lvlJc w:val="left"/>
      <w:pPr>
        <w:tabs>
          <w:tab w:val="left" w:pos="1197"/>
        </w:tabs>
        <w:ind w:left="1197" w:hanging="420"/>
      </w:pPr>
      <w:rPr>
        <w:rFonts w:ascii="Bookshelf Symbol 7" w:hAnsi="Bookshelf Symbol 7"/>
      </w:rPr>
    </w:lvl>
    <w:lvl w:ilvl="2" w:tentative="0">
      <w:start w:val="1"/>
      <w:numFmt w:val="bullet"/>
      <w:lvlText w:val=""/>
      <w:lvlJc w:val="left"/>
      <w:pPr>
        <w:tabs>
          <w:tab w:val="left" w:pos="1617"/>
        </w:tabs>
        <w:ind w:left="1617" w:hanging="420"/>
      </w:pPr>
      <w:rPr>
        <w:rFonts w:ascii="Bookshelf Symbol 7" w:hAnsi="Bookshelf Symbol 7"/>
      </w:rPr>
    </w:lvl>
    <w:lvl w:ilvl="3" w:tentative="0">
      <w:start w:val="1"/>
      <w:numFmt w:val="bullet"/>
      <w:lvlText w:val=""/>
      <w:lvlJc w:val="left"/>
      <w:pPr>
        <w:tabs>
          <w:tab w:val="left" w:pos="2037"/>
        </w:tabs>
        <w:ind w:left="2037" w:hanging="420"/>
      </w:pPr>
      <w:rPr>
        <w:rFonts w:ascii="Bookshelf Symbol 7" w:hAnsi="Bookshelf Symbol 7"/>
      </w:rPr>
    </w:lvl>
    <w:lvl w:ilvl="4" w:tentative="0">
      <w:start w:val="1"/>
      <w:numFmt w:val="bullet"/>
      <w:lvlText w:val=""/>
      <w:lvlJc w:val="left"/>
      <w:pPr>
        <w:tabs>
          <w:tab w:val="left" w:pos="2457"/>
        </w:tabs>
        <w:ind w:left="2457" w:hanging="420"/>
      </w:pPr>
      <w:rPr>
        <w:rFonts w:ascii="Bookshelf Symbol 7" w:hAnsi="Bookshelf Symbol 7"/>
      </w:rPr>
    </w:lvl>
    <w:lvl w:ilvl="5" w:tentative="0">
      <w:start w:val="1"/>
      <w:numFmt w:val="bullet"/>
      <w:lvlText w:val=""/>
      <w:lvlJc w:val="left"/>
      <w:pPr>
        <w:tabs>
          <w:tab w:val="left" w:pos="2877"/>
        </w:tabs>
        <w:ind w:left="2877" w:hanging="420"/>
      </w:pPr>
      <w:rPr>
        <w:rFonts w:ascii="Bookshelf Symbol 7" w:hAnsi="Bookshelf Symbol 7"/>
      </w:rPr>
    </w:lvl>
    <w:lvl w:ilvl="6" w:tentative="0">
      <w:start w:val="1"/>
      <w:numFmt w:val="bullet"/>
      <w:lvlText w:val=""/>
      <w:lvlJc w:val="left"/>
      <w:pPr>
        <w:tabs>
          <w:tab w:val="left" w:pos="3297"/>
        </w:tabs>
        <w:ind w:left="3297" w:hanging="420"/>
      </w:pPr>
      <w:rPr>
        <w:rFonts w:ascii="Bookshelf Symbol 7" w:hAnsi="Bookshelf Symbol 7"/>
      </w:rPr>
    </w:lvl>
    <w:lvl w:ilvl="7" w:tentative="0">
      <w:start w:val="1"/>
      <w:numFmt w:val="bullet"/>
      <w:lvlText w:val=""/>
      <w:lvlJc w:val="left"/>
      <w:pPr>
        <w:tabs>
          <w:tab w:val="left" w:pos="3717"/>
        </w:tabs>
        <w:ind w:left="3717" w:hanging="420"/>
      </w:pPr>
      <w:rPr>
        <w:rFonts w:ascii="Bookshelf Symbol 7" w:hAnsi="Bookshelf Symbol 7"/>
      </w:rPr>
    </w:lvl>
    <w:lvl w:ilvl="8" w:tentative="0">
      <w:start w:val="1"/>
      <w:numFmt w:val="bullet"/>
      <w:lvlText w:val=""/>
      <w:lvlJc w:val="left"/>
      <w:pPr>
        <w:tabs>
          <w:tab w:val="left" w:pos="4137"/>
        </w:tabs>
        <w:ind w:left="4137" w:hanging="420"/>
      </w:pPr>
      <w:rPr>
        <w:rFonts w:ascii="Bookshelf Symbol 7" w:hAnsi="Bookshelf Symbol 7"/>
      </w:rPr>
    </w:lvl>
  </w:abstractNum>
  <w:abstractNum w:abstractNumId="4">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5"/>
      <w:suff w:val="nothing"/>
      <w:lvlText w:val=""/>
      <w:lvlJc w:val="left"/>
      <w:pPr>
        <w:ind w:left="0" w:firstLine="0"/>
      </w:pPr>
      <w:rPr>
        <w:rFonts w:hint="eastAsia"/>
      </w:rPr>
    </w:lvl>
    <w:lvl w:ilvl="6" w:tentative="0">
      <w:start w:val="1"/>
      <w:numFmt w:val="decimal"/>
      <w:pStyle w:val="196"/>
      <w:suff w:val="nothing"/>
      <w:lvlText w:val=""/>
      <w:lvlJc w:val="left"/>
      <w:pPr>
        <w:ind w:left="0" w:firstLine="0"/>
      </w:pPr>
      <w:rPr>
        <w:rFonts w:hint="eastAsia"/>
      </w:rPr>
    </w:lvl>
    <w:lvl w:ilvl="7" w:tentative="0">
      <w:start w:val="1"/>
      <w:numFmt w:val="decimal"/>
      <w:pStyle w:val="197"/>
      <w:suff w:val="nothing"/>
      <w:lvlText w:val=""/>
      <w:lvlJc w:val="left"/>
      <w:pPr>
        <w:ind w:left="0" w:firstLine="0"/>
      </w:pPr>
      <w:rPr>
        <w:rFonts w:hint="eastAsia"/>
      </w:rPr>
    </w:lvl>
    <w:lvl w:ilvl="8" w:tentative="0">
      <w:start w:val="1"/>
      <w:numFmt w:val="decimal"/>
      <w:pStyle w:val="198"/>
      <w:suff w:val="nothing"/>
      <w:lvlText w:val=""/>
      <w:lvlJc w:val="left"/>
      <w:pPr>
        <w:ind w:left="0" w:firstLine="0"/>
      </w:pPr>
      <w:rPr>
        <w:rFonts w:hint="eastAsia"/>
      </w:rPr>
    </w:lvl>
  </w:abstractNum>
  <w:abstractNum w:abstractNumId="5">
    <w:nsid w:val="03D62ECE"/>
    <w:multiLevelType w:val="multilevel"/>
    <w:tmpl w:val="03D62ECE"/>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4E6971B"/>
    <w:multiLevelType w:val="multilevel"/>
    <w:tmpl w:val="24E6971B"/>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upperLetter"/>
      <w:pStyle w:val="27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F2267AD"/>
    <w:multiLevelType w:val="singleLevel"/>
    <w:tmpl w:val="7F2267AD"/>
    <w:lvl w:ilvl="0" w:tentative="0">
      <w:start w:val="4"/>
      <w:numFmt w:val="chineseCounting"/>
      <w:suff w:val="space"/>
      <w:lvlText w:val="第%1章"/>
      <w:lvlJc w:val="left"/>
      <w:rPr>
        <w:rFonts w:hint="eastAsia"/>
      </w:rPr>
    </w:lvl>
  </w:abstractNum>
  <w:num w:numId="1">
    <w:abstractNumId w:val="4"/>
  </w:num>
  <w:num w:numId="2">
    <w:abstractNumId w:val="3"/>
  </w:num>
  <w:num w:numId="3">
    <w:abstractNumId w:val="8"/>
  </w:num>
  <w:num w:numId="4">
    <w:abstractNumId w:val="2"/>
  </w:num>
  <w:num w:numId="5">
    <w:abstractNumId w:val="5"/>
  </w:num>
  <w:num w:numId="6">
    <w:abstractNumId w:val="10"/>
  </w:num>
  <w:num w:numId="7">
    <w:abstractNumId w:val="1"/>
  </w:num>
  <w:num w:numId="8">
    <w:abstractNumId w:val="7"/>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wYjliYjk4NDQyNzM4MDM3M2M3NjVhMjRmZmVlZjgifQ=="/>
  </w:docVars>
  <w:rsids>
    <w:rsidRoot w:val="00A073B7"/>
    <w:rsid w:val="000C1291"/>
    <w:rsid w:val="001831F9"/>
    <w:rsid w:val="0039461A"/>
    <w:rsid w:val="005B2A59"/>
    <w:rsid w:val="00865CCA"/>
    <w:rsid w:val="008E2A0E"/>
    <w:rsid w:val="0094521E"/>
    <w:rsid w:val="00A073B7"/>
    <w:rsid w:val="00AC5EB0"/>
    <w:rsid w:val="00BF697D"/>
    <w:rsid w:val="00D8253B"/>
    <w:rsid w:val="00E1223F"/>
    <w:rsid w:val="010A6538"/>
    <w:rsid w:val="017D59D9"/>
    <w:rsid w:val="018E1A24"/>
    <w:rsid w:val="022C5D05"/>
    <w:rsid w:val="044B7594"/>
    <w:rsid w:val="046619FB"/>
    <w:rsid w:val="04B15AAC"/>
    <w:rsid w:val="059C797B"/>
    <w:rsid w:val="060E08F7"/>
    <w:rsid w:val="071F3997"/>
    <w:rsid w:val="073E6F3C"/>
    <w:rsid w:val="07AA3593"/>
    <w:rsid w:val="084D0054"/>
    <w:rsid w:val="0920586E"/>
    <w:rsid w:val="09764302"/>
    <w:rsid w:val="0AA8451D"/>
    <w:rsid w:val="0B281722"/>
    <w:rsid w:val="0B78442A"/>
    <w:rsid w:val="0BF1626A"/>
    <w:rsid w:val="0DBC6E0C"/>
    <w:rsid w:val="0E2A021A"/>
    <w:rsid w:val="0EBF2F5D"/>
    <w:rsid w:val="0FD47A14"/>
    <w:rsid w:val="100D1FB2"/>
    <w:rsid w:val="119B1480"/>
    <w:rsid w:val="1280573E"/>
    <w:rsid w:val="145B3DF5"/>
    <w:rsid w:val="15F20637"/>
    <w:rsid w:val="164F633B"/>
    <w:rsid w:val="16551BAC"/>
    <w:rsid w:val="16774218"/>
    <w:rsid w:val="17967129"/>
    <w:rsid w:val="17B572A9"/>
    <w:rsid w:val="18593401"/>
    <w:rsid w:val="18A4506D"/>
    <w:rsid w:val="18F33B67"/>
    <w:rsid w:val="1A976C37"/>
    <w:rsid w:val="1B484046"/>
    <w:rsid w:val="1B55319F"/>
    <w:rsid w:val="1C9C36CA"/>
    <w:rsid w:val="1CAF5D73"/>
    <w:rsid w:val="1E870D71"/>
    <w:rsid w:val="20931408"/>
    <w:rsid w:val="20DB3207"/>
    <w:rsid w:val="20F01F24"/>
    <w:rsid w:val="21DB292C"/>
    <w:rsid w:val="222462A4"/>
    <w:rsid w:val="237B1887"/>
    <w:rsid w:val="24014120"/>
    <w:rsid w:val="25711C1B"/>
    <w:rsid w:val="25A246E2"/>
    <w:rsid w:val="25FC3DF2"/>
    <w:rsid w:val="26070680"/>
    <w:rsid w:val="26431A21"/>
    <w:rsid w:val="264E2EB5"/>
    <w:rsid w:val="265F25D3"/>
    <w:rsid w:val="28272D00"/>
    <w:rsid w:val="283261F1"/>
    <w:rsid w:val="28E571A8"/>
    <w:rsid w:val="2A2878AC"/>
    <w:rsid w:val="2B2160A9"/>
    <w:rsid w:val="2B2321A0"/>
    <w:rsid w:val="2B3A6278"/>
    <w:rsid w:val="2BCE023C"/>
    <w:rsid w:val="2BFB5C3D"/>
    <w:rsid w:val="2EBD7AB6"/>
    <w:rsid w:val="2F1D3331"/>
    <w:rsid w:val="2F3B3032"/>
    <w:rsid w:val="2F7D6077"/>
    <w:rsid w:val="2FB85027"/>
    <w:rsid w:val="2FCA46BE"/>
    <w:rsid w:val="2FE75B13"/>
    <w:rsid w:val="307D4BAC"/>
    <w:rsid w:val="314E60EC"/>
    <w:rsid w:val="33263AAA"/>
    <w:rsid w:val="34112CB7"/>
    <w:rsid w:val="34237336"/>
    <w:rsid w:val="34581E3F"/>
    <w:rsid w:val="346407CE"/>
    <w:rsid w:val="34694ED2"/>
    <w:rsid w:val="387E45EA"/>
    <w:rsid w:val="392007DF"/>
    <w:rsid w:val="392576AC"/>
    <w:rsid w:val="39493484"/>
    <w:rsid w:val="397877DC"/>
    <w:rsid w:val="39DC420F"/>
    <w:rsid w:val="3A2330D2"/>
    <w:rsid w:val="3A244A36"/>
    <w:rsid w:val="3A2E433E"/>
    <w:rsid w:val="3B00217F"/>
    <w:rsid w:val="3B732951"/>
    <w:rsid w:val="3BF13876"/>
    <w:rsid w:val="3C8778F6"/>
    <w:rsid w:val="3D4E0F7F"/>
    <w:rsid w:val="3F787463"/>
    <w:rsid w:val="408D6263"/>
    <w:rsid w:val="42516643"/>
    <w:rsid w:val="450B59A8"/>
    <w:rsid w:val="454B3FF6"/>
    <w:rsid w:val="467C4DAF"/>
    <w:rsid w:val="46963997"/>
    <w:rsid w:val="46CD2548"/>
    <w:rsid w:val="47A04ACD"/>
    <w:rsid w:val="49820577"/>
    <w:rsid w:val="49915D3F"/>
    <w:rsid w:val="49CD76D0"/>
    <w:rsid w:val="49D165D1"/>
    <w:rsid w:val="4A224D63"/>
    <w:rsid w:val="4A394D65"/>
    <w:rsid w:val="4A567AD9"/>
    <w:rsid w:val="4A91435B"/>
    <w:rsid w:val="4ADF10D1"/>
    <w:rsid w:val="4AEA6060"/>
    <w:rsid w:val="4B87707D"/>
    <w:rsid w:val="4D7D31BB"/>
    <w:rsid w:val="4F7B5396"/>
    <w:rsid w:val="4F8A06F7"/>
    <w:rsid w:val="50142188"/>
    <w:rsid w:val="5084660D"/>
    <w:rsid w:val="50C35A7B"/>
    <w:rsid w:val="5144296E"/>
    <w:rsid w:val="51C23892"/>
    <w:rsid w:val="53453CB3"/>
    <w:rsid w:val="537D0E07"/>
    <w:rsid w:val="53937294"/>
    <w:rsid w:val="54702F19"/>
    <w:rsid w:val="549E5283"/>
    <w:rsid w:val="54DF0645"/>
    <w:rsid w:val="551B1C37"/>
    <w:rsid w:val="5594731A"/>
    <w:rsid w:val="55C07A20"/>
    <w:rsid w:val="562F4294"/>
    <w:rsid w:val="56B8577C"/>
    <w:rsid w:val="570C35A5"/>
    <w:rsid w:val="57CB2DA4"/>
    <w:rsid w:val="57F657DD"/>
    <w:rsid w:val="582508E9"/>
    <w:rsid w:val="593212FE"/>
    <w:rsid w:val="59A652AA"/>
    <w:rsid w:val="5AC07BEF"/>
    <w:rsid w:val="5B637E94"/>
    <w:rsid w:val="5B687259"/>
    <w:rsid w:val="5C1F43A8"/>
    <w:rsid w:val="5CD4052E"/>
    <w:rsid w:val="5CD5091E"/>
    <w:rsid w:val="5CF937B5"/>
    <w:rsid w:val="5CFD650B"/>
    <w:rsid w:val="5DDC05B8"/>
    <w:rsid w:val="5FD650D9"/>
    <w:rsid w:val="5FFF1E1B"/>
    <w:rsid w:val="61502C69"/>
    <w:rsid w:val="61BE6D19"/>
    <w:rsid w:val="62183C95"/>
    <w:rsid w:val="62432EF2"/>
    <w:rsid w:val="625C73EB"/>
    <w:rsid w:val="629B2D85"/>
    <w:rsid w:val="62A56FE4"/>
    <w:rsid w:val="62AA753E"/>
    <w:rsid w:val="62B90E9D"/>
    <w:rsid w:val="64DC3887"/>
    <w:rsid w:val="64E536C8"/>
    <w:rsid w:val="65D05958"/>
    <w:rsid w:val="66653631"/>
    <w:rsid w:val="670B52F9"/>
    <w:rsid w:val="677700BB"/>
    <w:rsid w:val="67E90783"/>
    <w:rsid w:val="68350126"/>
    <w:rsid w:val="68957DD2"/>
    <w:rsid w:val="696D46C0"/>
    <w:rsid w:val="69FF71B6"/>
    <w:rsid w:val="6AF52309"/>
    <w:rsid w:val="6B3D3047"/>
    <w:rsid w:val="6B4A6192"/>
    <w:rsid w:val="6BDD38A9"/>
    <w:rsid w:val="6BF70432"/>
    <w:rsid w:val="6CF44DF0"/>
    <w:rsid w:val="6D707BE8"/>
    <w:rsid w:val="6D730162"/>
    <w:rsid w:val="6D7B72BF"/>
    <w:rsid w:val="6F08028A"/>
    <w:rsid w:val="6F280D81"/>
    <w:rsid w:val="6F857203"/>
    <w:rsid w:val="70983CE4"/>
    <w:rsid w:val="70B754FD"/>
    <w:rsid w:val="71562B51"/>
    <w:rsid w:val="722C2936"/>
    <w:rsid w:val="72CE5BF7"/>
    <w:rsid w:val="74223952"/>
    <w:rsid w:val="74525C01"/>
    <w:rsid w:val="745E0169"/>
    <w:rsid w:val="74DE227B"/>
    <w:rsid w:val="764F4EA7"/>
    <w:rsid w:val="775E2AF9"/>
    <w:rsid w:val="77742842"/>
    <w:rsid w:val="781C51FB"/>
    <w:rsid w:val="784D343E"/>
    <w:rsid w:val="78A526FF"/>
    <w:rsid w:val="78B418D7"/>
    <w:rsid w:val="78B57116"/>
    <w:rsid w:val="790836D0"/>
    <w:rsid w:val="7AF63896"/>
    <w:rsid w:val="7B2105C6"/>
    <w:rsid w:val="7BA239FF"/>
    <w:rsid w:val="7C2D31AB"/>
    <w:rsid w:val="7D0A4B32"/>
    <w:rsid w:val="7D893333"/>
    <w:rsid w:val="7DD932C5"/>
    <w:rsid w:val="7E505BFE"/>
    <w:rsid w:val="7E6A5569"/>
    <w:rsid w:val="7EC02A92"/>
    <w:rsid w:val="7FEF4F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5">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49"/>
    <w:unhideWhenUsed/>
    <w:qFormat/>
    <w:uiPriority w:val="9"/>
    <w:pPr>
      <w:keepNext/>
      <w:keepLines/>
      <w:spacing w:before="320" w:after="200"/>
      <w:outlineLvl w:val="8"/>
    </w:pPr>
    <w:rPr>
      <w:rFonts w:ascii="Arial" w:hAnsi="Arial" w:eastAsia="Arial" w:cs="Arial"/>
      <w:i/>
      <w:iCs/>
    </w:rPr>
  </w:style>
  <w:style w:type="character" w:default="1" w:styleId="34">
    <w:name w:val="Default Paragraph Font"/>
    <w:semiHidden/>
    <w:unhideWhenUsed/>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qFormat/>
    <w:uiPriority w:val="0"/>
    <w:pPr>
      <w:ind w:firstLine="420" w:firstLineChars="200"/>
    </w:pPr>
  </w:style>
  <w:style w:type="paragraph" w:styleId="3">
    <w:name w:val="Body Text Indent"/>
    <w:basedOn w:val="1"/>
    <w:next w:val="2"/>
    <w:qFormat/>
    <w:uiPriority w:val="0"/>
    <w:pPr>
      <w:spacing w:after="120"/>
      <w:ind w:left="420" w:leftChars="200"/>
    </w:pPr>
    <w:rPr>
      <w:szCs w:val="24"/>
    </w:rPr>
  </w:style>
  <w:style w:type="paragraph" w:styleId="4">
    <w:name w:val="Normal Indent"/>
    <w:basedOn w:val="1"/>
    <w:qFormat/>
    <w:uiPriority w:val="0"/>
    <w:pPr>
      <w:adjustRightInd w:val="0"/>
      <w:spacing w:line="360" w:lineRule="atLeast"/>
      <w:ind w:firstLine="482"/>
      <w:textAlignment w:val="baseline"/>
    </w:pPr>
    <w:rPr>
      <w:sz w:val="24"/>
      <w:szCs w:val="24"/>
    </w:rPr>
  </w:style>
  <w:style w:type="paragraph" w:styleId="14">
    <w:name w:val="toc 7"/>
    <w:basedOn w:val="1"/>
    <w:next w:val="1"/>
    <w:unhideWhenUsed/>
    <w:qFormat/>
    <w:uiPriority w:val="39"/>
    <w:pPr>
      <w:spacing w:after="57"/>
      <w:ind w:left="1701"/>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187"/>
    <w:semiHidden/>
    <w:unhideWhenUsed/>
    <w:qFormat/>
    <w:uiPriority w:val="99"/>
    <w:rPr>
      <w:sz w:val="20"/>
    </w:rPr>
  </w:style>
  <w:style w:type="paragraph" w:styleId="20">
    <w:name w:val="footer"/>
    <w:basedOn w:val="1"/>
    <w:link w:val="60"/>
    <w:unhideWhenUsed/>
    <w:qFormat/>
    <w:uiPriority w:val="99"/>
    <w:pPr>
      <w:tabs>
        <w:tab w:val="center" w:pos="7143"/>
        <w:tab w:val="right" w:pos="14287"/>
      </w:tabs>
    </w:pPr>
  </w:style>
  <w:style w:type="paragraph" w:styleId="21">
    <w:name w:val="header"/>
    <w:basedOn w:val="1"/>
    <w:link w:val="58"/>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53"/>
    <w:qFormat/>
    <w:uiPriority w:val="11"/>
    <w:pPr>
      <w:spacing w:before="200" w:after="200"/>
    </w:pPr>
    <w:rPr>
      <w:sz w:val="24"/>
      <w:szCs w:val="24"/>
    </w:rPr>
  </w:style>
  <w:style w:type="paragraph" w:styleId="25">
    <w:name w:val="footnote text"/>
    <w:basedOn w:val="1"/>
    <w:link w:val="186"/>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31">
    <w:name w:val="Title"/>
    <w:basedOn w:val="1"/>
    <w:next w:val="1"/>
    <w:link w:val="52"/>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正文文本缩进12"/>
    <w:next w:val="39"/>
    <w:unhideWhenUsed/>
    <w:qFormat/>
    <w:uiPriority w:val="0"/>
    <w:pPr>
      <w:widowControl w:val="0"/>
      <w:spacing w:after="120"/>
      <w:ind w:left="420"/>
      <w:jc w:val="both"/>
    </w:pPr>
    <w:rPr>
      <w:rFonts w:ascii="Times New Roman" w:hAnsi="Times New Roman" w:eastAsia="宋体" w:cs="Times New Roman"/>
      <w:sz w:val="21"/>
      <w:lang w:val="en-US" w:eastAsia="zh-CN" w:bidi="ar-SA"/>
    </w:rPr>
  </w:style>
  <w:style w:type="paragraph" w:customStyle="1" w:styleId="39">
    <w:name w:val="寄信人地址11"/>
    <w:qFormat/>
    <w:uiPriority w:val="0"/>
    <w:pPr>
      <w:widowControl w:val="0"/>
      <w:jc w:val="both"/>
    </w:pPr>
    <w:rPr>
      <w:rFonts w:ascii="Arial" w:hAnsi="Arial" w:eastAsia="楷体_GB2312" w:cs="Times New Roman"/>
      <w:sz w:val="26"/>
      <w:szCs w:val="22"/>
      <w:lang w:val="en-US" w:eastAsia="zh-CN" w:bidi="ar-SA"/>
    </w:rPr>
  </w:style>
  <w:style w:type="paragraph" w:customStyle="1" w:styleId="40">
    <w:name w:val="索引 41"/>
    <w:basedOn w:val="1"/>
    <w:next w:val="1"/>
    <w:unhideWhenUsed/>
    <w:qFormat/>
    <w:uiPriority w:val="99"/>
    <w:pPr>
      <w:spacing w:before="100" w:beforeAutospacing="1" w:after="100" w:afterAutospacing="1"/>
      <w:ind w:left="600"/>
    </w:pPr>
    <w:rPr>
      <w:rFonts w:ascii="宋体"/>
      <w:b/>
      <w:bCs/>
      <w:position w:val="-10"/>
      <w:sz w:val="24"/>
      <w:szCs w:val="22"/>
    </w:rPr>
  </w:style>
  <w:style w:type="character" w:customStyle="1" w:styleId="41">
    <w:name w:val="标题 1 Char"/>
    <w:link w:val="5"/>
    <w:qFormat/>
    <w:uiPriority w:val="9"/>
    <w:rPr>
      <w:rFonts w:ascii="Arial" w:hAnsi="Arial" w:eastAsia="Arial" w:cs="Arial"/>
      <w:sz w:val="40"/>
      <w:szCs w:val="40"/>
    </w:rPr>
  </w:style>
  <w:style w:type="character" w:customStyle="1" w:styleId="42">
    <w:name w:val="标题 2 Char"/>
    <w:link w:val="6"/>
    <w:qFormat/>
    <w:uiPriority w:val="9"/>
    <w:rPr>
      <w:rFonts w:ascii="Arial" w:hAnsi="Arial" w:eastAsia="Arial" w:cs="Arial"/>
      <w:sz w:val="34"/>
    </w:rPr>
  </w:style>
  <w:style w:type="character" w:customStyle="1" w:styleId="43">
    <w:name w:val="标题 3 Char1"/>
    <w:link w:val="7"/>
    <w:qFormat/>
    <w:uiPriority w:val="9"/>
    <w:rPr>
      <w:rFonts w:ascii="Arial" w:hAnsi="Arial" w:eastAsia="Arial" w:cs="Arial"/>
      <w:sz w:val="30"/>
      <w:szCs w:val="30"/>
    </w:rPr>
  </w:style>
  <w:style w:type="character" w:customStyle="1" w:styleId="44">
    <w:name w:val="标题 4 Char"/>
    <w:link w:val="8"/>
    <w:qFormat/>
    <w:uiPriority w:val="9"/>
    <w:rPr>
      <w:rFonts w:ascii="Arial" w:hAnsi="Arial" w:eastAsia="Arial" w:cs="Arial"/>
      <w:b/>
      <w:bCs/>
      <w:sz w:val="26"/>
      <w:szCs w:val="26"/>
    </w:rPr>
  </w:style>
  <w:style w:type="character" w:customStyle="1" w:styleId="45">
    <w:name w:val="标题 5 Char"/>
    <w:link w:val="9"/>
    <w:qFormat/>
    <w:uiPriority w:val="9"/>
    <w:rPr>
      <w:rFonts w:ascii="Arial" w:hAnsi="Arial" w:eastAsia="Arial" w:cs="Arial"/>
      <w:b/>
      <w:bCs/>
      <w:sz w:val="24"/>
      <w:szCs w:val="24"/>
    </w:rPr>
  </w:style>
  <w:style w:type="character" w:customStyle="1" w:styleId="46">
    <w:name w:val="标题 6 Char"/>
    <w:link w:val="10"/>
    <w:qFormat/>
    <w:uiPriority w:val="9"/>
    <w:rPr>
      <w:rFonts w:ascii="Arial" w:hAnsi="Arial" w:eastAsia="Arial" w:cs="Arial"/>
      <w:b/>
      <w:bCs/>
      <w:sz w:val="22"/>
      <w:szCs w:val="22"/>
    </w:rPr>
  </w:style>
  <w:style w:type="character" w:customStyle="1" w:styleId="47">
    <w:name w:val="标题 7 Char"/>
    <w:link w:val="11"/>
    <w:qFormat/>
    <w:uiPriority w:val="9"/>
    <w:rPr>
      <w:rFonts w:ascii="Arial" w:hAnsi="Arial" w:eastAsia="Arial" w:cs="Arial"/>
      <w:b/>
      <w:bCs/>
      <w:i/>
      <w:iCs/>
      <w:sz w:val="22"/>
      <w:szCs w:val="22"/>
    </w:rPr>
  </w:style>
  <w:style w:type="character" w:customStyle="1" w:styleId="48">
    <w:name w:val="标题 8 Char"/>
    <w:link w:val="12"/>
    <w:qFormat/>
    <w:uiPriority w:val="9"/>
    <w:rPr>
      <w:rFonts w:ascii="Arial" w:hAnsi="Arial" w:eastAsia="Arial" w:cs="Arial"/>
      <w:i/>
      <w:iCs/>
      <w:sz w:val="22"/>
      <w:szCs w:val="22"/>
    </w:rPr>
  </w:style>
  <w:style w:type="character" w:customStyle="1" w:styleId="49">
    <w:name w:val="标题 9 Char"/>
    <w:link w:val="13"/>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rPr>
      <w:rFonts w:ascii="Times New Roman" w:hAnsi="Times New Roman" w:eastAsia="宋体" w:cs="Times New Roman"/>
      <w:lang w:val="en-US" w:eastAsia="zh-CN" w:bidi="ar-SA"/>
    </w:rPr>
  </w:style>
  <w:style w:type="character" w:customStyle="1" w:styleId="52">
    <w:name w:val="标题 Char"/>
    <w:link w:val="31"/>
    <w:qFormat/>
    <w:uiPriority w:val="10"/>
    <w:rPr>
      <w:sz w:val="48"/>
      <w:szCs w:val="48"/>
    </w:rPr>
  </w:style>
  <w:style w:type="character" w:customStyle="1" w:styleId="53">
    <w:name w:val="副标题 Char"/>
    <w:link w:val="24"/>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引用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7">
    <w:name w:val="明显引用 Char"/>
    <w:link w:val="56"/>
    <w:qFormat/>
    <w:uiPriority w:val="30"/>
    <w:rPr>
      <w:i/>
    </w:rPr>
  </w:style>
  <w:style w:type="character" w:customStyle="1" w:styleId="58">
    <w:name w:val="页眉 Char"/>
    <w:link w:val="21"/>
    <w:qFormat/>
    <w:uiPriority w:val="99"/>
  </w:style>
  <w:style w:type="character" w:customStyle="1" w:styleId="59">
    <w:name w:val="Footer Char"/>
    <w:link w:val="20"/>
    <w:qFormat/>
    <w:uiPriority w:val="99"/>
  </w:style>
  <w:style w:type="character" w:customStyle="1" w:styleId="60">
    <w:name w:val="页脚 Char"/>
    <w:link w:val="20"/>
    <w:qFormat/>
    <w:uiPriority w:val="99"/>
  </w:style>
  <w:style w:type="table" w:customStyle="1" w:styleId="6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脚注文本 Char"/>
    <w:link w:val="25"/>
    <w:qFormat/>
    <w:uiPriority w:val="99"/>
    <w:rPr>
      <w:sz w:val="18"/>
    </w:rPr>
  </w:style>
  <w:style w:type="character" w:customStyle="1" w:styleId="187">
    <w:name w:val="尾注文本 Char"/>
    <w:link w:val="19"/>
    <w:qFormat/>
    <w:uiPriority w:val="99"/>
    <w:rPr>
      <w:sz w:val="20"/>
    </w:rPr>
  </w:style>
  <w:style w:type="paragraph" w:customStyle="1" w:styleId="188">
    <w:name w:val="TOC 标题1"/>
    <w:unhideWhenUsed/>
    <w:qFormat/>
    <w:uiPriority w:val="39"/>
    <w:rPr>
      <w:rFonts w:ascii="Times New Roman" w:hAnsi="Times New Roman" w:eastAsia="宋体" w:cs="Times New Roman"/>
      <w:lang w:val="en-US" w:eastAsia="zh-CN" w:bidi="ar-SA"/>
    </w:rPr>
  </w:style>
  <w:style w:type="paragraph" w:customStyle="1" w:styleId="189">
    <w:name w:val="标题 11"/>
    <w:basedOn w:val="1"/>
    <w:next w:val="1"/>
    <w:qFormat/>
    <w:uiPriority w:val="0"/>
    <w:pPr>
      <w:keepNext/>
      <w:jc w:val="center"/>
      <w:outlineLvl w:val="0"/>
    </w:pPr>
    <w:rPr>
      <w:rFonts w:ascii="楷体_GB2312" w:eastAsia="楷体_GB2312"/>
      <w:sz w:val="28"/>
      <w:szCs w:val="28"/>
    </w:rPr>
  </w:style>
  <w:style w:type="paragraph" w:customStyle="1" w:styleId="190">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1">
    <w:name w:val="标题 311"/>
    <w:basedOn w:val="1"/>
    <w:next w:val="1"/>
    <w:link w:val="201"/>
    <w:qFormat/>
    <w:uiPriority w:val="0"/>
    <w:pPr>
      <w:keepNext/>
      <w:keepLines/>
      <w:spacing w:before="260" w:after="260" w:line="416" w:lineRule="auto"/>
      <w:outlineLvl w:val="2"/>
    </w:pPr>
    <w:rPr>
      <w:b/>
      <w:bCs/>
      <w:sz w:val="32"/>
      <w:szCs w:val="32"/>
    </w:rPr>
  </w:style>
  <w:style w:type="paragraph" w:customStyle="1" w:styleId="192">
    <w:name w:val="标题 411"/>
    <w:basedOn w:val="1"/>
    <w:next w:val="193"/>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3">
    <w:name w:val="正文缩进11"/>
    <w:basedOn w:val="1"/>
    <w:link w:val="202"/>
    <w:qFormat/>
    <w:uiPriority w:val="0"/>
    <w:pPr>
      <w:ind w:firstLine="420"/>
    </w:pPr>
  </w:style>
  <w:style w:type="paragraph" w:customStyle="1" w:styleId="194">
    <w:name w:val="标题 51"/>
    <w:basedOn w:val="1"/>
    <w:next w:val="193"/>
    <w:qFormat/>
    <w:uiPriority w:val="0"/>
    <w:pPr>
      <w:keepNext/>
      <w:outlineLvl w:val="4"/>
    </w:pPr>
    <w:rPr>
      <w:rFonts w:ascii="宋体"/>
      <w:color w:val="000000"/>
      <w:sz w:val="28"/>
      <w:szCs w:val="28"/>
    </w:rPr>
  </w:style>
  <w:style w:type="paragraph" w:customStyle="1" w:styleId="195">
    <w:name w:val="标题 61"/>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6">
    <w:name w:val="标题 71"/>
    <w:basedOn w:val="1"/>
    <w:next w:val="1"/>
    <w:qFormat/>
    <w:uiPriority w:val="0"/>
    <w:pPr>
      <w:keepNext/>
      <w:keepLines/>
      <w:numPr>
        <w:ilvl w:val="6"/>
        <w:numId w:val="1"/>
      </w:numPr>
      <w:spacing w:before="240" w:after="64" w:line="320" w:lineRule="auto"/>
      <w:outlineLvl w:val="6"/>
    </w:pPr>
    <w:rPr>
      <w:b/>
      <w:bCs/>
      <w:sz w:val="24"/>
      <w:szCs w:val="24"/>
    </w:rPr>
  </w:style>
  <w:style w:type="paragraph" w:customStyle="1" w:styleId="197">
    <w:name w:val="标题 81"/>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8">
    <w:name w:val="标题 91"/>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customStyle="1" w:styleId="199">
    <w:name w:val="默认段落字体1"/>
    <w:semiHidden/>
    <w:qFormat/>
    <w:uiPriority w:val="0"/>
  </w:style>
  <w:style w:type="table" w:customStyle="1" w:styleId="200">
    <w:name w:val="普通表格1"/>
    <w:semiHidden/>
    <w:qFormat/>
    <w:uiPriority w:val="0"/>
    <w:tblPr>
      <w:tblCellMar>
        <w:top w:w="0" w:type="dxa"/>
        <w:left w:w="0" w:type="dxa"/>
        <w:bottom w:w="0" w:type="dxa"/>
        <w:right w:w="0" w:type="dxa"/>
      </w:tblCellMar>
    </w:tblPr>
  </w:style>
  <w:style w:type="character" w:customStyle="1" w:styleId="201">
    <w:name w:val="标题 3 Char"/>
    <w:link w:val="191"/>
    <w:qFormat/>
    <w:uiPriority w:val="0"/>
    <w:rPr>
      <w:rFonts w:eastAsia="宋体"/>
      <w:b/>
      <w:bCs/>
      <w:sz w:val="32"/>
      <w:szCs w:val="32"/>
      <w:lang w:val="en-US" w:eastAsia="zh-CN" w:bidi="ar-SA"/>
    </w:rPr>
  </w:style>
  <w:style w:type="character" w:customStyle="1" w:styleId="202">
    <w:name w:val="正文缩进 Char"/>
    <w:link w:val="193"/>
    <w:qFormat/>
    <w:uiPriority w:val="0"/>
    <w:rPr>
      <w:sz w:val="21"/>
      <w:szCs w:val="21"/>
    </w:rPr>
  </w:style>
  <w:style w:type="paragraph" w:customStyle="1" w:styleId="203">
    <w:name w:val="列表 31"/>
    <w:basedOn w:val="1"/>
    <w:qFormat/>
    <w:uiPriority w:val="0"/>
    <w:pPr>
      <w:ind w:left="100" w:hanging="200"/>
    </w:pPr>
  </w:style>
  <w:style w:type="paragraph" w:customStyle="1" w:styleId="204">
    <w:name w:val="目录 71"/>
    <w:basedOn w:val="1"/>
    <w:next w:val="1"/>
    <w:semiHidden/>
    <w:qFormat/>
    <w:uiPriority w:val="0"/>
    <w:pPr>
      <w:ind w:left="1260"/>
      <w:jc w:val="left"/>
    </w:pPr>
  </w:style>
  <w:style w:type="paragraph" w:customStyle="1" w:styleId="205">
    <w:name w:val="文档结构图1"/>
    <w:basedOn w:val="1"/>
    <w:link w:val="206"/>
    <w:semiHidden/>
    <w:qFormat/>
    <w:uiPriority w:val="0"/>
    <w:pPr>
      <w:shd w:val="clear" w:color="auto" w:fill="000080"/>
    </w:pPr>
  </w:style>
  <w:style w:type="character" w:customStyle="1" w:styleId="206">
    <w:name w:val="文档结构图 Char"/>
    <w:link w:val="205"/>
    <w:qFormat/>
    <w:uiPriority w:val="0"/>
    <w:rPr>
      <w:rFonts w:eastAsia="宋体"/>
      <w:sz w:val="21"/>
      <w:szCs w:val="21"/>
      <w:lang w:val="en-US" w:eastAsia="zh-CN" w:bidi="ar-SA"/>
    </w:rPr>
  </w:style>
  <w:style w:type="paragraph" w:customStyle="1" w:styleId="207">
    <w:name w:val="批注文字1"/>
    <w:basedOn w:val="1"/>
    <w:semiHidden/>
    <w:qFormat/>
    <w:uiPriority w:val="0"/>
    <w:pPr>
      <w:jc w:val="left"/>
    </w:pPr>
  </w:style>
  <w:style w:type="paragraph" w:customStyle="1" w:styleId="208">
    <w:name w:val="正文文本 31"/>
    <w:basedOn w:val="1"/>
    <w:qFormat/>
    <w:uiPriority w:val="0"/>
    <w:rPr>
      <w:rFonts w:ascii="仿宋_GB2312" w:hAnsi="Arial" w:eastAsia="仿宋_GB2312"/>
      <w:sz w:val="32"/>
      <w:szCs w:val="32"/>
    </w:rPr>
  </w:style>
  <w:style w:type="paragraph" w:customStyle="1" w:styleId="209">
    <w:name w:val="正文文本1"/>
    <w:basedOn w:val="1"/>
    <w:next w:val="210"/>
    <w:qFormat/>
    <w:uiPriority w:val="0"/>
    <w:rPr>
      <w:rFonts w:ascii="楷体_GB2312" w:hAnsi="Arial" w:eastAsia="楷体_GB2312"/>
      <w:sz w:val="28"/>
      <w:szCs w:val="28"/>
    </w:rPr>
  </w:style>
  <w:style w:type="paragraph" w:customStyle="1" w:styleId="210">
    <w:name w:val="Default"/>
    <w:basedOn w:val="1"/>
    <w:next w:val="211"/>
    <w:qFormat/>
    <w:uiPriority w:val="0"/>
    <w:pPr>
      <w:jc w:val="left"/>
    </w:pPr>
    <w:rPr>
      <w:rFonts w:ascii="宋体" w:hAnsi="Calibri" w:cs="宋体"/>
      <w:color w:val="000000"/>
      <w:sz w:val="24"/>
    </w:rPr>
  </w:style>
  <w:style w:type="paragraph" w:customStyle="1" w:styleId="211">
    <w:name w:val="TOC 71"/>
    <w:next w:val="1"/>
    <w:qFormat/>
    <w:uiPriority w:val="0"/>
    <w:pPr>
      <w:ind w:left="2550"/>
      <w:jc w:val="both"/>
    </w:pPr>
    <w:rPr>
      <w:rFonts w:ascii="Times New Roman" w:hAnsi="Times New Roman" w:eastAsia="宋体" w:cs="Times New Roman"/>
      <w:sz w:val="21"/>
      <w:szCs w:val="22"/>
      <w:lang w:val="en-US" w:eastAsia="zh-CN" w:bidi="ar-SA"/>
    </w:rPr>
  </w:style>
  <w:style w:type="paragraph" w:customStyle="1" w:styleId="212">
    <w:name w:val="正文文本缩进1"/>
    <w:basedOn w:val="1"/>
    <w:next w:val="213"/>
    <w:qFormat/>
    <w:uiPriority w:val="0"/>
    <w:pPr>
      <w:ind w:firstLine="645"/>
    </w:pPr>
    <w:rPr>
      <w:rFonts w:ascii="楷体_GB2312" w:eastAsia="楷体_GB2312"/>
      <w:sz w:val="32"/>
      <w:szCs w:val="32"/>
    </w:rPr>
  </w:style>
  <w:style w:type="paragraph" w:customStyle="1" w:styleId="213">
    <w:name w:val="寄信人地址1"/>
    <w:basedOn w:val="1"/>
    <w:qFormat/>
    <w:uiPriority w:val="0"/>
    <w:rPr>
      <w:rFonts w:ascii="Arial" w:hAnsi="Arial"/>
    </w:rPr>
  </w:style>
  <w:style w:type="paragraph" w:customStyle="1" w:styleId="214">
    <w:name w:val="列表 21"/>
    <w:basedOn w:val="1"/>
    <w:qFormat/>
    <w:uiPriority w:val="0"/>
    <w:pPr>
      <w:ind w:left="100" w:hanging="200"/>
    </w:pPr>
  </w:style>
  <w:style w:type="paragraph" w:customStyle="1" w:styleId="215">
    <w:name w:val="索引 42"/>
    <w:basedOn w:val="1"/>
    <w:next w:val="1"/>
    <w:unhideWhenUsed/>
    <w:qFormat/>
    <w:uiPriority w:val="99"/>
    <w:pPr>
      <w:spacing w:before="100" w:beforeAutospacing="1" w:after="100" w:afterAutospacing="1"/>
      <w:ind w:left="600"/>
    </w:pPr>
    <w:rPr>
      <w:rFonts w:ascii="宋体"/>
      <w:b/>
      <w:bCs/>
      <w:position w:val="-10"/>
      <w:sz w:val="24"/>
      <w:szCs w:val="22"/>
    </w:rPr>
  </w:style>
  <w:style w:type="paragraph" w:customStyle="1" w:styleId="216">
    <w:name w:val="目录 51"/>
    <w:basedOn w:val="1"/>
    <w:next w:val="1"/>
    <w:semiHidden/>
    <w:qFormat/>
    <w:uiPriority w:val="0"/>
    <w:pPr>
      <w:ind w:left="840"/>
      <w:jc w:val="left"/>
    </w:pPr>
  </w:style>
  <w:style w:type="paragraph" w:customStyle="1" w:styleId="217">
    <w:name w:val="目录 31"/>
    <w:basedOn w:val="1"/>
    <w:next w:val="1"/>
    <w:semiHidden/>
    <w:qFormat/>
    <w:uiPriority w:val="0"/>
    <w:pPr>
      <w:ind w:left="420"/>
      <w:jc w:val="left"/>
    </w:pPr>
    <w:rPr>
      <w:i/>
      <w:iCs/>
      <w:szCs w:val="24"/>
    </w:rPr>
  </w:style>
  <w:style w:type="paragraph" w:customStyle="1" w:styleId="218">
    <w:name w:val="纯文本1"/>
    <w:basedOn w:val="1"/>
    <w:link w:val="219"/>
    <w:qFormat/>
    <w:uiPriority w:val="0"/>
    <w:rPr>
      <w:rFonts w:ascii="宋体" w:hAnsi="Courier New"/>
    </w:rPr>
  </w:style>
  <w:style w:type="character" w:customStyle="1" w:styleId="219">
    <w:name w:val="纯文本 Char"/>
    <w:link w:val="218"/>
    <w:qFormat/>
    <w:uiPriority w:val="0"/>
    <w:rPr>
      <w:rFonts w:ascii="宋体" w:hAnsi="Courier New" w:cs="Courier New"/>
      <w:sz w:val="21"/>
      <w:szCs w:val="21"/>
    </w:rPr>
  </w:style>
  <w:style w:type="paragraph" w:customStyle="1" w:styleId="220">
    <w:name w:val="目录 81"/>
    <w:basedOn w:val="1"/>
    <w:next w:val="1"/>
    <w:semiHidden/>
    <w:qFormat/>
    <w:uiPriority w:val="0"/>
    <w:pPr>
      <w:ind w:left="1470"/>
      <w:jc w:val="left"/>
    </w:pPr>
  </w:style>
  <w:style w:type="paragraph" w:customStyle="1" w:styleId="221">
    <w:name w:val="日期1"/>
    <w:basedOn w:val="1"/>
    <w:next w:val="1"/>
    <w:qFormat/>
    <w:uiPriority w:val="0"/>
    <w:rPr>
      <w:sz w:val="24"/>
      <w:szCs w:val="24"/>
    </w:rPr>
  </w:style>
  <w:style w:type="paragraph" w:customStyle="1" w:styleId="222">
    <w:name w:val="正文文本缩进 21"/>
    <w:basedOn w:val="1"/>
    <w:qFormat/>
    <w:uiPriority w:val="0"/>
    <w:pPr>
      <w:ind w:left="630" w:firstLine="645"/>
    </w:pPr>
    <w:rPr>
      <w:rFonts w:ascii="Arial" w:hAnsi="Arial" w:eastAsia="仿宋_GB2312" w:cs="Arial"/>
      <w:sz w:val="32"/>
      <w:szCs w:val="32"/>
    </w:rPr>
  </w:style>
  <w:style w:type="paragraph" w:customStyle="1" w:styleId="223">
    <w:name w:val="批注框文本1"/>
    <w:basedOn w:val="1"/>
    <w:semiHidden/>
    <w:qFormat/>
    <w:uiPriority w:val="0"/>
    <w:rPr>
      <w:sz w:val="18"/>
      <w:szCs w:val="18"/>
    </w:rPr>
  </w:style>
  <w:style w:type="paragraph" w:customStyle="1" w:styleId="224">
    <w:name w:val="页脚1"/>
    <w:basedOn w:val="1"/>
    <w:qFormat/>
    <w:uiPriority w:val="0"/>
    <w:pPr>
      <w:tabs>
        <w:tab w:val="center" w:pos="4153"/>
        <w:tab w:val="right" w:pos="8306"/>
      </w:tabs>
      <w:jc w:val="left"/>
    </w:pPr>
    <w:rPr>
      <w:sz w:val="18"/>
      <w:szCs w:val="18"/>
    </w:rPr>
  </w:style>
  <w:style w:type="paragraph" w:customStyle="1" w:styleId="22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7">
    <w:name w:val="目录 41"/>
    <w:basedOn w:val="1"/>
    <w:next w:val="1"/>
    <w:semiHidden/>
    <w:qFormat/>
    <w:uiPriority w:val="0"/>
    <w:pPr>
      <w:ind w:left="630"/>
      <w:jc w:val="left"/>
    </w:pPr>
  </w:style>
  <w:style w:type="paragraph" w:customStyle="1" w:styleId="228">
    <w:name w:val="列表1"/>
    <w:basedOn w:val="1"/>
    <w:qFormat/>
    <w:uiPriority w:val="0"/>
    <w:pPr>
      <w:ind w:left="200" w:hanging="200"/>
    </w:pPr>
  </w:style>
  <w:style w:type="paragraph" w:customStyle="1" w:styleId="229">
    <w:name w:val="目录 61"/>
    <w:basedOn w:val="1"/>
    <w:next w:val="1"/>
    <w:semiHidden/>
    <w:qFormat/>
    <w:uiPriority w:val="0"/>
    <w:pPr>
      <w:ind w:left="1050"/>
      <w:jc w:val="left"/>
    </w:pPr>
  </w:style>
  <w:style w:type="paragraph" w:customStyle="1" w:styleId="230">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31">
    <w:name w:val="图表目录1"/>
    <w:basedOn w:val="1"/>
    <w:next w:val="1"/>
    <w:semiHidden/>
    <w:qFormat/>
    <w:uiPriority w:val="0"/>
    <w:pPr>
      <w:ind w:left="840" w:hanging="420"/>
    </w:pPr>
  </w:style>
  <w:style w:type="paragraph" w:customStyle="1" w:styleId="232">
    <w:name w:val="目录 21"/>
    <w:basedOn w:val="1"/>
    <w:next w:val="1"/>
    <w:semiHidden/>
    <w:qFormat/>
    <w:uiPriority w:val="0"/>
    <w:pPr>
      <w:ind w:left="210"/>
      <w:jc w:val="left"/>
    </w:pPr>
    <w:rPr>
      <w:smallCaps/>
      <w:szCs w:val="24"/>
    </w:rPr>
  </w:style>
  <w:style w:type="paragraph" w:customStyle="1" w:styleId="233">
    <w:name w:val="目录 91"/>
    <w:basedOn w:val="1"/>
    <w:next w:val="1"/>
    <w:semiHidden/>
    <w:qFormat/>
    <w:uiPriority w:val="0"/>
    <w:pPr>
      <w:ind w:left="1680"/>
      <w:jc w:val="left"/>
    </w:pPr>
  </w:style>
  <w:style w:type="paragraph" w:customStyle="1" w:styleId="234">
    <w:name w:val="正文文本 21"/>
    <w:basedOn w:val="1"/>
    <w:qFormat/>
    <w:uiPriority w:val="0"/>
    <w:pPr>
      <w:widowControl/>
      <w:jc w:val="center"/>
    </w:pPr>
    <w:rPr>
      <w:rFonts w:ascii="楷体_GB2312" w:eastAsia="楷体_GB2312"/>
      <w:sz w:val="28"/>
      <w:szCs w:val="28"/>
    </w:rPr>
  </w:style>
  <w:style w:type="paragraph" w:customStyle="1" w:styleId="235">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6">
    <w:name w:val="索引 11"/>
    <w:basedOn w:val="1"/>
    <w:next w:val="1"/>
    <w:semiHidden/>
    <w:qFormat/>
    <w:uiPriority w:val="0"/>
    <w:pPr>
      <w:spacing w:line="240" w:lineRule="atLeast"/>
    </w:pPr>
    <w:rPr>
      <w:b/>
      <w:bCs/>
    </w:rPr>
  </w:style>
  <w:style w:type="paragraph" w:customStyle="1" w:styleId="237">
    <w:name w:val="批注主题1"/>
    <w:basedOn w:val="207"/>
    <w:next w:val="207"/>
    <w:semiHidden/>
    <w:qFormat/>
    <w:uiPriority w:val="0"/>
    <w:rPr>
      <w:b/>
      <w:bCs/>
    </w:rPr>
  </w:style>
  <w:style w:type="paragraph" w:customStyle="1" w:styleId="238">
    <w:name w:val="正文首行缩进1"/>
    <w:basedOn w:val="209"/>
    <w:next w:val="1"/>
    <w:qFormat/>
    <w:uiPriority w:val="0"/>
    <w:pPr>
      <w:spacing w:line="360" w:lineRule="auto"/>
      <w:ind w:firstLine="200"/>
    </w:pPr>
    <w:rPr>
      <w:rFonts w:ascii="仿宋_GB2312" w:eastAsia="仿宋_GB2312"/>
      <w:sz w:val="30"/>
      <w:szCs w:val="30"/>
    </w:rPr>
  </w:style>
  <w:style w:type="paragraph" w:customStyle="1" w:styleId="239">
    <w:name w:val="正文首行缩进 21"/>
    <w:basedOn w:val="212"/>
    <w:next w:val="193"/>
    <w:qFormat/>
    <w:uiPriority w:val="0"/>
    <w:pPr>
      <w:spacing w:line="360" w:lineRule="auto"/>
      <w:ind w:firstLine="420"/>
    </w:pPr>
    <w:rPr>
      <w:rFonts w:ascii="宋体" w:hAnsi="宋体" w:eastAsia="宋体"/>
      <w:sz w:val="21"/>
      <w:szCs w:val="20"/>
    </w:rPr>
  </w:style>
  <w:style w:type="table" w:customStyle="1" w:styleId="240">
    <w:name w:val="网格型1"/>
    <w:basedOn w:val="200"/>
    <w:qFormat/>
    <w:uiPriority w:val="0"/>
    <w:tblPr>
      <w:tblCellMar>
        <w:top w:w="0" w:type="dxa"/>
        <w:left w:w="0" w:type="dxa"/>
        <w:bottom w:w="0" w:type="dxa"/>
        <w:right w:w="0" w:type="dxa"/>
      </w:tblCellMar>
    </w:tblPr>
  </w:style>
  <w:style w:type="character" w:customStyle="1" w:styleId="241">
    <w:name w:val="要点1"/>
    <w:qFormat/>
    <w:uiPriority w:val="0"/>
    <w:rPr>
      <w:b/>
      <w:bCs/>
    </w:rPr>
  </w:style>
  <w:style w:type="character" w:customStyle="1" w:styleId="242">
    <w:name w:val="页码1"/>
    <w:qFormat/>
    <w:uiPriority w:val="0"/>
  </w:style>
  <w:style w:type="character" w:customStyle="1" w:styleId="243">
    <w:name w:val="已访问的超链接1"/>
    <w:basedOn w:val="199"/>
    <w:qFormat/>
    <w:uiPriority w:val="0"/>
    <w:rPr>
      <w:color w:val="000000"/>
      <w:u w:val="none"/>
    </w:rPr>
  </w:style>
  <w:style w:type="character" w:customStyle="1" w:styleId="244">
    <w:name w:val="强调1"/>
    <w:qFormat/>
    <w:uiPriority w:val="20"/>
    <w:rPr>
      <w:i/>
    </w:rPr>
  </w:style>
  <w:style w:type="character" w:customStyle="1" w:styleId="245">
    <w:name w:val="超链接1"/>
    <w:basedOn w:val="199"/>
    <w:qFormat/>
    <w:uiPriority w:val="0"/>
    <w:rPr>
      <w:color w:val="000000"/>
      <w:u w:val="none"/>
    </w:rPr>
  </w:style>
  <w:style w:type="character" w:customStyle="1" w:styleId="246">
    <w:name w:val="批注引用1"/>
    <w:semiHidden/>
    <w:qFormat/>
    <w:uiPriority w:val="0"/>
    <w:rPr>
      <w:sz w:val="21"/>
      <w:szCs w:val="21"/>
    </w:rPr>
  </w:style>
  <w:style w:type="paragraph" w:customStyle="1" w:styleId="247">
    <w:name w:val="_Style 1"/>
    <w:qFormat/>
    <w:uiPriority w:val="0"/>
    <w:rPr>
      <w:rFonts w:ascii="Tahoma" w:hAnsi="Tahoma" w:eastAsia="宋体" w:cs="Times New Roman"/>
      <w:sz w:val="22"/>
      <w:szCs w:val="22"/>
      <w:lang w:val="en-US" w:eastAsia="zh-CN" w:bidi="ar-SA"/>
    </w:rPr>
  </w:style>
  <w:style w:type="paragraph" w:customStyle="1" w:styleId="248">
    <w:name w:val="列出段落1"/>
    <w:basedOn w:val="1"/>
    <w:qFormat/>
    <w:uiPriority w:val="34"/>
    <w:pPr>
      <w:widowControl/>
      <w:ind w:left="720"/>
      <w:contextualSpacing/>
      <w:jc w:val="left"/>
    </w:pPr>
    <w:rPr>
      <w:rFonts w:ascii="Calibri" w:hAnsi="Calibri"/>
      <w:sz w:val="24"/>
      <w:szCs w:val="24"/>
      <w:lang w:eastAsia="en-US" w:bidi="en-US"/>
    </w:rPr>
  </w:style>
  <w:style w:type="character" w:customStyle="1" w:styleId="249">
    <w:name w:val="font41"/>
    <w:qFormat/>
    <w:uiPriority w:val="0"/>
    <w:rPr>
      <w:rFonts w:hint="eastAsia" w:ascii="宋体" w:hAnsi="宋体" w:eastAsia="宋体" w:cs="宋体"/>
      <w:b/>
      <w:bCs/>
      <w:color w:val="000000"/>
      <w:sz w:val="22"/>
      <w:szCs w:val="22"/>
      <w:u w:val="none"/>
    </w:rPr>
  </w:style>
  <w:style w:type="character" w:customStyle="1" w:styleId="250">
    <w:name w:val="列出段落 Char"/>
    <w:link w:val="251"/>
    <w:qFormat/>
    <w:uiPriority w:val="0"/>
    <w:rPr>
      <w:rFonts w:ascii="Calibri" w:hAnsi="Calibri"/>
      <w:sz w:val="24"/>
      <w:szCs w:val="24"/>
      <w:lang w:eastAsia="en-US" w:bidi="en-US"/>
    </w:rPr>
  </w:style>
  <w:style w:type="paragraph" w:customStyle="1" w:styleId="251">
    <w:name w:val="列出段落11"/>
    <w:basedOn w:val="1"/>
    <w:link w:val="250"/>
    <w:qFormat/>
    <w:uiPriority w:val="0"/>
    <w:pPr>
      <w:widowControl/>
      <w:ind w:left="720"/>
      <w:contextualSpacing/>
      <w:jc w:val="left"/>
    </w:pPr>
    <w:rPr>
      <w:rFonts w:ascii="Calibri" w:hAnsi="Calibri"/>
      <w:sz w:val="24"/>
      <w:szCs w:val="24"/>
      <w:lang w:eastAsia="en-US" w:bidi="en-US"/>
    </w:rPr>
  </w:style>
  <w:style w:type="character" w:customStyle="1" w:styleId="252">
    <w:name w:val="font71"/>
    <w:qFormat/>
    <w:uiPriority w:val="0"/>
    <w:rPr>
      <w:rFonts w:ascii="Cambria Math" w:hAnsi="Cambria Math" w:eastAsia="Cambria Math" w:cs="Cambria Math"/>
      <w:color w:val="000000"/>
      <w:sz w:val="22"/>
      <w:szCs w:val="22"/>
      <w:u w:val="none"/>
    </w:rPr>
  </w:style>
  <w:style w:type="character" w:customStyle="1" w:styleId="253">
    <w:name w:val="font91"/>
    <w:qFormat/>
    <w:uiPriority w:val="0"/>
    <w:rPr>
      <w:rFonts w:hint="eastAsia" w:ascii="宋体" w:hAnsi="宋体" w:eastAsia="宋体" w:cs="宋体"/>
      <w:color w:val="FF0000"/>
      <w:sz w:val="22"/>
      <w:szCs w:val="22"/>
      <w:u w:val="none"/>
    </w:rPr>
  </w:style>
  <w:style w:type="character" w:customStyle="1" w:styleId="254">
    <w:name w:val="font5 Char"/>
    <w:qFormat/>
    <w:uiPriority w:val="0"/>
    <w:rPr>
      <w:rFonts w:ascii="宋体" w:hAnsi="宋体" w:eastAsia="宋体"/>
      <w:sz w:val="28"/>
      <w:szCs w:val="28"/>
      <w:lang w:val="en-US" w:eastAsia="zh-CN" w:bidi="ar-SA"/>
    </w:rPr>
  </w:style>
  <w:style w:type="character" w:customStyle="1" w:styleId="255">
    <w:name w:val="二级目录 Char"/>
    <w:link w:val="256"/>
    <w:qFormat/>
    <w:uiPriority w:val="0"/>
    <w:rPr>
      <w:b/>
      <w:sz w:val="30"/>
      <w:szCs w:val="28"/>
    </w:rPr>
  </w:style>
  <w:style w:type="paragraph" w:customStyle="1" w:styleId="256">
    <w:name w:val="二级目录"/>
    <w:next w:val="1"/>
    <w:link w:val="255"/>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57">
    <w:name w:val="apple-converted-space"/>
    <w:qFormat/>
    <w:uiPriority w:val="99"/>
  </w:style>
  <w:style w:type="character" w:customStyle="1" w:styleId="258">
    <w:name w:val="Char Char Char Char Char"/>
    <w:link w:val="259"/>
    <w:qFormat/>
    <w:uiPriority w:val="0"/>
    <w:rPr>
      <w:rFonts w:ascii="Tahoma" w:hAnsi="Tahoma" w:eastAsia="宋体"/>
      <w:sz w:val="24"/>
      <w:szCs w:val="24"/>
      <w:lang w:val="en-US" w:eastAsia="zh-CN" w:bidi="ar-SA"/>
    </w:rPr>
  </w:style>
  <w:style w:type="paragraph" w:customStyle="1" w:styleId="259">
    <w:name w:val="Char Char Char Char"/>
    <w:basedOn w:val="205"/>
    <w:link w:val="258"/>
    <w:qFormat/>
    <w:uiPriority w:val="0"/>
    <w:pPr>
      <w:spacing w:line="360" w:lineRule="auto"/>
    </w:pPr>
    <w:rPr>
      <w:rFonts w:ascii="Tahoma" w:hAnsi="Tahoma"/>
      <w:sz w:val="24"/>
      <w:szCs w:val="24"/>
    </w:rPr>
  </w:style>
  <w:style w:type="character" w:customStyle="1" w:styleId="260">
    <w:name w:val="普通正文 Char"/>
    <w:link w:val="261"/>
    <w:qFormat/>
    <w:uiPriority w:val="0"/>
    <w:rPr>
      <w:rFonts w:ascii="Arial" w:hAnsi="Arial"/>
      <w:sz w:val="24"/>
      <w:szCs w:val="24"/>
    </w:rPr>
  </w:style>
  <w:style w:type="paragraph" w:customStyle="1" w:styleId="261">
    <w:name w:val="普通正文"/>
    <w:basedOn w:val="1"/>
    <w:link w:val="260"/>
    <w:qFormat/>
    <w:uiPriority w:val="0"/>
    <w:pPr>
      <w:spacing w:before="120" w:after="120" w:line="360" w:lineRule="auto"/>
      <w:ind w:firstLine="480"/>
      <w:jc w:val="left"/>
    </w:pPr>
    <w:rPr>
      <w:rFonts w:ascii="Arial" w:hAnsi="Arial"/>
      <w:sz w:val="24"/>
      <w:szCs w:val="24"/>
    </w:rPr>
  </w:style>
  <w:style w:type="character" w:customStyle="1" w:styleId="262">
    <w:name w:val="font51"/>
    <w:qFormat/>
    <w:uiPriority w:val="0"/>
    <w:rPr>
      <w:rFonts w:hint="eastAsia" w:ascii="宋体" w:hAnsi="宋体" w:eastAsia="宋体" w:cs="宋体"/>
      <w:color w:val="000000"/>
      <w:sz w:val="22"/>
      <w:szCs w:val="22"/>
      <w:u w:val="none"/>
    </w:rPr>
  </w:style>
  <w:style w:type="character" w:customStyle="1" w:styleId="263">
    <w:name w:val="font61"/>
    <w:qFormat/>
    <w:uiPriority w:val="0"/>
    <w:rPr>
      <w:rFonts w:ascii="Wingdings" w:hAnsi="Wingdings" w:cs="Wingdings"/>
      <w:color w:val="000000"/>
      <w:sz w:val="22"/>
      <w:szCs w:val="22"/>
      <w:u w:val="none"/>
    </w:rPr>
  </w:style>
  <w:style w:type="paragraph" w:customStyle="1" w:styleId="264">
    <w:name w:val="Body Text(ch)"/>
    <w:basedOn w:val="1"/>
    <w:next w:val="209"/>
    <w:qFormat/>
    <w:uiPriority w:val="0"/>
    <w:pPr>
      <w:spacing w:after="120"/>
    </w:pPr>
    <w:rPr>
      <w:rFonts w:ascii="宋体" w:hAnsi="Arial"/>
      <w:bCs/>
      <w:iCs/>
      <w:szCs w:val="24"/>
    </w:rPr>
  </w:style>
  <w:style w:type="paragraph" w:customStyle="1" w:styleId="265">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9">
    <w:name w:val="table_1stline"/>
    <w:basedOn w:val="1"/>
    <w:qFormat/>
    <w:uiPriority w:val="0"/>
    <w:pPr>
      <w:widowControl/>
      <w:spacing w:before="120"/>
      <w:jc w:val="left"/>
    </w:pPr>
    <w:rPr>
      <w:bCs/>
      <w:sz w:val="20"/>
      <w:szCs w:val="20"/>
      <w:lang w:val="de-DE" w:eastAsia="de-DE"/>
    </w:rPr>
  </w:style>
  <w:style w:type="paragraph" w:customStyle="1" w:styleId="270">
    <w:name w:val="Achievement"/>
    <w:basedOn w:val="1"/>
    <w:qFormat/>
    <w:uiPriority w:val="0"/>
    <w:pPr>
      <w:widowControl/>
      <w:numPr>
        <w:ilvl w:val="0"/>
        <w:numId w:val="2"/>
      </w:numPr>
      <w:spacing w:before="60" w:after="60"/>
      <w:jc w:val="left"/>
    </w:pPr>
    <w:rPr>
      <w:sz w:val="20"/>
      <w:szCs w:val="20"/>
      <w:lang w:val="it-IT"/>
    </w:rPr>
  </w:style>
  <w:style w:type="paragraph" w:customStyle="1" w:styleId="271">
    <w:name w:val="_Style 3"/>
    <w:basedOn w:val="1"/>
    <w:qFormat/>
    <w:uiPriority w:val="34"/>
    <w:pPr>
      <w:ind w:firstLine="420"/>
    </w:pPr>
    <w:rPr>
      <w:szCs w:val="24"/>
    </w:rPr>
  </w:style>
  <w:style w:type="paragraph" w:customStyle="1" w:styleId="272">
    <w:name w:val="table_lines"/>
    <w:basedOn w:val="1"/>
    <w:qFormat/>
    <w:uiPriority w:val="0"/>
    <w:pPr>
      <w:widowControl/>
      <w:jc w:val="left"/>
    </w:pPr>
    <w:rPr>
      <w:sz w:val="20"/>
      <w:szCs w:val="20"/>
      <w:lang w:val="de-DE" w:eastAsia="de-DE"/>
    </w:rPr>
  </w:style>
  <w:style w:type="paragraph" w:customStyle="1" w:styleId="273">
    <w:name w:val="附录1"/>
    <w:qFormat/>
    <w:uiPriority w:val="0"/>
    <w:pPr>
      <w:numPr>
        <w:ilvl w:val="0"/>
        <w:numId w:val="3"/>
      </w:numPr>
      <w:spacing w:before="240" w:line="600" w:lineRule="atLeast"/>
    </w:pPr>
    <w:rPr>
      <w:rFonts w:ascii="Times New Roman" w:hAnsi="Times New Roman" w:eastAsia="宋体" w:cs="Times New Roman"/>
      <w:b/>
      <w:i/>
      <w:sz w:val="28"/>
      <w:lang w:val="en-US" w:eastAsia="zh-CN" w:bidi="ar-SA"/>
    </w:rPr>
  </w:style>
  <w:style w:type="paragraph" w:customStyle="1" w:styleId="274">
    <w:name w:val="Char"/>
    <w:basedOn w:val="1"/>
    <w:qFormat/>
    <w:uiPriority w:val="0"/>
    <w:pPr>
      <w:tabs>
        <w:tab w:val="left" w:pos="360"/>
      </w:tabs>
      <w:ind w:firstLine="200"/>
    </w:pPr>
    <w:rPr>
      <w:sz w:val="28"/>
      <w:szCs w:val="30"/>
    </w:rPr>
  </w:style>
  <w:style w:type="paragraph" w:customStyle="1" w:styleId="275">
    <w:name w:val="样式1"/>
    <w:basedOn w:val="1"/>
    <w:qFormat/>
    <w:uiPriority w:val="0"/>
    <w:pPr>
      <w:numPr>
        <w:ilvl w:val="0"/>
        <w:numId w:val="4"/>
      </w:numPr>
    </w:pPr>
    <w:rPr>
      <w:rFonts w:ascii="宋体" w:hAnsi="宋体"/>
    </w:rPr>
  </w:style>
  <w:style w:type="paragraph" w:customStyle="1" w:styleId="27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7">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1">
    <w:name w:val="Table Paragraph"/>
    <w:basedOn w:val="1"/>
    <w:qFormat/>
    <w:uiPriority w:val="1"/>
    <w:pPr>
      <w:spacing w:line="276" w:lineRule="auto"/>
    </w:pPr>
    <w:rPr>
      <w:rFonts w:ascii="Calibri" w:hAnsi="Calibri" w:cs="Calibri"/>
      <w:szCs w:val="22"/>
    </w:rPr>
  </w:style>
  <w:style w:type="paragraph" w:customStyle="1" w:styleId="282">
    <w:name w:val="Char Char Char Char1"/>
    <w:basedOn w:val="205"/>
    <w:qFormat/>
    <w:uiPriority w:val="0"/>
    <w:pPr>
      <w:spacing w:line="360" w:lineRule="auto"/>
    </w:pPr>
    <w:rPr>
      <w:rFonts w:ascii="Tahoma" w:hAnsi="Tahoma"/>
      <w:sz w:val="24"/>
      <w:szCs w:val="24"/>
    </w:rPr>
  </w:style>
  <w:style w:type="paragraph" w:customStyle="1" w:styleId="283">
    <w:name w:val="_Style 5"/>
    <w:basedOn w:val="1"/>
    <w:next w:val="248"/>
    <w:qFormat/>
    <w:uiPriority w:val="99"/>
    <w:pPr>
      <w:ind w:firstLine="420"/>
    </w:pPr>
    <w:rPr>
      <w:szCs w:val="22"/>
    </w:rPr>
  </w:style>
  <w:style w:type="paragraph" w:customStyle="1" w:styleId="28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5">
    <w:name w:val="Other|1"/>
    <w:basedOn w:val="1"/>
    <w:qFormat/>
    <w:uiPriority w:val="0"/>
    <w:pPr>
      <w:spacing w:after="140" w:line="324" w:lineRule="auto"/>
    </w:pPr>
    <w:rPr>
      <w:rFonts w:ascii="宋体" w:hAnsi="宋体" w:cs="宋体"/>
      <w:sz w:val="20"/>
      <w:szCs w:val="20"/>
      <w:lang w:val="zh-TW" w:eastAsia="zh-TW" w:bidi="zh-TW"/>
    </w:rPr>
  </w:style>
  <w:style w:type="paragraph" w:customStyle="1" w:styleId="286">
    <w:name w:val="Char Char Char Char Char Char Char Char Char Char"/>
    <w:basedOn w:val="1"/>
    <w:qFormat/>
    <w:uiPriority w:val="0"/>
    <w:pPr>
      <w:spacing w:line="360" w:lineRule="auto"/>
    </w:pPr>
    <w:rPr>
      <w:sz w:val="24"/>
      <w:szCs w:val="20"/>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2">
    <w:name w:val="Char1"/>
    <w:basedOn w:val="205"/>
    <w:qFormat/>
    <w:uiPriority w:val="0"/>
    <w:rPr>
      <w:rFonts w:ascii="Tahoma" w:hAnsi="Tahoma"/>
      <w:sz w:val="24"/>
      <w:szCs w:val="24"/>
    </w:rPr>
  </w:style>
  <w:style w:type="paragraph" w:customStyle="1" w:styleId="293">
    <w:name w:val="4"/>
    <w:basedOn w:val="1"/>
    <w:next w:val="230"/>
    <w:qFormat/>
    <w:uiPriority w:val="99"/>
    <w:pPr>
      <w:spacing w:line="360" w:lineRule="auto"/>
      <w:ind w:firstLine="420"/>
    </w:pPr>
    <w:rPr>
      <w:color w:val="FF0000"/>
      <w:sz w:val="24"/>
      <w:szCs w:val="24"/>
    </w:rPr>
  </w:style>
  <w:style w:type="paragraph" w:customStyle="1" w:styleId="29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character" w:customStyle="1" w:styleId="295">
    <w:name w:val="font31"/>
    <w:basedOn w:val="199"/>
    <w:qFormat/>
    <w:uiPriority w:val="0"/>
    <w:rPr>
      <w:rFonts w:hint="eastAsia" w:ascii="黑体" w:hAnsi="宋体" w:eastAsia="黑体" w:cs="黑体"/>
      <w:color w:val="000000"/>
      <w:sz w:val="13"/>
      <w:szCs w:val="13"/>
      <w:u w:val="none"/>
    </w:rPr>
  </w:style>
  <w:style w:type="table" w:customStyle="1" w:styleId="296">
    <w:name w:val="Table Normal"/>
    <w:unhideWhenUsed/>
    <w:qFormat/>
    <w:uiPriority w:val="0"/>
    <w:tblPr>
      <w:tblCellMar>
        <w:top w:w="0" w:type="dxa"/>
        <w:left w:w="0" w:type="dxa"/>
        <w:bottom w:w="0" w:type="dxa"/>
        <w:right w:w="0" w:type="dxa"/>
      </w:tblCellMar>
    </w:tblPr>
  </w:style>
  <w:style w:type="paragraph" w:customStyle="1" w:styleId="297">
    <w:name w:val="标题 31"/>
    <w:basedOn w:val="1"/>
    <w:next w:val="298"/>
    <w:qFormat/>
    <w:uiPriority w:val="9"/>
    <w:pPr>
      <w:keepNext/>
      <w:keepLines/>
      <w:spacing w:before="260" w:after="260" w:line="416" w:lineRule="auto"/>
      <w:outlineLvl w:val="2"/>
    </w:pPr>
    <w:rPr>
      <w:b/>
      <w:bCs/>
      <w:sz w:val="32"/>
      <w:szCs w:val="32"/>
    </w:rPr>
  </w:style>
  <w:style w:type="paragraph" w:customStyle="1" w:styleId="298">
    <w:name w:val="正文缩进1"/>
    <w:basedOn w:val="1"/>
    <w:qFormat/>
    <w:uiPriority w:val="0"/>
    <w:pPr>
      <w:ind w:firstLine="420"/>
    </w:pPr>
  </w:style>
  <w:style w:type="paragraph" w:customStyle="1" w:styleId="299">
    <w:name w:val="标题 41"/>
    <w:basedOn w:val="1"/>
    <w:next w:val="298"/>
    <w:qFormat/>
    <w:uiPriority w:val="9"/>
    <w:pPr>
      <w:keepNext/>
      <w:keepLines/>
      <w:spacing w:before="280" w:after="290" w:line="376" w:lineRule="auto"/>
      <w:outlineLvl w:val="3"/>
    </w:pPr>
    <w:rPr>
      <w:rFonts w:ascii="Arial" w:hAnsi="Arial" w:eastAsia="黑体"/>
      <w:b/>
      <w:bCs/>
      <w:sz w:val="28"/>
      <w:szCs w:val="28"/>
    </w:rPr>
  </w:style>
  <w:style w:type="character" w:customStyle="1" w:styleId="300">
    <w:name w:val="active15"/>
    <w:basedOn w:val="199"/>
    <w:qFormat/>
    <w:uiPriority w:val="0"/>
    <w:rPr>
      <w:color w:val="FFFFFF"/>
      <w:shd w:val="clear" w:color="auto" w:fill="0F5BB9"/>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58</Pages>
  <Words>15940</Words>
  <Characters>17123</Characters>
  <Lines>261</Lines>
  <Paragraphs>73</Paragraphs>
  <TotalTime>26</TotalTime>
  <ScaleCrop>false</ScaleCrop>
  <LinksUpToDate>false</LinksUpToDate>
  <CharactersWithSpaces>17396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2026-08-19T02:57:00Z</dcterms:created>
  <dc:creator>政府采</dc:creator>
  <cp:lastModifiedBy>淡若清风</cp:lastModifiedBy>
  <cp:lastPrinted>2026-02-13T06:53:00Z</cp:lastPrinted>
  <dcterms:modified xsi:type="dcterms:W3CDTF">2026-08-20T08:18:35Z</dcterms:modified>
  <dc:title>江苏卫生信息</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5FA5192077B748C58A75C5B069ACF732_13</vt:lpwstr>
  </property>
  <property fmtid="{D5CDD505-2E9C-101B-9397-08002B2CF9AE}" pid="4" name="KSOTemplateDocerSaveRecord">
    <vt:lpwstr>eyJoZGlkIjoiNTE1YzdmNmVjMDA3NTIwZjFmYWJiZWQxZTQ4YzdmYWMiLCJ1c2VySWQiOiIzODM5ODI3NTUifQ==</vt:lpwstr>
  </property>
</Properties>
</file>