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9"/>
        <w:ind w:firstLine="0"/>
        <w:rPr>
          <w:rFonts w:hint="eastAsia" w:eastAsia="黑体"/>
          <w:b/>
          <w:bCs/>
          <w:sz w:val="84"/>
        </w:rPr>
      </w:pPr>
      <w:r>
        <w:rPr>
          <w:rFonts w:hint="eastAsia" w:eastAsia="黑体"/>
          <w:b/>
          <w:bCs/>
          <w:sz w:val="84"/>
        </w:rPr>
      </w:r>
      <w:r/>
    </w:p>
    <w:p>
      <w:pPr>
        <w:pStyle w:val="1039"/>
        <w:ind w:firstLine="0"/>
        <w:jc w:val="center"/>
        <w:rPr>
          <w:rFonts w:hint="eastAsia" w:ascii="方正小标宋_GBK" w:hAnsi="方正小标宋_GBK" w:eastAsia="方正小标宋_GBK" w:cs="方正小标宋_GBK"/>
          <w:b/>
          <w:bCs/>
          <w:sz w:val="36"/>
          <w:szCs w:val="36"/>
        </w:rPr>
      </w:pPr>
      <w:r>
        <w:rPr>
          <w:rFonts w:hint="eastAsia" w:ascii="方正小标宋_GBK" w:hAnsi="方正小标宋_GBK" w:eastAsia="方正小标宋_GBK" w:cs="方正小标宋_GBK"/>
          <w:b/>
          <w:bCs/>
          <w:sz w:val="36"/>
          <w:szCs w:val="36"/>
        </w:rPr>
        <w:t xml:space="preserve">招　标　文　件</w:t>
      </w:r>
      <w:r>
        <w:rPr>
          <w:b/>
          <w:bCs/>
          <w:sz w:val="32"/>
          <w:szCs w:val="32"/>
        </w:rPr>
      </w:r>
      <w:r/>
    </w:p>
    <w:p>
      <w:pPr>
        <w:pStyle w:val="1039"/>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pStyle w:val="951"/>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项目名称：南京工程学院部分学生公寓物业服务</w:t>
      </w:r>
      <w:r>
        <w:rPr>
          <w:rFonts w:hint="eastAsia" w:ascii="方正黑体_GBK" w:hAnsi="方正黑体_GBK" w:eastAsia="方正黑体_GBK" w:cs="方正黑体_GBK"/>
          <w:b w:val="0"/>
          <w:bCs w:val="0"/>
          <w:color w:val="000000"/>
          <w:sz w:val="28"/>
          <w:szCs w:val="28"/>
        </w:rPr>
      </w:r>
      <w:r/>
    </w:p>
    <w:p>
      <w:pPr>
        <w:pStyle w:val="951"/>
        <w:ind w:firstLine="560"/>
        <w:jc w:val="left"/>
        <w:keepLines w:val="0"/>
        <w:keepNext w:val="0"/>
        <w:pageBreakBefore w:val="0"/>
        <w:spacing w:before="120" w:after="120" w:line="400" w:lineRule="exact"/>
        <w:widowControl w:val="off"/>
        <w:rPr>
          <w:rFonts w:hint="eastAsia"/>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ascii="Times New Roman" w:hAnsi="Times New Roman" w:eastAsia="方正黑体_GBK" w:cs="Times New Roman"/>
          <w:b w:val="0"/>
          <w:bCs w:val="0"/>
          <w:color w:val="000000"/>
          <w:sz w:val="28"/>
          <w:szCs w:val="28"/>
        </w:rPr>
        <w:t xml:space="preserve">JSZC-320000-SCZX-G2026-0340 </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r>
        <w:rPr>
          <w:rFonts w:hint="eastAsia"/>
          <w:b/>
          <w:color w:val="ff0000"/>
          <w:sz w:val="28"/>
          <w:szCs w:val="28"/>
        </w:rPr>
      </w:r>
      <w:r/>
    </w:p>
    <w:p>
      <w:pPr>
        <w:pStyle w:val="951"/>
        <w:jc w:val="center"/>
        <w:rPr>
          <w:rFonts w:hint="eastAsia" w:ascii="Times New Roman" w:hAnsi="Times New Roman"/>
          <w:b/>
          <w:color w:val="ff0000"/>
          <w:sz w:val="28"/>
          <w:szCs w:val="28"/>
        </w:rPr>
      </w:pPr>
      <w:r>
        <w:rPr>
          <w:rFonts w:hint="eastAsia" w:ascii="Times New Roman" w:hAnsi="Times New Roman"/>
          <w:b/>
          <w:color w:val="ff0000"/>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1039"/>
        <w:ind w:firstLine="0"/>
        <w:spacing w:before="0" w:after="0"/>
        <w:rPr>
          <w:rFonts w:hint="eastAsia" w:ascii="宋体" w:hAnsi="宋体"/>
          <w:sz w:val="28"/>
          <w:szCs w:val="28"/>
        </w:rPr>
      </w:pPr>
      <w:r>
        <w:rPr>
          <w:rFonts w:hint="eastAsia" w:ascii="宋体" w:hAnsi="宋体"/>
          <w:sz w:val="28"/>
          <w:szCs w:val="28"/>
        </w:rPr>
      </w:r>
      <w:r/>
    </w:p>
    <w:p>
      <w:pPr>
        <w:pStyle w:val="951"/>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951"/>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8</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1039"/>
        <w:ind w:firstLine="0"/>
        <w:rPr>
          <w:rFonts w:hint="eastAsia"/>
          <w:u w:val="single"/>
        </w:rPr>
      </w:pPr>
      <w:r>
        <w:rPr>
          <w:rFonts w:hint="eastAsia"/>
        </w:rPr>
        <w:t xml:space="preserve">                        </w:t>
      </w:r>
      <w:r>
        <w:rPr>
          <w:rFonts w:hint="eastAsia"/>
          <w:u w:val="single"/>
        </w:rPr>
      </w:r>
      <w:r/>
    </w:p>
    <w:p>
      <w:pPr>
        <w:pStyle w:val="1039"/>
        <w:ind w:firstLine="0"/>
        <w:jc w:val="center"/>
        <w:rPr>
          <w:rFonts w:hint="eastAsia"/>
        </w:rPr>
      </w:pPr>
      <w:r>
        <w:rPr>
          <w:rFonts w:hint="eastAsia"/>
        </w:rPr>
      </w:r>
      <w:r/>
    </w:p>
    <w:p>
      <w:pPr>
        <w:pStyle w:val="951"/>
        <w:jc w:val="center"/>
        <w:keepLines w:val="0"/>
        <w:keepNext w:val="0"/>
        <w:pageBreakBefore w:val="0"/>
        <w:spacing w:line="400" w:lineRule="exact"/>
        <w:widowControl w:val="off"/>
        <w:rPr>
          <w:rFonts w:hint="eastAsia" w:ascii="黑体" w:hAnsi="Arial" w:eastAsia="黑体"/>
          <w:b/>
          <w:sz w:val="28"/>
          <w:szCs w:val="28"/>
        </w:rPr>
        <w:outlineLvl w:val="0"/>
      </w:pPr>
      <w:r>
        <w:br w:type="page" w:clear="all"/>
      </w:r>
      <w:bookmarkStart w:id="0" w:name="_Toc120614210"/>
      <w:r/>
      <w:bookmarkStart w:id="1" w:name="_Toc20823272"/>
      <w:r/>
      <w:bookmarkStart w:id="2" w:name="_Toc479757206"/>
      <w:r/>
      <w:bookmarkStart w:id="3" w:name="_Toc523127445"/>
      <w:r/>
      <w:bookmarkStart w:id="4" w:name="_Toc513029200"/>
      <w:r/>
      <w:bookmarkStart w:id="5" w:name="_Toc1693851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sz w:val="28"/>
          <w:szCs w:val="28"/>
        </w:rPr>
      </w:r>
      <w:r/>
    </w:p>
    <w:p>
      <w:pPr>
        <w:pStyle w:val="951"/>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51"/>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3</w:t>
      </w:r>
      <w:r>
        <w:rPr>
          <w:rFonts w:hint="eastAsia"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w:t>
      </w:r>
      <w:r>
        <w:rPr>
          <w:rFonts w:hint="eastAsia" w:ascii="方正黑体_GBK" w:hAnsi="方正黑体_GBK" w:eastAsia="方正黑体_GBK" w:cs="方正黑体_GBK"/>
          <w:color w:val="000000"/>
          <w:sz w:val="28"/>
          <w:szCs w:val="28"/>
          <w:lang w:val="en-US" w:eastAsia="zh-CN"/>
        </w:rPr>
        <w:t xml:space="preserve">6</w:t>
      </w:r>
      <w:r>
        <w:rPr>
          <w:rFonts w:hint="eastAsia"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16</w:t>
      </w:r>
      <w:r>
        <w:rPr>
          <w:rFonts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21</w:t>
      </w:r>
      <w:r>
        <w:rPr>
          <w:rFonts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评标方法与评标标准………………………37</w:t>
      </w:r>
      <w:r>
        <w:rPr>
          <w:rFonts w:ascii="方正黑体_GBK" w:hAnsi="方正黑体_GBK" w:eastAsia="方正黑体_GBK" w:cs="方正黑体_GBK"/>
          <w:color w:val="000000"/>
          <w:sz w:val="28"/>
          <w:szCs w:val="28"/>
          <w:lang w:val="en-US" w:eastAsia="zh-CN"/>
        </w:rPr>
      </w:r>
      <w:r/>
    </w:p>
    <w:p>
      <w:pPr>
        <w:pStyle w:val="951"/>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44</w:t>
      </w:r>
      <w:r>
        <w:rPr>
          <w:rFonts w:ascii="方正黑体_GBK" w:hAnsi="方正黑体_GBK" w:eastAsia="方正黑体_GBK" w:cs="方正黑体_GBK"/>
          <w:color w:val="000000"/>
          <w:sz w:val="28"/>
          <w:szCs w:val="28"/>
          <w:lang w:val="en-US" w:eastAsia="zh-CN"/>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受〔南京工程学院〕的委托，江苏省政府采购中心就〔南京工程学院部分学生公寓物业服务〕(</w:t>
      </w:r>
      <w:r>
        <w:rPr>
          <w:rFonts w:ascii="Times New Roman" w:hAnsi="Times New Roman" w:eastAsia="方正黑体_GBK" w:cs="Times New Roman"/>
          <w:b w:val="0"/>
          <w:bCs w:val="0"/>
          <w:color w:val="000000"/>
          <w:sz w:val="28"/>
          <w:szCs w:val="28"/>
        </w:rPr>
        <w:t xml:space="preserve">JSZC-320000-SCZX-G2026-0340</w:t>
      </w:r>
      <w:r>
        <w:rPr>
          <w:rFonts w:hint="eastAsia" w:ascii="方正仿宋_GBK" w:hAnsi="方正仿宋_GBK" w:eastAsia="方正仿宋_GBK" w:cs="方正仿宋_GBK"/>
          <w:color w:val="000000"/>
          <w:sz w:val="28"/>
          <w:szCs w:val="28"/>
        </w:rPr>
        <w:t xml:space="preserve">)项目进行公开招标采购，欢迎符合条件的供应商投标。</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(南京工程学院部分学生公寓物业服务)</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8</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25</w:t>
      </w:r>
      <w:r>
        <w:rPr>
          <w:rFonts w:hint="eastAsia" w:ascii="方正仿宋_GBK" w:hAnsi="方正仿宋_GBK" w:eastAsia="方正仿宋_GBK" w:cs="方正仿宋_GBK"/>
          <w:bCs/>
          <w:color w:val="000000"/>
          <w:sz w:val="28"/>
          <w:szCs w:val="28"/>
          <w:u w:val="none"/>
        </w:rPr>
        <w:t xml:space="preserve">日14</w:t>
      </w:r>
      <w:r>
        <w:rPr>
          <w:rFonts w:hint="eastAsia" w:ascii="方正仿宋_GBK" w:hAnsi="方正仿宋_GBK" w:eastAsia="方正仿宋_GBK" w:cs="方正仿宋_GBK"/>
          <w:color w:val="000000"/>
          <w:sz w:val="28"/>
          <w:szCs w:val="28"/>
          <w:u w:val="none"/>
          <w:lang w:val="en-US" w:eastAsia="zh-CN"/>
        </w:rPr>
        <w:t xml:space="preserve">时</w:t>
      </w:r>
      <w:r>
        <w:rPr>
          <w:rFonts w:hint="eastAsia" w:ascii="Times New Roman" w:hAnsi="Times New Roman" w:eastAsia="方正仿宋_GBK" w:cs="Times New Roman"/>
          <w:color w:val="000000"/>
          <w:sz w:val="28"/>
          <w:szCs w:val="28"/>
          <w:lang w:val="en-US" w:eastAsia="zh-CN"/>
        </w:rPr>
        <w:t xml:space="preserve">30</w:t>
      </w:r>
      <w:r>
        <w:rPr>
          <w:rFonts w:hint="eastAsia" w:ascii="方正仿宋_GBK" w:hAnsi="方正仿宋_GBK" w:eastAsia="方正仿宋_GBK" w:cs="方正仿宋_GBK"/>
          <w:bCs/>
          <w:sz w:val="28"/>
          <w:szCs w:val="28"/>
          <w:u w:val="none"/>
        </w:rPr>
        <w:t xml:space="preserve">分</w:t>
      </w:r>
      <w:r>
        <w:rPr>
          <w:rFonts w:hint="eastAsia" w:ascii="方正仿宋_GBK" w:hAnsi="方正仿宋_GBK" w:eastAsia="方正仿宋_GBK" w:cs="方正仿宋_GBK"/>
          <w:bCs/>
          <w:sz w:val="28"/>
          <w:szCs w:val="28"/>
        </w:rPr>
        <w:t xml:space="preserve">（北京时间）</w:t>
      </w:r>
      <w:r>
        <w:rPr>
          <w:rFonts w:hint="eastAsia" w:ascii="方正仿宋_GBK" w:hAnsi="方正仿宋_GBK" w:eastAsia="方正仿宋_GBK" w:cs="方正仿宋_GBK"/>
          <w:bCs/>
          <w:sz w:val="28"/>
          <w:szCs w:val="28"/>
        </w:rPr>
        <w:t xml:space="preserve">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w:t>
      </w:r>
      <w:r>
        <w:rPr>
          <w:rFonts w:ascii="Times New Roman" w:hAnsi="Times New Roman" w:eastAsia="方正黑体_GBK" w:cs="Times New Roman"/>
          <w:b w:val="0"/>
          <w:bCs w:val="0"/>
          <w:color w:val="000000"/>
          <w:sz w:val="28"/>
          <w:szCs w:val="28"/>
        </w:rPr>
        <w:t xml:space="preserve">JSZC-320000-SCZX-G2026-0340 </w:t>
      </w:r>
      <w:r>
        <w:rPr>
          <w:rFonts w:hint="eastAsia" w:ascii="Times New Roman" w:hAnsi="Times New Roman" w:eastAsia="方正仿宋_GBK" w:cs="Times New Roman"/>
          <w:color w:val="000000"/>
          <w:sz w:val="28"/>
          <w:szCs w:val="28"/>
          <w:lang w:val="en-US" w:eastAsia="zh-CN"/>
        </w:rPr>
        <w:t xml:space="preserve"> </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w:t>
      </w:r>
      <w:r>
        <w:rPr>
          <w:rFonts w:hint="eastAsia" w:ascii="Times New Roman" w:hAnsi="Times New Roman" w:eastAsia="方正仿宋_GBK" w:cs="Times New Roman"/>
          <w:color w:val="000000"/>
          <w:sz w:val="28"/>
          <w:szCs w:val="28"/>
          <w:lang w:val="en-US" w:eastAsia="zh-CN"/>
        </w:rPr>
        <w:t xml:space="preserve">南京工程学院部分学生公寓物业服务</w:t>
      </w:r>
      <w:r>
        <w:rPr>
          <w:rFonts w:hint="eastAsia" w:ascii="方正仿宋_GBK" w:hAnsi="方正仿宋_GBK" w:eastAsia="方正仿宋_GBK" w:cs="方正仿宋_GBK"/>
          <w:color w:val="000000"/>
          <w:sz w:val="28"/>
          <w:szCs w:val="28"/>
          <w:lang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51"/>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51"/>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499.9998</w:t>
            </w:r>
            <w:r>
              <w:rPr>
                <w:rFonts w:ascii="方正仿宋_GBK" w:hAnsi="方正仿宋_GBK" w:eastAsia="方正仿宋_GBK" w:cs="方正仿宋_GBK"/>
                <w:sz w:val="28"/>
                <w:szCs w:val="28"/>
                <w:lang w:val="en-US" w:eastAsia="zh-CN"/>
              </w:rPr>
            </w:r>
            <w:r/>
          </w:p>
        </w:tc>
      </w:tr>
    </w:tbl>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51"/>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51"/>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51"/>
              <w:jc w:val="center"/>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eastAsia="方正仿宋_GBK" w:cs="Times New Roman"/>
                <w:color w:val="000000"/>
                <w:sz w:val="28"/>
                <w:szCs w:val="28"/>
                <w:lang w:val="en-US" w:eastAsia="zh-CN"/>
              </w:rPr>
              <w:t xml:space="preserve">499</w:t>
            </w:r>
            <w:r>
              <w:rPr>
                <w:rFonts w:ascii="方正仿宋_GBK" w:hAnsi="方正仿宋_GBK" w:eastAsia="方正仿宋_GBK" w:cs="方正仿宋_GBK"/>
                <w:color w:val="000000"/>
                <w:sz w:val="28"/>
                <w:szCs w:val="28"/>
                <w:lang w:val="en-US" w:eastAsia="zh-CN"/>
              </w:rPr>
            </w:r>
            <w:r/>
          </w:p>
        </w:tc>
      </w:tr>
    </w:tbl>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bookmarkStart w:id="12" w:name="_Toc28359003"/>
      <w:r/>
      <w:bookmarkStart w:id="13" w:name="_Toc28359080"/>
      <w:r/>
      <w:bookmarkStart w:id="14" w:name="_Toc38985264"/>
      <w:r/>
      <w:bookmarkStart w:id="15" w:name="_Toc35393791"/>
      <w:r/>
      <w:bookmarkStart w:id="16" w:name="_Toc35393622"/>
      <w:r>
        <w:rPr>
          <w:rFonts w:hint="eastAsia" w:ascii="方正仿宋_GBK" w:hAnsi="方正仿宋_GBK" w:eastAsia="方正仿宋_GBK" w:cs="方正仿宋_GBK"/>
          <w:color w:val="000000"/>
          <w:sz w:val="28"/>
          <w:szCs w:val="28"/>
        </w:rPr>
        <w:t xml:space="preserve">5.采购需求(简介)：</w:t>
      </w:r>
      <w:r>
        <w:rPr>
          <w:rFonts w:hint="eastAsia" w:ascii="Times New Roman" w:hAnsi="Times New Roman" w:eastAsia="方正仿宋_GBK" w:cs="Times New Roman"/>
          <w:color w:val="000000"/>
          <w:sz w:val="28"/>
          <w:szCs w:val="28"/>
          <w:lang w:val="en-US" w:eastAsia="zh-CN"/>
        </w:rPr>
        <w:t xml:space="preserve">南京工程学院四栋学生公寓，共4492张床位，需购置新的物业服务，以维持学生公寓物业服务工作正常开展。4栋公寓共需配备41名物业管理工作人员，为学生提供24小时物业服务，确保学生公寓安全、各类公寓设备正常运转，维护学生公寓正常的生活秩序（详细内容见本招标文件第四章）</w:t>
      </w:r>
      <w:r>
        <w:rPr>
          <w:rFonts w:hint="eastAsia" w:ascii="方正仿宋_GBK" w:hAnsi="方正仿宋_GBK" w:eastAsia="方正仿宋_GBK" w:cs="方正仿宋_GBK"/>
          <w:color w:val="000000"/>
          <w:sz w:val="28"/>
          <w:szCs w:val="28"/>
          <w:u w:val="single"/>
        </w:rPr>
      </w:r>
      <w:r/>
    </w:p>
    <w:p>
      <w:pPr>
        <w:pStyle w:val="951"/>
        <w:ind w:firstLine="560"/>
        <w:spacing w:line="400" w:lineRule="exact"/>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w:t>
      </w:r>
      <w:r>
        <w:rPr>
          <w:rFonts w:hint="eastAsia" w:ascii="方正仿宋_GBK" w:hAnsi="方正仿宋_GBK" w:eastAsia="方正仿宋_GBK" w:cs="方正仿宋_GBK"/>
          <w:color w:val="000000"/>
          <w:sz w:val="28"/>
          <w:szCs w:val="28"/>
        </w:rPr>
        <w:t xml:space="preserve">自</w:t>
      </w:r>
      <w:r>
        <w:rPr>
          <w:rFonts w:hint="eastAsia" w:ascii="方正仿宋_GBK" w:hAnsi="方正仿宋_GBK" w:eastAsia="方正仿宋_GBK" w:cs="方正仿宋_GBK"/>
          <w:color w:val="000000"/>
          <w:sz w:val="28"/>
          <w:szCs w:val="28"/>
        </w:rPr>
        <w:t xml:space="preserve">合同签订之日</w:t>
      </w:r>
      <w:r>
        <w:rPr>
          <w:rFonts w:hint="eastAsia" w:ascii="方正仿宋_GBK" w:hAnsi="方正仿宋_GBK" w:eastAsia="方正仿宋_GBK" w:cs="方正仿宋_GBK"/>
          <w:color w:val="000000"/>
          <w:sz w:val="28"/>
          <w:szCs w:val="28"/>
        </w:rPr>
        <w:t xml:space="preserve">起</w:t>
      </w:r>
      <w:r>
        <w:rPr>
          <w:rFonts w:hint="eastAsia" w:ascii="方正仿宋_GBK" w:hAnsi="方正仿宋_GBK" w:eastAsia="方正仿宋_GBK" w:cs="方正仿宋_GBK"/>
          <w:color w:val="000000"/>
          <w:sz w:val="28"/>
          <w:szCs w:val="28"/>
        </w:rPr>
        <w:t xml:space="preserve">至</w:t>
      </w:r>
      <w:r>
        <w:rPr>
          <w:rFonts w:eastAsia="方正仿宋_GBK"/>
          <w:color w:val="000000"/>
          <w:sz w:val="28"/>
          <w:szCs w:val="28"/>
        </w:rPr>
        <w:t xml:space="preserve">2029</w:t>
      </w:r>
      <w:r>
        <w:rPr>
          <w:rFonts w:hint="eastAsia" w:eastAsia="方正仿宋_GBK"/>
          <w:color w:val="000000"/>
          <w:sz w:val="28"/>
          <w:szCs w:val="28"/>
        </w:rPr>
        <w:t xml:space="preserve">年</w:t>
      </w:r>
      <w:r>
        <w:rPr>
          <w:rFonts w:eastAsia="方正仿宋_GBK"/>
          <w:color w:val="000000"/>
          <w:sz w:val="28"/>
          <w:szCs w:val="28"/>
        </w:rPr>
        <w:t xml:space="preserve">8</w:t>
      </w:r>
      <w:r>
        <w:rPr>
          <w:rFonts w:hint="eastAsia" w:eastAsia="方正仿宋_GBK"/>
          <w:color w:val="000000"/>
          <w:sz w:val="28"/>
          <w:szCs w:val="28"/>
        </w:rPr>
        <w:t xml:space="preserve">月31日</w:t>
      </w:r>
      <w:r>
        <w:rPr>
          <w:rFonts w:hint="eastAsia" w:ascii="方正仿宋_GBK" w:hAnsi="方正仿宋_GBK" w:eastAsia="方正仿宋_GBK" w:cs="方正仿宋_GBK"/>
          <w:color w:val="000000"/>
          <w:sz w:val="28"/>
          <w:szCs w:val="28"/>
          <w:u w:val="single"/>
          <w:lang w:eastAsia="zh-CN"/>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28359004"/>
      <w:r/>
      <w:bookmarkStart w:id="18" w:name="_Toc28359081"/>
      <w:r/>
      <w:bookmarkStart w:id="19" w:name="_Toc35393792"/>
      <w:r/>
      <w:bookmarkStart w:id="20" w:name="_Toc38985265"/>
      <w:r/>
      <w:bookmarkStart w:id="21" w:name="_Toc35393623"/>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51"/>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951"/>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51"/>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lang w:val="en-US" w:eastAsia="zh-CN"/>
              </w:rPr>
              <w:t xml:space="preserve">/</w:t>
            </w:r>
            <w:r>
              <w:rPr>
                <w:rFonts w:hint="eastAsia" w:ascii="方正仿宋_GBK" w:hAnsi="方正仿宋_GBK" w:eastAsia="方正仿宋_GBK" w:cs="方正仿宋_GBK"/>
                <w:sz w:val="28"/>
                <w:szCs w:val="28"/>
                <w:lang w:eastAsia="zh-CN"/>
              </w:rPr>
            </w:r>
            <w:r/>
          </w:p>
        </w:tc>
      </w:tr>
    </w:tbl>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rPr>
          <w:rFonts w:hint="eastAsia" w:ascii="方正黑体_GBK" w:hAnsi="方正黑体_GBK" w:eastAsia="方正黑体_GBK" w:cs="方正黑体_GBK"/>
          <w:b w:val="0"/>
          <w:bCs w:val="0"/>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35393794"/>
      <w:r/>
      <w:bookmarkStart w:id="23" w:name="_Toc35393625"/>
      <w:r/>
      <w:bookmarkStart w:id="24" w:name="_Toc28359084"/>
      <w:r/>
      <w:bookmarkStart w:id="25" w:name="_Toc38985267"/>
      <w:r/>
      <w:bookmarkStart w:id="26" w:name="_Toc28359007"/>
      <w:r/>
      <w:bookmarkStart w:id="27" w:name="_Toc28359005"/>
      <w:r/>
      <w:bookmarkStart w:id="28" w:name="_Toc28359082"/>
      <w:r/>
      <w:bookmarkStart w:id="29" w:name="_Toc35393624"/>
      <w:r/>
      <w:bookmarkStart w:id="30" w:name="_Toc35393793"/>
      <w:r/>
      <w:bookmarkStart w:id="31" w:name="_Toc38985266"/>
      <w:r>
        <w:rPr>
          <w:rFonts w:hint="eastAsia" w:ascii="方正黑体_GBK" w:hAnsi="方正黑体_GBK" w:eastAsia="方正黑体_GBK" w:cs="方正黑体_GBK"/>
          <w:color w:val="000000"/>
          <w:sz w:val="28"/>
          <w:szCs w:val="28"/>
        </w:rPr>
        <w:t xml:space="preserve">四、提交投标文件</w:t>
      </w:r>
      <w:bookmarkEnd w:id="27"/>
      <w:r/>
      <w:bookmarkEnd w:id="28"/>
      <w:r>
        <w:rPr>
          <w:rFonts w:hint="eastAsia" w:ascii="方正黑体_GBK" w:hAnsi="方正黑体_GBK" w:eastAsia="方正黑体_GBK" w:cs="方正黑体_GBK"/>
          <w:color w:val="000000"/>
          <w:sz w:val="28"/>
          <w:szCs w:val="28"/>
        </w:rPr>
        <w:t xml:space="preserve">截止时间、开标时间和地点</w:t>
      </w:r>
      <w:bookmarkEnd w:id="29"/>
      <w:r/>
      <w:bookmarkEnd w:id="30"/>
      <w:r/>
      <w:bookmarkEnd w:id="31"/>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1.2026</w:t>
      </w:r>
      <w:r>
        <w:rPr>
          <w:rFonts w:hint="eastAsia" w:ascii="方正仿宋_GBK" w:hAnsi="方正仿宋_GBK" w:eastAsia="方正仿宋_GBK" w:cs="方正仿宋_GBK"/>
          <w:bCs/>
          <w:color w:val="000000"/>
          <w:sz w:val="28"/>
          <w:szCs w:val="28"/>
          <w:u w:val="none"/>
        </w:rPr>
        <w:t xml:space="preserve">年</w:t>
      </w:r>
      <w:r>
        <w:rPr>
          <w:rFonts w:hint="eastAsia" w:ascii="Times New Roman" w:hAnsi="Times New Roman" w:eastAsia="方正仿宋_GBK" w:cs="Times New Roman"/>
          <w:color w:val="000000"/>
          <w:sz w:val="28"/>
          <w:szCs w:val="28"/>
          <w:lang w:val="en-US" w:eastAsia="zh-CN"/>
        </w:rPr>
        <w:t xml:space="preserve">8</w:t>
      </w:r>
      <w:r>
        <w:rPr>
          <w:rFonts w:hint="eastAsia" w:ascii="方正仿宋_GBK" w:hAnsi="方正仿宋_GBK" w:eastAsia="方正仿宋_GBK" w:cs="方正仿宋_GBK"/>
          <w:bCs/>
          <w:color w:val="000000"/>
          <w:sz w:val="28"/>
          <w:szCs w:val="28"/>
          <w:u w:val="none"/>
        </w:rPr>
        <w:t xml:space="preserve">月25</w:t>
      </w:r>
      <w:r>
        <w:rPr>
          <w:rFonts w:hint="eastAsia" w:ascii="方正仿宋_GBK" w:hAnsi="方正仿宋_GBK" w:eastAsia="方正仿宋_GBK" w:cs="方正仿宋_GBK"/>
          <w:bCs/>
          <w:color w:val="000000"/>
          <w:sz w:val="28"/>
          <w:szCs w:val="28"/>
          <w:u w:val="none"/>
        </w:rPr>
        <w:t xml:space="preserve">日14</w:t>
      </w:r>
      <w:r>
        <w:rPr>
          <w:rFonts w:hint="eastAsia" w:ascii="方正仿宋_GBK" w:hAnsi="方正仿宋_GBK" w:eastAsia="方正仿宋_GBK" w:cs="方正仿宋_GBK"/>
          <w:color w:val="000000"/>
          <w:sz w:val="28"/>
          <w:szCs w:val="28"/>
          <w:u w:val="none"/>
          <w:lang w:val="en-US" w:eastAsia="zh-CN"/>
        </w:rPr>
        <w:t xml:space="preserve">时</w:t>
      </w:r>
      <w:r>
        <w:rPr>
          <w:rFonts w:hint="eastAsia" w:ascii="Times New Roman" w:hAnsi="Times New Roman"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5393626"/>
      <w:r/>
      <w:bookmarkStart w:id="33" w:name="_Toc38985268"/>
      <w:r/>
      <w:bookmarkStart w:id="34" w:name="_Toc35393795"/>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35393796"/>
      <w:r/>
      <w:bookmarkStart w:id="36" w:name="_Toc35393627"/>
      <w:r/>
      <w:bookmarkStart w:id="37" w:name="_Toc28359008"/>
      <w:r/>
      <w:bookmarkStart w:id="38" w:name="_Toc38985269"/>
      <w:r/>
      <w:bookmarkStart w:id="39" w:name="_Toc28359085"/>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51"/>
        <w:ind w:firstLine="560"/>
        <w:jc w:val="left"/>
        <w:keepLines w:val="0"/>
        <w:keepNext/>
        <w:pageBreakBefore w:val="0"/>
        <w:spacing w:line="400" w:lineRule="exact"/>
        <w:widowControl w:val="off"/>
        <w:rPr>
          <w:rFonts w:hint="eastAsia" w:ascii="方正仿宋_GBK" w:hAnsi="方正仿宋_GBK" w:eastAsia="方正仿宋_GBK" w:cs="方正仿宋_GBK"/>
          <w:sz w:val="28"/>
          <w:szCs w:val="28"/>
        </w:rPr>
        <w:outlineLvl w:val="0"/>
      </w:pPr>
      <w:r/>
      <w:bookmarkEnd w:id="35"/>
      <w:r/>
      <w:bookmarkEnd w:id="36"/>
      <w:r/>
      <w:bookmarkEnd w:id="37"/>
      <w:r/>
      <w:bookmarkEnd w:id="38"/>
      <w:r/>
      <w:bookmarkEnd w:id="39"/>
      <w:r>
        <w:rPr>
          <w:rFonts w:hint="eastAsia" w:ascii="方正仿宋_GBK" w:hAnsi="方正仿宋_GBK" w:eastAsia="方正仿宋_GBK" w:cs="方正仿宋_GBK"/>
          <w:sz w:val="28"/>
          <w:szCs w:val="28"/>
        </w:rPr>
        <w:t xml:space="preserve">本项目组织集中现场勘察。投标人根据项目需要自行勘察现场，因未勘察现场或勘察工作不详细的供应商中标后，不得以完全不了解现场情况为理由而向采购人提出任何索赔或其他要求，对此采购人不承担任何责任并将不作任何答复。</w:t>
      </w:r>
      <w:r>
        <w:rPr>
          <w:rFonts w:hint="eastAsia" w:ascii="方正仿宋_GBK" w:hAnsi="方正仿宋_GBK" w:eastAsia="方正仿宋_GBK" w:cs="方正仿宋_GBK"/>
          <w:sz w:val="28"/>
          <w:szCs w:val="28"/>
        </w:rPr>
      </w:r>
      <w:r/>
    </w:p>
    <w:p>
      <w:pPr>
        <w:pStyle w:val="951"/>
        <w:ind w:firstLine="560"/>
        <w:jc w:val="left"/>
        <w:keepLines w:val="0"/>
        <w:keepNext/>
        <w:pageBreakBefore w:val="0"/>
        <w:spacing w:line="400" w:lineRule="exact"/>
        <w:widowControl w:val="off"/>
        <w:rPr>
          <w:rFonts w:hint="eastAsia" w:ascii="方正仿宋_GBK" w:hAnsi="方正仿宋_GBK" w:eastAsia="方正仿宋_GBK" w:cs="方正仿宋_GBK"/>
          <w:sz w:val="28"/>
          <w:szCs w:val="28"/>
        </w:rPr>
        <w:outlineLvl w:val="0"/>
      </w:pPr>
      <w:r>
        <w:rPr>
          <w:rFonts w:hint="eastAsia" w:ascii="方正仿宋_GBK" w:hAnsi="方正仿宋_GBK" w:eastAsia="方正仿宋_GBK" w:cs="方正仿宋_GBK"/>
          <w:sz w:val="28"/>
          <w:szCs w:val="28"/>
        </w:rPr>
        <w:t xml:space="preserve">统一勘察集中时间：</w:t>
      </w:r>
      <w:r>
        <w:rPr>
          <w:rFonts w:hint="eastAsia" w:ascii="方正仿宋_GBK" w:hAnsi="方正仿宋_GBK" w:eastAsia="方正仿宋_GBK" w:cs="方正仿宋_GBK"/>
          <w:color w:val="000000"/>
          <w:sz w:val="28"/>
          <w:szCs w:val="28"/>
          <w:highlight w:val="none"/>
        </w:rPr>
        <w:t xml:space="preserve">2026年 8 月 12 日上午9：</w:t>
      </w:r>
      <w:r>
        <w:rPr>
          <w:rFonts w:hint="eastAsia" w:ascii="方正仿宋_GBK" w:hAnsi="方正仿宋_GBK" w:eastAsia="方正仿宋_GBK" w:cs="方正仿宋_GBK"/>
          <w:sz w:val="28"/>
          <w:szCs w:val="28"/>
          <w:highlight w:val="none"/>
        </w:rPr>
        <w:t xml:space="preserve">00（北</w:t>
      </w:r>
      <w:r>
        <w:rPr>
          <w:rFonts w:hint="eastAsia" w:ascii="方正仿宋_GBK" w:hAnsi="方正仿宋_GBK" w:eastAsia="方正仿宋_GBK" w:cs="方正仿宋_GBK"/>
          <w:sz w:val="28"/>
          <w:szCs w:val="28"/>
        </w:rPr>
        <w:t xml:space="preserve">京时间），过时不候。</w:t>
      </w:r>
      <w:r>
        <w:rPr>
          <w:rFonts w:hint="eastAsia" w:ascii="方正仿宋_GBK" w:hAnsi="方正仿宋_GBK" w:eastAsia="方正仿宋_GBK" w:cs="方正仿宋_GBK"/>
          <w:sz w:val="28"/>
          <w:szCs w:val="28"/>
        </w:rPr>
      </w:r>
      <w:r/>
    </w:p>
    <w:p>
      <w:pPr>
        <w:pStyle w:val="951"/>
        <w:ind w:firstLine="560"/>
        <w:jc w:val="left"/>
        <w:keepLines w:val="0"/>
        <w:keepNext/>
        <w:pageBreakBefore w:val="0"/>
        <w:spacing w:line="400" w:lineRule="exact"/>
        <w:widowControl w:val="off"/>
        <w:rPr>
          <w:rFonts w:hint="eastAsia" w:ascii="方正仿宋_GBK" w:hAnsi="方正仿宋_GBK" w:eastAsia="方正仿宋_GBK" w:cs="方正仿宋_GBK"/>
          <w:sz w:val="28"/>
          <w:szCs w:val="28"/>
        </w:rPr>
        <w:outlineLvl w:val="0"/>
      </w:pPr>
      <w:r>
        <w:rPr>
          <w:rFonts w:hint="eastAsia" w:ascii="方正仿宋_GBK" w:hAnsi="方正仿宋_GBK" w:eastAsia="方正仿宋_GBK" w:cs="方正仿宋_GBK"/>
          <w:sz w:val="28"/>
          <w:szCs w:val="28"/>
        </w:rPr>
        <w:t xml:space="preserve">集中地点：南京工程学院北区11号学生公寓站大厅</w:t>
      </w:r>
      <w:r>
        <w:rPr>
          <w:rFonts w:hint="eastAsia" w:ascii="方正仿宋_GBK" w:hAnsi="方正仿宋_GBK" w:eastAsia="方正仿宋_GBK" w:cs="方正仿宋_GBK"/>
          <w:sz w:val="28"/>
          <w:szCs w:val="28"/>
        </w:rPr>
      </w:r>
      <w:r/>
    </w:p>
    <w:p>
      <w:pPr>
        <w:pStyle w:val="951"/>
        <w:ind w:firstLine="560"/>
        <w:jc w:val="left"/>
        <w:keepLines w:val="0"/>
        <w:keepNext/>
        <w:pageBreakBefore w:val="0"/>
        <w:spacing w:line="400" w:lineRule="exact"/>
        <w:widowControl w:val="off"/>
        <w:rPr>
          <w:rFonts w:hint="eastAsia" w:ascii="方正仿宋_GBK" w:hAnsi="方正仿宋_GBK" w:eastAsia="方正仿宋_GBK" w:cs="方正仿宋_GBK"/>
          <w:sz w:val="28"/>
          <w:szCs w:val="28"/>
          <w:lang w:val="en-US" w:eastAsia="zh-CN"/>
        </w:rPr>
        <w:outlineLvl w:val="0"/>
      </w:pPr>
      <w:r>
        <w:rPr>
          <w:rFonts w:hint="eastAsia" w:ascii="方正仿宋_GBK" w:hAnsi="方正仿宋_GBK" w:eastAsia="方正仿宋_GBK" w:cs="方正仿宋_GBK"/>
          <w:sz w:val="28"/>
          <w:szCs w:val="28"/>
        </w:rPr>
        <w:t xml:space="preserve">勘查现场联系人及联系方式：杨玉军，1895196208</w:t>
      </w: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lang w:val="en-US" w:eastAsia="zh-CN"/>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51"/>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51"/>
        <w:ind w:firstLine="560"/>
        <w:jc w:val="left"/>
        <w:keepNext/>
        <w:spacing w:line="400" w:lineRule="exact"/>
        <w:rPr>
          <w:rFonts w:hint="eastAsia" w:ascii="方正仿宋_GBK" w:hAnsi="方正仿宋_GBK" w:eastAsia="方正仿宋_GBK" w:cs="方正仿宋_GBK"/>
          <w:color w:val="000000"/>
          <w:sz w:val="28"/>
          <w:szCs w:val="28"/>
          <w:u w:val="single"/>
        </w:rPr>
        <w:outlineLvl w:val="0"/>
      </w:pPr>
      <w:r>
        <w:rPr>
          <w:rFonts w:hint="eastAsia" w:ascii="方正仿宋_GBK" w:hAnsi="方正仿宋_GBK" w:eastAsia="方正仿宋_GBK" w:cs="方正仿宋_GBK"/>
          <w:color w:val="000000"/>
          <w:sz w:val="28"/>
          <w:szCs w:val="28"/>
          <w:highlight w:val="none"/>
        </w:rPr>
        <w:t xml:space="preserve">名 称：</w:t>
      </w:r>
      <w:r>
        <w:rPr>
          <w:rFonts w:hint="eastAsia" w:ascii="方正仿宋_GBK" w:hAnsi="方正仿宋_GBK" w:eastAsia="方正仿宋_GBK" w:cs="方正仿宋_GBK"/>
          <w:color w:val="000000"/>
          <w:sz w:val="28"/>
          <w:szCs w:val="28"/>
          <w:highlight w:val="none"/>
          <w:u w:val="single"/>
        </w:rPr>
        <w:t xml:space="preserve">　　南京工</w:t>
      </w:r>
      <w:r>
        <w:rPr>
          <w:rFonts w:hint="eastAsia" w:ascii="方正仿宋_GBK" w:hAnsi="方正仿宋_GBK" w:eastAsia="方正仿宋_GBK" w:cs="方正仿宋_GBK"/>
          <w:color w:val="000000"/>
          <w:sz w:val="28"/>
          <w:szCs w:val="28"/>
          <w:u w:val="single"/>
        </w:rPr>
        <w:t xml:space="preserve">程学院　　　　　　　</w:t>
      </w:r>
      <w:r>
        <w:rPr>
          <w:rFonts w:hint="eastAsia" w:ascii="方正仿宋_GBK" w:hAnsi="方正仿宋_GBK" w:eastAsia="方正仿宋_GBK" w:cs="方正仿宋_GBK"/>
          <w:color w:val="000000"/>
          <w:sz w:val="28"/>
          <w:szCs w:val="28"/>
          <w:u w:val="single"/>
        </w:rPr>
      </w:r>
      <w:r/>
    </w:p>
    <w:p>
      <w:pPr>
        <w:pStyle w:val="951"/>
        <w:ind w:firstLine="560"/>
        <w:jc w:val="left"/>
        <w:keepNext/>
        <w:spacing w:line="400" w:lineRule="exact"/>
        <w:rPr>
          <w:rFonts w:hint="eastAsia" w:ascii="方正仿宋_GBK" w:hAnsi="方正仿宋_GBK" w:eastAsia="方正仿宋_GBK" w:cs="方正仿宋_GBK"/>
          <w:color w:val="000000"/>
          <w:sz w:val="28"/>
          <w:szCs w:val="28"/>
          <w:u w:val="single"/>
        </w:rPr>
        <w:outlineLvl w:val="0"/>
      </w:pPr>
      <w:r>
        <w:rPr>
          <w:rFonts w:hint="eastAsia" w:ascii="方正仿宋_GBK" w:hAnsi="方正仿宋_GBK" w:eastAsia="方正仿宋_GBK" w:cs="方正仿宋_GBK"/>
          <w:color w:val="000000"/>
          <w:sz w:val="28"/>
          <w:szCs w:val="28"/>
          <w:u w:val="none"/>
        </w:rPr>
        <w:t xml:space="preserve">地 址：</w:t>
      </w:r>
      <w:r>
        <w:rPr>
          <w:rFonts w:hint="eastAsia" w:ascii="方正仿宋_GBK" w:hAnsi="方正仿宋_GBK" w:eastAsia="方正仿宋_GBK" w:cs="方正仿宋_GBK"/>
          <w:color w:val="000000"/>
          <w:sz w:val="28"/>
          <w:szCs w:val="28"/>
          <w:u w:val="single"/>
        </w:rPr>
        <w:t xml:space="preserve">　江苏省南京市江宁区弘景大道一号　　　　　</w:t>
      </w:r>
      <w:r>
        <w:rPr>
          <w:rFonts w:hint="eastAsia" w:ascii="方正仿宋_GBK" w:hAnsi="方正仿宋_GBK" w:eastAsia="方正仿宋_GBK" w:cs="方正仿宋_GBK"/>
          <w:color w:val="000000"/>
          <w:sz w:val="28"/>
          <w:szCs w:val="28"/>
          <w:u w:val="single"/>
        </w:rPr>
      </w:r>
      <w:r/>
    </w:p>
    <w:p>
      <w:pPr>
        <w:pStyle w:val="951"/>
        <w:ind w:firstLine="560"/>
        <w:jc w:val="left"/>
        <w:keepNext/>
        <w:spacing w:line="400" w:lineRule="exact"/>
        <w:rPr>
          <w:rFonts w:ascii="方正仿宋_GBK" w:hAnsi="方正仿宋_GBK" w:eastAsia="方正仿宋_GBK" w:cs="方正仿宋_GBK"/>
          <w:color w:val="000000"/>
          <w:sz w:val="28"/>
          <w:szCs w:val="28"/>
          <w:highlight w:val="none"/>
        </w:rPr>
        <w:outlineLvl w:val="0"/>
      </w:pPr>
      <w:r>
        <w:rPr>
          <w:rFonts w:hint="eastAsia" w:ascii="方正仿宋_GBK" w:hAnsi="方正仿宋_GBK" w:eastAsia="方正仿宋_GBK" w:cs="方正仿宋_GBK"/>
          <w:color w:val="000000"/>
          <w:sz w:val="28"/>
          <w:szCs w:val="28"/>
          <w:u w:val="none"/>
        </w:rPr>
        <w:t xml:space="preserve">联系人： </w:t>
      </w:r>
      <w:r>
        <w:rPr>
          <w:rFonts w:hint="eastAsia" w:ascii="方正仿宋_GBK" w:hAnsi="方正仿宋_GBK" w:eastAsia="方正仿宋_GBK" w:cs="方正仿宋_GBK"/>
          <w:color w:val="000000"/>
          <w:sz w:val="28"/>
          <w:szCs w:val="28"/>
          <w:u w:val="single"/>
        </w:rPr>
        <w:t xml:space="preserve">    杨玉军         </w:t>
      </w:r>
      <w:r>
        <w:rPr>
          <w:rFonts w:hint="eastAsia" w:ascii="方正仿宋_GBK" w:hAnsi="方正仿宋_GBK" w:eastAsia="方正仿宋_GBK" w:cs="方正仿宋_GBK"/>
          <w:color w:val="000000"/>
          <w:sz w:val="28"/>
          <w:szCs w:val="28"/>
          <w:highlight w:val="none"/>
          <w:u w:val="single"/>
        </w:rPr>
        <w:t xml:space="preserve">      </w:t>
      </w:r>
      <w:r>
        <w:rPr>
          <w:rFonts w:ascii="方正仿宋_GBK" w:hAnsi="方正仿宋_GBK" w:eastAsia="方正仿宋_GBK" w:cs="方正仿宋_GBK"/>
          <w:color w:val="000000"/>
          <w:sz w:val="28"/>
          <w:szCs w:val="28"/>
          <w:highlight w:val="none"/>
        </w:rPr>
      </w:r>
      <w:r/>
    </w:p>
    <w:p>
      <w:pPr>
        <w:pStyle w:val="951"/>
        <w:ind w:firstLine="560"/>
        <w:jc w:val="left"/>
        <w:spacing w:line="400" w:lineRule="exact"/>
        <w:rPr>
          <w:rFonts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　　1</w:t>
      </w:r>
      <w:r>
        <w:rPr>
          <w:rFonts w:ascii="方正仿宋_GBK" w:hAnsi="方正仿宋_GBK" w:eastAsia="方正仿宋_GBK" w:cs="方正仿宋_GBK"/>
          <w:color w:val="000000"/>
          <w:sz w:val="28"/>
          <w:szCs w:val="28"/>
          <w:highlight w:val="none"/>
          <w:u w:val="single"/>
        </w:rPr>
        <w:t xml:space="preserve">8951962085</w:t>
      </w:r>
      <w:r>
        <w:rPr>
          <w:rFonts w:hint="eastAsia" w:ascii="方正仿宋_GBK" w:hAnsi="方正仿宋_GBK" w:eastAsia="方正仿宋_GBK" w:cs="方正仿宋_GBK"/>
          <w:color w:val="000000"/>
          <w:sz w:val="28"/>
          <w:szCs w:val="28"/>
          <w:highlight w:val="none"/>
          <w:u w:val="single"/>
        </w:rPr>
        <w:t xml:space="preserve">　　　　　　　　 </w:t>
      </w:r>
      <w:bookmarkStart w:id="40" w:name="_Toc28359009"/>
      <w:r/>
      <w:bookmarkStart w:id="41" w:name="_Toc28359086"/>
      <w:r>
        <w:rPr>
          <w:rFonts w:ascii="方正仿宋_GBK" w:hAnsi="方正仿宋_GBK" w:eastAsia="方正仿宋_GBK" w:cs="方正仿宋_GBK"/>
          <w:color w:val="000000"/>
          <w:sz w:val="28"/>
          <w:szCs w:val="28"/>
          <w:highlight w:val="none"/>
          <w:u w:val="single"/>
        </w:rPr>
      </w:r>
      <w:r/>
    </w:p>
    <w:p>
      <w:pPr>
        <w:pStyle w:val="951"/>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ascii="方正仿宋_GBK" w:hAnsi="方正仿宋_GBK" w:eastAsia="方正仿宋_GBK" w:cs="方正仿宋_GBK"/>
          <w:color w:val="000000"/>
          <w:sz w:val="28"/>
          <w:szCs w:val="28"/>
        </w:rPr>
      </w:r>
      <w:r/>
    </w:p>
    <w:p>
      <w:pPr>
        <w:pStyle w:val="951"/>
        <w:ind w:firstLine="560"/>
        <w:jc w:val="left"/>
        <w:keepNext/>
        <w:spacing w:line="400" w:lineRule="exact"/>
        <w:rPr>
          <w:rFonts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南京市汉中门大街145号省政务中心二期3楼南区</w:t>
      </w:r>
      <w:r>
        <w:rPr>
          <w:rFonts w:ascii="方正仿宋_GBK" w:hAnsi="方正仿宋_GBK" w:eastAsia="方正仿宋_GBK" w:cs="方正仿宋_GBK"/>
          <w:color w:val="000000"/>
          <w:sz w:val="28"/>
          <w:szCs w:val="28"/>
        </w:rPr>
      </w:r>
      <w:r/>
    </w:p>
    <w:p>
      <w:pPr>
        <w:pStyle w:val="951"/>
        <w:ind w:firstLine="560"/>
        <w:jc w:val="left"/>
        <w:keepNext/>
        <w:spacing w:line="400" w:lineRule="exact"/>
        <w:rPr>
          <w:rFonts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 系 人：</w:t>
      </w:r>
      <w:r>
        <w:rPr>
          <w:rFonts w:hint="eastAsia" w:ascii="方正仿宋_GBK" w:hAnsi="方正仿宋_GBK" w:eastAsia="方正仿宋_GBK" w:cs="方正仿宋_GBK"/>
          <w:color w:val="000000"/>
          <w:sz w:val="28"/>
          <w:szCs w:val="28"/>
          <w:u w:val="single"/>
        </w:rPr>
        <w:t xml:space="preserve">   唐雪菲   徐小聪    </w:t>
      </w:r>
      <w:r>
        <w:rPr>
          <w:rFonts w:ascii="方正仿宋_GBK" w:hAnsi="方正仿宋_GBK" w:eastAsia="方正仿宋_GBK" w:cs="方正仿宋_GBK"/>
          <w:color w:val="000000"/>
          <w:sz w:val="28"/>
          <w:szCs w:val="28"/>
        </w:rPr>
      </w:r>
      <w:r/>
    </w:p>
    <w:p>
      <w:pPr>
        <w:pStyle w:val="951"/>
        <w:ind w:firstLine="560"/>
        <w:jc w:val="left"/>
        <w:keepNext/>
        <w:spacing w:line="400" w:lineRule="exact"/>
        <w:rPr>
          <w:rFonts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联系方式： </w:t>
      </w:r>
      <w:r>
        <w:rPr>
          <w:rFonts w:hint="eastAsia" w:ascii="方正仿宋_GBK" w:hAnsi="方正仿宋_GBK" w:eastAsia="方正仿宋_GBK" w:cs="方正仿宋_GBK"/>
          <w:color w:val="000000"/>
          <w:sz w:val="28"/>
          <w:szCs w:val="28"/>
          <w:u w:val="single"/>
        </w:rPr>
        <w:t xml:space="preserve"> 025-83668562 83668516　 </w:t>
      </w:r>
      <w:r>
        <w:rPr>
          <w:rFonts w:ascii="方正仿宋_GBK" w:hAnsi="方正仿宋_GBK" w:eastAsia="方正仿宋_GBK" w:cs="方正仿宋_GBK"/>
          <w:color w:val="000000"/>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51"/>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51"/>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2"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120614213"/>
      <w:r/>
      <w:bookmarkStart w:id="46" w:name="_Toc513029202"/>
      <w:r>
        <w:rPr>
          <w:rFonts w:hint="eastAsia" w:ascii="方正黑体_GBK" w:hAnsi="方正黑体_GBK" w:eastAsia="方正黑体_GBK" w:cs="方正黑体_GBK"/>
          <w:color w:val="000000"/>
          <w:sz w:val="28"/>
          <w:szCs w:val="28"/>
        </w:rPr>
        <w:t xml:space="preserve">投标人须知</w:t>
      </w:r>
      <w:bookmarkEnd w:id="43"/>
      <w:r/>
      <w:bookmarkEnd w:id="44"/>
      <w:r/>
      <w:bookmarkEnd w:id="45"/>
      <w:r/>
      <w:bookmarkEnd w:id="46"/>
      <w:r>
        <w:rPr>
          <w:rFonts w:hint="eastAsia" w:ascii="宋体" w:hAnsi="宋体"/>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51"/>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7" w:name="_Toc20823285"/>
      <w:r/>
      <w:bookmarkStart w:id="48" w:name="_Toc120614216"/>
      <w:r/>
      <w:bookmarkStart w:id="49" w:name="_Toc16938529"/>
      <w:r/>
      <w:bookmarkStart w:id="50" w:name="_Toc462564072"/>
      <w:r/>
      <w:bookmarkStart w:id="51" w:name="_Toc513029213"/>
      <w:r>
        <w:rPr>
          <w:rFonts w:hint="eastAsia" w:ascii="方正黑体_GBK" w:hAnsi="方正黑体_GBK" w:eastAsia="方正黑体_GBK" w:cs="方正黑体_GBK"/>
          <w:color w:val="000000"/>
          <w:sz w:val="28"/>
          <w:szCs w:val="28"/>
        </w:rPr>
        <w:t xml:space="preserve">三、投标文件的编制</w:t>
      </w:r>
      <w:bookmarkEnd w:id="47"/>
      <w:r/>
      <w:bookmarkEnd w:id="48"/>
      <w:r/>
      <w:bookmarkEnd w:id="49"/>
      <w:r/>
      <w:bookmarkEnd w:id="50"/>
      <w:r/>
      <w:bookmarkEnd w:id="51"/>
      <w:r>
        <w:rPr>
          <w:rFonts w:hint="eastAsia" w:ascii="方正黑体_GBK" w:hAnsi="方正黑体_GBK" w:eastAsia="方正黑体_GBK" w:cs="方正黑体_GBK"/>
          <w:color w:val="000000"/>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2" w:name="_Toc462564073"/>
      <w:r/>
      <w:bookmarkStart w:id="53" w:name="_Toc513029214"/>
      <w:r/>
      <w:bookmarkStart w:id="54" w:name="_Toc16938530"/>
      <w:r/>
      <w:bookmarkStart w:id="55" w:name="_Toc20823286"/>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2"/>
      <w:r/>
      <w:bookmarkEnd w:id="53"/>
      <w:r/>
      <w:bookmarkEnd w:id="54"/>
      <w:r/>
      <w:bookmarkEnd w:id="55"/>
      <w:r>
        <w:rPr>
          <w:rFonts w:hint="eastAsia" w:ascii="方正仿宋_GBK" w:hAnsi="方正仿宋_GBK" w:eastAsia="方正仿宋_GBK" w:cs="方正仿宋_GBK"/>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6" w:name="_Toc20823287"/>
      <w:r/>
      <w:bookmarkStart w:id="57" w:name="_Toc16938531"/>
      <w:r/>
      <w:bookmarkStart w:id="58" w:name="_Toc462564074"/>
      <w:r/>
      <w:bookmarkStart w:id="59" w:name="_Toc513029215"/>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6"/>
      <w:r/>
      <w:bookmarkEnd w:id="57"/>
      <w:r/>
      <w:bookmarkEnd w:id="58"/>
      <w:r/>
      <w:bookmarkEnd w:id="59"/>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0" w:name="_Hlt26668975"/>
      <w:r/>
      <w:bookmarkEnd w:id="60"/>
      <w:r/>
      <w:bookmarkStart w:id="61" w:name="_Hlt26954838"/>
      <w:r/>
      <w:bookmarkEnd w:id="61"/>
      <w:r/>
      <w:bookmarkStart w:id="62" w:name="_Hlt26670360"/>
      <w:r/>
      <w:bookmarkEnd w:id="62"/>
      <w:r/>
      <w:bookmarkStart w:id="63" w:name="_Toc513029219"/>
      <w:r/>
      <w:bookmarkStart w:id="64" w:name="_Toc49090509"/>
      <w:r/>
      <w:bookmarkStart w:id="65" w:name="_Toc14577357"/>
      <w:r/>
      <w:bookmarkStart w:id="66" w:name="_Toc513029216"/>
      <w:r/>
      <w:bookmarkStart w:id="67" w:name="_Toc49090507"/>
      <w:r/>
      <w:bookmarkStart w:id="68" w:name="_Toc14577354"/>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3"/>
      <w:r/>
      <w:bookmarkEnd w:id="64"/>
      <w:r/>
      <w:bookmarkEnd w:id="65"/>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bookmarkEnd w:id="66"/>
      <w:r/>
      <w:bookmarkEnd w:id="67"/>
      <w:r/>
      <w:bookmarkEnd w:id="68"/>
      <w:r/>
      <w:bookmarkStart w:id="69" w:name="_Toc14577355"/>
      <w:r/>
      <w:bookmarkStart w:id="70"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69"/>
      <w:r/>
      <w:bookmarkStart w:id="71" w:name="_Hlt26670373"/>
      <w:r/>
      <w:bookmarkEnd w:id="71"/>
      <w:r>
        <w:rPr>
          <w:rFonts w:hint="eastAsia" w:ascii="方正仿宋_GBK" w:hAnsi="方正仿宋_GBK" w:eastAsia="方正仿宋_GBK" w:cs="方正仿宋_GBK"/>
          <w:b w:val="0"/>
          <w:bCs w:val="0"/>
          <w:sz w:val="28"/>
          <w:szCs w:val="28"/>
        </w:rPr>
        <w:t xml:space="preserve">表</w:t>
      </w:r>
      <w:bookmarkEnd w:id="70"/>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2" w:name="_Hlt26954840"/>
      <w:r/>
      <w:bookmarkEnd w:id="72"/>
      <w:r>
        <w:rPr>
          <w:rFonts w:hint="eastAsia" w:ascii="方正仿宋_GBK" w:hAnsi="方正仿宋_GBK" w:eastAsia="方正仿宋_GBK" w:cs="方正仿宋_GBK"/>
          <w:sz w:val="28"/>
          <w:szCs w:val="28"/>
        </w:rPr>
        <w:t xml:space="preserve">标人按照招标文件规定格式填报投标分项报价表</w:t>
      </w:r>
      <w:bookmarkStart w:id="73" w:name="_Hlt26670399"/>
      <w:r/>
      <w:bookmarkEnd w:id="73"/>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4" w:name="_Hlt26670403"/>
      <w:r/>
      <w:bookmarkEnd w:id="74"/>
      <w:r/>
      <w:bookmarkStart w:id="75" w:name="_Hlt26670482"/>
      <w:r/>
      <w:bookmarkEnd w:id="75"/>
      <w:r/>
      <w:bookmarkStart w:id="76" w:name="_Hlt26670486"/>
      <w:r/>
      <w:bookmarkEnd w:id="76"/>
      <w:r/>
      <w:bookmarkStart w:id="77" w:name="_Hlt26954731"/>
      <w:r/>
      <w:bookmarkEnd w:id="77"/>
      <w:r/>
      <w:bookmarkStart w:id="78" w:name="_Hlt26954844"/>
      <w:r/>
      <w:bookmarkEnd w:id="78"/>
      <w:r/>
      <w:bookmarkStart w:id="79" w:name="_Hlt26954846"/>
      <w:r/>
      <w:bookmarkEnd w:id="79"/>
      <w:r/>
      <w:bookmarkStart w:id="80" w:name="_Hlt26668983"/>
      <w:r/>
      <w:bookmarkEnd w:id="80"/>
      <w:r/>
      <w:bookmarkStart w:id="81" w:name="_Hlt26670425"/>
      <w:r/>
      <w:bookmarkEnd w:id="81"/>
      <w:r/>
      <w:bookmarkStart w:id="82" w:name="_Hlt26954842"/>
      <w:r/>
      <w:bookmarkEnd w:id="82"/>
      <w:r/>
      <w:bookmarkStart w:id="83" w:name="_Hlt26954848"/>
      <w:r/>
      <w:bookmarkEnd w:id="83"/>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4" w:name="_Toc14577359"/>
      <w:r/>
      <w:bookmarkStart w:id="85" w:name="_Toc49090510"/>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End w:id="84"/>
      <w:r/>
      <w:bookmarkEnd w:id="85"/>
      <w:r/>
      <w:bookmarkStart w:id="86" w:name="_Hlt26954734"/>
      <w:r/>
      <w:bookmarkEnd w:id="86"/>
      <w:r/>
      <w:bookmarkStart w:id="87" w:name="_Hlt26670489"/>
      <w:r/>
      <w:bookmarkEnd w:id="87"/>
      <w:r/>
      <w:bookmarkStart w:id="88" w:name="_Hlt26954850"/>
      <w:r/>
      <w:bookmarkEnd w:id="88"/>
      <w:r/>
      <w:bookmarkStart w:id="89" w:name="_Toc14577360"/>
      <w:r/>
      <w:bookmarkStart w:id="90" w:name="_Toc49090511"/>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89"/>
      <w:r/>
      <w:bookmarkEnd w:id="90"/>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1" w:name="_Hlt26954739"/>
      <w:r/>
      <w:bookmarkEnd w:id="91"/>
      <w:r/>
      <w:bookmarkStart w:id="92" w:name="_Hlt26954852"/>
      <w:r/>
      <w:bookmarkEnd w:id="92"/>
      <w:r/>
      <w:bookmarkStart w:id="93" w:name="_Toc120614217"/>
      <w:r/>
      <w:bookmarkStart w:id="94" w:name="_Toc16938540"/>
      <w:r/>
      <w:bookmarkStart w:id="95" w:name="_Toc20823296"/>
      <w:r/>
      <w:bookmarkStart w:id="96" w:name="_Toc513029224"/>
      <w:r>
        <w:rPr>
          <w:rFonts w:hint="eastAsia" w:ascii="方正黑体_GBK" w:hAnsi="方正黑体_GBK" w:eastAsia="方正黑体_GBK" w:cs="方正黑体_GBK"/>
          <w:color w:val="000000"/>
          <w:sz w:val="28"/>
          <w:szCs w:val="28"/>
        </w:rPr>
        <w:t xml:space="preserve">四、投标文件的递交</w:t>
      </w:r>
      <w:bookmarkEnd w:id="93"/>
      <w:r/>
      <w:bookmarkEnd w:id="94"/>
      <w:r/>
      <w:bookmarkEnd w:id="95"/>
      <w:r/>
      <w:bookmarkEnd w:id="96"/>
      <w:r>
        <w:rPr>
          <w:rFonts w:hint="eastAsia" w:ascii="方正黑体_GBK" w:hAnsi="方正黑体_GBK" w:eastAsia="方正黑体_GBK" w:cs="方正黑体_GBK"/>
          <w:color w:val="000000"/>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7" w:name="_Toc513029225"/>
      <w:r/>
      <w:bookmarkStart w:id="98" w:name="_Toc20823297"/>
      <w:r/>
      <w:bookmarkStart w:id="99" w:name="_Toc462564084"/>
      <w:r/>
      <w:bookmarkStart w:id="100" w:name="_Toc16938541"/>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7"/>
      <w:r/>
      <w:bookmarkEnd w:id="98"/>
      <w:r/>
      <w:bookmarkEnd w:id="99"/>
      <w:r/>
      <w:bookmarkEnd w:id="100"/>
      <w:r>
        <w:rPr>
          <w:rFonts w:hint="eastAsia" w:ascii="方正仿宋_GBK" w:hAnsi="方正仿宋_GBK" w:eastAsia="方正仿宋_GBK" w:cs="方正仿宋_GBK"/>
          <w:b w:val="0"/>
          <w:bCs w:val="0"/>
          <w:sz w:val="28"/>
          <w:szCs w:val="28"/>
        </w:rPr>
        <w:t xml:space="preserve">的递交</w:t>
      </w:r>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64"/>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1" w:name="_Toc513029226"/>
      <w:r/>
      <w:bookmarkStart w:id="102" w:name="_Toc16938542"/>
      <w:r/>
      <w:bookmarkStart w:id="103" w:name="_Toc20823298"/>
      <w:r>
        <w:rPr>
          <w:rFonts w:hint="eastAsia" w:ascii="方正仿宋_GBK" w:hAnsi="方正仿宋_GBK" w:eastAsia="方正仿宋_GBK" w:cs="方正仿宋_GBK"/>
          <w:bCs/>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1"/>
      <w:r/>
      <w:bookmarkEnd w:id="102"/>
      <w:r/>
      <w:bookmarkEnd w:id="103"/>
      <w:r>
        <w:rPr>
          <w:rFonts w:hint="eastAsia" w:ascii="方正仿宋_GBK" w:hAnsi="方正仿宋_GBK" w:eastAsia="方正仿宋_GBK" w:cs="方正仿宋_GBK"/>
          <w:bCs/>
          <w:sz w:val="28"/>
          <w:szCs w:val="28"/>
          <w:lang w:val="en-US" w:eastAsia="zh-CN" w:bidi="ar-SA"/>
        </w:rPr>
        <w:t xml:space="preserve">时间</w:t>
      </w:r>
      <w:r>
        <w:rPr>
          <w:rFonts w:hint="eastAsia" w:ascii="方正仿宋_GBK" w:hAnsi="方正仿宋_GBK" w:eastAsia="方正仿宋_GBK" w:cs="方正仿宋_GBK"/>
          <w:bCs/>
          <w:sz w:val="28"/>
          <w:szCs w:val="28"/>
          <w:lang w:val="en-US" w:eastAsia="zh-CN" w:bidi="ar-SA"/>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4" w:name="_Toc513029227"/>
      <w:r/>
      <w:bookmarkStart w:id="105" w:name="_Toc20823299"/>
      <w:r/>
      <w:bookmarkStart w:id="106" w:name="_Toc16938543"/>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4"/>
      <w:r/>
      <w:bookmarkEnd w:id="105"/>
      <w:r/>
      <w:bookmarkEnd w:id="106"/>
      <w:r>
        <w:rPr>
          <w:rFonts w:hint="eastAsia" w:ascii="方正仿宋_GBK" w:hAnsi="方正仿宋_GBK" w:eastAsia="方正仿宋_GBK" w:cs="方正仿宋_GBK"/>
          <w:b w:val="0"/>
          <w:bCs w:val="0"/>
          <w:sz w:val="28"/>
          <w:szCs w:val="28"/>
        </w:rPr>
        <w:t xml:space="preserve">的拒收</w:t>
      </w:r>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55"/>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7" w:name="_Toc513029228"/>
      <w:r/>
      <w:bookmarkStart w:id="108" w:name="_Toc16938544"/>
      <w:r/>
      <w:bookmarkStart w:id="109" w:name="_Toc20823300"/>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7"/>
      <w:r/>
      <w:bookmarkEnd w:id="108"/>
      <w:r/>
      <w:bookmarkEnd w:id="109"/>
      <w:r>
        <w:rPr>
          <w:rFonts w:hint="eastAsia" w:ascii="方正仿宋_GBK" w:hAnsi="方正仿宋_GBK" w:eastAsia="方正仿宋_GBK" w:cs="方正仿宋_GBK"/>
          <w:b w:val="0"/>
          <w:bCs w:val="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0" w:name="_Toc120614218"/>
      <w:r/>
      <w:bookmarkStart w:id="111" w:name="_Toc513029229"/>
      <w:r/>
      <w:bookmarkStart w:id="112" w:name="_Toc20823301"/>
      <w:r/>
      <w:bookmarkStart w:id="113" w:name="_Toc16938545"/>
      <w:r>
        <w:rPr>
          <w:rFonts w:hint="eastAsia" w:ascii="方正黑体_GBK" w:hAnsi="方正黑体_GBK" w:eastAsia="方正黑体_GBK" w:cs="方正黑体_GBK"/>
          <w:color w:val="000000"/>
          <w:sz w:val="28"/>
          <w:szCs w:val="28"/>
        </w:rPr>
        <w:t xml:space="preserve">五、开标与评标</w:t>
      </w:r>
      <w:bookmarkEnd w:id="110"/>
      <w:r/>
      <w:bookmarkEnd w:id="111"/>
      <w:r/>
      <w:bookmarkEnd w:id="112"/>
      <w:r/>
      <w:bookmarkEnd w:id="113"/>
      <w:r>
        <w:rPr>
          <w:rFonts w:hint="eastAsia" w:ascii="方正黑体_GBK" w:hAnsi="方正黑体_GBK" w:eastAsia="方正黑体_GBK" w:cs="方正黑体_GBK"/>
          <w:color w:val="000000"/>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bookmarkStart w:id="114" w:name="_Toc16938546"/>
      <w:r/>
      <w:bookmarkStart w:id="115" w:name="_Toc513029230"/>
      <w:r/>
      <w:bookmarkStart w:id="116" w:name="_Toc20823302"/>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4"/>
      <w:r/>
      <w:bookmarkEnd w:id="115"/>
      <w:r/>
      <w:bookmarkEnd w:id="116"/>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bookmarkStart w:id="117" w:name="_Toc16938547"/>
      <w:r/>
      <w:bookmarkStart w:id="118" w:name="_Toc20823303"/>
      <w:r/>
      <w:bookmarkStart w:id="119" w:name="_Toc513029231"/>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bookmarkEnd w:id="117"/>
      <w:r/>
      <w:bookmarkEnd w:id="118"/>
      <w:r/>
      <w:bookmarkEnd w:id="119"/>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bookmarkStart w:id="120" w:name="_Toc513029232"/>
      <w:r/>
      <w:bookmarkStart w:id="121" w:name="_Toc16938548"/>
      <w:r/>
      <w:bookmarkStart w:id="122" w:name="_Toc20823304"/>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0"/>
      <w:r/>
      <w:bookmarkEnd w:id="121"/>
      <w:r/>
      <w:bookmarkEnd w:id="122"/>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51"/>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3" w:name="_Toc513029233"/>
      <w:r/>
      <w:bookmarkStart w:id="124" w:name="_Toc16938549"/>
      <w:r/>
      <w:bookmarkStart w:id="125" w:name="_Toc20823305"/>
      <w:r>
        <w:rPr>
          <w:rFonts w:hint="eastAsia" w:ascii="方正仿宋_GBK" w:hAnsi="方正仿宋_GBK" w:eastAsia="方正仿宋_GBK" w:cs="方正仿宋_GBK"/>
          <w:sz w:val="28"/>
          <w:szCs w:val="28"/>
          <w:lang w:val="en-US" w:eastAsia="zh-CN"/>
        </w:rPr>
        <w:t xml:space="preserve">24.对投标文件的初审</w:t>
      </w:r>
      <w:bookmarkEnd w:id="123"/>
      <w:r/>
      <w:bookmarkEnd w:id="124"/>
      <w:r/>
      <w:bookmarkEnd w:id="125"/>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6" w:name="_Toc513029234"/>
      <w:r/>
      <w:bookmarkStart w:id="127" w:name="_Toc20823306"/>
      <w:r/>
      <w:bookmarkStart w:id="128" w:name="_Toc16938550"/>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6"/>
      <w:r/>
      <w:bookmarkEnd w:id="127"/>
      <w:r/>
      <w:bookmarkEnd w:id="128"/>
      <w:r>
        <w:rPr>
          <w:rFonts w:hint="eastAsia" w:ascii="方正仿宋_GBK" w:hAnsi="方正仿宋_GBK" w:eastAsia="方正仿宋_GBK" w:cs="方正仿宋_GBK"/>
          <w:sz w:val="28"/>
          <w:szCs w:val="28"/>
          <w:lang w:val="en-US" w:eastAsia="zh-CN"/>
        </w:rPr>
        <w:t xml:space="preserve">.无效投标条款和废标条款</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9" w:name="_Toc20823307"/>
      <w:r/>
      <w:bookmarkStart w:id="130" w:name="_Toc16938551"/>
      <w:r/>
      <w:bookmarkStart w:id="131" w:name="_Toc513029235"/>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2" w:name="_Toc120614219"/>
      <w:r>
        <w:rPr>
          <w:rFonts w:hint="eastAsia" w:ascii="方正黑体_GBK" w:hAnsi="方正黑体_GBK" w:eastAsia="方正黑体_GBK" w:cs="方正黑体_GBK"/>
          <w:color w:val="000000"/>
          <w:sz w:val="28"/>
          <w:szCs w:val="28"/>
        </w:rPr>
        <w:t xml:space="preserve">六、</w:t>
      </w:r>
      <w:bookmarkEnd w:id="129"/>
      <w:r/>
      <w:bookmarkEnd w:id="130"/>
      <w:r/>
      <w:bookmarkEnd w:id="131"/>
      <w:r>
        <w:rPr>
          <w:rFonts w:hint="eastAsia" w:ascii="方正黑体_GBK" w:hAnsi="方正黑体_GBK" w:eastAsia="方正黑体_GBK" w:cs="方正黑体_GBK"/>
          <w:color w:val="000000"/>
          <w:sz w:val="28"/>
          <w:szCs w:val="28"/>
        </w:rPr>
        <w:t xml:space="preserve">定标</w:t>
      </w:r>
      <w:bookmarkEnd w:id="132"/>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3" w:name="_Toc513029238"/>
      <w:r/>
      <w:bookmarkStart w:id="134" w:name="_Toc20823310"/>
      <w:r/>
      <w:bookmarkStart w:id="135" w:name="_Toc16938554"/>
      <w:r>
        <w:rPr>
          <w:rFonts w:hint="eastAsia" w:ascii="方正仿宋_GBK" w:hAnsi="方正仿宋_GBK" w:eastAsia="方正仿宋_GBK" w:cs="方正仿宋_GBK"/>
          <w:sz w:val="28"/>
          <w:szCs w:val="28"/>
          <w:lang w:val="en-US" w:eastAsia="zh-CN"/>
        </w:rPr>
        <w:t xml:space="preserve">26</w:t>
      </w:r>
      <w:bookmarkEnd w:id="133"/>
      <w:r>
        <w:rPr>
          <w:rFonts w:hint="eastAsia" w:ascii="方正仿宋_GBK" w:hAnsi="方正仿宋_GBK" w:eastAsia="方正仿宋_GBK" w:cs="方正仿宋_GBK"/>
          <w:sz w:val="28"/>
          <w:szCs w:val="28"/>
          <w:lang w:val="en-US" w:eastAsia="zh-CN"/>
        </w:rPr>
        <w:t xml:space="preserve">.确定</w:t>
      </w:r>
      <w:bookmarkEnd w:id="134"/>
      <w:r/>
      <w:bookmarkEnd w:id="135"/>
      <w:r>
        <w:rPr>
          <w:rFonts w:hint="eastAsia" w:ascii="方正仿宋_GBK" w:hAnsi="方正仿宋_GBK" w:eastAsia="方正仿宋_GBK" w:cs="方正仿宋_GBK"/>
          <w:sz w:val="28"/>
          <w:szCs w:val="28"/>
          <w:lang w:val="en-US" w:eastAsia="zh-CN"/>
        </w:rPr>
        <w:t xml:space="preserve">中标单位</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6"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6"/>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951"/>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7" w:name="_Toc120614220"/>
      <w:r/>
      <w:bookmarkStart w:id="138" w:name="_Toc20823308"/>
      <w:r/>
      <w:bookmarkStart w:id="139" w:name="_Toc16938552"/>
      <w:r/>
      <w:bookmarkStart w:id="140" w:name="_Toc513029236"/>
      <w:r>
        <w:rPr>
          <w:rFonts w:hint="eastAsia" w:ascii="方正黑体_GBK" w:hAnsi="方正黑体_GBK" w:eastAsia="方正黑体_GBK" w:cs="方正黑体_GBK"/>
          <w:color w:val="000000"/>
          <w:sz w:val="28"/>
          <w:szCs w:val="28"/>
        </w:rPr>
        <w:t xml:space="preserve">七、授予合同</w:t>
      </w:r>
      <w:bookmarkEnd w:id="137"/>
      <w:r>
        <w:rPr>
          <w:rFonts w:hint="eastAsia" w:ascii="方正黑体_GBK" w:hAnsi="方正黑体_GBK" w:eastAsia="方正黑体_GBK" w:cs="方正黑体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38"/>
      <w:r/>
      <w:bookmarkEnd w:id="139"/>
      <w:r/>
      <w:bookmarkEnd w:id="140"/>
      <w:r/>
      <w:bookmarkStart w:id="141" w:name="_Toc16938553"/>
      <w:r/>
      <w:bookmarkStart w:id="142" w:name="_Toc513029237"/>
      <w:r/>
      <w:bookmarkStart w:id="143" w:name="_Toc20823309"/>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1"/>
      <w:r/>
      <w:bookmarkEnd w:id="142"/>
      <w:r/>
      <w:bookmarkEnd w:id="143"/>
      <w:r/>
      <w:bookmarkStart w:id="144" w:name="_Toc16938558"/>
      <w:r/>
      <w:bookmarkStart w:id="145" w:name="_Toc513029242"/>
      <w:r/>
      <w:bookmarkStart w:id="146" w:name="_Toc120614221"/>
      <w:r/>
      <w:bookmarkStart w:id="147" w:name="_Toc479757207"/>
      <w:r/>
      <w:bookmarkStart w:id="148" w:name="_Toc20823314"/>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51"/>
        <w:ind w:right="839"/>
        <w:jc w:val="center"/>
        <w:spacing w:line="400" w:lineRule="exact"/>
        <w:rPr>
          <w:rFonts w:ascii="方正黑体_GBK" w:hAnsi="方正黑体_GBK" w:eastAsia="方正黑体_GBK" w:cs="方正黑体_GBK"/>
          <w:color w:val="000000"/>
          <w:sz w:val="28"/>
          <w:szCs w:val="28"/>
        </w:rPr>
      </w:pPr>
      <w:r/>
      <w:bookmarkEnd w:id="144"/>
      <w:r/>
      <w:bookmarkEnd w:id="145"/>
      <w:r/>
      <w:bookmarkEnd w:id="146"/>
      <w:r/>
      <w:bookmarkEnd w:id="147"/>
      <w:r/>
      <w:bookmarkEnd w:id="148"/>
      <w:r/>
      <w:bookmarkStart w:id="149" w:name="_Hlt16619350"/>
      <w:r/>
      <w:bookmarkStart w:id="150" w:name="_Toc20823346"/>
      <w:r/>
      <w:bookmarkStart w:id="151" w:name="_Toc16938590"/>
      <w:r/>
      <w:bookmarkStart w:id="152" w:name="_Toc120614244"/>
      <w:r/>
      <w:bookmarkStart w:id="153" w:name="_Toc479757211"/>
      <w:r/>
      <w:bookmarkStart w:id="154" w:name="_Toc462564139"/>
      <w:r>
        <w:rPr>
          <w:rFonts w:hint="eastAsia" w:ascii="方正黑体_GBK" w:hAnsi="方正黑体_GBK" w:eastAsia="方正黑体_GBK" w:cs="方正黑体_GBK"/>
          <w:color w:val="000000"/>
          <w:sz w:val="28"/>
          <w:szCs w:val="28"/>
        </w:rPr>
        <w:t xml:space="preserve">第三章  合同文本</w:t>
      </w:r>
      <w:r>
        <w:rPr>
          <w:rFonts w:ascii="方正黑体_GBK" w:hAnsi="方正黑体_GBK" w:eastAsia="方正黑体_GBK" w:cs="方正黑体_GBK"/>
          <w:color w:val="000000"/>
          <w:sz w:val="28"/>
          <w:szCs w:val="28"/>
        </w:rPr>
      </w:r>
      <w:r/>
    </w:p>
    <w:p>
      <w:pPr>
        <w:pStyle w:val="951"/>
        <w:ind w:firstLine="560"/>
        <w:spacing w:line="400" w:lineRule="exact"/>
        <w:rPr>
          <w:rFonts w:ascii="方正仿宋_GBK" w:hAnsi="方正仿宋_GBK" w:eastAsia="方正仿宋_GBK" w:cs="方正仿宋_GBK"/>
          <w:bCs/>
          <w:sz w:val="28"/>
          <w:szCs w:val="28"/>
          <w:highlight w:val="yellow"/>
        </w:rPr>
      </w:pPr>
      <w:r/>
      <w:bookmarkStart w:id="155" w:name="_Toc513029243"/>
      <w:r/>
      <w:bookmarkStart w:id="156" w:name="_Toc16938559"/>
      <w:r/>
      <w:bookmarkStart w:id="157" w:name="_Toc20823315"/>
      <w:r>
        <w:rPr>
          <w:rFonts w:ascii="方正仿宋_GBK" w:hAnsi="方正仿宋_GBK" w:eastAsia="方正仿宋_GBK" w:cs="方正仿宋_GBK"/>
          <w:bCs/>
          <w:sz w:val="28"/>
          <w:szCs w:val="28"/>
          <w:highlight w:val="yellow"/>
        </w:rPr>
      </w:r>
      <w:r/>
    </w:p>
    <w:p>
      <w:pPr>
        <w:pStyle w:val="1065"/>
        <w:jc w:val="center"/>
        <w:spacing w:line="400" w:lineRule="exact"/>
        <w:rPr>
          <w:rFonts w:ascii="方正黑体_GBK" w:hAnsi="方正黑体_GBK" w:eastAsia="方正黑体_GBK" w:cs="方正黑体_GBK"/>
          <w:spacing w:val="-20"/>
        </w:rPr>
      </w:pPr>
      <w:r>
        <w:rPr>
          <w:rFonts w:ascii="方正黑体_GBK" w:hAnsi="方正黑体_GBK" w:eastAsia="方正黑体_GBK" w:cs="方正黑体_GBK"/>
          <w:spacing w:val="-20"/>
        </w:rPr>
      </w:r>
      <w:r/>
    </w:p>
    <w:p>
      <w:pPr>
        <w:pStyle w:val="1065"/>
        <w:jc w:val="center"/>
        <w:spacing w:line="400" w:lineRule="exact"/>
        <w:rPr>
          <w:rFonts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ascii="方正黑体_GBK" w:hAnsi="方正黑体_GBK" w:eastAsia="方正黑体_GBK" w:cs="方正黑体_GBK"/>
          <w:spacing w:val="-20"/>
        </w:rPr>
      </w:r>
      <w:r/>
    </w:p>
    <w:p>
      <w:pPr>
        <w:pStyle w:val="951"/>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r>
        <w:rPr>
          <w:rFonts w:ascii="方正仿宋_GBK" w:hAnsi="方正仿宋_GBK" w:eastAsia="方正仿宋_GBK" w:cs="方正仿宋_GBK"/>
          <w:color w:val="000000"/>
          <w:sz w:val="28"/>
          <w:szCs w:val="28"/>
        </w:rPr>
      </w:r>
      <w:r/>
    </w:p>
    <w:p>
      <w:pPr>
        <w:pStyle w:val="951"/>
        <w:ind w:firstLine="560"/>
        <w:spacing w:before="120" w:after="120" w:line="400" w:lineRule="exact"/>
        <w:rPr>
          <w:rFonts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ascii="方正仿宋_GBK" w:hAnsi="方正仿宋_GBK" w:eastAsia="方正仿宋_GBK" w:cs="方正仿宋_GBK"/>
          <w:color w:val="ff0000"/>
          <w:sz w:val="28"/>
          <w:szCs w:val="28"/>
        </w:rPr>
      </w:r>
      <w:r/>
    </w:p>
    <w:p>
      <w:pPr>
        <w:pStyle w:val="951"/>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ascii="方正仿宋_GBK" w:hAnsi="方正仿宋_GBK" w:eastAsia="方正仿宋_GBK" w:cs="方正仿宋_GBK"/>
          <w:b/>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ascii="方正仿宋_GBK" w:hAnsi="方正仿宋_GBK" w:eastAsia="方正仿宋_GBK" w:cs="方正仿宋_GBK"/>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ascii="方正仿宋_GBK" w:hAnsi="方正仿宋_GBK" w:eastAsia="方正仿宋_GBK" w:cs="方正仿宋_GBK"/>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方正仿宋_GBK" w:hAnsi="方正仿宋_GBK" w:eastAsia="方正仿宋_GBK" w:cs="方正仿宋_GBK"/>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ascii="方正仿宋_GBK" w:hAnsi="方正仿宋_GBK" w:eastAsia="方正仿宋_GBK" w:cs="方正仿宋_GBK"/>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ascii="方正仿宋_GBK" w:hAnsi="方正仿宋_GBK" w:eastAsia="方正仿宋_GBK" w:cs="方正仿宋_GBK"/>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w:t>
      </w:r>
      <w:r>
        <w:rPr>
          <w:rFonts w:hint="eastAsia" w:ascii="方正仿宋_GBK" w:hAnsi="方正仿宋_GBK" w:eastAsia="方正仿宋_GBK" w:cs="方正仿宋_GBK"/>
          <w:color w:val="000000"/>
          <w:sz w:val="28"/>
          <w:szCs w:val="28"/>
        </w:rPr>
        <w:t xml:space="preserve"> 乙方应在合同签订后5个工作日内，以银行转账或履约保函（保险）形式向甲方足额交纳人民币______元作为本合同的履约保证金（不得超过合同金额的10%）。若乙方采用现金或转账方式缴纳，应汇入甲方指定账户；若采用保函或保险，受益人应为甲方。</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6.2.4 履约保证金不予退还的情形：乙方发生以下任一情形的，甲方有权没收全部或部分履约保证金，不足部分乙方仍应赔偿：(1) 擅自转包或违法分包的；(2) 服务质量经考核不合格且限期整改后仍不达标的；(3) 发生重大安全责任事故或造成恶劣社会影响的；(4) 单方面无故终止合同或擅自撤场的；(5) 逾期提供服务超过30日的；(6) 其他严重违反合同约定致使合同目的无法实现的情形。</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ascii="方正仿宋_GBK" w:hAnsi="方正仿宋_GBK" w:eastAsia="方正仿宋_GBK" w:cs="方正仿宋_GBK"/>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8.1合同款项的支付方式及进度安排</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8.1.1 预付款支付时间及条件：合同签订且乙方提供等额履约保函（或完成首个季度服务考核合格）后XX个工作日内，甲方向乙方支付合同金额的XX%作为预付款。若乙方未能按约提供担保或考核不合格，甲方有权拒绝支付预付款且不承担违约责任。</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8.1.2 尾款支付时间：采购人收到</w:t>
      </w:r>
      <w:r>
        <w:rPr>
          <w:rFonts w:hint="eastAsia" w:ascii="方正仿宋_GBK" w:hAnsi="方正仿宋_GBK" w:eastAsia="方正仿宋_GBK" w:cs="方正仿宋_GBK"/>
          <w:sz w:val="28"/>
          <w:szCs w:val="28"/>
        </w:rPr>
        <w:t xml:space="preserve">发票后10个工作日内，尾款支付比例：合同金额的</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ascii="方正仿宋_GBK" w:hAnsi="方正仿宋_GBK" w:eastAsia="方正仿宋_GBK" w:cs="方正仿宋_GBK"/>
          <w:sz w:val="28"/>
          <w:szCs w:val="28"/>
        </w:rPr>
      </w:r>
      <w:r/>
    </w:p>
    <w:p>
      <w:pPr>
        <w:pStyle w:val="1066"/>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color w:val="000000"/>
          <w:sz w:val="28"/>
          <w:szCs w:val="28"/>
        </w:rPr>
        <w:t xml:space="preserve">、项目验收</w:t>
      </w:r>
      <w:r>
        <w:rPr>
          <w:rFonts w:ascii="方正黑体_GBK" w:hAnsi="方正黑体_GBK" w:eastAsia="方正黑体_GBK" w:cs="方正黑体_GBK"/>
          <w:bCs/>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10.1 甲方依法组织履约验收工作。</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10.3 对于实际使用人和甲方分离的项目，甲方邀请实际使用人参与验收。</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10.4 如有必要，甲方邀请参加本项目的其他供应商或第三方专业机构及专家参与验收，相关意见将作为验收书的参考资料。</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十一、违约责任</w:t>
      </w:r>
      <w:r>
        <w:rPr>
          <w:rFonts w:ascii="方正黑体_GBK" w:hAnsi="方正黑体_GBK" w:eastAsia="方正黑体_GBK" w:cs="方正黑体_GBK"/>
          <w:bCs/>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color w:val="000000"/>
          <w:sz w:val="28"/>
          <w:szCs w:val="28"/>
          <w:u w:val="single"/>
        </w:rPr>
        <w:t xml:space="preserve">%</w:t>
      </w:r>
      <w:r>
        <w:rPr>
          <w:rFonts w:hint="eastAsia" w:ascii="方正仿宋_GBK" w:hAnsi="方正仿宋_GBK" w:eastAsia="方正仿宋_GBK" w:cs="方正仿宋_GBK"/>
          <w:color w:val="000000"/>
          <w:sz w:val="28"/>
          <w:szCs w:val="28"/>
        </w:rPr>
        <w:t xml:space="preserve">的违约金。</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11.2 甲方无故逾期验收和办理合同款项支付手续的，应按同期全国银行间同业拆借中心公布的贷款市场报价利率（LPR）向乙方支付逾期付款利息，累计违约金总额不超过合同总金额的5%。因财政拨款延迟、审计结算、上级审批等非甲方主观恶意原因导致的支付延迟，不视为甲方违约，甲方不承担逾期付款责任。</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11.3 乙方逾期提供服务的，应按逾期提供服务合同总额每日万分之五向甲方支付违约金，由甲方从待付合同款项中扣除。逾期超过30日不能提供服务的，甲方可解除本合同。乙方逾期期间，甲方有权委托第三方代为履行，产生费用由乙方承担并从合同款或保证金中扣除。乙方因逾期或其他违约行为导致合同解除的，应向甲方支付合同价款总额XX%的违约金，并赔偿甲方重新采购费、过渡期服务费等全部损失；损失超过违约金的，超出部分由乙方继续赔偿。</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11.4 乙方所提供服务的标准不符合合同及招标文件规定的，甲方有权发出整改通知，乙方应在限期内整改；整改后仍不合格或累计收到3次整改通知的，甲方有权单方解除合同。合同解除或终止后，乙方应在7日内配合完成资料、钥匙、设备等交接工作；在新服务商进场前，乙方应继续提供必要的过渡性服务（因乙方违约解除的，过渡期费用由乙方自行承担）。若乙方拒绝交接或擅自撤场，甲方有权自行或委托第三方接管，由此产生的费用及损失由乙方承担，甲方可直接从履约保证金或未结款项中扣除。</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黑体_GBK" w:hAnsi="方正黑体_GBK" w:eastAsia="方正黑体_GBK" w:cs="方正黑体_GBK"/>
          <w:bCs/>
          <w:color w:val="000000"/>
          <w:sz w:val="28"/>
          <w:szCs w:val="28"/>
        </w:rPr>
      </w:pPr>
      <w:r>
        <w:rPr>
          <w:rFonts w:hint="eastAsia" w:ascii="方正黑体_GBK" w:hAnsi="方正黑体_GBK" w:eastAsia="方正黑体_GBK" w:cs="方正黑体_GBK"/>
          <w:bCs/>
          <w:color w:val="000000"/>
          <w:sz w:val="28"/>
          <w:szCs w:val="28"/>
        </w:rPr>
        <w:t xml:space="preserve">十二、不可抗力事件处理</w:t>
      </w:r>
      <w:r>
        <w:rPr>
          <w:rFonts w:ascii="方正黑体_GBK" w:hAnsi="方正黑体_GBK" w:eastAsia="方正黑体_GBK" w:cs="方正黑体_GBK"/>
          <w:bCs/>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12.1 在合同有效期内，任何一方因不可抗力事件导致不能履行合同，则合同履行期可延长，其延长期与不可抗力影响 期相同。</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12.2 不可抗力事件发生后，应立即通知对方，并寄送有关权威机构出具的证明。</w:t>
      </w:r>
      <w:r>
        <w:rPr>
          <w:rFonts w:ascii="方正仿宋_GBK" w:hAnsi="方正仿宋_GBK" w:eastAsia="方正仿宋_GBK" w:cs="方正仿宋_GBK"/>
          <w:color w:val="000000"/>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ascii="方正仿宋_GBK" w:hAnsi="方正仿宋_GBK" w:eastAsia="方正仿宋_GBK" w:cs="方正仿宋_GBK"/>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ascii="方正黑体_GBK" w:hAnsi="方正黑体_GBK" w:eastAsia="方正黑体_GBK" w:cs="方正黑体_GBK"/>
          <w:bCs/>
          <w:sz w:val="28"/>
          <w:szCs w:val="28"/>
        </w:rPr>
      </w:r>
      <w:r/>
    </w:p>
    <w:p>
      <w:pPr>
        <w:pStyle w:val="1066"/>
        <w:ind w:firstLine="560"/>
        <w:spacing w:before="120" w:after="120" w:line="400" w:lineRule="exact"/>
        <w:rPr>
          <w:rFonts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Ansi="宋体"/>
          <w:sz w:val="28"/>
          <w:szCs w:val="28"/>
        </w:rPr>
      </w:r>
      <w:r/>
    </w:p>
    <w:p>
      <w:pPr>
        <w:pStyle w:val="1066"/>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ascii="方正黑体_GBK" w:hAnsi="方正黑体_GBK" w:eastAsia="方正黑体_GBK" w:cs="方正黑体_GBK"/>
          <w:bCs/>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ascii="方正仿宋_GBK" w:hAnsi="方正仿宋_GBK" w:eastAsia="方正仿宋_GBK" w:cs="方正仿宋_GBK"/>
          <w:sz w:val="28"/>
          <w:szCs w:val="28"/>
        </w:rPr>
      </w:r>
      <w:r/>
    </w:p>
    <w:p>
      <w:pPr>
        <w:pStyle w:val="1066"/>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ascii="方正仿宋_GBK" w:hAnsi="方正仿宋_GBK" w:eastAsia="方正仿宋_GBK" w:cs="方正仿宋_GBK"/>
          <w:sz w:val="28"/>
          <w:szCs w:val="28"/>
        </w:rPr>
      </w:r>
      <w:r/>
    </w:p>
    <w:p>
      <w:pPr>
        <w:pStyle w:val="1066"/>
        <w:ind w:firstLine="560"/>
        <w:spacing w:before="120" w:after="120" w:line="400" w:lineRule="exact"/>
        <w:rPr>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sz w:val="28"/>
          <w:szCs w:val="28"/>
        </w:rPr>
      </w:r>
      <w:r/>
    </w:p>
    <w:p>
      <w:pPr>
        <w:pStyle w:val="1066"/>
        <w:jc w:val="center"/>
        <w:spacing w:before="120" w:after="120" w:line="400" w:lineRule="exact"/>
        <w:rPr>
          <w:sz w:val="28"/>
          <w:szCs w:val="28"/>
        </w:rPr>
      </w:pPr>
      <w:r>
        <w:rPr>
          <w:rFonts w:hint="eastAsia"/>
          <w:sz w:val="28"/>
          <w:szCs w:val="28"/>
        </w:rPr>
        <w:t xml:space="preserve">                                         </w:t>
      </w:r>
      <w:r>
        <w:rPr>
          <w:sz w:val="28"/>
          <w:szCs w:val="28"/>
        </w:rPr>
      </w:r>
      <w:r/>
    </w:p>
    <w:p>
      <w:pPr>
        <w:pStyle w:val="1066"/>
        <w:jc w:val="right"/>
        <w:spacing w:before="120" w:after="120" w:line="400" w:lineRule="exact"/>
        <w:rPr>
          <w:sz w:val="28"/>
          <w:szCs w:val="28"/>
        </w:rPr>
      </w:pPr>
      <w:r>
        <w:rPr>
          <w:rFonts w:hint="eastAsia"/>
          <w:sz w:val="28"/>
          <w:szCs w:val="28"/>
        </w:rPr>
        <w:t xml:space="preserve"> </w:t>
      </w:r>
      <w:r>
        <w:rPr>
          <w:sz w:val="28"/>
          <w:szCs w:val="28"/>
        </w:rPr>
      </w:r>
      <w:r/>
    </w:p>
    <w:p>
      <w:pPr>
        <w:pStyle w:val="951"/>
        <w:ind w:firstLine="56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5"/>
      <w:r/>
      <w:bookmarkEnd w:id="156"/>
      <w:r/>
      <w:bookmarkEnd w:id="157"/>
      <w:r/>
      <w:bookmarkStart w:id="158" w:name="_Hlt16619369"/>
      <w:r/>
      <w:bookmarkEnd w:id="158"/>
      <w:r>
        <w:rPr>
          <w:rFonts w:ascii="黑体" w:eastAsia="黑体"/>
          <w:bCs/>
          <w:sz w:val="28"/>
          <w:szCs w:val="28"/>
        </w:rPr>
        <w:br w:type="page" w:clear="all"/>
      </w:r>
      <w:r>
        <w:rPr>
          <w:rFonts w:ascii="方正仿宋_GBK" w:hAnsi="方正仿宋_GBK" w:eastAsia="方正仿宋_GBK" w:cs="方正仿宋_GBK"/>
          <w:sz w:val="28"/>
          <w:szCs w:val="28"/>
        </w:rPr>
      </w:r>
      <w:r/>
    </w:p>
    <w:p>
      <w:pPr>
        <w:pStyle w:val="990"/>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hint="eastAsia" w:ascii="方正黑体_GBK" w:hAnsi="方正黑体_GBK" w:eastAsia="方正黑体_GBK" w:cs="方正黑体_GBK"/>
          <w:color w:val="000000"/>
          <w:sz w:val="28"/>
          <w:szCs w:val="28"/>
          <w:lang w:val="en-US" w:eastAsia="zh-CN" w:bidi="ar-SA"/>
        </w:rPr>
        <w:t xml:space="preserve">第</w:t>
      </w:r>
      <w:bookmarkEnd w:id="149"/>
      <w:r>
        <w:rPr>
          <w:rFonts w:hint="eastAsia" w:ascii="方正黑体_GBK" w:hAnsi="方正黑体_GBK" w:eastAsia="方正黑体_GBK" w:cs="方正黑体_GBK"/>
          <w:color w:val="000000"/>
          <w:sz w:val="28"/>
          <w:szCs w:val="28"/>
          <w:lang w:val="en-US" w:eastAsia="zh-CN" w:bidi="ar-SA"/>
        </w:rPr>
        <w:t xml:space="preserve">四章 采购需求</w:t>
      </w:r>
      <w:bookmarkEnd w:id="150"/>
      <w:r/>
      <w:bookmarkEnd w:id="151"/>
      <w:r/>
      <w:bookmarkEnd w:id="152"/>
      <w:r>
        <w:rPr>
          <w:rFonts w:hint="eastAsia" w:ascii="方正黑体_GBK" w:hAnsi="方正黑体_GBK" w:eastAsia="方正黑体_GBK" w:cs="方正黑体_GBK"/>
          <w:bCs/>
          <w:color w:val="000000"/>
          <w:sz w:val="28"/>
          <w:szCs w:val="28"/>
        </w:rPr>
      </w:r>
      <w:r/>
    </w:p>
    <w:p>
      <w:pPr>
        <w:pStyle w:val="99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bookmarkStart w:id="159" w:name="_Toc49090575"/>
      <w:r/>
      <w:bookmarkStart w:id="160" w:name="_Toc26554093"/>
      <w:r>
        <w:rPr>
          <w:rFonts w:hint="eastAsia" w:ascii="方正黑体_GBK" w:hAnsi="方正黑体_GBK" w:eastAsia="方正黑体_GBK" w:cs="方正黑体_GBK"/>
          <w:b w:val="0"/>
          <w:bCs/>
          <w:sz w:val="28"/>
          <w:szCs w:val="28"/>
        </w:rPr>
        <w:t xml:space="preserve">一、采购标的清单</w:t>
      </w:r>
      <w:r>
        <w:rPr>
          <w:rFonts w:hint="eastAsia" w:ascii="方正黑体_GBK" w:hAnsi="方正黑体_GBK" w:eastAsia="方正黑体_GBK" w:cs="方正黑体_GBK"/>
          <w:b w:val="0"/>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794"/>
        <w:gridCol w:w="1695"/>
        <w:gridCol w:w="2438"/>
      </w:tblGrid>
      <w:tr>
        <w:trPr>
          <w:cantSplit/>
          <w:trHeight w:val="701"/>
        </w:trPr>
        <w:tc>
          <w:tcPr>
            <w:tcW w:w="790"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rPr>
                <w:rFonts w:hint="eastAsia" w:ascii="方正仿宋_GBK" w:hAnsi="方正仿宋_GBK" w:eastAsia="方正仿宋_GBK" w:cs="方正仿宋_GBK"/>
                <w:sz w:val="28"/>
                <w:szCs w:val="28"/>
                <w:lang w:val="en-US" w:eastAsia="zh-CN"/>
              </w:rPr>
            </w:r>
            <w:r/>
          </w:p>
        </w:tc>
        <w:tc>
          <w:tcPr>
            <w:tcW w:w="2794"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695"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438"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u w:val="none"/>
                <w:lang w:val="en-US" w:eastAsia="zh-CN" w:bidi="ar-SA"/>
              </w:rPr>
              <w:t xml:space="preserve">1</w:t>
            </w:r>
            <w:r>
              <w:rPr>
                <w:rFonts w:hint="eastAsia" w:ascii="方正仿宋_GBK" w:hAnsi="方正仿宋_GBK" w:eastAsia="方正仿宋_GBK" w:cs="方正仿宋_GBK"/>
                <w:sz w:val="28"/>
                <w:szCs w:val="28"/>
                <w:lang w:eastAsia="zh-CN"/>
              </w:rPr>
            </w:r>
            <w:r/>
          </w:p>
        </w:tc>
        <w:tc>
          <w:tcPr>
            <w:tcW w:w="2794"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695" w:type="dxa"/>
            <w:vAlign w:val="top"/>
            <w:textDirection w:val="lrTb"/>
            <w:noWrap w:val="false"/>
          </w:tcPr>
          <w:p>
            <w:pPr>
              <w:pStyle w:val="951"/>
              <w:jc w:val="center"/>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u w:val="none"/>
                <w:lang w:val="en-US" w:eastAsia="zh-CN"/>
              </w:rPr>
            </w:pPr>
            <w:r>
              <w:rPr>
                <w:rFonts w:hint="eastAsia" w:ascii="宋体" w:hAnsi="宋体"/>
                <w:sz w:val="24"/>
                <w:szCs w:val="24"/>
              </w:rPr>
              <w:t xml:space="preserve">部分学生公寓宿舍物业管理服务</w:t>
            </w:r>
            <w:r>
              <w:rPr>
                <w:rFonts w:hint="eastAsia" w:ascii="方正仿宋_GBK" w:hAnsi="方正仿宋_GBK" w:eastAsia="方正仿宋_GBK" w:cs="方正仿宋_GBK"/>
                <w:sz w:val="28"/>
                <w:szCs w:val="28"/>
                <w:u w:val="none"/>
                <w:lang w:val="en-US" w:eastAsia="zh-CN"/>
              </w:rPr>
            </w:r>
            <w:r/>
          </w:p>
        </w:tc>
        <w:tc>
          <w:tcPr>
            <w:tcW w:w="2438" w:type="dxa"/>
            <w:vAlign w:val="top"/>
            <w:textDirection w:val="lrTb"/>
            <w:noWrap w:val="false"/>
          </w:tcPr>
          <w:p>
            <w:pPr>
              <w:pStyle w:val="951"/>
              <w:jc w:val="center"/>
              <w:keepLines w:val="0"/>
              <w:keepNext w:val="0"/>
              <w:pageBreakBefore w:val="0"/>
              <w:spacing w:line="400" w:lineRule="exact"/>
              <w:widowControl w:val="off"/>
              <w:tabs>
                <w:tab w:val="left" w:pos="2020" w:leader="none"/>
              </w:tabs>
              <w:rPr>
                <w:rFonts w:hint="eastAsia" w:ascii="Times New Roman" w:hAnsi="Times New Roman" w:eastAsia="方正仿宋_GBK" w:cs="Times New Roman"/>
                <w:color w:val="000000"/>
                <w:sz w:val="28"/>
                <w:szCs w:val="28"/>
                <w:u w:val="none"/>
                <w:lang w:val="en-US" w:eastAsia="zh-CN" w:bidi="ar-SA"/>
              </w:rPr>
            </w:pPr>
            <w:r>
              <w:rPr>
                <w:rFonts w:hint="eastAsia" w:ascii="宋体" w:hAnsi="宋体"/>
                <w:sz w:val="24"/>
                <w:szCs w:val="24"/>
              </w:rPr>
              <w:t xml:space="preserve">物业管理</w:t>
            </w:r>
            <w:r>
              <w:rPr>
                <w:rFonts w:hint="eastAsia" w:ascii="Times New Roman" w:hAnsi="Times New Roman" w:eastAsia="方正仿宋_GBK" w:cs="Times New Roman"/>
                <w:color w:val="000000"/>
                <w:sz w:val="28"/>
                <w:szCs w:val="28"/>
                <w:u w:val="none"/>
                <w:lang w:val="en-US" w:eastAsia="zh-CN" w:bidi="ar-SA"/>
              </w:rPr>
            </w:r>
            <w:r/>
          </w:p>
        </w:tc>
      </w:tr>
    </w:tbl>
    <w:p>
      <w:pPr>
        <w:pStyle w:val="99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二、政府采购中实施本国产品标准及相关政策</w:t>
      </w:r>
      <w:r>
        <w:rPr>
          <w:rFonts w:hint="eastAsia" w:ascii="方正黑体_GBK" w:hAnsi="方正黑体_GBK" w:eastAsia="方正黑体_GBK" w:cs="方正黑体_GBK"/>
          <w:b w:val="0"/>
          <w:bCs/>
          <w:sz w:val="28"/>
          <w:szCs w:val="28"/>
          <w:lang w:val="en-US" w:eastAsia="zh-CN"/>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lang w:val="en-US" w:eastAsia="zh-CN"/>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lang w:val="en-US" w:eastAsia="zh-CN"/>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lang w:val="en-US" w:eastAsia="zh-CN"/>
        </w:rPr>
      </w:r>
      <w:r/>
    </w:p>
    <w:p>
      <w:pPr>
        <w:pStyle w:val="951"/>
        <w:numPr>
          <w:ilvl w:val="0"/>
          <w:numId w:val="0"/>
        </w:numPr>
        <w:ind w:firstLine="482"/>
        <w:spacing w:line="360" w:lineRule="auto"/>
        <w:tabs>
          <w:tab w:val="left" w:pos="312" w:leader="none"/>
        </w:tabs>
        <w:rPr>
          <w:rFonts w:ascii="黑体" w:hAnsi="黑体" w:eastAsia="黑体" w:cs="方正仿宋_GBK"/>
          <w:b/>
          <w:bCs/>
          <w:sz w:val="24"/>
          <w:szCs w:val="24"/>
        </w:rPr>
      </w:pPr>
      <w:r/>
      <w:bookmarkStart w:id="161" w:name="_Toc120614281"/>
      <w:r>
        <w:rPr>
          <w:rFonts w:hint="eastAsia" w:ascii="黑体" w:hAnsi="黑体" w:eastAsia="黑体" w:cs="方正仿宋_GBK"/>
          <w:b/>
          <w:bCs/>
          <w:sz w:val="24"/>
          <w:szCs w:val="24"/>
          <w:lang w:val="en-US" w:eastAsia="zh-CN"/>
        </w:rPr>
        <w:t xml:space="preserve">三、</w:t>
      </w:r>
      <w:r>
        <w:rPr>
          <w:rFonts w:hint="eastAsia" w:ascii="黑体" w:hAnsi="黑体" w:eastAsia="黑体" w:cs="方正仿宋_GBK"/>
          <w:b/>
          <w:bCs/>
          <w:sz w:val="24"/>
          <w:szCs w:val="24"/>
        </w:rPr>
        <w:t xml:space="preserve">招标范围</w:t>
      </w:r>
      <w:r>
        <w:rPr>
          <w:rFonts w:ascii="黑体" w:hAnsi="黑体" w:eastAsia="黑体" w:cs="方正仿宋_GBK"/>
          <w:b/>
          <w:bCs/>
          <w:sz w:val="24"/>
          <w:szCs w:val="24"/>
        </w:rPr>
      </w:r>
      <w:r/>
    </w:p>
    <w:p>
      <w:pPr>
        <w:pStyle w:val="951"/>
        <w:ind w:firstLine="560"/>
        <w:spacing w:line="400" w:lineRule="exact"/>
        <w:rPr>
          <w:rFonts w:ascii="黑体" w:hAnsi="黑体" w:eastAsia="黑体" w:cs="方正仿宋_GBK"/>
          <w:b/>
          <w:bCs/>
          <w:sz w:val="24"/>
          <w:szCs w:val="24"/>
        </w:rPr>
      </w:pPr>
      <w:r>
        <w:rPr>
          <w:rFonts w:eastAsia="方正仿宋_GBK"/>
          <w:bCs/>
          <w:sz w:val="28"/>
          <w:szCs w:val="28"/>
        </w:rPr>
        <w:t xml:space="preserve">其中</w:t>
      </w:r>
      <w:r>
        <w:rPr>
          <w:rFonts w:eastAsia="方正仿宋_GBK"/>
          <w:b/>
          <w:bCs/>
          <w:i/>
          <w:sz w:val="28"/>
          <w:szCs w:val="28"/>
          <w:u w:val="single"/>
        </w:rPr>
        <w:t xml:space="preserve">斜体且有下划线部分</w:t>
      </w:r>
      <w:r>
        <w:rPr>
          <w:rFonts w:eastAsia="方正仿宋_GBK"/>
          <w:b/>
          <w:bCs/>
          <w:sz w:val="28"/>
          <w:szCs w:val="28"/>
        </w:rPr>
        <w:t xml:space="preserve">或加*号条款为实质性要求。</w:t>
      </w:r>
      <w:r>
        <w:rPr>
          <w:rFonts w:ascii="黑体" w:hAnsi="黑体" w:eastAsia="黑体" w:cs="方正仿宋_GBK"/>
          <w:b/>
          <w:bCs/>
          <w:sz w:val="24"/>
          <w:szCs w:val="24"/>
        </w:rPr>
      </w:r>
      <w:r/>
    </w:p>
    <w:p>
      <w:pPr>
        <w:pStyle w:val="951"/>
        <w:ind w:firstLine="480"/>
        <w:spacing w:line="360" w:lineRule="auto"/>
        <w:tabs>
          <w:tab w:val="left" w:pos="312" w:leader="none"/>
        </w:tabs>
        <w:rPr>
          <w:rFonts w:ascii="宋体" w:hAnsi="宋体" w:cs="方正仿宋_GBK"/>
          <w:sz w:val="24"/>
          <w:szCs w:val="24"/>
        </w:rPr>
      </w:pPr>
      <w:r>
        <w:rPr>
          <w:rFonts w:ascii="宋体" w:hAnsi="宋体" w:cs="方正仿宋_GBK"/>
          <w:sz w:val="24"/>
          <w:szCs w:val="24"/>
        </w:rPr>
      </w:r>
      <w:r/>
    </w:p>
    <w:p>
      <w:pPr>
        <w:pStyle w:val="951"/>
        <w:ind w:firstLine="480"/>
        <w:spacing w:line="360" w:lineRule="auto"/>
        <w:tabs>
          <w:tab w:val="left" w:pos="312" w:leader="none"/>
        </w:tabs>
        <w:rPr>
          <w:rFonts w:ascii="宋体" w:hAnsi="宋体" w:cs="方正仿宋_GBK"/>
          <w:sz w:val="24"/>
          <w:szCs w:val="24"/>
        </w:rPr>
      </w:pPr>
      <w:r>
        <w:rPr>
          <w:rFonts w:hint="eastAsia" w:ascii="宋体" w:hAnsi="宋体" w:cs="方正仿宋_GBK"/>
          <w:sz w:val="24"/>
          <w:szCs w:val="24"/>
        </w:rPr>
        <w:t xml:space="preserve">1.</w:t>
      </w:r>
      <w:r>
        <w:rPr>
          <w:rFonts w:hint="eastAsia" w:ascii="宋体" w:hAnsi="宋体"/>
          <w:sz w:val="24"/>
          <w:szCs w:val="24"/>
        </w:rPr>
        <w:t xml:space="preserve">招标内容：</w:t>
      </w:r>
      <w:r>
        <w:rPr>
          <w:rFonts w:hint="eastAsia" w:ascii="宋体" w:hAnsi="宋体" w:cs="方正仿宋_GBK"/>
          <w:sz w:val="24"/>
          <w:szCs w:val="24"/>
        </w:rPr>
        <w:t xml:space="preserve">润园（东区）学生</w:t>
      </w:r>
      <w:r>
        <w:rPr>
          <w:rFonts w:ascii="宋体" w:hAnsi="宋体" w:cs="方正仿宋_GBK"/>
          <w:sz w:val="24"/>
          <w:szCs w:val="24"/>
        </w:rPr>
        <w:t xml:space="preserve">公寓</w:t>
      </w:r>
      <w:r>
        <w:rPr>
          <w:rFonts w:hint="eastAsia" w:ascii="宋体" w:hAnsi="宋体" w:cs="方正仿宋_GBK"/>
          <w:sz w:val="24"/>
          <w:szCs w:val="24"/>
        </w:rPr>
        <w:t xml:space="preserve">3号站房间数为170间（6</w:t>
      </w:r>
      <w:r>
        <w:rPr>
          <w:rFonts w:ascii="宋体" w:hAnsi="宋体" w:cs="方正仿宋_GBK"/>
          <w:sz w:val="24"/>
          <w:szCs w:val="24"/>
        </w:rPr>
        <w:t xml:space="preserve">80</w:t>
      </w:r>
      <w:r>
        <w:rPr>
          <w:rFonts w:hint="eastAsia" w:ascii="宋体" w:hAnsi="宋体" w:cs="方正仿宋_GBK"/>
          <w:sz w:val="24"/>
          <w:szCs w:val="24"/>
        </w:rPr>
        <w:t xml:space="preserve">床），最少配备管理人员6人、保洁员1人，24小时在岗管理人员最少为2人。</w:t>
      </w:r>
      <w:r>
        <w:rPr>
          <w:rFonts w:ascii="宋体" w:hAnsi="宋体" w:cs="方正仿宋_GBK"/>
          <w:sz w:val="24"/>
          <w:szCs w:val="24"/>
        </w:rPr>
      </w:r>
      <w:r/>
    </w:p>
    <w:p>
      <w:pPr>
        <w:pStyle w:val="951"/>
        <w:ind w:firstLine="480"/>
        <w:spacing w:line="360" w:lineRule="auto"/>
        <w:tabs>
          <w:tab w:val="left" w:pos="312" w:leader="none"/>
        </w:tabs>
        <w:rPr>
          <w:rFonts w:ascii="宋体" w:hAnsi="宋体" w:cs="方正仿宋_GBK"/>
          <w:sz w:val="24"/>
          <w:szCs w:val="24"/>
        </w:rPr>
      </w:pPr>
      <w:r>
        <w:rPr>
          <w:rFonts w:hint="eastAsia" w:ascii="宋体" w:hAnsi="宋体" w:cs="方正仿宋_GBK"/>
          <w:sz w:val="24"/>
          <w:szCs w:val="24"/>
        </w:rPr>
        <w:t xml:space="preserve">萃园（北区）学生公寓7号站房间数为459间（1</w:t>
      </w:r>
      <w:r>
        <w:rPr>
          <w:rFonts w:ascii="宋体" w:hAnsi="宋体" w:cs="方正仿宋_GBK"/>
          <w:sz w:val="24"/>
          <w:szCs w:val="24"/>
        </w:rPr>
        <w:t xml:space="preserve">836</w:t>
      </w:r>
      <w:r>
        <w:rPr>
          <w:rFonts w:hint="eastAsia" w:ascii="宋体" w:hAnsi="宋体" w:cs="方正仿宋_GBK"/>
          <w:sz w:val="24"/>
          <w:szCs w:val="24"/>
        </w:rPr>
        <w:t xml:space="preserve">床），最少配备管理人员1</w:t>
      </w:r>
      <w:r>
        <w:rPr>
          <w:rFonts w:ascii="宋体" w:hAnsi="宋体" w:cs="方正仿宋_GBK"/>
          <w:sz w:val="24"/>
          <w:szCs w:val="24"/>
        </w:rPr>
        <w:t xml:space="preserve">0</w:t>
      </w:r>
      <w:r>
        <w:rPr>
          <w:rFonts w:hint="eastAsia" w:ascii="宋体" w:hAnsi="宋体" w:cs="方正仿宋_GBK"/>
          <w:sz w:val="24"/>
          <w:szCs w:val="24"/>
        </w:rPr>
        <w:t xml:space="preserve">人、保洁员2人，24小时在岗管理人员最少为2人。</w:t>
      </w:r>
      <w:r>
        <w:rPr>
          <w:rFonts w:ascii="宋体" w:hAnsi="宋体" w:cs="方正仿宋_GBK"/>
          <w:sz w:val="24"/>
          <w:szCs w:val="24"/>
        </w:rPr>
      </w:r>
      <w:r/>
    </w:p>
    <w:p>
      <w:pPr>
        <w:pStyle w:val="951"/>
        <w:ind w:firstLine="480"/>
        <w:spacing w:line="360" w:lineRule="auto"/>
        <w:tabs>
          <w:tab w:val="left" w:pos="312" w:leader="none"/>
        </w:tabs>
        <w:rPr>
          <w:rFonts w:ascii="宋体" w:hAnsi="宋体" w:cs="方正仿宋_GBK"/>
          <w:sz w:val="24"/>
          <w:szCs w:val="24"/>
        </w:rPr>
      </w:pPr>
      <w:r>
        <w:rPr>
          <w:rFonts w:hint="eastAsia" w:ascii="宋体" w:hAnsi="宋体" w:cs="方正仿宋_GBK"/>
          <w:sz w:val="24"/>
          <w:szCs w:val="24"/>
        </w:rPr>
        <w:t xml:space="preserve">萃园（北区）研究生公寓11号站房间数为173间（6</w:t>
      </w:r>
      <w:r>
        <w:rPr>
          <w:rFonts w:ascii="宋体" w:hAnsi="宋体" w:cs="方正仿宋_GBK"/>
          <w:sz w:val="24"/>
          <w:szCs w:val="24"/>
        </w:rPr>
        <w:t xml:space="preserve">92</w:t>
      </w:r>
      <w:r>
        <w:rPr>
          <w:rFonts w:hint="eastAsia" w:ascii="宋体" w:hAnsi="宋体" w:cs="方正仿宋_GBK"/>
          <w:sz w:val="24"/>
          <w:szCs w:val="24"/>
        </w:rPr>
        <w:t xml:space="preserve">床），最少配备管理人员</w:t>
      </w:r>
      <w:r>
        <w:rPr>
          <w:rFonts w:ascii="宋体" w:hAnsi="宋体" w:cs="方正仿宋_GBK"/>
          <w:sz w:val="24"/>
          <w:szCs w:val="24"/>
        </w:rPr>
        <w:t xml:space="preserve">6</w:t>
      </w:r>
      <w:r>
        <w:rPr>
          <w:rFonts w:hint="eastAsia" w:ascii="宋体" w:hAnsi="宋体" w:cs="方正仿宋_GBK"/>
          <w:sz w:val="24"/>
          <w:szCs w:val="24"/>
        </w:rPr>
        <w:t xml:space="preserve">人、保洁员1人，24小时在岗管理人员最少为2人。</w:t>
      </w:r>
      <w:r>
        <w:rPr>
          <w:rFonts w:ascii="宋体" w:hAnsi="宋体" w:cs="方正仿宋_GBK"/>
          <w:sz w:val="24"/>
          <w:szCs w:val="24"/>
        </w:rPr>
      </w:r>
      <w:r/>
    </w:p>
    <w:p>
      <w:pPr>
        <w:pStyle w:val="951"/>
        <w:ind w:firstLine="480"/>
        <w:spacing w:line="360" w:lineRule="auto"/>
        <w:tabs>
          <w:tab w:val="left" w:pos="312" w:leader="none"/>
        </w:tabs>
        <w:rPr>
          <w:rFonts w:ascii="宋体" w:hAnsi="宋体" w:cs="方正仿宋_GBK"/>
          <w:sz w:val="24"/>
          <w:szCs w:val="24"/>
        </w:rPr>
      </w:pPr>
      <w:r>
        <w:rPr>
          <w:rFonts w:hint="eastAsia" w:ascii="宋体" w:hAnsi="宋体" w:cs="方正仿宋_GBK"/>
          <w:sz w:val="24"/>
          <w:szCs w:val="24"/>
        </w:rPr>
        <w:t xml:space="preserve">萃园（北区）研究生公寓12号站房间数为321间（1</w:t>
      </w:r>
      <w:r>
        <w:rPr>
          <w:rFonts w:ascii="宋体" w:hAnsi="宋体" w:cs="方正仿宋_GBK"/>
          <w:sz w:val="24"/>
          <w:szCs w:val="24"/>
        </w:rPr>
        <w:t xml:space="preserve">284</w:t>
      </w:r>
      <w:r>
        <w:rPr>
          <w:rFonts w:hint="eastAsia" w:ascii="宋体" w:hAnsi="宋体" w:cs="方正仿宋_GBK"/>
          <w:sz w:val="24"/>
          <w:szCs w:val="24"/>
        </w:rPr>
        <w:t xml:space="preserve">床），最少配备管理人员10人、保洁员</w:t>
      </w:r>
      <w:r>
        <w:rPr>
          <w:rFonts w:ascii="宋体" w:hAnsi="宋体" w:cs="方正仿宋_GBK"/>
          <w:sz w:val="24"/>
          <w:szCs w:val="24"/>
        </w:rPr>
        <w:t xml:space="preserve">2</w:t>
      </w:r>
      <w:r>
        <w:rPr>
          <w:rFonts w:hint="eastAsia" w:ascii="宋体" w:hAnsi="宋体" w:cs="方正仿宋_GBK"/>
          <w:sz w:val="24"/>
          <w:szCs w:val="24"/>
        </w:rPr>
        <w:t xml:space="preserve">人，24小时在岗管理人员最少为2人。</w:t>
      </w:r>
      <w:r>
        <w:rPr>
          <w:rFonts w:ascii="宋体" w:hAnsi="宋体" w:cs="方正仿宋_GBK"/>
          <w:sz w:val="24"/>
          <w:szCs w:val="24"/>
        </w:rPr>
      </w:r>
      <w:r/>
    </w:p>
    <w:p>
      <w:pPr>
        <w:pStyle w:val="951"/>
        <w:ind w:firstLine="480"/>
        <w:spacing w:line="360" w:lineRule="auto"/>
        <w:rPr>
          <w:rFonts w:ascii="宋体" w:hAnsi="宋体" w:cs="宋体"/>
          <w:i/>
          <w:color w:val="000000"/>
          <w:sz w:val="24"/>
          <w:szCs w:val="24"/>
          <w:u w:val="single"/>
        </w:rPr>
      </w:pPr>
      <w:r>
        <w:rPr>
          <w:rFonts w:ascii="宋体" w:hAnsi="宋体" w:cs="宋体"/>
          <w:color w:val="000000"/>
          <w:sz w:val="24"/>
          <w:szCs w:val="24"/>
        </w:rPr>
        <w:t xml:space="preserve">2.</w:t>
      </w:r>
      <w:r>
        <w:rPr>
          <w:rFonts w:hint="eastAsia" w:ascii="宋体" w:hAnsi="宋体" w:cs="宋体"/>
          <w:color w:val="000000"/>
          <w:sz w:val="24"/>
          <w:szCs w:val="24"/>
        </w:rPr>
        <w:t xml:space="preserve">具体岗位配置：</w:t>
      </w:r>
      <w:r>
        <w:rPr>
          <w:rFonts w:ascii="宋体" w:hAnsi="宋体" w:cs="宋体"/>
          <w:i/>
          <w:color w:val="000000"/>
          <w:sz w:val="24"/>
          <w:szCs w:val="24"/>
          <w:u w:val="single"/>
        </w:rPr>
      </w:r>
      <w:r/>
    </w:p>
    <w:tbl>
      <w:tblPr>
        <w:tblW w:w="8647" w:type="dxa"/>
        <w:tblInd w:w="-142" w:type="dxa"/>
        <w:tblLayout w:type="autofit"/>
        <w:tblCellMar>
          <w:left w:w="108" w:type="dxa"/>
          <w:top w:w="0" w:type="dxa"/>
          <w:right w:w="108" w:type="dxa"/>
          <w:bottom w:w="0" w:type="dxa"/>
        </w:tblCellMar>
        <w:tblLook w:val="04A0" w:firstRow="1" w:lastRow="0" w:firstColumn="1" w:lastColumn="0" w:noHBand="0" w:noVBand="1"/>
      </w:tblPr>
      <w:tblGrid>
        <w:gridCol w:w="3544"/>
        <w:gridCol w:w="851"/>
        <w:gridCol w:w="850"/>
        <w:gridCol w:w="1167"/>
        <w:gridCol w:w="960"/>
        <w:gridCol w:w="1275"/>
      </w:tblGrid>
      <w:tr>
        <w:trPr>
          <w:trHeight w:val="285"/>
        </w:trPr>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区域</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51"/>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项目经理</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51"/>
              <w:jc w:val="center"/>
              <w:widowControl/>
              <w:rPr>
                <w:rFonts w:ascii="宋体" w:hAnsi="宋体" w:cs="宋体"/>
                <w:color w:val="000000"/>
                <w:sz w:val="22"/>
                <w:szCs w:val="22"/>
              </w:rPr>
            </w:pPr>
            <w:r>
              <w:rPr>
                <w:rFonts w:hint="eastAsia" w:ascii="宋体" w:hAnsi="宋体" w:cs="宋体"/>
                <w:color w:val="000000"/>
                <w:sz w:val="22"/>
                <w:szCs w:val="22"/>
                <w:lang w:bidi="ar"/>
              </w:rPr>
              <w:t xml:space="preserve">项目主管</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pStyle w:val="951"/>
              <w:jc w:val="center"/>
              <w:widowControl/>
              <w:rPr>
                <w:rFonts w:ascii="宋体" w:hAnsi="宋体" w:cs="宋体"/>
                <w:color w:val="000000"/>
                <w:sz w:val="22"/>
                <w:szCs w:val="22"/>
              </w:rPr>
            </w:pPr>
            <w:r>
              <w:rPr>
                <w:rFonts w:hint="eastAsia" w:ascii="宋体" w:hAnsi="宋体" w:cs="宋体"/>
                <w:color w:val="000000"/>
                <w:sz w:val="22"/>
                <w:szCs w:val="22"/>
                <w:lang w:bidi="ar"/>
              </w:rPr>
              <w:t xml:space="preserve">公寓管理人员</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保洁员</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备注</w:t>
            </w:r>
            <w:r>
              <w:rPr>
                <w:rFonts w:ascii="宋体" w:hAnsi="宋体" w:cs="宋体"/>
                <w:color w:val="000000"/>
                <w:sz w:val="22"/>
                <w:szCs w:val="22"/>
              </w:rPr>
            </w:r>
            <w:r/>
          </w:p>
        </w:tc>
      </w:tr>
      <w:tr>
        <w:trPr>
          <w:cantSplit/>
          <w:trHeight w:val="425"/>
        </w:trPr>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润园（东区）学生公寓3号站</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tcPr>
          <w:p>
            <w:pPr>
              <w:pStyle w:val="951"/>
              <w:jc w:val="center"/>
              <w:spacing w:line="360" w:lineRule="auto"/>
              <w:widowControl/>
              <w:rPr>
                <w:rFonts w:ascii="宋体" w:hAnsi="宋体" w:cs="宋体"/>
                <w:color w:val="000000"/>
                <w:sz w:val="22"/>
                <w:szCs w:val="22"/>
              </w:rPr>
            </w:pPr>
            <w:r>
              <w:rPr>
                <w:rFonts w:ascii="宋体" w:hAnsi="宋体" w:cs="宋体"/>
                <w:color w:val="000000"/>
                <w:sz w:val="22"/>
                <w:szCs w:val="22"/>
                <w:lang w:bidi="ar"/>
              </w:rPr>
              <w:t xml:space="preserve">2</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6</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pStyle w:val="951"/>
              <w:jc w:val="center"/>
              <w:widowControl/>
              <w:rPr>
                <w:rFonts w:ascii="宋体" w:hAnsi="宋体" w:cs="宋体"/>
                <w:color w:val="000000"/>
                <w:sz w:val="22"/>
                <w:szCs w:val="22"/>
              </w:rPr>
            </w:pPr>
            <w:r>
              <w:rPr>
                <w:rFonts w:hint="eastAsia" w:ascii="宋体" w:hAnsi="宋体" w:cs="宋体"/>
                <w:color w:val="000000"/>
                <w:sz w:val="22"/>
                <w:szCs w:val="22"/>
                <w:lang w:bidi="ar"/>
              </w:rPr>
              <w:t xml:space="preserve">24小时在岗管理人员最少为2人。</w:t>
            </w:r>
            <w:r>
              <w:rPr>
                <w:rFonts w:ascii="宋体" w:hAnsi="宋体" w:cs="宋体"/>
                <w:color w:val="000000"/>
                <w:sz w:val="22"/>
                <w:szCs w:val="22"/>
              </w:rPr>
            </w:r>
            <w:r/>
          </w:p>
        </w:tc>
      </w:tr>
      <w:tr>
        <w:trPr>
          <w:cantSplit/>
          <w:trHeight w:val="455"/>
        </w:trPr>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方正仿宋_GBK"/>
                <w:sz w:val="24"/>
                <w:szCs w:val="24"/>
              </w:rPr>
              <w:t xml:space="preserve">萃</w:t>
            </w:r>
            <w:r>
              <w:rPr>
                <w:rFonts w:hint="eastAsia" w:ascii="宋体" w:hAnsi="宋体" w:cs="宋体"/>
                <w:color w:val="000000"/>
                <w:sz w:val="22"/>
                <w:szCs w:val="22"/>
              </w:rPr>
              <w:t xml:space="preserve">园（北区）学生公寓7号站</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lang w:bidi="ar"/>
              </w:rPr>
              <w:t xml:space="preserve">0</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2</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r>
      <w:tr>
        <w:trPr>
          <w:cantSplit/>
          <w:trHeight w:val="365"/>
        </w:trPr>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方正仿宋_GBK"/>
                <w:sz w:val="24"/>
                <w:szCs w:val="24"/>
              </w:rPr>
              <w:t xml:space="preserve">萃</w:t>
            </w:r>
            <w:r>
              <w:rPr>
                <w:rFonts w:hint="eastAsia" w:ascii="宋体" w:hAnsi="宋体" w:cs="宋体"/>
                <w:color w:val="000000"/>
                <w:sz w:val="22"/>
                <w:szCs w:val="22"/>
              </w:rPr>
              <w:t xml:space="preserve">园（北区）研究生公寓11号站</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pStyle w:val="951"/>
              <w:jc w:val="center"/>
              <w:spacing w:line="360" w:lineRule="auto"/>
              <w:widowControl/>
              <w:rPr>
                <w:rFonts w:ascii="宋体" w:hAnsi="宋体" w:cs="宋体"/>
                <w:color w:val="000000"/>
                <w:sz w:val="22"/>
                <w:szCs w:val="22"/>
              </w:rPr>
            </w:pPr>
            <w:r>
              <w:rPr>
                <w:rFonts w:ascii="宋体" w:hAnsi="宋体" w:cs="宋体"/>
                <w:color w:val="000000"/>
                <w:sz w:val="22"/>
                <w:szCs w:val="22"/>
                <w:lang w:bidi="ar"/>
              </w:rPr>
              <w:t xml:space="preserve">6</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r>
      <w:tr>
        <w:trPr>
          <w:cantSplit/>
          <w:trHeight w:val="320"/>
        </w:trPr>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方正仿宋_GBK"/>
                <w:sz w:val="24"/>
                <w:szCs w:val="24"/>
              </w:rPr>
              <w:t xml:space="preserve">萃</w:t>
            </w:r>
            <w:r>
              <w:rPr>
                <w:rFonts w:hint="eastAsia" w:ascii="宋体" w:hAnsi="宋体" w:cs="宋体"/>
                <w:color w:val="000000"/>
                <w:sz w:val="22"/>
                <w:szCs w:val="22"/>
              </w:rPr>
              <w:t xml:space="preserve">园（北区）研究生公寓12号站</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10</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51"/>
              <w:jc w:val="center"/>
              <w:spacing w:line="360" w:lineRule="auto"/>
              <w:widowControl/>
              <w:rPr>
                <w:rFonts w:ascii="宋体" w:hAnsi="宋体" w:cs="宋体"/>
                <w:color w:val="000000"/>
                <w:sz w:val="22"/>
                <w:szCs w:val="22"/>
              </w:rPr>
            </w:pPr>
            <w:r>
              <w:rPr>
                <w:rFonts w:ascii="宋体" w:hAnsi="宋体" w:cs="宋体"/>
                <w:color w:val="000000"/>
                <w:sz w:val="22"/>
                <w:szCs w:val="22"/>
                <w:lang w:bidi="ar"/>
              </w:rPr>
              <w:t xml:space="preserve">2</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r>
      <w:tr>
        <w:trPr>
          <w:trHeight w:val="285"/>
        </w:trPr>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合计</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lang w:bidi="ar"/>
              </w:rPr>
              <w:t xml:space="preserve">1</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951"/>
              <w:jc w:val="center"/>
              <w:spacing w:line="360" w:lineRule="auto"/>
              <w:widowControl/>
              <w:rPr>
                <w:rFonts w:ascii="宋体" w:hAnsi="宋体" w:cs="宋体"/>
                <w:color w:val="000000"/>
                <w:sz w:val="22"/>
                <w:szCs w:val="22"/>
              </w:rPr>
            </w:pPr>
            <w:r>
              <w:rPr>
                <w:rFonts w:ascii="宋体" w:hAnsi="宋体" w:cs="宋体"/>
                <w:color w:val="000000"/>
                <w:sz w:val="22"/>
                <w:szCs w:val="22"/>
                <w:lang w:bidi="ar"/>
              </w:rPr>
              <w:t xml:space="preserve">2</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pStyle w:val="951"/>
              <w:jc w:val="center"/>
              <w:spacing w:line="360" w:lineRule="auto"/>
              <w:widowControl/>
              <w:rPr>
                <w:rFonts w:ascii="宋体" w:hAnsi="宋体" w:cs="宋体"/>
                <w:color w:val="000000"/>
                <w:sz w:val="22"/>
                <w:szCs w:val="22"/>
              </w:rPr>
            </w:pPr>
            <w:r>
              <w:rPr>
                <w:rFonts w:hint="eastAsia" w:ascii="宋体" w:hAnsi="宋体" w:cs="宋体"/>
                <w:color w:val="000000"/>
                <w:sz w:val="22"/>
                <w:szCs w:val="22"/>
              </w:rPr>
              <w:t xml:space="preserve">3</w:t>
            </w:r>
            <w:r>
              <w:rPr>
                <w:rFonts w:ascii="宋体" w:hAnsi="宋体" w:cs="宋体"/>
                <w:color w:val="000000"/>
                <w:sz w:val="22"/>
                <w:szCs w:val="22"/>
              </w:rPr>
              <w:t xml:space="preserve">2</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951"/>
              <w:jc w:val="center"/>
              <w:spacing w:line="360" w:lineRule="auto"/>
              <w:widowControl/>
              <w:rPr>
                <w:rFonts w:ascii="宋体" w:hAnsi="宋体" w:cs="宋体"/>
                <w:color w:val="000000"/>
                <w:sz w:val="22"/>
                <w:szCs w:val="22"/>
              </w:rPr>
            </w:pPr>
            <w:r>
              <w:rPr>
                <w:rFonts w:ascii="宋体" w:hAnsi="宋体" w:cs="宋体"/>
                <w:color w:val="000000"/>
                <w:sz w:val="22"/>
                <w:szCs w:val="22"/>
                <w:lang w:bidi="ar"/>
              </w:rPr>
              <w:t xml:space="preserve">6</w:t>
            </w: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pStyle w:val="951"/>
              <w:jc w:val="center"/>
              <w:spacing w:line="360" w:lineRule="auto"/>
              <w:rPr>
                <w:rFonts w:ascii="宋体" w:hAnsi="宋体" w:cs="宋体"/>
                <w:color w:val="000000"/>
                <w:sz w:val="22"/>
                <w:szCs w:val="22"/>
              </w:rPr>
            </w:pPr>
            <w:r>
              <w:rPr>
                <w:rFonts w:ascii="宋体" w:hAnsi="宋体" w:cs="宋体"/>
                <w:color w:val="000000"/>
                <w:sz w:val="22"/>
                <w:szCs w:val="22"/>
              </w:rPr>
            </w:r>
            <w:r/>
          </w:p>
        </w:tc>
      </w:tr>
    </w:tbl>
    <w:p>
      <w:pPr>
        <w:pStyle w:val="951"/>
        <w:spacing w:line="480" w:lineRule="exact"/>
        <w:rPr>
          <w:rFonts w:ascii="宋体" w:hAnsi="宋体" w:cs="宋体"/>
          <w:i/>
          <w:color w:val="ff0000"/>
          <w:sz w:val="24"/>
          <w:szCs w:val="24"/>
          <w:u w:val="single"/>
        </w:rPr>
      </w:pPr>
      <w:r>
        <w:rPr>
          <w:rFonts w:ascii="宋体" w:hAnsi="宋体" w:cs="宋体"/>
          <w:i/>
          <w:color w:val="ff0000"/>
          <w:sz w:val="24"/>
          <w:szCs w:val="24"/>
          <w:u w:val="single"/>
        </w:rPr>
      </w:r>
      <w:r/>
    </w:p>
    <w:p>
      <w:pPr>
        <w:pStyle w:val="951"/>
        <w:ind w:firstLine="480"/>
        <w:spacing w:line="480" w:lineRule="exact"/>
        <w:rPr>
          <w:rFonts w:ascii="宋体" w:hAnsi="宋体" w:cs="宋体"/>
          <w:i/>
          <w:color w:val="000000"/>
          <w:sz w:val="24"/>
          <w:szCs w:val="24"/>
          <w:highlight w:val="yellow"/>
          <w:u w:val="single"/>
        </w:rPr>
      </w:pPr>
      <w:r>
        <w:rPr>
          <w:rFonts w:hint="eastAsia" w:ascii="宋体" w:hAnsi="宋体" w:cs="宋体"/>
          <w:i/>
          <w:color w:val="000000"/>
          <w:sz w:val="24"/>
          <w:szCs w:val="24"/>
          <w:u w:val="single"/>
        </w:rPr>
        <w:t xml:space="preserve">岗位人员配置数量不得少于本项目需求里管理站岗位配备人员数量，即最低要求人数4</w:t>
      </w:r>
      <w:r>
        <w:rPr>
          <w:rFonts w:ascii="宋体" w:hAnsi="宋体" w:cs="宋体"/>
          <w:i/>
          <w:color w:val="000000"/>
          <w:sz w:val="24"/>
          <w:szCs w:val="24"/>
          <w:u w:val="single"/>
        </w:rPr>
        <w:t xml:space="preserve">1</w:t>
      </w:r>
      <w:r>
        <w:rPr>
          <w:rFonts w:hint="eastAsia" w:ascii="宋体" w:hAnsi="宋体" w:cs="宋体"/>
          <w:i/>
          <w:color w:val="000000"/>
          <w:sz w:val="24"/>
          <w:szCs w:val="24"/>
          <w:u w:val="single"/>
        </w:rPr>
        <w:t xml:space="preserve">人。</w:t>
      </w:r>
      <w:r>
        <w:rPr>
          <w:rFonts w:ascii="宋体" w:hAnsi="宋体" w:cs="宋体"/>
          <w:i/>
          <w:color w:val="000000"/>
          <w:sz w:val="24"/>
          <w:szCs w:val="24"/>
          <w:highlight w:val="yellow"/>
          <w:u w:val="single"/>
        </w:rPr>
      </w:r>
      <w:r/>
    </w:p>
    <w:p>
      <w:pPr>
        <w:pStyle w:val="951"/>
        <w:ind w:firstLine="482"/>
        <w:spacing w:before="156" w:line="360" w:lineRule="auto"/>
        <w:rPr>
          <w:rFonts w:ascii="黑体" w:hAnsi="黑体" w:eastAsia="黑体" w:cs="方正仿宋_GBK"/>
          <w:b/>
          <w:bCs/>
          <w:sz w:val="24"/>
          <w:szCs w:val="24"/>
        </w:rPr>
      </w:pPr>
      <w:r>
        <w:rPr>
          <w:rFonts w:hint="eastAsia" w:ascii="黑体" w:hAnsi="黑体" w:eastAsia="黑体" w:cs="方正仿宋_GBK"/>
          <w:b/>
          <w:bCs/>
          <w:sz w:val="24"/>
          <w:szCs w:val="24"/>
          <w:lang w:val="en-US" w:eastAsia="zh-CN"/>
        </w:rPr>
        <w:t xml:space="preserve">四</w:t>
      </w:r>
      <w:r>
        <w:rPr>
          <w:rFonts w:hint="eastAsia" w:ascii="黑体" w:hAnsi="黑体" w:eastAsia="黑体" w:cs="方正仿宋_GBK"/>
          <w:b/>
          <w:bCs/>
          <w:sz w:val="24"/>
          <w:szCs w:val="24"/>
        </w:rPr>
        <w:t xml:space="preserve">、委托管理期限</w:t>
      </w:r>
      <w:r>
        <w:rPr>
          <w:rFonts w:ascii="黑体" w:hAnsi="黑体" w:eastAsia="黑体" w:cs="方正仿宋_GBK"/>
          <w:b/>
          <w:bCs/>
          <w:sz w:val="24"/>
          <w:szCs w:val="24"/>
        </w:rPr>
      </w:r>
      <w:r/>
    </w:p>
    <w:p>
      <w:pPr>
        <w:pStyle w:val="951"/>
        <w:ind w:firstLine="464"/>
        <w:spacing w:line="360" w:lineRule="auto"/>
        <w:rPr>
          <w:rFonts w:ascii="宋体" w:hAnsi="宋体" w:cs="方正仿宋_GBK"/>
          <w:sz w:val="24"/>
          <w:szCs w:val="24"/>
        </w:rPr>
      </w:pPr>
      <w:r>
        <w:rPr>
          <w:rFonts w:hint="eastAsia" w:ascii="宋体" w:hAnsi="宋体" w:cs="方正仿宋_GBK"/>
          <w:spacing w:val="-4"/>
          <w:sz w:val="24"/>
          <w:szCs w:val="24"/>
        </w:rPr>
        <w:t xml:space="preserve">本服务采购项目的委托期为三年，自2026年9月1日至2029年8月31日止。</w:t>
      </w:r>
      <w:r>
        <w:rPr>
          <w:rFonts w:hint="eastAsia" w:ascii="宋体" w:hAnsi="宋体" w:cs="方正仿宋_GBK"/>
          <w:sz w:val="24"/>
          <w:szCs w:val="24"/>
        </w:rPr>
        <w:t xml:space="preserve">若在服务期间乙方考核不合格或未能履行投标响应的相关承诺、未按合同要求履行义务、出现重大违法行为或因乙方原因导致甲方利益受损的，甲方有权按照以下情形处理：</w:t>
      </w:r>
      <w:r>
        <w:rPr>
          <w:rFonts w:ascii="宋体" w:hAnsi="宋体" w:cs="方正仿宋_GBK"/>
          <w:sz w:val="24"/>
          <w:szCs w:val="24"/>
        </w:rPr>
      </w:r>
      <w:r/>
    </w:p>
    <w:p>
      <w:pPr>
        <w:pStyle w:val="951"/>
        <w:ind w:firstLine="480"/>
        <w:spacing w:line="360" w:lineRule="auto"/>
        <w:rPr>
          <w:rFonts w:ascii="宋体" w:hAnsi="宋体" w:cs="方正仿宋_GBK"/>
          <w:sz w:val="24"/>
          <w:szCs w:val="24"/>
        </w:rPr>
      </w:pPr>
      <w:r>
        <w:rPr>
          <w:rFonts w:hint="eastAsia" w:ascii="宋体" w:hAnsi="宋体" w:cs="方正仿宋_GBK"/>
          <w:sz w:val="24"/>
          <w:szCs w:val="24"/>
        </w:rPr>
        <w:t xml:space="preserve">（1）乙方考核成绩结果为79分及以下的，甲方给予书面警告，要求限期整改；</w:t>
      </w:r>
      <w:r>
        <w:rPr>
          <w:rFonts w:ascii="宋体" w:hAnsi="宋体" w:cs="方正仿宋_GBK"/>
          <w:sz w:val="24"/>
          <w:szCs w:val="24"/>
        </w:rPr>
      </w:r>
      <w:r/>
    </w:p>
    <w:p>
      <w:pPr>
        <w:pStyle w:val="951"/>
        <w:ind w:firstLine="480"/>
        <w:spacing w:line="360" w:lineRule="auto"/>
        <w:rPr>
          <w:rFonts w:ascii="宋体" w:hAnsi="宋体" w:cs="方正仿宋_GBK"/>
          <w:sz w:val="24"/>
          <w:szCs w:val="24"/>
        </w:rPr>
      </w:pPr>
      <w:r>
        <w:rPr>
          <w:rFonts w:hint="eastAsia" w:ascii="宋体" w:hAnsi="宋体" w:cs="方正仿宋_GBK"/>
          <w:sz w:val="24"/>
          <w:szCs w:val="24"/>
        </w:rPr>
        <w:t xml:space="preserve">（2）乙方连续两次月度工作考核为79分及以下的，或出现本细则“一票否决”第七条1-8款所列情形的，甲方有权单方面解除合同，并要求乙方承担相应违约责任；</w:t>
      </w:r>
      <w:r>
        <w:rPr>
          <w:rFonts w:ascii="宋体" w:hAnsi="宋体" w:cs="方正仿宋_GBK"/>
          <w:sz w:val="24"/>
          <w:szCs w:val="24"/>
        </w:rPr>
      </w:r>
      <w:r/>
    </w:p>
    <w:p>
      <w:pPr>
        <w:pStyle w:val="951"/>
        <w:ind w:firstLine="480"/>
        <w:spacing w:line="360" w:lineRule="auto"/>
        <w:rPr>
          <w:rFonts w:ascii="宋体" w:hAnsi="宋体" w:cs="方正仿宋_GBK"/>
          <w:sz w:val="24"/>
          <w:szCs w:val="24"/>
        </w:rPr>
      </w:pPr>
      <w:r>
        <w:rPr>
          <w:rFonts w:hint="eastAsia" w:ascii="宋体" w:hAnsi="宋体" w:cs="方正仿宋_GBK"/>
          <w:sz w:val="24"/>
          <w:szCs w:val="24"/>
        </w:rPr>
        <w:t xml:space="preserve">（3）因乙方原因给甲方造成经济损失的，乙方应据实赔偿，经济损失的具体金额以甲方有资质的第三方评估或法院裁判为准。</w:t>
      </w:r>
      <w:r>
        <w:rPr>
          <w:rFonts w:ascii="宋体" w:hAnsi="宋体" w:cs="方正仿宋_GBK"/>
          <w:sz w:val="24"/>
          <w:szCs w:val="24"/>
        </w:rPr>
      </w:r>
      <w:r/>
    </w:p>
    <w:p>
      <w:pPr>
        <w:pStyle w:val="951"/>
        <w:ind w:firstLine="482"/>
        <w:spacing w:before="156" w:line="360" w:lineRule="auto"/>
        <w:rPr>
          <w:rFonts w:ascii="黑体" w:hAnsi="黑体" w:eastAsia="黑体" w:cs="方正仿宋_GBK"/>
          <w:b/>
          <w:bCs/>
          <w:sz w:val="24"/>
          <w:szCs w:val="24"/>
        </w:rPr>
      </w:pPr>
      <w:r>
        <w:rPr>
          <w:rFonts w:hint="eastAsia" w:ascii="黑体" w:hAnsi="黑体" w:eastAsia="黑体" w:cs="方正仿宋_GBK"/>
          <w:b/>
          <w:bCs/>
          <w:sz w:val="24"/>
          <w:szCs w:val="24"/>
          <w:lang w:val="en-US" w:eastAsia="zh-CN"/>
        </w:rPr>
        <w:t xml:space="preserve">五</w:t>
      </w:r>
      <w:r>
        <w:rPr>
          <w:rFonts w:hint="eastAsia" w:ascii="黑体" w:hAnsi="黑体" w:eastAsia="黑体" w:cs="方正仿宋_GBK"/>
          <w:b/>
          <w:bCs/>
          <w:sz w:val="24"/>
          <w:szCs w:val="24"/>
        </w:rPr>
        <w:t xml:space="preserve">、委托管理内容</w:t>
      </w:r>
      <w:r>
        <w:rPr>
          <w:rFonts w:ascii="黑体" w:hAnsi="黑体" w:eastAsia="黑体" w:cs="方正仿宋_GBK"/>
          <w:b/>
          <w:bCs/>
          <w:sz w:val="24"/>
          <w:szCs w:val="24"/>
        </w:rPr>
      </w:r>
      <w:r/>
    </w:p>
    <w:p>
      <w:pPr>
        <w:pStyle w:val="951"/>
        <w:ind w:firstLine="480"/>
        <w:spacing w:line="360" w:lineRule="auto"/>
        <w:rPr>
          <w:rFonts w:ascii="宋体" w:hAnsi="宋体" w:cs="方正仿宋_GBK"/>
          <w:sz w:val="24"/>
          <w:szCs w:val="24"/>
        </w:rPr>
      </w:pPr>
      <w:r>
        <w:rPr>
          <w:rFonts w:hint="eastAsia" w:ascii="宋体" w:hAnsi="宋体" w:cs="方正仿宋_GBK"/>
          <w:sz w:val="24"/>
          <w:szCs w:val="24"/>
        </w:rPr>
        <w:t xml:space="preserve">投标人具有“管理育人、服务育人、文化育人”的责任，必须为入住学生提供优质高效的服务，把学生公寓安全管理服务工作作为学校精神文明建设的重要抓手和有效载体，确保公寓内各项工作的顺利开展。</w:t>
      </w:r>
      <w:r>
        <w:rPr>
          <w:rFonts w:ascii="宋体" w:hAnsi="宋体" w:cs="方正仿宋_GBK"/>
          <w:sz w:val="24"/>
          <w:szCs w:val="24"/>
        </w:rPr>
      </w:r>
      <w:r/>
    </w:p>
    <w:tbl>
      <w:tblPr>
        <w:tblW w:w="9282" w:type="dxa"/>
        <w:tblInd w:w="93" w:type="dxa"/>
        <w:tblLayout w:type="fixed"/>
        <w:tblCellMar>
          <w:left w:w="0" w:type="dxa"/>
          <w:top w:w="0" w:type="dxa"/>
          <w:right w:w="0" w:type="dxa"/>
          <w:bottom w:w="0" w:type="dxa"/>
        </w:tblCellMar>
        <w:tblLook w:val="04A0" w:firstRow="1" w:lastRow="0" w:firstColumn="1" w:lastColumn="0" w:noHBand="0" w:noVBand="1"/>
      </w:tblPr>
      <w:tblGrid>
        <w:gridCol w:w="1365"/>
        <w:gridCol w:w="7917"/>
      </w:tblGrid>
      <w:tr>
        <w:trPr>
          <w:trHeight w:val="342"/>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951"/>
              <w:ind w:firstLine="34"/>
              <w:jc w:val="center"/>
              <w:spacing w:line="240" w:lineRule="atLeast"/>
              <w:widowControl/>
              <w:tabs>
                <w:tab w:val="left" w:pos="8080" w:leader="none"/>
              </w:tabs>
              <w:rPr>
                <w:rFonts w:ascii="仿宋" w:hAnsi="仿宋" w:eastAsia="仿宋" w:cs="宋体"/>
                <w:b/>
                <w:sz w:val="20"/>
                <w:szCs w:val="20"/>
              </w:rPr>
            </w:pPr>
            <w:r>
              <w:rPr>
                <w:rFonts w:hint="eastAsia" w:ascii="仿宋" w:hAnsi="仿宋" w:eastAsia="仿宋" w:cs="宋体"/>
                <w:b/>
                <w:sz w:val="20"/>
                <w:szCs w:val="20"/>
              </w:rPr>
              <w:t xml:space="preserve">项目</w:t>
            </w:r>
            <w:r>
              <w:rPr>
                <w:rFonts w:ascii="仿宋" w:hAnsi="仿宋" w:eastAsia="仿宋" w:cs="宋体"/>
                <w:b/>
                <w:sz w:val="20"/>
                <w:szCs w:val="20"/>
              </w:rPr>
            </w:r>
            <w:r/>
          </w:p>
        </w:tc>
        <w:tc>
          <w:tcPr>
            <w:tcBorders>
              <w:top w:val="single" w:color="000000" w:sz="6" w:space="0"/>
              <w:left w:val="single" w:color="000000" w:sz="2" w:space="0"/>
              <w:bottom w:val="single" w:color="000000" w:sz="6" w:space="0"/>
              <w:right w:val="single" w:color="000000" w:sz="6" w:space="0"/>
            </w:tcBorders>
            <w:tcW w:w="7917" w:type="dxa"/>
            <w:vAlign w:val="center"/>
            <w:textDirection w:val="lrTb"/>
            <w:noWrap w:val="false"/>
          </w:tcPr>
          <w:p>
            <w:pPr>
              <w:pStyle w:val="951"/>
              <w:ind w:left="1" w:hanging="26"/>
              <w:jc w:val="center"/>
              <w:spacing w:line="240" w:lineRule="atLeast"/>
              <w:widowControl/>
              <w:tabs>
                <w:tab w:val="left" w:pos="8080" w:leader="none"/>
              </w:tabs>
              <w:rPr>
                <w:rFonts w:ascii="仿宋" w:hAnsi="仿宋" w:eastAsia="仿宋" w:cs="宋体"/>
                <w:b/>
                <w:sz w:val="20"/>
                <w:szCs w:val="20"/>
              </w:rPr>
            </w:pPr>
            <w:r>
              <w:rPr>
                <w:rFonts w:hint="eastAsia" w:ascii="仿宋" w:hAnsi="仿宋" w:eastAsia="仿宋" w:cs="宋体"/>
                <w:b/>
                <w:sz w:val="20"/>
                <w:szCs w:val="20"/>
              </w:rPr>
              <w:t xml:space="preserve">工作内容和服务标准</w:t>
            </w:r>
            <w:r>
              <w:rPr>
                <w:rFonts w:ascii="仿宋" w:hAnsi="仿宋" w:eastAsia="仿宋" w:cs="宋体"/>
                <w:b/>
                <w:sz w:val="20"/>
                <w:szCs w:val="20"/>
              </w:rPr>
            </w:r>
            <w:r/>
          </w:p>
        </w:tc>
      </w:tr>
      <w:tr>
        <w:trPr>
          <w:trHeight w:val="90"/>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951"/>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安全管理</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917" w:type="dxa"/>
            <w:vAlign w:val="center"/>
            <w:textDirection w:val="lrTb"/>
            <w:noWrap w:val="false"/>
          </w:tcPr>
          <w:p>
            <w:pPr>
              <w:pStyle w:val="951"/>
              <w:ind w:firstLine="400"/>
              <w:widowControl/>
              <w:rPr>
                <w:rFonts w:ascii="仿宋" w:hAnsi="仿宋" w:eastAsia="仿宋" w:cs="宋体"/>
                <w:sz w:val="20"/>
                <w:szCs w:val="20"/>
              </w:rPr>
            </w:pPr>
            <w:r>
              <w:rPr>
                <w:rFonts w:hint="eastAsia" w:ascii="仿宋" w:hAnsi="仿宋" w:eastAsia="仿宋" w:cs="宋体"/>
                <w:sz w:val="20"/>
                <w:szCs w:val="20"/>
              </w:rPr>
              <w:t xml:space="preserve">1.制定、熟悉并掌握各类安全预案的运作及处置。</w:t>
            </w:r>
            <w:r>
              <w:rPr>
                <w:rFonts w:ascii="仿宋" w:hAnsi="仿宋" w:eastAsia="仿宋" w:cs="宋体"/>
                <w:sz w:val="20"/>
                <w:szCs w:val="20"/>
              </w:rPr>
            </w:r>
            <w:r/>
          </w:p>
          <w:p>
            <w:pPr>
              <w:pStyle w:val="951"/>
              <w:ind w:firstLine="400"/>
            </w:pPr>
            <w:r>
              <w:rPr>
                <w:rFonts w:ascii="仿宋" w:hAnsi="仿宋" w:eastAsia="仿宋" w:cs="宋体"/>
                <w:sz w:val="20"/>
                <w:szCs w:val="20"/>
              </w:rPr>
              <w:t xml:space="preserve">2.</w:t>
            </w:r>
            <w:r>
              <w:rPr>
                <w:rFonts w:hint="eastAsia" w:ascii="仿宋" w:hAnsi="仿宋" w:eastAsia="仿宋" w:cs="宋体"/>
                <w:sz w:val="20"/>
                <w:szCs w:val="20"/>
              </w:rPr>
              <w:t xml:space="preserve">根据学校有关部门要求做好学生公寓的门卫值班和安全保卫工作，严格执行24小时管理值班制度。负责日常公寓开关门管理、人员出入管理、物品出入管理、钥匙管理、迎新送毕等阶段性管理服务、公寓消防安全、治安安全、用电安全、节水节电管理及学生公寓资产管理等。</w:t>
            </w:r>
            <w:r/>
          </w:p>
          <w:p>
            <w:pPr>
              <w:pStyle w:val="951"/>
              <w:ind w:firstLine="400"/>
              <w:widowControl/>
              <w:rPr>
                <w:rFonts w:ascii="仿宋" w:hAnsi="仿宋" w:eastAsia="仿宋" w:cs="宋体"/>
                <w:sz w:val="20"/>
                <w:szCs w:val="20"/>
              </w:rPr>
            </w:pPr>
            <w:r>
              <w:rPr>
                <w:rFonts w:hint="eastAsia" w:ascii="仿宋" w:hAnsi="仿宋" w:eastAsia="仿宋" w:cs="宋体"/>
                <w:sz w:val="20"/>
                <w:szCs w:val="20"/>
              </w:rPr>
              <w:t xml:space="preserve">3.做好来访人员的登记工作，外单位人员不得随意进入宿舍，确需进入者要做好相关登记工作。</w:t>
            </w:r>
            <w:r>
              <w:rPr>
                <w:rFonts w:ascii="仿宋" w:hAnsi="仿宋" w:eastAsia="仿宋" w:cs="宋体"/>
                <w:sz w:val="20"/>
                <w:szCs w:val="20"/>
              </w:rPr>
            </w:r>
            <w:r/>
          </w:p>
          <w:p>
            <w:pPr>
              <w:pStyle w:val="951"/>
              <w:ind w:firstLine="400"/>
              <w:widowControl/>
              <w:rPr>
                <w:rFonts w:ascii="仿宋" w:hAnsi="仿宋" w:eastAsia="仿宋" w:cs="宋体"/>
                <w:sz w:val="20"/>
                <w:szCs w:val="20"/>
                <w:highlight w:val="none"/>
              </w:rPr>
            </w:pPr>
            <w:r>
              <w:rPr>
                <w:rFonts w:hint="eastAsia" w:ascii="仿宋" w:hAnsi="仿宋" w:eastAsia="仿宋" w:cs="宋体"/>
                <w:sz w:val="20"/>
                <w:szCs w:val="20"/>
              </w:rPr>
              <w:t xml:space="preserve">4.协助学</w:t>
            </w:r>
            <w:r>
              <w:rPr>
                <w:rFonts w:hint="eastAsia" w:ascii="仿宋" w:hAnsi="仿宋" w:eastAsia="仿宋" w:cs="宋体"/>
                <w:sz w:val="20"/>
                <w:szCs w:val="20"/>
                <w:highlight w:val="none"/>
              </w:rPr>
              <w:t xml:space="preserve">校有关部门安排学生住宿，对学生公寓里的房间（含空房间）负有看管之责，不得擅自处置和使用。学生入住后，需向甲方如实上报学生每日入住退宿情况并按月汇总上报变动及空房间情况。</w:t>
            </w:r>
            <w:r>
              <w:rPr>
                <w:rFonts w:ascii="仿宋" w:hAnsi="仿宋" w:eastAsia="仿宋" w:cs="宋体"/>
                <w:sz w:val="20"/>
                <w:szCs w:val="20"/>
                <w:highlight w:val="none"/>
              </w:rPr>
              <w:t xml:space="preserve"> </w:t>
            </w:r>
            <w:r>
              <w:rPr>
                <w:rFonts w:ascii="仿宋" w:hAnsi="仿宋" w:eastAsia="仿宋" w:cs="宋体"/>
                <w:sz w:val="20"/>
                <w:szCs w:val="20"/>
                <w:highlight w:val="none"/>
              </w:rPr>
            </w:r>
            <w:r/>
          </w:p>
          <w:p>
            <w:pPr>
              <w:pStyle w:val="951"/>
              <w:ind w:firstLine="400"/>
              <w:widowControl/>
              <w:rPr>
                <w:rFonts w:ascii="仿宋" w:hAnsi="仿宋" w:eastAsia="仿宋" w:cs="宋体"/>
                <w:sz w:val="20"/>
                <w:szCs w:val="20"/>
              </w:rPr>
            </w:pPr>
            <w:r>
              <w:rPr>
                <w:rFonts w:hint="eastAsia" w:ascii="仿宋" w:hAnsi="仿宋" w:eastAsia="仿宋" w:cs="宋体"/>
                <w:sz w:val="20"/>
                <w:szCs w:val="20"/>
                <w:highlight w:val="none"/>
              </w:rPr>
              <w:t xml:space="preserve">5.每日至少2次巡查学生宿舍、楼层、，及时消除安全隐患，发现可能存在的安全隐患，及时上报甲方。白天检查宿舍须做到每房必查，重点检查宿舍卫生、违章电器使用、手机充电器是否人走断电、水电等设施损坏情况、违规违纪行为和学生异常情况等；晚上检查宿舍重点检查学生夜不归宿、违规违纪行为和学生异常情况等。如果发现紧急突发异常情况，需在第一时间向甲方及相关部门报告并做好应急处理，《学生公寓突发事件处理记录表》于次日中午前报甲方备存。如遇学生夜不归宿情况，</w:t>
            </w:r>
            <w:r>
              <w:rPr>
                <w:rFonts w:hint="eastAsia" w:ascii="仿宋" w:hAnsi="仿宋" w:eastAsia="仿宋" w:cs="宋体"/>
                <w:sz w:val="20"/>
                <w:szCs w:val="20"/>
              </w:rPr>
              <w:t xml:space="preserve">需与学生第一时间联系，了解学生去向并做好记录，并及时向学生所在学院反馈。</w:t>
            </w:r>
            <w:r>
              <w:rPr>
                <w:rFonts w:ascii="仿宋" w:hAnsi="仿宋" w:eastAsia="仿宋" w:cs="宋体"/>
                <w:sz w:val="20"/>
                <w:szCs w:val="20"/>
              </w:rPr>
            </w:r>
            <w:r/>
          </w:p>
          <w:p>
            <w:pPr>
              <w:pStyle w:val="951"/>
              <w:ind w:firstLine="400"/>
              <w:widowControl/>
              <w:rPr>
                <w:rFonts w:ascii="仿宋" w:hAnsi="仿宋" w:eastAsia="仿宋" w:cs="宋体"/>
                <w:sz w:val="20"/>
                <w:szCs w:val="20"/>
              </w:rPr>
            </w:pPr>
            <w:r>
              <w:rPr>
                <w:rFonts w:hint="eastAsia" w:ascii="仿宋" w:hAnsi="仿宋" w:eastAsia="仿宋" w:cs="宋体"/>
                <w:sz w:val="20"/>
                <w:szCs w:val="20"/>
              </w:rPr>
              <w:t xml:space="preserve">6.每天至少2次检查公寓顶层平台通道门情况、地下车库以及楼四周安全情况，做好工作记录，发现问题及时处理并上报甲方。消防设施上无物品摆放，宿舍消防安全通道任何时候保持畅通。强弱电间、阁楼保持落锁，无杂物摆放，阁楼及楼顶平台不堆放物品。</w:t>
            </w:r>
            <w:r>
              <w:rPr>
                <w:rFonts w:ascii="仿宋" w:hAnsi="仿宋" w:eastAsia="仿宋" w:cs="宋体"/>
                <w:sz w:val="20"/>
                <w:szCs w:val="20"/>
              </w:rPr>
            </w:r>
            <w:r/>
          </w:p>
          <w:p>
            <w:pPr>
              <w:pStyle w:val="951"/>
              <w:ind w:firstLine="400"/>
              <w:widowControl/>
              <w:rPr>
                <w:rFonts w:ascii="仿宋" w:hAnsi="仿宋" w:eastAsia="仿宋" w:cs="宋体"/>
                <w:sz w:val="20"/>
                <w:szCs w:val="20"/>
              </w:rPr>
            </w:pPr>
            <w:r>
              <w:rPr>
                <w:rFonts w:hint="eastAsia" w:ascii="仿宋" w:hAnsi="仿宋" w:eastAsia="仿宋" w:cs="宋体"/>
                <w:sz w:val="20"/>
                <w:szCs w:val="20"/>
              </w:rPr>
              <w:t xml:space="preserve">7.严格按照学生宿舍作息时间要求，按时开、闭门。对会客、晚归、不归等，坚持验证登记制度。统计早出、晚归学生并按要求及时上报甲方。夜间值班电话、值班地点须在醒目位置张贴。</w:t>
            </w:r>
            <w:r>
              <w:rPr>
                <w:rFonts w:ascii="仿宋" w:hAnsi="仿宋" w:eastAsia="仿宋" w:cs="宋体"/>
                <w:sz w:val="20"/>
                <w:szCs w:val="20"/>
              </w:rPr>
            </w:r>
            <w:r/>
          </w:p>
          <w:p>
            <w:pPr>
              <w:pStyle w:val="951"/>
              <w:ind w:firstLine="400"/>
              <w:widowControl/>
              <w:rPr>
                <w:rFonts w:ascii="仿宋" w:hAnsi="仿宋" w:eastAsia="仿宋" w:cs="宋体"/>
                <w:sz w:val="20"/>
                <w:szCs w:val="20"/>
              </w:rPr>
            </w:pPr>
            <w:r>
              <w:rPr>
                <w:rFonts w:ascii="仿宋" w:hAnsi="仿宋" w:eastAsia="仿宋" w:cs="宋体"/>
                <w:sz w:val="20"/>
                <w:szCs w:val="20"/>
              </w:rPr>
              <w:t xml:space="preserve">8</w:t>
            </w:r>
            <w:r>
              <w:rPr>
                <w:rFonts w:hint="eastAsia" w:ascii="仿宋" w:hAnsi="仿宋" w:eastAsia="仿宋" w:cs="宋体"/>
                <w:sz w:val="20"/>
                <w:szCs w:val="20"/>
              </w:rPr>
              <w:t xml:space="preserve">.建立健全管理台帐，统计、核实住宿人数并做好记录，要求准确详实。 </w:t>
            </w:r>
            <w:r>
              <w:rPr>
                <w:rFonts w:ascii="仿宋" w:hAnsi="仿宋" w:eastAsia="仿宋" w:cs="宋体"/>
                <w:sz w:val="20"/>
                <w:szCs w:val="20"/>
              </w:rPr>
            </w:r>
            <w:r/>
          </w:p>
          <w:p>
            <w:pPr>
              <w:pStyle w:val="951"/>
              <w:ind w:firstLine="400"/>
              <w:widowControl/>
              <w:rPr>
                <w:rFonts w:ascii="仿宋" w:hAnsi="仿宋" w:eastAsia="仿宋" w:cs="宋体"/>
                <w:sz w:val="20"/>
                <w:szCs w:val="20"/>
              </w:rPr>
            </w:pPr>
            <w:r>
              <w:rPr>
                <w:rFonts w:ascii="仿宋" w:hAnsi="仿宋" w:eastAsia="仿宋" w:cs="宋体"/>
                <w:sz w:val="20"/>
                <w:szCs w:val="20"/>
              </w:rPr>
              <w:t xml:space="preserve">9</w:t>
            </w:r>
            <w:r>
              <w:rPr>
                <w:rFonts w:hint="eastAsia" w:ascii="仿宋" w:hAnsi="仿宋" w:eastAsia="仿宋" w:cs="宋体"/>
                <w:sz w:val="20"/>
                <w:szCs w:val="20"/>
              </w:rPr>
              <w:t xml:space="preserve">.对宿舍内发生的情节严重、重大突发事件（学生突发疾病、遗失物品、打架斗殴、火情等）除及时按规范进行处置并上报甲方外，还应有书面形式的报告。</w:t>
            </w:r>
            <w:r>
              <w:rPr>
                <w:rFonts w:ascii="仿宋" w:hAnsi="仿宋" w:eastAsia="仿宋" w:cs="宋体"/>
                <w:sz w:val="20"/>
                <w:szCs w:val="20"/>
              </w:rPr>
            </w:r>
            <w:r/>
          </w:p>
          <w:p>
            <w:pPr>
              <w:pStyle w:val="951"/>
              <w:ind w:firstLine="400"/>
              <w:widowControl/>
              <w:rPr>
                <w:rFonts w:ascii="仿宋" w:hAnsi="仿宋" w:eastAsia="仿宋" w:cs="宋体"/>
                <w:sz w:val="20"/>
                <w:szCs w:val="20"/>
              </w:rPr>
            </w:pPr>
            <w:r>
              <w:rPr>
                <w:rFonts w:hint="eastAsia" w:ascii="仿宋" w:hAnsi="仿宋" w:eastAsia="仿宋" w:cs="宋体"/>
                <w:sz w:val="20"/>
                <w:szCs w:val="20"/>
              </w:rPr>
              <w:t xml:space="preserve">10</w:t>
            </w:r>
            <w:r>
              <w:rPr>
                <w:rFonts w:ascii="仿宋" w:hAnsi="仿宋" w:eastAsia="仿宋" w:cs="宋体"/>
                <w:sz w:val="20"/>
                <w:szCs w:val="20"/>
              </w:rPr>
              <w:t xml:space="preserve">.</w:t>
            </w:r>
            <w:r>
              <w:rPr>
                <w:rFonts w:hint="eastAsia" w:ascii="仿宋" w:hAnsi="仿宋" w:eastAsia="仿宋" w:cs="宋体"/>
                <w:sz w:val="20"/>
                <w:szCs w:val="20"/>
              </w:rPr>
              <w:t xml:space="preserve">寒暑假期间及毕业生离校后，检查每间宿舍，及时关好宿舍门窗和水电阀（闸）门。假期做好安全巡查工作，及时发现和排除安全隐患。</w:t>
            </w:r>
            <w:r>
              <w:rPr>
                <w:rFonts w:ascii="仿宋" w:hAnsi="仿宋" w:eastAsia="仿宋" w:cs="宋体"/>
                <w:sz w:val="20"/>
                <w:szCs w:val="20"/>
              </w:rPr>
              <w:t xml:space="preserve"> </w:t>
            </w:r>
            <w:r>
              <w:rPr>
                <w:rFonts w:ascii="仿宋" w:hAnsi="仿宋" w:eastAsia="仿宋" w:cs="宋体"/>
                <w:sz w:val="20"/>
                <w:szCs w:val="20"/>
              </w:rPr>
            </w:r>
            <w:r/>
          </w:p>
        </w:tc>
      </w:tr>
      <w:tr>
        <w:trPr>
          <w:trHeight w:val="90"/>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951"/>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卫生保洁</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917" w:type="dxa"/>
            <w:vAlign w:val="center"/>
            <w:textDirection w:val="lrTb"/>
            <w:noWrap w:val="false"/>
          </w:tcPr>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1.负责学生公寓内大厅、值班室、走廊、楼梯、宣传栏、护栏扶手、庭院绿化带、晾晒场所以及公寓周边绿化带、地下车库、附近道路等区域的卫生清洁、保洁。</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2.公共区域地面干净无积水、无污垢、无痰迹、无纸屑、无瓜皮果壳，墙面保持整洁，无污迹、无乱悬挂、无乱张贴等现象，玻璃明亮无灰，公共区域无蜘蛛网。</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3.在新生报到前一周，完成新生入住寝室的卫生保洁，窗帘、门窗、阳台玻璃、家具、卫生间、洗漱间等所有设施均打扫清洗干净，无明显灰尘和污垢，公共区域卫生到位。</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4.针对灭鼠、蝇、蚊、虫、蚁的实际需要和季节特点制定具体计划，由专业人员实施。灭四害每年至少集中进行</w:t>
            </w:r>
            <w:r>
              <w:rPr>
                <w:rFonts w:ascii="仿宋" w:hAnsi="仿宋" w:eastAsia="仿宋" w:cs="宋体"/>
                <w:sz w:val="20"/>
                <w:szCs w:val="20"/>
              </w:rPr>
              <w:t xml:space="preserve">1</w:t>
            </w:r>
            <w:r>
              <w:rPr>
                <w:rFonts w:hint="eastAsia" w:ascii="仿宋" w:hAnsi="仿宋" w:eastAsia="仿宋" w:cs="宋体"/>
                <w:sz w:val="20"/>
                <w:szCs w:val="20"/>
              </w:rPr>
              <w:t xml:space="preserve">次，对学生上报的“四害”问题，响应时间不超过</w:t>
            </w:r>
            <w:r>
              <w:rPr>
                <w:rFonts w:ascii="仿宋" w:hAnsi="仿宋" w:eastAsia="仿宋" w:cs="宋体"/>
                <w:sz w:val="20"/>
                <w:szCs w:val="20"/>
              </w:rPr>
              <w:t xml:space="preserve">20</w:t>
            </w:r>
            <w:r>
              <w:rPr>
                <w:rFonts w:hint="eastAsia" w:ascii="仿宋" w:hAnsi="仿宋" w:eastAsia="仿宋" w:cs="宋体"/>
                <w:sz w:val="20"/>
                <w:szCs w:val="20"/>
              </w:rPr>
              <w:t xml:space="preserve">分钟，处理完成时间不超过</w:t>
            </w:r>
            <w:r>
              <w:rPr>
                <w:rFonts w:ascii="仿宋" w:hAnsi="仿宋" w:eastAsia="仿宋" w:cs="宋体"/>
                <w:sz w:val="20"/>
                <w:szCs w:val="20"/>
              </w:rPr>
              <w:t xml:space="preserve">6</w:t>
            </w:r>
            <w:r>
              <w:rPr>
                <w:rFonts w:hint="eastAsia" w:ascii="仿宋" w:hAnsi="仿宋" w:eastAsia="仿宋" w:cs="宋体"/>
                <w:sz w:val="20"/>
                <w:szCs w:val="20"/>
              </w:rPr>
              <w:t xml:space="preserve">小时，确保宿舍学生生活正常。</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5.保洁工具、用品要统一放在指定地点，保证楼道、门厅的整洁。</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6.捡拾物品及时上交并做失物招领，不得私自处理。</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7.公共区域按照甲方要求进行消毒并记录。</w:t>
            </w:r>
            <w:r>
              <w:rPr>
                <w:rFonts w:ascii="仿宋" w:hAnsi="仿宋" w:eastAsia="仿宋" w:cs="宋体"/>
                <w:sz w:val="20"/>
                <w:szCs w:val="20"/>
              </w:rPr>
            </w:r>
            <w:r/>
          </w:p>
        </w:tc>
      </w:tr>
      <w:tr>
        <w:trPr>
          <w:trHeight w:val="779"/>
        </w:trPr>
        <w:tc>
          <w:tcPr>
            <w:tcBorders>
              <w:top w:val="single" w:color="000000" w:sz="6" w:space="0"/>
              <w:left w:val="single" w:color="000000" w:sz="6" w:space="0"/>
              <w:bottom w:val="none" w:color="000000" w:sz="4" w:space="0"/>
              <w:right w:val="single" w:color="000000" w:sz="6" w:space="0"/>
            </w:tcBorders>
            <w:tcW w:w="1365" w:type="dxa"/>
            <w:vAlign w:val="center"/>
            <w:textDirection w:val="lrTb"/>
            <w:noWrap w:val="false"/>
          </w:tcPr>
          <w:p>
            <w:pPr>
              <w:pStyle w:val="951"/>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服务保障</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917" w:type="dxa"/>
            <w:vAlign w:val="center"/>
            <w:textDirection w:val="lrTb"/>
            <w:noWrap w:val="false"/>
          </w:tcPr>
          <w:p>
            <w:pPr>
              <w:pStyle w:val="951"/>
              <w:ind w:right="170" w:firstLine="400"/>
              <w:widowControl/>
              <w:rPr>
                <w:rFonts w:ascii="仿宋" w:hAnsi="仿宋" w:eastAsia="仿宋" w:cs="宋体"/>
                <w:sz w:val="20"/>
                <w:szCs w:val="20"/>
              </w:rPr>
            </w:pPr>
            <w:r>
              <w:rPr>
                <w:rFonts w:hint="eastAsia" w:ascii="仿宋" w:hAnsi="仿宋" w:eastAsia="仿宋" w:cs="宋体"/>
                <w:sz w:val="20"/>
                <w:szCs w:val="20"/>
              </w:rPr>
              <w:t xml:space="preserve">1.紧急报修响应不超过半小时，小故障1小时内完成报修。</w:t>
            </w:r>
            <w:r>
              <w:rPr>
                <w:rFonts w:ascii="仿宋" w:hAnsi="仿宋" w:eastAsia="仿宋" w:cs="宋体"/>
                <w:sz w:val="20"/>
                <w:szCs w:val="20"/>
              </w:rPr>
            </w:r>
            <w:r/>
          </w:p>
          <w:p>
            <w:pPr>
              <w:pStyle w:val="951"/>
              <w:ind w:right="170" w:firstLine="400"/>
              <w:widowControl/>
              <w:rPr>
                <w:rFonts w:ascii="仿宋" w:hAnsi="仿宋" w:eastAsia="仿宋" w:cs="宋体"/>
                <w:sz w:val="20"/>
                <w:szCs w:val="20"/>
              </w:rPr>
            </w:pPr>
            <w:r>
              <w:rPr>
                <w:rFonts w:hint="eastAsia" w:ascii="仿宋" w:hAnsi="仿宋" w:eastAsia="仿宋" w:cs="宋体"/>
                <w:sz w:val="20"/>
                <w:szCs w:val="20"/>
              </w:rPr>
              <w:t xml:space="preserve">2.各公寓站24小时接待报修并做好记录。所有维修必须有清晰记录，记录信息包括但不限于报修日期、报修人、维修位置、故障描述、经办人、维修人、维修耗材、维修结果、完工日期和验收人等。</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ascii="仿宋" w:hAnsi="仿宋" w:eastAsia="仿宋" w:cs="宋体"/>
                <w:sz w:val="20"/>
                <w:szCs w:val="20"/>
              </w:rPr>
              <w:t xml:space="preserve">3</w:t>
            </w:r>
            <w:r>
              <w:rPr>
                <w:rFonts w:hint="eastAsia" w:ascii="仿宋" w:hAnsi="仿宋" w:eastAsia="仿宋" w:cs="宋体"/>
                <w:sz w:val="20"/>
                <w:szCs w:val="20"/>
              </w:rPr>
              <w:t xml:space="preserve">.合同期内学生宿舍有调宿、并宿和搬迁等产生的空房间或毕业生宿舍腾空后，须在甲方规定时间内完成这些宿舍的设施检查报修工作（水、电、门、门把手、玻璃、纱窗、窗帘及配件、家具、瓷砖、晾衣杆、蹲坑、水池、电器、墙面渗漏等）。</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ascii="仿宋" w:hAnsi="仿宋" w:eastAsia="仿宋" w:cs="宋体"/>
                <w:sz w:val="20"/>
                <w:szCs w:val="20"/>
              </w:rPr>
              <w:t xml:space="preserve">4</w:t>
            </w:r>
            <w:r>
              <w:rPr>
                <w:rFonts w:hint="eastAsia" w:ascii="仿宋" w:hAnsi="仿宋" w:eastAsia="仿宋" w:cs="宋体"/>
                <w:sz w:val="20"/>
                <w:szCs w:val="20"/>
              </w:rPr>
              <w:t xml:space="preserve">.按甲方要求负责做好学生宿舍雨雪冰冻等灾害性天气防范工作，并做好宿舍防汛、防寒、除雪等物资的购置与准备工作。</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ascii="仿宋" w:hAnsi="仿宋" w:eastAsia="仿宋" w:cs="宋体"/>
                <w:sz w:val="20"/>
                <w:szCs w:val="20"/>
              </w:rPr>
              <w:t xml:space="preserve">5</w:t>
            </w:r>
            <w:r>
              <w:rPr>
                <w:rFonts w:hint="eastAsia" w:ascii="仿宋" w:hAnsi="仿宋" w:eastAsia="仿宋" w:cs="宋体"/>
                <w:sz w:val="20"/>
                <w:szCs w:val="20"/>
              </w:rPr>
              <w:t xml:space="preserve">.维修人员进入异性学生宿舍进行维修、施工、检查等工作时，必须在值班室进行登记并由值班人员全程陪同、监督，按照规范敲门提醒学生。</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ascii="仿宋" w:hAnsi="仿宋" w:eastAsia="仿宋" w:cs="宋体"/>
                <w:sz w:val="20"/>
                <w:szCs w:val="20"/>
              </w:rPr>
              <w:t xml:space="preserve">6</w:t>
            </w:r>
            <w:r>
              <w:rPr>
                <w:rFonts w:hint="eastAsia" w:ascii="仿宋" w:hAnsi="仿宋" w:eastAsia="仿宋" w:cs="宋体"/>
                <w:sz w:val="20"/>
                <w:szCs w:val="20"/>
              </w:rPr>
              <w:t xml:space="preserve">.配合甲方做好宿舍楼的各种检查；配合做好宿舍楼内其它相关项目维修、改造、验收工作。</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ascii="仿宋" w:hAnsi="仿宋" w:eastAsia="仿宋" w:cs="宋体"/>
                <w:sz w:val="20"/>
                <w:szCs w:val="20"/>
              </w:rPr>
              <w:t xml:space="preserve">7</w:t>
            </w:r>
            <w:r>
              <w:rPr>
                <w:rFonts w:hint="eastAsia" w:ascii="仿宋" w:hAnsi="仿宋" w:eastAsia="仿宋" w:cs="宋体"/>
                <w:sz w:val="20"/>
                <w:szCs w:val="20"/>
              </w:rPr>
              <w:t xml:space="preserve">.配合甲方做好节能减排工作，值班室区域水电的使用额度按照学校相关部门的规定执行,超出使用额度之外产生的费用，由受托物业公司自行负责。</w:t>
            </w:r>
            <w:r>
              <w:rPr>
                <w:rFonts w:ascii="仿宋" w:hAnsi="仿宋" w:eastAsia="仿宋" w:cs="宋体"/>
                <w:sz w:val="20"/>
                <w:szCs w:val="20"/>
              </w:rPr>
            </w:r>
            <w:r/>
          </w:p>
        </w:tc>
      </w:tr>
      <w:tr>
        <w:trPr>
          <w:trHeight w:val="90"/>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951"/>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教育管理</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917" w:type="dxa"/>
            <w:vAlign w:val="center"/>
            <w:textDirection w:val="lrTb"/>
            <w:noWrap w:val="false"/>
          </w:tcPr>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1.按照甲方要求对学生宿舍进行安全卫生检查，登记保管违禁电器，学生假期离校返乡时归还违禁电器。</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2.建立、健全各种学生管理档案，随时供相关管理部门调阅。公寓管理人员应熟悉其管理楼栋学生学习、生活、宿舍室友关系以及思想动态等情况。</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3.要对内务、卫生未达到优良的学生寝室主动进行个别辅导和先行教育，做到学生寝室物品、卧具摆放整齐，寝室卫生达标。</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4.及时劝诫和向甲方上报宿舍内养狗、猫等宠物以及吸烟、酗酒等行为。</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5.主动关注学生学习生活和思想动态，对心理异常学生主动进行安抚与疏导并将相关情况及时向甲方反馈。</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6.对违反宿舍管理规定的行为，及时做好说服教育工作，做到管理育人、服务育人，及时向甲方反馈学生宿舍的有关情况。</w:t>
            </w:r>
            <w:r>
              <w:rPr>
                <w:rFonts w:ascii="仿宋" w:hAnsi="仿宋" w:eastAsia="仿宋" w:cs="宋体"/>
                <w:sz w:val="20"/>
                <w:szCs w:val="20"/>
              </w:rPr>
            </w:r>
            <w:r/>
          </w:p>
        </w:tc>
      </w:tr>
      <w:tr>
        <w:trPr>
          <w:trHeight w:val="2129"/>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951"/>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突发事件处理</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917" w:type="dxa"/>
            <w:vAlign w:val="center"/>
            <w:textDirection w:val="lrTb"/>
            <w:noWrap w:val="false"/>
          </w:tcPr>
          <w:p>
            <w:pPr>
              <w:pStyle w:val="951"/>
              <w:ind w:right="170" w:firstLine="400"/>
              <w:widowControl/>
              <w:rPr>
                <w:rFonts w:ascii="仿宋" w:hAnsi="仿宋" w:eastAsia="仿宋" w:cs="宋体"/>
                <w:sz w:val="20"/>
                <w:szCs w:val="20"/>
              </w:rPr>
            </w:pPr>
            <w:r>
              <w:rPr>
                <w:rFonts w:hint="eastAsia" w:ascii="仿宋" w:hAnsi="仿宋" w:eastAsia="仿宋" w:cs="宋体"/>
                <w:sz w:val="20"/>
                <w:szCs w:val="20"/>
              </w:rPr>
              <w:t xml:space="preserve">1.根据学校学生宿舍管理服务内容和要求，结合物业服务管理职责范围，能考虑到各种突发事件，制定托管区域内的学生宿舍突发事件应急处理预案。</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2.定期举行突发事件应急处理流程培训和演练。物业工作人员熟悉各类突发事件应急处理预案和处理程序。</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3.物业工作人员突发事件发生时能第一时间赶到现场，并井然有序地处理突发事件，在最大限度内控制事态的发展，同时按照突发事件信息上报流程报送学校相关部门。</w:t>
            </w:r>
            <w:r>
              <w:rPr>
                <w:rFonts w:ascii="仿宋" w:hAnsi="仿宋" w:eastAsia="仿宋" w:cs="宋体"/>
                <w:sz w:val="20"/>
                <w:szCs w:val="20"/>
              </w:rPr>
            </w:r>
            <w:r/>
          </w:p>
        </w:tc>
      </w:tr>
      <w:tr>
        <w:trPr>
          <w:trHeight w:val="2083"/>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951"/>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宿舍文化建设</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917" w:type="dxa"/>
            <w:vAlign w:val="center"/>
            <w:textDirection w:val="lrTb"/>
            <w:noWrap w:val="false"/>
          </w:tcPr>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1.积极协助甲方加强对学生日常行为规范教育和管理，通过服务打造提升学生素质的第二课堂，营造温馨的生活环境。</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2.物业工作人员要熟悉本楼栋住宿学生，加强与各二级学院老师、各寝室长的交流，针对迎新、毕业生离校及重要节日策划系列活动，营造文化氛围。</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3.将思政教育融入日常服务中。建设思政阵地，利用宿舍大厅、橱窗、公告栏设置思政文化墙。物业工作人员在服务中融入文明礼貌、劳动教育、节约教育、爱护公物等内容。积极配合学生党团组织进宿舍开展活动。</w:t>
            </w:r>
            <w:r>
              <w:rPr>
                <w:rFonts w:ascii="仿宋" w:hAnsi="仿宋" w:eastAsia="仿宋" w:cs="宋体"/>
                <w:sz w:val="20"/>
                <w:szCs w:val="20"/>
              </w:rPr>
            </w:r>
            <w:r/>
          </w:p>
        </w:tc>
      </w:tr>
      <w:tr>
        <w:trPr>
          <w:trHeight w:val="1261"/>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951"/>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房源管理</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917" w:type="dxa"/>
            <w:vAlign w:val="center"/>
            <w:textDirection w:val="lrTb"/>
            <w:noWrap w:val="false"/>
          </w:tcPr>
          <w:p>
            <w:pPr>
              <w:pStyle w:val="951"/>
              <w:ind w:right="170" w:firstLine="400"/>
              <w:widowControl/>
              <w:rPr>
                <w:rFonts w:ascii="仿宋" w:hAnsi="仿宋" w:eastAsia="仿宋" w:cs="宋体"/>
                <w:sz w:val="20"/>
                <w:szCs w:val="20"/>
              </w:rPr>
            </w:pPr>
            <w:r>
              <w:rPr>
                <w:rFonts w:hint="eastAsia" w:ascii="仿宋" w:hAnsi="仿宋" w:eastAsia="仿宋" w:cs="宋体"/>
                <w:sz w:val="20"/>
                <w:szCs w:val="20"/>
              </w:rPr>
              <w:t xml:space="preserve">1.向学生公示、普及宣传调退宿相关流程。配合管理部门做好学生调宿、退宿的审核办理工作。</w:t>
            </w:r>
            <w:r>
              <w:rPr>
                <w:rFonts w:ascii="仿宋" w:hAnsi="仿宋" w:eastAsia="仿宋" w:cs="宋体"/>
                <w:sz w:val="20"/>
                <w:szCs w:val="20"/>
              </w:rPr>
            </w:r>
            <w:r/>
          </w:p>
          <w:p>
            <w:pPr>
              <w:pStyle w:val="951"/>
              <w:ind w:right="170" w:firstLine="400"/>
              <w:widowControl/>
              <w:rPr>
                <w:rFonts w:ascii="仿宋" w:hAnsi="仿宋" w:eastAsia="仿宋" w:cs="宋体"/>
                <w:sz w:val="20"/>
                <w:szCs w:val="20"/>
              </w:rPr>
            </w:pPr>
            <w:r>
              <w:rPr>
                <w:rFonts w:hint="eastAsia" w:ascii="仿宋" w:hAnsi="仿宋" w:eastAsia="仿宋" w:cs="宋体"/>
                <w:sz w:val="20"/>
                <w:szCs w:val="20"/>
              </w:rPr>
              <w:t xml:space="preserve">2.走访学生房间时核查住宿数据，如发现学生私自调宿，对学生进行劝解，要求学生三天内搬回原床位或者补办调宿手续，将拒不配合者及时上报。每月向甲方提交床位核查情况汇总。</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3.掌握每栋宿舍楼空房间数和空床位数、问题房间和损耗床位数，并做好相关数据统计台账供甲方参考使用。检查毕业生房间设施。</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4.按照甲方工作要求，对毕业生房间及新生房间进行核查。</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5.配合甲方相关部门做好房源整合和搬迁工作。</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6.物业工作人员不得私自占用学生宿舍空房间。不得随意向学生及其他第三方人员透露委托方空房源情况和住宿数据信息。</w:t>
            </w:r>
            <w:r>
              <w:rPr>
                <w:rFonts w:ascii="仿宋" w:hAnsi="仿宋" w:eastAsia="仿宋" w:cs="宋体"/>
                <w:sz w:val="20"/>
                <w:szCs w:val="20"/>
              </w:rPr>
            </w:r>
            <w:r/>
          </w:p>
        </w:tc>
      </w:tr>
      <w:tr>
        <w:trPr>
          <w:trHeight w:val="1301"/>
        </w:trPr>
        <w:tc>
          <w:tcPr>
            <w:tcBorders>
              <w:top w:val="single" w:color="000000" w:sz="6" w:space="0"/>
              <w:left w:val="single" w:color="000000" w:sz="6" w:space="0"/>
              <w:bottom w:val="single" w:color="000000" w:sz="6" w:space="0"/>
              <w:right w:val="single" w:color="000000" w:sz="6" w:space="0"/>
            </w:tcBorders>
            <w:tcW w:w="1365" w:type="dxa"/>
            <w:vAlign w:val="center"/>
            <w:textDirection w:val="lrTb"/>
            <w:noWrap w:val="false"/>
          </w:tcPr>
          <w:p>
            <w:pPr>
              <w:pStyle w:val="951"/>
              <w:ind w:right="109" w:firstLine="34"/>
              <w:jc w:val="center"/>
              <w:spacing w:line="360" w:lineRule="auto"/>
              <w:widowControl/>
              <w:rPr>
                <w:rFonts w:ascii="仿宋" w:hAnsi="仿宋" w:eastAsia="仿宋" w:cs="宋体"/>
                <w:sz w:val="20"/>
                <w:szCs w:val="20"/>
              </w:rPr>
            </w:pPr>
            <w:r>
              <w:rPr>
                <w:rFonts w:hint="eastAsia" w:ascii="仿宋" w:hAnsi="仿宋" w:eastAsia="仿宋" w:cs="宋体"/>
                <w:sz w:val="20"/>
                <w:szCs w:val="20"/>
              </w:rPr>
              <w:t xml:space="preserve">特色活动</w:t>
            </w:r>
            <w:r>
              <w:rPr>
                <w:rFonts w:ascii="仿宋" w:hAnsi="仿宋" w:eastAsia="仿宋" w:cs="宋体"/>
                <w:sz w:val="20"/>
                <w:szCs w:val="20"/>
              </w:rPr>
            </w:r>
            <w:r/>
          </w:p>
        </w:tc>
        <w:tc>
          <w:tcPr>
            <w:tcBorders>
              <w:top w:val="single" w:color="000000" w:sz="6" w:space="0"/>
              <w:left w:val="single" w:color="000000" w:sz="2" w:space="0"/>
              <w:bottom w:val="single" w:color="000000" w:sz="6" w:space="0"/>
              <w:right w:val="single" w:color="000000" w:sz="6" w:space="0"/>
            </w:tcBorders>
            <w:tcW w:w="7917" w:type="dxa"/>
            <w:vAlign w:val="center"/>
            <w:textDirection w:val="lrTb"/>
            <w:noWrap w:val="false"/>
          </w:tcPr>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1.坚持以学生为中心，落实委托方“以生为本”理念，深入调研学生需求，用心、用情、用力做好每一项工作，努力为学生提供暖心、温馨的宿舍学习生活环境。</w:t>
            </w:r>
            <w:r>
              <w:rPr>
                <w:rFonts w:ascii="仿宋" w:hAnsi="仿宋" w:eastAsia="仿宋" w:cs="宋体"/>
                <w:sz w:val="20"/>
                <w:szCs w:val="20"/>
              </w:rPr>
            </w:r>
            <w:r/>
          </w:p>
          <w:p>
            <w:pPr>
              <w:pStyle w:val="951"/>
              <w:ind w:right="170" w:firstLine="420"/>
              <w:widowControl/>
              <w:rPr>
                <w:rFonts w:ascii="仿宋" w:hAnsi="仿宋" w:eastAsia="仿宋" w:cs="宋体"/>
                <w:sz w:val="20"/>
                <w:szCs w:val="20"/>
              </w:rPr>
            </w:pPr>
            <w:r>
              <w:rPr>
                <w:rFonts w:hint="eastAsia" w:ascii="仿宋" w:hAnsi="仿宋" w:eastAsia="仿宋" w:cs="宋体"/>
                <w:sz w:val="20"/>
                <w:szCs w:val="20"/>
              </w:rPr>
              <w:t xml:space="preserve">2.通过开设爱心驿站、举办学生社区文化节等形式，为学生提供各项爱心暖心特色服务，主动关心学生日常，关注学生健康成长，为学生排忧解难。</w:t>
            </w:r>
            <w:r>
              <w:rPr>
                <w:rFonts w:ascii="仿宋" w:hAnsi="仿宋" w:eastAsia="仿宋" w:cs="宋体"/>
                <w:sz w:val="20"/>
                <w:szCs w:val="20"/>
              </w:rPr>
            </w:r>
            <w:r/>
          </w:p>
        </w:tc>
      </w:tr>
    </w:tbl>
    <w:p>
      <w:pPr>
        <w:pStyle w:val="951"/>
        <w:ind w:right="-57" w:firstLine="34"/>
        <w:jc w:val="left"/>
        <w:spacing w:line="360" w:lineRule="auto"/>
        <w:widowControl/>
        <w:rPr>
          <w:rFonts w:ascii="仿宋" w:hAnsi="仿宋" w:eastAsia="仿宋" w:cs="宋体"/>
          <w:b/>
          <w:bCs/>
          <w:sz w:val="20"/>
          <w:szCs w:val="20"/>
        </w:rPr>
      </w:pPr>
      <w:r>
        <w:rPr>
          <w:rFonts w:hint="eastAsia" w:ascii="仿宋" w:hAnsi="仿宋" w:eastAsia="仿宋" w:cs="宋体"/>
          <w:b/>
          <w:bCs/>
          <w:sz w:val="20"/>
          <w:szCs w:val="20"/>
        </w:rPr>
        <w:t xml:space="preserve">注：以上服务内容所产生的全部费用均含在受托方投标报价内，委托方不再另行支付。</w:t>
      </w:r>
      <w:r>
        <w:rPr>
          <w:rFonts w:ascii="仿宋" w:hAnsi="仿宋" w:eastAsia="仿宋" w:cs="宋体"/>
          <w:b/>
          <w:bCs/>
          <w:sz w:val="20"/>
          <w:szCs w:val="20"/>
        </w:rPr>
      </w:r>
      <w:r/>
    </w:p>
    <w:p>
      <w:pPr>
        <w:pStyle w:val="951"/>
        <w:ind w:firstLine="482"/>
        <w:spacing w:before="156" w:line="360" w:lineRule="auto"/>
        <w:rPr>
          <w:rFonts w:ascii="黑体" w:hAnsi="黑体" w:eastAsia="黑体" w:cs="方正仿宋_GBK"/>
          <w:b/>
          <w:bCs/>
          <w:sz w:val="24"/>
          <w:szCs w:val="24"/>
        </w:rPr>
      </w:pPr>
      <w:r>
        <w:rPr>
          <w:rFonts w:hint="eastAsia" w:ascii="黑体" w:hAnsi="黑体" w:eastAsia="黑体" w:cs="方正仿宋_GBK"/>
          <w:b/>
          <w:bCs/>
          <w:sz w:val="24"/>
          <w:szCs w:val="24"/>
          <w:lang w:val="en-US" w:eastAsia="zh-CN"/>
        </w:rPr>
        <w:t xml:space="preserve">六</w:t>
      </w:r>
      <w:r>
        <w:rPr>
          <w:rFonts w:hint="eastAsia" w:ascii="黑体" w:hAnsi="黑体" w:eastAsia="黑体" w:cs="方正仿宋_GBK"/>
          <w:b/>
          <w:bCs/>
          <w:sz w:val="24"/>
          <w:szCs w:val="24"/>
        </w:rPr>
        <w:t xml:space="preserve">、其他要求</w:t>
      </w:r>
      <w:r>
        <w:rPr>
          <w:rFonts w:ascii="黑体" w:hAnsi="黑体" w:eastAsia="黑体" w:cs="方正仿宋_GBK"/>
          <w:b/>
          <w:bCs/>
          <w:sz w:val="24"/>
          <w:szCs w:val="24"/>
        </w:rPr>
      </w:r>
      <w:r/>
    </w:p>
    <w:p>
      <w:pPr>
        <w:pStyle w:val="951"/>
        <w:ind w:firstLine="480"/>
        <w:spacing w:line="360" w:lineRule="auto"/>
        <w:rPr>
          <w:rFonts w:ascii="宋体" w:hAnsi="宋体" w:cs="方正仿宋_GBK"/>
          <w:sz w:val="24"/>
          <w:szCs w:val="24"/>
        </w:rPr>
      </w:pPr>
      <w:r>
        <w:rPr>
          <w:rFonts w:hint="eastAsia" w:ascii="宋体" w:hAnsi="宋体"/>
          <w:iCs/>
          <w:sz w:val="24"/>
          <w:szCs w:val="24"/>
        </w:rPr>
        <w:t xml:space="preserve">1.</w:t>
      </w:r>
      <w:r>
        <w:rPr>
          <w:rFonts w:hint="eastAsia" w:ascii="宋体" w:hAnsi="宋体" w:cs="方正仿宋_GBK"/>
          <w:sz w:val="24"/>
          <w:szCs w:val="24"/>
        </w:rPr>
        <w:t xml:space="preserve">中标人应充分考虑项目的实际情况，提前组织人员分批进入项目现场，做好员工培训和相应准备工作，以保证服务的及时性、有效性和安全性。</w:t>
      </w:r>
      <w:r>
        <w:rPr>
          <w:rFonts w:ascii="宋体" w:hAnsi="宋体" w:cs="方正仿宋_GBK"/>
          <w:sz w:val="24"/>
          <w:szCs w:val="24"/>
        </w:rPr>
      </w:r>
      <w:r/>
    </w:p>
    <w:p>
      <w:pPr>
        <w:pStyle w:val="951"/>
        <w:ind w:firstLine="480"/>
        <w:spacing w:line="360" w:lineRule="auto"/>
        <w:rPr>
          <w:rFonts w:ascii="宋体" w:hAnsi="宋体" w:cs="方正仿宋_GBK"/>
          <w:sz w:val="24"/>
          <w:szCs w:val="24"/>
        </w:rPr>
      </w:pPr>
      <w:r>
        <w:rPr>
          <w:rFonts w:hint="eastAsia" w:ascii="宋体" w:hAnsi="宋体" w:cs="方正仿宋_GBK"/>
          <w:sz w:val="24"/>
          <w:szCs w:val="24"/>
        </w:rPr>
        <w:t xml:space="preserve">2.中标人需加强员工安全教育与培训，配备必要的安全防护设施，加强管理和服务范围内的安全监督检查，并承担合同履行过程中因中标人责任造成的一切责任与损失。</w:t>
      </w:r>
      <w:r>
        <w:rPr>
          <w:rFonts w:ascii="宋体" w:hAnsi="宋体" w:cs="方正仿宋_GBK"/>
          <w:sz w:val="24"/>
          <w:szCs w:val="24"/>
        </w:rPr>
      </w:r>
      <w:r/>
    </w:p>
    <w:p>
      <w:pPr>
        <w:pStyle w:val="951"/>
        <w:ind w:firstLine="480"/>
        <w:spacing w:line="360" w:lineRule="auto"/>
        <w:rPr>
          <w:rFonts w:ascii="宋体" w:hAnsi="宋体" w:cs="方正仿宋_GBK"/>
          <w:sz w:val="24"/>
          <w:szCs w:val="24"/>
        </w:rPr>
      </w:pPr>
      <w:r>
        <w:rPr>
          <w:rFonts w:hint="eastAsia" w:ascii="宋体" w:hAnsi="宋体" w:cs="方正仿宋_GBK"/>
          <w:sz w:val="24"/>
          <w:szCs w:val="24"/>
        </w:rPr>
        <w:t xml:space="preserve">3.委托服务合同执行过程中，涉及区域最低工资待遇标准调整或物价波动等，合同约定的委托服务单价不变，中标人应充分评估委托期人工和物价的变化带来的服务成本变化及承担变化后果。</w:t>
      </w:r>
      <w:r>
        <w:rPr>
          <w:rFonts w:ascii="宋体" w:hAnsi="宋体" w:cs="方正仿宋_GBK"/>
          <w:sz w:val="24"/>
          <w:szCs w:val="24"/>
        </w:rPr>
      </w:r>
      <w:r/>
    </w:p>
    <w:p>
      <w:pPr>
        <w:pStyle w:val="951"/>
        <w:ind w:firstLine="480"/>
        <w:spacing w:line="360" w:lineRule="auto"/>
        <w:rPr>
          <w:rFonts w:hint="eastAsia" w:ascii="宋体" w:hAnsi="宋体" w:eastAsia="宋体" w:cs="宋体"/>
          <w:b w:val="0"/>
          <w:bCs w:val="0"/>
          <w:sz w:val="24"/>
          <w:szCs w:val="24"/>
        </w:rPr>
      </w:pPr>
      <w:r>
        <w:rPr>
          <w:rFonts w:hint="eastAsia" w:ascii="宋体" w:hAnsi="宋体" w:cs="方正仿宋_GBK"/>
          <w:sz w:val="24"/>
          <w:szCs w:val="24"/>
        </w:rPr>
        <w:t xml:space="preserve">4.本项目不允许分包经营，中标人独立参与投标且在中标后必须由中标人自己经</w:t>
      </w:r>
      <w:r>
        <w:rPr>
          <w:rFonts w:hint="eastAsia" w:ascii="宋体" w:hAnsi="宋体" w:eastAsia="宋体" w:cs="宋体"/>
          <w:b w:val="0"/>
          <w:bCs w:val="0"/>
          <w:sz w:val="24"/>
          <w:szCs w:val="24"/>
        </w:rPr>
        <w:t xml:space="preserve">营。</w:t>
      </w:r>
      <w:r>
        <w:rPr>
          <w:rFonts w:hint="eastAsia" w:ascii="宋体" w:hAnsi="宋体" w:eastAsia="宋体" w:cs="宋体"/>
          <w:b w:val="0"/>
          <w:bCs w:val="0"/>
          <w:sz w:val="24"/>
          <w:szCs w:val="24"/>
        </w:rPr>
      </w:r>
      <w:r/>
    </w:p>
    <w:p>
      <w:pPr>
        <w:pStyle w:val="951"/>
        <w:ind w:firstLine="482"/>
        <w:spacing w:before="156"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五、服务方案要求</w:t>
      </w:r>
      <w:r>
        <w:rPr>
          <w:rFonts w:hint="eastAsia" w:ascii="宋体" w:hAnsi="宋体" w:eastAsia="宋体" w:cs="宋体"/>
          <w:b w:val="0"/>
          <w:bCs w:val="0"/>
          <w:sz w:val="24"/>
          <w:szCs w:val="24"/>
        </w:rPr>
      </w:r>
      <w:r/>
    </w:p>
    <w:p>
      <w:pPr>
        <w:pStyle w:val="951"/>
        <w:ind w:firstLine="482"/>
        <w:spacing w:before="156"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1.项目总体实施方案。投标人应根据项目需求开展项目整体研判分析，制订相应项目总体实施方案，包含：1）对本物业项目概况认知；2）项目服务定位；3）管理理念；4）总体服务目标；5）全链条整体服务流程。要求方案详细、科学合理、可行性高且措施有力，方案的贯彻应能满足本项目各项服务要求。</w:t>
      </w:r>
      <w:r>
        <w:rPr>
          <w:rFonts w:hint="eastAsia" w:ascii="宋体" w:hAnsi="宋体" w:eastAsia="宋体" w:cs="宋体"/>
          <w:b w:val="0"/>
          <w:bCs w:val="0"/>
          <w:color w:val="000000"/>
          <w:sz w:val="24"/>
        </w:rPr>
      </w:r>
      <w:r/>
    </w:p>
    <w:p>
      <w:pPr>
        <w:pStyle w:val="951"/>
        <w:ind w:firstLine="482"/>
        <w:spacing w:before="156"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2.安全管理方案。投标人应对本项目安全管理理念、安全工作总体目标进行定位，针对安全工作重点、难点开展研判分析，制订相应安全管理方案，包含：1）各类危险源全面识别；2）消防险情、高危突发病症、电信诈骗、学生打架斗殴等风险事件防范处置；3）安全管理制度体系建设；4）安全教育培训及演练工作安排。要求方案细致完整、针对性强、措施有力，方案的贯彻应能满足本项目安全管理服务要求。</w:t>
      </w:r>
      <w:r>
        <w:rPr>
          <w:rFonts w:hint="eastAsia" w:ascii="宋体" w:hAnsi="宋体" w:eastAsia="宋体" w:cs="宋体"/>
          <w:b w:val="0"/>
          <w:bCs w:val="0"/>
          <w:color w:val="000000"/>
          <w:sz w:val="24"/>
        </w:rPr>
      </w:r>
      <w:r/>
    </w:p>
    <w:p>
      <w:pPr>
        <w:pStyle w:val="951"/>
        <w:ind w:firstLine="482"/>
        <w:spacing w:before="156"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3.教育管理方案。投标人应制订相应教育管理方案，包含：1）协助学校加强学生日常行为规范教育与秩序管理；2）配合学校相关部门开展安全卫生检查工作；3）针对相关问题开展学生个人辅导教育；4）发现异常情况及时向学院辅导员反馈报送。要求方案详细、科学合理、可行性高且措施有力，方案的贯彻应能满足本项目学生教育管理服务要求。</w:t>
      </w:r>
      <w:r>
        <w:rPr>
          <w:rFonts w:hint="eastAsia" w:ascii="宋体" w:hAnsi="宋体" w:eastAsia="宋体" w:cs="宋体"/>
          <w:b w:val="0"/>
          <w:bCs w:val="0"/>
          <w:color w:val="000000"/>
          <w:sz w:val="24"/>
        </w:rPr>
      </w:r>
      <w:r/>
    </w:p>
    <w:p>
      <w:pPr>
        <w:pStyle w:val="951"/>
        <w:ind w:firstLine="482"/>
        <w:spacing w:before="156"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4.突发事件应急处置方案。投标人应根据本项目实际情况、学生宿舍管理规范及物业服务管理范围，制订相应突发事件应急处置方案，包含：1）覆盖各类突发事件专项预案；2）完整突发事件处置程序；3）信息报告与分级处置流程；4）后期善后处置；5）责任追究机制。要求方案详细、科学合理、可行性高且措施有力，方案的贯彻应能满足本项目宿舍应急管理服务要求。</w:t>
      </w:r>
      <w:r>
        <w:rPr>
          <w:rFonts w:hint="eastAsia" w:ascii="宋体" w:hAnsi="宋体" w:eastAsia="宋体" w:cs="宋体"/>
          <w:b w:val="0"/>
          <w:bCs w:val="0"/>
          <w:color w:val="000000"/>
          <w:sz w:val="24"/>
        </w:rPr>
      </w:r>
      <w:r/>
    </w:p>
    <w:p>
      <w:pPr>
        <w:pStyle w:val="951"/>
        <w:ind w:firstLine="482"/>
        <w:spacing w:before="156"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5.学生宿舍文化建设服务支持方案。投标人应根据招标文件宿舍文化建设相关要求，制订相应学生宿舍文化建设服务支持方案，包含：1）主动融入学校 “一站式” 学生社区建设；2）助力落实三全育人工作；3）营造安全、舒适、温馨的宿舍育人环境；4）多措并举促进学生全面发展和成人成才。要求方案细致完整、针对性强、措施有力，方案的贯彻应能满足本项目宿舍文化建设服务要求。</w:t>
      </w:r>
      <w:r>
        <w:rPr>
          <w:rFonts w:hint="eastAsia" w:ascii="宋体" w:hAnsi="宋体" w:eastAsia="宋体" w:cs="宋体"/>
          <w:b w:val="0"/>
          <w:bCs w:val="0"/>
          <w:color w:val="000000"/>
          <w:sz w:val="24"/>
        </w:rPr>
      </w:r>
      <w:r/>
    </w:p>
    <w:p>
      <w:pPr>
        <w:pStyle w:val="951"/>
        <w:ind w:firstLine="482"/>
        <w:spacing w:before="156"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6.环境卫生保洁工作方案。投标人应制订相应环境卫生保洁工作方案，包含：1）日常环境卫生巡查与常态化维护；2）毕业生房源清扫作业；3）搬迁整合房源清扫作业；4）垃圾分类落地实施细则。要求方案细致完整、针对性强、措施有力，方案的贯彻应能满足本项目环境卫生保洁具体服务要求。</w:t>
      </w:r>
      <w:r>
        <w:rPr>
          <w:rFonts w:hint="eastAsia" w:ascii="宋体" w:hAnsi="宋体" w:eastAsia="宋体" w:cs="宋体"/>
          <w:b w:val="0"/>
          <w:bCs w:val="0"/>
          <w:color w:val="000000"/>
          <w:sz w:val="24"/>
        </w:rPr>
      </w:r>
      <w:r/>
    </w:p>
    <w:p>
      <w:pPr>
        <w:pStyle w:val="951"/>
        <w:ind w:firstLine="482"/>
        <w:spacing w:before="156"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7.特色服务与管理方案。投标人应围绕服务育人、安全保障、宿舍文化建设等内容，制订相应特色服务与管理方案，包含：1）落实 “管理有温度、服务有细节” 工作准则；2）结合在校学生日常生活需求打造配套特色服务举措。要求方案详细、科学合理、可行性高且措施有力，方案的贯彻应能满足本项目高品质宿舍物业服务要求。</w:t>
      </w:r>
      <w:r>
        <w:rPr>
          <w:rFonts w:hint="eastAsia" w:ascii="宋体" w:hAnsi="宋体" w:eastAsia="宋体" w:cs="宋体"/>
          <w:b w:val="0"/>
          <w:bCs w:val="0"/>
          <w:color w:val="000000"/>
          <w:sz w:val="24"/>
        </w:rPr>
      </w:r>
      <w:r/>
    </w:p>
    <w:p>
      <w:pPr>
        <w:pStyle w:val="951"/>
        <w:ind w:firstLine="482"/>
        <w:spacing w:before="156" w:line="360" w:lineRule="auto"/>
        <w:rPr>
          <w:rFonts w:hint="eastAsia" w:ascii="宋体" w:hAnsi="宋体" w:eastAsia="宋体" w:cs="宋体"/>
          <w:b w:val="0"/>
          <w:bCs w:val="0"/>
          <w:color w:val="000000"/>
          <w:sz w:val="24"/>
        </w:rPr>
      </w:pPr>
      <w:r>
        <w:rPr>
          <w:rFonts w:hint="eastAsia" w:ascii="宋体" w:hAnsi="宋体" w:eastAsia="宋体" w:cs="宋体"/>
          <w:b w:val="0"/>
          <w:bCs w:val="0"/>
          <w:color w:val="000000"/>
          <w:sz w:val="24"/>
        </w:rPr>
        <w:t xml:space="preserve">8.公寓房源管理方案。投标人应围绕学生宿舍房源数据动态更新、宿舍床位调整流程、毕业生宿舍清空、新生宿舍床位安排等内容，制定科学、高校的房源数据管理方案，包含：1）学生公寓房源数据管理工作要做到科学化、精准化；2）结合新生开学床位安排、毕业生离校宿舍清空、宿舍空床位统计等工作，打造高效、便于查看的的房源数据管理方案，要求方案详细、科学合理高效且具有现实可行性。</w:t>
      </w:r>
      <w:r>
        <w:rPr>
          <w:rFonts w:hint="eastAsia" w:ascii="宋体" w:hAnsi="宋体" w:eastAsia="宋体" w:cs="宋体"/>
          <w:b w:val="0"/>
          <w:bCs w:val="0"/>
          <w:color w:val="000000"/>
          <w:sz w:val="24"/>
        </w:rPr>
      </w:r>
      <w:r/>
    </w:p>
    <w:p>
      <w:pPr>
        <w:pStyle w:val="951"/>
        <w:ind w:firstLine="482"/>
        <w:spacing w:before="156" w:line="360" w:lineRule="auto"/>
        <w:rPr>
          <w:rFonts w:ascii="黑体" w:hAnsi="黑体" w:eastAsia="黑体" w:cs="方正仿宋_GBK"/>
          <w:b/>
          <w:bCs/>
          <w:sz w:val="24"/>
          <w:szCs w:val="24"/>
        </w:rPr>
      </w:pPr>
      <w:r>
        <w:rPr>
          <w:rFonts w:hint="eastAsia" w:ascii="黑体" w:hAnsi="黑体" w:eastAsia="黑体" w:cs="方正仿宋_GBK"/>
          <w:b/>
          <w:bCs/>
          <w:sz w:val="24"/>
          <w:szCs w:val="24"/>
          <w:lang w:val="en-US" w:eastAsia="zh-CN"/>
        </w:rPr>
        <w:t xml:space="preserve">七</w:t>
      </w:r>
      <w:r>
        <w:rPr>
          <w:rFonts w:hint="eastAsia" w:ascii="黑体" w:hAnsi="黑体" w:eastAsia="黑体" w:cs="方正仿宋_GBK"/>
          <w:b/>
          <w:bCs/>
          <w:sz w:val="24"/>
          <w:szCs w:val="24"/>
        </w:rPr>
        <w:t xml:space="preserve">、履约能力要求</w:t>
      </w:r>
      <w:r>
        <w:rPr>
          <w:rFonts w:ascii="黑体" w:hAnsi="黑体" w:eastAsia="黑体" w:cs="方正仿宋_GBK"/>
          <w:b/>
          <w:bCs/>
          <w:sz w:val="24"/>
          <w:szCs w:val="24"/>
        </w:rPr>
      </w:r>
      <w:r/>
    </w:p>
    <w:p>
      <w:pPr>
        <w:pStyle w:val="9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w:t>
      </w:r>
      <w:r>
        <w:rPr>
          <w:rFonts w:hint="eastAsia" w:ascii="宋体" w:hAnsi="宋体" w:cs="宋体"/>
          <w:color w:val="000000"/>
          <w:sz w:val="24"/>
          <w:szCs w:val="24"/>
        </w:rPr>
        <w:t xml:space="preserve">人员配置：</w:t>
      </w:r>
      <w:r>
        <w:rPr>
          <w:rFonts w:ascii="宋体" w:hAnsi="宋体" w:cs="宋体"/>
          <w:color w:val="000000"/>
          <w:sz w:val="24"/>
          <w:szCs w:val="24"/>
        </w:rPr>
      </w:r>
      <w:r/>
    </w:p>
    <w:p>
      <w:pPr>
        <w:pStyle w:val="951"/>
        <w:ind w:firstLine="480"/>
        <w:spacing w:line="360" w:lineRule="auto"/>
        <w:rPr>
          <w:rFonts w:hint="eastAsia" w:ascii="宋体" w:hAnsi="宋体" w:eastAsia="宋体" w:cs="方正仿宋_GBK"/>
          <w:sz w:val="24"/>
          <w:szCs w:val="24"/>
        </w:rPr>
      </w:pPr>
      <w:r>
        <w:rPr>
          <w:rFonts w:hint="eastAsia" w:ascii="宋体" w:hAnsi="宋体" w:cs="宋体"/>
          <w:color w:val="000000"/>
          <w:sz w:val="24"/>
          <w:szCs w:val="24"/>
        </w:rPr>
        <w:t xml:space="preserve">（1）</w:t>
      </w:r>
      <w:r>
        <w:rPr>
          <w:rFonts w:hint="eastAsia" w:ascii="宋体" w:hAnsi="宋体" w:cs="方正仿宋_GBK"/>
          <w:sz w:val="24"/>
          <w:szCs w:val="24"/>
        </w:rPr>
        <w:t xml:space="preserve">投标人所有工作人员必须遵守国家的法律、法规及委托方的各项规章制度。具有</w:t>
      </w:r>
      <w:r>
        <w:rPr>
          <w:rFonts w:hint="eastAsia" w:ascii="宋体" w:hAnsi="宋体" w:eastAsia="宋体" w:cs="方正仿宋_GBK"/>
          <w:sz w:val="24"/>
          <w:szCs w:val="24"/>
        </w:rPr>
        <w:t xml:space="preserve">上岗资质，无犯罪记录，身心健康，无不良嗜好；具有良好修养，爱岗敬业，责任心强，工作勤快，礼貌待人。</w:t>
      </w:r>
      <w:r>
        <w:rPr>
          <w:rFonts w:hint="eastAsia" w:ascii="宋体" w:hAnsi="宋体" w:eastAsia="宋体" w:cs="方正仿宋_GBK"/>
          <w:sz w:val="24"/>
          <w:szCs w:val="24"/>
        </w:rPr>
      </w:r>
      <w:r/>
    </w:p>
    <w:p>
      <w:pPr>
        <w:pStyle w:val="951"/>
        <w:ind w:firstLine="480"/>
        <w:spacing w:line="360" w:lineRule="auto"/>
        <w:rPr>
          <w:rFonts w:hint="eastAsia" w:ascii="宋体" w:hAnsi="宋体" w:eastAsia="宋体" w:cs="方正仿宋_GBK"/>
          <w:sz w:val="24"/>
          <w:szCs w:val="24"/>
        </w:rPr>
      </w:pPr>
      <w:r>
        <w:rPr>
          <w:rFonts w:hint="eastAsia" w:ascii="宋体" w:hAnsi="宋体" w:eastAsia="宋体" w:cs="方正仿宋_GBK"/>
          <w:sz w:val="24"/>
          <w:szCs w:val="24"/>
        </w:rPr>
        <w:t xml:space="preserve">（2）项目经理具有本科及以上学历，身体健康，具有五年以上高校物业项目管理经验；政治素质好，业务能力强，能为学生公寓提供全方位管理服务工作。</w:t>
      </w:r>
      <w:r>
        <w:rPr>
          <w:rFonts w:hint="eastAsia" w:ascii="宋体" w:hAnsi="宋体" w:eastAsia="宋体" w:cs="方正仿宋_GBK"/>
          <w:sz w:val="24"/>
          <w:szCs w:val="24"/>
        </w:rPr>
      </w:r>
      <w:r/>
    </w:p>
    <w:p>
      <w:pPr>
        <w:pStyle w:val="951"/>
        <w:ind w:firstLine="480"/>
        <w:spacing w:line="360" w:lineRule="auto"/>
        <w:rPr>
          <w:rFonts w:hint="eastAsia" w:ascii="宋体" w:hAnsi="宋体" w:eastAsia="宋体" w:cs="方正仿宋_GBK"/>
          <w:sz w:val="24"/>
          <w:szCs w:val="24"/>
        </w:rPr>
      </w:pPr>
      <w:r>
        <w:rPr>
          <w:rFonts w:hint="eastAsia" w:ascii="宋体" w:hAnsi="宋体" w:eastAsia="宋体" w:cs="方正仿宋_GBK"/>
          <w:sz w:val="24"/>
          <w:szCs w:val="24"/>
        </w:rPr>
        <w:t xml:space="preserve">（3）投标单位拟派驻本项目的项目主管具有大专及以上学历，具有物业管理师中级或以上技能证书，具有２年及以上物业项目管理经验。</w:t>
      </w:r>
      <w:r>
        <w:rPr>
          <w:rFonts w:hint="eastAsia" w:ascii="宋体" w:hAnsi="宋体" w:eastAsia="宋体" w:cs="方正仿宋_GBK"/>
          <w:sz w:val="24"/>
          <w:szCs w:val="24"/>
        </w:rPr>
      </w:r>
      <w:r/>
    </w:p>
    <w:p>
      <w:pPr>
        <w:pStyle w:val="951"/>
        <w:ind w:firstLine="480"/>
        <w:spacing w:line="360" w:lineRule="auto"/>
        <w:rPr>
          <w:rFonts w:ascii="宋体" w:hAnsi="宋体" w:cs="宋体"/>
          <w:color w:val="000000"/>
          <w:sz w:val="24"/>
          <w:szCs w:val="24"/>
        </w:rPr>
      </w:pPr>
      <w:r>
        <w:rPr>
          <w:rFonts w:hint="eastAsia" w:ascii="宋体" w:hAnsi="宋体" w:eastAsia="宋体" w:cs="方正仿宋_GBK"/>
          <w:sz w:val="24"/>
          <w:szCs w:val="24"/>
        </w:rPr>
        <w:t xml:space="preserve">（4）公寓管理人员具有高中及以上文化，身体</w:t>
      </w:r>
      <w:r>
        <w:rPr>
          <w:rFonts w:hint="eastAsia" w:ascii="宋体" w:hAnsi="宋体" w:cs="宋体"/>
          <w:color w:val="000000"/>
          <w:sz w:val="24"/>
          <w:szCs w:val="24"/>
        </w:rPr>
        <w:t xml:space="preserve">健康，有一定的学生管理和服务岗位经历，形象好有亲和力，有良好的沟通能力和语言表达能力。女生宿管站值班人员须为女性。</w:t>
      </w:r>
      <w:r>
        <w:rPr>
          <w:rFonts w:ascii="宋体" w:hAnsi="宋体" w:cs="宋体"/>
          <w:color w:val="000000"/>
          <w:sz w:val="24"/>
          <w:szCs w:val="24"/>
        </w:rPr>
      </w:r>
      <w:r/>
    </w:p>
    <w:p>
      <w:pPr>
        <w:pStyle w:val="95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（5）保洁员需身体健康，能胜任物业环境保洁工作。女生宿舍保洁人员须为女性。</w:t>
      </w:r>
      <w:r>
        <w:rPr>
          <w:rFonts w:ascii="宋体" w:hAnsi="宋体" w:cs="宋体"/>
          <w:color w:val="000000"/>
          <w:sz w:val="24"/>
          <w:szCs w:val="24"/>
        </w:rPr>
      </w:r>
      <w:r/>
    </w:p>
    <w:p>
      <w:pPr>
        <w:pStyle w:val="951"/>
        <w:ind w:firstLine="480"/>
        <w:spacing w:line="360" w:lineRule="auto"/>
        <w:rPr>
          <w:rFonts w:ascii="宋体" w:hAnsi="宋体" w:cs="宋体"/>
          <w:sz w:val="24"/>
          <w:szCs w:val="24"/>
        </w:rPr>
      </w:pPr>
      <w:r>
        <w:rPr>
          <w:rFonts w:hint="eastAsia" w:ascii="宋体" w:hAnsi="宋体" w:cs="宋体"/>
          <w:sz w:val="24"/>
          <w:szCs w:val="24"/>
        </w:rPr>
        <w:t xml:space="preserve">2.业绩等其它要求：</w:t>
      </w:r>
      <w:r>
        <w:rPr>
          <w:rFonts w:ascii="宋体" w:hAnsi="宋体" w:cs="宋体"/>
          <w:sz w:val="24"/>
          <w:szCs w:val="24"/>
        </w:rPr>
      </w:r>
      <w:r/>
    </w:p>
    <w:p>
      <w:pPr>
        <w:pStyle w:val="951"/>
        <w:ind w:firstLine="480"/>
        <w:spacing w:line="360" w:lineRule="auto"/>
        <w:rPr>
          <w:rFonts w:ascii="宋体" w:hAnsi="宋体" w:cs="宋体"/>
          <w:sz w:val="24"/>
          <w:szCs w:val="24"/>
        </w:rPr>
      </w:pPr>
      <w:r>
        <w:rPr>
          <w:rFonts w:hint="eastAsia" w:ascii="宋体" w:hAnsi="宋体" w:cs="宋体"/>
          <w:sz w:val="24"/>
          <w:szCs w:val="24"/>
        </w:rPr>
        <w:t xml:space="preserve">投标单位应具备丰富的物业项目管理经验，具有2021年1月1日以来（以合同签订时间为准）物业项目管理案例。</w:t>
      </w:r>
      <w:r>
        <w:rPr>
          <w:rFonts w:ascii="宋体" w:hAnsi="宋体" w:cs="宋体"/>
          <w:sz w:val="24"/>
          <w:szCs w:val="24"/>
        </w:rPr>
      </w:r>
      <w:r/>
    </w:p>
    <w:p>
      <w:pPr>
        <w:pStyle w:val="951"/>
        <w:ind w:firstLine="482"/>
        <w:spacing w:before="156" w:line="360" w:lineRule="auto"/>
        <w:rPr>
          <w:rFonts w:ascii="黑体" w:hAnsi="黑体" w:eastAsia="黑体" w:cs="方正仿宋_GBK"/>
          <w:b/>
          <w:bCs/>
          <w:sz w:val="24"/>
          <w:szCs w:val="24"/>
        </w:rPr>
      </w:pPr>
      <w:r>
        <w:rPr>
          <w:rFonts w:hint="eastAsia" w:ascii="黑体" w:hAnsi="黑体" w:eastAsia="黑体" w:cs="方正仿宋_GBK"/>
          <w:b/>
          <w:bCs/>
          <w:sz w:val="24"/>
          <w:szCs w:val="24"/>
          <w:lang w:val="en-US" w:eastAsia="zh-CN"/>
        </w:rPr>
        <w:t xml:space="preserve">八</w:t>
      </w:r>
      <w:r>
        <w:rPr>
          <w:rFonts w:ascii="黑体" w:hAnsi="黑体" w:eastAsia="黑体" w:cs="方正仿宋_GBK"/>
          <w:b/>
          <w:bCs/>
          <w:sz w:val="24"/>
          <w:szCs w:val="24"/>
        </w:rPr>
        <w:t xml:space="preserve">、</w:t>
      </w:r>
      <w:r>
        <w:rPr>
          <w:rFonts w:hint="eastAsia" w:ascii="黑体" w:hAnsi="黑体" w:eastAsia="黑体" w:cs="方正仿宋_GBK"/>
          <w:b/>
          <w:bCs/>
          <w:sz w:val="24"/>
          <w:szCs w:val="24"/>
        </w:rPr>
        <w:t xml:space="preserve">费用支付</w:t>
      </w:r>
      <w:r>
        <w:rPr>
          <w:rFonts w:ascii="黑体" w:hAnsi="黑体" w:eastAsia="黑体" w:cs="方正仿宋_GBK"/>
          <w:b/>
          <w:bCs/>
          <w:sz w:val="24"/>
          <w:szCs w:val="24"/>
        </w:rPr>
      </w:r>
      <w:r/>
    </w:p>
    <w:p>
      <w:pPr>
        <w:pStyle w:val="951"/>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自合同签订后，每年分三次支付管理服务费用，当年</w:t>
      </w:r>
      <w:r>
        <w:rPr>
          <w:rFonts w:ascii="宋体" w:hAnsi="宋体" w:cs="宋体"/>
          <w:sz w:val="24"/>
          <w:szCs w:val="24"/>
          <w:highlight w:val="none"/>
        </w:rPr>
        <w:t xml:space="preserve">9</w:t>
      </w:r>
      <w:r>
        <w:rPr>
          <w:rFonts w:hint="eastAsia" w:ascii="宋体" w:hAnsi="宋体" w:cs="宋体"/>
          <w:sz w:val="24"/>
          <w:szCs w:val="24"/>
          <w:highlight w:val="none"/>
        </w:rPr>
        <w:t xml:space="preserve">月份支付合同金额的4</w:t>
      </w:r>
      <w:r>
        <w:rPr>
          <w:rFonts w:ascii="宋体" w:hAnsi="宋体" w:cs="宋体"/>
          <w:sz w:val="24"/>
          <w:szCs w:val="24"/>
          <w:highlight w:val="none"/>
        </w:rPr>
        <w:t xml:space="preserve">0%</w:t>
      </w:r>
      <w:r>
        <w:rPr>
          <w:rFonts w:hint="eastAsia" w:ascii="宋体" w:hAnsi="宋体" w:cs="宋体"/>
          <w:sz w:val="24"/>
          <w:szCs w:val="24"/>
          <w:highlight w:val="none"/>
        </w:rPr>
        <w:t xml:space="preserve">，次年</w:t>
      </w:r>
      <w:r>
        <w:rPr>
          <w:rFonts w:ascii="宋体" w:hAnsi="宋体" w:cs="宋体"/>
          <w:sz w:val="24"/>
          <w:szCs w:val="24"/>
          <w:highlight w:val="none"/>
        </w:rPr>
        <w:t xml:space="preserve">6</w:t>
      </w:r>
      <w:r>
        <w:rPr>
          <w:rFonts w:hint="eastAsia" w:ascii="宋体" w:hAnsi="宋体" w:cs="宋体"/>
          <w:sz w:val="24"/>
          <w:szCs w:val="24"/>
          <w:highlight w:val="none"/>
        </w:rPr>
        <w:t xml:space="preserve">月份前支付合同金额的</w:t>
      </w:r>
      <w:r>
        <w:rPr>
          <w:rFonts w:ascii="宋体" w:hAnsi="宋体" w:cs="宋体"/>
          <w:sz w:val="24"/>
          <w:szCs w:val="24"/>
          <w:highlight w:val="none"/>
        </w:rPr>
        <w:t xml:space="preserve">5</w:t>
      </w:r>
      <w:r>
        <w:rPr>
          <w:rFonts w:hint="eastAsia" w:ascii="宋体" w:hAnsi="宋体" w:cs="宋体"/>
          <w:sz w:val="24"/>
          <w:szCs w:val="24"/>
          <w:highlight w:val="none"/>
        </w:rPr>
        <w:t xml:space="preserve">0%。合同年度剩余金额10%作为考核基金，于次年9月份根据物业公司年度考核得分情况进行支付。考核成绩为一等的（90-100分），考核基金全额支付；考核成绩为二等的（85-89分），按考核基金的90%支付；考核成绩为三等的（80-84分），按考核基金的80%支付；考核成绩为四等的（79分及以下），扣除考核基金的30%，对所属物业公司予以书面警告。对于连续两次出现书面警告的物业公司，将作为下次招标的负面履约记录如实提供给评审委员会参考。</w:t>
      </w:r>
      <w:r>
        <w:rPr>
          <w:rFonts w:ascii="宋体" w:hAnsi="宋体" w:cs="宋体"/>
          <w:sz w:val="24"/>
          <w:szCs w:val="24"/>
          <w:highlight w:val="none"/>
        </w:rPr>
      </w:r>
      <w:r/>
    </w:p>
    <w:p>
      <w:pPr>
        <w:pStyle w:val="951"/>
        <w:ind w:firstLine="482"/>
        <w:spacing w:before="156" w:line="360" w:lineRule="auto"/>
        <w:rPr>
          <w:rFonts w:ascii="黑体" w:hAnsi="黑体" w:eastAsia="黑体" w:cs="方正仿宋_GBK"/>
          <w:b/>
          <w:bCs/>
          <w:sz w:val="24"/>
          <w:szCs w:val="24"/>
        </w:rPr>
      </w:pPr>
      <w:r>
        <w:rPr>
          <w:rFonts w:hint="eastAsia" w:ascii="黑体" w:hAnsi="黑体" w:eastAsia="黑体" w:cs="方正仿宋_GBK"/>
          <w:b/>
          <w:bCs/>
          <w:sz w:val="24"/>
          <w:szCs w:val="24"/>
          <w:lang w:val="en-US" w:eastAsia="zh-CN"/>
        </w:rPr>
        <w:t xml:space="preserve">九</w:t>
      </w:r>
      <w:r>
        <w:rPr>
          <w:rFonts w:ascii="黑体" w:hAnsi="黑体" w:eastAsia="黑体" w:cs="方正仿宋_GBK"/>
          <w:b/>
          <w:bCs/>
          <w:sz w:val="24"/>
          <w:szCs w:val="24"/>
        </w:rPr>
        <w:t xml:space="preserve">、其他要求</w:t>
      </w:r>
      <w:r>
        <w:rPr>
          <w:rFonts w:ascii="黑体" w:hAnsi="黑体" w:eastAsia="黑体" w:cs="方正仿宋_GBK"/>
          <w:b/>
          <w:bCs/>
          <w:sz w:val="24"/>
          <w:szCs w:val="24"/>
        </w:rPr>
      </w:r>
      <w:r/>
    </w:p>
    <w:p>
      <w:pPr>
        <w:pStyle w:val="951"/>
        <w:ind w:firstLine="480"/>
        <w:spacing w:line="360" w:lineRule="auto"/>
        <w:rPr>
          <w:rFonts w:ascii="宋体" w:hAnsi="宋体"/>
          <w:color w:val="000000"/>
          <w:sz w:val="24"/>
          <w:szCs w:val="24"/>
        </w:rPr>
      </w:pPr>
      <w:r>
        <w:rPr>
          <w:rFonts w:hint="eastAsia" w:ascii="宋体" w:hAnsi="宋体"/>
          <w:color w:val="000000"/>
          <w:sz w:val="24"/>
          <w:szCs w:val="24"/>
        </w:rPr>
        <w:t xml:space="preserve">1.项目属性:服务类项目。</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.进口</w:t>
      </w:r>
      <w:r>
        <w:rPr>
          <w:rFonts w:ascii="宋体" w:hAnsi="宋体"/>
          <w:color w:val="000000"/>
          <w:sz w:val="24"/>
          <w:szCs w:val="24"/>
        </w:rPr>
        <w:t xml:space="preserve">产品</w:t>
      </w:r>
      <w:r>
        <w:rPr>
          <w:rFonts w:hint="eastAsia" w:ascii="宋体" w:hAnsi="宋体"/>
          <w:color w:val="000000"/>
          <w:sz w:val="24"/>
          <w:szCs w:val="24"/>
        </w:rPr>
        <w:t xml:space="preserve">投标</w:t>
      </w:r>
      <w:r>
        <w:rPr>
          <w:rFonts w:ascii="宋体" w:hAnsi="宋体"/>
          <w:color w:val="000000"/>
          <w:sz w:val="24"/>
          <w:szCs w:val="24"/>
        </w:rPr>
      </w:r>
      <w:r/>
    </w:p>
    <w:tbl>
      <w:tblPr>
        <w:tblW w:w="7938" w:type="dxa"/>
        <w:tblInd w:w="3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7"/>
        <w:gridCol w:w="6641"/>
      </w:tblGrid>
      <w:tr>
        <w:trPr/>
        <w:tc>
          <w:tcPr>
            <w:tcW w:w="1297" w:type="dxa"/>
            <w:vAlign w:val="top"/>
            <w:textDirection w:val="lrTb"/>
            <w:noWrap w:val="false"/>
          </w:tcPr>
          <w:p>
            <w:pPr>
              <w:pStyle w:val="951"/>
              <w:jc w:val="center"/>
              <w:spacing w:line="360" w:lineRule="auto"/>
              <w:rPr>
                <w:rFonts w:ascii="宋体" w:hAnsi="宋体"/>
                <w:color w:val="000000"/>
              </w:rPr>
            </w:pPr>
            <w:r>
              <w:rPr>
                <w:rFonts w:hint="eastAsia" w:ascii="宋体" w:hAnsi="宋体"/>
                <w:color w:val="000000"/>
              </w:rPr>
              <w:t xml:space="preserve">分包</w:t>
            </w:r>
            <w:r>
              <w:rPr>
                <w:rFonts w:ascii="宋体" w:hAnsi="宋体"/>
                <w:color w:val="000000"/>
              </w:rPr>
              <w:t xml:space="preserve">号</w:t>
            </w:r>
            <w:r>
              <w:rPr>
                <w:rFonts w:ascii="宋体" w:hAnsi="宋体"/>
                <w:color w:val="000000"/>
              </w:rPr>
            </w:r>
            <w:r/>
          </w:p>
        </w:tc>
        <w:tc>
          <w:tcPr>
            <w:tcW w:w="6641" w:type="dxa"/>
            <w:vAlign w:val="top"/>
            <w:textDirection w:val="lrTb"/>
            <w:noWrap w:val="false"/>
          </w:tcPr>
          <w:p>
            <w:pPr>
              <w:pStyle w:val="951"/>
              <w:jc w:val="center"/>
              <w:spacing w:line="360" w:lineRule="auto"/>
              <w:rPr>
                <w:rFonts w:ascii="宋体" w:hAnsi="宋体"/>
                <w:color w:val="000000"/>
              </w:rPr>
            </w:pPr>
            <w:r>
              <w:rPr>
                <w:rFonts w:hint="eastAsia" w:ascii="宋体" w:hAnsi="宋体"/>
                <w:color w:val="000000"/>
              </w:rPr>
              <w:t xml:space="preserve">是否接受</w:t>
            </w:r>
            <w:r>
              <w:rPr>
                <w:rFonts w:ascii="宋体" w:hAnsi="宋体"/>
                <w:color w:val="000000"/>
              </w:rPr>
              <w:t xml:space="preserve">进口产品投标</w:t>
            </w:r>
            <w:r>
              <w:rPr>
                <w:rFonts w:hint="eastAsia" w:ascii="宋体" w:hAnsi="宋体"/>
                <w:color w:val="000000"/>
              </w:rPr>
              <w:t xml:space="preserve">（是/否）</w:t>
            </w:r>
            <w:r>
              <w:rPr>
                <w:rFonts w:ascii="宋体" w:hAnsi="宋体"/>
                <w:color w:val="000000"/>
              </w:rPr>
            </w:r>
            <w:r/>
          </w:p>
        </w:tc>
      </w:tr>
      <w:tr>
        <w:trPr/>
        <w:tc>
          <w:tcPr>
            <w:tcW w:w="1297" w:type="dxa"/>
            <w:vAlign w:val="top"/>
            <w:textDirection w:val="lrTb"/>
            <w:noWrap w:val="false"/>
          </w:tcPr>
          <w:p>
            <w:pPr>
              <w:pStyle w:val="951"/>
              <w:jc w:val="center"/>
              <w:spacing w:line="360" w:lineRule="auto"/>
              <w:rPr>
                <w:rFonts w:ascii="宋体" w:hAnsi="宋体"/>
                <w:color w:val="000000"/>
              </w:rPr>
            </w:pPr>
            <w:r>
              <w:rPr>
                <w:rFonts w:hint="eastAsia" w:ascii="宋体" w:hAnsi="宋体"/>
                <w:color w:val="000000"/>
              </w:rPr>
              <w:t xml:space="preserve">1</w:t>
            </w:r>
            <w:r>
              <w:rPr>
                <w:rFonts w:ascii="宋体" w:hAnsi="宋体"/>
                <w:color w:val="000000"/>
              </w:rPr>
            </w:r>
            <w:r/>
          </w:p>
        </w:tc>
        <w:tc>
          <w:tcPr>
            <w:tcW w:w="6641" w:type="dxa"/>
            <w:vAlign w:val="top"/>
            <w:textDirection w:val="lrTb"/>
            <w:noWrap w:val="false"/>
          </w:tcPr>
          <w:p>
            <w:pPr>
              <w:pStyle w:val="951"/>
              <w:jc w:val="center"/>
              <w:spacing w:line="360" w:lineRule="auto"/>
              <w:rPr>
                <w:rFonts w:ascii="宋体" w:hAnsi="宋体"/>
                <w:color w:val="000000"/>
              </w:rPr>
            </w:pPr>
            <w:r>
              <w:rPr>
                <w:rFonts w:hint="eastAsia" w:ascii="宋体" w:hAnsi="宋体"/>
                <w:color w:val="000000"/>
              </w:rPr>
              <w:t xml:space="preserve">否</w:t>
            </w:r>
            <w:r>
              <w:rPr>
                <w:rFonts w:ascii="宋体" w:hAnsi="宋体"/>
                <w:color w:val="000000"/>
              </w:rPr>
            </w:r>
            <w:r/>
          </w:p>
        </w:tc>
      </w:tr>
    </w:tbl>
    <w:p>
      <w:pPr>
        <w:pStyle w:val="951"/>
        <w:ind w:firstLine="480"/>
        <w:spacing w:line="360" w:lineRule="auto"/>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.受托物业公司应严格执行国家相关法律、法规，严格按操作规程与操作标准执行。</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.受托物业公司制定可行性的物业服务开始及合同到期时的交接工作方案，编制移交清单，保持交接岗位的有效衔接，保证交接工作的平稳过渡，避免因交接工作不到位而影响学生正常住宿秩序。</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ascii="宋体" w:hAnsi="宋体"/>
          <w:color w:val="000000"/>
          <w:sz w:val="24"/>
          <w:szCs w:val="24"/>
        </w:rPr>
        <w:t xml:space="preserve">5</w:t>
      </w:r>
      <w:r>
        <w:rPr>
          <w:rFonts w:hint="eastAsia" w:ascii="宋体" w:hAnsi="宋体"/>
          <w:color w:val="000000"/>
          <w:sz w:val="24"/>
          <w:szCs w:val="24"/>
        </w:rPr>
        <w:t xml:space="preserve">.受托物业公司应在进场前一周内将所有工作人员名单报委托方备案核查，合同执行期间有人员变动的，因及时报备；应按工作需要制定切实可行的内部管理规章制度，加强工作人员的业务培训和管理，做好各个岗位员工的服务方案，建立好相关的工作台账，配备必要的工作设备，努力提高服务质量、工作效率和管理水平。</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ascii="宋体" w:hAnsi="宋体"/>
          <w:color w:val="000000"/>
          <w:sz w:val="24"/>
          <w:szCs w:val="24"/>
        </w:rPr>
        <w:t xml:space="preserve">6</w:t>
      </w:r>
      <w:r>
        <w:rPr>
          <w:rFonts w:hint="eastAsia" w:ascii="宋体" w:hAnsi="宋体"/>
          <w:color w:val="000000"/>
          <w:sz w:val="24"/>
          <w:szCs w:val="24"/>
        </w:rPr>
        <w:t xml:space="preserve">.各类工作人员均不得允许亲属、朋友及其它任何人员在管理区留宿、滞留。男性工作人员白天因公进入女生宿舍应有该站女性工作人员陪同，原则上夜间不得进入女生宿舍。女性工作人员在男生宿舍从事管理和服务活动需男性工作人员陪同，要注意文明礼貌，尊重学生的隐私。</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ascii="宋体" w:hAnsi="宋体"/>
          <w:color w:val="000000"/>
          <w:sz w:val="24"/>
          <w:szCs w:val="24"/>
        </w:rPr>
        <w:t xml:space="preserve">7</w:t>
      </w:r>
      <w:r>
        <w:rPr>
          <w:rFonts w:hint="eastAsia" w:ascii="宋体" w:hAnsi="宋体"/>
          <w:color w:val="000000"/>
          <w:sz w:val="24"/>
          <w:szCs w:val="24"/>
        </w:rPr>
        <w:t xml:space="preserve">.受托物业公司应接受委托方全面监督、指导、检查、验收和考核。项目主管须长期驻点现场，服从委托方管理，如遇突发事件，应第一时间到达现场处理。</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hint="eastAsia" w:ascii="宋体" w:hAnsi="宋体"/>
          <w:color w:val="000000"/>
          <w:sz w:val="24"/>
          <w:szCs w:val="24"/>
        </w:rPr>
        <w:t xml:space="preserve">8.受托物业公司自主开展各项管理活动，但不得侵害委托方、使用人及他人的合法权益，不得利用提供管理服务的便利获取不当利益，不得擅自占用或改变本物业公用设施的使用功能。</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hint="eastAsia" w:ascii="宋体" w:hAnsi="宋体"/>
          <w:color w:val="000000"/>
          <w:sz w:val="24"/>
          <w:szCs w:val="24"/>
        </w:rPr>
        <w:t xml:space="preserve">9.受托物业公司工作人员在工作中违反操作规范或合同约定，导致委托方设备、设施等损坏或委托方的学生人身财产损害的，由受托物业公司全部赔偿。</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hint="eastAsia" w:ascii="宋体" w:hAnsi="宋体"/>
          <w:color w:val="000000"/>
          <w:sz w:val="24"/>
          <w:szCs w:val="24"/>
        </w:rPr>
        <w:t xml:space="preserve">10.考虑到安全第一因素，受托物业公司在服务期内不得在服务场所使用学生宿舍违禁电器，办公、生活所需的任何电器使用前需到委托方管理部门备案，许可后方可使用。</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hint="eastAsia" w:ascii="宋体" w:hAnsi="宋体"/>
          <w:color w:val="000000"/>
          <w:sz w:val="24"/>
          <w:szCs w:val="24"/>
        </w:rPr>
        <w:t xml:space="preserve">11.受</w:t>
      </w:r>
      <w:r>
        <w:rPr>
          <w:rFonts w:hint="eastAsia" w:ascii="宋体" w:hAnsi="宋体"/>
          <w:color w:val="000000"/>
          <w:sz w:val="24"/>
          <w:szCs w:val="24"/>
        </w:rPr>
        <w:t xml:space="preserve">托物业公司结合本项目实际情况，积极围绕服务育人、劳动育人、环境育人策划、组织相关宿舍文化活动。在所服务的学生社区，面向住宿学生定期开展劳动教育活动，充分发挥劳动教育树德、增智、强体、育美的综合育人功能，增强学生综合素质。深入挖掘中华优秀传统文化育人价值，形成“一楼一特色”的宿舍楼宇文化。结合春节、元宵、元旦、端午、中秋、国庆、冬至、腊八传统节庆日，在宿舍区开展系列主题活动，培养学生文化自信，努力营造安全、文明、和谐、舒适的宿舍环境，积极推动宿舍功能从“居住”向“育人”转变，高质量服务学生全面发展和成长成才。</w:t>
      </w:r>
      <w:r>
        <w:rPr>
          <w:rFonts w:ascii="宋体" w:hAnsi="宋体"/>
          <w:color w:val="000000"/>
          <w:sz w:val="24"/>
          <w:szCs w:val="24"/>
        </w:rPr>
      </w:r>
      <w:r/>
    </w:p>
    <w:p>
      <w:pPr>
        <w:pStyle w:val="951"/>
        <w:ind w:firstLine="480"/>
        <w:spacing w:line="360" w:lineRule="auto"/>
        <w:rPr>
          <w:rFonts w:ascii="宋体" w:hAnsi="宋体"/>
          <w:color w:val="000000"/>
          <w:sz w:val="24"/>
          <w:szCs w:val="24"/>
        </w:rPr>
      </w:pPr>
      <w:r>
        <w:rPr>
          <w:rFonts w:hint="eastAsia" w:ascii="宋体" w:hAnsi="宋体"/>
          <w:color w:val="000000"/>
          <w:sz w:val="24"/>
          <w:szCs w:val="24"/>
        </w:rPr>
        <w:t xml:space="preserve">12.受托物业公司应依据传染病防治要求妥善对其工作人员进行防治教育和管理。如因受托物业公司未严格按照要求造成传染病传播，由此导致受托物业公司经营费用增加、服务延误、服务质量不合格，责任由受托物业公司承担。</w:t>
      </w:r>
      <w:r>
        <w:rPr>
          <w:rFonts w:ascii="宋体" w:hAnsi="宋体"/>
          <w:color w:val="000000"/>
          <w:sz w:val="24"/>
          <w:szCs w:val="24"/>
        </w:rPr>
      </w:r>
      <w:r/>
    </w:p>
    <w:p>
      <w:pPr>
        <w:pStyle w:val="951"/>
        <w:ind w:firstLine="480"/>
        <w:spacing w:line="360" w:lineRule="auto"/>
        <w:rPr>
          <w:rFonts w:ascii="宋体" w:hAnsi="宋体" w:cs="宋体"/>
          <w:color w:val="00b0f0"/>
          <w:sz w:val="24"/>
          <w:szCs w:val="24"/>
          <w:highlight w:val="yellow"/>
        </w:rPr>
      </w:pPr>
      <w:r>
        <w:rPr>
          <w:rFonts w:hint="eastAsia" w:ascii="宋体" w:hAnsi="宋体"/>
          <w:color w:val="000000"/>
          <w:sz w:val="24"/>
          <w:szCs w:val="24"/>
        </w:rPr>
        <w:t xml:space="preserve">13.委托管理期满，受托物业公司须完好归还委托方所提供的一切设施、设备。在管理期间不得将委托方的设备、设施通过引入商家经营、转租等形式进行盈利活动，不得从事任何经营活动，也不得转让给第三方管理。</w:t>
      </w:r>
      <w:r>
        <w:rPr>
          <w:rFonts w:ascii="宋体" w:hAnsi="宋体" w:cs="宋体"/>
          <w:color w:val="00b0f0"/>
          <w:sz w:val="24"/>
          <w:szCs w:val="24"/>
          <w:highlight w:val="yellow"/>
        </w:rPr>
      </w:r>
      <w:r/>
    </w:p>
    <w:p>
      <w:pPr>
        <w:pStyle w:val="951"/>
        <w:spacing w:line="360" w:lineRule="auto"/>
        <w:rPr>
          <w:rFonts w:ascii="宋体" w:hAnsi="宋体" w:cs="宋体"/>
          <w:color w:val="00b0f0"/>
          <w:sz w:val="24"/>
          <w:szCs w:val="24"/>
          <w:highlight w:val="yellow"/>
        </w:rPr>
      </w:pPr>
      <w:r>
        <w:rPr>
          <w:rFonts w:ascii="宋体" w:hAnsi="宋体" w:cs="宋体"/>
          <w:color w:val="00b0f0"/>
          <w:sz w:val="24"/>
          <w:szCs w:val="24"/>
          <w:highlight w:val="yellow"/>
        </w:rPr>
      </w:r>
      <w:r/>
    </w:p>
    <w:p>
      <w:pPr>
        <w:pStyle w:val="951"/>
        <w:spacing w:line="360" w:lineRule="auto"/>
        <w:rPr>
          <w:rFonts w:ascii="宋体" w:hAnsi="宋体" w:cs="宋体"/>
          <w:b/>
          <w:bCs/>
          <w:color w:val="000000"/>
        </w:rPr>
      </w:pPr>
      <w:r>
        <w:rPr>
          <w:rFonts w:ascii="宋体" w:hAnsi="宋体" w:cs="宋体"/>
          <w:b/>
          <w:bCs/>
          <w:color w:val="000000"/>
        </w:rPr>
      </w:r>
      <w:r/>
    </w:p>
    <w:p>
      <w:pPr>
        <w:pStyle w:val="951"/>
        <w:spacing w:line="360" w:lineRule="auto"/>
        <w:rPr>
          <w:rFonts w:ascii="宋体" w:hAnsi="宋体" w:cs="宋体"/>
          <w:b/>
          <w:bCs/>
          <w:color w:val="000000"/>
        </w:rPr>
      </w:pPr>
      <w:r>
        <w:rPr>
          <w:rFonts w:ascii="宋体" w:hAnsi="宋体" w:cs="宋体"/>
          <w:b/>
          <w:bCs/>
          <w:color w:val="000000"/>
        </w:rPr>
      </w:r>
      <w:r/>
    </w:p>
    <w:p>
      <w:pPr>
        <w:pStyle w:val="951"/>
        <w:spacing w:line="360" w:lineRule="auto"/>
        <w:rPr>
          <w:rFonts w:ascii="宋体" w:hAnsi="宋体" w:cs="宋体"/>
          <w:b/>
          <w:bCs/>
          <w:color w:val="000000"/>
        </w:rPr>
      </w:pPr>
      <w:r>
        <w:rPr>
          <w:rFonts w:ascii="宋体" w:hAnsi="宋体" w:cs="宋体"/>
          <w:b/>
          <w:bCs/>
          <w:color w:val="000000"/>
        </w:rPr>
      </w:r>
      <w:r/>
    </w:p>
    <w:p>
      <w:pPr>
        <w:pStyle w:val="951"/>
        <w:spacing w:line="360" w:lineRule="auto"/>
        <w:rPr>
          <w:rFonts w:ascii="宋体" w:hAnsi="宋体" w:cs="宋体"/>
          <w:b/>
          <w:bCs/>
          <w:color w:val="000000"/>
        </w:rPr>
      </w:pPr>
      <w:r>
        <w:rPr>
          <w:rFonts w:hint="eastAsia" w:ascii="宋体" w:hAnsi="宋体" w:cs="宋体"/>
          <w:b/>
          <w:bCs/>
          <w:color w:val="000000"/>
        </w:rPr>
        <w:t xml:space="preserve">附：《南京工程学院学生公寓物业考核细则》和《南京工程学院学生公寓管理规定》</w:t>
      </w:r>
      <w:r>
        <w:rPr>
          <w:rFonts w:ascii="宋体" w:hAnsi="宋体" w:cs="宋体"/>
          <w:b/>
          <w:bCs/>
          <w:color w:val="000000"/>
        </w:rPr>
      </w:r>
      <w:r/>
    </w:p>
    <w:p>
      <w:pPr>
        <w:pStyle w:val="951"/>
        <w:spacing w:line="360" w:lineRule="auto"/>
        <w:rPr>
          <w:rFonts w:ascii="宋体" w:hAnsi="宋体" w:cs="宋体"/>
          <w:b/>
          <w:bCs/>
          <w:color w:val="000000"/>
        </w:rPr>
      </w:pPr>
      <w:r>
        <w:rPr>
          <w:rFonts w:ascii="宋体" w:hAnsi="宋体" w:cs="宋体"/>
          <w:b/>
          <w:bCs/>
          <w:color w:val="000000"/>
        </w:rPr>
      </w:r>
      <w:r/>
    </w:p>
    <w:p>
      <w:pPr>
        <w:pStyle w:val="951"/>
        <w:jc w:val="center"/>
        <w:spacing w:line="360" w:lineRule="auto"/>
        <w:rPr>
          <w:rFonts w:ascii="Arial Unicode MS" w:hAnsi="宋体" w:eastAsia="Arial Unicode MS" w:cs="宋体"/>
          <w:bCs/>
          <w:color w:val="000000"/>
          <w:sz w:val="28"/>
          <w:szCs w:val="28"/>
        </w:rPr>
      </w:pPr>
      <w:r>
        <w:rPr>
          <w:rFonts w:hint="eastAsia" w:ascii="Arial Unicode MS" w:hAnsi="宋体" w:eastAsia="Arial Unicode MS" w:cs="宋体"/>
          <w:bCs/>
          <w:color w:val="000000"/>
          <w:sz w:val="28"/>
          <w:szCs w:val="28"/>
        </w:rPr>
        <w:t xml:space="preserve">南京工程学院学生公寓物业考核细则</w:t>
      </w:r>
      <w:r>
        <w:rPr>
          <w:rFonts w:ascii="Arial Unicode MS" w:hAnsi="宋体" w:eastAsia="Arial Unicode MS" w:cs="宋体"/>
          <w:bCs/>
          <w:color w:val="000000"/>
          <w:sz w:val="28"/>
          <w:szCs w:val="28"/>
        </w:rPr>
      </w:r>
      <w:r/>
    </w:p>
    <w:p>
      <w:pPr>
        <w:pStyle w:val="951"/>
        <w:ind w:firstLine="420"/>
        <w:jc w:val="center"/>
        <w:spacing w:line="360" w:lineRule="auto"/>
        <w:rPr>
          <w:rFonts w:ascii="宋体" w:hAnsi="宋体" w:cs="宋体"/>
          <w:color w:val="000000"/>
        </w:rPr>
      </w:pP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为推进学生公寓管理规范化、制度化建设，根据学生公寓管理有关要求与合同约定，制定南京工程学院学生公寓物业考核细则。</w:t>
      </w:r>
      <w:r>
        <w:rPr>
          <w:rFonts w:ascii="宋体" w:hAnsi="宋体" w:cs="宋体"/>
          <w:color w:val="000000"/>
        </w:rPr>
      </w:r>
      <w:r/>
    </w:p>
    <w:p>
      <w:pPr>
        <w:pStyle w:val="951"/>
        <w:jc w:val="center"/>
        <w:spacing w:line="360" w:lineRule="auto"/>
        <w:rPr>
          <w:rFonts w:ascii="黑体" w:hAnsi="黑体" w:eastAsia="黑体" w:cs="宋体"/>
          <w:b/>
          <w:bCs/>
          <w:color w:val="000000"/>
        </w:rPr>
      </w:pPr>
      <w:r>
        <w:rPr>
          <w:rFonts w:hint="eastAsia" w:ascii="黑体" w:hAnsi="黑体" w:eastAsia="黑体" w:cs="宋体"/>
          <w:b/>
          <w:bCs/>
          <w:color w:val="000000"/>
        </w:rPr>
        <w:t xml:space="preserve">第一章  考核对象</w:t>
      </w:r>
      <w:r>
        <w:rPr>
          <w:rFonts w:ascii="黑体" w:hAnsi="黑体" w:eastAsia="黑体" w:cs="宋体"/>
          <w:b/>
          <w:bCs/>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凡接受委托在南京工程学院从事本科生学生宿舍管理的乙方单位均应严格遵守本细则，本细则为南京工程学院学生公寓物业管理合同附件。</w:t>
      </w:r>
      <w:r>
        <w:rPr>
          <w:rFonts w:ascii="宋体" w:hAnsi="宋体" w:cs="宋体"/>
          <w:color w:val="000000"/>
        </w:rPr>
      </w:r>
      <w:r/>
    </w:p>
    <w:p>
      <w:pPr>
        <w:pStyle w:val="951"/>
        <w:jc w:val="center"/>
        <w:spacing w:line="360" w:lineRule="auto"/>
        <w:rPr>
          <w:rFonts w:ascii="黑体" w:hAnsi="黑体" w:eastAsia="黑体" w:cs="宋体"/>
          <w:b/>
          <w:color w:val="000000"/>
        </w:rPr>
      </w:pPr>
      <w:r>
        <w:rPr>
          <w:rFonts w:hint="eastAsia" w:ascii="黑体" w:hAnsi="黑体" w:eastAsia="黑体" w:cs="宋体"/>
          <w:b/>
          <w:color w:val="000000"/>
        </w:rPr>
        <w:t xml:space="preserve">第二章  考核内容</w:t>
      </w:r>
      <w:r>
        <w:rPr>
          <w:rFonts w:ascii="黑体" w:hAnsi="黑体" w:eastAsia="黑体" w:cs="宋体"/>
          <w:b/>
          <w:color w:val="000000"/>
        </w:rPr>
      </w:r>
      <w:r/>
    </w:p>
    <w:p>
      <w:pPr>
        <w:pStyle w:val="951"/>
        <w:ind w:firstLine="422"/>
        <w:spacing w:line="360" w:lineRule="auto"/>
        <w:rPr>
          <w:rFonts w:ascii="宋体" w:hAnsi="宋体" w:cs="宋体"/>
          <w:b/>
          <w:color w:val="000000"/>
        </w:rPr>
      </w:pPr>
      <w:r>
        <w:rPr>
          <w:rFonts w:hint="eastAsia" w:ascii="宋体" w:hAnsi="宋体" w:cs="宋体"/>
          <w:b/>
          <w:color w:val="000000"/>
        </w:rPr>
        <w:t xml:space="preserve">一、安全管理（30分）</w:t>
      </w:r>
      <w:r>
        <w:rPr>
          <w:rFonts w:ascii="宋体" w:hAnsi="宋体" w:cs="宋体"/>
          <w:b/>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w:t>
      </w:r>
      <w:r>
        <w:rPr>
          <w:rFonts w:hint="eastAsia" w:ascii="宋体" w:hAnsi="宋体" w:cs="宋体"/>
          <w:color w:val="000000"/>
        </w:rPr>
        <w:t xml:space="preserve">按学校保卫部</w:t>
      </w:r>
      <w:r>
        <w:rPr>
          <w:rFonts w:hint="eastAsia" w:ascii="宋体" w:hAnsi="宋体" w:cs="宋体"/>
          <w:color w:val="000000"/>
        </w:rPr>
        <w:t xml:space="preserve">门要求做好学生公寓安全管理与防范工作，接受保卫部门的日常检查与考核。对宿舍区内异常情况、突发事件、学生夜不归宿、设施损坏等负有及时发现、及时上报并应急处理的责任。负责执行学生宿舍每天两次查房制度并建立查房台帐。白天查房须做到每房必查，重点检查宿舍卫生、水电等设施损坏情况、违章违纪行为和学生异常情况等；晚上查房重点检查学生夜不归宿、违章违纪行为和学生异常情况。查房记录于次日中午前报甲方学生社区管理与服务中心。如果发现突发情况和紧急情况时，应在第一时间与甲方当天的值班领导及相关部门联系并做好应急处理。（5分） </w:t>
      </w:r>
      <w:r>
        <w:rPr>
          <w:rFonts w:hint="eastAsia" w:ascii="宋体" w:hAnsi="宋体" w:cs="宋体"/>
          <w:color w:val="000000"/>
        </w:rPr>
        <w:tab/>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w:t>
      </w:r>
      <w:r>
        <w:rPr>
          <w:rFonts w:hint="eastAsia" w:ascii="宋体" w:hAnsi="宋体" w:cs="宋体"/>
          <w:color w:val="000000"/>
        </w:rPr>
        <w:t xml:space="preserve">学生公寓实行封闭式管理。师生进出凭有效证件，外来人员进入须凭本人有效证件，管理员要同时做好登记、问询和检查记录等工作。严禁闲杂人员、小商、小贩入内，任何人不得在公寓内兜售物品；学生不得进入异性寝室；异性家长进入学生公寓须由学生本人陪同并征得管理员同意，管理员要认真核对证件、办理登记手续；夜晚任何异性人员（工作人员除外）不得进出公寓，管理员要严格把关并随时巡查。（5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w:t>
      </w:r>
      <w:r>
        <w:rPr>
          <w:rFonts w:hint="eastAsia" w:ascii="宋体" w:hAnsi="宋体" w:cs="宋体"/>
          <w:color w:val="000000"/>
        </w:rPr>
        <w:t xml:space="preserve">学生公寓无火灾、治安、刑事案件发生。每周2次以上安全、消防检查，及时消除安全隐患，并做好相关记录；配合开展安全、消防演习；每日检查、收缴并上报使用违禁电器和私拉乱接电线等违规行为；在公寓内严禁任何人使用明火。（6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4</w:t>
      </w:r>
      <w:r>
        <w:rPr>
          <w:rFonts w:ascii="宋体" w:hAnsi="宋体" w:cs="宋体"/>
          <w:color w:val="000000"/>
        </w:rPr>
        <w:t xml:space="preserve">.</w:t>
      </w:r>
      <w:r>
        <w:rPr>
          <w:rFonts w:hint="eastAsia" w:ascii="宋体" w:hAnsi="宋体" w:cs="宋体"/>
          <w:color w:val="000000"/>
        </w:rPr>
        <w:t xml:space="preserve">物业管理人员数量按合同要求配备，每少一人扣2分。（5分）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5</w:t>
      </w:r>
      <w:r>
        <w:rPr>
          <w:rFonts w:ascii="宋体" w:hAnsi="宋体" w:cs="宋体"/>
          <w:color w:val="000000"/>
        </w:rPr>
        <w:t xml:space="preserve">.</w:t>
      </w:r>
      <w:r>
        <w:rPr>
          <w:rFonts w:hint="eastAsia" w:ascii="宋体" w:hAnsi="宋体" w:cs="宋体"/>
          <w:color w:val="000000"/>
        </w:rPr>
        <w:t xml:space="preserve">制订公寓钥匙管理规定，钥匙的保管、领用、借用等按规定执行。（2分）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6</w:t>
      </w:r>
      <w:r>
        <w:rPr>
          <w:rFonts w:ascii="宋体" w:hAnsi="宋体" w:cs="宋体"/>
          <w:color w:val="000000"/>
        </w:rPr>
        <w:t xml:space="preserve">.</w:t>
      </w:r>
      <w:r>
        <w:rPr>
          <w:rFonts w:hint="eastAsia" w:ascii="宋体" w:hAnsi="宋体" w:cs="宋体"/>
          <w:color w:val="000000"/>
        </w:rPr>
        <w:t xml:space="preserve">制订学生公寓各类突发事件的处理预案，定期进行演练，有突发事件按预案及时处理，并迅速上报学校有关部门。（3分）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7.</w:t>
      </w:r>
      <w:r>
        <w:rPr>
          <w:rFonts w:hint="eastAsia" w:ascii="宋体" w:hAnsi="宋体" w:cs="宋体"/>
          <w:color w:val="000000"/>
        </w:rPr>
        <w:t xml:space="preserve">根据学校管理需要，做好地下室、学生活动室门窗的开启和关闭工作以及附属设备、设施的保管和维护工作；做好公寓配套停场（库）整理清洁、定时开关门工作；保持公寓周围车辆停放有序，道路畅通。（3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8.</w:t>
      </w:r>
      <w:r>
        <w:rPr>
          <w:rFonts w:hint="eastAsia" w:ascii="宋体" w:hAnsi="宋体" w:cs="宋体"/>
          <w:color w:val="000000"/>
        </w:rPr>
        <w:t xml:space="preserve">物业公司人员按要求参加相关部门召开的例会。（1分）</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二、学生内务检查与管理（30分）</w:t>
      </w:r>
      <w:r>
        <w:rPr>
          <w:rFonts w:ascii="宋体" w:hAnsi="宋体" w:cs="宋体"/>
          <w:b/>
          <w:bCs/>
          <w:color w:val="000000"/>
        </w:rPr>
      </w:r>
      <w:r/>
    </w:p>
    <w:p>
      <w:pPr>
        <w:pStyle w:val="951"/>
        <w:ind w:firstLine="420"/>
        <w:spacing w:line="360" w:lineRule="auto"/>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管理站每天对所有学生宿舍的内务至少进行1次检查记录并上墙公布卫生成绩，对内务、卫生不合格宿舍下达书面整改通知。管理站应将每天内务检查与安全检查中发现的问题于次日中午前报至学生社区管理与服务中心，每周汇总卫生成绩报学生学生社区管理与服务中心。（15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管理站建立、建全各种学生管理档案，随时供相关管理部门调阅。（2分）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管理员要对内务、卫生未达到优良的学生寝室主动进行个别辅导和先行教育，耐心帮助学生进步，使公寓整体达标率达到90%以上。（3分）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4.</w:t>
      </w:r>
      <w:r>
        <w:rPr>
          <w:rFonts w:hint="eastAsia" w:ascii="宋体" w:hAnsi="宋体" w:cs="宋体"/>
          <w:color w:val="000000"/>
        </w:rPr>
        <w:t xml:space="preserve">管理站公寓内严禁养狗、猫等宠物，对宿舍内吸烟、酗酒现象及时劝诫和上报。（4分）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5.</w:t>
      </w:r>
      <w:r>
        <w:rPr>
          <w:rFonts w:hint="eastAsia" w:ascii="宋体" w:hAnsi="宋体" w:cs="宋体"/>
          <w:color w:val="000000"/>
        </w:rPr>
        <w:t xml:space="preserve">管理站积极主动配合二级学院开展学生工作进公寓活动。（3分）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6.</w:t>
      </w:r>
      <w:r>
        <w:rPr>
          <w:rFonts w:hint="eastAsia" w:ascii="宋体" w:hAnsi="宋体" w:cs="宋体"/>
          <w:color w:val="000000"/>
        </w:rPr>
        <w:t xml:space="preserve">管理站积极支持学生公寓学生组织开展工作，定期开展交流活动。（2分）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7.</w:t>
      </w:r>
      <w:r>
        <w:rPr>
          <w:rFonts w:hint="eastAsia" w:ascii="宋体" w:hAnsi="宋体" w:cs="宋体"/>
          <w:color w:val="000000"/>
        </w:rPr>
        <w:t xml:space="preserve">管理站积极配合学校相关部门做好其他工作。如：发布通知、张贴海报等。（1分）</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三、公共卫生（18分）</w:t>
      </w:r>
      <w:r>
        <w:rPr>
          <w:rFonts w:ascii="宋体" w:hAnsi="宋体" w:cs="宋体"/>
          <w:b/>
          <w:bCs/>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w:t>
      </w:r>
      <w:r>
        <w:rPr>
          <w:rFonts w:hint="eastAsia" w:ascii="宋体" w:hAnsi="宋体" w:cs="宋体"/>
          <w:color w:val="000000"/>
        </w:rPr>
        <w:t xml:space="preserve">学生公寓走廊、楼梯等公共部位每天清扫2次以上，拖洗1次，楼梯扶手每天抹一次以上，并全天保持整洁；做到地面无积水、无杂物、无垃圾、无痰迹。地下室内每周清扫2次以上，并随时保持室内清洁。（4分）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w:t>
      </w:r>
      <w:r>
        <w:rPr>
          <w:rFonts w:hint="eastAsia" w:ascii="宋体" w:hAnsi="宋体" w:cs="宋体"/>
          <w:color w:val="000000"/>
        </w:rPr>
        <w:t xml:space="preserve">门窗玻璃明亮、窗台上无杂物、墙面无灰尘、无蜘蛛网、无污迹、无乱张贴。（4分）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w:t>
      </w:r>
      <w:r>
        <w:rPr>
          <w:rFonts w:hint="eastAsia" w:ascii="宋体" w:hAnsi="宋体" w:cs="宋体"/>
          <w:color w:val="000000"/>
        </w:rPr>
        <w:t xml:space="preserve">学生公寓四周环境优美，责任区每天清扫2次以上，并全天保持整洁；做到地面无积水、无泥垢、无痰迹、无纸屑、无瓜皮果壳，道路上无杂物乱堆乱放现象，保持水池、地漏、阴沟等排水通畅；绿化区内做到无杂物、整齐美观，绿化设施完好。公寓楼门前无乱停、乱放车辆的现象。（4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4</w:t>
      </w:r>
      <w:r>
        <w:rPr>
          <w:rFonts w:ascii="宋体" w:hAnsi="宋体" w:cs="宋体"/>
          <w:color w:val="000000"/>
        </w:rPr>
        <w:t xml:space="preserve">.</w:t>
      </w:r>
      <w:r>
        <w:rPr>
          <w:rFonts w:hint="eastAsia" w:ascii="宋体" w:hAnsi="宋体" w:cs="宋体"/>
          <w:color w:val="000000"/>
        </w:rPr>
        <w:t xml:space="preserve">配合相关部门定期开展学生公寓四周定期灭杀蚊子、苍蝇、老鼠等害虫，做到无滋生源；配合相关部门做好传染病的预防和防扩散的预案。（2分）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5</w:t>
      </w:r>
      <w:r>
        <w:rPr>
          <w:rFonts w:ascii="宋体" w:hAnsi="宋体" w:cs="宋体"/>
          <w:color w:val="000000"/>
        </w:rPr>
        <w:t xml:space="preserve">.</w:t>
      </w:r>
      <w:r>
        <w:rPr>
          <w:rFonts w:hint="eastAsia" w:ascii="宋体" w:hAnsi="宋体" w:cs="宋体"/>
          <w:color w:val="000000"/>
        </w:rPr>
        <w:t xml:space="preserve">学生公寓楼的外立面保持整洁，无污迹、无乱悬挂、无乱张贴。（2分）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6</w:t>
      </w:r>
      <w:r>
        <w:rPr>
          <w:rFonts w:ascii="宋体" w:hAnsi="宋体" w:cs="宋体"/>
          <w:color w:val="000000"/>
        </w:rPr>
        <w:t xml:space="preserve">.</w:t>
      </w:r>
      <w:r>
        <w:rPr>
          <w:rFonts w:hint="eastAsia" w:ascii="宋体" w:hAnsi="宋体" w:cs="宋体"/>
          <w:color w:val="000000"/>
        </w:rPr>
        <w:t xml:space="preserve">学生公寓内垃圾做到日产日清，并按要求将垃圾运到垃圾中转站。（2分）</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四、设备管理（6分）</w:t>
      </w:r>
      <w:r>
        <w:rPr>
          <w:rFonts w:ascii="宋体" w:hAnsi="宋体" w:cs="宋体"/>
          <w:b/>
          <w:bCs/>
          <w:color w:val="000000"/>
        </w:rPr>
      </w:r>
      <w:r/>
    </w:p>
    <w:p>
      <w:pPr>
        <w:pStyle w:val="951"/>
        <w:ind w:firstLine="420"/>
        <w:spacing w:line="360" w:lineRule="auto"/>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学生公寓的公共财物齐全、无人为损坏；公共部位的照明、应急灯具和监控设备必须每天巡查保证完好无缺。（2分）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按甲方相关部门要求定期查抄水表；定期对水电设施、消防器材等公用设施进行检查、维护并做好记录。（2分）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宿舍检查和安全检查中发现需要维修的设施，认真做好分类记录并及时报相关部门维修。（2分）</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五、公寓文化建设与思想教育（6分）</w:t>
      </w:r>
      <w:r>
        <w:rPr>
          <w:rFonts w:ascii="宋体" w:hAnsi="宋体" w:cs="宋体"/>
          <w:b/>
          <w:bCs/>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w:t>
      </w:r>
      <w:r>
        <w:rPr>
          <w:rFonts w:hint="eastAsia" w:ascii="宋体" w:hAnsi="宋体" w:cs="宋体"/>
          <w:color w:val="000000"/>
        </w:rPr>
        <w:t xml:space="preserve">在学生公寓内积极宣传党和国家及学校的相关政策和制度。配合推进学生党团组织进公寓和学生思想政治教育进公寓的工作。（2分）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2</w:t>
      </w:r>
      <w:r>
        <w:rPr>
          <w:rFonts w:ascii="宋体" w:hAnsi="宋体" w:cs="宋体"/>
          <w:color w:val="000000"/>
        </w:rPr>
        <w:t xml:space="preserve">.</w:t>
      </w:r>
      <w:r>
        <w:rPr>
          <w:rFonts w:hint="eastAsia" w:ascii="宋体" w:hAnsi="宋体" w:cs="宋体"/>
          <w:color w:val="000000"/>
        </w:rPr>
        <w:t xml:space="preserve">掌握学生的思想动态，及时做好引导、说服、教育工作，每周向学工处和相关学院反映学生在公寓内的表现和动态。（2分）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w:t>
      </w:r>
      <w:r>
        <w:rPr>
          <w:rFonts w:hint="eastAsia" w:ascii="宋体" w:hAnsi="宋体" w:cs="宋体"/>
          <w:color w:val="000000"/>
        </w:rPr>
        <w:t xml:space="preserve">按甲方要求邀请学生管理人员和学生定期开展多种形式的交流活动每年2次以上。（1分）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4.</w:t>
      </w:r>
      <w:r>
        <w:rPr>
          <w:rFonts w:hint="eastAsia" w:ascii="宋体" w:hAnsi="宋体" w:cs="宋体"/>
          <w:color w:val="000000"/>
        </w:rPr>
        <w:t xml:space="preserve">在节假日开展丰富多彩的文化活动，努力在公寓内营造一个“家”的氛围。（1分）</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六、物业管理站内部管理（7分）</w:t>
      </w:r>
      <w:r>
        <w:rPr>
          <w:rFonts w:ascii="宋体" w:hAnsi="宋体" w:cs="宋体"/>
          <w:b/>
          <w:bCs/>
          <w:color w:val="000000"/>
        </w:rPr>
      </w:r>
      <w:r/>
    </w:p>
    <w:p>
      <w:pPr>
        <w:pStyle w:val="951"/>
        <w:ind w:firstLine="420"/>
        <w:spacing w:line="360" w:lineRule="auto"/>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管理站人员配备齐全，不缺勤、不脱岗。管理站人员持证挂牌上岗，服装统一、整齐，纪律严明上岗，主动接受师生的监督。（2分）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在甲方组织的服务对象满意度测评满意率达到85%以上。（4分）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管理站内部环境优美整洁，各项规章制度齐全并上墙公示，各种管理档案记录保存完整。工作人员服务态度谦和、热情周到，无与师生争吵的现象。（1分）</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七、特色服务与管理（3分）</w:t>
      </w:r>
      <w:r>
        <w:rPr>
          <w:rFonts w:ascii="宋体" w:hAnsi="宋体" w:cs="宋体"/>
          <w:b/>
          <w:bCs/>
          <w:color w:val="000000"/>
        </w:rPr>
      </w:r>
      <w:r/>
    </w:p>
    <w:p>
      <w:pPr>
        <w:pStyle w:val="951"/>
        <w:ind w:firstLine="420"/>
        <w:spacing w:line="360" w:lineRule="auto"/>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为生病学生等特殊需要同学提供暖心服务。（1分）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高质量完成甲方要求的临时性服务任务。（1分）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其它取得实效的特色服务措施与方法。（1分）</w:t>
      </w:r>
      <w:r>
        <w:rPr>
          <w:rFonts w:ascii="宋体" w:hAnsi="宋体" w:cs="宋体"/>
          <w:color w:val="000000"/>
        </w:rPr>
      </w:r>
      <w:r/>
    </w:p>
    <w:p>
      <w:pPr>
        <w:pStyle w:val="951"/>
        <w:jc w:val="center"/>
        <w:spacing w:line="360" w:lineRule="auto"/>
        <w:rPr>
          <w:rFonts w:ascii="黑体" w:hAnsi="黑体" w:eastAsia="黑体" w:cs="宋体"/>
          <w:b/>
          <w:color w:val="000000"/>
        </w:rPr>
      </w:pPr>
      <w:r>
        <w:rPr>
          <w:rFonts w:hint="eastAsia" w:ascii="黑体" w:hAnsi="黑体" w:eastAsia="黑体" w:cs="宋体"/>
          <w:b/>
          <w:color w:val="000000"/>
        </w:rPr>
        <w:t xml:space="preserve">第三章  考核方法和程序</w:t>
      </w:r>
      <w:r>
        <w:rPr>
          <w:rFonts w:ascii="黑体" w:hAnsi="黑体" w:eastAsia="黑体" w:cs="宋体"/>
          <w:b/>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本考核分定量考核和一票否决考核两类。其中定量考核含日常考核和集中考核两部分，均按总分100分量化评分。定量考核中日常考核占比70%，集中考核占比30%。</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一、日常考核</w:t>
      </w:r>
      <w:r>
        <w:rPr>
          <w:rFonts w:ascii="宋体" w:hAnsi="宋体" w:cs="宋体"/>
          <w:b/>
          <w:bCs/>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日常考核由甲方学生工作处学生社区舍管理与服务中心按以下程序具体执行：</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根据考核内容，每月对所有公寓站工作进行不定期检查并当月反馈，每月汇总检查结果。</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学生社区管理与服务中心汇总学校相关管理部门日常工作反馈意见、师生投诉情况、物业平时工作表现，综合计算各公寓站物业日常考核得分。</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对当月发生责任事故的公寓站，提出书面调查报告和处理意见报学生工作处认定。</w:t>
      </w:r>
      <w:r>
        <w:rPr>
          <w:rFonts w:ascii="宋体" w:hAnsi="宋体" w:cs="宋体"/>
          <w:color w:val="000000"/>
        </w:rPr>
      </w:r>
      <w:r/>
    </w:p>
    <w:p>
      <w:pPr>
        <w:pStyle w:val="951"/>
        <w:ind w:firstLine="420"/>
        <w:spacing w:after="120" w:line="360" w:lineRule="auto"/>
        <w:rPr>
          <w:rFonts w:ascii="宋体" w:hAnsi="宋体" w:cs="宋体"/>
          <w:color w:val="000000"/>
        </w:rPr>
      </w:pPr>
      <w:r>
        <w:rPr>
          <w:rFonts w:hint="eastAsia" w:ascii="宋体" w:hAnsi="宋体" w:cs="宋体"/>
          <w:color w:val="000000"/>
        </w:rPr>
        <w:t xml:space="preserve">4.甲方在日常检查中发现问题的，向乙方出具《整改通知书》，明确整改内容和期限，乙方应在规定期限内完成整改并书面报告整改结果。同一问题经两次整改仍不合格的，视为"整改不力"，纳入当月考核扣分。</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5</w:t>
      </w:r>
      <w:r>
        <w:rPr>
          <w:rFonts w:ascii="宋体" w:hAnsi="宋体" w:cs="宋体"/>
          <w:color w:val="000000"/>
        </w:rPr>
        <w:t xml:space="preserve">.</w:t>
      </w:r>
      <w:r>
        <w:rPr>
          <w:rFonts w:hint="eastAsia" w:ascii="宋体" w:hAnsi="宋体" w:cs="宋体"/>
          <w:color w:val="000000"/>
        </w:rPr>
        <w:t xml:space="preserve">学生社区管理与服务中心结合以上四项内容进行当月日常考核综合评分，评分结果为公寓站当月日常考核最终得分，并在每月的学生宿舍物业工作例会上反馈给各管理站和所属物业公司。</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6</w:t>
      </w:r>
      <w:r>
        <w:rPr>
          <w:rFonts w:ascii="宋体" w:hAnsi="宋体" w:cs="宋体"/>
          <w:color w:val="000000"/>
        </w:rPr>
        <w:t xml:space="preserve">.</w:t>
      </w:r>
      <w:r>
        <w:rPr>
          <w:rFonts w:hint="eastAsia" w:ascii="宋体" w:hAnsi="宋体" w:cs="宋体"/>
          <w:color w:val="000000"/>
        </w:rPr>
        <w:t xml:space="preserve">合同期内所有月份得分的平均值为该公寓站日常考核的最终得分，乙方所有公寓站月平均得分为乙方日常考核的最终得分。</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二、集中考核</w:t>
      </w:r>
      <w:r>
        <w:rPr>
          <w:rFonts w:ascii="宋体" w:hAnsi="宋体" w:cs="宋体"/>
          <w:b/>
          <w:bCs/>
          <w:color w:val="000000"/>
        </w:rPr>
      </w:r>
      <w:r/>
    </w:p>
    <w:p>
      <w:pPr>
        <w:pStyle w:val="951"/>
        <w:ind w:firstLine="420"/>
        <w:spacing w:line="360" w:lineRule="auto"/>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集中考核由甲方负责组织相关人员进行。考核小组由学生工作处老师、学生社区大学生自我管理委员会学生干部、二级学院辅导员老师及普通学生组成。</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考核小组每月月末对各公寓站进行一次集中考核评分。合同期内的集中考核月平均得分为该公寓站集中考核的最终得分；乙方所有公寓站集中考核最终得分为月平均值。</w:t>
      </w:r>
      <w:r>
        <w:rPr>
          <w:rFonts w:ascii="宋体" w:hAnsi="宋体" w:cs="宋体"/>
          <w:color w:val="000000"/>
        </w:rPr>
      </w:r>
      <w:r/>
    </w:p>
    <w:p>
      <w:pPr>
        <w:pStyle w:val="951"/>
        <w:ind w:firstLine="420"/>
        <w:spacing w:line="360" w:lineRule="auto"/>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日常考核月平均得分与集中考核月平均得分之和为乙方合同期最终定量考核考核得分。90≤得分≤100分为一等；85≤得分＜90分为二等；80≤得分＜85分为三等；79分及以下为四等。</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三、一票否决考核</w:t>
      </w:r>
      <w:r>
        <w:rPr>
          <w:rFonts w:ascii="宋体" w:hAnsi="宋体" w:cs="宋体"/>
          <w:b/>
          <w:bCs/>
          <w:color w:val="000000"/>
        </w:rPr>
      </w:r>
      <w:r/>
    </w:p>
    <w:p>
      <w:pPr>
        <w:pStyle w:val="951"/>
        <w:numPr>
          <w:ilvl w:val="0"/>
          <w:numId w:val="4"/>
        </w:numPr>
        <w:spacing w:beforeAutospacing="1" w:afterAutospacing="1"/>
        <w:widowControl/>
        <w:tabs>
          <w:tab w:val="left" w:pos="720" w:leader="none"/>
        </w:tabs>
        <w:rPr>
          <w:rFonts w:ascii="宋体" w:hAnsi="宋体" w:cs="宋体"/>
          <w:color w:val="000000"/>
        </w:rPr>
      </w:pPr>
      <w:r>
        <w:rPr>
          <w:rFonts w:hint="eastAsia" w:ascii="宋体" w:hAnsi="宋体" w:cs="宋体"/>
          <w:color w:val="000000"/>
        </w:rPr>
        <w:t xml:space="preserve">凡在合同期内乙方有公寓站出现下列八种情况之一，并经学生工作处认定属实的，甲方有权实行“一票否决”。 一票否决是指“根据事件情节将乙方合同期考核结果定为四等直至</w:t>
      </w:r>
      <w:r>
        <w:rPr>
          <w:rFonts w:hint="eastAsia" w:ascii="宋体" w:hAnsi="宋体" w:cs="宋体"/>
          <w:color w:val="000000"/>
        </w:rPr>
        <w:t xml:space="preserve">中止与乙方合同；事件造成的一切损失和后果由乙方承担；根据情节扣除乙方1000至2000元不等的合同保证金，一般责任事故：扣1000元，严重责任事故：扣1500元，重大责任事故：扣2000元。</w:t>
      </w:r>
      <w:r>
        <w:rPr>
          <w:rFonts w:ascii="宋体" w:hAnsi="宋体" w:cs="宋体"/>
          <w:color w:val="000000"/>
        </w:rPr>
      </w:r>
      <w:r/>
    </w:p>
    <w:p>
      <w:pPr>
        <w:pStyle w:val="951"/>
        <w:numPr>
          <w:ilvl w:val="0"/>
          <w:numId w:val="4"/>
        </w:numPr>
        <w:spacing w:beforeAutospacing="1" w:afterAutospacing="1"/>
        <w:widowControl/>
        <w:tabs>
          <w:tab w:val="left" w:pos="720" w:leader="none"/>
        </w:tabs>
        <w:rPr>
          <w:rFonts w:ascii="宋体" w:hAnsi="宋体" w:cs="宋体"/>
          <w:color w:val="000000"/>
        </w:rPr>
      </w:pPr>
      <w:r>
        <w:rPr>
          <w:rFonts w:hint="eastAsia" w:ascii="宋体" w:hAnsi="宋体" w:cs="宋体"/>
          <w:color w:val="000000"/>
        </w:rPr>
        <w:t xml:space="preserve">1.凡在学生公寓内发生因管理不善导致学生斗殴、男女同宿、火灾、学生伤亡等安全责任事故，经甲方调查认定管理站负有主要责任的。</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2.凡管理工作不到位、不规范，连续两次被学校主管部门通知整改的物业管理单位。</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3.凡因管理人员查房不负责任，导致宿舍水电等设施不能及时维修影响学生正常使用或造成水电浪费，或管理员对学生夜不归宿漏报、瞒报经查证属实，且经两次以上通知整改仍不合格的物业管理单位。</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4.凡因公寓物业在管理工作中方法失当、渎职引发学生矛盾造成严重后果的。</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5.对公寓内发生的违法违纪事件，不制止、不汇报或者制止不力、汇报不及时而造成严重后果的。</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6.甲方接到相关部门或老师、学生的投诉，经确认属乙方违反合同中有关规定或管理不当造成，乙方未能按要求限期整改或连续两次整改不合格。</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7.受托管理期内，如因管理不善发生治安、消防等重大责任事故或多次发生偷盗等治安事件的。</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8.连续两月月度考核得分低于79分且排名末位的。</w:t>
      </w:r>
      <w:r>
        <w:rPr>
          <w:rFonts w:ascii="宋体" w:hAnsi="宋体" w:cs="宋体"/>
          <w:color w:val="000000"/>
        </w:rPr>
      </w:r>
      <w:r/>
    </w:p>
    <w:p>
      <w:pPr>
        <w:pStyle w:val="951"/>
        <w:jc w:val="center"/>
        <w:spacing w:line="360" w:lineRule="auto"/>
        <w:rPr>
          <w:rFonts w:ascii="黑体" w:hAnsi="黑体" w:eastAsia="黑体" w:cs="宋体"/>
          <w:b/>
          <w:color w:val="000000"/>
        </w:rPr>
      </w:pPr>
      <w:r>
        <w:rPr>
          <w:rFonts w:hint="eastAsia" w:ascii="黑体" w:hAnsi="黑体" w:eastAsia="黑体" w:cs="宋体"/>
          <w:b/>
          <w:color w:val="000000"/>
        </w:rPr>
        <w:t xml:space="preserve">第四章  考核奖惩兑现</w:t>
      </w:r>
      <w:r>
        <w:rPr>
          <w:rFonts w:ascii="黑体" w:hAnsi="黑体" w:eastAsia="黑体" w:cs="宋体"/>
          <w:b/>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一、一票否决考核奖惩兑现</w:t>
      </w:r>
      <w:r>
        <w:rPr>
          <w:rFonts w:ascii="宋体" w:hAnsi="宋体" w:cs="宋体"/>
          <w:b/>
          <w:bCs/>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凡在合同期内发生“一票否决”情况的，处罚决定由甲方学生工作处批准后执行。</w:t>
      </w:r>
      <w:r>
        <w:rPr>
          <w:rFonts w:ascii="宋体" w:hAnsi="宋体" w:cs="宋体"/>
          <w:color w:val="000000"/>
        </w:rPr>
      </w:r>
      <w:r/>
    </w:p>
    <w:p>
      <w:pPr>
        <w:pStyle w:val="951"/>
        <w:ind w:firstLine="422"/>
        <w:spacing w:line="360" w:lineRule="auto"/>
        <w:rPr>
          <w:rFonts w:ascii="宋体" w:hAnsi="宋体" w:cs="宋体"/>
          <w:b/>
          <w:bCs/>
          <w:color w:val="000000"/>
        </w:rPr>
      </w:pPr>
      <w:r>
        <w:rPr>
          <w:rFonts w:hint="eastAsia" w:ascii="宋体" w:hAnsi="宋体" w:cs="宋体"/>
          <w:b/>
          <w:bCs/>
          <w:color w:val="000000"/>
        </w:rPr>
        <w:t xml:space="preserve">二、合同期定量考核奖惩兑现</w:t>
      </w:r>
      <w:r>
        <w:rPr>
          <w:rFonts w:ascii="宋体" w:hAnsi="宋体" w:cs="宋体"/>
          <w:b/>
          <w:bCs/>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1.各公寓站合同服务费的20%作为定量考核基金。定量考核奖惩兑现工作由甲方学生工作处核准后执行。</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2.定量考核成绩为一等的（90≤得分≤100），定量考核基金全额支付。</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3.定量考核成绩为二等的（85≤得分＜90），按定量考核基金的90%支付。</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4.定量考核成绩为三等的（80≤得分＜84），按定量考核基金的80%支付。</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5.</w:t>
      </w:r>
      <w:r>
        <w:rPr>
          <w:rFonts w:hint="eastAsia" w:ascii="宋体" w:hAnsi="宋体" w:cs="宋体"/>
        </w:rPr>
        <w:t xml:space="preserve">定量考核成绩为四等（79分及以下），扣除考核基金的30%，</w:t>
      </w:r>
      <w:r>
        <w:rPr>
          <w:rFonts w:hint="eastAsia" w:ascii="宋体" w:hAnsi="宋体" w:cs="宋体"/>
          <w:color w:val="000000"/>
        </w:rPr>
        <w:t xml:space="preserve">对</w:t>
      </w:r>
      <w:r>
        <w:rPr>
          <w:rFonts w:hint="eastAsia" w:ascii="宋体" w:hAnsi="宋体" w:cs="宋体"/>
          <w:color w:val="000000"/>
        </w:rPr>
        <w:t xml:space="preserve">所属物业公司予以淘汰警告。对于连续两次出现淘汰警告公寓站的物业公司，将作为下次招标的负面履约记录如实提供给评审委员会参考。</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7.由于乙方管理混乱，发生重大责任事故，给甲方造成重大经济损失或恶劣社会影响的，扣除全部定量考核基金，并保留对乙方要求经济赔偿或诉讼的权利。</w:t>
      </w:r>
      <w:r>
        <w:rPr>
          <w:rFonts w:ascii="宋体" w:hAnsi="宋体" w:cs="宋体"/>
          <w:color w:val="000000"/>
        </w:rPr>
      </w:r>
      <w:r/>
    </w:p>
    <w:p>
      <w:pPr>
        <w:pStyle w:val="951"/>
        <w:ind w:firstLine="420"/>
        <w:spacing w:after="120" w:line="360" w:lineRule="auto"/>
        <w:rPr>
          <w:rFonts w:ascii="宋体" w:hAnsi="宋体" w:cs="宋体"/>
          <w:color w:val="000000"/>
        </w:rPr>
      </w:pPr>
      <w:r>
        <w:rPr>
          <w:rFonts w:hint="eastAsia" w:ascii="宋体" w:hAnsi="宋体" w:cs="宋体"/>
          <w:color w:val="000000"/>
        </w:rPr>
        <w:t xml:space="preserve">8.合同期满前30日，甲方组织履约验收，验收内容包括但不限于： 固定资产完好率核查、管理档案完整性审查、服务满意度终期测评。 验收不合格的，乙方应在15日内完成整改； 逾期未整改或整改后仍不合格的，扣除全部定量考核基金。</w:t>
      </w:r>
      <w:r>
        <w:rPr>
          <w:rFonts w:ascii="宋体" w:hAnsi="宋体" w:cs="宋体"/>
          <w:color w:val="000000"/>
        </w:rPr>
      </w:r>
      <w:r/>
    </w:p>
    <w:p>
      <w:pPr>
        <w:pStyle w:val="951"/>
        <w:ind w:firstLine="420"/>
        <w:spacing w:after="120" w:line="360" w:lineRule="auto"/>
        <w:rPr>
          <w:rFonts w:ascii="宋体" w:hAnsi="宋体" w:cs="宋体"/>
          <w:color w:val="000000"/>
        </w:rPr>
      </w:pPr>
      <w:r>
        <w:rPr>
          <w:rFonts w:hint="eastAsia" w:ascii="宋体" w:hAnsi="宋体" w:cs="宋体"/>
          <w:color w:val="000000"/>
        </w:rPr>
        <w:t xml:space="preserve">9.乙方及其工作人员不得以任何形式向甲方工作人员提供回扣、礼金、有价证券、贵重物品或提供其他不正当利益。一经发现，甲方有权立即解除合同，扣除全部定量考核基金和履约保证金，并将相关线索移交纪检监察部门。</w:t>
      </w:r>
      <w:r>
        <w:rPr>
          <w:rFonts w:ascii="宋体" w:hAnsi="宋体" w:cs="宋体"/>
          <w:color w:val="000000"/>
        </w:rPr>
      </w:r>
      <w:r/>
    </w:p>
    <w:p>
      <w:pPr>
        <w:pStyle w:val="951"/>
        <w:jc w:val="center"/>
        <w:spacing w:line="360" w:lineRule="auto"/>
        <w:rPr>
          <w:rFonts w:ascii="黑体" w:hAnsi="黑体" w:eastAsia="黑体" w:cs="宋体"/>
          <w:b/>
          <w:color w:val="000000"/>
        </w:rPr>
      </w:pPr>
      <w:r>
        <w:rPr>
          <w:rFonts w:hint="eastAsia" w:ascii="黑体" w:hAnsi="黑体" w:eastAsia="黑体" w:cs="宋体"/>
          <w:b/>
          <w:color w:val="000000"/>
        </w:rPr>
        <w:t xml:space="preserve">第五章  其它</w:t>
      </w:r>
      <w:r>
        <w:rPr>
          <w:rFonts w:ascii="黑体" w:hAnsi="黑体" w:eastAsia="黑体" w:cs="宋体"/>
          <w:b/>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1.本考核细则自合同开始执行时实施，未尽事宜，另行补充。</w:t>
      </w:r>
      <w:r>
        <w:rPr>
          <w:rFonts w:ascii="宋体" w:hAnsi="宋体" w:cs="宋体"/>
          <w:color w:val="000000"/>
        </w:rPr>
      </w:r>
      <w:r/>
    </w:p>
    <w:p>
      <w:pPr>
        <w:pStyle w:val="951"/>
        <w:ind w:firstLine="420"/>
        <w:spacing w:line="360" w:lineRule="auto"/>
        <w:rPr>
          <w:rFonts w:ascii="宋体" w:hAnsi="宋体" w:cs="宋体"/>
          <w:color w:val="000000"/>
        </w:rPr>
      </w:pPr>
      <w:r>
        <w:rPr>
          <w:rFonts w:hint="eastAsia" w:ascii="宋体" w:hAnsi="宋体" w:cs="宋体"/>
          <w:color w:val="000000"/>
        </w:rPr>
        <w:t xml:space="preserve">2.本考核细则解释权归属甲方学生工作处。</w:t>
      </w:r>
      <w:r>
        <w:rPr>
          <w:rFonts w:ascii="宋体" w:hAnsi="宋体" w:cs="宋体"/>
          <w:color w:val="000000"/>
        </w:rPr>
      </w:r>
      <w:r/>
    </w:p>
    <w:p>
      <w:pPr>
        <w:pStyle w:val="987"/>
        <w:ind w:left="1260"/>
        <w:spacing w:line="360" w:lineRule="auto"/>
        <w:rPr>
          <w:rFonts w:ascii="宋体" w:hAnsi="宋体" w:cs="宋体"/>
          <w:color w:val="000000"/>
        </w:rPr>
      </w:pPr>
      <w:r>
        <w:rPr>
          <w:rFonts w:ascii="宋体" w:hAnsi="宋体" w:cs="宋体"/>
          <w:color w:val="000000"/>
        </w:rPr>
      </w:r>
      <w:r/>
    </w:p>
    <w:p>
      <w:pPr>
        <w:pStyle w:val="951"/>
        <w:spacing w:line="360" w:lineRule="auto"/>
        <w:rPr>
          <w:rFonts w:ascii="宋体" w:hAnsi="宋体" w:cs="宋体"/>
          <w:color w:val="000000"/>
          <w:highlight w:val="yellow"/>
        </w:rPr>
      </w:pPr>
      <w:r>
        <w:rPr>
          <w:rFonts w:ascii="宋体" w:hAnsi="宋体" w:cs="宋体"/>
          <w:color w:val="000000"/>
          <w:highlight w:val="yellow"/>
        </w:rPr>
      </w:r>
      <w:r/>
    </w:p>
    <w:p>
      <w:pPr>
        <w:pStyle w:val="951"/>
        <w:spacing w:line="360" w:lineRule="auto"/>
        <w:rPr>
          <w:rFonts w:ascii="Arial Unicode MS" w:hAnsi="宋体" w:eastAsia="Arial Unicode MS" w:cs="宋体"/>
          <w:bCs/>
          <w:color w:val="000000"/>
          <w:sz w:val="28"/>
          <w:szCs w:val="28"/>
        </w:rPr>
      </w:pPr>
      <w:r>
        <w:rPr>
          <w:rFonts w:ascii="Arial Unicode MS" w:hAnsi="宋体" w:eastAsia="Arial Unicode MS" w:cs="宋体"/>
          <w:bCs/>
          <w:color w:val="000000"/>
          <w:sz w:val="28"/>
          <w:szCs w:val="28"/>
        </w:rPr>
      </w:r>
      <w:r/>
    </w:p>
    <w:p>
      <w:pPr>
        <w:pStyle w:val="951"/>
        <w:jc w:val="center"/>
        <w:spacing w:line="360" w:lineRule="auto"/>
        <w:rPr>
          <w:rFonts w:ascii="Arial Unicode MS" w:hAnsi="宋体" w:eastAsia="Arial Unicode MS" w:cs="宋体"/>
          <w:bCs/>
          <w:color w:val="000000"/>
          <w:sz w:val="28"/>
          <w:szCs w:val="28"/>
        </w:rPr>
      </w:pPr>
      <w:r>
        <w:rPr>
          <w:rFonts w:hint="eastAsia" w:ascii="Arial Unicode MS" w:hAnsi="宋体" w:eastAsia="Arial Unicode MS" w:cs="宋体"/>
          <w:bCs/>
          <w:color w:val="000000"/>
          <w:sz w:val="28"/>
          <w:szCs w:val="28"/>
        </w:rPr>
        <w:t xml:space="preserve">南京工程学院学生公寓管理规定</w:t>
      </w:r>
      <w:r>
        <w:rPr>
          <w:rFonts w:ascii="Arial Unicode MS" w:hAnsi="宋体" w:eastAsia="Arial Unicode MS" w:cs="宋体"/>
          <w:bCs/>
          <w:color w:val="000000"/>
          <w:sz w:val="28"/>
          <w:szCs w:val="28"/>
        </w:rPr>
      </w:r>
      <w:r/>
    </w:p>
    <w:p>
      <w:pPr>
        <w:pStyle w:val="987"/>
        <w:ind w:left="0" w:firstLine="420"/>
        <w:spacing w:line="360" w:lineRule="auto"/>
        <w:rPr>
          <w:rFonts w:ascii="宋体" w:hAnsi="宋体" w:cs="宋体"/>
          <w:color w:val="000000"/>
        </w:rPr>
      </w:pP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为加强我校学生公寓管理，保证学生的人身和财产安全，维护学生正常的学习生活秩序，促进学生身心健康发展，结合我校实际情况，特制定本规定。</w:t>
      </w:r>
      <w:r>
        <w:rPr>
          <w:rFonts w:ascii="宋体" w:hAnsi="宋体" w:cs="宋体"/>
          <w:color w:val="000000"/>
        </w:rPr>
      </w:r>
      <w:r/>
    </w:p>
    <w:p>
      <w:pPr>
        <w:pStyle w:val="951"/>
        <w:jc w:val="center"/>
        <w:spacing w:line="360" w:lineRule="auto"/>
        <w:rPr>
          <w:rFonts w:ascii="黑体" w:hAnsi="黑体" w:eastAsia="黑体" w:cs="宋体"/>
          <w:b/>
          <w:color w:val="000000"/>
        </w:rPr>
      </w:pPr>
      <w:r>
        <w:rPr>
          <w:rFonts w:hint="eastAsia" w:ascii="黑体" w:hAnsi="黑体" w:eastAsia="黑体" w:cs="宋体"/>
          <w:b/>
          <w:color w:val="000000"/>
        </w:rPr>
        <w:t xml:space="preserve">第一章 住宿</w:t>
      </w:r>
      <w:r>
        <w:rPr>
          <w:rFonts w:ascii="黑体" w:hAnsi="黑体" w:eastAsia="黑体" w:cs="宋体"/>
          <w:b/>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第一条 所有学生的住宿必须经学生工作处批准，学生宿舍由学生工作处及各学院统一安排，各公寓管理单位负责管理。</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第二条 学生原则上不得在外住宿。如确有特殊情况需在外住宿（走读）的，应由学生本人提出书面申请，家长到学生所在学院办理相关手续，经所在学院审核后，报学生工作处批准。获准在校外住宿的学生应当定期向所在学院汇报有关情况。</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第三条 学生办理入住手续后，应严格按照指定的房间及床位入住，不得擅自占用、调换房间、床位及家具；未经允许不得添置个人家具等。</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第四条 房间由学校统一安装门锁，配发钥匙，不得私自更换门锁或配置钥匙，钥匙丢失应及时报告公寓管理单位配置并承担相关费用。</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第五条 学生应当按时回宿舍就寝，严禁夜不归宿，不得擅自在公寓内留宿他人。</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第六条 学生毕业、退学或休学须凭相关通知或证明到学生公寓管理单位办理有关手续，并在指定期限内搬离学生公寓。</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第七条 学生应当自觉遵守作息制度。</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第八条 在学校规定的学习时间内，学生不得在公寓里从事打扑克、看影碟、玩电子游戏等与学习无关的活动。</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第九条 在午休时间和晚上熄灯后，要保持宿舍安静，不得从事其它妨碍他人休息的活动。</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第十条 因特殊情况未按规定时间返回公寓就寝的，须凭本人证件登记后方可进入。</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第十一条 学生应当保持公寓内整洁、卫生，学生宿舍卫生实行轮值制和宿舍长负责制。</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第十二条 学生应当爱护公共设施，学生毕业、休学或退学，个人保管的公用物品应及时上交，非自然损坏的或丢失的要照价赔偿。</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第十三条 学生应当自觉服从学生公寓管理人员的管理，进出学生公寓应主动出示证件，并接受检查，严禁携带危险品或宠物进入公寓。</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第十四条 未经许可不得进入异性公寓。来访者应服从值班人员的管理。</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第十五条 在公寓区内，自行车应当按指定地点摆放。</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第十六条 足球、篮球、排球等运动器械须由公寓管理单位统一管理，未经许可，不得擅自带入公寓。</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第十七条 学生不得在公寓内从事促销或其他商业性活动。</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第十八条 不得从事赌博、斗殴、哄闹等各种不健康的活动。</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第十九条 在学生公寓内严禁使用明火（包括煤油炉、酒精炉、点蜡烛等）。</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第二十条 提高安全意识，发现安全隐患和灾害事故，应及时报告公寓值班室，并采取有效措施。</w:t>
      </w:r>
      <w:r>
        <w:rPr>
          <w:rFonts w:ascii="宋体" w:hAnsi="宋体" w:cs="宋体"/>
          <w:color w:val="000000"/>
        </w:rPr>
      </w:r>
      <w:r/>
    </w:p>
    <w:p>
      <w:pPr>
        <w:pStyle w:val="951"/>
        <w:jc w:val="center"/>
        <w:spacing w:line="360" w:lineRule="auto"/>
        <w:rPr>
          <w:rFonts w:ascii="黑体" w:hAnsi="黑体" w:eastAsia="黑体" w:cs="宋体"/>
          <w:b/>
          <w:color w:val="000000"/>
        </w:rPr>
      </w:pPr>
      <w:r>
        <w:rPr>
          <w:rFonts w:hint="eastAsia" w:ascii="黑体" w:hAnsi="黑体" w:eastAsia="黑体" w:cs="宋体"/>
          <w:b/>
          <w:color w:val="000000"/>
        </w:rPr>
        <w:t xml:space="preserve">第二章 水电</w:t>
      </w:r>
      <w:r>
        <w:rPr>
          <w:rFonts w:ascii="黑体" w:hAnsi="黑体" w:eastAsia="黑体" w:cs="宋体"/>
          <w:b/>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第二十一条 提倡节约用水用电。自觉做到人走灯灭水关，防止长明灯、长流水，杜绝各种浪费能源现象。</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第二十二条 学生宿舍用水用电收费标准按江苏省物价局、财政厅、教育厅相关规定（苏价费〔2002〕369号、苏财综〔2002〕162号）执行，即住校的每位学生在校学习期间每年免费使用不超过80千瓦时电和40吨水,超额部分按照南京市居民生活用水和用电的收费标准收取。</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第二十三条 用水和用电以宿舍为单位计量,宿舍内部（包括人员变动引起的）水电费的分摊由宿舍同学自行协商解决。</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第二十四条 在水电使用过程中如遇系统或设备故障，请及时向物业管理站反映，由物业管理单位妥善解决；如物业无法独立解决，由其拨打水电中心维修电话 18151007209（24 小时）、配电值班 86112266（8:00-16:40）。</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第二十五条 请自觉爱护校内水电设施，严禁私拉乱接电线,严禁在寝室内使用电炉、电热杯、电饭煲等违章电器。</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第二十六条 对故意损坏水电设施者，除按价赔偿外，同时将根据情节给予相应的处分。</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第二十七条 毕业生离校前应交清所有应缴纳的水电费，并经水电中心或物业管理站确认方可办理离校手续。</w:t>
      </w:r>
      <w:r>
        <w:rPr>
          <w:rFonts w:ascii="宋体" w:hAnsi="宋体" w:cs="宋体"/>
          <w:color w:val="000000"/>
        </w:rPr>
      </w:r>
      <w:r/>
    </w:p>
    <w:p>
      <w:pPr>
        <w:pStyle w:val="951"/>
        <w:jc w:val="center"/>
        <w:spacing w:line="360" w:lineRule="auto"/>
        <w:rPr>
          <w:rFonts w:ascii="黑体" w:hAnsi="黑体" w:eastAsia="黑体" w:cs="宋体"/>
          <w:b/>
          <w:color w:val="000000"/>
        </w:rPr>
      </w:pPr>
      <w:r>
        <w:rPr>
          <w:rFonts w:hint="eastAsia" w:ascii="黑体" w:hAnsi="黑体" w:eastAsia="黑体" w:cs="宋体"/>
          <w:b/>
          <w:color w:val="000000"/>
        </w:rPr>
        <w:t xml:space="preserve">第三章 电子产品与网络</w:t>
      </w:r>
      <w:r>
        <w:rPr>
          <w:rFonts w:ascii="黑体" w:hAnsi="黑体" w:eastAsia="黑体" w:cs="宋体"/>
          <w:b/>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第二十八条 自备电子产品的使用要求：1.学生使用自备电子产品应当以学习为主要目的，自觉遵守学校有关规定；2.自备电子产品属贵重物品，须自行妥善保管，注意安全防范；3.学生使用自备电子产品须协调处理好同宿舍成员的关系，不得影响他人，承担因使用自备电子产品而增加的费用开支；</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第二十九条 学生公寓网络的使用要求：1.自觉遵守《南京工程学院学生公寓计算机网络管理规定》。（详见网络与信息中心网站 http://nic.njit.edu.cn）2.为了全面、有效地管理学生公寓网络，学生不得接入除公寓网络以外的其他任何网络。3.按照有关规定办理相</w:t>
      </w:r>
      <w:r>
        <w:rPr>
          <w:rFonts w:hint="eastAsia" w:ascii="宋体" w:hAnsi="宋体" w:cs="宋体"/>
          <w:color w:val="000000"/>
        </w:rPr>
        <w:t xml:space="preserve">关手续后，都可成为公寓网络接入用户。学生公寓上网的电子产品、网卡和网线等设备费用自理。4.公寓网络所有用户在上网活动中应该遵守网络礼仪、道德规范、法律法规，不得从事危害公共安全、损害公众利益、侵害他人正当权益、窃取或泄露他人秘密以及有伤风化的活动。5.在网上发布信息应文明礼貌，不允许进行人身攻击，不允许捏造事实散布谣言，不允许通过校园网发送商业广告信息，不允许查找和散布黄色、反动信息，不允许泄露国家秘密或进行其他非法活动，不允许散布网络病毒，也不得通过公寓网络查阅、复制或在网上发布、传播含有上述内容的信息。</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第三十条 对因自备电子产品使用不当引起纠纷或违反有关规定的，学院有权取消该生或该宿舍的自备电子产品使用资格，并视情节给予批评教育直至纪律处分。</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第三十一条 各学院可以依据电子产品与网络相关规定，制定本学院的细则。</w:t>
      </w:r>
      <w:r>
        <w:rPr>
          <w:rFonts w:ascii="宋体" w:hAnsi="宋体" w:cs="宋体"/>
          <w:color w:val="000000"/>
        </w:rPr>
      </w:r>
      <w:r/>
    </w:p>
    <w:p>
      <w:pPr>
        <w:pStyle w:val="951"/>
        <w:jc w:val="center"/>
        <w:spacing w:line="360" w:lineRule="auto"/>
        <w:rPr>
          <w:rFonts w:ascii="黑体" w:hAnsi="黑体" w:eastAsia="黑体" w:cs="宋体"/>
          <w:b/>
          <w:color w:val="000000"/>
        </w:rPr>
      </w:pPr>
      <w:r>
        <w:rPr>
          <w:rFonts w:hint="eastAsia" w:ascii="黑体" w:hAnsi="黑体" w:eastAsia="黑体" w:cs="宋体"/>
          <w:b/>
          <w:color w:val="000000"/>
        </w:rPr>
        <w:t xml:space="preserve">第四章 “文明宿舍”评比</w:t>
      </w:r>
      <w:r>
        <w:rPr>
          <w:rFonts w:ascii="黑体" w:hAnsi="黑体" w:eastAsia="黑体" w:cs="宋体"/>
          <w:b/>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第三十二条 评比条件。1.宿舍成员应当模范遵守学校各项规章制度，遵守“学生公寓</w:t>
      </w:r>
      <w:r>
        <w:rPr>
          <w:rFonts w:ascii="宋体" w:hAnsi="宋体" w:cs="宋体"/>
          <w:color w:val="000000"/>
        </w:rPr>
      </w:r>
      <w:r/>
    </w:p>
    <w:p>
      <w:pPr>
        <w:pStyle w:val="987"/>
        <w:ind w:left="0"/>
        <w:spacing w:line="360" w:lineRule="auto"/>
        <w:rPr>
          <w:rFonts w:ascii="宋体" w:hAnsi="宋体" w:cs="宋体"/>
          <w:color w:val="000000"/>
        </w:rPr>
      </w:pPr>
      <w:r>
        <w:rPr>
          <w:rFonts w:hint="eastAsia" w:ascii="宋体" w:hAnsi="宋体" w:cs="宋体"/>
          <w:color w:val="000000"/>
        </w:rPr>
        <w:t xml:space="preserve">管理规定”，具有良好的学习风气，积极向上的精神状态及和谐的人际关系。2.坚持卫生值日制和宿舍长负责制。3.宿舍日常卫生优良，寝室内做到门窗、地面、墙壁、灯管、床铺清洁整齐；水瓶、茶缸、鞋子放置有序；室内布置协调，无乱贴画像、乱挂杂物现象；寝室内无污迹、水迹。4.爱护公共设施，节约用水用电。宿舍成员无使用明火现象，无私接电源、违章用水用电现象。5.遵守作息时间，按时起居，保持宿舍安静有序。</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第三十三条 评比比例。“文明宿舍”评选比例为公寓宿舍总数的 5%。</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第三十四条 评比程序。各学院（中心）申报，宿舍管理科以公寓站为单位，按照检查考核综合成绩排名确定。</w:t>
      </w:r>
      <w:r>
        <w:rPr>
          <w:rFonts w:ascii="宋体" w:hAnsi="宋体" w:cs="宋体"/>
          <w:color w:val="000000"/>
        </w:rPr>
      </w:r>
      <w:r/>
    </w:p>
    <w:p>
      <w:pPr>
        <w:pStyle w:val="987"/>
        <w:ind w:left="0" w:firstLine="420"/>
        <w:spacing w:line="360" w:lineRule="auto"/>
        <w:rPr>
          <w:rFonts w:ascii="宋体" w:hAnsi="宋体" w:cs="宋体"/>
          <w:color w:val="000000"/>
        </w:rPr>
      </w:pPr>
      <w:r>
        <w:rPr>
          <w:rFonts w:hint="eastAsia" w:ascii="宋体" w:hAnsi="宋体" w:cs="宋体"/>
          <w:color w:val="000000"/>
        </w:rPr>
        <w:t xml:space="preserve">第三十五条 奖励办法。1.对授予“文明宿舍”称号的，给予表彰奖励。2.“文明宿舍”成员在综合素质测评中给予加分。</w:t>
      </w:r>
      <w:r>
        <w:rPr>
          <w:rFonts w:ascii="宋体" w:hAnsi="宋体" w:cs="宋体"/>
          <w:color w:val="000000"/>
        </w:rPr>
      </w:r>
      <w:r/>
    </w:p>
    <w:p>
      <w:pPr>
        <w:pStyle w:val="951"/>
        <w:jc w:val="center"/>
        <w:spacing w:line="360" w:lineRule="auto"/>
        <w:rPr>
          <w:rFonts w:ascii="黑体" w:hAnsi="黑体" w:eastAsia="黑体" w:cs="宋体"/>
          <w:b/>
          <w:color w:val="000000"/>
        </w:rPr>
      </w:pPr>
      <w:r>
        <w:rPr>
          <w:rFonts w:hint="eastAsia" w:ascii="黑体" w:hAnsi="黑体" w:eastAsia="黑体" w:cs="宋体"/>
          <w:b/>
          <w:color w:val="000000"/>
        </w:rPr>
        <w:t xml:space="preserve">第五章 附则</w:t>
      </w:r>
      <w:r>
        <w:rPr>
          <w:rFonts w:ascii="黑体" w:hAnsi="黑体" w:eastAsia="黑体" w:cs="宋体"/>
          <w:b/>
          <w:color w:val="000000"/>
        </w:rPr>
      </w:r>
      <w:r/>
    </w:p>
    <w:p>
      <w:pPr>
        <w:pStyle w:val="987"/>
        <w:ind w:left="0" w:firstLine="420"/>
        <w:spacing w:line="360" w:lineRule="auto"/>
      </w:pPr>
      <w:r>
        <w:rPr>
          <w:rFonts w:hint="eastAsia" w:ascii="宋体" w:hAnsi="宋体" w:cs="宋体"/>
          <w:color w:val="000000"/>
        </w:rPr>
        <w:t xml:space="preserve">第三十六条 本规定自颁布之日起施行，解释权归学生工作处。</w:t>
      </w:r>
      <w:r/>
    </w:p>
    <w:p>
      <w:pPr>
        <w:pStyle w:val="952"/>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rPr>
          <w:rFonts w:hint="eastAsia" w:ascii="黑体" w:eastAsia="黑体"/>
          <w:sz w:val="44"/>
          <w:szCs w:val="44"/>
        </w:rPr>
      </w:pPr>
      <w:r>
        <w:rPr>
          <w:rFonts w:hint="eastAsia" w:ascii="黑体" w:eastAsia="黑体"/>
          <w:bCs/>
          <w:sz w:val="44"/>
        </w:rPr>
      </w:r>
      <w:r>
        <w:rPr>
          <w:rFonts w:hint="eastAsia" w:ascii="黑体" w:eastAsia="黑体"/>
          <w:bCs/>
          <w:sz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pStyle w:val="951"/>
        <w:rPr>
          <w:rFonts w:hint="eastAsia" w:ascii="黑体" w:eastAsia="黑体"/>
          <w:sz w:val="44"/>
          <w:szCs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1"/>
        <w:rPr>
          <w:rFonts w:hint="eastAsia" w:ascii="黑体" w:eastAsia="黑体"/>
          <w:bCs/>
          <w:sz w:val="44"/>
        </w:rPr>
      </w:pPr>
      <w:r>
        <w:rPr>
          <w:rFonts w:hint="eastAsia" w:ascii="黑体" w:eastAsia="黑体"/>
          <w:bCs/>
          <w:sz w:val="44"/>
        </w:rPr>
      </w:r>
      <w:r/>
    </w:p>
    <w:p>
      <w:pPr>
        <w:pStyle w:val="953"/>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t xml:space="preserve">第五章  评标方法与评标标准</w:t>
      </w:r>
      <w:r>
        <w:rPr>
          <w:rFonts w:hint="eastAsia" w:ascii="黑体" w:hAnsi="黑体" w:eastAsia="黑体" w:cs="Arial"/>
          <w:b/>
          <w:bCs/>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51"/>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1039"/>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w:t>
      </w:r>
      <w:r>
        <w:rPr>
          <w:rFonts w:hint="eastAsia" w:ascii="宋体" w:hAnsi="宋体"/>
          <w:sz w:val="28"/>
          <w:szCs w:val="28"/>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rPr>
          <w:rFonts w:hint="eastAsia" w:ascii="方正仿宋_GBK" w:hAnsi="方正仿宋_GBK" w:eastAsia="方正仿宋_GBK" w:cs="方正仿宋_GBK"/>
          <w:color w:val="000000"/>
          <w:sz w:val="28"/>
          <w:szCs w:val="28"/>
          <w:lang w:val="en-US" w:eastAsia="zh-CN" w:bidi="ar-SA"/>
        </w:rPr>
      </w:r>
      <w:r/>
    </w:p>
    <w:p>
      <w:pPr>
        <w:pStyle w:val="1039"/>
        <w:ind w:left="120"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rPr>
          <w:rFonts w:hint="eastAsia" w:ascii="宋体" w:hAnsi="宋体"/>
          <w:sz w:val="28"/>
          <w:szCs w:val="28"/>
        </w:rPr>
      </w:r>
      <w:r/>
    </w:p>
    <w:p>
      <w:pPr>
        <w:pStyle w:val="1039"/>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lang w:val="en-US" w:eastAsia="zh-CN" w:bidi="ar-SA"/>
        </w:rPr>
      </w:r>
      <w:r/>
    </w:p>
    <w:p>
      <w:pPr>
        <w:pStyle w:val="1039"/>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rPr>
          <w:rFonts w:hint="eastAsia" w:ascii="方正仿宋_GBK" w:hAnsi="方正仿宋_GBK" w:eastAsia="方正仿宋_GBK" w:cs="方正仿宋_GBK"/>
          <w:color w:val="000000"/>
          <w:sz w:val="28"/>
          <w:szCs w:val="28"/>
          <w:lang w:val="en-US" w:eastAsia="zh-CN" w:bidi="ar-SA"/>
        </w:rPr>
      </w:r>
      <w:r/>
    </w:p>
    <w:p>
      <w:pPr>
        <w:pStyle w:val="1039"/>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1039"/>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singl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b w:val="0"/>
          <w:bCs w:val="0"/>
          <w:color w:val="000000"/>
          <w:sz w:val="28"/>
          <w:szCs w:val="28"/>
          <w:u w:val="none"/>
        </w:rPr>
      </w:pPr>
      <w:r>
        <w:rPr>
          <w:rFonts w:hint="eastAsia" w:ascii="方正仿宋_GBK" w:hAnsi="方正仿宋_GBK" w:eastAsia="方正仿宋_GBK" w:cs="方正仿宋_GBK"/>
          <w:b w:val="0"/>
          <w:bCs w:val="0"/>
          <w:color w:val="000000"/>
          <w:sz w:val="28"/>
          <w:szCs w:val="28"/>
          <w:u w:val="none"/>
        </w:rPr>
        <w:t xml:space="preserve">7.</w:t>
      </w:r>
      <w:r>
        <w:rPr>
          <w:rFonts w:hint="eastAsia" w:ascii="方正仿宋_GBK" w:hAnsi="方正仿宋_GBK" w:eastAsia="方正仿宋_GBK" w:cs="方正仿宋_GBK"/>
          <w:b w:val="0"/>
          <w:bCs w:val="0"/>
          <w:color w:val="000000"/>
          <w:sz w:val="28"/>
          <w:szCs w:val="28"/>
          <w:u w:val="none"/>
          <w:lang w:val="en-US" w:eastAsia="zh-CN"/>
        </w:rPr>
        <w:t xml:space="preserve">4</w:t>
      </w:r>
      <w:r>
        <w:rPr>
          <w:rFonts w:hint="eastAsia" w:ascii="方正仿宋_GBK" w:hAnsi="方正仿宋_GBK" w:eastAsia="方正仿宋_GBK" w:cs="方正仿宋_GBK"/>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u w:val="none"/>
          <w:lang w:eastAsia="zh-CN"/>
        </w:rPr>
        <w:t xml:space="preserve">和招标文件</w:t>
      </w:r>
      <w:r>
        <w:rPr>
          <w:rFonts w:hint="eastAsia" w:ascii="方正仿宋_GBK" w:hAnsi="方正仿宋_GBK" w:eastAsia="方正仿宋_GBK" w:cs="方正仿宋_GBK"/>
          <w:b w:val="0"/>
          <w:bCs w:val="0"/>
          <w:color w:val="000000"/>
          <w:sz w:val="28"/>
          <w:szCs w:val="28"/>
          <w:u w:val="none"/>
        </w:rPr>
        <w:t xml:space="preserve">规定的，供应商提供的相关产品视为不符合本国产品标准。</w:t>
      </w:r>
      <w:r>
        <w:rPr>
          <w:rFonts w:hint="eastAsia" w:ascii="方正仿宋_GBK" w:hAnsi="方正仿宋_GBK" w:eastAsia="方正仿宋_GBK" w:cs="方正仿宋_GBK"/>
          <w:b w:val="0"/>
          <w:bCs w:val="0"/>
          <w:color w:val="000000"/>
          <w:sz w:val="28"/>
          <w:szCs w:val="28"/>
          <w:u w:val="none"/>
        </w:rPr>
      </w:r>
      <w:r/>
    </w:p>
    <w:p>
      <w:pPr>
        <w:pStyle w:val="1039"/>
        <w:ind w:firstLine="562"/>
        <w:pageBreakBefore w:val="0"/>
        <w:spacing w:line="400" w:lineRule="exact"/>
        <w:widowControl w:val="off"/>
        <w:rPr>
          <w:rFonts w:hint="eastAsia" w:ascii="宋体" w:hAnsi="宋体"/>
          <w:b/>
          <w:bCs/>
          <w:sz w:val="28"/>
          <w:szCs w:val="28"/>
        </w:rPr>
      </w:pPr>
      <w:r>
        <w:rPr>
          <w:rFonts w:hint="eastAsia" w:ascii="宋体" w:hAnsi="宋体"/>
          <w:b/>
          <w:sz w:val="28"/>
          <w:szCs w:val="28"/>
        </w:rPr>
        <w:t xml:space="preserve">注</w:t>
      </w:r>
      <w:r>
        <w:rPr>
          <w:rFonts w:hint="eastAsia" w:ascii="宋体" w:hAnsi="宋体"/>
          <w:b/>
          <w:sz w:val="28"/>
          <w:szCs w:val="28"/>
        </w:rPr>
        <w:t xml:space="preserve">：</w:t>
      </w:r>
      <w:r>
        <w:rPr>
          <w:rFonts w:hint="eastAsia" w:ascii="宋体" w:hAnsi="宋体"/>
          <w:b/>
          <w:sz w:val="28"/>
          <w:szCs w:val="28"/>
        </w:rPr>
        <w:t xml:space="preserve">本</w:t>
      </w:r>
      <w:r>
        <w:rPr>
          <w:rFonts w:hint="eastAsia" w:ascii="宋体" w:hAnsi="宋体"/>
          <w:b/>
          <w:sz w:val="28"/>
          <w:szCs w:val="28"/>
        </w:rPr>
        <w:t xml:space="preserve">项目</w:t>
      </w:r>
      <w:r>
        <w:rPr>
          <w:rFonts w:hint="eastAsia" w:ascii="宋体" w:hAnsi="宋体"/>
          <w:b/>
          <w:sz w:val="28"/>
          <w:szCs w:val="28"/>
        </w:rPr>
        <w:t xml:space="preserve">不涉及</w:t>
      </w:r>
      <w:r>
        <w:rPr>
          <w:rFonts w:hint="eastAsia" w:ascii="宋体" w:hAnsi="宋体"/>
          <w:b/>
          <w:sz w:val="28"/>
          <w:szCs w:val="28"/>
        </w:rPr>
        <w:t xml:space="preserve">本国产品</w:t>
      </w:r>
      <w:r>
        <w:rPr>
          <w:rFonts w:hint="eastAsia" w:ascii="宋体" w:hAnsi="宋体"/>
          <w:b/>
          <w:sz w:val="28"/>
          <w:szCs w:val="28"/>
        </w:rPr>
        <w:t xml:space="preserve">。</w:t>
      </w:r>
      <w:r>
        <w:rPr>
          <w:rFonts w:hint="eastAsia" w:ascii="宋体" w:hAnsi="宋体"/>
          <w:b/>
          <w:sz w:val="28"/>
          <w:szCs w:val="28"/>
        </w:rPr>
      </w:r>
      <w:r/>
    </w:p>
    <w:p>
      <w:pPr>
        <w:pStyle w:val="1039"/>
        <w:ind w:firstLine="562"/>
        <w:pageBreakBefore w:val="0"/>
        <w:spacing w:line="400" w:lineRule="exact"/>
        <w:widowControl w:val="off"/>
        <w:rPr>
          <w:rFonts w:hint="eastAsia" w:ascii="宋体" w:hAnsi="宋体"/>
          <w:b/>
          <w:bCs/>
          <w:sz w:val="28"/>
          <w:szCs w:val="28"/>
        </w:rPr>
      </w:pPr>
      <w:r>
        <w:rPr>
          <w:rFonts w:hint="eastAsia" w:ascii="宋体" w:hAnsi="宋体"/>
          <w:b/>
          <w:bCs/>
          <w:sz w:val="28"/>
          <w:szCs w:val="28"/>
        </w:rPr>
      </w:r>
      <w:r>
        <w:rPr>
          <w:rFonts w:hint="eastAsia" w:ascii="宋体" w:hAnsi="宋体"/>
          <w:b/>
          <w:bCs/>
          <w:sz w:val="28"/>
          <w:szCs w:val="28"/>
        </w:rPr>
      </w:r>
      <w:r/>
    </w:p>
    <w:p>
      <w:pPr>
        <w:pStyle w:val="1039"/>
        <w:ind w:firstLine="0"/>
        <w:pageBreakBefore w:val="0"/>
        <w:spacing w:line="400" w:lineRule="exact"/>
        <w:widowControl w:val="off"/>
        <w:rPr>
          <w:rFonts w:hint="eastAsia" w:ascii="宋体" w:hAnsi="宋体"/>
          <w:b/>
          <w:sz w:val="28"/>
          <w:szCs w:val="28"/>
        </w:rPr>
      </w:pPr>
      <w:r>
        <w:rPr>
          <w:rFonts w:hint="eastAsia" w:ascii="宋体" w:hAnsi="宋体"/>
          <w:b/>
          <w:sz w:val="28"/>
          <w:szCs w:val="28"/>
        </w:rPr>
      </w:r>
      <w:r/>
    </w:p>
    <w:p>
      <w:pPr>
        <w:pStyle w:val="951"/>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p>
      <w:pPr>
        <w:pStyle w:val="951"/>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 </w:t>
      </w:r>
      <w:r>
        <w:rPr>
          <w:rFonts w:hint="eastAsia" w:ascii="方正仿宋_GBK" w:hAnsi="方正仿宋_GBK" w:eastAsia="方正仿宋_GBK" w:cs="方正仿宋_GBK"/>
          <w:b/>
          <w:color w:val="000000"/>
          <w:sz w:val="28"/>
          <w:szCs w:val="28"/>
        </w:rPr>
      </w:r>
      <w:r/>
    </w:p>
    <w:tbl>
      <w:tblPr>
        <w:tblW w:w="86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6286"/>
        <w:gridCol w:w="1079"/>
      </w:tblGrid>
      <w:tr>
        <w:trPr>
          <w:trHeight w:val="522"/>
          <w:tblHeader/>
        </w:trPr>
        <w:tc>
          <w:tcPr>
            <w:tcW w:w="1275" w:type="dxa"/>
            <w:vAlign w:val="center"/>
            <w:textDirection w:val="lrTb"/>
            <w:noWrap w:val="false"/>
          </w:tcPr>
          <w:p>
            <w:pPr>
              <w:pStyle w:val="951"/>
              <w:jc w:val="center"/>
              <w:spacing w:line="360" w:lineRule="auto"/>
              <w:rPr>
                <w:rFonts w:ascii="宋体" w:hAnsi="宋体"/>
                <w:color w:val="000000"/>
                <w:highlight w:val="none"/>
              </w:rPr>
            </w:pPr>
            <w:r>
              <w:rPr>
                <w:rFonts w:hint="eastAsia" w:ascii="宋体" w:hAnsi="宋体"/>
                <w:color w:val="000000"/>
                <w:highlight w:val="none"/>
              </w:rPr>
              <w:t xml:space="preserve">评分因素</w:t>
            </w:r>
            <w:r>
              <w:rPr>
                <w:rFonts w:ascii="宋体" w:hAnsi="宋体"/>
                <w:color w:val="000000"/>
                <w:highlight w:val="none"/>
              </w:rPr>
            </w:r>
            <w:r/>
          </w:p>
        </w:tc>
        <w:tc>
          <w:tcPr>
            <w:tcW w:w="6286" w:type="dxa"/>
            <w:vAlign w:val="center"/>
            <w:textDirection w:val="lrTb"/>
            <w:noWrap w:val="false"/>
          </w:tcPr>
          <w:p>
            <w:pPr>
              <w:pStyle w:val="951"/>
              <w:ind w:firstLine="2100"/>
              <w:spacing w:line="360" w:lineRule="auto"/>
              <w:rPr>
                <w:rFonts w:ascii="宋体" w:hAnsi="宋体"/>
                <w:color w:val="000000"/>
                <w:highlight w:val="none"/>
              </w:rPr>
            </w:pPr>
            <w:r>
              <w:rPr>
                <w:rFonts w:hint="eastAsia" w:ascii="宋体" w:hAnsi="宋体"/>
                <w:color w:val="000000"/>
                <w:highlight w:val="none"/>
              </w:rPr>
              <w:t xml:space="preserve">评审标准</w:t>
            </w:r>
            <w:r>
              <w:rPr>
                <w:rFonts w:ascii="宋体" w:hAnsi="宋体"/>
                <w:color w:val="000000"/>
                <w:highlight w:val="none"/>
              </w:rPr>
            </w:r>
            <w:r/>
          </w:p>
        </w:tc>
        <w:tc>
          <w:tcPr>
            <w:tcW w:w="1079" w:type="dxa"/>
            <w:vAlign w:val="center"/>
            <w:textDirection w:val="lrTb"/>
            <w:noWrap w:val="false"/>
          </w:tcPr>
          <w:p>
            <w:pPr>
              <w:pStyle w:val="951"/>
              <w:jc w:val="center"/>
              <w:spacing w:line="360" w:lineRule="auto"/>
              <w:rPr>
                <w:rFonts w:ascii="宋体" w:hAnsi="宋体"/>
                <w:color w:val="000000"/>
                <w:highlight w:val="none"/>
              </w:rPr>
            </w:pPr>
            <w:r>
              <w:rPr>
                <w:rFonts w:hint="eastAsia" w:ascii="宋体" w:hAnsi="宋体"/>
                <w:color w:val="000000"/>
                <w:highlight w:val="none"/>
              </w:rPr>
              <w:t xml:space="preserve">分值</w:t>
            </w:r>
            <w:r>
              <w:rPr>
                <w:rFonts w:ascii="宋体" w:hAnsi="宋体"/>
                <w:color w:val="000000"/>
                <w:highlight w:val="none"/>
              </w:rPr>
            </w:r>
            <w:r/>
          </w:p>
        </w:tc>
      </w:tr>
      <w:tr>
        <w:trPr>
          <w:trHeight w:val="1400"/>
          <w:tblHeader/>
        </w:trPr>
        <w:tc>
          <w:tcPr>
            <w:tcW w:w="1275" w:type="dxa"/>
            <w:vAlign w:val="center"/>
            <w:textDirection w:val="lrTb"/>
            <w:noWrap w:val="false"/>
          </w:tcPr>
          <w:p>
            <w:pPr>
              <w:pStyle w:val="951"/>
              <w:jc w:val="center"/>
              <w:rPr>
                <w:rFonts w:ascii="宋体" w:hAnsi="宋体"/>
                <w:color w:val="000000"/>
                <w:highlight w:val="none"/>
              </w:rPr>
            </w:pPr>
            <w:r>
              <w:rPr>
                <w:rFonts w:hint="eastAsia" w:ascii="宋体" w:hAnsi="宋体"/>
                <w:color w:val="000000"/>
                <w:highlight w:val="none"/>
              </w:rPr>
              <w:t xml:space="preserve">1.价格</w:t>
            </w:r>
            <w:r>
              <w:rPr>
                <w:rFonts w:ascii="宋体" w:hAnsi="宋体"/>
                <w:color w:val="000000"/>
                <w:highlight w:val="none"/>
              </w:rPr>
            </w:r>
            <w:r/>
          </w:p>
          <w:p>
            <w:pPr>
              <w:pStyle w:val="951"/>
              <w:jc w:val="center"/>
              <w:rPr>
                <w:rFonts w:ascii="宋体" w:hAnsi="宋体"/>
                <w:color w:val="000000"/>
                <w:highlight w:val="none"/>
              </w:rPr>
            </w:pPr>
            <w:r>
              <w:rPr>
                <w:rFonts w:hint="eastAsia" w:ascii="宋体" w:hAnsi="宋体"/>
                <w:color w:val="000000"/>
                <w:highlight w:val="none"/>
              </w:rPr>
              <w:t xml:space="preserve">（40分）</w:t>
            </w:r>
            <w:r>
              <w:rPr>
                <w:rFonts w:ascii="宋体" w:hAnsi="宋体"/>
                <w:color w:val="000000"/>
                <w:highlight w:val="none"/>
              </w:rPr>
            </w:r>
            <w:r/>
          </w:p>
        </w:tc>
        <w:tc>
          <w:tcPr>
            <w:tcW w:w="6286" w:type="dxa"/>
            <w:vAlign w:val="center"/>
            <w:textDirection w:val="lrTb"/>
            <w:noWrap w:val="false"/>
          </w:tcPr>
          <w:p>
            <w:pPr>
              <w:pStyle w:val="951"/>
              <w:rPr>
                <w:rFonts w:ascii="宋体" w:hAnsi="宋体" w:cs="宋体"/>
                <w:color w:val="000000"/>
                <w:highlight w:val="none"/>
              </w:rPr>
            </w:pPr>
            <w:r>
              <w:rPr>
                <w:rFonts w:hint="eastAsia" w:ascii="宋体" w:hAnsi="宋体" w:cs="宋体"/>
                <w:color w:val="000000"/>
                <w:highlight w:val="none"/>
              </w:rPr>
              <w:t xml:space="preserve">采用低价优先法计算，即满足招标文件要求且投标价格最低的投标报价为评标基准价，其价格分为满分。其他供应商的价格分按照下列公式计算（小数点保留两位）：</w:t>
            </w:r>
            <w:r>
              <w:rPr>
                <w:rFonts w:ascii="宋体" w:hAnsi="宋体" w:cs="宋体"/>
                <w:color w:val="000000"/>
                <w:highlight w:val="none"/>
              </w:rPr>
            </w:r>
            <w:r/>
          </w:p>
          <w:p>
            <w:pPr>
              <w:pStyle w:val="951"/>
              <w:rPr>
                <w:rFonts w:ascii="宋体" w:hAnsi="宋体"/>
                <w:color w:val="000000"/>
                <w:highlight w:val="none"/>
              </w:rPr>
            </w:pPr>
            <w:r>
              <w:rPr>
                <w:rFonts w:hint="eastAsia" w:ascii="宋体" w:hAnsi="宋体" w:cs="宋体"/>
                <w:color w:val="000000"/>
                <w:highlight w:val="none"/>
              </w:rPr>
              <w:t xml:space="preserve">投标报价得分=(评标基准价／投标报价)×40，保留两位小数</w:t>
            </w:r>
            <w:r>
              <w:rPr>
                <w:rFonts w:ascii="宋体" w:hAnsi="宋体"/>
                <w:color w:val="000000"/>
                <w:highlight w:val="none"/>
              </w:rPr>
            </w:r>
            <w:r/>
          </w:p>
        </w:tc>
        <w:tc>
          <w:tcPr>
            <w:tcW w:w="1079" w:type="dxa"/>
            <w:vAlign w:val="center"/>
            <w:textDirection w:val="lrTb"/>
            <w:noWrap w:val="false"/>
          </w:tcPr>
          <w:p>
            <w:pPr>
              <w:pStyle w:val="951"/>
              <w:jc w:val="center"/>
              <w:rPr>
                <w:rFonts w:ascii="宋体" w:hAnsi="宋体"/>
                <w:color w:val="000000"/>
                <w:highlight w:val="none"/>
              </w:rPr>
            </w:pPr>
            <w:r>
              <w:rPr>
                <w:rFonts w:hint="eastAsia" w:ascii="宋体" w:hAnsi="宋体"/>
                <w:color w:val="000000"/>
                <w:highlight w:val="none"/>
              </w:rPr>
              <w:t xml:space="preserve">40</w:t>
            </w:r>
            <w:r>
              <w:rPr>
                <w:rFonts w:ascii="宋体" w:hAnsi="宋体"/>
                <w:color w:val="000000"/>
                <w:highlight w:val="none"/>
              </w:rPr>
            </w:r>
            <w:r/>
          </w:p>
        </w:tc>
      </w:tr>
      <w:tr>
        <w:trPr>
          <w:trHeight w:val="2158"/>
          <w:tblHeader/>
        </w:trPr>
        <w:tc>
          <w:tcPr>
            <w:tcW w:w="1275" w:type="dxa"/>
            <w:vAlign w:val="center"/>
            <w:vMerge w:val="restart"/>
            <w:textDirection w:val="lrTb"/>
            <w:noWrap w:val="false"/>
          </w:tcPr>
          <w:p>
            <w:pPr>
              <w:pStyle w:val="951"/>
              <w:jc w:val="center"/>
              <w:rPr>
                <w:rFonts w:ascii="宋体" w:hAnsi="宋体"/>
                <w:color w:val="000000"/>
                <w:highlight w:val="none"/>
              </w:rPr>
            </w:pPr>
            <w:r>
              <w:rPr>
                <w:rFonts w:hint="eastAsia" w:ascii="宋体" w:hAnsi="宋体"/>
                <w:color w:val="000000"/>
                <w:highlight w:val="none"/>
              </w:rPr>
              <w:t xml:space="preserve">2.服务方案</w:t>
            </w:r>
            <w:r>
              <w:rPr>
                <w:rFonts w:ascii="宋体" w:hAnsi="宋体"/>
                <w:color w:val="000000"/>
                <w:highlight w:val="none"/>
              </w:rPr>
            </w:r>
            <w:r/>
          </w:p>
          <w:p>
            <w:pPr>
              <w:pStyle w:val="951"/>
              <w:jc w:val="center"/>
              <w:rPr>
                <w:rFonts w:ascii="宋体" w:hAnsi="宋体"/>
                <w:color w:val="000000"/>
                <w:highlight w:val="none"/>
              </w:rPr>
            </w:pPr>
            <w:r>
              <w:rPr>
                <w:rFonts w:hint="eastAsia" w:ascii="宋体" w:hAnsi="宋体"/>
                <w:color w:val="000000"/>
                <w:highlight w:val="none"/>
              </w:rPr>
              <w:t xml:space="preserve">（</w:t>
            </w:r>
            <w:r>
              <w:rPr>
                <w:rFonts w:hint="eastAsia" w:ascii="宋体" w:hAnsi="宋体"/>
                <w:color w:val="000000"/>
                <w:highlight w:val="none"/>
                <w:lang w:val="en-US" w:eastAsia="zh-CN"/>
              </w:rPr>
              <w:t xml:space="preserve">40</w:t>
            </w:r>
            <w:r>
              <w:rPr>
                <w:rFonts w:hint="eastAsia" w:ascii="宋体" w:hAnsi="宋体"/>
                <w:color w:val="000000"/>
                <w:highlight w:val="none"/>
              </w:rPr>
              <w:t xml:space="preserve">分）</w:t>
            </w:r>
            <w:r>
              <w:rPr>
                <w:rFonts w:ascii="宋体" w:hAnsi="宋体"/>
                <w:color w:val="000000"/>
                <w:highlight w:val="none"/>
              </w:rPr>
            </w:r>
            <w:r/>
          </w:p>
        </w:tc>
        <w:tc>
          <w:tcPr>
            <w:tcW w:w="6286" w:type="dxa"/>
            <w:vAlign w:val="center"/>
            <w:textDirection w:val="lrTb"/>
            <w:noWrap w:val="false"/>
          </w:tcPr>
          <w:p>
            <w:pPr>
              <w:pStyle w:val="951"/>
              <w:rPr>
                <w:rFonts w:ascii="宋体" w:hAnsi="宋体" w:cs="宋体"/>
                <w:color w:val="000000"/>
                <w:highlight w:val="none"/>
              </w:rPr>
            </w:pPr>
            <w:r>
              <w:rPr>
                <w:rFonts w:hint="eastAsia" w:ascii="宋体" w:hAnsi="宋体" w:cs="宋体"/>
                <w:color w:val="000000"/>
                <w:highlight w:val="none"/>
                <w:lang w:val="en-US" w:eastAsia="zh-CN"/>
              </w:rPr>
              <w:t xml:space="preserve">2.1项目总体实施</w:t>
            </w:r>
            <w:r>
              <w:rPr>
                <w:rFonts w:hint="eastAsia" w:ascii="宋体" w:hAnsi="宋体" w:cs="宋体"/>
                <w:color w:val="000000"/>
                <w:highlight w:val="none"/>
              </w:rPr>
              <w:t xml:space="preserve">方案（</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s="宋体"/>
                <w:color w:val="000000"/>
                <w:highlight w:val="none"/>
              </w:rPr>
            </w:r>
            <w:r/>
          </w:p>
          <w:p>
            <w:pPr>
              <w:pStyle w:val="951"/>
              <w:rPr>
                <w:rFonts w:ascii="宋体" w:hAnsi="宋体" w:cs="宋体"/>
                <w:color w:val="000000"/>
                <w:highlight w:val="none"/>
              </w:rPr>
            </w:pPr>
            <w:r>
              <w:rPr>
                <w:rFonts w:hint="eastAsia" w:ascii="宋体" w:hAnsi="宋体" w:cs="宋体"/>
                <w:color w:val="000000"/>
                <w:highlight w:val="none"/>
              </w:rPr>
              <w:t xml:space="preserve">评委根据投标文件对第四章 “采购需求” 中 “</w:t>
            </w:r>
            <w:r>
              <w:rPr>
                <w:rFonts w:hint="eastAsia" w:ascii="宋体" w:hAnsi="宋体" w:cs="宋体"/>
                <w:color w:val="000000"/>
                <w:highlight w:val="none"/>
                <w:lang w:val="en-US" w:eastAsia="zh-CN"/>
              </w:rPr>
              <w:t xml:space="preserve">项目总体实施</w:t>
            </w:r>
            <w:r>
              <w:rPr>
                <w:rFonts w:hint="eastAsia" w:ascii="宋体" w:hAnsi="宋体" w:cs="宋体"/>
                <w:color w:val="000000"/>
                <w:highlight w:val="none"/>
              </w:rPr>
              <w:t xml:space="preserve">案” 响应情况进行评审。</w:t>
            </w:r>
            <w:r>
              <w:rPr>
                <w:rFonts w:ascii="宋体" w:hAnsi="宋体" w:cs="宋体"/>
                <w:color w:val="000000"/>
                <w:highlight w:val="none"/>
              </w:rPr>
            </w:r>
            <w:r/>
          </w:p>
          <w:p>
            <w:pPr>
              <w:pStyle w:val="951"/>
              <w:rPr>
                <w:rFonts w:ascii="宋体" w:hAnsi="宋体" w:cs="宋体"/>
                <w:color w:val="000000"/>
                <w:highlight w:val="none"/>
              </w:rPr>
            </w:pPr>
            <w:r>
              <w:rPr>
                <w:rFonts w:hint="eastAsia" w:ascii="宋体" w:hAnsi="宋体" w:cs="宋体"/>
                <w:color w:val="000000"/>
                <w:highlight w:val="none"/>
              </w:rPr>
              <w:t xml:space="preserve">1）投标文件未符合 “</w:t>
            </w:r>
            <w:r>
              <w:rPr>
                <w:rFonts w:hint="eastAsia" w:ascii="宋体" w:hAnsi="宋体" w:cs="宋体"/>
                <w:color w:val="000000"/>
                <w:highlight w:val="none"/>
                <w:lang w:val="en-US" w:eastAsia="zh-CN"/>
              </w:rPr>
              <w:t xml:space="preserve">项目总体实施方</w:t>
            </w:r>
            <w:r>
              <w:rPr>
                <w:rFonts w:hint="eastAsia" w:ascii="宋体" w:hAnsi="宋体" w:cs="宋体"/>
                <w:color w:val="000000"/>
                <w:highlight w:val="none"/>
              </w:rPr>
              <w:t xml:space="preserve">案” 中全部条款要求的，视为不符合招标文件，本项得 0 分。</w:t>
            </w:r>
            <w:r>
              <w:rPr>
                <w:rFonts w:ascii="宋体" w:hAnsi="宋体" w:cs="宋体"/>
                <w:color w:val="000000"/>
                <w:highlight w:val="none"/>
              </w:rPr>
            </w:r>
            <w:r/>
          </w:p>
          <w:p>
            <w:pPr>
              <w:pStyle w:val="951"/>
              <w:rPr>
                <w:rFonts w:hint="eastAsia" w:ascii="宋体" w:hAnsi="宋体" w:cs="宋体"/>
                <w:color w:val="000000"/>
                <w:highlight w:val="none"/>
                <w:lang w:val="en-US" w:eastAsia="zh-CN"/>
              </w:rPr>
            </w:pPr>
            <w:r>
              <w:rPr>
                <w:rFonts w:hint="eastAsia" w:ascii="宋体" w:hAnsi="宋体" w:cs="宋体"/>
                <w:color w:val="000000"/>
                <w:highlight w:val="none"/>
              </w:rPr>
              <w:t xml:space="preserve">2）投标文件符合 “</w:t>
            </w:r>
            <w:r>
              <w:rPr>
                <w:rFonts w:hint="eastAsia" w:ascii="宋体" w:hAnsi="宋体" w:cs="宋体"/>
                <w:color w:val="000000"/>
                <w:highlight w:val="none"/>
                <w:lang w:val="en-US" w:eastAsia="zh-CN"/>
              </w:rPr>
              <w:t xml:space="preserve">项目总体实施方案</w:t>
            </w:r>
            <w:r>
              <w:rPr>
                <w:rFonts w:hint="eastAsia" w:ascii="宋体" w:hAnsi="宋体" w:cs="宋体"/>
                <w:color w:val="000000"/>
                <w:highlight w:val="none"/>
              </w:rPr>
              <w:t xml:space="preserve">” 中全部条款要求的，视为符合招标文件，本项得 </w:t>
            </w:r>
            <w:r>
              <w:rPr>
                <w:rFonts w:hint="eastAsia" w:ascii="宋体" w:hAnsi="宋体" w:cs="宋体"/>
                <w:color w:val="000000"/>
                <w:highlight w:val="none"/>
                <w:lang w:val="en-US" w:eastAsia="zh-CN"/>
              </w:rPr>
              <w:t xml:space="preserve">3分。</w:t>
            </w:r>
            <w:r>
              <w:rPr>
                <w:rFonts w:hint="eastAsia" w:ascii="宋体" w:hAnsi="宋体" w:cs="宋体"/>
                <w:color w:val="000000"/>
                <w:highlight w:val="none"/>
                <w:lang w:val="en-US" w:eastAsia="zh-CN"/>
              </w:rPr>
            </w:r>
            <w:r/>
          </w:p>
          <w:p>
            <w:pPr>
              <w:pStyle w:val="951"/>
              <w:rPr>
                <w:rFonts w:ascii="宋体" w:hAnsi="宋体"/>
                <w:color w:val="000000"/>
                <w:highlight w:val="none"/>
              </w:rPr>
            </w:pPr>
            <w:r>
              <w:rPr>
                <w:rFonts w:hint="eastAsia" w:ascii="宋体" w:hAnsi="宋体" w:cs="宋体"/>
                <w:color w:val="000000"/>
                <w:highlight w:val="none"/>
                <w:lang w:val="en-US" w:eastAsia="zh-CN"/>
              </w:rPr>
              <w:t xml:space="preserve">3）</w:t>
            </w:r>
            <w:r>
              <w:rPr>
                <w:color w:val="000000"/>
                <w:highlight w:val="none"/>
              </w:rPr>
              <w:t xml:space="preserve">经评委认定，投标文件</w:t>
            </w:r>
            <w:r>
              <w:rPr>
                <w:rFonts w:hint="eastAsia" w:ascii="宋体" w:hAnsi="宋体" w:cs="宋体"/>
                <w:color w:val="000000"/>
                <w:highlight w:val="none"/>
              </w:rPr>
              <w:t xml:space="preserve">对 </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项目总体实施方案</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中“项目服务定位”、“全链条整体服务流程”二项要求的</w:t>
            </w:r>
            <w:r>
              <w:rPr>
                <w:rFonts w:hint="eastAsia" w:ascii="宋体" w:hAnsi="宋体" w:cs="宋体"/>
                <w:color w:val="000000"/>
                <w:highlight w:val="none"/>
              </w:rPr>
              <w:t xml:space="preserve">响应内容全部优于招标文件要求的</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投标文件对“项目总体实施方案”中除“项目服务定位”、“全链条整体服务流程”外其他要求响应内容符合招标文件要求）</w:t>
            </w:r>
            <w:r>
              <w:rPr>
                <w:rFonts w:hint="eastAsia" w:ascii="宋体" w:hAnsi="宋体" w:cs="宋体"/>
                <w:color w:val="000000"/>
                <w:highlight w:val="none"/>
              </w:rPr>
              <w:t xml:space="preserve">，本项得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olor w:val="000000"/>
                <w:highlight w:val="none"/>
              </w:rPr>
            </w:r>
            <w:r/>
          </w:p>
        </w:tc>
        <w:tc>
          <w:tcPr>
            <w:tcW w:w="1079" w:type="dxa"/>
            <w:vAlign w:val="center"/>
            <w:textDirection w:val="lrTb"/>
            <w:noWrap w:val="false"/>
          </w:tcPr>
          <w:p>
            <w:pPr>
              <w:pStyle w:val="951"/>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r>
            <w:r/>
          </w:p>
        </w:tc>
      </w:tr>
      <w:tr>
        <w:trPr>
          <w:trHeight w:val="1940"/>
          <w:tblHeader/>
        </w:trPr>
        <w:tc>
          <w:tcPr>
            <w:tcW w:w="1275" w:type="dxa"/>
            <w:vAlign w:val="center"/>
            <w:vMerge w:val="continue"/>
            <w:textDirection w:val="lrTb"/>
            <w:noWrap w:val="false"/>
          </w:tcPr>
          <w:p>
            <w:pPr>
              <w:pStyle w:val="951"/>
              <w:jc w:val="center"/>
              <w:rPr>
                <w:rFonts w:ascii="宋体" w:hAnsi="宋体"/>
                <w:color w:val="000000"/>
                <w:highlight w:val="none"/>
              </w:rPr>
            </w:pPr>
            <w:r>
              <w:rPr>
                <w:rFonts w:ascii="宋体" w:hAnsi="宋体"/>
                <w:color w:val="000000"/>
                <w:highlight w:val="none"/>
              </w:rPr>
            </w:r>
            <w:r/>
          </w:p>
        </w:tc>
        <w:tc>
          <w:tcPr>
            <w:tcW w:w="6286" w:type="dxa"/>
            <w:vAlign w:val="center"/>
            <w:textDirection w:val="lrTb"/>
            <w:noWrap w:val="false"/>
          </w:tcPr>
          <w:p>
            <w:pPr>
              <w:pStyle w:val="951"/>
              <w:rPr>
                <w:rFonts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安全管理方案（</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s="宋体"/>
                <w:color w:val="000000"/>
                <w:highlight w:val="none"/>
              </w:rPr>
            </w:r>
            <w:r/>
          </w:p>
          <w:p>
            <w:pPr>
              <w:pStyle w:val="951"/>
              <w:rPr>
                <w:color w:val="000000"/>
                <w:highlight w:val="none"/>
              </w:rPr>
            </w:pPr>
            <w:r>
              <w:rPr>
                <w:color w:val="000000"/>
                <w:highlight w:val="none"/>
              </w:rPr>
              <w:t xml:space="preserve">评委根据投标文件对第四章 “采购需求” 中 “安全管理方案” 响应情况进行评审。</w:t>
            </w:r>
            <w:r>
              <w:rPr>
                <w:color w:val="000000"/>
                <w:highlight w:val="none"/>
              </w:rPr>
            </w:r>
            <w:r/>
          </w:p>
          <w:p>
            <w:pPr>
              <w:pStyle w:val="951"/>
              <w:rPr>
                <w:color w:val="000000"/>
                <w:highlight w:val="none"/>
              </w:rPr>
            </w:pPr>
            <w:r>
              <w:rPr>
                <w:color w:val="000000"/>
                <w:highlight w:val="none"/>
              </w:rPr>
              <w:t xml:space="preserve">1）投标文件未符合 “安全管理方案” 中全部条款要求的，视为不符合招标文件，本项得 0 分。</w:t>
            </w:r>
            <w:r>
              <w:rPr>
                <w:color w:val="000000"/>
                <w:highlight w:val="none"/>
              </w:rPr>
            </w:r>
            <w:r/>
          </w:p>
          <w:p>
            <w:pPr>
              <w:pStyle w:val="951"/>
              <w:rPr>
                <w:rFonts w:eastAsia="宋体"/>
                <w:color w:val="000000"/>
                <w:highlight w:val="none"/>
                <w:lang w:val="en-US" w:eastAsia="zh-CN"/>
              </w:rPr>
            </w:pPr>
            <w:r>
              <w:rPr>
                <w:color w:val="000000"/>
                <w:highlight w:val="none"/>
              </w:rPr>
              <w:t xml:space="preserve">2）</w:t>
            </w:r>
            <w:r>
              <w:rPr>
                <w:rFonts w:hint="eastAsia"/>
                <w:color w:val="000000"/>
                <w:highlight w:val="none"/>
                <w:lang w:val="en-US" w:eastAsia="zh-CN"/>
              </w:rPr>
              <w:t xml:space="preserve">投标文件</w:t>
            </w:r>
            <w:r>
              <w:rPr>
                <w:color w:val="000000"/>
                <w:highlight w:val="none"/>
              </w:rPr>
              <w:t xml:space="preserve">符合 “安全管理方案” 中全部条款要求的，视为符合招标文件</w:t>
            </w:r>
            <w:r>
              <w:rPr>
                <w:rFonts w:hint="eastAsia"/>
                <w:color w:val="000000"/>
                <w:highlight w:val="none"/>
                <w:lang w:eastAsia="zh-CN"/>
              </w:rPr>
              <w:t xml:space="preserve">，</w:t>
            </w:r>
            <w:r>
              <w:rPr>
                <w:rFonts w:hint="eastAsia"/>
                <w:color w:val="000000"/>
                <w:highlight w:val="none"/>
                <w:lang w:val="en-US" w:eastAsia="zh-CN"/>
              </w:rPr>
              <w:t xml:space="preserve">本项得3分。</w:t>
            </w:r>
            <w:r>
              <w:rPr>
                <w:rFonts w:eastAsia="宋体"/>
                <w:color w:val="000000"/>
                <w:highlight w:val="none"/>
                <w:lang w:val="en-US" w:eastAsia="zh-CN"/>
              </w:rPr>
            </w:r>
            <w:r/>
          </w:p>
          <w:p>
            <w:pPr>
              <w:pStyle w:val="951"/>
              <w:rPr>
                <w:rFonts w:ascii="宋体" w:hAnsi="宋体" w:cs="宋体"/>
                <w:color w:val="000000"/>
                <w:highlight w:val="none"/>
              </w:rPr>
            </w:pPr>
            <w:r>
              <w:rPr>
                <w:color w:val="000000"/>
                <w:highlight w:val="none"/>
              </w:rPr>
              <w:t xml:space="preserve">3）经评委认定，投标文件</w:t>
            </w:r>
            <w:r>
              <w:rPr>
                <w:rFonts w:hint="eastAsia"/>
                <w:color w:val="000000"/>
                <w:highlight w:val="none"/>
                <w:lang w:val="en-US" w:eastAsia="zh-CN"/>
              </w:rPr>
              <w:t xml:space="preserve">对“安全管理方案”中“风险事件防范处置”、“安全管理制度体系建设”二项要求的响应内容全部</w:t>
            </w:r>
            <w:r>
              <w:rPr>
                <w:color w:val="000000"/>
                <w:highlight w:val="none"/>
              </w:rPr>
              <w:t xml:space="preserve">优于</w:t>
            </w:r>
            <w:r>
              <w:rPr>
                <w:rFonts w:hint="eastAsia"/>
                <w:color w:val="000000"/>
                <w:highlight w:val="none"/>
                <w:lang w:val="en-US" w:eastAsia="zh-CN"/>
              </w:rPr>
              <w:t xml:space="preserve">招标文件要求</w:t>
            </w:r>
            <w:r>
              <w:rPr>
                <w:color w:val="000000"/>
                <w:highlight w:val="none"/>
              </w:rPr>
              <w:t xml:space="preserve">的</w:t>
            </w:r>
            <w:r>
              <w:rPr>
                <w:rFonts w:hint="eastAsia"/>
                <w:color w:val="000000"/>
                <w:highlight w:val="none"/>
                <w:lang w:eastAsia="zh-CN"/>
              </w:rPr>
              <w:t xml:space="preserve">（</w:t>
            </w:r>
            <w:r>
              <w:rPr>
                <w:rFonts w:hint="eastAsia"/>
                <w:color w:val="000000"/>
                <w:highlight w:val="none"/>
                <w:lang w:val="en-US" w:eastAsia="zh-CN"/>
              </w:rPr>
              <w:t xml:space="preserve">投标文件对“安全管理方案”中除“风险事件防范处置”、“安全管理制度体系建设”</w:t>
            </w:r>
            <w:r>
              <w:rPr>
                <w:rFonts w:hint="eastAsia" w:ascii="宋体" w:hAnsi="宋体" w:cs="宋体"/>
                <w:color w:val="000000"/>
                <w:highlight w:val="none"/>
                <w:lang w:val="en-US" w:eastAsia="zh-CN"/>
              </w:rPr>
              <w:t xml:space="preserve">外其他要求响应内容符合招标文件要求</w:t>
            </w:r>
            <w:r>
              <w:rPr>
                <w:rFonts w:hint="eastAsia"/>
                <w:color w:val="000000"/>
                <w:highlight w:val="none"/>
                <w:lang w:eastAsia="zh-CN"/>
              </w:rPr>
              <w:t xml:space="preserve">）</w:t>
            </w:r>
            <w:r>
              <w:rPr>
                <w:color w:val="000000"/>
                <w:highlight w:val="none"/>
              </w:rPr>
              <w:t xml:space="preserve">，本项得 </w:t>
            </w:r>
            <w:r>
              <w:rPr>
                <w:rFonts w:hint="eastAsia"/>
                <w:color w:val="000000"/>
                <w:highlight w:val="none"/>
                <w:lang w:val="en-US" w:eastAsia="zh-CN"/>
              </w:rPr>
              <w:t xml:space="preserve">5</w:t>
            </w:r>
            <w:r>
              <w:rPr>
                <w:color w:val="000000"/>
                <w:highlight w:val="none"/>
              </w:rPr>
              <w:t xml:space="preserve"> 分。</w:t>
            </w:r>
            <w:r>
              <w:rPr>
                <w:rFonts w:ascii="宋体" w:hAnsi="宋体" w:cs="宋体"/>
                <w:color w:val="000000"/>
                <w:highlight w:val="none"/>
              </w:rPr>
            </w:r>
            <w:r/>
          </w:p>
        </w:tc>
        <w:tc>
          <w:tcPr>
            <w:tcW w:w="1079" w:type="dxa"/>
            <w:vAlign w:val="center"/>
            <w:textDirection w:val="lrTb"/>
            <w:noWrap w:val="false"/>
          </w:tcPr>
          <w:p>
            <w:pPr>
              <w:pStyle w:val="951"/>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r>
            <w:r/>
          </w:p>
        </w:tc>
      </w:tr>
      <w:tr>
        <w:trPr>
          <w:trHeight w:val="1542"/>
          <w:tblHeader/>
        </w:trPr>
        <w:tc>
          <w:tcPr>
            <w:tcW w:w="1275" w:type="dxa"/>
            <w:vAlign w:val="center"/>
            <w:vMerge w:val="continue"/>
            <w:textDirection w:val="lrTb"/>
            <w:noWrap w:val="false"/>
          </w:tcPr>
          <w:p>
            <w:pPr>
              <w:pStyle w:val="951"/>
              <w:jc w:val="center"/>
              <w:rPr>
                <w:rFonts w:ascii="宋体" w:hAnsi="宋体"/>
                <w:color w:val="000000"/>
                <w:highlight w:val="none"/>
              </w:rPr>
            </w:pPr>
            <w:r>
              <w:rPr>
                <w:rFonts w:ascii="宋体" w:hAnsi="宋体"/>
                <w:color w:val="000000"/>
                <w:highlight w:val="none"/>
              </w:rPr>
            </w:r>
            <w:r/>
          </w:p>
        </w:tc>
        <w:tc>
          <w:tcPr>
            <w:tcW w:w="6286" w:type="dxa"/>
            <w:vAlign w:val="center"/>
            <w:textDirection w:val="lrTb"/>
            <w:noWrap w:val="false"/>
          </w:tcPr>
          <w:p>
            <w:pPr>
              <w:pStyle w:val="951"/>
              <w:rPr>
                <w:rFonts w:ascii="宋体" w:hAnsi="宋体" w:cs="宋体"/>
                <w:color w:val="000000"/>
                <w:highlight w:val="none"/>
              </w:rPr>
            </w:pPr>
            <w:r>
              <w:rPr>
                <w:rFonts w:hint="eastAsia" w:ascii="宋体" w:hAnsi="宋体" w:cs="宋体"/>
                <w:color w:val="000000"/>
                <w:highlight w:val="none"/>
                <w:lang w:val="en-US" w:eastAsia="zh-CN"/>
              </w:rPr>
              <w:t xml:space="preserve">2.3环境</w:t>
            </w:r>
            <w:r>
              <w:rPr>
                <w:rFonts w:hint="eastAsia" w:ascii="宋体" w:hAnsi="宋体" w:cs="宋体"/>
                <w:color w:val="000000"/>
                <w:highlight w:val="none"/>
              </w:rPr>
              <w:t xml:space="preserve">卫生保洁</w:t>
            </w:r>
            <w:r>
              <w:rPr>
                <w:rFonts w:hint="eastAsia" w:ascii="宋体" w:hAnsi="宋体" w:cs="宋体"/>
                <w:color w:val="000000"/>
                <w:highlight w:val="none"/>
                <w:lang w:val="en-US" w:eastAsia="zh-CN"/>
              </w:rPr>
              <w:t xml:space="preserve">工作</w:t>
            </w:r>
            <w:r>
              <w:rPr>
                <w:rFonts w:hint="eastAsia" w:ascii="宋体" w:hAnsi="宋体" w:cs="宋体"/>
                <w:color w:val="000000"/>
                <w:highlight w:val="none"/>
              </w:rPr>
              <w:t xml:space="preserve">方案（</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s="宋体"/>
                <w:color w:val="000000"/>
                <w:highlight w:val="none"/>
              </w:rPr>
            </w:r>
            <w:r/>
          </w:p>
          <w:p>
            <w:pPr>
              <w:pStyle w:val="951"/>
              <w:rPr>
                <w:color w:val="000000"/>
                <w:highlight w:val="none"/>
              </w:rPr>
            </w:pPr>
            <w:r>
              <w:rPr>
                <w:color w:val="000000"/>
                <w:highlight w:val="none"/>
              </w:rPr>
              <w:t xml:space="preserve">评委根据投标文件对第四章 “采购需求” 中 “卫生保洁方案” 响应情况进行评审。</w:t>
            </w:r>
            <w:r>
              <w:rPr>
                <w:color w:val="000000"/>
                <w:highlight w:val="none"/>
              </w:rPr>
            </w:r>
            <w:r/>
          </w:p>
          <w:p>
            <w:pPr>
              <w:pStyle w:val="951"/>
              <w:rPr>
                <w:color w:val="000000"/>
                <w:highlight w:val="none"/>
              </w:rPr>
            </w:pPr>
            <w:r>
              <w:rPr>
                <w:color w:val="000000"/>
                <w:highlight w:val="none"/>
              </w:rPr>
              <w:t xml:space="preserve">1）投标文件未符合 </w:t>
            </w:r>
            <w:r>
              <w:rPr>
                <w:rFonts w:hint="eastAsia"/>
                <w:color w:val="000000"/>
                <w:highlight w:val="none"/>
                <w:lang w:eastAsia="zh-CN"/>
              </w:rPr>
              <w:t xml:space="preserve">“</w:t>
            </w:r>
            <w:r>
              <w:rPr>
                <w:color w:val="000000"/>
                <w:highlight w:val="none"/>
              </w:rPr>
              <w:t xml:space="preserve">卫生保洁方案” 中全部条款要求的，视为不符合招标文件，本项得 0 分。</w:t>
            </w:r>
            <w:r>
              <w:rPr>
                <w:color w:val="000000"/>
                <w:highlight w:val="none"/>
              </w:rPr>
            </w:r>
            <w:r/>
          </w:p>
          <w:p>
            <w:pPr>
              <w:pStyle w:val="951"/>
              <w:rPr>
                <w:color w:val="000000"/>
                <w:highlight w:val="none"/>
              </w:rPr>
            </w:pPr>
            <w:r>
              <w:rPr>
                <w:color w:val="000000"/>
                <w:highlight w:val="none"/>
              </w:rPr>
              <w:t xml:space="preserve">2）投标文件符合 “卫生保洁方案” 中全部条款要求的，视为符合招标文件，本项得 </w:t>
            </w:r>
            <w:r>
              <w:rPr>
                <w:rFonts w:hint="eastAsia"/>
                <w:color w:val="000000"/>
                <w:highlight w:val="none"/>
                <w:lang w:val="en-US" w:eastAsia="zh-CN"/>
              </w:rPr>
              <w:t xml:space="preserve">3</w:t>
            </w:r>
            <w:r>
              <w:rPr>
                <w:color w:val="000000"/>
                <w:highlight w:val="none"/>
              </w:rPr>
              <w:t xml:space="preserve">分。</w:t>
            </w:r>
            <w:r>
              <w:rPr>
                <w:color w:val="000000"/>
                <w:highlight w:val="none"/>
              </w:rPr>
            </w:r>
            <w:r/>
          </w:p>
          <w:p>
            <w:pPr>
              <w:pStyle w:val="951"/>
              <w:rPr>
                <w:rFonts w:ascii="宋体" w:hAnsi="宋体" w:cs="宋体"/>
                <w:color w:val="000000"/>
                <w:highlight w:val="none"/>
              </w:rPr>
            </w:pPr>
            <w:r>
              <w:rPr>
                <w:color w:val="000000"/>
                <w:highlight w:val="none"/>
              </w:rPr>
              <w:t xml:space="preserve">3）经评委认定，投标文件对 “</w:t>
            </w:r>
            <w:r>
              <w:rPr>
                <w:rFonts w:hint="eastAsia"/>
                <w:color w:val="000000"/>
                <w:highlight w:val="none"/>
                <w:lang w:val="en-US" w:eastAsia="zh-CN"/>
              </w:rPr>
              <w:t xml:space="preserve">环境</w:t>
            </w:r>
            <w:r>
              <w:rPr>
                <w:color w:val="000000"/>
                <w:highlight w:val="none"/>
              </w:rPr>
              <w:t xml:space="preserve">卫生保洁方案” </w:t>
            </w:r>
            <w:r>
              <w:rPr>
                <w:rFonts w:hint="eastAsia"/>
                <w:color w:val="000000"/>
                <w:highlight w:val="none"/>
                <w:lang w:val="en-US" w:eastAsia="zh-CN"/>
              </w:rPr>
              <w:t xml:space="preserve">中“垃圾分类落地实施细则”、“毕业生房源清扫作业”二项要求的</w:t>
            </w:r>
            <w:r>
              <w:rPr>
                <w:color w:val="000000"/>
                <w:highlight w:val="none"/>
              </w:rPr>
              <w:t xml:space="preserve">响应内容全部优于招标文件要求的</w:t>
            </w:r>
            <w:r>
              <w:rPr>
                <w:rFonts w:hint="eastAsia"/>
                <w:color w:val="000000"/>
                <w:highlight w:val="none"/>
                <w:lang w:eastAsia="zh-CN"/>
              </w:rPr>
              <w:t xml:space="preserve">（</w:t>
            </w:r>
            <w:r>
              <w:rPr>
                <w:rFonts w:hint="eastAsia"/>
                <w:color w:val="000000"/>
                <w:highlight w:val="none"/>
                <w:lang w:val="en-US" w:eastAsia="zh-CN"/>
              </w:rPr>
              <w:t xml:space="preserve">投标文件对“</w:t>
            </w:r>
            <w:r>
              <w:rPr>
                <w:rFonts w:hint="eastAsia" w:ascii="宋体" w:hAnsi="宋体" w:cs="宋体"/>
                <w:color w:val="000000"/>
                <w:highlight w:val="none"/>
                <w:lang w:val="en-US" w:eastAsia="zh-CN"/>
              </w:rPr>
              <w:t xml:space="preserve">环境</w:t>
            </w:r>
            <w:r>
              <w:rPr>
                <w:rFonts w:hint="eastAsia" w:ascii="宋体" w:hAnsi="宋体" w:cs="宋体"/>
                <w:color w:val="000000"/>
                <w:highlight w:val="none"/>
              </w:rPr>
              <w:t xml:space="preserve">卫生保洁</w:t>
            </w:r>
            <w:r>
              <w:rPr>
                <w:rFonts w:hint="eastAsia" w:ascii="宋体" w:hAnsi="宋体" w:cs="宋体"/>
                <w:color w:val="000000"/>
                <w:highlight w:val="none"/>
                <w:lang w:val="en-US" w:eastAsia="zh-CN"/>
              </w:rPr>
              <w:t xml:space="preserve">工作</w:t>
            </w:r>
            <w:r>
              <w:rPr>
                <w:rFonts w:hint="eastAsia" w:ascii="宋体" w:hAnsi="宋体" w:cs="宋体"/>
                <w:color w:val="000000"/>
                <w:highlight w:val="none"/>
              </w:rPr>
              <w:t xml:space="preserve">方案</w:t>
            </w:r>
            <w:r>
              <w:rPr>
                <w:rFonts w:hint="eastAsia"/>
                <w:color w:val="000000"/>
                <w:highlight w:val="none"/>
                <w:lang w:val="en-US" w:eastAsia="zh-CN"/>
              </w:rPr>
              <w:t xml:space="preserve">”中除“垃圾分类落地实施细则”、“毕业生房源清扫作业”外其他要求响应内容符合招标文件要求</w:t>
            </w:r>
            <w:r>
              <w:rPr>
                <w:rFonts w:hint="eastAsia"/>
                <w:color w:val="000000"/>
                <w:highlight w:val="none"/>
                <w:lang w:eastAsia="zh-CN"/>
              </w:rPr>
              <w:t xml:space="preserve">）</w:t>
            </w:r>
            <w:r>
              <w:rPr>
                <w:color w:val="000000"/>
                <w:highlight w:val="none"/>
              </w:rPr>
              <w:t xml:space="preserve">，本项得 </w:t>
            </w:r>
            <w:r>
              <w:rPr>
                <w:rFonts w:hint="eastAsia"/>
                <w:color w:val="000000"/>
                <w:highlight w:val="none"/>
                <w:lang w:val="en-US" w:eastAsia="zh-CN"/>
              </w:rPr>
              <w:t xml:space="preserve">5</w:t>
            </w:r>
            <w:r>
              <w:rPr>
                <w:color w:val="000000"/>
                <w:highlight w:val="none"/>
              </w:rPr>
              <w:t xml:space="preserve">分。</w:t>
            </w:r>
            <w:r>
              <w:rPr>
                <w:rFonts w:ascii="宋体" w:hAnsi="宋体" w:cs="宋体"/>
                <w:color w:val="000000"/>
                <w:highlight w:val="none"/>
              </w:rPr>
            </w:r>
            <w:r/>
          </w:p>
        </w:tc>
        <w:tc>
          <w:tcPr>
            <w:tcW w:w="1079" w:type="dxa"/>
            <w:vAlign w:val="center"/>
            <w:textDirection w:val="lrTb"/>
            <w:noWrap w:val="false"/>
          </w:tcPr>
          <w:p>
            <w:pPr>
              <w:pStyle w:val="951"/>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r>
            <w:r/>
          </w:p>
        </w:tc>
      </w:tr>
      <w:tr>
        <w:trPr>
          <w:trHeight w:val="1400"/>
          <w:tblHeader/>
        </w:trPr>
        <w:tc>
          <w:tcPr>
            <w:tcW w:w="1275" w:type="dxa"/>
            <w:vAlign w:val="center"/>
            <w:vMerge w:val="continue"/>
            <w:textDirection w:val="lrTb"/>
            <w:noWrap w:val="false"/>
          </w:tcPr>
          <w:p>
            <w:pPr>
              <w:pStyle w:val="951"/>
              <w:jc w:val="center"/>
              <w:rPr>
                <w:rFonts w:ascii="宋体" w:hAnsi="宋体"/>
                <w:color w:val="000000"/>
                <w:highlight w:val="none"/>
              </w:rPr>
            </w:pPr>
            <w:r>
              <w:rPr>
                <w:rFonts w:ascii="宋体" w:hAnsi="宋体"/>
                <w:color w:val="000000"/>
                <w:highlight w:val="none"/>
              </w:rPr>
            </w:r>
            <w:r/>
          </w:p>
        </w:tc>
        <w:tc>
          <w:tcPr>
            <w:tcW w:w="6286" w:type="dxa"/>
            <w:vAlign w:val="top"/>
            <w:textDirection w:val="lrTb"/>
            <w:noWrap w:val="false"/>
          </w:tcPr>
          <w:p>
            <w:pPr>
              <w:pStyle w:val="951"/>
              <w:rPr>
                <w:rFonts w:ascii="宋体" w:hAnsi="宋体" w:cs="宋体"/>
                <w:color w:val="000000"/>
                <w:highlight w:val="none"/>
              </w:rPr>
            </w:pP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4</w:t>
            </w:r>
            <w:r>
              <w:rPr>
                <w:rFonts w:hint="eastAsia" w:ascii="宋体" w:hAnsi="宋体" w:cs="宋体"/>
                <w:color w:val="000000"/>
                <w:highlight w:val="none"/>
                <w:lang w:val="en-US" w:eastAsia="zh-CN"/>
              </w:rPr>
              <w:t xml:space="preserve">学生宿舍文化建设服务支持方案</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s="宋体"/>
                <w:color w:val="000000"/>
                <w:highlight w:val="none"/>
              </w:rPr>
            </w:r>
            <w:r/>
          </w:p>
          <w:p>
            <w:pPr>
              <w:pStyle w:val="951"/>
              <w:rPr>
                <w:color w:val="000000"/>
                <w:highlight w:val="none"/>
              </w:rPr>
            </w:pPr>
            <w:r>
              <w:rPr>
                <w:color w:val="000000"/>
                <w:highlight w:val="none"/>
              </w:rPr>
              <w:t xml:space="preserve">评委根据投标文件对第四章 “采购需求” 中 “</w:t>
            </w:r>
            <w:r>
              <w:rPr>
                <w:rFonts w:hint="eastAsia" w:ascii="宋体" w:hAnsi="宋体" w:cs="宋体"/>
                <w:color w:val="000000"/>
                <w:highlight w:val="none"/>
                <w:lang w:val="en-US" w:eastAsia="zh-CN"/>
              </w:rPr>
              <w:t xml:space="preserve">学生宿舍文化建设服务支持方案</w:t>
            </w:r>
            <w:r>
              <w:rPr>
                <w:color w:val="000000"/>
                <w:highlight w:val="none"/>
              </w:rPr>
              <w:t xml:space="preserve">” 响应情况进行评审。</w:t>
            </w:r>
            <w:r>
              <w:rPr>
                <w:color w:val="000000"/>
                <w:highlight w:val="none"/>
              </w:rPr>
            </w:r>
            <w:r/>
          </w:p>
          <w:p>
            <w:pPr>
              <w:pStyle w:val="951"/>
              <w:rPr>
                <w:color w:val="000000"/>
                <w:highlight w:val="none"/>
              </w:rPr>
            </w:pPr>
            <w:r>
              <w:rPr>
                <w:color w:val="000000"/>
                <w:highlight w:val="none"/>
              </w:rPr>
              <w:t xml:space="preserve">1）投标文件未符合 </w:t>
            </w:r>
            <w:r>
              <w:rPr>
                <w:rFonts w:hint="eastAsia" w:ascii="宋体" w:hAnsi="宋体" w:cs="宋体"/>
                <w:color w:val="000000"/>
                <w:highlight w:val="none"/>
                <w:lang w:val="en-US" w:eastAsia="zh-CN"/>
              </w:rPr>
              <w:t xml:space="preserve">学生宿舍文化建设服务支持方案</w:t>
            </w:r>
            <w:r>
              <w:rPr>
                <w:color w:val="000000"/>
                <w:highlight w:val="none"/>
              </w:rPr>
              <w:t xml:space="preserve">” 中全部条款要求的，视为不符合招标文件，本项得 0 分。</w:t>
            </w:r>
            <w:r>
              <w:rPr>
                <w:color w:val="000000"/>
                <w:highlight w:val="none"/>
              </w:rPr>
            </w:r>
            <w:r/>
          </w:p>
          <w:p>
            <w:pPr>
              <w:pStyle w:val="951"/>
              <w:rPr>
                <w:rFonts w:hint="eastAsia"/>
                <w:color w:val="000000"/>
                <w:highlight w:val="none"/>
              </w:rPr>
            </w:pPr>
            <w:r>
              <w:rPr>
                <w:color w:val="000000"/>
                <w:highlight w:val="none"/>
              </w:rPr>
              <w:t xml:space="preserve">2）投标文件符合 “</w:t>
            </w:r>
            <w:r>
              <w:rPr>
                <w:rFonts w:hint="eastAsia" w:ascii="宋体" w:hAnsi="宋体" w:cs="宋体"/>
                <w:color w:val="000000"/>
                <w:highlight w:val="none"/>
                <w:lang w:val="en-US" w:eastAsia="zh-CN"/>
              </w:rPr>
              <w:t xml:space="preserve">学生宿舍文化建设服务支持方案</w:t>
            </w:r>
            <w:r>
              <w:rPr>
                <w:color w:val="000000"/>
                <w:highlight w:val="none"/>
              </w:rPr>
              <w:t xml:space="preserve">” 中全部条款要求的，视为符合招标文件，本项得</w:t>
            </w:r>
            <w:r>
              <w:rPr>
                <w:rFonts w:hint="eastAsia"/>
                <w:color w:val="000000"/>
                <w:highlight w:val="none"/>
                <w:lang w:val="en-US" w:eastAsia="zh-CN"/>
              </w:rPr>
              <w:t xml:space="preserve">3</w:t>
            </w:r>
            <w:r>
              <w:rPr>
                <w:color w:val="000000"/>
                <w:highlight w:val="none"/>
              </w:rPr>
              <w:t xml:space="preserve">分。</w:t>
            </w:r>
            <w:r>
              <w:rPr>
                <w:rFonts w:hint="eastAsia"/>
                <w:color w:val="000000"/>
                <w:highlight w:val="none"/>
              </w:rPr>
            </w:r>
            <w:r/>
          </w:p>
          <w:p>
            <w:pPr>
              <w:pStyle w:val="951"/>
              <w:rPr>
                <w:rFonts w:ascii="宋体" w:hAnsi="宋体" w:cs="宋体"/>
                <w:color w:val="000000"/>
                <w:highlight w:val="none"/>
              </w:rPr>
            </w:pPr>
            <w:r>
              <w:rPr>
                <w:color w:val="000000"/>
                <w:highlight w:val="none"/>
              </w:rPr>
              <w:t xml:space="preserve">3）经评委认定，投标文件对 “</w:t>
            </w:r>
            <w:r>
              <w:rPr>
                <w:rFonts w:hint="eastAsia" w:ascii="宋体" w:hAnsi="宋体" w:cs="宋体"/>
                <w:color w:val="000000"/>
                <w:highlight w:val="none"/>
                <w:lang w:val="en-US" w:eastAsia="zh-CN"/>
              </w:rPr>
              <w:t xml:space="preserve">学生宿舍文化建设服务支持方案</w:t>
            </w:r>
            <w:r>
              <w:rPr>
                <w:color w:val="000000"/>
                <w:highlight w:val="none"/>
              </w:rPr>
              <w:t xml:space="preserve">”</w:t>
            </w:r>
            <w:r>
              <w:rPr>
                <w:rFonts w:hint="eastAsia"/>
                <w:color w:val="000000"/>
                <w:highlight w:val="none"/>
                <w:lang w:val="en-US" w:eastAsia="zh-CN"/>
              </w:rPr>
              <w:t xml:space="preserve">中“主动融入一站式学生社区建设”</w:t>
            </w:r>
            <w:r>
              <w:rPr>
                <w:color w:val="000000"/>
                <w:highlight w:val="none"/>
              </w:rPr>
              <w:t xml:space="preserve"> </w:t>
            </w:r>
            <w:r>
              <w:rPr>
                <w:rFonts w:hint="eastAsia"/>
                <w:color w:val="000000"/>
                <w:highlight w:val="none"/>
                <w:lang w:eastAsia="zh-CN"/>
              </w:rPr>
              <w:t xml:space="preserve">、“</w:t>
            </w:r>
            <w:r>
              <w:rPr>
                <w:rFonts w:hint="eastAsia"/>
                <w:color w:val="000000"/>
                <w:highlight w:val="none"/>
                <w:lang w:val="en-US" w:eastAsia="zh-CN"/>
              </w:rPr>
              <w:t xml:space="preserve">助力落实三全育人工作</w:t>
            </w:r>
            <w:r>
              <w:rPr>
                <w:rFonts w:hint="eastAsia"/>
                <w:color w:val="000000"/>
                <w:highlight w:val="none"/>
                <w:lang w:eastAsia="zh-CN"/>
              </w:rPr>
              <w:t xml:space="preserve">”</w:t>
            </w:r>
            <w:r>
              <w:rPr>
                <w:rFonts w:hint="eastAsia"/>
                <w:color w:val="000000"/>
                <w:highlight w:val="none"/>
                <w:lang w:val="en-US" w:eastAsia="zh-CN"/>
              </w:rPr>
              <w:t xml:space="preserve">二项要求的</w:t>
            </w:r>
            <w:r>
              <w:rPr>
                <w:color w:val="000000"/>
                <w:highlight w:val="none"/>
              </w:rPr>
              <w:t xml:space="preserve">响应内容全部优于招标文件要求的</w:t>
            </w:r>
            <w:r>
              <w:rPr>
                <w:rFonts w:hint="eastAsia"/>
                <w:color w:val="000000"/>
                <w:highlight w:val="none"/>
                <w:lang w:eastAsia="zh-CN"/>
              </w:rPr>
              <w:t xml:space="preserve">（</w:t>
            </w:r>
            <w:r>
              <w:rPr>
                <w:rFonts w:hint="eastAsia"/>
                <w:color w:val="000000"/>
                <w:highlight w:val="none"/>
                <w:lang w:val="en-US" w:eastAsia="zh-CN"/>
              </w:rPr>
              <w:t xml:space="preserve">投标文件对</w:t>
            </w:r>
            <w:r>
              <w:rPr>
                <w:rFonts w:hint="eastAsia" w:ascii="宋体" w:hAnsi="宋体" w:cs="宋体"/>
                <w:color w:val="000000"/>
                <w:highlight w:val="none"/>
                <w:lang w:val="en-US" w:eastAsia="zh-CN"/>
              </w:rPr>
              <w:t xml:space="preserve">“学生宿舍文化建设服务支持方案”中除</w:t>
            </w:r>
            <w:r>
              <w:rPr>
                <w:rFonts w:hint="eastAsia"/>
                <w:color w:val="000000"/>
                <w:highlight w:val="none"/>
                <w:lang w:val="en-US" w:eastAsia="zh-CN"/>
              </w:rPr>
              <w:t xml:space="preserve">“主动融入一站式学生社区建设”</w:t>
            </w:r>
            <w:r>
              <w:rPr>
                <w:color w:val="000000"/>
                <w:highlight w:val="none"/>
              </w:rPr>
              <w:t xml:space="preserve"> </w:t>
            </w:r>
            <w:r>
              <w:rPr>
                <w:rFonts w:hint="eastAsia"/>
                <w:color w:val="000000"/>
                <w:highlight w:val="none"/>
                <w:lang w:eastAsia="zh-CN"/>
              </w:rPr>
              <w:t xml:space="preserve">、“</w:t>
            </w:r>
            <w:r>
              <w:rPr>
                <w:rFonts w:hint="eastAsia"/>
                <w:color w:val="000000"/>
                <w:highlight w:val="none"/>
                <w:lang w:val="en-US" w:eastAsia="zh-CN"/>
              </w:rPr>
              <w:t xml:space="preserve">助力落实三全育人工作</w:t>
            </w:r>
            <w:r>
              <w:rPr>
                <w:rFonts w:hint="eastAsia"/>
                <w:color w:val="000000"/>
                <w:highlight w:val="none"/>
                <w:lang w:eastAsia="zh-CN"/>
              </w:rPr>
              <w:t xml:space="preserve">”</w:t>
            </w:r>
            <w:r>
              <w:rPr>
                <w:rFonts w:hint="eastAsia"/>
                <w:color w:val="000000"/>
                <w:highlight w:val="none"/>
                <w:lang w:val="en-US" w:eastAsia="zh-CN"/>
              </w:rPr>
              <w:t xml:space="preserve">外其他要求响应内容符合招标文件要求</w:t>
            </w:r>
            <w:r>
              <w:rPr>
                <w:rFonts w:hint="eastAsia"/>
                <w:color w:val="000000"/>
                <w:highlight w:val="none"/>
                <w:lang w:eastAsia="zh-CN"/>
              </w:rPr>
              <w:t xml:space="preserve">）</w:t>
            </w:r>
            <w:r>
              <w:rPr>
                <w:color w:val="000000"/>
                <w:highlight w:val="none"/>
              </w:rPr>
              <w:t xml:space="preserve">，本项得</w:t>
            </w:r>
            <w:r>
              <w:rPr>
                <w:rFonts w:hint="eastAsia"/>
                <w:color w:val="000000"/>
                <w:highlight w:val="none"/>
                <w:lang w:val="en-US" w:eastAsia="zh-CN"/>
              </w:rPr>
              <w:t xml:space="preserve">5</w:t>
            </w:r>
            <w:r>
              <w:rPr>
                <w:color w:val="000000"/>
                <w:highlight w:val="none"/>
              </w:rPr>
              <w:t xml:space="preserve"> 分。</w:t>
            </w:r>
            <w:r>
              <w:rPr>
                <w:rFonts w:ascii="宋体" w:hAnsi="宋体" w:cs="宋体"/>
                <w:color w:val="000000"/>
                <w:highlight w:val="none"/>
              </w:rPr>
            </w:r>
            <w:r/>
          </w:p>
        </w:tc>
        <w:tc>
          <w:tcPr>
            <w:tcW w:w="1079" w:type="dxa"/>
            <w:vAlign w:val="center"/>
            <w:textDirection w:val="lrTb"/>
            <w:noWrap w:val="false"/>
          </w:tcPr>
          <w:p>
            <w:pPr>
              <w:pStyle w:val="951"/>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r>
            <w:r/>
          </w:p>
        </w:tc>
      </w:tr>
      <w:tr>
        <w:trPr>
          <w:trHeight w:val="1415"/>
          <w:tblHeader/>
        </w:trPr>
        <w:tc>
          <w:tcPr>
            <w:tcW w:w="1275" w:type="dxa"/>
            <w:vAlign w:val="center"/>
            <w:vMerge w:val="continue"/>
            <w:textDirection w:val="lrTb"/>
            <w:noWrap w:val="false"/>
          </w:tcPr>
          <w:p>
            <w:pPr>
              <w:pStyle w:val="951"/>
              <w:jc w:val="center"/>
              <w:rPr>
                <w:rFonts w:ascii="宋体" w:hAnsi="宋体"/>
                <w:color w:val="000000"/>
                <w:highlight w:val="none"/>
              </w:rPr>
            </w:pPr>
            <w:r>
              <w:rPr>
                <w:rFonts w:ascii="宋体" w:hAnsi="宋体"/>
                <w:color w:val="000000"/>
                <w:highlight w:val="none"/>
              </w:rPr>
            </w:r>
            <w:r/>
          </w:p>
        </w:tc>
        <w:tc>
          <w:tcPr>
            <w:tcW w:w="6286" w:type="dxa"/>
            <w:vAlign w:val="top"/>
            <w:textDirection w:val="lrTb"/>
            <w:noWrap w:val="false"/>
          </w:tcPr>
          <w:p>
            <w:pPr>
              <w:pStyle w:val="951"/>
              <w:rPr>
                <w:rFonts w:ascii="宋体" w:hAnsi="宋体" w:cs="宋体"/>
                <w:color w:val="000000"/>
                <w:highlight w:val="none"/>
              </w:rPr>
            </w:pPr>
            <w:r>
              <w:rPr>
                <w:rFonts w:hint="eastAsia" w:ascii="宋体" w:hAnsi="宋体" w:cs="宋体"/>
                <w:color w:val="000000"/>
                <w:highlight w:val="none"/>
                <w:lang w:val="en-US" w:eastAsia="zh-CN"/>
              </w:rPr>
              <w:t xml:space="preserve">2.5教育</w:t>
            </w:r>
            <w:r>
              <w:rPr>
                <w:rFonts w:hint="eastAsia" w:ascii="宋体" w:hAnsi="宋体" w:cs="宋体"/>
                <w:color w:val="000000"/>
                <w:highlight w:val="none"/>
              </w:rPr>
              <w:t xml:space="preserve">管理方案（</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s="宋体"/>
                <w:color w:val="000000"/>
                <w:highlight w:val="none"/>
              </w:rPr>
            </w:r>
            <w:r/>
          </w:p>
          <w:p>
            <w:pPr>
              <w:pStyle w:val="951"/>
              <w:rPr>
                <w:color w:val="000000"/>
                <w:highlight w:val="none"/>
              </w:rPr>
            </w:pPr>
            <w:r>
              <w:rPr>
                <w:color w:val="000000"/>
                <w:highlight w:val="none"/>
              </w:rPr>
              <w:t xml:space="preserve">评委根据投标文件对第四章 “采购需求” 中 “</w:t>
            </w:r>
            <w:r>
              <w:rPr>
                <w:rFonts w:hint="eastAsia" w:ascii="宋体" w:hAnsi="宋体" w:cs="宋体"/>
                <w:color w:val="000000"/>
                <w:highlight w:val="none"/>
                <w:lang w:val="en-US" w:eastAsia="zh-CN"/>
              </w:rPr>
              <w:t xml:space="preserve">教育</w:t>
            </w:r>
            <w:r>
              <w:rPr>
                <w:rFonts w:hint="eastAsia" w:ascii="宋体" w:hAnsi="宋体" w:cs="宋体"/>
                <w:color w:val="000000"/>
                <w:highlight w:val="none"/>
              </w:rPr>
              <w:t xml:space="preserve">管理方案</w:t>
            </w:r>
            <w:r>
              <w:rPr>
                <w:color w:val="000000"/>
                <w:highlight w:val="none"/>
              </w:rPr>
              <w:t xml:space="preserve">” 响应情况进行评审。</w:t>
            </w:r>
            <w:r>
              <w:rPr>
                <w:color w:val="000000"/>
                <w:highlight w:val="none"/>
              </w:rPr>
            </w:r>
            <w:r/>
          </w:p>
          <w:p>
            <w:pPr>
              <w:pStyle w:val="951"/>
              <w:rPr>
                <w:color w:val="000000"/>
                <w:highlight w:val="none"/>
              </w:rPr>
            </w:pPr>
            <w:r>
              <w:rPr>
                <w:color w:val="000000"/>
                <w:highlight w:val="none"/>
              </w:rPr>
              <w:t xml:space="preserve">1）投标文件未符合 “</w:t>
            </w:r>
            <w:r>
              <w:rPr>
                <w:rFonts w:hint="eastAsia" w:ascii="宋体" w:hAnsi="宋体" w:cs="宋体"/>
                <w:color w:val="000000"/>
                <w:highlight w:val="none"/>
                <w:lang w:val="en-US" w:eastAsia="zh-CN"/>
              </w:rPr>
              <w:t xml:space="preserve">教育</w:t>
            </w:r>
            <w:r>
              <w:rPr>
                <w:rFonts w:hint="eastAsia" w:ascii="宋体" w:hAnsi="宋体" w:cs="宋体"/>
                <w:color w:val="000000"/>
                <w:highlight w:val="none"/>
              </w:rPr>
              <w:t xml:space="preserve">管理方案</w:t>
            </w:r>
            <w:r>
              <w:rPr>
                <w:color w:val="000000"/>
                <w:highlight w:val="none"/>
              </w:rPr>
              <w:t xml:space="preserve">” 中全部条款要求的，视为不符合招标文件，本项得 0 分。</w:t>
            </w:r>
            <w:r>
              <w:rPr>
                <w:color w:val="000000"/>
                <w:highlight w:val="none"/>
              </w:rPr>
            </w:r>
            <w:r/>
          </w:p>
          <w:p>
            <w:pPr>
              <w:pStyle w:val="951"/>
              <w:rPr>
                <w:color w:val="000000"/>
                <w:highlight w:val="none"/>
              </w:rPr>
            </w:pPr>
            <w:r>
              <w:rPr>
                <w:color w:val="000000"/>
                <w:highlight w:val="none"/>
              </w:rPr>
              <w:t xml:space="preserve">2）投标文件符合 “</w:t>
            </w:r>
            <w:r>
              <w:rPr>
                <w:rFonts w:hint="eastAsia" w:ascii="宋体" w:hAnsi="宋体" w:cs="宋体"/>
                <w:color w:val="000000"/>
                <w:highlight w:val="none"/>
                <w:lang w:val="en-US" w:eastAsia="zh-CN"/>
              </w:rPr>
              <w:t xml:space="preserve">教育</w:t>
            </w:r>
            <w:r>
              <w:rPr>
                <w:rFonts w:hint="eastAsia" w:ascii="宋体" w:hAnsi="宋体" w:cs="宋体"/>
                <w:color w:val="000000"/>
                <w:highlight w:val="none"/>
              </w:rPr>
              <w:t xml:space="preserve">管理方案</w:t>
            </w:r>
            <w:r>
              <w:rPr>
                <w:color w:val="000000"/>
                <w:highlight w:val="none"/>
              </w:rPr>
              <w:t xml:space="preserve">” 中全部条款要求的，视为符合招标文件，本项得 </w:t>
            </w:r>
            <w:r>
              <w:rPr>
                <w:rFonts w:hint="eastAsia"/>
                <w:color w:val="000000"/>
                <w:highlight w:val="none"/>
                <w:lang w:val="en-US" w:eastAsia="zh-CN"/>
              </w:rPr>
              <w:t xml:space="preserve">3</w:t>
            </w:r>
            <w:r>
              <w:rPr>
                <w:color w:val="000000"/>
                <w:highlight w:val="none"/>
              </w:rPr>
              <w:t xml:space="preserve">分。</w:t>
            </w:r>
            <w:r>
              <w:rPr>
                <w:color w:val="000000"/>
                <w:highlight w:val="none"/>
              </w:rPr>
            </w:r>
            <w:r/>
          </w:p>
          <w:p>
            <w:pPr>
              <w:pStyle w:val="951"/>
              <w:rPr>
                <w:rFonts w:ascii="宋体" w:hAnsi="宋体" w:cs="宋体"/>
                <w:color w:val="000000"/>
                <w:highlight w:val="none"/>
              </w:rPr>
            </w:pPr>
            <w:r>
              <w:rPr>
                <w:color w:val="000000"/>
                <w:highlight w:val="none"/>
              </w:rPr>
              <w:t xml:space="preserve">3）经评委认定，投标文件对 “</w:t>
            </w:r>
            <w:r>
              <w:rPr>
                <w:rFonts w:hint="eastAsia" w:ascii="宋体" w:hAnsi="宋体" w:cs="宋体"/>
                <w:color w:val="000000"/>
                <w:highlight w:val="none"/>
                <w:lang w:val="en-US" w:eastAsia="zh-CN"/>
              </w:rPr>
              <w:t xml:space="preserve">教育</w:t>
            </w:r>
            <w:r>
              <w:rPr>
                <w:rFonts w:hint="eastAsia" w:ascii="宋体" w:hAnsi="宋体" w:cs="宋体"/>
                <w:color w:val="000000"/>
                <w:highlight w:val="none"/>
              </w:rPr>
              <w:t xml:space="preserve">管理方案</w:t>
            </w:r>
            <w:r>
              <w:rPr>
                <w:color w:val="000000"/>
                <w:highlight w:val="none"/>
              </w:rPr>
              <w:t xml:space="preserve">”</w:t>
            </w:r>
            <w:r>
              <w:rPr>
                <w:rFonts w:hint="eastAsia"/>
                <w:color w:val="000000"/>
                <w:highlight w:val="none"/>
                <w:lang w:val="en-US" w:eastAsia="zh-CN"/>
              </w:rPr>
              <w:t xml:space="preserve">中“学生日常行为规范教育与秩序管理”、“安全卫生检查”</w:t>
            </w:r>
            <w:r>
              <w:rPr>
                <w:color w:val="000000"/>
                <w:highlight w:val="none"/>
              </w:rPr>
              <w:t xml:space="preserve"> </w:t>
            </w:r>
            <w:r>
              <w:rPr>
                <w:rFonts w:hint="eastAsia"/>
                <w:color w:val="000000"/>
                <w:highlight w:val="none"/>
                <w:lang w:eastAsia="zh-CN"/>
              </w:rPr>
              <w:t xml:space="preserve">、“</w:t>
            </w:r>
            <w:r>
              <w:rPr>
                <w:rFonts w:hint="eastAsia"/>
                <w:color w:val="000000"/>
                <w:highlight w:val="none"/>
                <w:lang w:val="en-US" w:eastAsia="zh-CN"/>
              </w:rPr>
              <w:t xml:space="preserve">学生个人辅导教育</w:t>
            </w:r>
            <w:r>
              <w:rPr>
                <w:rFonts w:hint="eastAsia"/>
                <w:color w:val="000000"/>
                <w:highlight w:val="none"/>
                <w:lang w:eastAsia="zh-CN"/>
              </w:rPr>
              <w:t xml:space="preserve">”</w:t>
            </w:r>
            <w:r>
              <w:rPr>
                <w:rFonts w:hint="eastAsia"/>
                <w:color w:val="000000"/>
                <w:highlight w:val="none"/>
                <w:lang w:val="en-US" w:eastAsia="zh-CN"/>
              </w:rPr>
              <w:t xml:space="preserve">三项</w:t>
            </w:r>
            <w:r>
              <w:rPr>
                <w:color w:val="000000"/>
                <w:highlight w:val="none"/>
              </w:rPr>
              <w:t xml:space="preserve">响应内容全部优于招标文件要求的</w:t>
            </w:r>
            <w:r>
              <w:rPr>
                <w:rFonts w:hint="eastAsia"/>
                <w:color w:val="000000"/>
                <w:highlight w:val="none"/>
                <w:lang w:eastAsia="zh-CN"/>
              </w:rPr>
              <w:t xml:space="preserve">（</w:t>
            </w:r>
            <w:r>
              <w:rPr>
                <w:rFonts w:hint="eastAsia"/>
                <w:color w:val="000000"/>
                <w:highlight w:val="none"/>
                <w:lang w:val="en-US" w:eastAsia="zh-CN"/>
              </w:rPr>
              <w:t xml:space="preserve">投标文件对“</w:t>
            </w:r>
            <w:r>
              <w:rPr>
                <w:rFonts w:hint="eastAsia" w:ascii="宋体" w:hAnsi="宋体" w:cs="宋体"/>
                <w:color w:val="000000"/>
                <w:highlight w:val="none"/>
                <w:lang w:val="en-US" w:eastAsia="zh-CN"/>
              </w:rPr>
              <w:t xml:space="preserve">教育</w:t>
            </w:r>
            <w:r>
              <w:rPr>
                <w:rFonts w:hint="eastAsia" w:ascii="宋体" w:hAnsi="宋体" w:cs="宋体"/>
                <w:color w:val="000000"/>
                <w:highlight w:val="none"/>
              </w:rPr>
              <w:t xml:space="preserve">管理方案</w:t>
            </w:r>
            <w:r>
              <w:rPr>
                <w:rFonts w:hint="eastAsia"/>
                <w:color w:val="000000"/>
                <w:highlight w:val="none"/>
                <w:lang w:val="en-US" w:eastAsia="zh-CN"/>
              </w:rPr>
              <w:t xml:space="preserve">”中除“学生日常行为规范教育与秩序管理”、“安全卫生检查”</w:t>
            </w:r>
            <w:r>
              <w:rPr>
                <w:color w:val="000000"/>
                <w:highlight w:val="none"/>
              </w:rPr>
              <w:t xml:space="preserve"> </w:t>
            </w:r>
            <w:r>
              <w:rPr>
                <w:rFonts w:hint="eastAsia"/>
                <w:color w:val="000000"/>
                <w:highlight w:val="none"/>
                <w:lang w:eastAsia="zh-CN"/>
              </w:rPr>
              <w:t xml:space="preserve">、“</w:t>
            </w:r>
            <w:r>
              <w:rPr>
                <w:rFonts w:hint="eastAsia"/>
                <w:color w:val="000000"/>
                <w:highlight w:val="none"/>
                <w:lang w:val="en-US" w:eastAsia="zh-CN"/>
              </w:rPr>
              <w:t xml:space="preserve">学生个人辅导教育</w:t>
            </w:r>
            <w:r>
              <w:rPr>
                <w:rFonts w:hint="eastAsia"/>
                <w:color w:val="000000"/>
                <w:highlight w:val="none"/>
                <w:lang w:eastAsia="zh-CN"/>
              </w:rPr>
              <w:t xml:space="preserve">”</w:t>
            </w:r>
            <w:r>
              <w:rPr>
                <w:rFonts w:hint="eastAsia"/>
                <w:color w:val="000000"/>
                <w:highlight w:val="none"/>
                <w:lang w:val="en-US" w:eastAsia="zh-CN"/>
              </w:rPr>
              <w:t xml:space="preserve">外其他要求响应内容符合招标文件要求</w:t>
            </w:r>
            <w:r>
              <w:rPr>
                <w:rFonts w:hint="eastAsia"/>
                <w:color w:val="000000"/>
                <w:highlight w:val="none"/>
                <w:lang w:eastAsia="zh-CN"/>
              </w:rPr>
              <w:t xml:space="preserve">）</w:t>
            </w:r>
            <w:r>
              <w:rPr>
                <w:color w:val="000000"/>
                <w:highlight w:val="none"/>
              </w:rPr>
              <w:t xml:space="preserve">，本项得 </w:t>
            </w:r>
            <w:r>
              <w:rPr>
                <w:rFonts w:hint="eastAsia"/>
                <w:color w:val="000000"/>
                <w:highlight w:val="none"/>
                <w:lang w:val="en-US" w:eastAsia="zh-CN"/>
              </w:rPr>
              <w:t xml:space="preserve">5</w:t>
            </w:r>
            <w:r>
              <w:rPr>
                <w:color w:val="000000"/>
                <w:highlight w:val="none"/>
              </w:rPr>
              <w:t xml:space="preserve"> 分。</w:t>
            </w:r>
            <w:r>
              <w:rPr>
                <w:rFonts w:ascii="宋体" w:hAnsi="宋体" w:cs="宋体"/>
                <w:color w:val="000000"/>
                <w:highlight w:val="none"/>
              </w:rPr>
            </w:r>
            <w:r/>
          </w:p>
        </w:tc>
        <w:tc>
          <w:tcPr>
            <w:tcW w:w="1079" w:type="dxa"/>
            <w:vAlign w:val="center"/>
            <w:textDirection w:val="lrTb"/>
            <w:noWrap w:val="false"/>
          </w:tcPr>
          <w:p>
            <w:pPr>
              <w:pStyle w:val="951"/>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r>
            <w:r/>
          </w:p>
        </w:tc>
      </w:tr>
      <w:tr>
        <w:trPr>
          <w:trHeight w:val="1692"/>
          <w:tblHeader/>
        </w:trPr>
        <w:tc>
          <w:tcPr>
            <w:tcW w:w="1275" w:type="dxa"/>
            <w:vAlign w:val="center"/>
            <w:vMerge w:val="continue"/>
            <w:textDirection w:val="lrTb"/>
            <w:noWrap w:val="false"/>
          </w:tcPr>
          <w:p>
            <w:pPr>
              <w:pStyle w:val="951"/>
              <w:jc w:val="center"/>
              <w:rPr>
                <w:rFonts w:ascii="宋体" w:hAnsi="宋体"/>
                <w:color w:val="000000"/>
                <w:highlight w:val="none"/>
              </w:rPr>
            </w:pPr>
            <w:r>
              <w:rPr>
                <w:rFonts w:ascii="宋体" w:hAnsi="宋体"/>
                <w:color w:val="000000"/>
                <w:highlight w:val="none"/>
              </w:rPr>
            </w:r>
            <w:r/>
          </w:p>
        </w:tc>
        <w:tc>
          <w:tcPr>
            <w:tcW w:w="6286" w:type="dxa"/>
            <w:vAlign w:val="top"/>
            <w:textDirection w:val="lrTb"/>
            <w:noWrap w:val="false"/>
          </w:tcPr>
          <w:p>
            <w:pPr>
              <w:pStyle w:val="951"/>
              <w:rPr>
                <w:rFonts w:ascii="宋体" w:hAnsi="宋体" w:cs="宋体"/>
                <w:color w:val="000000"/>
                <w:highlight w:val="none"/>
              </w:rPr>
            </w:pPr>
            <w:r>
              <w:rPr>
                <w:rFonts w:hint="eastAsia" w:ascii="宋体" w:hAnsi="宋体" w:cs="宋体"/>
                <w:color w:val="000000"/>
                <w:highlight w:val="none"/>
                <w:lang w:val="en-US" w:eastAsia="zh-CN"/>
              </w:rPr>
              <w:t xml:space="preserve">2.6特色服务与管理方案</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s="宋体"/>
                <w:color w:val="000000"/>
                <w:highlight w:val="none"/>
              </w:rPr>
            </w:r>
            <w:r/>
          </w:p>
          <w:p>
            <w:pPr>
              <w:pStyle w:val="951"/>
              <w:rPr>
                <w:rFonts w:ascii="宋体" w:hAnsi="宋体" w:cs="宋体"/>
                <w:color w:val="000000"/>
                <w:highlight w:val="none"/>
              </w:rPr>
            </w:pPr>
            <w:r>
              <w:rPr>
                <w:rFonts w:hint="eastAsia" w:ascii="宋体" w:hAnsi="宋体" w:cs="宋体"/>
                <w:color w:val="000000"/>
                <w:highlight w:val="none"/>
              </w:rPr>
              <w:t xml:space="preserve">评委根据投标文件对第四章 “采购需求” 中 “</w:t>
            </w:r>
            <w:r>
              <w:rPr>
                <w:rFonts w:hint="eastAsia" w:ascii="宋体" w:hAnsi="宋体" w:cs="宋体"/>
                <w:color w:val="000000"/>
                <w:highlight w:val="none"/>
                <w:lang w:val="en-US" w:eastAsia="zh-CN"/>
              </w:rPr>
              <w:t xml:space="preserve">特色服务与管理方案</w:t>
            </w:r>
            <w:r>
              <w:rPr>
                <w:rFonts w:hint="eastAsia" w:ascii="宋体" w:hAnsi="宋体" w:cs="宋体"/>
                <w:color w:val="000000"/>
                <w:highlight w:val="none"/>
              </w:rPr>
              <w:t xml:space="preserve">” 响应情况进行评审。</w:t>
            </w:r>
            <w:r>
              <w:rPr>
                <w:rFonts w:ascii="宋体" w:hAnsi="宋体" w:cs="宋体"/>
                <w:color w:val="000000"/>
                <w:highlight w:val="none"/>
              </w:rPr>
            </w:r>
            <w:r/>
          </w:p>
          <w:p>
            <w:pPr>
              <w:pStyle w:val="951"/>
              <w:rPr>
                <w:rFonts w:ascii="宋体" w:hAnsi="宋体" w:cs="宋体"/>
                <w:color w:val="000000"/>
                <w:highlight w:val="none"/>
              </w:rPr>
            </w:pPr>
            <w:r>
              <w:rPr>
                <w:rFonts w:hint="eastAsia" w:ascii="宋体" w:hAnsi="宋体" w:cs="宋体"/>
                <w:color w:val="000000"/>
                <w:highlight w:val="none"/>
              </w:rPr>
              <w:t xml:space="preserve">1）投标文件未符合 “</w:t>
            </w:r>
            <w:r>
              <w:rPr>
                <w:rFonts w:hint="eastAsia" w:ascii="宋体" w:hAnsi="宋体" w:cs="宋体"/>
                <w:color w:val="000000"/>
                <w:highlight w:val="none"/>
                <w:lang w:val="en-US" w:eastAsia="zh-CN"/>
              </w:rPr>
              <w:t xml:space="preserve">特色服务与管理方案</w:t>
            </w:r>
            <w:r>
              <w:rPr>
                <w:rFonts w:hint="eastAsia" w:ascii="宋体" w:hAnsi="宋体" w:cs="宋体"/>
                <w:color w:val="000000"/>
                <w:highlight w:val="none"/>
              </w:rPr>
              <w:t xml:space="preserve">” 中全部条款要求的，视为不符合招标文件，本项得 0 分。</w:t>
            </w:r>
            <w:r>
              <w:rPr>
                <w:rFonts w:ascii="宋体" w:hAnsi="宋体" w:cs="宋体"/>
                <w:color w:val="000000"/>
                <w:highlight w:val="none"/>
              </w:rPr>
            </w:r>
            <w:r/>
          </w:p>
          <w:p>
            <w:pPr>
              <w:pStyle w:val="951"/>
              <w:rPr>
                <w:rFonts w:ascii="宋体" w:hAnsi="宋体" w:cs="宋体"/>
                <w:color w:val="000000"/>
                <w:highlight w:val="none"/>
              </w:rPr>
            </w:pPr>
            <w:r>
              <w:rPr>
                <w:rFonts w:hint="eastAsia" w:ascii="宋体" w:hAnsi="宋体" w:cs="宋体"/>
                <w:color w:val="000000"/>
                <w:highlight w:val="none"/>
              </w:rPr>
              <w:t xml:space="preserve">2）投标文件符合 “</w:t>
            </w:r>
            <w:r>
              <w:rPr>
                <w:rFonts w:hint="eastAsia" w:ascii="宋体" w:hAnsi="宋体" w:cs="宋体"/>
                <w:color w:val="000000"/>
                <w:highlight w:val="none"/>
                <w:lang w:val="en-US" w:eastAsia="zh-CN"/>
              </w:rPr>
              <w:t xml:space="preserve">特色服务与管理方案</w:t>
            </w:r>
            <w:r>
              <w:rPr>
                <w:rFonts w:hint="eastAsia" w:ascii="宋体" w:hAnsi="宋体" w:cs="宋体"/>
                <w:color w:val="000000"/>
                <w:highlight w:val="none"/>
              </w:rPr>
              <w:t xml:space="preserve">” 中全部条款要求的，视为符合招标文件，本项得 </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 分。</w:t>
            </w:r>
            <w:r>
              <w:rPr>
                <w:rFonts w:ascii="宋体" w:hAnsi="宋体" w:cs="宋体"/>
                <w:color w:val="000000"/>
                <w:highlight w:val="none"/>
              </w:rPr>
            </w:r>
            <w:r/>
          </w:p>
          <w:p>
            <w:pPr>
              <w:pStyle w:val="951"/>
              <w:rPr>
                <w:rFonts w:ascii="宋体" w:hAnsi="宋体" w:cs="宋体"/>
                <w:color w:val="000000"/>
                <w:highlight w:val="none"/>
              </w:rPr>
            </w:pPr>
            <w:r>
              <w:rPr>
                <w:rFonts w:hint="eastAsia" w:ascii="宋体" w:hAnsi="宋体" w:cs="宋体"/>
                <w:color w:val="000000"/>
                <w:highlight w:val="none"/>
              </w:rPr>
              <w:t xml:space="preserve">3）经评委认定，投标文件对 “</w:t>
            </w:r>
            <w:r>
              <w:rPr>
                <w:rFonts w:hint="eastAsia" w:ascii="宋体" w:hAnsi="宋体" w:cs="宋体"/>
                <w:color w:val="000000"/>
                <w:highlight w:val="none"/>
                <w:lang w:val="en-US" w:eastAsia="zh-CN"/>
              </w:rPr>
              <w:t xml:space="preserve">特色服务与管理方案</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中“打造配套特色服务举措”一项要求</w:t>
            </w:r>
            <w:r>
              <w:rPr>
                <w:rFonts w:hint="eastAsia" w:ascii="宋体" w:hAnsi="宋体" w:cs="宋体"/>
                <w:color w:val="000000"/>
                <w:highlight w:val="none"/>
              </w:rPr>
              <w:t xml:space="preserve"> 响应内容优于招标文件要求的</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投标文件对“特色服务与管理方案”中除“打造配套特色服务举措”外其他要求响应内容符合招标文件要求</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，本项得</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 分。</w:t>
            </w:r>
            <w:r>
              <w:rPr>
                <w:rFonts w:ascii="宋体" w:hAnsi="宋体" w:cs="宋体"/>
                <w:color w:val="000000"/>
                <w:highlight w:val="none"/>
              </w:rPr>
            </w:r>
            <w:r/>
          </w:p>
        </w:tc>
        <w:tc>
          <w:tcPr>
            <w:tcW w:w="1079" w:type="dxa"/>
            <w:vAlign w:val="center"/>
            <w:textDirection w:val="lrTb"/>
            <w:noWrap w:val="false"/>
          </w:tcPr>
          <w:p>
            <w:pPr>
              <w:pStyle w:val="951"/>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r>
            <w:r/>
          </w:p>
        </w:tc>
      </w:tr>
      <w:tr>
        <w:trPr>
          <w:trHeight w:val="3178"/>
          <w:tblHeader/>
        </w:trPr>
        <w:tc>
          <w:tcPr>
            <w:tcW w:w="1275" w:type="dxa"/>
            <w:vAlign w:val="center"/>
            <w:vMerge w:val="continue"/>
            <w:textDirection w:val="lrTb"/>
            <w:noWrap w:val="false"/>
          </w:tcPr>
          <w:p>
            <w:pPr>
              <w:pStyle w:val="951"/>
              <w:jc w:val="center"/>
              <w:rPr>
                <w:rFonts w:ascii="宋体" w:hAnsi="宋体"/>
                <w:color w:val="000000"/>
                <w:highlight w:val="none"/>
              </w:rPr>
            </w:pPr>
            <w:r>
              <w:rPr>
                <w:rFonts w:ascii="宋体" w:hAnsi="宋体"/>
                <w:color w:val="000000"/>
                <w:highlight w:val="none"/>
              </w:rPr>
            </w:r>
            <w:r/>
          </w:p>
        </w:tc>
        <w:tc>
          <w:tcPr>
            <w:tcW w:w="6286" w:type="dxa"/>
            <w:vAlign w:val="top"/>
            <w:textDirection w:val="lrTb"/>
            <w:noWrap w:val="false"/>
          </w:tcPr>
          <w:p>
            <w:pPr>
              <w:pStyle w:val="951"/>
              <w:rPr>
                <w:rFonts w:ascii="宋体" w:hAnsi="宋体" w:cs="宋体"/>
                <w:color w:val="000000"/>
                <w:highlight w:val="none"/>
              </w:rPr>
            </w:pPr>
            <w:r>
              <w:rPr>
                <w:rFonts w:hint="eastAsia" w:ascii="宋体" w:hAnsi="宋体" w:cs="宋体"/>
                <w:color w:val="000000"/>
                <w:highlight w:val="none"/>
                <w:lang w:val="en-US" w:eastAsia="zh-CN"/>
              </w:rPr>
              <w:t xml:space="preserve">2.7公寓房源管理方案</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s="宋体"/>
                <w:color w:val="000000"/>
                <w:highlight w:val="none"/>
              </w:rPr>
            </w:r>
            <w:r/>
          </w:p>
          <w:p>
            <w:pPr>
              <w:pStyle w:val="951"/>
              <w:rPr>
                <w:color w:val="000000"/>
                <w:highlight w:val="none"/>
              </w:rPr>
            </w:pPr>
            <w:r>
              <w:rPr>
                <w:color w:val="000000"/>
                <w:highlight w:val="none"/>
              </w:rPr>
              <w:t xml:space="preserve">评委根据投标文件对第四章 “采购需求” 中 “</w:t>
            </w:r>
            <w:r>
              <w:rPr>
                <w:rFonts w:hint="eastAsia"/>
                <w:color w:val="000000"/>
                <w:highlight w:val="none"/>
                <w:lang w:val="en-US" w:eastAsia="zh-CN"/>
              </w:rPr>
              <w:t xml:space="preserve">公寓房源管理方案</w:t>
            </w:r>
            <w:r>
              <w:rPr>
                <w:color w:val="000000"/>
                <w:highlight w:val="none"/>
              </w:rPr>
              <w:t xml:space="preserve">” 响应情况进行评审。</w:t>
            </w:r>
            <w:r>
              <w:rPr>
                <w:color w:val="000000"/>
                <w:highlight w:val="none"/>
              </w:rPr>
            </w:r>
            <w:r/>
          </w:p>
          <w:p>
            <w:pPr>
              <w:pStyle w:val="951"/>
              <w:rPr>
                <w:color w:val="000000"/>
                <w:highlight w:val="none"/>
              </w:rPr>
            </w:pPr>
            <w:r>
              <w:rPr>
                <w:color w:val="000000"/>
                <w:highlight w:val="none"/>
              </w:rPr>
              <w:t xml:space="preserve">1）投标文件未符合 “</w:t>
            </w:r>
            <w:r>
              <w:rPr>
                <w:rFonts w:hint="eastAsia"/>
                <w:color w:val="000000"/>
                <w:highlight w:val="none"/>
                <w:lang w:val="en-US" w:eastAsia="zh-CN"/>
              </w:rPr>
              <w:t xml:space="preserve">公寓房源管理方案</w:t>
            </w:r>
            <w:r>
              <w:rPr>
                <w:color w:val="000000"/>
                <w:highlight w:val="none"/>
              </w:rPr>
              <w:t xml:space="preserve">” 中全部条款要求的，视为不符合招标文件，本项得 0 分。</w:t>
            </w:r>
            <w:r>
              <w:rPr>
                <w:color w:val="000000"/>
                <w:highlight w:val="none"/>
              </w:rPr>
            </w:r>
            <w:r/>
          </w:p>
          <w:p>
            <w:pPr>
              <w:pStyle w:val="951"/>
              <w:rPr>
                <w:color w:val="000000"/>
                <w:highlight w:val="none"/>
              </w:rPr>
            </w:pPr>
            <w:r>
              <w:rPr>
                <w:color w:val="000000"/>
                <w:highlight w:val="none"/>
              </w:rPr>
              <w:t xml:space="preserve">2）投标文件符合 “</w:t>
            </w:r>
            <w:r>
              <w:rPr>
                <w:rFonts w:hint="eastAsia"/>
                <w:color w:val="000000"/>
                <w:highlight w:val="none"/>
                <w:lang w:val="en-US" w:eastAsia="zh-CN"/>
              </w:rPr>
              <w:t xml:space="preserve">公寓房源管理方案</w:t>
            </w:r>
            <w:r>
              <w:rPr>
                <w:color w:val="000000"/>
                <w:highlight w:val="none"/>
              </w:rPr>
              <w:t xml:space="preserve">” 中全部条款要求的，视为符合招标文件，本项得</w:t>
            </w:r>
            <w:r>
              <w:rPr>
                <w:rFonts w:hint="eastAsia"/>
                <w:color w:val="000000"/>
                <w:highlight w:val="none"/>
                <w:lang w:val="en-US" w:eastAsia="zh-CN"/>
              </w:rPr>
              <w:t xml:space="preserve">3</w:t>
            </w:r>
            <w:r>
              <w:rPr>
                <w:color w:val="000000"/>
                <w:highlight w:val="none"/>
              </w:rPr>
              <w:t xml:space="preserve"> 分。</w:t>
            </w:r>
            <w:r>
              <w:rPr>
                <w:color w:val="000000"/>
                <w:highlight w:val="none"/>
              </w:rPr>
            </w:r>
            <w:r/>
          </w:p>
          <w:p>
            <w:pPr>
              <w:pStyle w:val="951"/>
              <w:rPr>
                <w:rFonts w:ascii="宋体" w:hAnsi="宋体" w:cs="宋体"/>
                <w:color w:val="000000"/>
                <w:highlight w:val="none"/>
              </w:rPr>
            </w:pPr>
            <w:r>
              <w:rPr>
                <w:color w:val="000000"/>
                <w:highlight w:val="none"/>
              </w:rPr>
              <w:t xml:space="preserve">3）经评委认定，投标文件对 “</w:t>
            </w:r>
            <w:r>
              <w:rPr>
                <w:rFonts w:hint="eastAsia"/>
                <w:color w:val="000000"/>
                <w:highlight w:val="none"/>
                <w:lang w:val="en-US" w:eastAsia="zh-CN"/>
              </w:rPr>
              <w:t xml:space="preserve">公寓房源管理方案</w:t>
            </w:r>
            <w:r>
              <w:rPr>
                <w:color w:val="000000"/>
                <w:highlight w:val="none"/>
              </w:rPr>
              <w:t xml:space="preserve">”</w:t>
            </w:r>
            <w:r>
              <w:rPr>
                <w:rFonts w:hint="eastAsia"/>
                <w:color w:val="000000"/>
                <w:highlight w:val="none"/>
                <w:lang w:val="en-US" w:eastAsia="zh-CN"/>
              </w:rPr>
              <w:t xml:space="preserve">中“学生公寓房源数据管理工作要做到科学化、精准化”一项要求</w:t>
            </w:r>
            <w:r>
              <w:rPr>
                <w:color w:val="000000"/>
                <w:highlight w:val="none"/>
              </w:rPr>
              <w:t xml:space="preserve"> 响应内容优于招标文件要求的</w:t>
            </w:r>
            <w:r>
              <w:rPr>
                <w:rFonts w:hint="eastAsia"/>
                <w:color w:val="000000"/>
                <w:highlight w:val="none"/>
                <w:lang w:eastAsia="zh-CN"/>
              </w:rPr>
              <w:t xml:space="preserve">（</w:t>
            </w:r>
            <w:r>
              <w:rPr>
                <w:rFonts w:hint="eastAsia"/>
                <w:color w:val="000000"/>
                <w:highlight w:val="none"/>
                <w:lang w:val="en-US" w:eastAsia="zh-CN"/>
              </w:rPr>
              <w:t xml:space="preserve">投标文件对“公寓房源管理方案”中除“学生公寓房源数据管理工作要做到科学化、精准化”外其他要求响应内容符合招标文件要求</w:t>
            </w:r>
            <w:r>
              <w:rPr>
                <w:rFonts w:hint="eastAsia"/>
                <w:color w:val="000000"/>
                <w:highlight w:val="none"/>
                <w:lang w:eastAsia="zh-CN"/>
              </w:rPr>
              <w:t xml:space="preserve">）</w:t>
            </w:r>
            <w:r>
              <w:rPr>
                <w:color w:val="000000"/>
                <w:highlight w:val="none"/>
              </w:rPr>
              <w:t xml:space="preserve">，本项得 </w:t>
            </w:r>
            <w:r>
              <w:rPr>
                <w:rFonts w:hint="eastAsia"/>
                <w:color w:val="000000"/>
                <w:highlight w:val="none"/>
                <w:lang w:val="en-US" w:eastAsia="zh-CN"/>
              </w:rPr>
              <w:t xml:space="preserve">5</w:t>
            </w:r>
            <w:r>
              <w:rPr>
                <w:color w:val="000000"/>
                <w:highlight w:val="none"/>
              </w:rPr>
              <w:t xml:space="preserve"> 分。</w:t>
            </w:r>
            <w:r>
              <w:rPr>
                <w:rFonts w:ascii="宋体" w:hAnsi="宋体" w:cs="宋体"/>
                <w:color w:val="000000"/>
                <w:highlight w:val="none"/>
              </w:rPr>
            </w:r>
            <w:r/>
          </w:p>
        </w:tc>
        <w:tc>
          <w:tcPr>
            <w:tcW w:w="1079" w:type="dxa"/>
            <w:vAlign w:val="center"/>
            <w:textDirection w:val="lrTb"/>
            <w:noWrap w:val="false"/>
          </w:tcPr>
          <w:p>
            <w:pPr>
              <w:pStyle w:val="951"/>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r>
            <w:r/>
          </w:p>
        </w:tc>
      </w:tr>
      <w:tr>
        <w:trPr>
          <w:trHeight w:val="1400"/>
          <w:tblHeader/>
        </w:trPr>
        <w:tc>
          <w:tcPr>
            <w:tcW w:w="1275" w:type="dxa"/>
            <w:vAlign w:val="center"/>
            <w:vMerge w:val="continue"/>
            <w:textDirection w:val="lrTb"/>
            <w:noWrap w:val="false"/>
          </w:tcPr>
          <w:p>
            <w:pPr>
              <w:pStyle w:val="951"/>
              <w:jc w:val="center"/>
              <w:rPr>
                <w:rFonts w:ascii="宋体" w:hAnsi="宋体"/>
                <w:color w:val="000000"/>
                <w:highlight w:val="none"/>
              </w:rPr>
            </w:pPr>
            <w:r>
              <w:rPr>
                <w:rFonts w:ascii="宋体" w:hAnsi="宋体"/>
                <w:color w:val="000000"/>
                <w:highlight w:val="none"/>
              </w:rPr>
            </w:r>
            <w:r/>
          </w:p>
        </w:tc>
        <w:tc>
          <w:tcPr>
            <w:tcW w:w="6286" w:type="dxa"/>
            <w:vAlign w:val="top"/>
            <w:textDirection w:val="lrTb"/>
            <w:noWrap w:val="false"/>
          </w:tcPr>
          <w:p>
            <w:pPr>
              <w:pStyle w:val="951"/>
              <w:rPr>
                <w:rFonts w:ascii="宋体" w:hAnsi="宋体" w:cs="宋体"/>
                <w:color w:val="000000"/>
                <w:highlight w:val="none"/>
              </w:rPr>
            </w:pPr>
            <w:r>
              <w:rPr>
                <w:rFonts w:hint="eastAsia" w:ascii="宋体" w:hAnsi="宋体" w:cs="宋体"/>
                <w:color w:val="000000"/>
                <w:highlight w:val="none"/>
                <w:lang w:val="en-US" w:eastAsia="zh-CN"/>
              </w:rPr>
              <w:t xml:space="preserve">2.8突发事件应急处置方案</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5</w:t>
            </w:r>
            <w:r>
              <w:rPr>
                <w:rFonts w:hint="eastAsia" w:ascii="宋体" w:hAnsi="宋体" w:cs="宋体"/>
                <w:color w:val="000000"/>
                <w:highlight w:val="none"/>
              </w:rPr>
              <w:t xml:space="preserve">分）</w:t>
            </w:r>
            <w:r>
              <w:rPr>
                <w:rFonts w:ascii="宋体" w:hAnsi="宋体" w:cs="宋体"/>
                <w:color w:val="000000"/>
                <w:highlight w:val="none"/>
              </w:rPr>
            </w:r>
            <w:r/>
          </w:p>
          <w:p>
            <w:pPr>
              <w:pStyle w:val="951"/>
              <w:rPr>
                <w:color w:val="000000"/>
                <w:highlight w:val="none"/>
              </w:rPr>
            </w:pPr>
            <w:r>
              <w:rPr>
                <w:color w:val="000000"/>
                <w:highlight w:val="none"/>
              </w:rPr>
              <w:t xml:space="preserve">评委根据投标文件对第四章 “采购需求” 中 “</w:t>
            </w:r>
            <w:r>
              <w:rPr>
                <w:rFonts w:hint="eastAsia"/>
                <w:color w:val="000000"/>
                <w:highlight w:val="none"/>
                <w:lang w:val="en-US" w:eastAsia="zh-CN"/>
              </w:rPr>
              <w:t xml:space="preserve">突发事件应急处置方案</w:t>
            </w:r>
            <w:r>
              <w:rPr>
                <w:color w:val="000000"/>
                <w:highlight w:val="none"/>
              </w:rPr>
              <w:t xml:space="preserve">” 响应情况进行评审。</w:t>
            </w:r>
            <w:r>
              <w:rPr>
                <w:color w:val="000000"/>
                <w:highlight w:val="none"/>
              </w:rPr>
            </w:r>
            <w:r/>
          </w:p>
          <w:p>
            <w:pPr>
              <w:pStyle w:val="951"/>
              <w:rPr>
                <w:color w:val="000000"/>
                <w:highlight w:val="none"/>
              </w:rPr>
            </w:pPr>
            <w:r>
              <w:rPr>
                <w:color w:val="000000"/>
                <w:highlight w:val="none"/>
              </w:rPr>
              <w:t xml:space="preserve">1）投标文件未符合 “</w:t>
            </w:r>
            <w:r>
              <w:rPr>
                <w:rFonts w:hint="eastAsia"/>
                <w:color w:val="000000"/>
                <w:highlight w:val="none"/>
                <w:lang w:val="en-US" w:eastAsia="zh-CN"/>
              </w:rPr>
              <w:t xml:space="preserve">突发事件应急处置方案</w:t>
            </w:r>
            <w:r>
              <w:rPr>
                <w:color w:val="000000"/>
                <w:highlight w:val="none"/>
              </w:rPr>
              <w:t xml:space="preserve">” 中全部条款要求的，视为不符合招标文件，本项得 0 分。</w:t>
            </w:r>
            <w:r>
              <w:rPr>
                <w:color w:val="000000"/>
                <w:highlight w:val="none"/>
              </w:rPr>
            </w:r>
            <w:r/>
          </w:p>
          <w:p>
            <w:pPr>
              <w:pStyle w:val="951"/>
              <w:rPr>
                <w:color w:val="000000"/>
                <w:highlight w:val="none"/>
              </w:rPr>
            </w:pPr>
            <w:r>
              <w:rPr>
                <w:color w:val="000000"/>
                <w:highlight w:val="none"/>
              </w:rPr>
              <w:t xml:space="preserve">2）投标文件符合 “</w:t>
            </w:r>
            <w:r>
              <w:rPr>
                <w:rFonts w:hint="eastAsia"/>
                <w:color w:val="000000"/>
                <w:highlight w:val="none"/>
                <w:lang w:val="en-US" w:eastAsia="zh-CN"/>
              </w:rPr>
              <w:t xml:space="preserve">突发事件应急处置方案</w:t>
            </w:r>
            <w:r>
              <w:rPr>
                <w:color w:val="000000"/>
                <w:highlight w:val="none"/>
              </w:rPr>
              <w:t xml:space="preserve">” 中全部条款要求的，视为符合招标文件，本项得 </w:t>
            </w:r>
            <w:r>
              <w:rPr>
                <w:rFonts w:hint="eastAsia"/>
                <w:color w:val="000000"/>
                <w:highlight w:val="none"/>
                <w:lang w:val="en-US" w:eastAsia="zh-CN"/>
              </w:rPr>
              <w:t xml:space="preserve">3</w:t>
            </w:r>
            <w:r>
              <w:rPr>
                <w:color w:val="000000"/>
                <w:highlight w:val="none"/>
              </w:rPr>
              <w:t xml:space="preserve"> 分。</w:t>
            </w:r>
            <w:r>
              <w:rPr>
                <w:color w:val="000000"/>
                <w:highlight w:val="none"/>
              </w:rPr>
            </w:r>
            <w:r/>
          </w:p>
          <w:p>
            <w:pPr>
              <w:pStyle w:val="951"/>
              <w:rPr>
                <w:rFonts w:ascii="宋体" w:hAnsi="宋体" w:cs="宋体"/>
                <w:color w:val="000000"/>
                <w:highlight w:val="none"/>
              </w:rPr>
            </w:pPr>
            <w:r>
              <w:rPr>
                <w:color w:val="000000"/>
                <w:highlight w:val="none"/>
              </w:rPr>
              <w:t xml:space="preserve">3）经评委认定，投标文件对 “</w:t>
            </w:r>
            <w:r>
              <w:rPr>
                <w:rFonts w:hint="eastAsia"/>
                <w:color w:val="000000"/>
                <w:highlight w:val="none"/>
                <w:lang w:val="en-US" w:eastAsia="zh-CN"/>
              </w:rPr>
              <w:t xml:space="preserve">突发事件应急处置方案</w:t>
            </w:r>
            <w:r>
              <w:rPr>
                <w:color w:val="000000"/>
                <w:highlight w:val="none"/>
              </w:rPr>
              <w:t xml:space="preserve">” </w:t>
            </w:r>
            <w:r>
              <w:rPr>
                <w:rFonts w:hint="eastAsia"/>
                <w:color w:val="000000"/>
                <w:highlight w:val="none"/>
                <w:lang w:val="en-US" w:eastAsia="zh-CN"/>
              </w:rPr>
              <w:t xml:space="preserve">中“完整突发事件处置程序”、“信息报告与分级处置流程”、“责任追究机制”三项要求</w:t>
            </w:r>
            <w:r>
              <w:rPr>
                <w:color w:val="000000"/>
                <w:highlight w:val="none"/>
              </w:rPr>
              <w:t xml:space="preserve">响应内容全部优于招标文件要求的</w:t>
            </w:r>
            <w:r>
              <w:rPr>
                <w:rFonts w:hint="eastAsia"/>
                <w:color w:val="000000"/>
                <w:highlight w:val="none"/>
                <w:lang w:eastAsia="zh-CN"/>
              </w:rPr>
              <w:t xml:space="preserve">（</w:t>
            </w:r>
            <w:r>
              <w:rPr>
                <w:color w:val="000000"/>
                <w:highlight w:val="none"/>
              </w:rPr>
              <w:t xml:space="preserve">投标文件对 “</w:t>
            </w:r>
            <w:r>
              <w:rPr>
                <w:rFonts w:hint="eastAsia"/>
                <w:color w:val="000000"/>
                <w:highlight w:val="none"/>
                <w:lang w:val="en-US" w:eastAsia="zh-CN"/>
              </w:rPr>
              <w:t xml:space="preserve">突发事件应急处置方案</w:t>
            </w:r>
            <w:r>
              <w:rPr>
                <w:color w:val="000000"/>
                <w:highlight w:val="none"/>
              </w:rPr>
              <w:t xml:space="preserve">” </w:t>
            </w:r>
            <w:r>
              <w:rPr>
                <w:rFonts w:hint="eastAsia"/>
                <w:color w:val="000000"/>
                <w:highlight w:val="none"/>
                <w:lang w:val="en-US" w:eastAsia="zh-CN"/>
              </w:rPr>
              <w:t xml:space="preserve">中除“完整突发事件处置程序”、“信息报告与分级处置流程”、“责任追究机制”外其他要求响应内容符合招标文件要求</w:t>
            </w:r>
            <w:r>
              <w:rPr>
                <w:rFonts w:hint="eastAsia"/>
                <w:color w:val="000000"/>
                <w:highlight w:val="none"/>
                <w:lang w:eastAsia="zh-CN"/>
              </w:rPr>
              <w:t xml:space="preserve">）</w:t>
            </w:r>
            <w:r>
              <w:rPr>
                <w:color w:val="000000"/>
                <w:highlight w:val="none"/>
              </w:rPr>
              <w:t xml:space="preserve">，本项得</w:t>
            </w:r>
            <w:r>
              <w:rPr>
                <w:rFonts w:hint="eastAsia"/>
                <w:color w:val="000000"/>
                <w:highlight w:val="none"/>
                <w:lang w:val="en-US" w:eastAsia="zh-CN"/>
              </w:rPr>
              <w:t xml:space="preserve">5</w:t>
            </w:r>
            <w:r>
              <w:rPr>
                <w:color w:val="000000"/>
                <w:highlight w:val="none"/>
              </w:rPr>
              <w:t xml:space="preserve">分。</w:t>
            </w:r>
            <w:r>
              <w:rPr>
                <w:rFonts w:ascii="宋体" w:hAnsi="宋体" w:cs="宋体"/>
                <w:color w:val="000000"/>
                <w:highlight w:val="none"/>
              </w:rPr>
            </w:r>
            <w:r/>
          </w:p>
        </w:tc>
        <w:tc>
          <w:tcPr>
            <w:tcW w:w="1079" w:type="dxa"/>
            <w:vAlign w:val="center"/>
            <w:textDirection w:val="lrTb"/>
            <w:noWrap w:val="false"/>
          </w:tcPr>
          <w:p>
            <w:pPr>
              <w:pStyle w:val="951"/>
              <w:jc w:val="center"/>
              <w:widowControl/>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eastAsia="zh-CN"/>
              </w:rPr>
            </w:r>
            <w:r/>
          </w:p>
        </w:tc>
      </w:tr>
      <w:tr>
        <w:trPr>
          <w:trHeight w:val="1970"/>
          <w:tblHeader/>
        </w:trPr>
        <w:tc>
          <w:tcPr>
            <w:tcW w:w="1275" w:type="dxa"/>
            <w:vAlign w:val="center"/>
            <w:vMerge w:val="restart"/>
            <w:textDirection w:val="lrTb"/>
            <w:noWrap w:val="false"/>
          </w:tcPr>
          <w:p>
            <w:pPr>
              <w:pStyle w:val="951"/>
              <w:rPr>
                <w:rFonts w:ascii="宋体" w:hAnsi="宋体"/>
                <w:color w:val="000000"/>
                <w:highlight w:val="none"/>
              </w:rPr>
            </w:pPr>
            <w:r>
              <w:rPr>
                <w:rFonts w:hint="eastAsia" w:ascii="宋体" w:hAnsi="宋体"/>
                <w:color w:val="000000"/>
                <w:highlight w:val="none"/>
              </w:rPr>
              <w:t xml:space="preserve">3.人员配置情况（12分）</w:t>
            </w:r>
            <w:r>
              <w:rPr>
                <w:rFonts w:ascii="宋体" w:hAnsi="宋体"/>
                <w:color w:val="000000"/>
                <w:highlight w:val="none"/>
              </w:rPr>
            </w:r>
            <w:r/>
          </w:p>
        </w:tc>
        <w:tc>
          <w:tcPr>
            <w:tcW w:w="6286" w:type="dxa"/>
            <w:vAlign w:val="center"/>
            <w:textDirection w:val="lrTb"/>
            <w:noWrap w:val="false"/>
          </w:tcPr>
          <w:p>
            <w:pPr>
              <w:pStyle w:val="951"/>
              <w:rPr>
                <w:rFonts w:ascii="宋体" w:hAnsi="宋体" w:cs="宋体"/>
                <w:color w:val="000000"/>
                <w:highlight w:val="none"/>
              </w:rPr>
            </w:pPr>
            <w:r>
              <w:rPr>
                <w:rFonts w:hint="eastAsia" w:ascii="宋体" w:hAnsi="宋体" w:cs="宋体"/>
                <w:color w:val="000000"/>
                <w:highlight w:val="none"/>
              </w:rPr>
              <w:t xml:space="preserve">3.1项目经理能力（6分）</w:t>
            </w:r>
            <w:r>
              <w:rPr>
                <w:rFonts w:ascii="宋体" w:hAnsi="宋体" w:cs="宋体"/>
                <w:color w:val="000000"/>
                <w:highlight w:val="none"/>
              </w:rPr>
            </w:r>
            <w:r/>
          </w:p>
          <w:p>
            <w:pPr>
              <w:pStyle w:val="951"/>
              <w:ind w:firstLine="420"/>
              <w:rPr>
                <w:rFonts w:hint="eastAsia" w:ascii="宋体" w:hAnsi="宋体" w:cs="宋体"/>
                <w:color w:val="000000"/>
                <w:highlight w:val="none"/>
                <w:lang w:val="en-US" w:eastAsia="zh-CN"/>
              </w:rPr>
            </w:pPr>
            <w:r>
              <w:rPr>
                <w:rFonts w:hint="eastAsia" w:ascii="宋体" w:hAnsi="宋体" w:cs="宋体"/>
                <w:color w:val="000000"/>
                <w:highlight w:val="none"/>
              </w:rPr>
              <w:t xml:space="preserve">本科学历，得1分，硕士及以上学历，得2分（学历分不累计，提供学历证书复印件或扫描件）；</w:t>
            </w:r>
            <w:r>
              <w:rPr>
                <w:rFonts w:hint="eastAsia" w:ascii="宋体" w:hAnsi="宋体" w:cs="宋体"/>
                <w:color w:val="000000"/>
                <w:highlight w:val="none"/>
                <w:lang w:val="en-US" w:eastAsia="zh-CN"/>
              </w:rPr>
              <w:t xml:space="preserve"> </w:t>
            </w:r>
            <w:r>
              <w:rPr>
                <w:rFonts w:hint="eastAsia" w:ascii="宋体" w:hAnsi="宋体" w:cs="宋体"/>
                <w:color w:val="000000"/>
                <w:highlight w:val="none"/>
                <w:lang w:val="en-US" w:eastAsia="zh-CN"/>
              </w:rPr>
            </w:r>
            <w:r/>
          </w:p>
          <w:p>
            <w:pPr>
              <w:pStyle w:val="978"/>
              <w:rPr>
                <w:rFonts w:ascii="宋体" w:hAnsi="宋体" w:cs="宋体"/>
                <w:color w:val="000000"/>
                <w:highlight w:val="none"/>
              </w:rPr>
            </w:pPr>
            <w:r>
              <w:rPr>
                <w:rFonts w:hint="eastAsia" w:ascii="宋体" w:hAnsi="宋体" w:cs="宋体"/>
                <w:color w:val="000000"/>
                <w:highlight w:val="none"/>
              </w:rPr>
              <w:t xml:space="preserve">    具有五年及以上类似项目管理经验，得4分（</w:t>
            </w:r>
            <w:r>
              <w:rPr>
                <w:rFonts w:hint="eastAsia" w:ascii="宋体" w:hAnsi="宋体" w:eastAsia="宋体" w:cs="宋体"/>
                <w:color w:val="000000"/>
                <w:sz w:val="21"/>
                <w:szCs w:val="21"/>
                <w:highlight w:val="none"/>
                <w:lang w:val="en-US" w:eastAsia="zh-CN" w:bidi="ar-SA"/>
              </w:rPr>
              <w:t xml:space="preserve">提供业主单位（甲方）</w:t>
            </w:r>
            <w:r>
              <w:rPr>
                <w:rFonts w:hint="eastAsia" w:ascii="宋体" w:hAnsi="宋体" w:eastAsia="宋体" w:cs="宋体"/>
                <w:color w:val="000000"/>
                <w:sz w:val="21"/>
                <w:szCs w:val="21"/>
                <w:highlight w:val="none"/>
                <w:lang w:val="en-US" w:eastAsia="zh-CN" w:bidi="ar-SA"/>
              </w:rPr>
              <w:t xml:space="preserve">或</w:t>
            </w:r>
            <w:r>
              <w:rPr>
                <w:rFonts w:hint="eastAsia" w:ascii="宋体" w:hAnsi="宋体" w:eastAsia="宋体" w:cs="宋体"/>
                <w:color w:val="000000"/>
                <w:sz w:val="21"/>
                <w:szCs w:val="21"/>
                <w:highlight w:val="none"/>
                <w:lang w:val="en-US" w:eastAsia="zh-CN" w:bidi="ar-SA"/>
              </w:rPr>
              <w:t xml:space="preserve">具体</w:t>
            </w:r>
            <w:r>
              <w:rPr>
                <w:rFonts w:hint="eastAsia" w:ascii="宋体" w:hAnsi="宋体" w:eastAsia="宋体" w:cs="宋体"/>
                <w:color w:val="000000"/>
                <w:sz w:val="21"/>
                <w:szCs w:val="21"/>
                <w:highlight w:val="none"/>
                <w:lang w:val="en-US" w:eastAsia="zh-CN" w:bidi="ar-SA"/>
              </w:rPr>
              <w:t xml:space="preserve">使用单</w:t>
            </w:r>
            <w:r>
              <w:rPr>
                <w:rFonts w:hint="eastAsia" w:ascii="宋体" w:hAnsi="宋体" w:eastAsia="宋体" w:cs="宋体"/>
                <w:color w:val="000000"/>
                <w:sz w:val="21"/>
                <w:szCs w:val="21"/>
                <w:highlight w:val="none"/>
                <w:lang w:val="en-US" w:eastAsia="zh-CN" w:bidi="ar-SA"/>
              </w:rPr>
              <w:t xml:space="preserve">位</w:t>
            </w:r>
            <w:r>
              <w:rPr>
                <w:rFonts w:hint="eastAsia" w:ascii="宋体" w:hAnsi="宋体" w:eastAsia="宋体" w:cs="宋体"/>
                <w:color w:val="000000"/>
                <w:sz w:val="21"/>
                <w:szCs w:val="21"/>
                <w:highlight w:val="none"/>
                <w:lang w:val="en-US" w:eastAsia="zh-CN" w:bidi="ar-SA"/>
              </w:rPr>
              <w:t xml:space="preserve">出具的盖有公章的经验证明文件复印件或扫描件，内容须包含项目经理姓名及身份证号及任职起止时间。</w:t>
            </w:r>
            <w:r>
              <w:rPr>
                <w:rFonts w:hint="eastAsia" w:ascii="宋体" w:hAnsi="宋体" w:cs="宋体"/>
                <w:color w:val="000000"/>
                <w:sz w:val="21"/>
                <w:szCs w:val="21"/>
                <w:highlight w:val="none"/>
                <w:lang w:val="en-US" w:eastAsia="zh-CN" w:bidi="ar-SA"/>
              </w:rPr>
              <w:t xml:space="preserve">）</w:t>
            </w:r>
            <w:r>
              <w:rPr>
                <w:rFonts w:ascii="宋体" w:hAnsi="宋体" w:cs="宋体"/>
                <w:color w:val="000000"/>
                <w:highlight w:val="none"/>
              </w:rPr>
            </w:r>
            <w:r/>
          </w:p>
          <w:p>
            <w:pPr>
              <w:pStyle w:val="951"/>
              <w:ind w:firstLine="420"/>
              <w:rPr>
                <w:rFonts w:ascii="宋体" w:hAnsi="宋体" w:cs="宋体"/>
                <w:color w:val="000000"/>
                <w:highlight w:val="none"/>
              </w:rPr>
            </w:pPr>
            <w:r>
              <w:rPr>
                <w:rFonts w:hint="eastAsia" w:ascii="宋体" w:hAnsi="宋体" w:cs="宋体"/>
                <w:color w:val="000000"/>
                <w:highlight w:val="none"/>
              </w:rPr>
              <w:t xml:space="preserve">（上述学历证书和证明材料须加盖投标人公章，并提供投标人近三个月中任意一个月为项目经理缴纳社保的</w:t>
            </w:r>
            <w:r>
              <w:rPr>
                <w:rFonts w:hint="eastAsia" w:ascii="宋体" w:hAnsi="宋体" w:cs="宋体"/>
                <w:color w:val="000000"/>
                <w:highlight w:val="none"/>
                <w:lang w:val="en-US" w:eastAsia="zh-CN"/>
              </w:rPr>
              <w:t xml:space="preserve">缴存明细</w:t>
            </w:r>
            <w:r>
              <w:rPr>
                <w:rFonts w:hint="eastAsia" w:ascii="宋体" w:hAnsi="宋体" w:cs="宋体"/>
                <w:color w:val="000000"/>
                <w:highlight w:val="none"/>
              </w:rPr>
              <w:t xml:space="preserve">，否则不得分）</w:t>
            </w:r>
            <w:r>
              <w:rPr>
                <w:rFonts w:ascii="宋体" w:hAnsi="宋体" w:cs="宋体"/>
                <w:color w:val="000000"/>
                <w:highlight w:val="none"/>
              </w:rPr>
            </w:r>
            <w:r/>
          </w:p>
        </w:tc>
        <w:tc>
          <w:tcPr>
            <w:tcW w:w="1079" w:type="dxa"/>
            <w:vAlign w:val="center"/>
            <w:textDirection w:val="lrTb"/>
            <w:noWrap w:val="false"/>
          </w:tcPr>
          <w:p>
            <w:pPr>
              <w:pStyle w:val="951"/>
              <w:jc w:val="center"/>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r>
      <w:tr>
        <w:trPr>
          <w:trHeight w:val="1842"/>
          <w:tblHeader/>
        </w:trPr>
        <w:tc>
          <w:tcPr>
            <w:tcW w:w="1275" w:type="dxa"/>
            <w:vAlign w:val="center"/>
            <w:vMerge w:val="continue"/>
            <w:textDirection w:val="lrTb"/>
            <w:noWrap w:val="false"/>
          </w:tcPr>
          <w:p>
            <w:pPr>
              <w:pStyle w:val="951"/>
              <w:rPr>
                <w:rFonts w:ascii="宋体" w:hAnsi="宋体"/>
                <w:color w:val="000000"/>
                <w:highlight w:val="none"/>
              </w:rPr>
            </w:pPr>
            <w:r>
              <w:rPr>
                <w:rFonts w:ascii="宋体" w:hAnsi="宋体"/>
                <w:color w:val="000000"/>
                <w:highlight w:val="none"/>
              </w:rPr>
            </w:r>
            <w:r/>
          </w:p>
        </w:tc>
        <w:tc>
          <w:tcPr>
            <w:tcW w:w="6286" w:type="dxa"/>
            <w:vAlign w:val="center"/>
            <w:textDirection w:val="lrTb"/>
            <w:noWrap w:val="false"/>
          </w:tcPr>
          <w:p>
            <w:pPr>
              <w:pStyle w:val="951"/>
              <w:rPr>
                <w:rFonts w:ascii="宋体" w:hAnsi="宋体" w:cs="宋体"/>
                <w:color w:val="000000"/>
                <w:highlight w:val="none"/>
              </w:rPr>
            </w:pPr>
            <w:r>
              <w:rPr>
                <w:rFonts w:hint="eastAsia" w:ascii="宋体" w:hAnsi="宋体" w:cs="宋体"/>
                <w:color w:val="000000"/>
                <w:highlight w:val="none"/>
              </w:rPr>
              <w:t xml:space="preserve">3.2项目主管能力（6分）</w:t>
            </w:r>
            <w:r>
              <w:rPr>
                <w:rFonts w:ascii="宋体" w:hAnsi="宋体" w:cs="宋体"/>
                <w:color w:val="000000"/>
                <w:highlight w:val="none"/>
              </w:rPr>
            </w:r>
            <w:r/>
          </w:p>
          <w:p>
            <w:pPr>
              <w:pStyle w:val="951"/>
              <w:ind w:firstLine="420"/>
              <w:rPr>
                <w:rFonts w:hint="eastAsia" w:ascii="宋体" w:hAnsi="宋体" w:cs="宋体"/>
                <w:color w:val="000000"/>
                <w:highlight w:val="none"/>
                <w:lang w:val="en-US" w:eastAsia="zh-CN"/>
              </w:rPr>
            </w:pPr>
            <w:r>
              <w:rPr>
                <w:rFonts w:hint="eastAsia" w:ascii="宋体" w:hAnsi="宋体" w:cs="宋体"/>
                <w:color w:val="000000"/>
                <w:highlight w:val="none"/>
              </w:rPr>
              <w:t xml:space="preserve">投标单位拟派驻本项目的项目主管具有</w:t>
            </w:r>
            <w:r>
              <w:rPr>
                <w:rFonts w:hint="eastAsia" w:ascii="宋体" w:hAnsi="宋体" w:cs="宋体"/>
                <w:color w:val="000000"/>
                <w:highlight w:val="none"/>
                <w:lang w:val="en-US" w:eastAsia="zh-CN"/>
              </w:rPr>
              <w:t xml:space="preserve">大专</w:t>
            </w:r>
            <w:r>
              <w:rPr>
                <w:rFonts w:hint="eastAsia" w:ascii="宋体" w:hAnsi="宋体" w:cs="宋体"/>
                <w:color w:val="000000"/>
                <w:highlight w:val="none"/>
              </w:rPr>
              <w:t xml:space="preserve">及以上学历</w:t>
            </w:r>
            <w:r>
              <w:rPr>
                <w:rFonts w:hint="eastAsia" w:ascii="宋体" w:hAnsi="宋体" w:cs="宋体"/>
                <w:color w:val="000000"/>
                <w:highlight w:val="none"/>
                <w:lang w:val="en-US" w:eastAsia="zh-CN"/>
              </w:rPr>
              <w:t xml:space="preserve">的得2分（</w:t>
            </w:r>
            <w:r>
              <w:rPr>
                <w:rFonts w:hint="eastAsia" w:ascii="宋体" w:hAnsi="宋体" w:cs="宋体"/>
                <w:color w:val="000000"/>
                <w:highlight w:val="none"/>
              </w:rPr>
              <w:t xml:space="preserve">提供学历证书复印件或扫描件）</w:t>
            </w:r>
            <w:r>
              <w:rPr>
                <w:rFonts w:hint="eastAsia" w:ascii="宋体" w:hAnsi="宋体" w:cs="宋体"/>
                <w:color w:val="000000"/>
                <w:highlight w:val="none"/>
                <w:lang w:val="en-US" w:eastAsia="zh-CN"/>
              </w:rPr>
              <w:t xml:space="preserve">；</w:t>
            </w:r>
            <w:r>
              <w:rPr>
                <w:rFonts w:hint="eastAsia" w:ascii="宋体" w:hAnsi="宋体" w:cs="宋体"/>
                <w:color w:val="000000"/>
                <w:highlight w:val="none"/>
                <w:lang w:val="en-US" w:eastAsia="zh-CN"/>
              </w:rPr>
            </w:r>
            <w:r/>
          </w:p>
          <w:p>
            <w:pPr>
              <w:pStyle w:val="951"/>
              <w:ind w:firstLine="420"/>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具有</w:t>
            </w:r>
            <w:r>
              <w:rPr>
                <w:rFonts w:hint="eastAsia" w:ascii="宋体" w:hAnsi="宋体" w:cs="宋体"/>
                <w:color w:val="000000"/>
                <w:highlight w:val="none"/>
              </w:rPr>
              <w:t xml:space="preserve">物业管理师中级</w:t>
            </w:r>
            <w:r>
              <w:rPr>
                <w:rFonts w:hint="eastAsia" w:ascii="宋体" w:hAnsi="宋体" w:cs="宋体"/>
                <w:color w:val="000000"/>
                <w:highlight w:val="none"/>
                <w:lang w:val="en-US" w:eastAsia="zh-CN"/>
              </w:rPr>
              <w:t xml:space="preserve">或以上技能证书的得2分（提供有效证书及证书颁发机构在技能人才评价工作网的职业技能等级评价机构查询截图，或该证书在技能人才评价工作网的证书截图）；</w:t>
            </w:r>
            <w:r>
              <w:rPr>
                <w:rFonts w:hint="eastAsia" w:ascii="宋体" w:hAnsi="宋体" w:cs="宋体"/>
                <w:color w:val="000000"/>
                <w:highlight w:val="none"/>
                <w:lang w:val="en-US" w:eastAsia="zh-CN"/>
              </w:rPr>
            </w:r>
            <w:r/>
          </w:p>
          <w:p>
            <w:pPr>
              <w:pStyle w:val="951"/>
              <w:ind w:firstLine="420"/>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具有2</w:t>
            </w:r>
            <w:r>
              <w:rPr>
                <w:rFonts w:hint="eastAsia" w:ascii="宋体" w:hAnsi="宋体" w:cs="宋体"/>
                <w:color w:val="000000"/>
                <w:highlight w:val="none"/>
              </w:rPr>
              <w:t xml:space="preserve">年及以上</w:t>
            </w:r>
            <w:r>
              <w:rPr>
                <w:rFonts w:hint="eastAsia" w:ascii="宋体" w:hAnsi="宋体" w:cs="宋体"/>
                <w:color w:val="000000"/>
                <w:highlight w:val="none"/>
                <w:lang w:val="en-US" w:eastAsia="zh-CN"/>
              </w:rPr>
              <w:t xml:space="preserve">物业</w:t>
            </w:r>
            <w:r>
              <w:rPr>
                <w:rFonts w:hint="eastAsia" w:ascii="宋体" w:hAnsi="宋体" w:cs="宋体"/>
                <w:color w:val="000000"/>
                <w:highlight w:val="none"/>
              </w:rPr>
              <w:t xml:space="preserve">项目管理经验</w:t>
            </w:r>
            <w:r>
              <w:rPr>
                <w:rFonts w:hint="eastAsia" w:ascii="宋体" w:hAnsi="宋体" w:cs="宋体"/>
                <w:color w:val="000000"/>
                <w:highlight w:val="none"/>
                <w:lang w:val="en-US" w:eastAsia="zh-CN"/>
              </w:rPr>
              <w:t xml:space="preserve">的</w:t>
            </w:r>
            <w:r>
              <w:rPr>
                <w:rFonts w:hint="eastAsia" w:ascii="宋体" w:hAnsi="宋体" w:cs="宋体"/>
                <w:color w:val="000000"/>
                <w:highlight w:val="none"/>
              </w:rPr>
              <w:t xml:space="preserve">得2分，</w:t>
            </w:r>
            <w:r>
              <w:rPr>
                <w:rFonts w:hint="eastAsia" w:ascii="宋体" w:hAnsi="宋体" w:cs="宋体"/>
                <w:color w:val="000000"/>
                <w:highlight w:val="none"/>
                <w:lang w:val="en-US" w:eastAsia="zh-CN"/>
              </w:rPr>
              <w:t xml:space="preserve">本项</w:t>
            </w:r>
            <w:r>
              <w:rPr>
                <w:rFonts w:hint="eastAsia" w:ascii="宋体" w:hAnsi="宋体" w:cs="宋体"/>
                <w:color w:val="000000"/>
                <w:highlight w:val="none"/>
              </w:rPr>
              <w:t xml:space="preserve">满分6分。</w:t>
            </w:r>
            <w:r>
              <w:rPr>
                <w:rFonts w:hint="eastAsia" w:ascii="宋体" w:hAnsi="宋体" w:cs="宋体"/>
                <w:color w:val="000000"/>
                <w:highlight w:val="none"/>
                <w:lang w:eastAsia="zh-CN"/>
              </w:rPr>
              <w:t xml:space="preserve">（</w:t>
            </w:r>
            <w:r>
              <w:rPr>
                <w:rFonts w:hint="eastAsia" w:ascii="宋体" w:hAnsi="宋体" w:eastAsia="宋体" w:cs="宋体"/>
                <w:color w:val="000000"/>
                <w:sz w:val="21"/>
                <w:szCs w:val="21"/>
                <w:highlight w:val="none"/>
                <w:lang w:val="en-US" w:eastAsia="zh-CN" w:bidi="ar-SA"/>
              </w:rPr>
              <w:t xml:space="preserve">提供业主单位（甲方）</w:t>
            </w:r>
            <w:r>
              <w:rPr>
                <w:rFonts w:hint="eastAsia" w:ascii="宋体" w:hAnsi="宋体" w:eastAsia="宋体" w:cs="宋体"/>
                <w:color w:val="000000"/>
                <w:sz w:val="21"/>
                <w:szCs w:val="21"/>
                <w:highlight w:val="none"/>
                <w:lang w:val="en-US" w:eastAsia="zh-CN" w:bidi="ar-SA"/>
              </w:rPr>
              <w:t xml:space="preserve">或</w:t>
            </w:r>
            <w:r>
              <w:rPr>
                <w:rFonts w:hint="eastAsia" w:ascii="宋体" w:hAnsi="宋体" w:eastAsia="宋体" w:cs="宋体"/>
                <w:color w:val="000000"/>
                <w:sz w:val="21"/>
                <w:szCs w:val="21"/>
                <w:highlight w:val="none"/>
                <w:lang w:val="en-US" w:eastAsia="zh-CN" w:bidi="ar-SA"/>
              </w:rPr>
              <w:t xml:space="preserve">具体</w:t>
            </w:r>
            <w:r>
              <w:rPr>
                <w:rFonts w:hint="eastAsia" w:ascii="宋体" w:hAnsi="宋体" w:eastAsia="宋体" w:cs="宋体"/>
                <w:color w:val="000000"/>
                <w:sz w:val="21"/>
                <w:szCs w:val="21"/>
                <w:highlight w:val="none"/>
                <w:lang w:val="en-US" w:eastAsia="zh-CN" w:bidi="ar-SA"/>
              </w:rPr>
              <w:t xml:space="preserve">使用单位</w:t>
            </w:r>
            <w:r>
              <w:rPr>
                <w:rFonts w:hint="eastAsia" w:ascii="宋体" w:hAnsi="宋体" w:eastAsia="宋体" w:cs="宋体"/>
                <w:color w:val="000000"/>
                <w:sz w:val="21"/>
                <w:szCs w:val="21"/>
                <w:highlight w:val="none"/>
                <w:lang w:val="en-US" w:eastAsia="zh-CN" w:bidi="ar-SA"/>
              </w:rPr>
              <w:t xml:space="preserve">出具的盖有公章的经验证明文件复印件或扫描件，内容须</w:t>
            </w:r>
            <w:r>
              <w:rPr>
                <w:rFonts w:hint="eastAsia" w:ascii="宋体" w:hAnsi="宋体" w:cs="宋体"/>
                <w:color w:val="000000"/>
                <w:highlight w:val="none"/>
              </w:rPr>
              <w:t xml:space="preserve">包含项目经理姓名</w:t>
            </w:r>
            <w:r>
              <w:rPr>
                <w:rFonts w:hint="eastAsia" w:ascii="宋体" w:hAnsi="宋体" w:cs="宋体"/>
                <w:color w:val="000000"/>
                <w:highlight w:val="none"/>
                <w:lang w:val="en-US" w:eastAsia="zh-CN"/>
              </w:rPr>
              <w:t xml:space="preserve">及</w:t>
            </w:r>
            <w:r>
              <w:rPr>
                <w:rFonts w:hint="eastAsia" w:ascii="宋体" w:hAnsi="宋体" w:cs="宋体"/>
                <w:color w:val="000000"/>
                <w:highlight w:val="none"/>
              </w:rPr>
              <w:t xml:space="preserve">身份证号</w:t>
            </w:r>
            <w:r>
              <w:rPr>
                <w:rFonts w:hint="eastAsia" w:ascii="宋体" w:hAnsi="宋体" w:cs="宋体"/>
                <w:color w:val="000000"/>
                <w:highlight w:val="none"/>
                <w:lang w:val="en-US" w:eastAsia="zh-CN"/>
              </w:rPr>
              <w:t xml:space="preserve">及</w:t>
            </w:r>
            <w:r>
              <w:rPr>
                <w:rFonts w:hint="eastAsia" w:ascii="宋体" w:hAnsi="宋体" w:cs="宋体"/>
                <w:color w:val="000000"/>
                <w:highlight w:val="none"/>
              </w:rPr>
              <w:t xml:space="preserve">任职起止时间</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p>
            <w:pPr>
              <w:pStyle w:val="951"/>
              <w:ind w:firstLine="420"/>
              <w:rPr>
                <w:rFonts w:ascii="宋体" w:hAnsi="宋体" w:cs="宋体"/>
                <w:color w:val="000000"/>
                <w:highlight w:val="none"/>
              </w:rPr>
            </w:pPr>
            <w:r>
              <w:rPr>
                <w:rFonts w:hint="eastAsia" w:ascii="宋体" w:hAnsi="宋体" w:cs="宋体"/>
                <w:color w:val="000000"/>
                <w:highlight w:val="none"/>
              </w:rPr>
              <w:t xml:space="preserve">（上述学历证书和证明材料须加盖投标人公章，并提供投标人近三个月中任意一个月为项目</w:t>
            </w:r>
            <w:r>
              <w:rPr>
                <w:rFonts w:hint="eastAsia" w:ascii="宋体" w:hAnsi="宋体" w:cs="宋体"/>
                <w:color w:val="000000"/>
                <w:highlight w:val="none"/>
                <w:lang w:val="en-US" w:eastAsia="zh-CN"/>
              </w:rPr>
              <w:t xml:space="preserve">主管</w:t>
            </w:r>
            <w:r>
              <w:rPr>
                <w:rFonts w:hint="eastAsia" w:ascii="宋体" w:hAnsi="宋体" w:cs="宋体"/>
                <w:color w:val="000000"/>
                <w:highlight w:val="none"/>
              </w:rPr>
              <w:t xml:space="preserve">缴纳社保的</w:t>
            </w:r>
            <w:r>
              <w:rPr>
                <w:rFonts w:hint="eastAsia" w:ascii="宋体" w:hAnsi="宋体" w:cs="宋体"/>
                <w:color w:val="000000"/>
                <w:highlight w:val="none"/>
                <w:lang w:val="en-US" w:eastAsia="zh-CN"/>
              </w:rPr>
              <w:t xml:space="preserve">缴存明细</w:t>
            </w:r>
            <w:r>
              <w:rPr>
                <w:rFonts w:hint="eastAsia" w:ascii="宋体" w:hAnsi="宋体" w:cs="宋体"/>
                <w:color w:val="000000"/>
                <w:highlight w:val="none"/>
              </w:rPr>
              <w:t xml:space="preserve">，否则不得分）</w:t>
            </w:r>
            <w:r>
              <w:rPr>
                <w:rFonts w:ascii="宋体" w:hAnsi="宋体" w:cs="宋体"/>
                <w:color w:val="000000"/>
                <w:highlight w:val="none"/>
              </w:rPr>
            </w:r>
            <w:r/>
          </w:p>
        </w:tc>
        <w:tc>
          <w:tcPr>
            <w:tcW w:w="1079" w:type="dxa"/>
            <w:vAlign w:val="center"/>
            <w:textDirection w:val="lrTb"/>
            <w:noWrap w:val="false"/>
          </w:tcPr>
          <w:p>
            <w:pPr>
              <w:pStyle w:val="951"/>
              <w:jc w:val="center"/>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r>
      <w:tr>
        <w:trPr>
          <w:trHeight w:val="2442"/>
          <w:tblHeader/>
        </w:trPr>
        <w:tc>
          <w:tcPr>
            <w:tcW w:w="1275" w:type="dxa"/>
            <w:vAlign w:val="center"/>
            <w:textDirection w:val="lrTb"/>
            <w:noWrap w:val="false"/>
          </w:tcPr>
          <w:p>
            <w:pPr>
              <w:pStyle w:val="951"/>
              <w:jc w:val="center"/>
              <w:rPr>
                <w:rFonts w:ascii="宋体" w:hAnsi="宋体"/>
                <w:color w:val="000000"/>
                <w:highlight w:val="none"/>
              </w:rPr>
            </w:pPr>
            <w:r>
              <w:rPr>
                <w:rFonts w:hint="eastAsia" w:ascii="宋体" w:hAnsi="宋体"/>
                <w:color w:val="000000"/>
                <w:highlight w:val="none"/>
              </w:rPr>
              <w:t xml:space="preserve">4.业绩</w:t>
            </w:r>
            <w:r>
              <w:rPr>
                <w:rFonts w:ascii="宋体" w:hAnsi="宋体"/>
                <w:color w:val="000000"/>
                <w:highlight w:val="none"/>
              </w:rPr>
            </w:r>
            <w:r/>
          </w:p>
          <w:p>
            <w:pPr>
              <w:pStyle w:val="951"/>
              <w:jc w:val="center"/>
              <w:rPr>
                <w:rFonts w:ascii="宋体" w:hAnsi="宋体"/>
                <w:color w:val="000000"/>
                <w:highlight w:val="none"/>
              </w:rPr>
            </w:pPr>
            <w:r>
              <w:rPr>
                <w:rFonts w:hint="eastAsia" w:ascii="宋体" w:hAnsi="宋体"/>
                <w:color w:val="000000"/>
                <w:highlight w:val="none"/>
              </w:rPr>
              <w:t xml:space="preserve">（8分）</w:t>
            </w:r>
            <w:r>
              <w:rPr>
                <w:rFonts w:ascii="宋体" w:hAnsi="宋体"/>
                <w:color w:val="000000"/>
                <w:highlight w:val="none"/>
              </w:rPr>
            </w:r>
            <w:r/>
          </w:p>
        </w:tc>
        <w:tc>
          <w:tcPr>
            <w:tcW w:w="6286" w:type="dxa"/>
            <w:vAlign w:val="center"/>
            <w:textDirection w:val="lrTb"/>
            <w:noWrap w:val="false"/>
          </w:tcPr>
          <w:p>
            <w:pPr>
              <w:pStyle w:val="951"/>
              <w:ind w:firstLine="420"/>
              <w:rPr>
                <w:rFonts w:hint="eastAsia" w:ascii="宋体" w:hAnsi="宋体" w:cs="宋体"/>
                <w:color w:val="000000"/>
                <w:highlight w:val="none"/>
              </w:rPr>
            </w:pPr>
            <w:r>
              <w:rPr>
                <w:rFonts w:hint="eastAsia" w:ascii="宋体" w:hAnsi="宋体" w:cs="宋体"/>
                <w:color w:val="000000"/>
                <w:highlight w:val="none"/>
              </w:rPr>
              <w:t xml:space="preserve">投标人提供自2021年1月1日以来（以合同签订时间为准）</w:t>
            </w:r>
            <w:r>
              <w:rPr>
                <w:rFonts w:hint="eastAsia" w:ascii="宋体" w:hAnsi="宋体" w:cs="宋体"/>
                <w:color w:val="000000"/>
                <w:highlight w:val="none"/>
                <w:lang w:val="en-US" w:eastAsia="zh-CN"/>
              </w:rPr>
              <w:t xml:space="preserve">承接过的</w:t>
            </w:r>
            <w:r>
              <w:rPr>
                <w:rFonts w:hint="eastAsia" w:ascii="宋体" w:hAnsi="宋体" w:cs="宋体"/>
                <w:color w:val="000000"/>
                <w:highlight w:val="none"/>
              </w:rPr>
              <w:t xml:space="preserve">的</w:t>
            </w:r>
            <w:r>
              <w:rPr>
                <w:rFonts w:hint="eastAsia" w:ascii="宋体" w:hAnsi="宋体" w:cs="宋体"/>
                <w:color w:val="000000"/>
                <w:highlight w:val="none"/>
                <w:lang w:val="en-US" w:eastAsia="zh-CN"/>
              </w:rPr>
              <w:t xml:space="preserve">物业</w:t>
            </w:r>
            <w:r>
              <w:rPr>
                <w:rFonts w:hint="eastAsia" w:ascii="宋体" w:hAnsi="宋体" w:cs="宋体"/>
                <w:color w:val="000000"/>
                <w:highlight w:val="none"/>
              </w:rPr>
              <w:t xml:space="preserve">项目案例,单个有效业绩得2分，本项最高8分。</w:t>
            </w:r>
            <w:r>
              <w:rPr>
                <w:rFonts w:hint="eastAsia" w:ascii="宋体" w:hAnsi="宋体" w:cs="宋体"/>
                <w:color w:val="000000"/>
                <w:highlight w:val="none"/>
              </w:rPr>
            </w:r>
            <w:r/>
          </w:p>
          <w:p>
            <w:pPr>
              <w:pStyle w:val="951"/>
              <w:ind w:firstLine="420"/>
              <w:rPr>
                <w:rFonts w:hint="eastAsia" w:ascii="宋体" w:hAnsi="宋体" w:eastAsia="宋体" w:cs="宋体"/>
                <w:color w:val="000000"/>
                <w:highlight w:val="none"/>
                <w:lang w:eastAsia="zh-CN"/>
              </w:rPr>
            </w:pPr>
            <w:r>
              <w:rPr>
                <w:rFonts w:hint="eastAsia" w:ascii="宋体" w:hAnsi="宋体" w:cs="宋体"/>
                <w:color w:val="000000"/>
                <w:highlight w:val="none"/>
              </w:rPr>
              <w:t xml:space="preserve">证明材料:须提供物业服务合同(复印件或扫描件)，合同内容须清晰反映合同双方名称、服务具体内容、合同签订日期及双方盖章</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同时提供对应合同的物业服务验收报告或满意度评价，加盖使用单位（或主管部门）公章。</w:t>
            </w:r>
            <w:r>
              <w:rPr>
                <w:rFonts w:hint="eastAsia" w:ascii="宋体" w:hAnsi="宋体" w:eastAsia="宋体" w:cs="宋体"/>
                <w:color w:val="000000"/>
                <w:highlight w:val="none"/>
                <w:lang w:eastAsia="zh-CN"/>
              </w:rPr>
            </w:r>
            <w:r/>
          </w:p>
          <w:p>
            <w:pPr>
              <w:pStyle w:val="951"/>
              <w:ind w:firstLine="420"/>
              <w:rPr>
                <w:rFonts w:hint="eastAsia" w:ascii="宋体" w:hAnsi="宋体" w:cs="宋体"/>
                <w:color w:val="000000"/>
                <w:highlight w:val="none"/>
              </w:rPr>
            </w:pPr>
            <w:r>
              <w:rPr>
                <w:rFonts w:hint="eastAsia" w:ascii="宋体" w:hAnsi="宋体" w:cs="宋体"/>
                <w:color w:val="000000"/>
                <w:highlight w:val="none"/>
              </w:rPr>
              <w:t xml:space="preserve">补充材料:如合同无法完全反映上述信息或服务内容表述模糊，供应商还须同时提供业主单位出具的加盖公章的书面证明材料，用以辅助说明。</w:t>
            </w:r>
            <w:r>
              <w:rPr>
                <w:rFonts w:hint="eastAsia" w:ascii="宋体" w:hAnsi="宋体" w:cs="宋体"/>
                <w:color w:val="000000"/>
                <w:highlight w:val="none"/>
              </w:rPr>
            </w:r>
            <w:r/>
          </w:p>
          <w:p>
            <w:pPr>
              <w:pStyle w:val="951"/>
              <w:ind w:firstLine="420"/>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r>
            <w:r/>
          </w:p>
        </w:tc>
        <w:tc>
          <w:tcPr>
            <w:tcW w:w="1079" w:type="dxa"/>
            <w:vAlign w:val="center"/>
            <w:textDirection w:val="lrTb"/>
            <w:noWrap w:val="false"/>
          </w:tcPr>
          <w:p>
            <w:pPr>
              <w:pStyle w:val="951"/>
              <w:jc w:val="center"/>
              <w:widowControl/>
              <w:rPr>
                <w:rFonts w:ascii="宋体" w:hAnsi="宋体" w:cs="宋体"/>
                <w:color w:val="000000"/>
                <w:highlight w:val="none"/>
              </w:rPr>
            </w:pPr>
            <w:r>
              <w:rPr>
                <w:rFonts w:hint="eastAsia" w:ascii="宋体" w:hAnsi="宋体" w:cs="宋体"/>
                <w:color w:val="000000"/>
                <w:highlight w:val="none"/>
              </w:rPr>
              <w:t xml:space="preserve">8</w:t>
            </w:r>
            <w:r>
              <w:rPr>
                <w:rFonts w:ascii="宋体" w:hAnsi="宋体" w:cs="宋体"/>
                <w:color w:val="000000"/>
                <w:highlight w:val="none"/>
              </w:rPr>
            </w:r>
            <w:r/>
          </w:p>
        </w:tc>
      </w:tr>
    </w:tbl>
    <w:p>
      <w:pPr>
        <w:pStyle w:val="951"/>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51"/>
        <w:rPr>
          <w:rFonts w:hint="eastAsia"/>
        </w:rPr>
      </w:pPr>
      <w:r>
        <w:rPr>
          <w:rFonts w:hint="eastAsia"/>
        </w:rPr>
      </w:r>
      <w:r/>
    </w:p>
    <w:p>
      <w:pPr>
        <w:pStyle w:val="951"/>
        <w:rPr>
          <w:rFonts w:hint="eastAsia"/>
        </w:rPr>
      </w:pPr>
      <w:r>
        <w:rPr>
          <w:rFonts w:hint="eastAsia"/>
        </w:rPr>
      </w:r>
      <w:r/>
    </w:p>
    <w:p>
      <w:pPr>
        <w:pStyle w:val="952"/>
        <w:rPr>
          <w:rFonts w:ascii="黑体" w:eastAsia="黑体"/>
          <w:bCs/>
          <w:sz w:val="44"/>
        </w:rPr>
      </w:pPr>
      <w:r>
        <w:rPr>
          <w:rFonts w:ascii="黑体" w:eastAsia="黑体"/>
          <w:bCs/>
          <w:sz w:val="44"/>
        </w:rPr>
      </w:r>
      <w:r/>
    </w:p>
    <w:p>
      <w:pPr>
        <w:pStyle w:val="951"/>
        <w:rPr>
          <w:rFonts w:ascii="黑体" w:eastAsia="黑体"/>
          <w:bCs/>
          <w:sz w:val="44"/>
        </w:rPr>
      </w:pPr>
      <w:r>
        <w:rPr>
          <w:rFonts w:ascii="黑体" w:eastAsia="黑体"/>
          <w:bCs/>
          <w:sz w:val="44"/>
        </w:rPr>
      </w:r>
      <w:r/>
    </w:p>
    <w:p>
      <w:pPr>
        <w:pStyle w:val="951"/>
        <w:rPr>
          <w:rFonts w:ascii="黑体" w:eastAsia="黑体"/>
          <w:bCs/>
          <w:sz w:val="44"/>
        </w:rPr>
      </w:pPr>
      <w:r>
        <w:rPr>
          <w:rFonts w:ascii="黑体" w:eastAsia="黑体"/>
          <w:bCs/>
          <w:sz w:val="44"/>
        </w:rPr>
      </w:r>
      <w:r/>
    </w:p>
    <w:p>
      <w:pPr>
        <w:pStyle w:val="951"/>
        <w:rPr>
          <w:rFonts w:ascii="黑体" w:eastAsia="黑体"/>
          <w:bCs/>
          <w:sz w:val="44"/>
        </w:rPr>
      </w:pPr>
      <w:r>
        <w:rPr>
          <w:rFonts w:ascii="黑体" w:eastAsia="黑体"/>
          <w:bCs/>
          <w:sz w:val="44"/>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1"/>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59"/>
      <w:r/>
      <w:bookmarkEnd w:id="160"/>
      <w:r/>
      <w:bookmarkEnd w:id="161"/>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951"/>
        <w:jc w:val="center"/>
        <w:rPr>
          <w:rFonts w:hint="eastAsia" w:ascii="宋体" w:hAnsi="宋体"/>
          <w:b/>
          <w:sz w:val="28"/>
          <w:szCs w:val="28"/>
        </w:rPr>
      </w:pPr>
      <w:r/>
      <w:bookmarkStart w:id="162" w:name="_Hlt26671244"/>
      <w:r/>
      <w:bookmarkEnd w:id="162"/>
      <w:r/>
      <w:bookmarkStart w:id="163" w:name="_Hlt26955039"/>
      <w:r/>
      <w:bookmarkEnd w:id="163"/>
      <w:r/>
      <w:bookmarkStart w:id="164" w:name="_Toc120614282"/>
      <w:r/>
      <w:bookmarkStart w:id="165" w:name="_Toc49090576"/>
      <w:r/>
      <w:bookmarkStart w:id="166" w:name="_Toc26554094"/>
      <w:r>
        <w:rPr>
          <w:rFonts w:hint="eastAsia" w:ascii="宋体" w:hAnsi="宋体"/>
          <w:b/>
          <w:sz w:val="28"/>
          <w:szCs w:val="28"/>
        </w:rPr>
      </w:r>
      <w:r/>
    </w:p>
    <w:p>
      <w:pPr>
        <w:pStyle w:val="951"/>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pStyle w:val="951"/>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rPr>
          <w:rFonts w:hint="eastAsia" w:ascii="方正小标宋_GBK" w:hAnsi="方正小标宋_GBK" w:eastAsia="方正小标宋_GBK" w:cs="方正小标宋_GBK"/>
          <w:b w:val="0"/>
          <w:bCs/>
          <w:sz w:val="32"/>
          <w:szCs w:val="32"/>
        </w:rPr>
      </w:r>
      <w:r/>
    </w:p>
    <w:p>
      <w:pPr>
        <w:pStyle w:val="951"/>
        <w:jc w:val="center"/>
        <w:rPr>
          <w:rFonts w:hint="eastAsia" w:ascii="宋体" w:hAnsi="宋体"/>
          <w:b/>
          <w:sz w:val="28"/>
          <w:szCs w:val="28"/>
        </w:rPr>
      </w:pPr>
      <w:r>
        <w:rPr>
          <w:rFonts w:hint="eastAsia" w:ascii="宋体" w:hAnsi="宋体"/>
          <w:b/>
          <w:sz w:val="28"/>
          <w:szCs w:val="28"/>
        </w:rPr>
      </w:r>
      <w:r/>
    </w:p>
    <w:p>
      <w:pPr>
        <w:pStyle w:val="951"/>
        <w:jc w:val="center"/>
        <w:rPr>
          <w:rFonts w:hint="eastAsia" w:ascii="宋体" w:hAnsi="宋体"/>
          <w:b/>
          <w:sz w:val="28"/>
          <w:szCs w:val="28"/>
        </w:rPr>
      </w:pPr>
      <w:r>
        <w:rPr>
          <w:rFonts w:hint="eastAsia" w:ascii="宋体" w:hAnsi="宋体"/>
          <w:b/>
          <w:sz w:val="28"/>
          <w:szCs w:val="28"/>
        </w:rPr>
      </w:r>
      <w:r/>
    </w:p>
    <w:p>
      <w:pPr>
        <w:pStyle w:val="951"/>
        <w:jc w:val="center"/>
        <w:rPr>
          <w:rFonts w:hint="eastAsia" w:ascii="宋体" w:hAnsi="宋体"/>
          <w:b/>
          <w:sz w:val="28"/>
          <w:szCs w:val="28"/>
        </w:rPr>
      </w:pPr>
      <w:r>
        <w:rPr>
          <w:rFonts w:hint="eastAsia" w:ascii="宋体" w:hAnsi="宋体"/>
          <w:b/>
          <w:sz w:val="28"/>
          <w:szCs w:val="28"/>
        </w:rPr>
      </w:r>
      <w:r/>
    </w:p>
    <w:p>
      <w:pPr>
        <w:pStyle w:val="951"/>
        <w:jc w:val="center"/>
        <w:rPr>
          <w:rFonts w:hint="eastAsia" w:ascii="宋体" w:hAnsi="宋体"/>
          <w:b/>
          <w:sz w:val="28"/>
          <w:szCs w:val="28"/>
        </w:rPr>
      </w:pPr>
      <w:r>
        <w:rPr>
          <w:rFonts w:hint="eastAsia" w:ascii="宋体" w:hAnsi="宋体"/>
          <w:b/>
          <w:sz w:val="28"/>
          <w:szCs w:val="28"/>
        </w:rPr>
      </w:r>
      <w:r/>
    </w:p>
    <w:p>
      <w:pPr>
        <w:pStyle w:val="951"/>
        <w:jc w:val="center"/>
        <w:rPr>
          <w:rFonts w:hint="eastAsia" w:ascii="宋体" w:hAnsi="宋体"/>
          <w:b/>
          <w:sz w:val="28"/>
          <w:szCs w:val="28"/>
        </w:rPr>
      </w:pPr>
      <w:r>
        <w:rPr>
          <w:rFonts w:hint="eastAsia" w:ascii="宋体" w:hAnsi="宋体"/>
          <w:b/>
          <w:sz w:val="28"/>
          <w:szCs w:val="28"/>
        </w:rPr>
      </w:r>
      <w:r/>
    </w:p>
    <w:p>
      <w:pPr>
        <w:pStyle w:val="951"/>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951"/>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51"/>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951"/>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51"/>
        <w:jc w:val="center"/>
        <w:spacing w:line="440" w:lineRule="exact"/>
        <w:rPr>
          <w:rFonts w:hint="eastAsia" w:ascii="宋体" w:hAnsi="宋体"/>
          <w:b/>
          <w:bCs/>
          <w:sz w:val="32"/>
          <w:szCs w:val="32"/>
        </w:rPr>
      </w:pPr>
      <w:r>
        <w:rPr>
          <w:rFonts w:hint="eastAsia" w:ascii="宋体" w:hAnsi="宋体"/>
          <w:b/>
          <w:bCs/>
          <w:sz w:val="32"/>
          <w:szCs w:val="32"/>
        </w:rPr>
      </w:r>
      <w:r/>
    </w:p>
    <w:p>
      <w:pPr>
        <w:pStyle w:val="951"/>
        <w:spacing w:line="440" w:lineRule="exact"/>
        <w:rPr>
          <w:rFonts w:ascii="宋体" w:hAnsi="宋体"/>
        </w:rPr>
      </w:pPr>
      <w:r>
        <w:rPr>
          <w:rFonts w:ascii="宋体" w:hAnsi="宋体"/>
        </w:rPr>
      </w:r>
      <w:r/>
    </w:p>
    <w:p>
      <w:pPr>
        <w:pStyle w:val="95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51"/>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951"/>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951"/>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rPr>
          <w:rFonts w:hint="eastAsia" w:ascii="方正仿宋_GBK" w:hAnsi="方正仿宋_GBK" w:eastAsia="方正仿宋_GBK" w:cs="方正仿宋_GBK"/>
          <w:color w:val="000000"/>
          <w:sz w:val="28"/>
          <w:szCs w:val="28"/>
          <w:lang w:val="en-US" w:eastAsia="zh-CN" w:bidi="ar-SA"/>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rPr>
          <w:rFonts w:hint="eastAsia" w:ascii="方正仿宋_GBK" w:hAnsi="方正仿宋_GBK" w:eastAsia="方正仿宋_GBK" w:cs="方正仿宋_GBK"/>
          <w:color w:val="000000"/>
          <w:sz w:val="28"/>
          <w:szCs w:val="28"/>
          <w:lang w:val="en-US" w:eastAsia="zh-CN" w:bidi="ar-SA"/>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rPr>
          <w:rFonts w:hint="eastAsia" w:ascii="方正仿宋_GBK" w:hAnsi="方正仿宋_GBK" w:eastAsia="方正仿宋_GBK" w:cs="方正仿宋_GBK"/>
          <w:color w:val="000000"/>
          <w:sz w:val="28"/>
          <w:szCs w:val="28"/>
          <w:lang w:val="en-US" w:eastAsia="zh-CN" w:bidi="ar-SA"/>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rPr>
          <w:rFonts w:hint="eastAsia" w:ascii="方正仿宋_GBK" w:hAnsi="方正仿宋_GBK" w:eastAsia="方正仿宋_GBK" w:cs="方正仿宋_GBK"/>
          <w:color w:val="000000"/>
          <w:sz w:val="28"/>
          <w:szCs w:val="28"/>
          <w:lang w:val="en-US" w:eastAsia="zh-CN" w:bidi="ar-SA"/>
        </w:rPr>
      </w:r>
      <w:r/>
    </w:p>
    <w:p>
      <w:pPr>
        <w:pStyle w:val="951"/>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rPr>
      </w:r>
      <w:r/>
    </w:p>
    <w:p>
      <w:pPr>
        <w:pStyle w:val="951"/>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rPr>
          <w:rFonts w:hint="eastAsia" w:ascii="方正仿宋_GBK" w:hAnsi="方正仿宋_GBK" w:eastAsia="方正仿宋_GBK" w:cs="方正仿宋_GBK"/>
          <w:color w:val="000000"/>
          <w:sz w:val="28"/>
          <w:szCs w:val="28"/>
          <w:lang w:val="en-US" w:eastAsia="zh-CN"/>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1"/>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sz w:val="28"/>
          <w:szCs w:val="28"/>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rPr>
          <w:rFonts w:ascii="方正仿宋_GBK" w:hAnsi="方正仿宋_GBK" w:eastAsia="方正仿宋_GBK" w:cs="方正仿宋_GBK"/>
          <w:sz w:val="28"/>
          <w:szCs w:val="28"/>
          <w:lang w:val="en-US" w:eastAsia="zh-CN"/>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rPr>
          <w:rFonts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51"/>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1039"/>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51"/>
        <w:ind w:firstLine="48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1"/>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951"/>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57"/>
        </w:trPr>
        <w:tc>
          <w:tcPr>
            <w:gridSpan w:val="10"/>
            <w:tcW w:w="9861" w:type="dxa"/>
            <w:vAlign w:val="top"/>
            <w:textDirection w:val="lrTb"/>
            <w:noWrap w:val="false"/>
          </w:tcPr>
          <w:p>
            <w:pPr>
              <w:pStyle w:val="1014"/>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hint="eastAsia" w:ascii="方正仿宋_GBK" w:hAnsi="方正仿宋_GBK" w:eastAsia="方正仿宋_GBK" w:cs="方正仿宋_GBK"/>
          <w:sz w:val="28"/>
          <w:szCs w:val="28"/>
          <w:lang w:val="en-US" w:eastAsia="zh-CN"/>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51"/>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.项目经办人可以根据项目实际需要对表格结构进行调整。</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人员工资、社会保险和公积金三项费用报价表（采购包号：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3035"/>
      </w:tblGrid>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总价1</w:t>
            </w:r>
            <w:r>
              <w:rPr>
                <w:rFonts w:hint="eastAsia" w:ascii="方正仿宋_GBK" w:hAnsi="方正仿宋_GBK" w:eastAsia="方正仿宋_GBK" w:cs="方正仿宋_GBK"/>
                <w:b/>
                <w:bCs/>
                <w:color w:val="000000"/>
                <w:sz w:val="28"/>
                <w:szCs w:val="28"/>
              </w:rPr>
            </w:r>
            <w:r/>
          </w:p>
        </w:tc>
        <w:tc>
          <w:tcPr>
            <w:tcW w:w="1663" w:type="dxa"/>
            <w:vAlign w:val="center"/>
            <w:vMerge w:val="restart"/>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rPr>
                <w:rFonts w:hint="eastAsia" w:ascii="方正仿宋_GBK" w:hAnsi="方正仿宋_GBK" w:eastAsia="方正仿宋_GBK" w:cs="方正仿宋_GBK"/>
                <w:b/>
                <w:bCs/>
                <w:color w:val="000000"/>
                <w:sz w:val="28"/>
                <w:szCs w:val="28"/>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1</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人员工资</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rPr>
                <w:rFonts w:hint="eastAsia" w:ascii="方正仿宋_GBK" w:hAnsi="方正仿宋_GBK" w:eastAsia="方正仿宋_GBK" w:cs="方正仿宋_GBK"/>
                <w:b/>
                <w:bCs/>
                <w:color w:val="000000"/>
                <w:sz w:val="28"/>
                <w:szCs w:val="28"/>
              </w:rPr>
            </w:r>
            <w:r/>
          </w:p>
        </w:tc>
        <w:tc>
          <w:tcPr>
            <w:tcW w:w="1663" w:type="dxa"/>
            <w:vAlign w:val="center"/>
            <w:vMerge w:val="continue"/>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pStyle w:val="951"/>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pStyle w:val="951"/>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pStyle w:val="951"/>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9120" w:type="dxa"/>
            <w:vAlign w:val="center"/>
            <w:textDirection w:val="lrTb"/>
            <w:noWrap w:val="false"/>
          </w:tcPr>
          <w:p>
            <w:pPr>
              <w:pStyle w:val="951"/>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分项总价1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rPr>
                <w:rFonts w:hint="eastAsia" w:ascii="方正仿宋_GBK" w:hAnsi="方正仿宋_GBK" w:eastAsia="方正仿宋_GBK" w:cs="方正仿宋_GBK"/>
                <w:b/>
                <w:color w:val="000000"/>
                <w:sz w:val="28"/>
                <w:szCs w:val="28"/>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 期 限</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总价2</w:t>
            </w:r>
            <w:r>
              <w:rPr>
                <w:rFonts w:hint="eastAsia" w:ascii="方正仿宋_GBK" w:hAnsi="方正仿宋_GBK" w:eastAsia="方正仿宋_GBK" w:cs="方正仿宋_GBK"/>
                <w:b/>
                <w:bCs/>
                <w:color w:val="000000"/>
                <w:sz w:val="28"/>
                <w:szCs w:val="28"/>
              </w:rPr>
            </w:r>
            <w:r/>
          </w:p>
        </w:tc>
        <w:tc>
          <w:tcPr>
            <w:tcW w:w="1663" w:type="dxa"/>
            <w:vAlign w:val="center"/>
            <w:vMerge w:val="restart"/>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rPr>
                <w:rFonts w:hint="eastAsia" w:ascii="方正仿宋_GBK" w:hAnsi="方正仿宋_GBK" w:eastAsia="方正仿宋_GBK" w:cs="方正仿宋_GBK"/>
                <w:b/>
                <w:bCs/>
                <w:color w:val="000000"/>
                <w:sz w:val="28"/>
                <w:szCs w:val="28"/>
              </w:rPr>
            </w:r>
            <w:r/>
          </w:p>
        </w:tc>
      </w:tr>
      <w:tr>
        <w:trPr>
          <w:trHeight w:val="628"/>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2</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社会保险</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费用</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rPr>
                <w:rFonts w:hint="eastAsia" w:ascii="方正仿宋_GBK" w:hAnsi="方正仿宋_GBK" w:eastAsia="方正仿宋_GBK" w:cs="方正仿宋_GBK"/>
                <w:b/>
                <w:bCs/>
                <w:color w:val="000000"/>
                <w:sz w:val="28"/>
                <w:szCs w:val="28"/>
              </w:rPr>
            </w:r>
            <w:r/>
          </w:p>
        </w:tc>
        <w:tc>
          <w:tcPr>
            <w:tcW w:w="1663" w:type="dxa"/>
            <w:vAlign w:val="center"/>
            <w:vMerge w:val="continue"/>
            <w:textDirection w:val="lrTb"/>
            <w:noWrap w:val="false"/>
          </w:tcPr>
          <w:p>
            <w:pPr>
              <w:pStyle w:val="951"/>
              <w:jc w:val="left"/>
              <w:keepLines w:val="0"/>
              <w:keepNext w:val="0"/>
              <w:pageBreakBefore w:val="0"/>
              <w:spacing w:line="400" w:lineRule="exac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563"/>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restart"/>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该人员正常缴纳社会保</w:t>
            </w:r>
            <w:r>
              <w:rPr>
                <w:rFonts w:hint="eastAsia" w:ascii="方正仿宋_GBK" w:hAnsi="方正仿宋_GBK" w:eastAsia="方正仿宋_GBK" w:cs="方正仿宋_GBK"/>
                <w:color w:val="000000"/>
                <w:sz w:val="28"/>
                <w:szCs w:val="28"/>
              </w:rPr>
            </w:r>
            <w:r/>
          </w:p>
          <w:p>
            <w:pPr>
              <w:pStyle w:val="951"/>
              <w:jc w:val="both"/>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eastAsia="zh-CN"/>
              </w:rPr>
              <w:t xml:space="preserve">险</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i w:val="0"/>
                <w:iCs/>
                <w:color w:val="000000"/>
                <w:sz w:val="28"/>
                <w:szCs w:val="28"/>
                <w:u w:val="none"/>
              </w:rPr>
              <w:t xml:space="preserve">如该人员依法享受社会保险费用缴纳减免政策，请在此框内进行说明</w:t>
            </w:r>
            <w:r>
              <w:rPr>
                <w:rFonts w:hint="eastAsia" w:ascii="方正仿宋_GBK" w:hAnsi="方正仿宋_GBK" w:eastAsia="方正仿宋_GBK" w:cs="方正仿宋_GBK"/>
                <w:color w:val="000000"/>
                <w:sz w:val="28"/>
                <w:szCs w:val="28"/>
              </w:rPr>
            </w:r>
            <w:r/>
          </w:p>
        </w:tc>
      </w:tr>
      <w:tr>
        <w:trPr>
          <w:trHeight w:val="261"/>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continue"/>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261"/>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61"/>
        </w:trPr>
        <w:tc>
          <w:tcPr>
            <w:gridSpan w:val="7"/>
            <w:tcW w:w="9120" w:type="dxa"/>
            <w:vAlign w:val="center"/>
            <w:textDirection w:val="lrTb"/>
            <w:noWrap w:val="false"/>
          </w:tcPr>
          <w:p>
            <w:pPr>
              <w:pStyle w:val="951"/>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分项总价2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rPr>
                <w:rFonts w:hint="eastAsia" w:ascii="方正仿宋_GBK" w:hAnsi="方正仿宋_GBK" w:eastAsia="方正仿宋_GBK" w:cs="方正仿宋_GBK"/>
                <w:b/>
                <w:color w:val="000000"/>
                <w:sz w:val="28"/>
                <w:szCs w:val="28"/>
              </w:rPr>
            </w:r>
            <w:r/>
          </w:p>
        </w:tc>
      </w:tr>
      <w:tr>
        <w:trPr>
          <w:trHeight w:val="261"/>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总价3</w:t>
            </w:r>
            <w:r>
              <w:rPr>
                <w:rFonts w:hint="eastAsia" w:ascii="方正仿宋_GBK" w:hAnsi="方正仿宋_GBK" w:eastAsia="方正仿宋_GBK" w:cs="方正仿宋_GBK"/>
                <w:b/>
                <w:bCs/>
                <w:color w:val="000000"/>
                <w:sz w:val="28"/>
                <w:szCs w:val="28"/>
              </w:rPr>
            </w:r>
            <w:r/>
          </w:p>
        </w:tc>
        <w:tc>
          <w:tcPr>
            <w:tcW w:w="1663" w:type="dxa"/>
            <w:vAlign w:val="center"/>
            <w:vMerge w:val="restart"/>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rPr>
                <w:rFonts w:hint="eastAsia" w:ascii="方正仿宋_GBK" w:hAnsi="方正仿宋_GBK" w:eastAsia="方正仿宋_GBK" w:cs="方正仿宋_GBK"/>
                <w:b/>
                <w:bCs/>
                <w:color w:val="000000"/>
                <w:sz w:val="28"/>
                <w:szCs w:val="28"/>
              </w:rPr>
            </w:r>
            <w:r/>
          </w:p>
        </w:tc>
      </w:tr>
      <w:tr>
        <w:trPr>
          <w:trHeight w:val="261"/>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3</w:t>
            </w:r>
            <w:r>
              <w:rPr>
                <w:rFonts w:hint="eastAsia" w:ascii="方正仿宋_GBK" w:hAnsi="方正仿宋_GBK" w:eastAsia="方正仿宋_GBK" w:cs="方正仿宋_GBK"/>
                <w:b/>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住房公积金</w:t>
            </w:r>
            <w:r>
              <w:rPr>
                <w:rFonts w:hint="eastAsia" w:ascii="方正仿宋_GBK" w:hAnsi="方正仿宋_GBK" w:eastAsia="方正仿宋_GBK" w:cs="方正仿宋_GBK"/>
                <w:b/>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rPr>
                <w:rFonts w:hint="eastAsia" w:ascii="方正仿宋_GBK" w:hAnsi="方正仿宋_GBK" w:eastAsia="方正仿宋_GBK" w:cs="方正仿宋_GBK"/>
                <w:b/>
                <w:bCs/>
                <w:color w:val="000000"/>
                <w:sz w:val="28"/>
                <w:szCs w:val="28"/>
              </w:rPr>
            </w:r>
            <w:r/>
          </w:p>
        </w:tc>
        <w:tc>
          <w:tcPr>
            <w:tcW w:w="1663" w:type="dxa"/>
            <w:vAlign w:val="center"/>
            <w:vMerge w:val="continue"/>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top"/>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restart"/>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w:t>
            </w:r>
            <w:r>
              <w:rPr>
                <w:rFonts w:hint="eastAsia" w:ascii="方正仿宋_GBK" w:hAnsi="方正仿宋_GBK" w:eastAsia="方正仿宋_GBK" w:cs="方正仿宋_GBK"/>
                <w:color w:val="000000"/>
                <w:sz w:val="28"/>
                <w:szCs w:val="28"/>
                <w:lang w:eastAsia="zh-CN"/>
              </w:rPr>
              <w:t xml:space="preserve">缴存</w:t>
            </w:r>
            <w:r>
              <w:rPr>
                <w:rFonts w:hint="eastAsia" w:ascii="方正仿宋_GBK" w:hAnsi="方正仿宋_GBK" w:eastAsia="方正仿宋_GBK" w:cs="方正仿宋_GBK"/>
                <w:color w:val="000000"/>
                <w:sz w:val="28"/>
                <w:szCs w:val="28"/>
              </w:rPr>
              <w:t xml:space="preserve">住房公</w:t>
            </w:r>
            <w:r>
              <w:rPr>
                <w:rFonts w:hint="eastAsia" w:ascii="方正仿宋_GBK" w:hAnsi="方正仿宋_GBK" w:eastAsia="方正仿宋_GBK" w:cs="方正仿宋_GBK"/>
                <w:color w:val="000000"/>
                <w:sz w:val="28"/>
                <w:szCs w:val="28"/>
              </w:rPr>
            </w:r>
            <w:r/>
          </w:p>
          <w:p>
            <w:pPr>
              <w:pStyle w:val="951"/>
              <w:jc w:val="both"/>
              <w:keepLines w:val="0"/>
              <w:keepNext w:val="0"/>
              <w:pageBreakBefore w:val="0"/>
              <w:spacing w:line="400" w:lineRule="exac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积金/</w:t>
            </w:r>
            <w:r>
              <w:rPr>
                <w:rFonts w:hint="eastAsia" w:ascii="方正仿宋_GBK" w:hAnsi="方正仿宋_GBK" w:eastAsia="方正仿宋_GBK" w:cs="方正仿宋_GBK"/>
                <w:i w:val="0"/>
                <w:iCs/>
                <w:color w:val="000000"/>
                <w:sz w:val="28"/>
                <w:szCs w:val="28"/>
                <w:u w:val="none"/>
              </w:rPr>
              <w:t xml:space="preserve">如该人员依法享受住房公积金</w:t>
            </w:r>
            <w:r>
              <w:rPr>
                <w:rFonts w:hint="eastAsia" w:ascii="方正仿宋_GBK" w:hAnsi="方正仿宋_GBK" w:eastAsia="方正仿宋_GBK" w:cs="方正仿宋_GBK"/>
                <w:i w:val="0"/>
                <w:iCs/>
                <w:color w:val="000000"/>
                <w:sz w:val="28"/>
                <w:szCs w:val="28"/>
                <w:u w:val="none"/>
                <w:lang w:eastAsia="zh-CN"/>
              </w:rPr>
              <w:t xml:space="preserve">缴存</w:t>
            </w:r>
            <w:r>
              <w:rPr>
                <w:rFonts w:hint="eastAsia" w:ascii="方正仿宋_GBK" w:hAnsi="方正仿宋_GBK" w:eastAsia="方正仿宋_GBK" w:cs="方正仿宋_GBK"/>
                <w:i w:val="0"/>
                <w:iCs/>
                <w:color w:val="000000"/>
                <w:sz w:val="28"/>
                <w:szCs w:val="28"/>
                <w:u w:val="none"/>
              </w:rPr>
              <w:t xml:space="preserve">减免政策，请在此框内进行说明</w:t>
            </w:r>
            <w:r>
              <w:rPr>
                <w:rFonts w:hint="eastAsia" w:ascii="方正仿宋_GBK" w:hAnsi="方正仿宋_GBK" w:eastAsia="方正仿宋_GBK" w:cs="方正仿宋_GBK"/>
                <w:i/>
                <w:color w:val="000000"/>
                <w:sz w:val="28"/>
                <w:szCs w:val="28"/>
                <w:u w:val="single"/>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3.2</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top"/>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continue"/>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top"/>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951"/>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9120" w:type="dxa"/>
            <w:vAlign w:val="center"/>
            <w:textDirection w:val="lrTb"/>
            <w:noWrap w:val="false"/>
          </w:tcPr>
          <w:p>
            <w:pPr>
              <w:pStyle w:val="951"/>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color w:val="000000"/>
                <w:sz w:val="28"/>
                <w:szCs w:val="28"/>
              </w:rPr>
              <w:t xml:space="preserve">分项总价3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rPr>
                <w:rFonts w:hint="eastAsia" w:ascii="方正仿宋_GBK" w:hAnsi="方正仿宋_GBK" w:eastAsia="方正仿宋_GBK" w:cs="方正仿宋_GBK"/>
                <w:color w:val="000000"/>
                <w:sz w:val="28"/>
                <w:szCs w:val="28"/>
              </w:rPr>
            </w:r>
            <w:r/>
          </w:p>
        </w:tc>
      </w:tr>
    </w:tbl>
    <w:p>
      <w:pPr>
        <w:pStyle w:val="951"/>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51"/>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51"/>
        <w:keepLines w:val="0"/>
        <w:keepNext w:val="0"/>
        <w:pageBreakBefore w:val="0"/>
        <w:spacing w:line="400" w:lineRule="exact"/>
        <w:widowControl w:val="off"/>
        <w:rPr>
          <w:rFonts w:hint="eastAsia" w:ascii="方正仿宋_GBK" w:hAnsi="方正仿宋_GBK" w:eastAsia="方正仿宋_GBK" w:cs="方正仿宋_GBK"/>
          <w:i w:val="0"/>
          <w:iCs/>
          <w:color w:val="000000"/>
          <w:sz w:val="28"/>
          <w:szCs w:val="28"/>
          <w:u w:val="none"/>
        </w:rPr>
      </w:pPr>
      <w:r>
        <w:rPr>
          <w:rFonts w:hint="eastAsia" w:ascii="方正仿宋_GBK" w:hAnsi="方正仿宋_GBK" w:eastAsia="方正仿宋_GBK" w:cs="方正仿宋_GBK"/>
          <w:i w:val="0"/>
          <w:iCs/>
          <w:color w:val="000000"/>
          <w:sz w:val="28"/>
          <w:szCs w:val="28"/>
          <w:u w:val="none"/>
        </w:rPr>
        <w:t xml:space="preserve">1.本表仅适用物业管理服务品目政府采购项目，供应商</w:t>
      </w:r>
      <w:r>
        <w:rPr>
          <w:rFonts w:hint="eastAsia" w:ascii="方正仿宋_GBK" w:hAnsi="方正仿宋_GBK" w:eastAsia="方正仿宋_GBK" w:cs="方正仿宋_GBK"/>
          <w:i w:val="0"/>
          <w:iCs/>
          <w:color w:val="000000"/>
          <w:sz w:val="28"/>
          <w:szCs w:val="28"/>
          <w:u w:val="none"/>
          <w:lang w:eastAsia="zh-CN"/>
        </w:rPr>
        <w:t xml:space="preserve">需</w:t>
      </w:r>
      <w:r>
        <w:rPr>
          <w:rFonts w:hint="eastAsia" w:ascii="方正仿宋_GBK" w:hAnsi="方正仿宋_GBK" w:eastAsia="方正仿宋_GBK" w:cs="方正仿宋_GBK"/>
          <w:i w:val="0"/>
          <w:iCs/>
          <w:color w:val="000000"/>
          <w:sz w:val="28"/>
          <w:szCs w:val="28"/>
          <w:u w:val="none"/>
        </w:rPr>
        <w:t xml:space="preserve">在投标（响应）文件中填报此表。</w:t>
      </w:r>
      <w:r>
        <w:rPr>
          <w:rFonts w:hint="eastAsia" w:ascii="方正仿宋_GBK" w:hAnsi="方正仿宋_GBK" w:eastAsia="方正仿宋_GBK" w:cs="方正仿宋_GBK"/>
          <w:i w:val="0"/>
          <w:iCs/>
          <w:color w:val="000000"/>
          <w:sz w:val="28"/>
          <w:szCs w:val="28"/>
          <w:u w:val="none"/>
        </w:rPr>
      </w:r>
      <w:r/>
    </w:p>
    <w:p>
      <w:pPr>
        <w:pStyle w:val="951"/>
        <w:keepLines w:val="0"/>
        <w:keepNext w:val="0"/>
        <w:pageBreakBefore w:val="0"/>
        <w:spacing w:line="400" w:lineRule="exact"/>
        <w:widowControl w:val="off"/>
        <w:rPr>
          <w:rFonts w:hint="eastAsia" w:ascii="方正仿宋_GBK" w:hAnsi="方正仿宋_GBK" w:eastAsia="方正仿宋_GBK" w:cs="方正仿宋_GBK"/>
          <w:i/>
          <w:iCs w:val="0"/>
          <w:color w:val="000000"/>
          <w:sz w:val="28"/>
          <w:szCs w:val="28"/>
          <w:u w:val="single"/>
        </w:rPr>
      </w:pPr>
      <w:r>
        <w:rPr>
          <w:rFonts w:hint="eastAsia" w:ascii="方正仿宋_GBK" w:hAnsi="方正仿宋_GBK" w:eastAsia="方正仿宋_GBK" w:cs="方正仿宋_GBK"/>
          <w:i/>
          <w:iCs w:val="0"/>
          <w:color w:val="000000"/>
          <w:sz w:val="28"/>
          <w:szCs w:val="28"/>
          <w:u w:val="single"/>
        </w:rPr>
        <w:t xml:space="preserve">2.供应商在投标（响应）文件中响应的拟投入本项目的服务人员不得是全日制在校学生。</w:t>
      </w:r>
      <w:r>
        <w:rPr>
          <w:rFonts w:hint="eastAsia" w:ascii="方正仿宋_GBK" w:hAnsi="方正仿宋_GBK" w:eastAsia="方正仿宋_GBK" w:cs="方正仿宋_GBK"/>
          <w:i/>
          <w:iCs w:val="0"/>
          <w:color w:val="000000"/>
          <w:sz w:val="28"/>
          <w:szCs w:val="28"/>
          <w:u w:val="single"/>
        </w:rPr>
      </w:r>
      <w:r/>
    </w:p>
    <w:p>
      <w:pPr>
        <w:pStyle w:val="951"/>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951"/>
        <w:keepLines w:val="0"/>
        <w:keepNext w:val="0"/>
        <w:pageBreakBefore w:val="0"/>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1"/>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51"/>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1"/>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951"/>
        <w:keepLines w:val="0"/>
        <w:keepNext w:val="0"/>
        <w:pageBreakBefore w:val="0"/>
        <w:spacing w:line="400" w:lineRule="exact"/>
        <w:rPr>
          <w:rFonts w:ascii="宋体" w:hAnsi="宋体"/>
          <w:sz w:val="28"/>
          <w:szCs w:val="28"/>
        </w:rPr>
      </w:pPr>
      <w:r>
        <w:rPr>
          <w:rFonts w:ascii="宋体" w:hAnsi="宋体"/>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51"/>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ascii="宋体" w:hAnsi="宋体"/>
          <w:b w:val="0"/>
          <w:bCs/>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51"/>
        <w:jc w:val="center"/>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951"/>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rPr>
          <w:rFonts w:hint="eastAsia" w:ascii="方正仿宋_GBK" w:hAnsi="方正仿宋_GBK" w:eastAsia="方正仿宋_GBK" w:cs="方正仿宋_GBK"/>
          <w:sz w:val="28"/>
          <w:szCs w:val="28"/>
        </w:rPr>
      </w:r>
      <w:r/>
    </w:p>
    <w:p>
      <w:pPr>
        <w:pStyle w:val="1039"/>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03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03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03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03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03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039"/>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039"/>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9"/>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9"/>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9"/>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951"/>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1039"/>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rPr>
          <w:rFonts w:hint="eastAsia" w:ascii="方正仿宋_GBK" w:hAnsi="方正仿宋_GBK" w:eastAsia="方正仿宋_GBK" w:cs="方正仿宋_GBK"/>
          <w:bCs/>
          <w:color w:val="000000"/>
          <w:sz w:val="28"/>
          <w:szCs w:val="28"/>
        </w:rPr>
      </w:r>
      <w:r/>
    </w:p>
    <w:p>
      <w:pPr>
        <w:pStyle w:val="951"/>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1"/>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1"/>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1"/>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1"/>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1"/>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64"/>
      <w:r/>
      <w:bookmarkEnd w:id="165"/>
      <w:r/>
      <w:bookmarkEnd w:id="166"/>
      <w:r/>
      <w:bookmarkStart w:id="167"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51"/>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51"/>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51"/>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51"/>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51"/>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rPr>
          <w:rFonts w:hint="eastAsia" w:ascii="方正仿宋_GBK" w:hAnsi="方正仿宋_GBK" w:eastAsia="方正仿宋_GBK" w:cs="方正仿宋_GBK"/>
          <w:sz w:val="28"/>
          <w:szCs w:val="28"/>
        </w:rPr>
      </w:r>
      <w:r/>
    </w:p>
    <w:p>
      <w:pPr>
        <w:pStyle w:val="951"/>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1"/>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51"/>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51"/>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51"/>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1"/>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51"/>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51"/>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951"/>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951"/>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1"/>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rPr>
          <w:rFonts w:hint="eastAsia" w:ascii="方正黑体_GBK" w:hAnsi="方正黑体_GBK" w:eastAsia="方正黑体_GBK" w:cs="方正黑体_GBK"/>
          <w:b w:val="0"/>
          <w:bCs/>
          <w:sz w:val="28"/>
          <w:szCs w:val="28"/>
          <w:lang w:val="en-US" w:eastAsia="zh-CN"/>
        </w:rPr>
      </w:r>
      <w:r/>
    </w:p>
    <w:p>
      <w:pPr>
        <w:pStyle w:val="1014"/>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2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2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4"/>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101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01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01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01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01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51"/>
        <w:keepLines w:val="0"/>
        <w:keepNext w:val="0"/>
        <w:pageBreakBefore w:val="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951"/>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1"/>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1"/>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1"/>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1"/>
        <w:keepLines w:val="0"/>
        <w:keepNext w:val="0"/>
        <w:pageBreakBefore w:val="0"/>
        <w:spacing w:line="400" w:lineRule="exact"/>
        <w:rPr>
          <w:rFonts w:hint="eastAsia"/>
          <w:sz w:val="28"/>
          <w:szCs w:val="28"/>
        </w:rPr>
      </w:pPr>
      <w:r>
        <w:rPr>
          <w:rFonts w:hint="eastAsia"/>
          <w:sz w:val="28"/>
          <w:szCs w:val="28"/>
        </w:rPr>
      </w:r>
      <w:r/>
    </w:p>
    <w:p>
      <w:pPr>
        <w:pStyle w:val="951"/>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1"/>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53"/>
      <w:r/>
      <w:bookmarkEnd w:id="154"/>
      <w:r/>
      <w:bookmarkEnd w:id="167"/>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951"/>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51"/>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51"/>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51"/>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65"/>
        <w:keepLines w:val="0"/>
        <w:keepNext w:val="0"/>
        <w:pageBreakBefore w:val="0"/>
        <w:spacing w:line="400" w:lineRule="exact"/>
        <w:rPr>
          <w:rFonts w:hint="eastAsia"/>
          <w:sz w:val="28"/>
          <w:szCs w:val="28"/>
        </w:rPr>
      </w:pPr>
      <w:r>
        <w:rPr>
          <w:rFonts w:hint="eastAsia"/>
          <w:sz w:val="28"/>
          <w:szCs w:val="28"/>
        </w:rPr>
      </w:r>
      <w:r/>
    </w:p>
    <w:p>
      <w:pPr>
        <w:pStyle w:val="965"/>
        <w:rPr>
          <w:sz w:val="24"/>
          <w:szCs w:val="24"/>
        </w:rPr>
      </w:pPr>
      <w:r>
        <w:rPr>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Wingdings">
    <w:panose1 w:val="05000000000000000000"/>
  </w:font>
  <w:font w:name="Symbol">
    <w:panose1 w:val="05050102010706020507"/>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1"/>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right" w:pos="8306" w:leader="none"/>
      </w:tabs>
      <w:rPr>
        <w:rStyle w:val="1024"/>
      </w:rPr>
      <w:framePr w:wrap="around" w:vAnchor="text" w:hAnchor="margin" w:xAlign="center" w:y="1"/>
    </w:pPr>
    <w:r>
      <w:fldChar w:fldCharType="begin"/>
    </w:r>
    <w:r>
      <w:rPr>
        <w:rStyle w:val="1024"/>
      </w:rPr>
      <w:instrText xml:space="preserve">PAGE  </w:instrText>
    </w:r>
    <w:r>
      <w:fldChar w:fldCharType="separate"/>
    </w:r>
    <w:r>
      <w:rPr>
        <w:rStyle w:val="1024"/>
      </w:rPr>
      <w:t xml:space="preserve">1</w:t>
    </w:r>
    <w:r>
      <w:fldChar w:fldCharType="end"/>
    </w:r>
    <w:r>
      <w:rPr>
        <w:rStyle w:val="1024"/>
      </w:rPr>
    </w:r>
    <w:r/>
  </w:p>
  <w:p>
    <w:pPr>
      <w:pStyle w:val="99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1"/>
                    </w:pPr>
                    <w:r/>
                    <w:r/>
                  </w:p>
                </w:txbxContent>
              </v:textbox>
            </v:shape>
          </w:pict>
        </mc:Fallback>
      </mc:AlternateContent>
    </w:r>
    <w:r/>
  </w:p>
  <w:p>
    <w:pPr>
      <w:pStyle w:val="99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951"/>
        <w:ind w:left="720" w:hanging="360"/>
        <w:tabs>
          <w:tab w:val="num" w:pos="720" w:leader="none"/>
        </w:tabs>
      </w:pPr>
      <w:rPr>
        <w:rFonts w:ascii="Symbol" w:hAnsi="Symbol" w:cs="Symbol"/>
        <w:sz w:val="20"/>
      </w:rPr>
    </w:lvl>
    <w:lvl w:ilvl="1">
      <w:start w:val="1"/>
      <w:numFmt w:val="bullet"/>
      <w:isLgl w:val="false"/>
      <w:suff w:val="tab"/>
      <w:lvlText w:val="o"/>
      <w:lvlJc w:val="left"/>
      <w:pPr>
        <w:pStyle w:val="951"/>
        <w:ind w:left="1440" w:hanging="360"/>
        <w:tabs>
          <w:tab w:val="num" w:pos="1440" w:leader="none"/>
        </w:tabs>
      </w:pPr>
      <w:rPr>
        <w:rFonts w:ascii="Courier New" w:hAnsi="Courier New" w:cs="Courier New"/>
        <w:sz w:val="20"/>
      </w:rPr>
    </w:lvl>
    <w:lvl w:ilvl="2">
      <w:start w:val="1"/>
      <w:numFmt w:val="bullet"/>
      <w:isLgl w:val="false"/>
      <w:suff w:val="tab"/>
      <w:lvlText w:val=""/>
      <w:lvlJc w:val="left"/>
      <w:pPr>
        <w:pStyle w:val="951"/>
        <w:ind w:left="2160" w:hanging="360"/>
        <w:tabs>
          <w:tab w:val="num" w:pos="2160" w:leader="none"/>
        </w:tabs>
      </w:pPr>
      <w:rPr>
        <w:rFonts w:ascii="Wingdings" w:hAnsi="Wingdings" w:cs="Wingdings"/>
        <w:sz w:val="20"/>
      </w:rPr>
    </w:lvl>
    <w:lvl w:ilvl="3">
      <w:start w:val="1"/>
      <w:numFmt w:val="bullet"/>
      <w:isLgl w:val="false"/>
      <w:suff w:val="tab"/>
      <w:lvlText w:val=""/>
      <w:lvlJc w:val="left"/>
      <w:pPr>
        <w:pStyle w:val="951"/>
        <w:ind w:left="2880" w:hanging="360"/>
        <w:tabs>
          <w:tab w:val="num" w:pos="2880" w:leader="none"/>
        </w:tabs>
      </w:pPr>
      <w:rPr>
        <w:rFonts w:ascii="Wingdings" w:hAnsi="Wingdings" w:cs="Wingdings"/>
        <w:sz w:val="20"/>
      </w:rPr>
    </w:lvl>
    <w:lvl w:ilvl="4">
      <w:start w:val="1"/>
      <w:numFmt w:val="bullet"/>
      <w:isLgl w:val="false"/>
      <w:suff w:val="tab"/>
      <w:lvlText w:val=""/>
      <w:lvlJc w:val="left"/>
      <w:pPr>
        <w:pStyle w:val="951"/>
        <w:ind w:left="3600" w:hanging="360"/>
        <w:tabs>
          <w:tab w:val="num" w:pos="3600" w:leader="none"/>
        </w:tabs>
      </w:pPr>
      <w:rPr>
        <w:rFonts w:ascii="Wingdings" w:hAnsi="Wingdings" w:cs="Wingdings"/>
        <w:sz w:val="20"/>
      </w:rPr>
    </w:lvl>
    <w:lvl w:ilvl="5">
      <w:start w:val="1"/>
      <w:numFmt w:val="bullet"/>
      <w:isLgl w:val="false"/>
      <w:suff w:val="tab"/>
      <w:lvlText w:val=""/>
      <w:lvlJc w:val="left"/>
      <w:pPr>
        <w:pStyle w:val="951"/>
        <w:ind w:left="4320" w:hanging="360"/>
        <w:tabs>
          <w:tab w:val="num" w:pos="4320" w:leader="none"/>
        </w:tabs>
      </w:pPr>
      <w:rPr>
        <w:rFonts w:ascii="Wingdings" w:hAnsi="Wingdings" w:cs="Wingdings"/>
        <w:sz w:val="20"/>
      </w:rPr>
    </w:lvl>
    <w:lvl w:ilvl="6">
      <w:start w:val="1"/>
      <w:numFmt w:val="bullet"/>
      <w:isLgl w:val="false"/>
      <w:suff w:val="tab"/>
      <w:lvlText w:val=""/>
      <w:lvlJc w:val="left"/>
      <w:pPr>
        <w:pStyle w:val="951"/>
        <w:ind w:left="5040" w:hanging="360"/>
        <w:tabs>
          <w:tab w:val="num" w:pos="5040" w:leader="none"/>
        </w:tabs>
      </w:pPr>
      <w:rPr>
        <w:rFonts w:ascii="Wingdings" w:hAnsi="Wingdings" w:cs="Wingdings"/>
        <w:sz w:val="20"/>
      </w:rPr>
    </w:lvl>
    <w:lvl w:ilvl="7">
      <w:start w:val="1"/>
      <w:numFmt w:val="bullet"/>
      <w:isLgl w:val="false"/>
      <w:suff w:val="tab"/>
      <w:lvlText w:val=""/>
      <w:lvlJc w:val="left"/>
      <w:pPr>
        <w:pStyle w:val="951"/>
        <w:ind w:left="5760" w:hanging="360"/>
        <w:tabs>
          <w:tab w:val="num" w:pos="5760" w:leader="none"/>
        </w:tabs>
      </w:pPr>
      <w:rPr>
        <w:rFonts w:ascii="Wingdings" w:hAnsi="Wingdings" w:cs="Wingdings"/>
        <w:sz w:val="20"/>
      </w:rPr>
    </w:lvl>
    <w:lvl w:ilvl="8">
      <w:start w:val="1"/>
      <w:numFmt w:val="bullet"/>
      <w:isLgl w:val="false"/>
      <w:suff w:val="tab"/>
      <w:lvlText w:val=""/>
      <w:lvlJc w:val="left"/>
      <w:pPr>
        <w:pStyle w:val="951"/>
        <w:ind w:left="6480" w:hanging="360"/>
        <w:tabs>
          <w:tab w:val="num" w:pos="6480" w:leader="none"/>
        </w:tabs>
      </w:pPr>
      <w:rPr>
        <w:rFonts w:ascii="Wingdings" w:hAnsi="Wingdings" w:cs="Wingdings"/>
        <w:sz w:val="20"/>
      </w:rPr>
    </w:lvl>
  </w:abstractNum>
  <w:abstractNum w:abstractNumId="1">
    <w:multiLevelType w:val="hybridMultilevel"/>
    <w:lvl w:ilvl="0">
      <w:start w:val="1"/>
      <w:numFmt w:val="upperLetter"/>
      <w:pStyle w:val="1031"/>
      <w:isLgl w:val="false"/>
      <w:suff w:val="tab"/>
      <w:lvlText w:val="附录%1."/>
      <w:lvlJc w:val="left"/>
      <w:pPr>
        <w:pStyle w:val="95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48"/>
      <w:isLgl w:val="false"/>
      <w:suff w:val="tab"/>
      <w:lvlText w:val="%1."/>
      <w:lvlJc w:val="left"/>
      <w:pPr>
        <w:pStyle w:val="951"/>
        <w:ind w:left="709" w:hanging="709"/>
        <w:tabs>
          <w:tab w:val="num" w:pos="709" w:leader="none"/>
        </w:tabs>
      </w:pPr>
      <w:rPr>
        <w:rFonts w:hint="eastAsia"/>
      </w:rPr>
    </w:lvl>
    <w:lvl w:ilvl="1">
      <w:start w:val="1"/>
      <w:numFmt w:val="decimal"/>
      <w:isLgl w:val="false"/>
      <w:suff w:val="tab"/>
      <w:lvlText w:val="%1.%2"/>
      <w:lvlJc w:val="left"/>
      <w:pPr>
        <w:pStyle w:val="951"/>
        <w:ind w:left="709" w:hanging="709"/>
        <w:tabs>
          <w:tab w:val="num" w:pos="709" w:leader="none"/>
        </w:tabs>
      </w:pPr>
      <w:rPr>
        <w:rFonts w:hint="eastAsia"/>
      </w:rPr>
    </w:lvl>
    <w:lvl w:ilvl="2">
      <w:start w:val="1"/>
      <w:numFmt w:val="decimal"/>
      <w:isLgl w:val="false"/>
      <w:suff w:val="tab"/>
      <w:lvlText w:val="%1.%2.%3."/>
      <w:lvlJc w:val="left"/>
      <w:pPr>
        <w:pStyle w:val="951"/>
        <w:ind w:left="425" w:hanging="425"/>
        <w:tabs>
          <w:tab w:val="num" w:pos="425" w:leader="none"/>
        </w:tabs>
      </w:pPr>
      <w:rPr>
        <w:rFonts w:hint="eastAsia"/>
      </w:rPr>
    </w:lvl>
    <w:lvl w:ilvl="3">
      <w:start w:val="1"/>
      <w:numFmt w:val="decimal"/>
      <w:isLgl w:val="false"/>
      <w:suff w:val="tab"/>
      <w:lvlText w:val="%1.%2.%3.%4."/>
      <w:lvlJc w:val="left"/>
      <w:pPr>
        <w:pStyle w:val="951"/>
        <w:ind w:left="851" w:hanging="851"/>
        <w:tabs>
          <w:tab w:val="num" w:pos="851" w:leader="none"/>
        </w:tabs>
      </w:pPr>
      <w:rPr>
        <w:rFonts w:hint="eastAsia"/>
      </w:rPr>
    </w:lvl>
    <w:lvl w:ilvl="4">
      <w:start w:val="1"/>
      <w:numFmt w:val="decimal"/>
      <w:isLgl w:val="false"/>
      <w:suff w:val="tab"/>
      <w:lvlText w:val="%1.%2.%3.%4.%5."/>
      <w:lvlJc w:val="left"/>
      <w:pPr>
        <w:pStyle w:val="951"/>
        <w:ind w:left="992" w:hanging="992"/>
        <w:tabs>
          <w:tab w:val="num" w:pos="992" w:leader="none"/>
        </w:tabs>
      </w:pPr>
      <w:rPr>
        <w:rFonts w:hint="eastAsia"/>
      </w:rPr>
    </w:lvl>
    <w:lvl w:ilvl="5">
      <w:start w:val="1"/>
      <w:numFmt w:val="decimal"/>
      <w:isLgl w:val="false"/>
      <w:suff w:val="tab"/>
      <w:lvlText w:val="%1.%2.%3.%4.%5.%6."/>
      <w:lvlJc w:val="left"/>
      <w:pPr>
        <w:pStyle w:val="951"/>
        <w:ind w:left="1134" w:hanging="1134"/>
        <w:tabs>
          <w:tab w:val="num" w:pos="1134" w:leader="none"/>
        </w:tabs>
      </w:pPr>
      <w:rPr>
        <w:rFonts w:hint="eastAsia"/>
      </w:rPr>
    </w:lvl>
    <w:lvl w:ilvl="6">
      <w:start w:val="1"/>
      <w:numFmt w:val="decimal"/>
      <w:isLgl w:val="false"/>
      <w:suff w:val="tab"/>
      <w:lvlText w:val="%1.%2.%3.%4.%5.%6.%7."/>
      <w:lvlJc w:val="left"/>
      <w:pPr>
        <w:pStyle w:val="951"/>
        <w:ind w:left="1276" w:hanging="1276"/>
        <w:tabs>
          <w:tab w:val="num" w:pos="1276" w:leader="none"/>
        </w:tabs>
      </w:pPr>
      <w:rPr>
        <w:rFonts w:hint="eastAsia"/>
      </w:rPr>
    </w:lvl>
    <w:lvl w:ilvl="7">
      <w:start w:val="1"/>
      <w:numFmt w:val="decimal"/>
      <w:isLgl w:val="false"/>
      <w:suff w:val="tab"/>
      <w:lvlText w:val="%1.%2.%3.%4.%5.%6.%7.%8."/>
      <w:lvlJc w:val="left"/>
      <w:pPr>
        <w:pStyle w:val="951"/>
        <w:ind w:left="1418" w:hanging="1418"/>
        <w:tabs>
          <w:tab w:val="num" w:pos="1418" w:leader="none"/>
        </w:tabs>
      </w:pPr>
      <w:rPr>
        <w:rFonts w:hint="eastAsia"/>
      </w:rPr>
    </w:lvl>
    <w:lvl w:ilvl="8">
      <w:start w:val="1"/>
      <w:numFmt w:val="decimal"/>
      <w:isLgl w:val="false"/>
      <w:suff w:val="tab"/>
      <w:lvlText w:val="%1.%2.%3.%4.%5.%6.%7.%8.%9."/>
      <w:lvlJc w:val="left"/>
      <w:pPr>
        <w:pStyle w:val="95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51"/>
        <w:ind w:left="0" w:firstLine="0"/>
      </w:pPr>
      <w:rPr>
        <w:rFonts w:hint="eastAsia"/>
      </w:rPr>
    </w:lvl>
    <w:lvl w:ilvl="1">
      <w:start w:val="1"/>
      <w:numFmt w:val="decimal"/>
      <w:isLgl w:val="false"/>
      <w:suff w:val="nothing"/>
      <w:lvlText w:val="%2、"/>
      <w:lvlJc w:val="left"/>
      <w:pPr>
        <w:pStyle w:val="951"/>
        <w:ind w:left="0" w:firstLine="0"/>
      </w:pPr>
      <w:rPr>
        <w:rFonts w:hint="eastAsia"/>
      </w:rPr>
    </w:lvl>
    <w:lvl w:ilvl="2">
      <w:start w:val="1"/>
      <w:numFmt w:val="decimal"/>
      <w:isLgl w:val="false"/>
      <w:suff w:val="nothing"/>
      <w:lvlText w:val="%2.%3 "/>
      <w:lvlJc w:val="left"/>
      <w:pPr>
        <w:pStyle w:val="951"/>
        <w:ind w:left="0" w:firstLine="0"/>
      </w:pPr>
      <w:rPr>
        <w:rFonts w:hint="eastAsia"/>
      </w:rPr>
    </w:lvl>
    <w:lvl w:ilvl="3">
      <w:start w:val="1"/>
      <w:numFmt w:val="decimal"/>
      <w:isLgl w:val="false"/>
      <w:suff w:val="nothing"/>
      <w:lvlText w:val="%2.%3.%4 "/>
      <w:lvlJc w:val="left"/>
      <w:pPr>
        <w:pStyle w:val="951"/>
        <w:ind w:left="0" w:firstLine="0"/>
      </w:pPr>
      <w:rPr>
        <w:rFonts w:hint="eastAsia"/>
      </w:rPr>
    </w:lvl>
    <w:lvl w:ilvl="4">
      <w:start w:val="1"/>
      <w:numFmt w:val="decimal"/>
      <w:isLgl w:val="false"/>
      <w:suff w:val="nothing"/>
      <w:lvlText w:val="%2.%3.%4.%5 "/>
      <w:lvlJc w:val="left"/>
      <w:pPr>
        <w:pStyle w:val="951"/>
        <w:ind w:left="0" w:firstLine="0"/>
      </w:pPr>
      <w:rPr>
        <w:rFonts w:hint="eastAsia"/>
      </w:rPr>
    </w:lvl>
    <w:lvl w:ilvl="5">
      <w:start w:val="1"/>
      <w:numFmt w:val="decimal"/>
      <w:pStyle w:val="957"/>
      <w:isLgl w:val="false"/>
      <w:suff w:val="nothing"/>
      <w:lvlText w:val=""/>
      <w:lvlJc w:val="left"/>
      <w:pPr>
        <w:pStyle w:val="951"/>
        <w:ind w:left="0" w:firstLine="0"/>
      </w:pPr>
      <w:rPr>
        <w:rFonts w:hint="eastAsia"/>
      </w:rPr>
    </w:lvl>
    <w:lvl w:ilvl="6">
      <w:start w:val="1"/>
      <w:numFmt w:val="decimal"/>
      <w:pStyle w:val="958"/>
      <w:isLgl w:val="false"/>
      <w:suff w:val="nothing"/>
      <w:lvlText w:val=""/>
      <w:lvlJc w:val="left"/>
      <w:pPr>
        <w:pStyle w:val="951"/>
        <w:ind w:left="0" w:firstLine="0"/>
      </w:pPr>
      <w:rPr>
        <w:rFonts w:hint="eastAsia"/>
      </w:rPr>
    </w:lvl>
    <w:lvl w:ilvl="7">
      <w:start w:val="1"/>
      <w:numFmt w:val="decimal"/>
      <w:pStyle w:val="959"/>
      <w:isLgl w:val="false"/>
      <w:suff w:val="nothing"/>
      <w:lvlText w:val=""/>
      <w:lvlJc w:val="left"/>
      <w:pPr>
        <w:pStyle w:val="951"/>
        <w:ind w:left="0" w:firstLine="0"/>
      </w:pPr>
      <w:rPr>
        <w:rFonts w:hint="eastAsia"/>
      </w:rPr>
    </w:lvl>
    <w:lvl w:ilvl="8">
      <w:start w:val="1"/>
      <w:numFmt w:val="decimal"/>
      <w:pStyle w:val="960"/>
      <w:isLgl w:val="false"/>
      <w:suff w:val="nothing"/>
      <w:lvlText w:val=""/>
      <w:lvlJc w:val="left"/>
      <w:pPr>
        <w:pStyle w:val="951"/>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name w:val="Heading 1"/>
    <w:basedOn w:val="951"/>
    <w:next w:val="951"/>
    <w:link w:val="774"/>
    <w:uiPriority w:val="9"/>
    <w:qFormat/>
    <w:pPr>
      <w:keepLines/>
      <w:keepNext/>
      <w:spacing w:before="480" w:after="200"/>
      <w:outlineLvl w:val="0"/>
    </w:pPr>
    <w:rPr>
      <w:rFonts w:ascii="Arial" w:hAnsi="Arial" w:eastAsia="Arial" w:cs="Arial"/>
      <w:sz w:val="40"/>
      <w:szCs w:val="40"/>
    </w:rPr>
  </w:style>
  <w:style w:type="character" w:styleId="774">
    <w:name w:val="Heading 1 Char"/>
    <w:link w:val="773"/>
    <w:uiPriority w:val="9"/>
    <w:rPr>
      <w:rFonts w:ascii="Arial" w:hAnsi="Arial" w:eastAsia="Arial" w:cs="Arial"/>
      <w:sz w:val="40"/>
      <w:szCs w:val="40"/>
    </w:rPr>
  </w:style>
  <w:style w:type="paragraph" w:styleId="775">
    <w:name w:val="Heading 2"/>
    <w:basedOn w:val="951"/>
    <w:next w:val="951"/>
    <w:link w:val="776"/>
    <w:uiPriority w:val="9"/>
    <w:unhideWhenUsed/>
    <w:qFormat/>
    <w:pPr>
      <w:keepLines/>
      <w:keepNext/>
      <w:spacing w:before="360" w:after="200"/>
      <w:outlineLvl w:val="1"/>
    </w:pPr>
    <w:rPr>
      <w:rFonts w:ascii="Arial" w:hAnsi="Arial" w:eastAsia="Arial" w:cs="Arial"/>
      <w:sz w:val="34"/>
    </w:rPr>
  </w:style>
  <w:style w:type="character" w:styleId="776">
    <w:name w:val="Heading 2 Char"/>
    <w:link w:val="775"/>
    <w:uiPriority w:val="9"/>
    <w:rPr>
      <w:rFonts w:ascii="Arial" w:hAnsi="Arial" w:eastAsia="Arial" w:cs="Arial"/>
      <w:sz w:val="34"/>
    </w:rPr>
  </w:style>
  <w:style w:type="paragraph" w:styleId="777">
    <w:name w:val="Heading 3"/>
    <w:basedOn w:val="951"/>
    <w:next w:val="951"/>
    <w:link w:val="778"/>
    <w:uiPriority w:val="9"/>
    <w:unhideWhenUsed/>
    <w:qFormat/>
    <w:pPr>
      <w:keepLines/>
      <w:keepNext/>
      <w:spacing w:before="320" w:after="200"/>
      <w:outlineLvl w:val="2"/>
    </w:pPr>
    <w:rPr>
      <w:rFonts w:ascii="Arial" w:hAnsi="Arial" w:eastAsia="Arial" w:cs="Arial"/>
      <w:sz w:val="30"/>
      <w:szCs w:val="30"/>
    </w:rPr>
  </w:style>
  <w:style w:type="character" w:styleId="778">
    <w:name w:val="Heading 3 Char"/>
    <w:link w:val="777"/>
    <w:uiPriority w:val="9"/>
    <w:rPr>
      <w:rFonts w:ascii="Arial" w:hAnsi="Arial" w:eastAsia="Arial" w:cs="Arial"/>
      <w:sz w:val="30"/>
      <w:szCs w:val="30"/>
    </w:rPr>
  </w:style>
  <w:style w:type="paragraph" w:styleId="779">
    <w:name w:val="Heading 4"/>
    <w:basedOn w:val="951"/>
    <w:next w:val="951"/>
    <w:link w:val="780"/>
    <w:uiPriority w:val="9"/>
    <w:unhideWhenUsed/>
    <w:qFormat/>
    <w:pPr>
      <w:keepLines/>
      <w:keepNext/>
      <w:spacing w:before="320" w:after="200"/>
      <w:outlineLvl w:val="3"/>
    </w:pPr>
    <w:rPr>
      <w:rFonts w:ascii="Arial" w:hAnsi="Arial" w:eastAsia="Arial" w:cs="Arial"/>
      <w:b/>
      <w:bCs/>
      <w:sz w:val="26"/>
      <w:szCs w:val="26"/>
    </w:rPr>
  </w:style>
  <w:style w:type="character" w:styleId="780">
    <w:name w:val="Heading 4 Char"/>
    <w:link w:val="779"/>
    <w:uiPriority w:val="9"/>
    <w:rPr>
      <w:rFonts w:ascii="Arial" w:hAnsi="Arial" w:eastAsia="Arial" w:cs="Arial"/>
      <w:b/>
      <w:bCs/>
      <w:sz w:val="26"/>
      <w:szCs w:val="26"/>
    </w:rPr>
  </w:style>
  <w:style w:type="paragraph" w:styleId="781">
    <w:name w:val="Heading 5"/>
    <w:basedOn w:val="951"/>
    <w:next w:val="951"/>
    <w:link w:val="782"/>
    <w:uiPriority w:val="9"/>
    <w:unhideWhenUsed/>
    <w:qFormat/>
    <w:pPr>
      <w:keepLines/>
      <w:keepNext/>
      <w:spacing w:before="320" w:after="200"/>
      <w:outlineLvl w:val="4"/>
    </w:pPr>
    <w:rPr>
      <w:rFonts w:ascii="Arial" w:hAnsi="Arial" w:eastAsia="Arial" w:cs="Arial"/>
      <w:b/>
      <w:bCs/>
      <w:sz w:val="24"/>
      <w:szCs w:val="24"/>
    </w:rPr>
  </w:style>
  <w:style w:type="character" w:styleId="782">
    <w:name w:val="Heading 5 Char"/>
    <w:link w:val="781"/>
    <w:uiPriority w:val="9"/>
    <w:rPr>
      <w:rFonts w:ascii="Arial" w:hAnsi="Arial" w:eastAsia="Arial" w:cs="Arial"/>
      <w:b/>
      <w:bCs/>
      <w:sz w:val="24"/>
      <w:szCs w:val="24"/>
    </w:rPr>
  </w:style>
  <w:style w:type="paragraph" w:styleId="783">
    <w:name w:val="Heading 6"/>
    <w:basedOn w:val="951"/>
    <w:next w:val="951"/>
    <w:link w:val="784"/>
    <w:uiPriority w:val="9"/>
    <w:unhideWhenUsed/>
    <w:qFormat/>
    <w:pPr>
      <w:keepLines/>
      <w:keepNext/>
      <w:spacing w:before="320" w:after="200"/>
      <w:outlineLvl w:val="5"/>
    </w:pPr>
    <w:rPr>
      <w:rFonts w:ascii="Arial" w:hAnsi="Arial" w:eastAsia="Arial" w:cs="Arial"/>
      <w:b/>
      <w:bCs/>
      <w:sz w:val="22"/>
      <w:szCs w:val="22"/>
    </w:rPr>
  </w:style>
  <w:style w:type="character" w:styleId="784">
    <w:name w:val="Heading 6 Char"/>
    <w:link w:val="783"/>
    <w:uiPriority w:val="9"/>
    <w:rPr>
      <w:rFonts w:ascii="Arial" w:hAnsi="Arial" w:eastAsia="Arial" w:cs="Arial"/>
      <w:b/>
      <w:bCs/>
      <w:sz w:val="22"/>
      <w:szCs w:val="22"/>
    </w:rPr>
  </w:style>
  <w:style w:type="paragraph" w:styleId="785">
    <w:name w:val="Heading 7"/>
    <w:basedOn w:val="951"/>
    <w:next w:val="951"/>
    <w:link w:val="786"/>
    <w:uiPriority w:val="9"/>
    <w:unhideWhenUsed/>
    <w:qFormat/>
    <w:pPr>
      <w:keepLines/>
      <w:keepNext/>
      <w:spacing w:before="320" w:after="200"/>
      <w:outlineLvl w:val="6"/>
    </w:pPr>
    <w:rPr>
      <w:rFonts w:ascii="Arial" w:hAnsi="Arial" w:eastAsia="Arial" w:cs="Arial"/>
      <w:b/>
      <w:bCs/>
      <w:i/>
      <w:iCs/>
      <w:sz w:val="22"/>
      <w:szCs w:val="22"/>
    </w:rPr>
  </w:style>
  <w:style w:type="character" w:styleId="786">
    <w:name w:val="Heading 7 Char"/>
    <w:link w:val="785"/>
    <w:uiPriority w:val="9"/>
    <w:rPr>
      <w:rFonts w:ascii="Arial" w:hAnsi="Arial" w:eastAsia="Arial" w:cs="Arial"/>
      <w:b/>
      <w:bCs/>
      <w:i/>
      <w:iCs/>
      <w:sz w:val="22"/>
      <w:szCs w:val="22"/>
    </w:rPr>
  </w:style>
  <w:style w:type="paragraph" w:styleId="787">
    <w:name w:val="Heading 8"/>
    <w:basedOn w:val="951"/>
    <w:next w:val="951"/>
    <w:link w:val="788"/>
    <w:uiPriority w:val="9"/>
    <w:unhideWhenUsed/>
    <w:qFormat/>
    <w:pPr>
      <w:keepLines/>
      <w:keepNext/>
      <w:spacing w:before="320" w:after="200"/>
      <w:outlineLvl w:val="7"/>
    </w:pPr>
    <w:rPr>
      <w:rFonts w:ascii="Arial" w:hAnsi="Arial" w:eastAsia="Arial" w:cs="Arial"/>
      <w:i/>
      <w:iCs/>
      <w:sz w:val="22"/>
      <w:szCs w:val="22"/>
    </w:rPr>
  </w:style>
  <w:style w:type="character" w:styleId="788">
    <w:name w:val="Heading 8 Char"/>
    <w:link w:val="787"/>
    <w:uiPriority w:val="9"/>
    <w:rPr>
      <w:rFonts w:ascii="Arial" w:hAnsi="Arial" w:eastAsia="Arial" w:cs="Arial"/>
      <w:i/>
      <w:iCs/>
      <w:sz w:val="22"/>
      <w:szCs w:val="22"/>
    </w:rPr>
  </w:style>
  <w:style w:type="paragraph" w:styleId="789">
    <w:name w:val="Heading 9"/>
    <w:basedOn w:val="951"/>
    <w:next w:val="951"/>
    <w:link w:val="790"/>
    <w:uiPriority w:val="9"/>
    <w:unhideWhenUsed/>
    <w:qFormat/>
    <w:pPr>
      <w:keepLines/>
      <w:keepNext/>
      <w:spacing w:before="320" w:after="200"/>
      <w:outlineLvl w:val="8"/>
    </w:pPr>
    <w:rPr>
      <w:rFonts w:ascii="Arial" w:hAnsi="Arial" w:eastAsia="Arial" w:cs="Arial"/>
      <w:i/>
      <w:iCs/>
      <w:sz w:val="21"/>
      <w:szCs w:val="21"/>
    </w:rPr>
  </w:style>
  <w:style w:type="character" w:styleId="790">
    <w:name w:val="Heading 9 Char"/>
    <w:link w:val="789"/>
    <w:uiPriority w:val="9"/>
    <w:rPr>
      <w:rFonts w:ascii="Arial" w:hAnsi="Arial" w:eastAsia="Arial" w:cs="Arial"/>
      <w:i/>
      <w:iCs/>
      <w:sz w:val="21"/>
      <w:szCs w:val="21"/>
    </w:rPr>
  </w:style>
  <w:style w:type="paragraph" w:styleId="791">
    <w:name w:val="List Paragraph"/>
    <w:basedOn w:val="951"/>
    <w:uiPriority w:val="34"/>
    <w:qFormat/>
    <w:pPr>
      <w:contextualSpacing/>
      <w:ind w:left="720"/>
    </w:pPr>
  </w:style>
  <w:style w:type="paragraph" w:styleId="792">
    <w:name w:val="No Spacing"/>
    <w:uiPriority w:val="1"/>
    <w:qFormat/>
    <w:pPr>
      <w:spacing w:before="0" w:after="0" w:line="240" w:lineRule="auto"/>
    </w:pPr>
  </w:style>
  <w:style w:type="paragraph" w:styleId="793">
    <w:name w:val="Title"/>
    <w:basedOn w:val="951"/>
    <w:next w:val="951"/>
    <w:link w:val="794"/>
    <w:uiPriority w:val="10"/>
    <w:qFormat/>
    <w:pPr>
      <w:contextualSpacing/>
      <w:spacing w:before="300" w:after="200"/>
    </w:pPr>
    <w:rPr>
      <w:sz w:val="48"/>
      <w:szCs w:val="48"/>
    </w:rPr>
  </w:style>
  <w:style w:type="character" w:styleId="794">
    <w:name w:val="Title Char"/>
    <w:link w:val="793"/>
    <w:uiPriority w:val="10"/>
    <w:rPr>
      <w:sz w:val="48"/>
      <w:szCs w:val="48"/>
    </w:rPr>
  </w:style>
  <w:style w:type="paragraph" w:styleId="795">
    <w:name w:val="Subtitle"/>
    <w:basedOn w:val="951"/>
    <w:next w:val="951"/>
    <w:link w:val="796"/>
    <w:uiPriority w:val="11"/>
    <w:qFormat/>
    <w:pPr>
      <w:spacing w:before="200" w:after="200"/>
    </w:pPr>
    <w:rPr>
      <w:sz w:val="24"/>
      <w:szCs w:val="24"/>
    </w:rPr>
  </w:style>
  <w:style w:type="character" w:styleId="796">
    <w:name w:val="Subtitle Char"/>
    <w:link w:val="795"/>
    <w:uiPriority w:val="11"/>
    <w:rPr>
      <w:sz w:val="24"/>
      <w:szCs w:val="24"/>
    </w:rPr>
  </w:style>
  <w:style w:type="paragraph" w:styleId="797">
    <w:name w:val="Quote"/>
    <w:basedOn w:val="951"/>
    <w:next w:val="951"/>
    <w:link w:val="798"/>
    <w:uiPriority w:val="29"/>
    <w:qFormat/>
    <w:pPr>
      <w:ind w:left="720" w:right="720"/>
    </w:pPr>
    <w:rPr>
      <w:i/>
    </w:rPr>
  </w:style>
  <w:style w:type="character" w:styleId="798">
    <w:name w:val="Quote Char"/>
    <w:link w:val="797"/>
    <w:uiPriority w:val="29"/>
    <w:rPr>
      <w:i/>
    </w:rPr>
  </w:style>
  <w:style w:type="paragraph" w:styleId="799">
    <w:name w:val="Intense Quote"/>
    <w:basedOn w:val="951"/>
    <w:next w:val="951"/>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link w:val="799"/>
    <w:uiPriority w:val="30"/>
    <w:rPr>
      <w:i/>
    </w:rPr>
  </w:style>
  <w:style w:type="paragraph" w:styleId="801">
    <w:name w:val="Header"/>
    <w:basedOn w:val="951"/>
    <w:link w:val="802"/>
    <w:uiPriority w:val="99"/>
    <w:unhideWhenUsed/>
    <w:pPr>
      <w:spacing w:after="0" w:line="240" w:lineRule="auto"/>
      <w:tabs>
        <w:tab w:val="center" w:pos="7143" w:leader="none"/>
        <w:tab w:val="right" w:pos="14287" w:leader="none"/>
      </w:tabs>
    </w:pPr>
  </w:style>
  <w:style w:type="character" w:styleId="802">
    <w:name w:val="Header Char"/>
    <w:link w:val="801"/>
    <w:uiPriority w:val="99"/>
  </w:style>
  <w:style w:type="paragraph" w:styleId="803">
    <w:name w:val="Footer"/>
    <w:basedOn w:val="951"/>
    <w:link w:val="806"/>
    <w:uiPriority w:val="99"/>
    <w:unhideWhenUsed/>
    <w:pPr>
      <w:spacing w:after="0" w:line="240" w:lineRule="auto"/>
      <w:tabs>
        <w:tab w:val="center" w:pos="7143" w:leader="none"/>
        <w:tab w:val="right" w:pos="14287" w:leader="none"/>
      </w:tabs>
    </w:pPr>
  </w:style>
  <w:style w:type="character" w:styleId="804">
    <w:name w:val="Footer Char"/>
    <w:link w:val="803"/>
    <w:uiPriority w:val="99"/>
  </w:style>
  <w:style w:type="paragraph" w:styleId="805">
    <w:name w:val="Caption"/>
    <w:basedOn w:val="951"/>
    <w:next w:val="951"/>
    <w:uiPriority w:val="35"/>
    <w:semiHidden/>
    <w:unhideWhenUsed/>
    <w:qFormat/>
    <w:pPr>
      <w:spacing w:line="276" w:lineRule="auto"/>
    </w:pPr>
    <w:rPr>
      <w:b/>
      <w:bCs/>
      <w:color w:val="4f81bd" w:themeColor="accent1"/>
      <w:sz w:val="18"/>
      <w:szCs w:val="18"/>
    </w:rPr>
  </w:style>
  <w:style w:type="character" w:styleId="806">
    <w:name w:val="Caption Char"/>
    <w:basedOn w:val="805"/>
    <w:link w:val="803"/>
    <w:uiPriority w:val="99"/>
  </w:style>
  <w:style w:type="table" w:styleId="8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3">
    <w:name w:val="Hyperlink"/>
    <w:uiPriority w:val="99"/>
    <w:unhideWhenUsed/>
    <w:rPr>
      <w:color w:val="0000ff" w:themeColor="hyperlink"/>
      <w:u w:val="single"/>
    </w:rPr>
  </w:style>
  <w:style w:type="paragraph" w:styleId="934">
    <w:name w:val="footnote text"/>
    <w:basedOn w:val="951"/>
    <w:link w:val="935"/>
    <w:uiPriority w:val="99"/>
    <w:semiHidden/>
    <w:unhideWhenUsed/>
    <w:pPr>
      <w:spacing w:after="40" w:line="240" w:lineRule="auto"/>
    </w:pPr>
    <w:rPr>
      <w:sz w:val="18"/>
    </w:rPr>
  </w:style>
  <w:style w:type="character" w:styleId="935">
    <w:name w:val="Footnote Text Char"/>
    <w:link w:val="934"/>
    <w:uiPriority w:val="99"/>
    <w:rPr>
      <w:sz w:val="18"/>
    </w:rPr>
  </w:style>
  <w:style w:type="character" w:styleId="936">
    <w:name w:val="footnote reference"/>
    <w:uiPriority w:val="99"/>
    <w:unhideWhenUsed/>
    <w:rPr>
      <w:vertAlign w:val="superscript"/>
    </w:rPr>
  </w:style>
  <w:style w:type="paragraph" w:styleId="937">
    <w:name w:val="endnote text"/>
    <w:basedOn w:val="951"/>
    <w:link w:val="938"/>
    <w:uiPriority w:val="99"/>
    <w:semiHidden/>
    <w:unhideWhenUsed/>
    <w:pPr>
      <w:spacing w:after="0" w:line="240" w:lineRule="auto"/>
    </w:pPr>
    <w:rPr>
      <w:sz w:val="20"/>
    </w:rPr>
  </w:style>
  <w:style w:type="character" w:styleId="938">
    <w:name w:val="Endnote Text Char"/>
    <w:link w:val="937"/>
    <w:uiPriority w:val="99"/>
    <w:rPr>
      <w:sz w:val="20"/>
    </w:rPr>
  </w:style>
  <w:style w:type="character" w:styleId="939">
    <w:name w:val="endnote reference"/>
    <w:uiPriority w:val="99"/>
    <w:semiHidden/>
    <w:unhideWhenUsed/>
    <w:rPr>
      <w:vertAlign w:val="superscript"/>
    </w:rPr>
  </w:style>
  <w:style w:type="paragraph" w:styleId="940">
    <w:name w:val="toc 1"/>
    <w:basedOn w:val="951"/>
    <w:next w:val="951"/>
    <w:uiPriority w:val="39"/>
    <w:unhideWhenUsed/>
    <w:pPr>
      <w:ind w:left="0" w:right="0" w:firstLine="0"/>
      <w:spacing w:after="57"/>
    </w:pPr>
  </w:style>
  <w:style w:type="paragraph" w:styleId="941">
    <w:name w:val="toc 2"/>
    <w:basedOn w:val="951"/>
    <w:next w:val="951"/>
    <w:uiPriority w:val="39"/>
    <w:unhideWhenUsed/>
    <w:pPr>
      <w:ind w:left="283" w:right="0" w:firstLine="0"/>
      <w:spacing w:after="57"/>
    </w:pPr>
  </w:style>
  <w:style w:type="paragraph" w:styleId="942">
    <w:name w:val="toc 3"/>
    <w:basedOn w:val="951"/>
    <w:next w:val="951"/>
    <w:uiPriority w:val="39"/>
    <w:unhideWhenUsed/>
    <w:pPr>
      <w:ind w:left="567" w:right="0" w:firstLine="0"/>
      <w:spacing w:after="57"/>
    </w:pPr>
  </w:style>
  <w:style w:type="paragraph" w:styleId="943">
    <w:name w:val="toc 4"/>
    <w:basedOn w:val="951"/>
    <w:next w:val="951"/>
    <w:uiPriority w:val="39"/>
    <w:unhideWhenUsed/>
    <w:pPr>
      <w:ind w:left="850" w:right="0" w:firstLine="0"/>
      <w:spacing w:after="57"/>
    </w:pPr>
  </w:style>
  <w:style w:type="paragraph" w:styleId="944">
    <w:name w:val="toc 5"/>
    <w:basedOn w:val="951"/>
    <w:next w:val="951"/>
    <w:uiPriority w:val="39"/>
    <w:unhideWhenUsed/>
    <w:pPr>
      <w:ind w:left="1134" w:right="0" w:firstLine="0"/>
      <w:spacing w:after="57"/>
    </w:pPr>
  </w:style>
  <w:style w:type="paragraph" w:styleId="945">
    <w:name w:val="toc 6"/>
    <w:basedOn w:val="951"/>
    <w:next w:val="951"/>
    <w:uiPriority w:val="39"/>
    <w:unhideWhenUsed/>
    <w:pPr>
      <w:ind w:left="1417" w:right="0" w:firstLine="0"/>
      <w:spacing w:after="57"/>
    </w:pPr>
  </w:style>
  <w:style w:type="paragraph" w:styleId="946">
    <w:name w:val="toc 7"/>
    <w:basedOn w:val="951"/>
    <w:next w:val="951"/>
    <w:uiPriority w:val="39"/>
    <w:unhideWhenUsed/>
    <w:pPr>
      <w:ind w:left="1701" w:right="0" w:firstLine="0"/>
      <w:spacing w:after="57"/>
    </w:pPr>
  </w:style>
  <w:style w:type="paragraph" w:styleId="947">
    <w:name w:val="toc 8"/>
    <w:basedOn w:val="951"/>
    <w:next w:val="951"/>
    <w:uiPriority w:val="39"/>
    <w:unhideWhenUsed/>
    <w:pPr>
      <w:ind w:left="1984" w:right="0" w:firstLine="0"/>
      <w:spacing w:after="57"/>
    </w:pPr>
  </w:style>
  <w:style w:type="paragraph" w:styleId="948">
    <w:name w:val="toc 9"/>
    <w:basedOn w:val="951"/>
    <w:next w:val="951"/>
    <w:uiPriority w:val="39"/>
    <w:unhideWhenUsed/>
    <w:pPr>
      <w:ind w:left="2268" w:right="0" w:firstLine="0"/>
      <w:spacing w:after="57"/>
    </w:pPr>
  </w:style>
  <w:style w:type="paragraph" w:styleId="949">
    <w:name w:val="TOC Heading"/>
    <w:uiPriority w:val="39"/>
    <w:unhideWhenUsed/>
  </w:style>
  <w:style w:type="paragraph" w:styleId="950">
    <w:name w:val="table of figures"/>
    <w:basedOn w:val="951"/>
    <w:next w:val="951"/>
    <w:uiPriority w:val="99"/>
    <w:unhideWhenUsed/>
    <w:pPr>
      <w:spacing w:after="0" w:afterAutospacing="0"/>
    </w:pPr>
  </w:style>
  <w:style w:type="paragraph" w:styleId="951" w:default="1">
    <w:name w:val="Normal"/>
    <w:next w:val="951"/>
    <w:link w:val="951"/>
    <w:qFormat/>
    <w:pPr>
      <w:jc w:val="both"/>
      <w:widowControl w:val="off"/>
    </w:pPr>
    <w:rPr>
      <w:rFonts w:ascii="Times New Roman" w:hAnsi="Times New Roman"/>
      <w:sz w:val="21"/>
      <w:szCs w:val="21"/>
      <w:lang w:val="en-US" w:eastAsia="zh-CN" w:bidi="ar-SA"/>
    </w:rPr>
  </w:style>
  <w:style w:type="paragraph" w:styleId="952">
    <w:name w:val="标题 1"/>
    <w:basedOn w:val="951"/>
    <w:next w:val="951"/>
    <w:link w:val="963"/>
    <w:qFormat/>
    <w:pPr>
      <w:jc w:val="center"/>
      <w:keepNext/>
      <w:outlineLvl w:val="0"/>
    </w:pPr>
    <w:rPr>
      <w:rFonts w:ascii="楷体_GB2312" w:eastAsia="楷体_GB2312"/>
      <w:sz w:val="28"/>
      <w:szCs w:val="28"/>
    </w:rPr>
  </w:style>
  <w:style w:type="paragraph" w:styleId="953">
    <w:name w:val="标题 2"/>
    <w:basedOn w:val="951"/>
    <w:next w:val="965"/>
    <w:link w:val="964"/>
    <w:qFormat/>
    <w:pPr>
      <w:jc w:val="center"/>
      <w:keepLines/>
      <w:keepNext/>
      <w:spacing w:before="260" w:after="260" w:line="416" w:lineRule="auto"/>
      <w:outlineLvl w:val="1"/>
    </w:pPr>
    <w:rPr>
      <w:rFonts w:ascii="Arial" w:hAnsi="Arial" w:eastAsia="幼圆" w:cs="Arial"/>
      <w:b/>
      <w:bCs/>
      <w:sz w:val="44"/>
      <w:szCs w:val="44"/>
    </w:rPr>
  </w:style>
  <w:style w:type="paragraph" w:styleId="954">
    <w:name w:val="标题 3"/>
    <w:basedOn w:val="951"/>
    <w:next w:val="965"/>
    <w:link w:val="967"/>
    <w:qFormat/>
    <w:pPr>
      <w:keepLines/>
      <w:keepNext/>
      <w:spacing w:before="260" w:after="260" w:line="416" w:lineRule="auto"/>
      <w:outlineLvl w:val="2"/>
    </w:pPr>
    <w:rPr>
      <w:b/>
      <w:bCs/>
      <w:sz w:val="32"/>
      <w:szCs w:val="32"/>
    </w:rPr>
  </w:style>
  <w:style w:type="paragraph" w:styleId="955">
    <w:name w:val="标题 4"/>
    <w:basedOn w:val="951"/>
    <w:next w:val="965"/>
    <w:link w:val="968"/>
    <w:qFormat/>
    <w:pPr>
      <w:keepLines/>
      <w:keepNext/>
      <w:spacing w:before="280" w:after="290" w:line="376" w:lineRule="auto"/>
      <w:outlineLvl w:val="3"/>
    </w:pPr>
    <w:rPr>
      <w:rFonts w:ascii="Arial" w:hAnsi="Arial" w:eastAsia="黑体" w:cs="Arial"/>
      <w:b/>
      <w:bCs/>
      <w:sz w:val="28"/>
      <w:szCs w:val="28"/>
    </w:rPr>
  </w:style>
  <w:style w:type="paragraph" w:styleId="956">
    <w:name w:val="标题 5"/>
    <w:basedOn w:val="951"/>
    <w:next w:val="965"/>
    <w:link w:val="969"/>
    <w:qFormat/>
    <w:pPr>
      <w:keepNext/>
      <w:outlineLvl w:val="4"/>
    </w:pPr>
    <w:rPr>
      <w:rFonts w:ascii="宋体"/>
      <w:color w:val="000000"/>
      <w:sz w:val="28"/>
      <w:szCs w:val="28"/>
    </w:rPr>
  </w:style>
  <w:style w:type="paragraph" w:styleId="957">
    <w:name w:val="标题 6"/>
    <w:basedOn w:val="951"/>
    <w:next w:val="951"/>
    <w:link w:val="97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8">
    <w:name w:val="标题 7"/>
    <w:basedOn w:val="951"/>
    <w:next w:val="951"/>
    <w:link w:val="971"/>
    <w:qFormat/>
    <w:pPr>
      <w:numPr>
        <w:ilvl w:val="6"/>
        <w:numId w:val="1"/>
      </w:numPr>
      <w:keepLines/>
      <w:keepNext/>
      <w:spacing w:before="240" w:after="64" w:line="320" w:lineRule="auto"/>
      <w:outlineLvl w:val="6"/>
    </w:pPr>
    <w:rPr>
      <w:b/>
      <w:bCs/>
      <w:sz w:val="24"/>
      <w:szCs w:val="24"/>
    </w:rPr>
  </w:style>
  <w:style w:type="paragraph" w:styleId="959">
    <w:name w:val="标题 8"/>
    <w:basedOn w:val="951"/>
    <w:next w:val="951"/>
    <w:link w:val="972"/>
    <w:qFormat/>
    <w:pPr>
      <w:numPr>
        <w:ilvl w:val="7"/>
        <w:numId w:val="1"/>
      </w:numPr>
      <w:keepLines/>
      <w:keepNext/>
      <w:spacing w:before="240" w:after="64" w:line="320" w:lineRule="auto"/>
      <w:outlineLvl w:val="7"/>
    </w:pPr>
    <w:rPr>
      <w:rFonts w:ascii="Arial" w:hAnsi="Arial" w:eastAsia="黑体"/>
      <w:sz w:val="24"/>
      <w:szCs w:val="24"/>
    </w:rPr>
  </w:style>
  <w:style w:type="paragraph" w:styleId="960">
    <w:name w:val="标题 9"/>
    <w:basedOn w:val="951"/>
    <w:next w:val="951"/>
    <w:link w:val="973"/>
    <w:qFormat/>
    <w:pPr>
      <w:numPr>
        <w:ilvl w:val="8"/>
        <w:numId w:val="1"/>
      </w:numPr>
      <w:keepLines/>
      <w:keepNext/>
      <w:spacing w:before="240" w:after="64" w:line="320" w:lineRule="auto"/>
      <w:outlineLvl w:val="8"/>
    </w:pPr>
    <w:rPr>
      <w:rFonts w:ascii="Arial" w:hAnsi="Arial" w:eastAsia="黑体"/>
    </w:rPr>
  </w:style>
  <w:style w:type="character" w:styleId="961">
    <w:name w:val="默认段落字体"/>
    <w:next w:val="961"/>
    <w:link w:val="951"/>
    <w:uiPriority w:val="1"/>
    <w:unhideWhenUsed/>
  </w:style>
  <w:style w:type="table" w:styleId="962">
    <w:name w:val="普通表格"/>
    <w:next w:val="962"/>
    <w:link w:val="951"/>
    <w:uiPriority w:val="99"/>
    <w:unhideWhenUsed/>
    <w:tblPr/>
  </w:style>
  <w:style w:type="character" w:styleId="963">
    <w:name w:val="标题 1 Char"/>
    <w:next w:val="963"/>
    <w:link w:val="952"/>
    <w:rPr>
      <w:rFonts w:ascii="楷体_GB2312" w:hAnsi="Times New Roman" w:eastAsia="楷体_GB2312" w:cs="Times New Roman"/>
      <w:sz w:val="28"/>
      <w:szCs w:val="28"/>
    </w:rPr>
  </w:style>
  <w:style w:type="character" w:styleId="964">
    <w:name w:val="标题 2 Char"/>
    <w:next w:val="964"/>
    <w:link w:val="953"/>
    <w:rPr>
      <w:rFonts w:ascii="Arial" w:hAnsi="Arial" w:eastAsia="幼圆" w:cs="Arial"/>
      <w:b/>
      <w:bCs/>
      <w:sz w:val="44"/>
      <w:szCs w:val="44"/>
    </w:rPr>
  </w:style>
  <w:style w:type="paragraph" w:styleId="965">
    <w:name w:val="正文缩进"/>
    <w:basedOn w:val="951"/>
    <w:next w:val="965"/>
    <w:link w:val="966"/>
    <w:pPr>
      <w:ind w:firstLine="420"/>
    </w:pPr>
  </w:style>
  <w:style w:type="character" w:styleId="966">
    <w:name w:val="正文缩进 Char"/>
    <w:next w:val="966"/>
    <w:link w:val="965"/>
    <w:rPr>
      <w:rFonts w:ascii="Times New Roman" w:hAnsi="Times New Roman" w:eastAsia="宋体" w:cs="Times New Roman"/>
      <w:szCs w:val="21"/>
    </w:rPr>
  </w:style>
  <w:style w:type="character" w:styleId="967">
    <w:name w:val="标题 3 Char"/>
    <w:next w:val="967"/>
    <w:link w:val="954"/>
    <w:rPr>
      <w:rFonts w:ascii="Times New Roman" w:hAnsi="Times New Roman" w:eastAsia="宋体" w:cs="Times New Roman"/>
      <w:b/>
      <w:bCs/>
      <w:sz w:val="32"/>
      <w:szCs w:val="32"/>
    </w:rPr>
  </w:style>
  <w:style w:type="character" w:styleId="968">
    <w:name w:val="标题 4 Char"/>
    <w:next w:val="968"/>
    <w:link w:val="955"/>
    <w:rPr>
      <w:rFonts w:ascii="Arial" w:hAnsi="Arial" w:eastAsia="黑体" w:cs="Arial"/>
      <w:b/>
      <w:bCs/>
      <w:sz w:val="28"/>
      <w:szCs w:val="28"/>
    </w:rPr>
  </w:style>
  <w:style w:type="character" w:styleId="969">
    <w:name w:val="标题 5 Char"/>
    <w:next w:val="969"/>
    <w:link w:val="956"/>
    <w:rPr>
      <w:rFonts w:ascii="宋体" w:hAnsi="Times New Roman" w:eastAsia="宋体" w:cs="Times New Roman"/>
      <w:color w:val="000000"/>
      <w:sz w:val="28"/>
      <w:szCs w:val="28"/>
    </w:rPr>
  </w:style>
  <w:style w:type="character" w:styleId="970">
    <w:name w:val="标题 6 Char"/>
    <w:next w:val="970"/>
    <w:link w:val="957"/>
    <w:rPr>
      <w:rFonts w:ascii="Arial" w:hAnsi="Arial" w:eastAsia="黑体" w:cs="Times New Roman"/>
      <w:b/>
      <w:bCs/>
      <w:sz w:val="24"/>
      <w:szCs w:val="24"/>
    </w:rPr>
  </w:style>
  <w:style w:type="character" w:styleId="971">
    <w:name w:val="标题 7 Char"/>
    <w:next w:val="971"/>
    <w:link w:val="958"/>
    <w:rPr>
      <w:rFonts w:ascii="Times New Roman" w:hAnsi="Times New Roman" w:eastAsia="宋体" w:cs="Times New Roman"/>
      <w:b/>
      <w:bCs/>
      <w:sz w:val="24"/>
      <w:szCs w:val="24"/>
    </w:rPr>
  </w:style>
  <w:style w:type="character" w:styleId="972">
    <w:name w:val="标题 8 Char"/>
    <w:next w:val="972"/>
    <w:link w:val="959"/>
    <w:rPr>
      <w:rFonts w:ascii="Arial" w:hAnsi="Arial" w:eastAsia="黑体" w:cs="Times New Roman"/>
      <w:sz w:val="24"/>
      <w:szCs w:val="24"/>
    </w:rPr>
  </w:style>
  <w:style w:type="character" w:styleId="973">
    <w:name w:val="标题 9 Char"/>
    <w:next w:val="973"/>
    <w:link w:val="960"/>
    <w:rPr>
      <w:rFonts w:ascii="Arial" w:hAnsi="Arial" w:eastAsia="黑体" w:cs="Times New Roman"/>
      <w:szCs w:val="21"/>
    </w:rPr>
  </w:style>
  <w:style w:type="paragraph" w:styleId="974">
    <w:name w:val="列表 3"/>
    <w:basedOn w:val="951"/>
    <w:next w:val="974"/>
    <w:link w:val="951"/>
    <w:pPr>
      <w:ind w:left="100" w:hanging="200"/>
    </w:pPr>
  </w:style>
  <w:style w:type="paragraph" w:styleId="975">
    <w:name w:val="目录 7"/>
    <w:basedOn w:val="951"/>
    <w:next w:val="951"/>
    <w:link w:val="951"/>
    <w:semiHidden/>
    <w:pPr>
      <w:ind w:left="1260"/>
      <w:jc w:val="left"/>
    </w:pPr>
  </w:style>
  <w:style w:type="paragraph" w:styleId="976">
    <w:name w:val="文档结构图"/>
    <w:basedOn w:val="951"/>
    <w:next w:val="976"/>
    <w:link w:val="977"/>
    <w:semiHidden/>
    <w:pPr>
      <w:shd w:val="clear" w:color="auto" w:fill="000080"/>
    </w:pPr>
  </w:style>
  <w:style w:type="character" w:styleId="977">
    <w:name w:val="文档结构图 Char"/>
    <w:next w:val="977"/>
    <w:link w:val="976"/>
    <w:semiHidden/>
    <w:rPr>
      <w:rFonts w:ascii="Times New Roman" w:hAnsi="Times New Roman" w:eastAsia="宋体" w:cs="Times New Roman"/>
      <w:szCs w:val="21"/>
      <w:shd w:val="clear" w:color="auto" w:fill="000080"/>
    </w:rPr>
  </w:style>
  <w:style w:type="paragraph" w:styleId="978">
    <w:name w:val="批注文字"/>
    <w:basedOn w:val="951"/>
    <w:next w:val="978"/>
    <w:link w:val="979"/>
    <w:semiHidden/>
    <w:pPr>
      <w:jc w:val="left"/>
    </w:pPr>
  </w:style>
  <w:style w:type="character" w:styleId="979">
    <w:name w:val="批注文字 Char"/>
    <w:next w:val="979"/>
    <w:link w:val="978"/>
    <w:semiHidden/>
    <w:rPr>
      <w:rFonts w:ascii="Times New Roman" w:hAnsi="Times New Roman" w:eastAsia="宋体" w:cs="Times New Roman"/>
      <w:szCs w:val="21"/>
    </w:rPr>
  </w:style>
  <w:style w:type="paragraph" w:styleId="980">
    <w:name w:val="正文文本 3"/>
    <w:basedOn w:val="951"/>
    <w:next w:val="980"/>
    <w:link w:val="981"/>
    <w:rPr>
      <w:rFonts w:ascii="仿宋_GB2312" w:hAnsi="Arial" w:eastAsia="仿宋_GB2312"/>
      <w:sz w:val="32"/>
      <w:szCs w:val="32"/>
    </w:rPr>
  </w:style>
  <w:style w:type="character" w:styleId="981">
    <w:name w:val="正文文本 3 Char"/>
    <w:next w:val="981"/>
    <w:link w:val="980"/>
    <w:rPr>
      <w:rFonts w:ascii="仿宋_GB2312" w:hAnsi="Arial" w:eastAsia="仿宋_GB2312" w:cs="Times New Roman"/>
      <w:sz w:val="32"/>
      <w:szCs w:val="32"/>
    </w:rPr>
  </w:style>
  <w:style w:type="paragraph" w:styleId="982">
    <w:name w:val="正文文本"/>
    <w:basedOn w:val="951"/>
    <w:next w:val="982"/>
    <w:link w:val="983"/>
    <w:rPr>
      <w:rFonts w:ascii="楷体_GB2312" w:hAnsi="Arial" w:eastAsia="楷体_GB2312"/>
      <w:sz w:val="28"/>
      <w:szCs w:val="28"/>
    </w:rPr>
  </w:style>
  <w:style w:type="character" w:styleId="983">
    <w:name w:val="正文文本 Char"/>
    <w:next w:val="983"/>
    <w:link w:val="982"/>
    <w:rPr>
      <w:rFonts w:ascii="楷体_GB2312" w:hAnsi="Arial" w:eastAsia="楷体_GB2312" w:cs="Times New Roman"/>
      <w:sz w:val="28"/>
      <w:szCs w:val="28"/>
    </w:rPr>
  </w:style>
  <w:style w:type="paragraph" w:styleId="984">
    <w:name w:val="正文文本缩进"/>
    <w:basedOn w:val="951"/>
    <w:next w:val="984"/>
    <w:link w:val="985"/>
    <w:pPr>
      <w:ind w:firstLine="645"/>
    </w:pPr>
    <w:rPr>
      <w:rFonts w:ascii="楷体_GB2312" w:eastAsia="楷体_GB2312"/>
      <w:sz w:val="32"/>
      <w:szCs w:val="32"/>
    </w:rPr>
  </w:style>
  <w:style w:type="character" w:styleId="985">
    <w:name w:val="正文文本缩进 Char"/>
    <w:next w:val="985"/>
    <w:link w:val="984"/>
    <w:rPr>
      <w:rFonts w:ascii="楷体_GB2312" w:hAnsi="Times New Roman" w:eastAsia="楷体_GB2312" w:cs="Times New Roman"/>
      <w:sz w:val="32"/>
      <w:szCs w:val="32"/>
    </w:rPr>
  </w:style>
  <w:style w:type="paragraph" w:styleId="986">
    <w:name w:val="列表 2"/>
    <w:basedOn w:val="951"/>
    <w:next w:val="986"/>
    <w:link w:val="951"/>
    <w:pPr>
      <w:ind w:left="100" w:hanging="200"/>
    </w:pPr>
  </w:style>
  <w:style w:type="paragraph" w:styleId="987">
    <w:name w:val="索引 4"/>
    <w:basedOn w:val="951"/>
    <w:next w:val="951"/>
    <w:link w:val="951"/>
    <w:uiPriority w:val="99"/>
    <w:unhideWhenUsed/>
    <w:qFormat/>
    <w:pPr>
      <w:ind w:left="600"/>
    </w:pPr>
  </w:style>
  <w:style w:type="paragraph" w:styleId="988">
    <w:name w:val="目录 5"/>
    <w:basedOn w:val="951"/>
    <w:next w:val="951"/>
    <w:link w:val="951"/>
    <w:semiHidden/>
    <w:pPr>
      <w:ind w:left="840"/>
      <w:jc w:val="left"/>
    </w:pPr>
  </w:style>
  <w:style w:type="paragraph" w:styleId="989">
    <w:name w:val="目录 3"/>
    <w:basedOn w:val="951"/>
    <w:next w:val="951"/>
    <w:link w:val="951"/>
    <w:semiHidden/>
    <w:pPr>
      <w:ind w:left="420"/>
      <w:jc w:val="left"/>
    </w:pPr>
    <w:rPr>
      <w:i/>
      <w:iCs/>
      <w:szCs w:val="24"/>
    </w:rPr>
  </w:style>
  <w:style w:type="paragraph" w:styleId="990">
    <w:name w:val="纯文本"/>
    <w:basedOn w:val="951"/>
    <w:next w:val="990"/>
    <w:link w:val="991"/>
    <w:rPr>
      <w:rFonts w:ascii="宋体" w:hAnsi="Courier New" w:cs="Courier New"/>
    </w:rPr>
  </w:style>
  <w:style w:type="character" w:styleId="991">
    <w:name w:val="纯文本 Char"/>
    <w:next w:val="991"/>
    <w:link w:val="990"/>
    <w:rPr>
      <w:rFonts w:ascii="宋体" w:hAnsi="Courier New" w:eastAsia="宋体" w:cs="Courier New"/>
      <w:szCs w:val="21"/>
    </w:rPr>
  </w:style>
  <w:style w:type="paragraph" w:styleId="992">
    <w:name w:val="目录 8"/>
    <w:basedOn w:val="951"/>
    <w:next w:val="951"/>
    <w:link w:val="951"/>
    <w:semiHidden/>
    <w:pPr>
      <w:ind w:left="1470"/>
      <w:jc w:val="left"/>
    </w:pPr>
  </w:style>
  <w:style w:type="paragraph" w:styleId="993">
    <w:name w:val="日期"/>
    <w:basedOn w:val="951"/>
    <w:next w:val="951"/>
    <w:link w:val="994"/>
    <w:rPr>
      <w:sz w:val="24"/>
      <w:szCs w:val="24"/>
    </w:rPr>
  </w:style>
  <w:style w:type="character" w:styleId="994">
    <w:name w:val="日期 Char"/>
    <w:next w:val="994"/>
    <w:link w:val="993"/>
    <w:rPr>
      <w:rFonts w:ascii="Times New Roman" w:hAnsi="Times New Roman" w:eastAsia="宋体" w:cs="Times New Roman"/>
      <w:sz w:val="24"/>
      <w:szCs w:val="24"/>
    </w:rPr>
  </w:style>
  <w:style w:type="paragraph" w:styleId="995">
    <w:name w:val="正文文本缩进 2"/>
    <w:basedOn w:val="951"/>
    <w:next w:val="995"/>
    <w:link w:val="996"/>
    <w:pPr>
      <w:ind w:left="630" w:firstLine="645"/>
    </w:pPr>
    <w:rPr>
      <w:rFonts w:ascii="Arial" w:hAnsi="Arial" w:eastAsia="仿宋_GB2312" w:cs="Arial"/>
      <w:sz w:val="32"/>
      <w:szCs w:val="32"/>
    </w:rPr>
  </w:style>
  <w:style w:type="character" w:styleId="996">
    <w:name w:val="正文文本缩进 2 Char"/>
    <w:next w:val="996"/>
    <w:link w:val="995"/>
    <w:rPr>
      <w:rFonts w:ascii="Arial" w:hAnsi="Arial" w:eastAsia="仿宋_GB2312" w:cs="Arial"/>
      <w:sz w:val="32"/>
      <w:szCs w:val="32"/>
    </w:rPr>
  </w:style>
  <w:style w:type="paragraph" w:styleId="997">
    <w:name w:val="批注框文本"/>
    <w:basedOn w:val="951"/>
    <w:next w:val="997"/>
    <w:link w:val="998"/>
    <w:semiHidden/>
    <w:rPr>
      <w:sz w:val="18"/>
      <w:szCs w:val="18"/>
    </w:rPr>
  </w:style>
  <w:style w:type="character" w:styleId="998">
    <w:name w:val="批注框文本 Char"/>
    <w:next w:val="998"/>
    <w:link w:val="997"/>
    <w:semiHidden/>
    <w:rPr>
      <w:rFonts w:ascii="Times New Roman" w:hAnsi="Times New Roman" w:eastAsia="宋体" w:cs="Times New Roman"/>
      <w:sz w:val="18"/>
      <w:szCs w:val="18"/>
    </w:rPr>
  </w:style>
  <w:style w:type="paragraph" w:styleId="999">
    <w:name w:val="页脚"/>
    <w:basedOn w:val="951"/>
    <w:next w:val="999"/>
    <w:link w:val="1000"/>
    <w:uiPriority w:val="99"/>
    <w:pPr>
      <w:jc w:val="left"/>
      <w:tabs>
        <w:tab w:val="center" w:pos="4153" w:leader="none"/>
        <w:tab w:val="right" w:pos="8306" w:leader="none"/>
      </w:tabs>
    </w:pPr>
    <w:rPr>
      <w:sz w:val="18"/>
      <w:szCs w:val="18"/>
    </w:rPr>
  </w:style>
  <w:style w:type="character" w:styleId="1000">
    <w:name w:val="页脚 Char"/>
    <w:next w:val="1000"/>
    <w:link w:val="999"/>
    <w:uiPriority w:val="99"/>
    <w:rPr>
      <w:rFonts w:ascii="Times New Roman" w:hAnsi="Times New Roman" w:eastAsia="宋体" w:cs="Times New Roman"/>
      <w:sz w:val="18"/>
      <w:szCs w:val="18"/>
    </w:rPr>
  </w:style>
  <w:style w:type="paragraph" w:styleId="1001">
    <w:name w:val="页眉"/>
    <w:basedOn w:val="951"/>
    <w:next w:val="1001"/>
    <w:link w:val="1002"/>
    <w:pPr>
      <w:jc w:val="center"/>
      <w:tabs>
        <w:tab w:val="center" w:pos="4153" w:leader="none"/>
        <w:tab w:val="right" w:pos="8306" w:leader="none"/>
      </w:tabs>
      <w:pBdr>
        <w:bottom w:val="single" w:color="000000" w:sz="6" w:space="1"/>
      </w:pBdr>
    </w:pPr>
    <w:rPr>
      <w:sz w:val="18"/>
      <w:szCs w:val="18"/>
    </w:rPr>
  </w:style>
  <w:style w:type="character" w:styleId="1002">
    <w:name w:val="页眉 Char"/>
    <w:next w:val="1002"/>
    <w:link w:val="1001"/>
    <w:rPr>
      <w:rFonts w:ascii="Times New Roman" w:hAnsi="Times New Roman" w:eastAsia="宋体" w:cs="Times New Roman"/>
      <w:sz w:val="18"/>
      <w:szCs w:val="18"/>
    </w:rPr>
  </w:style>
  <w:style w:type="paragraph" w:styleId="1003">
    <w:name w:val="目录 1"/>
    <w:basedOn w:val="951"/>
    <w:next w:val="951"/>
    <w:link w:val="951"/>
    <w:semiHidden/>
    <w:pPr>
      <w:jc w:val="left"/>
      <w:spacing w:before="120" w:after="120" w:line="400" w:lineRule="exact"/>
      <w:tabs>
        <w:tab w:val="right" w:pos="8720" w:leader="dot"/>
      </w:tabs>
    </w:pPr>
    <w:rPr>
      <w:rFonts w:ascii="宋体" w:hAnsi="宋体"/>
      <w:caps/>
      <w:sz w:val="24"/>
      <w:szCs w:val="24"/>
    </w:rPr>
  </w:style>
  <w:style w:type="paragraph" w:styleId="1004">
    <w:name w:val="目录 4"/>
    <w:basedOn w:val="951"/>
    <w:next w:val="951"/>
    <w:link w:val="951"/>
    <w:semiHidden/>
    <w:pPr>
      <w:ind w:left="630"/>
      <w:jc w:val="left"/>
    </w:pPr>
  </w:style>
  <w:style w:type="paragraph" w:styleId="1005">
    <w:name w:val="列表"/>
    <w:basedOn w:val="951"/>
    <w:next w:val="1005"/>
    <w:link w:val="951"/>
    <w:pPr>
      <w:ind w:left="200" w:hanging="200"/>
    </w:pPr>
  </w:style>
  <w:style w:type="paragraph" w:styleId="1006">
    <w:name w:val="目录 6"/>
    <w:basedOn w:val="951"/>
    <w:next w:val="951"/>
    <w:link w:val="951"/>
    <w:semiHidden/>
    <w:pPr>
      <w:ind w:left="1050"/>
      <w:jc w:val="left"/>
    </w:pPr>
  </w:style>
  <w:style w:type="paragraph" w:styleId="1007">
    <w:name w:val="正文文本缩进 3"/>
    <w:basedOn w:val="951"/>
    <w:next w:val="1007"/>
    <w:link w:val="1008"/>
    <w:pPr>
      <w:ind w:left="645" w:firstLine="645"/>
    </w:pPr>
    <w:rPr>
      <w:rFonts w:ascii="Arial" w:hAnsi="Arial" w:eastAsia="仿宋_GB2312" w:cs="Arial"/>
      <w:color w:val="ffff00"/>
      <w:sz w:val="32"/>
      <w:szCs w:val="32"/>
    </w:rPr>
  </w:style>
  <w:style w:type="character" w:styleId="1008">
    <w:name w:val="正文文本缩进 3 Char"/>
    <w:next w:val="1008"/>
    <w:link w:val="1007"/>
    <w:rPr>
      <w:rFonts w:ascii="Arial" w:hAnsi="Arial" w:eastAsia="仿宋_GB2312" w:cs="Arial"/>
      <w:color w:val="ffff00"/>
      <w:sz w:val="32"/>
      <w:szCs w:val="32"/>
    </w:rPr>
  </w:style>
  <w:style w:type="paragraph" w:styleId="1009">
    <w:name w:val="图表目录"/>
    <w:basedOn w:val="951"/>
    <w:next w:val="951"/>
    <w:link w:val="951"/>
    <w:semiHidden/>
    <w:pPr>
      <w:ind w:left="840" w:hanging="420"/>
    </w:pPr>
  </w:style>
  <w:style w:type="paragraph" w:styleId="1010">
    <w:name w:val="目录 2"/>
    <w:basedOn w:val="951"/>
    <w:next w:val="951"/>
    <w:link w:val="951"/>
    <w:semiHidden/>
    <w:pPr>
      <w:ind w:left="210"/>
      <w:jc w:val="left"/>
    </w:pPr>
    <w:rPr>
      <w:smallCaps/>
      <w:szCs w:val="24"/>
    </w:rPr>
  </w:style>
  <w:style w:type="paragraph" w:styleId="1011">
    <w:name w:val="目录 9"/>
    <w:basedOn w:val="951"/>
    <w:next w:val="951"/>
    <w:link w:val="951"/>
    <w:semiHidden/>
    <w:pPr>
      <w:ind w:left="1680"/>
      <w:jc w:val="left"/>
    </w:pPr>
  </w:style>
  <w:style w:type="paragraph" w:styleId="1012">
    <w:name w:val="正文文本 2"/>
    <w:basedOn w:val="951"/>
    <w:next w:val="1012"/>
    <w:link w:val="1013"/>
    <w:pPr>
      <w:jc w:val="center"/>
      <w:widowControl/>
    </w:pPr>
    <w:rPr>
      <w:rFonts w:ascii="楷体_GB2312" w:eastAsia="楷体_GB2312"/>
      <w:sz w:val="28"/>
      <w:szCs w:val="28"/>
    </w:rPr>
  </w:style>
  <w:style w:type="character" w:styleId="1013">
    <w:name w:val="正文文本 2 Char"/>
    <w:next w:val="1013"/>
    <w:link w:val="1012"/>
    <w:rPr>
      <w:rFonts w:ascii="楷体_GB2312" w:hAnsi="Times New Roman" w:eastAsia="楷体_GB2312" w:cs="Times New Roman"/>
      <w:sz w:val="28"/>
      <w:szCs w:val="28"/>
    </w:rPr>
  </w:style>
  <w:style w:type="paragraph" w:styleId="1014">
    <w:name w:val="普通(网站)"/>
    <w:basedOn w:val="951"/>
    <w:next w:val="1014"/>
    <w:link w:val="951"/>
    <w:uiPriority w:val="99"/>
    <w:pPr>
      <w:jc w:val="left"/>
      <w:spacing w:before="100" w:beforeAutospacing="1" w:after="100" w:afterAutospacing="1"/>
      <w:widowControl/>
    </w:pPr>
    <w:rPr>
      <w:rFonts w:ascii="宋体" w:hAnsi="宋体" w:cs="宋体"/>
      <w:sz w:val="24"/>
      <w:szCs w:val="24"/>
    </w:rPr>
  </w:style>
  <w:style w:type="paragraph" w:styleId="1015">
    <w:name w:val="索引 1"/>
    <w:basedOn w:val="951"/>
    <w:next w:val="951"/>
    <w:link w:val="951"/>
    <w:semiHidden/>
    <w:pPr>
      <w:spacing w:line="240" w:lineRule="atLeast"/>
    </w:pPr>
    <w:rPr>
      <w:b/>
      <w:bCs/>
    </w:rPr>
  </w:style>
  <w:style w:type="paragraph" w:styleId="1016">
    <w:name w:val="批注主题"/>
    <w:basedOn w:val="978"/>
    <w:next w:val="978"/>
    <w:link w:val="1017"/>
    <w:semiHidden/>
    <w:rPr>
      <w:b/>
      <w:bCs/>
    </w:rPr>
  </w:style>
  <w:style w:type="character" w:styleId="1017">
    <w:name w:val="批注主题 Char"/>
    <w:next w:val="1017"/>
    <w:link w:val="1016"/>
    <w:semiHidden/>
    <w:rPr>
      <w:rFonts w:ascii="Times New Roman" w:hAnsi="Times New Roman" w:eastAsia="宋体" w:cs="Times New Roman"/>
      <w:b/>
      <w:bCs/>
      <w:szCs w:val="21"/>
    </w:rPr>
  </w:style>
  <w:style w:type="paragraph" w:styleId="1018">
    <w:name w:val="正文首行缩进"/>
    <w:basedOn w:val="951"/>
    <w:next w:val="1018"/>
    <w:link w:val="1019"/>
    <w:pPr>
      <w:ind w:firstLine="200"/>
      <w:spacing w:line="360" w:lineRule="auto"/>
    </w:pPr>
    <w:rPr>
      <w:rFonts w:ascii="仿宋_GB2312" w:eastAsia="仿宋_GB2312"/>
      <w:sz w:val="30"/>
      <w:szCs w:val="30"/>
    </w:rPr>
  </w:style>
  <w:style w:type="character" w:styleId="1019">
    <w:name w:val="正文首行缩进 Char"/>
    <w:next w:val="1019"/>
    <w:link w:val="1018"/>
    <w:rPr>
      <w:rFonts w:ascii="仿宋_GB2312" w:hAnsi="Times New Roman" w:eastAsia="仿宋_GB2312" w:cs="Times New Roman"/>
      <w:sz w:val="30"/>
      <w:szCs w:val="30"/>
    </w:rPr>
  </w:style>
  <w:style w:type="paragraph" w:styleId="1020">
    <w:name w:val="正文首行缩进 2"/>
    <w:basedOn w:val="984"/>
    <w:next w:val="1020"/>
    <w:link w:val="1021"/>
    <w:pPr>
      <w:ind w:firstLine="420"/>
      <w:spacing w:line="360" w:lineRule="auto"/>
    </w:pPr>
    <w:rPr>
      <w:rFonts w:ascii="宋体" w:hAnsi="宋体" w:eastAsia="宋体"/>
      <w:sz w:val="21"/>
      <w:szCs w:val="20"/>
    </w:rPr>
  </w:style>
  <w:style w:type="character" w:styleId="1021">
    <w:name w:val="正文首行缩进 2 Char"/>
    <w:next w:val="1021"/>
    <w:link w:val="1020"/>
    <w:rPr>
      <w:rFonts w:ascii="宋体" w:hAnsi="宋体" w:eastAsia="宋体" w:cs="Times New Roman"/>
      <w:sz w:val="32"/>
      <w:szCs w:val="20"/>
    </w:rPr>
  </w:style>
  <w:style w:type="table" w:styleId="1022">
    <w:name w:val="网格型"/>
    <w:basedOn w:val="962"/>
    <w:next w:val="1022"/>
    <w:link w:val="951"/>
    <w:pPr>
      <w:jc w:val="both"/>
      <w:widowControl w:val="off"/>
    </w:pPr>
    <w:rPr>
      <w:rFonts w:ascii="Times New Roman" w:hAnsi="Times New Roman" w:eastAsia="宋体" w:cs="Times New Roman"/>
      <w:sz w:val="20"/>
      <w:szCs w:val="20"/>
    </w:rPr>
    <w:tblPr/>
  </w:style>
  <w:style w:type="character" w:styleId="1023">
    <w:name w:val="要点"/>
    <w:next w:val="1023"/>
    <w:link w:val="951"/>
    <w:qFormat/>
    <w:rPr>
      <w:b/>
      <w:bCs/>
    </w:rPr>
  </w:style>
  <w:style w:type="character" w:styleId="1024">
    <w:name w:val="页码"/>
    <w:next w:val="1024"/>
    <w:link w:val="951"/>
  </w:style>
  <w:style w:type="character" w:styleId="1025">
    <w:name w:val="已访问的超链接"/>
    <w:next w:val="1025"/>
    <w:link w:val="951"/>
    <w:rPr>
      <w:color w:val="800080"/>
      <w:u w:val="single"/>
    </w:rPr>
  </w:style>
  <w:style w:type="character" w:styleId="1026">
    <w:name w:val="强调"/>
    <w:basedOn w:val="961"/>
    <w:next w:val="1026"/>
    <w:link w:val="951"/>
    <w:qFormat/>
    <w:rPr>
      <w:i/>
    </w:rPr>
  </w:style>
  <w:style w:type="character" w:styleId="1027">
    <w:name w:val="超链接"/>
    <w:next w:val="1027"/>
    <w:link w:val="951"/>
    <w:rPr>
      <w:color w:val="0000ff"/>
      <w:u w:val="single"/>
    </w:rPr>
  </w:style>
  <w:style w:type="character" w:styleId="1028">
    <w:name w:val="批注引用"/>
    <w:next w:val="1028"/>
    <w:link w:val="951"/>
    <w:semiHidden/>
    <w:rPr>
      <w:sz w:val="21"/>
      <w:szCs w:val="21"/>
    </w:rPr>
  </w:style>
  <w:style w:type="character" w:styleId="1029">
    <w:name w:val="font5 Char"/>
    <w:next w:val="1029"/>
    <w:link w:val="951"/>
    <w:rPr>
      <w:rFonts w:ascii="宋体" w:hAnsi="宋体" w:eastAsia="宋体"/>
      <w:sz w:val="28"/>
      <w:szCs w:val="28"/>
      <w:lang w:val="en-US" w:eastAsia="zh-CN" w:bidi="ar-SA"/>
    </w:rPr>
  </w:style>
  <w:style w:type="character" w:styleId="1030">
    <w:name w:val="二级目录 Char"/>
    <w:next w:val="1030"/>
    <w:link w:val="1031"/>
    <w:rPr>
      <w:b/>
      <w:sz w:val="30"/>
      <w:szCs w:val="28"/>
    </w:rPr>
  </w:style>
  <w:style w:type="paragraph" w:styleId="1031">
    <w:name w:val="二级目录"/>
    <w:next w:val="951"/>
    <w:link w:val="1030"/>
    <w:pPr>
      <w:numPr>
        <w:ilvl w:val="0"/>
        <w:numId w:val="2"/>
      </w:numPr>
      <w:tabs>
        <w:tab w:val="left" w:pos="907" w:leader="none"/>
        <w:tab w:val="left" w:pos="1145" w:leader="none"/>
      </w:tabs>
      <w:outlineLvl w:val="1"/>
    </w:pPr>
    <w:rPr>
      <w:b/>
      <w:sz w:val="30"/>
      <w:szCs w:val="28"/>
      <w:lang w:val="en-US" w:eastAsia="zh-CN" w:bidi="ar-SA"/>
    </w:rPr>
  </w:style>
  <w:style w:type="character" w:styleId="1032">
    <w:name w:val="列出段落 Char,Bullet List Char,numbered Char,FooterText Char,List Paragraph1 Char,Paragraphe de liste1 Char"/>
    <w:next w:val="1032"/>
    <w:link w:val="1033"/>
    <w:rPr>
      <w:rFonts w:ascii="Calibri" w:hAnsi="Calibri"/>
      <w:sz w:val="24"/>
      <w:szCs w:val="24"/>
      <w:lang w:eastAsia="en-US" w:bidi="en-US"/>
    </w:rPr>
  </w:style>
  <w:style w:type="paragraph" w:styleId="1033">
    <w:name w:val="列出段落1"/>
    <w:basedOn w:val="951"/>
    <w:next w:val="1033"/>
    <w:link w:val="1032"/>
    <w:qFormat/>
    <w:pPr>
      <w:contextualSpacing/>
      <w:ind w:left="720"/>
      <w:jc w:val="left"/>
      <w:widowControl/>
    </w:pPr>
    <w:rPr>
      <w:rFonts w:ascii="Calibri" w:hAnsi="Calibri" w:eastAsia="宋体" w:cs="Times New Roman"/>
      <w:sz w:val="24"/>
      <w:szCs w:val="24"/>
      <w:lang w:eastAsia="en-US" w:bidi="en-US"/>
    </w:rPr>
  </w:style>
  <w:style w:type="paragraph" w:styleId="1034">
    <w:name w:val="Body Text(ch)"/>
    <w:basedOn w:val="951"/>
    <w:next w:val="982"/>
    <w:link w:val="951"/>
    <w:pPr>
      <w:spacing w:after="120"/>
    </w:pPr>
    <w:rPr>
      <w:rFonts w:ascii="宋体" w:hAnsi="Arial"/>
      <w:bCs/>
      <w:iCs/>
      <w:szCs w:val="24"/>
    </w:rPr>
  </w:style>
  <w:style w:type="paragraph" w:styleId="1035">
    <w:name w:val="xl27"/>
    <w:basedOn w:val="951"/>
    <w:next w:val="1035"/>
    <w:link w:val="9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6">
    <w:name w:val="xl26"/>
    <w:basedOn w:val="951"/>
    <w:next w:val="1036"/>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7">
    <w:name w:val="Char"/>
    <w:basedOn w:val="951"/>
    <w:next w:val="1037"/>
    <w:link w:val="951"/>
    <w:pPr>
      <w:ind w:firstLine="200"/>
      <w:tabs>
        <w:tab w:val="left" w:pos="360" w:leader="none"/>
      </w:tabs>
    </w:pPr>
    <w:rPr>
      <w:sz w:val="28"/>
      <w:szCs w:val="30"/>
    </w:rPr>
  </w:style>
  <w:style w:type="paragraph" w:styleId="1038">
    <w:name w:val=" Char"/>
    <w:basedOn w:val="976"/>
    <w:next w:val="1038"/>
    <w:link w:val="951"/>
    <w:rPr>
      <w:rFonts w:ascii="Tahoma" w:hAnsi="Tahoma"/>
      <w:sz w:val="24"/>
      <w:szCs w:val="24"/>
    </w:rPr>
  </w:style>
  <w:style w:type="paragraph" w:styleId="1039">
    <w:name w:val="普通正文"/>
    <w:basedOn w:val="951"/>
    <w:next w:val="1039"/>
    <w:link w:val="951"/>
    <w:pPr>
      <w:ind w:firstLine="480"/>
      <w:jc w:val="left"/>
      <w:spacing w:before="120" w:after="120" w:line="360" w:lineRule="auto"/>
    </w:pPr>
    <w:rPr>
      <w:rFonts w:ascii="Arial" w:hAnsi="Arial"/>
      <w:sz w:val="24"/>
      <w:szCs w:val="24"/>
    </w:rPr>
  </w:style>
  <w:style w:type="paragraph" w:styleId="1040">
    <w:name w:val="table_lines"/>
    <w:basedOn w:val="951"/>
    <w:next w:val="1040"/>
    <w:link w:val="951"/>
    <w:pPr>
      <w:jc w:val="left"/>
      <w:widowControl/>
    </w:pPr>
    <w:rPr>
      <w:sz w:val="20"/>
      <w:szCs w:val="20"/>
      <w:lang w:val="de-DE" w:eastAsia="de-DE"/>
    </w:rPr>
  </w:style>
  <w:style w:type="paragraph" w:styleId="1041">
    <w:name w:val="附录1"/>
    <w:next w:val="1041"/>
    <w:link w:val="95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42">
    <w:name w:val="font7"/>
    <w:basedOn w:val="951"/>
    <w:next w:val="1042"/>
    <w:link w:val="951"/>
    <w:pPr>
      <w:jc w:val="left"/>
      <w:spacing w:before="100" w:beforeAutospacing="1" w:after="100" w:afterAutospacing="1"/>
      <w:widowControl/>
    </w:pPr>
    <w:rPr>
      <w:rFonts w:hint="eastAsia" w:ascii="宋体" w:hAnsi="宋体"/>
      <w:sz w:val="18"/>
      <w:szCs w:val="18"/>
    </w:rPr>
  </w:style>
  <w:style w:type="paragraph" w:styleId="1043">
    <w:name w:val=" Char Char Char Char"/>
    <w:basedOn w:val="976"/>
    <w:next w:val="1043"/>
    <w:link w:val="951"/>
    <w:pPr>
      <w:spacing w:line="360" w:lineRule="auto"/>
    </w:pPr>
    <w:rPr>
      <w:rFonts w:ascii="Tahoma" w:hAnsi="Tahoma"/>
      <w:sz w:val="24"/>
      <w:szCs w:val="24"/>
    </w:rPr>
  </w:style>
  <w:style w:type="paragraph" w:styleId="1044">
    <w:name w:val="列出段落"/>
    <w:basedOn w:val="951"/>
    <w:next w:val="1044"/>
    <w:link w:val="951"/>
    <w:qFormat/>
    <w:pPr>
      <w:contextualSpacing/>
      <w:ind w:left="720"/>
      <w:jc w:val="left"/>
      <w:widowControl/>
    </w:pPr>
    <w:rPr>
      <w:rFonts w:ascii="Calibri" w:hAnsi="Calibri"/>
      <w:sz w:val="24"/>
      <w:szCs w:val="24"/>
      <w:lang w:eastAsia="en-US" w:bidi="en-US"/>
    </w:rPr>
  </w:style>
  <w:style w:type="paragraph" w:styleId="1045">
    <w:name w:val="4"/>
    <w:basedOn w:val="951"/>
    <w:next w:val="1007"/>
    <w:link w:val="951"/>
    <w:pPr>
      <w:ind w:firstLine="420"/>
      <w:spacing w:line="360" w:lineRule="auto"/>
    </w:pPr>
    <w:rPr>
      <w:color w:val="ff0000"/>
      <w:sz w:val="24"/>
      <w:szCs w:val="24"/>
    </w:rPr>
  </w:style>
  <w:style w:type="paragraph" w:styleId="1046">
    <w:name w:val="普通 (Web)"/>
    <w:basedOn w:val="951"/>
    <w:next w:val="1046"/>
    <w:link w:val="951"/>
    <w:pPr>
      <w:jc w:val="left"/>
      <w:spacing w:before="100" w:beforeAutospacing="1" w:after="100" w:afterAutospacing="1"/>
      <w:widowControl/>
    </w:pPr>
    <w:rPr>
      <w:rFonts w:ascii="宋体" w:hAnsi="宋体"/>
      <w:sz w:val="24"/>
      <w:szCs w:val="24"/>
    </w:rPr>
  </w:style>
  <w:style w:type="paragraph" w:styleId="1047">
    <w:name w:val=" Char Char Char Char Char Char Char Char Char Char"/>
    <w:basedOn w:val="951"/>
    <w:next w:val="1047"/>
    <w:link w:val="951"/>
    <w:pPr>
      <w:spacing w:line="360" w:lineRule="auto"/>
    </w:pPr>
    <w:rPr>
      <w:sz w:val="24"/>
      <w:szCs w:val="20"/>
    </w:rPr>
  </w:style>
  <w:style w:type="paragraph" w:styleId="1048">
    <w:name w:val="样式1"/>
    <w:basedOn w:val="951"/>
    <w:next w:val="1048"/>
    <w:link w:val="951"/>
    <w:pPr>
      <w:numPr>
        <w:ilvl w:val="0"/>
        <w:numId w:val="3"/>
      </w:numPr>
      <w:tabs>
        <w:tab w:val="left" w:pos="709" w:leader="none"/>
      </w:tabs>
    </w:pPr>
    <w:rPr>
      <w:rFonts w:ascii="宋体" w:hAnsi="宋体"/>
    </w:rPr>
  </w:style>
  <w:style w:type="paragraph" w:styleId="1049">
    <w:name w:val="font6"/>
    <w:basedOn w:val="951"/>
    <w:next w:val="1049"/>
    <w:link w:val="951"/>
    <w:pPr>
      <w:jc w:val="left"/>
      <w:spacing w:before="100" w:beforeAutospacing="1" w:after="100" w:afterAutospacing="1"/>
      <w:widowControl/>
    </w:pPr>
    <w:rPr>
      <w:rFonts w:hint="eastAsia" w:ascii="宋体" w:hAnsi="宋体"/>
      <w:sz w:val="28"/>
      <w:szCs w:val="28"/>
      <w:u w:val="single"/>
    </w:rPr>
  </w:style>
  <w:style w:type="paragraph" w:styleId="1050">
    <w:name w:val="xl25"/>
    <w:basedOn w:val="951"/>
    <w:next w:val="1050"/>
    <w:link w:val="95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1">
    <w:name w:val="图标"/>
    <w:basedOn w:val="951"/>
    <w:next w:val="951"/>
    <w:link w:val="95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2">
    <w:name w:val="标题3"/>
    <w:basedOn w:val="951"/>
    <w:next w:val="951"/>
    <w:link w:val="951"/>
    <w:pPr>
      <w:ind w:firstLine="624"/>
      <w:spacing w:line="590" w:lineRule="atLeast"/>
    </w:pPr>
    <w:rPr>
      <w:rFonts w:ascii="方正黑体_GBK" w:eastAsia="方正黑体_GBK"/>
      <w:sz w:val="32"/>
      <w:szCs w:val="32"/>
    </w:rPr>
  </w:style>
  <w:style w:type="paragraph" w:styleId="1053">
    <w:name w:val="xl24"/>
    <w:basedOn w:val="951"/>
    <w:next w:val="1053"/>
    <w:link w:val="9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4">
    <w:name w:val="xl29"/>
    <w:basedOn w:val="951"/>
    <w:next w:val="1054"/>
    <w:link w:val="95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5">
    <w:name w:val="Char Char Char Char Char Char Char Char"/>
    <w:basedOn w:val="951"/>
    <w:next w:val="1055"/>
    <w:link w:val="951"/>
    <w:pPr>
      <w:jc w:val="left"/>
      <w:spacing w:after="160" w:line="240" w:lineRule="exact"/>
      <w:widowControl/>
    </w:pPr>
    <w:rPr>
      <w:rFonts w:ascii="Verdana" w:hAnsi="Verdana"/>
      <w:sz w:val="20"/>
      <w:szCs w:val="20"/>
      <w:lang w:eastAsia="en-US"/>
    </w:rPr>
  </w:style>
  <w:style w:type="paragraph" w:styleId="1056">
    <w:name w:val="xl28"/>
    <w:basedOn w:val="951"/>
    <w:next w:val="1056"/>
    <w:link w:val="95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7">
    <w:name w:val=" Char Char Char Char Char Char Char Char"/>
    <w:basedOn w:val="951"/>
    <w:next w:val="1057"/>
    <w:link w:val="951"/>
    <w:pPr>
      <w:jc w:val="left"/>
      <w:spacing w:after="160" w:line="240" w:lineRule="exact"/>
      <w:widowControl/>
    </w:pPr>
    <w:rPr>
      <w:rFonts w:ascii="Verdana" w:hAnsi="Verdana"/>
      <w:sz w:val="20"/>
      <w:szCs w:val="20"/>
      <w:lang w:eastAsia="en-US"/>
    </w:rPr>
  </w:style>
  <w:style w:type="paragraph" w:styleId="1058">
    <w:name w:val="xl30"/>
    <w:basedOn w:val="951"/>
    <w:next w:val="1058"/>
    <w:link w:val="951"/>
    <w:pPr>
      <w:jc w:val="center"/>
      <w:spacing w:before="100" w:beforeAutospacing="1" w:after="100" w:afterAutospacing="1"/>
      <w:widowControl/>
    </w:pPr>
    <w:rPr>
      <w:rFonts w:ascii="宋体" w:hAnsi="宋体"/>
      <w:b/>
      <w:bCs/>
      <w:sz w:val="36"/>
      <w:szCs w:val="36"/>
    </w:rPr>
  </w:style>
  <w:style w:type="paragraph" w:styleId="1059">
    <w:name w:val="Char Char Char Char"/>
    <w:basedOn w:val="976"/>
    <w:next w:val="1059"/>
    <w:link w:val="951"/>
    <w:pPr>
      <w:spacing w:line="360" w:lineRule="auto"/>
    </w:pPr>
    <w:rPr>
      <w:rFonts w:ascii="Tahoma" w:hAnsi="Tahoma"/>
      <w:sz w:val="24"/>
      <w:szCs w:val="24"/>
    </w:rPr>
  </w:style>
  <w:style w:type="paragraph" w:styleId="1060">
    <w:name w:val="table_1stline"/>
    <w:basedOn w:val="951"/>
    <w:next w:val="1060"/>
    <w:link w:val="951"/>
    <w:pPr>
      <w:jc w:val="left"/>
      <w:spacing w:before="120"/>
      <w:widowControl/>
    </w:pPr>
    <w:rPr>
      <w:bCs/>
      <w:sz w:val="20"/>
      <w:szCs w:val="20"/>
      <w:lang w:val="de-DE" w:eastAsia="de-DE"/>
    </w:rPr>
  </w:style>
  <w:style w:type="paragraph" w:styleId="1061">
    <w:name w:val="font5"/>
    <w:basedOn w:val="951"/>
    <w:next w:val="1061"/>
    <w:link w:val="951"/>
    <w:pPr>
      <w:jc w:val="left"/>
      <w:spacing w:before="100" w:beforeAutospacing="1" w:after="100" w:afterAutospacing="1"/>
      <w:widowControl/>
    </w:pPr>
    <w:rPr>
      <w:rFonts w:hint="eastAsia" w:ascii="宋体" w:hAnsi="宋体"/>
      <w:sz w:val="28"/>
      <w:szCs w:val="28"/>
    </w:rPr>
  </w:style>
  <w:style w:type="paragraph" w:styleId="1062">
    <w:name w:val="标题1"/>
    <w:basedOn w:val="951"/>
    <w:next w:val="951"/>
    <w:link w:val="95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3">
    <w:name w:val="修订"/>
    <w:next w:val="1063"/>
    <w:link w:val="951"/>
    <w:uiPriority w:val="99"/>
    <w:semiHidden/>
    <w:rPr>
      <w:rFonts w:ascii="Times New Roman" w:hAnsi="Times New Roman"/>
      <w:sz w:val="21"/>
      <w:szCs w:val="21"/>
      <w:lang w:val="en-US" w:eastAsia="zh-CN" w:bidi="ar-SA"/>
    </w:rPr>
  </w:style>
  <w:style w:type="paragraph" w:styleId="1064">
    <w:name w:val="无间隔"/>
    <w:next w:val="1064"/>
    <w:link w:val="951"/>
    <w:uiPriority w:val="99"/>
    <w:qFormat/>
    <w:pPr>
      <w:jc w:val="both"/>
      <w:widowControl w:val="off"/>
    </w:pPr>
    <w:rPr>
      <w:rFonts w:ascii="Times New Roman" w:hAnsi="Times New Roman"/>
      <w:sz w:val="21"/>
      <w:szCs w:val="21"/>
      <w:lang w:val="en-US" w:eastAsia="zh-CN" w:bidi="ar-SA"/>
    </w:rPr>
  </w:style>
  <w:style w:type="paragraph" w:styleId="1065">
    <w:name w:val="正文文本1"/>
    <w:basedOn w:val="951"/>
    <w:next w:val="1065"/>
    <w:link w:val="951"/>
    <w:qFormat/>
    <w:rPr>
      <w:rFonts w:ascii="楷体_GB2312" w:hAnsi="Arial" w:eastAsia="楷体_GB2312"/>
      <w:sz w:val="28"/>
      <w:szCs w:val="28"/>
    </w:rPr>
  </w:style>
  <w:style w:type="paragraph" w:styleId="1066">
    <w:name w:val="纯文本1"/>
    <w:basedOn w:val="951"/>
    <w:next w:val="1066"/>
    <w:link w:val="951"/>
    <w:qFormat/>
    <w:rPr>
      <w:rFonts w:ascii="宋体" w:hAnsi="Courier New" w:cs="Courier New"/>
    </w:rPr>
  </w:style>
  <w:style w:type="character" w:styleId="1067" w:default="1">
    <w:name w:val="Default Paragraph Font"/>
    <w:uiPriority w:val="1"/>
    <w:semiHidden/>
    <w:unhideWhenUsed/>
  </w:style>
  <w:style w:type="numbering" w:styleId="1068" w:default="1">
    <w:name w:val="No List"/>
    <w:uiPriority w:val="99"/>
    <w:semiHidden/>
    <w:unhideWhenUsed/>
  </w:style>
  <w:style w:type="table" w:styleId="10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9</cp:revision>
  <dcterms:created xsi:type="dcterms:W3CDTF">2023-03-16T02:16:00Z</dcterms:created>
  <dcterms:modified xsi:type="dcterms:W3CDTF">2026-08-04T06:13:26Z</dcterms:modified>
</cp:coreProperties>
</file>