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right"/>
        <w:pageBreakBefore w:val="0"/>
        <w:spacing w:line="560" w:lineRule="exact"/>
        <w:tabs>
          <w:tab w:val="left" w:pos="390" w:leader="none"/>
          <w:tab w:val="center" w:pos="4404"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1645920" cy="164592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1"/>
                        <a:stretch/>
                      </pic:blipFill>
                      <pic:spPr bwMode="auto">
                        <a:xfrm>
                          <a:off x="0" y="0"/>
                          <a:ext cx="1645920" cy="1645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9.6pt;height:129.6pt;mso-wrap-distance-left:0.0pt;mso-wrap-distance-top:0.0pt;mso-wrap-distance-right:0.0pt;mso-wrap-distance-bottom:0.0pt;" stroked="f">
                <v:path textboxrect="0,0,0,0"/>
                <v:imagedata r:id="rId11" o:title=""/>
              </v:shape>
            </w:pict>
          </mc:Fallback>
        </mc:AlternateContent>
      </w:r>
      <w:r/>
    </w:p>
    <w:p>
      <w:pPr>
        <w:ind w:firstLine="0"/>
        <w:jc w:val="center"/>
        <w:pageBreakBefore w:val="0"/>
        <w:spacing w:line="560" w:lineRule="exact"/>
        <w:tabs>
          <w:tab w:val="left" w:pos="390" w:leader="none"/>
          <w:tab w:val="center" w:pos="4404" w:leader="none"/>
        </w:tabs>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r>
      <w:r/>
    </w:p>
    <w:p>
      <w:pPr>
        <w:ind w:firstLine="0"/>
        <w:jc w:val="center"/>
        <w:pageBreakBefore w:val="0"/>
        <w:spacing w:line="560" w:lineRule="exact"/>
        <w:tabs>
          <w:tab w:val="left" w:pos="390" w:leader="none"/>
          <w:tab w:val="center" w:pos="4404" w:leader="none"/>
        </w:tabs>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r>
      <w:r/>
    </w:p>
    <w:p>
      <w:pPr>
        <w:ind w:firstLine="0"/>
        <w:jc w:val="center"/>
        <w:pageBreakBefore w:val="0"/>
        <w:spacing w:line="560" w:lineRule="exact"/>
        <w:tabs>
          <w:tab w:val="left" w:pos="390" w:leader="none"/>
          <w:tab w:val="center" w:pos="4404" w:leader="none"/>
        </w:tabs>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r>
      <w:r/>
    </w:p>
    <w:p>
      <w:pPr>
        <w:ind w:firstLine="0"/>
        <w:jc w:val="center"/>
        <w:pageBreakBefore w:val="0"/>
        <w:spacing w:line="560" w:lineRule="exact"/>
        <w:tabs>
          <w:tab w:val="left" w:pos="390" w:leader="none"/>
          <w:tab w:val="center" w:pos="4404" w:leader="none"/>
        </w:tabs>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r>
      <w:r/>
    </w:p>
    <w:p>
      <w:pPr>
        <w:ind w:firstLine="0"/>
        <w:jc w:val="center"/>
        <w:pageBreakBefore w:val="0"/>
        <w:spacing w:line="560" w:lineRule="exact"/>
        <w:tabs>
          <w:tab w:val="left" w:pos="390" w:leader="none"/>
          <w:tab w:val="center" w:pos="4404" w:leader="none"/>
        </w:tabs>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t xml:space="preserve">南京市博物总馆食堂食材采购及配送</w:t>
      </w:r>
      <w:r/>
    </w:p>
    <w:p>
      <w:pPr>
        <w:ind w:firstLine="0"/>
        <w:jc w:val="center"/>
        <w:pageBreakBefore w:val="0"/>
        <w:spacing w:line="560" w:lineRule="exact"/>
        <w:tabs>
          <w:tab w:val="left" w:pos="390" w:leader="none"/>
          <w:tab w:val="center" w:pos="4404" w:leader="none"/>
        </w:tabs>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t xml:space="preserve">公开招标文件</w:t>
      </w:r>
      <w:r/>
    </w:p>
    <w:p>
      <w:pPr>
        <w:ind w:firstLine="0"/>
        <w:jc w:val="center"/>
        <w:pageBreakBefore w:val="0"/>
        <w:spacing w:line="560" w:lineRule="exact"/>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r>
      <w:r/>
    </w:p>
    <w:p>
      <w:pPr>
        <w:ind w:firstLine="0"/>
        <w:jc w:val="center"/>
        <w:pageBreakBefore w:val="0"/>
        <w:spacing w:line="560" w:lineRule="exact"/>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r>
      <w:r/>
    </w:p>
    <w:p>
      <w:pPr>
        <w:ind w:firstLine="0"/>
        <w:jc w:val="center"/>
        <w:pageBreakBefore w:val="0"/>
        <w:spacing w:line="560" w:lineRule="exact"/>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r>
      <w:r/>
    </w:p>
    <w:p>
      <w:pPr>
        <w:ind w:firstLine="0"/>
        <w:jc w:val="center"/>
        <w:pageBreakBefore w:val="0"/>
        <w:spacing w:line="560" w:lineRule="exact"/>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r>
      <w:r/>
    </w:p>
    <w:p>
      <w:pPr>
        <w:ind w:firstLine="0"/>
        <w:jc w:val="center"/>
        <w:pageBreakBefore w:val="0"/>
        <w:spacing w:line="560" w:lineRule="exact"/>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r>
      <w:r/>
    </w:p>
    <w:p>
      <w:pPr>
        <w:ind w:firstLine="0"/>
        <w:jc w:val="center"/>
        <w:pageBreakBefore w:val="0"/>
        <w:spacing w:line="560" w:lineRule="exact"/>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lang w:eastAsia="zh-CN"/>
        </w:rPr>
        <w:t xml:space="preserve">项目编号：</w:t>
      </w:r>
      <w:r>
        <w:rPr>
          <w:rFonts w:hint="eastAsia" w:ascii="宋体" w:hAnsi="宋体" w:cs="宋体"/>
          <w:b/>
          <w:color w:val="auto"/>
          <w:sz w:val="48"/>
          <w:szCs w:val="48"/>
          <w:highlight w:val="none"/>
          <w:lang w:eastAsia="zh-CN"/>
        </w:rPr>
        <w:t xml:space="preserve">JSZC-320100-YDZB-G2026-0014</w:t>
      </w:r>
      <w:r/>
    </w:p>
    <w:p>
      <w:pPr>
        <w:ind w:firstLine="0"/>
        <w:jc w:val="center"/>
        <w:pageBreakBefore w:val="0"/>
        <w:spacing w:line="560" w:lineRule="exact"/>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r>
      <w:r/>
    </w:p>
    <w:p>
      <w:pPr>
        <w:ind w:firstLine="0"/>
        <w:jc w:val="center"/>
        <w:pageBreakBefore w:val="0"/>
        <w:spacing w:line="560" w:lineRule="exact"/>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r>
      <w:r/>
    </w:p>
    <w:p>
      <w:pPr>
        <w:ind w:firstLine="0"/>
        <w:jc w:val="center"/>
        <w:pageBreakBefore w:val="0"/>
        <w:spacing w:line="560" w:lineRule="exact"/>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r>
      <w:r/>
    </w:p>
    <w:p>
      <w:pPr>
        <w:ind w:firstLine="0"/>
        <w:jc w:val="center"/>
        <w:pageBreakBefore w:val="0"/>
        <w:spacing w:line="560" w:lineRule="exact"/>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r>
      <w:r/>
    </w:p>
    <w:p>
      <w:pPr>
        <w:ind w:firstLine="0"/>
        <w:jc w:val="center"/>
        <w:pageBreakBefore w:val="0"/>
        <w:spacing w:line="560" w:lineRule="exact"/>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r>
      <w:r/>
    </w:p>
    <w:p>
      <w:pPr>
        <w:ind w:firstLine="0"/>
        <w:jc w:val="center"/>
        <w:pageBreakBefore w:val="0"/>
        <w:spacing w:line="560" w:lineRule="exact"/>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t xml:space="preserve">江苏有点招标代理有限公司</w:t>
      </w:r>
      <w:r/>
    </w:p>
    <w:p>
      <w:pPr>
        <w:ind w:firstLine="0"/>
        <w:pageBreakBefore w:val="0"/>
        <w:spacing w:line="560" w:lineRule="exact"/>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r>
      <w:r/>
    </w:p>
    <w:p>
      <w:pPr>
        <w:ind w:firstLine="0"/>
        <w:jc w:val="center"/>
        <w:pageBreakBefore w:val="0"/>
        <w:spacing w:line="560" w:lineRule="exact"/>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t xml:space="preserve">二〇二六年</w:t>
      </w:r>
      <w:r>
        <w:rPr>
          <w:rFonts w:hint="eastAsia" w:ascii="宋体" w:hAnsi="宋体" w:cs="宋体"/>
          <w:b/>
          <w:color w:val="auto"/>
          <w:sz w:val="48"/>
          <w:szCs w:val="48"/>
          <w:highlight w:val="none"/>
          <w:lang w:val="en-US" w:eastAsia="zh-CN"/>
        </w:rPr>
        <w:t xml:space="preserve">七</w:t>
      </w:r>
      <w:r>
        <w:rPr>
          <w:rFonts w:hint="eastAsia" w:ascii="宋体" w:hAnsi="宋体" w:eastAsia="宋体" w:cs="宋体"/>
          <w:b/>
          <w:color w:val="auto"/>
          <w:sz w:val="48"/>
          <w:szCs w:val="48"/>
          <w:highlight w:val="none"/>
        </w:rPr>
        <w:t xml:space="preserve">月</w:t>
      </w:r>
      <w:r/>
    </w:p>
    <w:p>
      <w:pPr>
        <w:pStyle w:val="864"/>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left"/>
        <w:pageBreakBefore w:val="0"/>
        <w:spacing w:line="560" w:lineRule="exact"/>
        <w:tabs>
          <w:tab w:val="center" w:pos="4153" w:leader="none"/>
          <w:tab w:val="left" w:pos="591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ind w:firstLine="0"/>
        <w:jc w:val="center"/>
        <w:pageBreakBefore w:val="0"/>
        <w:spacing w:line="560" w:lineRule="exact"/>
        <w:tabs>
          <w:tab w:val="center" w:pos="4153" w:leader="none"/>
          <w:tab w:val="left" w:pos="591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目  录</w:t>
      </w:r>
      <w:r/>
    </w:p>
    <w:p>
      <w:pPr>
        <w:pStyle w:val="875"/>
        <w:ind w:firstLine="0"/>
        <w:pageBreakBefore w:val="0"/>
        <w:spacing w:line="560" w:lineRule="exact"/>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TOC \o "1-3" \h \z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"_Toc8147"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第一章  公开招标邀请</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_Toc8147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875"/>
        <w:ind w:firstLine="0"/>
        <w:pageBreakBefore w:val="0"/>
        <w:spacing w:line="560" w:lineRule="exact"/>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"_Toc15285"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第二章  投标人须知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_Toc15285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875"/>
        <w:ind w:firstLine="0"/>
        <w:pageBreakBefore w:val="0"/>
        <w:spacing w:line="560" w:lineRule="exact"/>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"_Toc16318"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第三章  评审标准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_Toc16318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875"/>
        <w:ind w:firstLine="0"/>
        <w:pageBreakBefore w:val="0"/>
        <w:spacing w:line="560" w:lineRule="exact"/>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"_Toc329"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第四章  招标项目的服务要求和数量等</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_Toc329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875"/>
        <w:ind w:firstLine="0"/>
        <w:pageBreakBefore w:val="0"/>
        <w:spacing w:line="560" w:lineRule="exact"/>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"_Toc5536"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第五章  合同主要条款及格式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_Toc5536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56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875"/>
        <w:ind w:firstLine="0"/>
        <w:pageBreakBefore w:val="0"/>
        <w:spacing w:line="560" w:lineRule="exact"/>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"_Toc18402"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第六章  附件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_Toc18402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62</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ind w:firstLine="0"/>
        <w:pageBreakBefore w:val="0"/>
        <w:spacing w:line="560" w:lineRule="exact"/>
        <w:rPr>
          <w:rStyle w:val="89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end"/>
      </w:r>
      <w:r/>
    </w:p>
    <w:p>
      <w:pPr>
        <w:ind w:firstLine="0"/>
        <w:pageBreakBefore w:val="0"/>
        <w:spacing w:line="560" w:lineRule="exact"/>
        <w:rPr>
          <w:rStyle w:val="89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pageBreakBefore w:val="0"/>
        <w:spacing w:line="560" w:lineRule="exact"/>
        <w:rPr>
          <w:rStyle w:val="89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pageBreakBefore w:val="0"/>
        <w:spacing w:line="560" w:lineRule="exact"/>
        <w:rPr>
          <w:rStyle w:val="89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pageBreakBefore w:val="0"/>
        <w:spacing w:line="560" w:lineRule="exact"/>
        <w:rPr>
          <w:rStyle w:val="89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pageBreakBefore w:val="0"/>
        <w:spacing w:line="560" w:lineRule="exact"/>
        <w:rPr>
          <w:rStyle w:val="893"/>
          <w:rFonts w:hint="eastAsia" w:ascii="宋体" w:hAnsi="宋体" w:eastAsia="宋体" w:cs="宋体"/>
          <w:color w:val="auto"/>
          <w:sz w:val="24"/>
          <w:szCs w:val="24"/>
          <w:highlight w:val="non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sz w:val="24"/>
          <w:szCs w:val="24"/>
          <w:highlight w:val="none"/>
        </w:rPr>
      </w:r>
      <w:r/>
    </w:p>
    <w:p>
      <w:pPr>
        <w:pStyle w:val="846"/>
        <w:ind w:firstLine="0"/>
        <w:jc w:val="center"/>
        <w:pageBreakBefore w:val="0"/>
        <w:spacing w:line="560" w:lineRule="exact"/>
        <w:rPr>
          <w:rFonts w:hint="eastAsia" w:ascii="宋体" w:hAnsi="宋体" w:eastAsia="宋体" w:cs="宋体"/>
          <w:color w:val="auto"/>
          <w:sz w:val="24"/>
          <w:szCs w:val="24"/>
          <w:highlight w:val="none"/>
        </w:rPr>
      </w:pPr>
      <w:r/>
      <w:bookmarkStart w:id="0" w:name="_Toc123027834"/>
      <w:r/>
      <w:bookmarkStart w:id="1" w:name="_Toc8147"/>
      <w:r>
        <w:rPr>
          <w:rFonts w:hint="eastAsia" w:ascii="宋体" w:hAnsi="宋体" w:eastAsia="宋体" w:cs="宋体"/>
          <w:color w:val="auto"/>
          <w:sz w:val="24"/>
          <w:szCs w:val="24"/>
          <w:highlight w:val="none"/>
        </w:rPr>
        <w:t xml:space="preserve">第一章  公开招标邀请</w:t>
      </w:r>
      <w:bookmarkEnd w:id="0"/>
      <w:r/>
      <w:bookmarkEnd w:id="1"/>
      <w:r/>
      <w:r/>
    </w:p>
    <w:p>
      <w:pPr>
        <w:ind w:firstLine="0"/>
        <w:pageBreakBefore w:val="0"/>
        <w:spacing w:line="560" w:lineRule="exact"/>
        <w:rPr>
          <w:rFonts w:hint="eastAsia" w:ascii="宋体" w:hAnsi="宋体" w:eastAsia="宋体" w:cs="宋体"/>
          <w:b/>
          <w:bCs/>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auto"/>
          <w:sz w:val="24"/>
          <w:szCs w:val="24"/>
          <w:highlight w:val="none"/>
        </w:rPr>
        <w:t xml:space="preserve">项目概况</w:t>
      </w:r>
      <w:r/>
    </w:p>
    <w:p>
      <w:pPr>
        <w:ind w:firstLine="0"/>
        <w:pageBreakBefore w:val="0"/>
        <w:spacing w:line="560" w:lineRule="exact"/>
        <w:rPr>
          <w:rFonts w:hint="eastAsia" w:ascii="宋体" w:hAnsi="宋体" w:eastAsia="宋体" w:cs="宋体"/>
          <w:bCs/>
          <w:color w:val="auto"/>
          <w:sz w:val="24"/>
          <w:szCs w:val="24"/>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rPr>
        <w:t xml:space="preserve">南京市博物总馆食堂食材采购及配送</w:t>
      </w:r>
      <w:r>
        <w:rPr>
          <w:rFonts w:hint="eastAsia" w:ascii="宋体" w:hAnsi="宋体" w:eastAsia="宋体" w:cs="宋体"/>
          <w:color w:val="auto"/>
          <w:sz w:val="24"/>
          <w:szCs w:val="24"/>
          <w:highlight w:val="none"/>
        </w:rPr>
        <w:t xml:space="preserve">的潜在投标人应在</w:t>
      </w:r>
      <w:r>
        <w:rPr>
          <w:rFonts w:hint="eastAsia" w:ascii="宋体" w:hAnsi="宋体" w:eastAsia="宋体" w:cs="宋体"/>
          <w:color w:val="auto"/>
          <w:sz w:val="24"/>
          <w:szCs w:val="24"/>
          <w:highlight w:val="none"/>
          <w:u w:val="single"/>
        </w:rPr>
        <w:t xml:space="preserve">江苏政府采购网“苏采云”系统</w:t>
      </w:r>
      <w:r>
        <w:rPr>
          <w:rFonts w:hint="eastAsia" w:ascii="宋体" w:hAnsi="宋体" w:eastAsia="宋体" w:cs="宋体"/>
          <w:color w:val="auto"/>
          <w:sz w:val="24"/>
          <w:szCs w:val="24"/>
          <w:highlight w:val="none"/>
        </w:rPr>
        <w:t xml:space="preserve">获取招标文件，并于</w:t>
      </w:r>
      <w:r>
        <w:rPr>
          <w:rFonts w:hint="eastAsia" w:ascii="宋体" w:hAnsi="宋体" w:eastAsia="宋体" w:cs="宋体"/>
          <w:color w:val="auto"/>
          <w:sz w:val="24"/>
          <w:szCs w:val="24"/>
          <w:highlight w:val="none"/>
          <w:u w:val="single"/>
        </w:rPr>
        <w:t xml:space="preserve">2026年</w:t>
      </w:r>
      <w:r>
        <w:rPr>
          <w:rFonts w:hint="eastAsia" w:ascii="宋体" w:hAnsi="宋体" w:eastAsia="宋体" w:cs="宋体"/>
          <w:color w:val="auto"/>
          <w:sz w:val="24"/>
          <w:szCs w:val="24"/>
          <w:highlight w:val="none"/>
          <w:u w:val="single"/>
          <w:lang w:val="en-US" w:eastAsia="zh-CN"/>
        </w:rPr>
        <w:t xml:space="preserve">0</w:t>
      </w:r>
      <w:r>
        <w:rPr>
          <w:rFonts w:hint="eastAsia" w:ascii="宋体" w:hAnsi="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03</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点</w:t>
      </w:r>
      <w:r>
        <w:rPr>
          <w:rFonts w:hint="eastAsia" w:ascii="宋体" w:hAnsi="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hint="eastAsia" w:ascii="宋体" w:hAnsi="宋体" w:eastAsia="宋体" w:cs="宋体"/>
          <w:bCs/>
          <w:color w:val="auto"/>
          <w:sz w:val="24"/>
          <w:szCs w:val="24"/>
          <w:highlight w:val="none"/>
          <w:u w:val="single"/>
        </w:rPr>
        <w:t xml:space="preserve">（北京时间）</w:t>
      </w:r>
      <w:r>
        <w:rPr>
          <w:rFonts w:hint="eastAsia" w:ascii="宋体" w:hAnsi="宋体" w:eastAsia="宋体" w:cs="宋体"/>
          <w:bCs/>
          <w:color w:val="auto"/>
          <w:sz w:val="24"/>
          <w:szCs w:val="24"/>
          <w:highlight w:val="none"/>
        </w:rPr>
        <w:t xml:space="preserve">前提交电子投标文件</w:t>
      </w:r>
      <w:r>
        <w:rPr>
          <w:rFonts w:hint="eastAsia" w:ascii="宋体" w:hAnsi="宋体" w:eastAsia="宋体" w:cs="宋体"/>
          <w:color w:val="auto"/>
          <w:sz w:val="24"/>
          <w:szCs w:val="24"/>
          <w:highlight w:val="none"/>
        </w:rPr>
        <w:t xml:space="preserve">。</w:t>
      </w:r>
      <w:r/>
    </w:p>
    <w:p>
      <w:pPr>
        <w:ind w:firstLine="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一、项目基本情况</w:t>
      </w:r>
      <w:bookmarkStart w:id="81" w:name="_GoBack"/>
      <w:r/>
      <w:bookmarkEnd w:id="81"/>
      <w:r/>
      <w:r/>
    </w:p>
    <w:p>
      <w:pPr>
        <w:ind w:firstLine="0"/>
        <w:keepLines w:val="0"/>
        <w:keepNext w:val="0"/>
        <w:pageBreakBefore w:val="0"/>
        <w:spacing w:line="5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val="zh-CN"/>
        </w:rPr>
        <w:t xml:space="preserve">JSZC-320100-YDZB-G2026-0014</w:t>
      </w:r>
      <w:r/>
    </w:p>
    <w:p>
      <w:pPr>
        <w:ind w:firstLine="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2、项目名称：南京市博物总馆食堂食材采购及配送 </w:t>
      </w:r>
      <w:r/>
    </w:p>
    <w:p>
      <w:pPr>
        <w:ind w:firstLine="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3、招标方式：公开招标</w:t>
      </w:r>
      <w:r/>
    </w:p>
    <w:p>
      <w:pPr>
        <w:ind w:firstLine="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4、预算金额：</w:t>
      </w:r>
      <w:r>
        <w:rPr>
          <w:rFonts w:hint="eastAsia" w:ascii="宋体" w:hAnsi="宋体" w:eastAsia="宋体" w:cs="宋体"/>
          <w:color w:val="auto"/>
          <w:sz w:val="24"/>
          <w:szCs w:val="24"/>
          <w:highlight w:val="none"/>
          <w:lang w:val="en-US" w:eastAsia="zh-CN"/>
        </w:rPr>
        <w:t xml:space="preserve">180</w:t>
      </w:r>
      <w:r>
        <w:rPr>
          <w:rFonts w:hint="eastAsia" w:ascii="宋体" w:hAnsi="宋体" w:eastAsia="宋体" w:cs="宋体"/>
          <w:color w:val="auto"/>
          <w:sz w:val="24"/>
          <w:szCs w:val="24"/>
          <w:highlight w:val="none"/>
        </w:rPr>
        <w:t xml:space="preserve">万元</w:t>
      </w:r>
      <w:r/>
    </w:p>
    <w:p>
      <w:pPr>
        <w:ind w:firstLine="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5、最高限价：</w:t>
      </w:r>
      <w:r>
        <w:rPr>
          <w:rFonts w:hint="eastAsia" w:ascii="宋体" w:hAnsi="宋体" w:eastAsia="宋体" w:cs="宋体"/>
          <w:color w:val="auto"/>
          <w:sz w:val="24"/>
          <w:szCs w:val="24"/>
          <w:highlight w:val="none"/>
          <w:lang w:val="en-US" w:eastAsia="zh-CN"/>
        </w:rPr>
        <w:t xml:space="preserve">180</w:t>
      </w:r>
      <w:r>
        <w:rPr>
          <w:rFonts w:hint="eastAsia" w:ascii="宋体" w:hAnsi="宋体" w:eastAsia="宋体" w:cs="宋体"/>
          <w:color w:val="auto"/>
          <w:sz w:val="24"/>
          <w:szCs w:val="24"/>
          <w:highlight w:val="none"/>
        </w:rPr>
        <w:t xml:space="preserve">万元，报价超过最高限价的作无效投标处理。</w:t>
      </w:r>
      <w:r/>
    </w:p>
    <w:p>
      <w:pPr>
        <w:ind w:firstLine="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招标需求：南京市博物总馆食堂食材采购（包括但不限于：鲜猪肉、牛肉、羊肉、水产、鸡蛋、禽类、蔬菜、水果、调味品、米、面、油、杂粮、干货、奶制品、豆制品、面制品）及配送，满足用餐要求，食材质量符合国家质量标准、规范要求。预算金额为年度预估采购额度，具体以实际采购量为准。</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rPr>
        <w:t xml:space="preserve">本项目采用下浮率投标报价，供应商应考虑经济增长物价上涨及自身成本报价，确定下浮幅度。投标下浮比例定义：以最新食品市场价单价（基准价以南京市发展和改革委员会“http://fgw.nanjing.gov.cn/”公布的上一周“南京市部分农贸市场蔬菜周平均价格水平”为准,未公布的食材价格，如同期同品种结合</w:t>
      </w:r>
      <w:r>
        <w:rPr>
          <w:rFonts w:hint="eastAsia" w:ascii="宋体" w:hAnsi="宋体" w:eastAsia="宋体" w:cs="宋体"/>
          <w:color w:val="auto"/>
          <w:sz w:val="24"/>
          <w:szCs w:val="24"/>
          <w:highlight w:val="none"/>
          <w:u w:val="single"/>
        </w:rPr>
        <w:t xml:space="preserve">大润发超市</w:t>
      </w:r>
      <w:r>
        <w:rPr>
          <w:rFonts w:hint="eastAsia" w:ascii="宋体" w:hAnsi="宋体" w:eastAsia="宋体" w:cs="宋体"/>
          <w:color w:val="auto"/>
          <w:sz w:val="24"/>
          <w:szCs w:val="24"/>
          <w:highlight w:val="none"/>
        </w:rPr>
        <w:t xml:space="preserve">售价，报采购人审核后的价格作为下周的基准价）,结合供应商对物价水平的预期，综合考虑本次采购所有物品食品的物价变动而作出的报价浮动比例，而成交供应商所报的投标下浮比例将作为采购人在采购期间购买货物的款项计算依据，投标下浮比例为综合考虑所有品目后的唯一下浮费率。</w:t>
      </w:r>
      <w:r/>
    </w:p>
    <w:p>
      <w:pPr>
        <w:ind w:firstLine="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7、合同履行期限：合同签订之日起一年。</w:t>
      </w:r>
      <w:r/>
    </w:p>
    <w:p>
      <w:pPr>
        <w:ind w:firstLine="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8、本项目是否专门面向中小企业采购项目：否。</w:t>
      </w:r>
      <w:r/>
    </w:p>
    <w:p>
      <w:pPr>
        <w:ind w:firstLine="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9、本项目不接受联合体投标。</w:t>
      </w:r>
      <w:r/>
    </w:p>
    <w:p>
      <w:pPr>
        <w:ind w:firstLine="0"/>
        <w:pageBreakBefore w:val="0"/>
        <w:spacing w:line="560" w:lineRule="exac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 xml:space="preserve">二、申请人资格条件</w:t>
      </w:r>
      <w:r/>
    </w:p>
    <w:p>
      <w:pPr>
        <w:ind w:firstLine="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1、满足《中华人民共和国政府采购法》第二十二条规定：</w:t>
      </w:r>
      <w:r/>
    </w:p>
    <w:p>
      <w:pPr>
        <w:ind w:firstLine="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（1）具有独立承担民事责任的能力（提供法人或者其他组织的营业执照，自然人的身份证）；</w:t>
      </w:r>
      <w:r/>
    </w:p>
    <w:p>
      <w:pPr>
        <w:ind w:firstLine="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（2）具有良好的商业信誉和健全的财务会计制度（提供</w:t>
      </w:r>
      <w:r>
        <w:rPr>
          <w:rFonts w:hint="eastAsia" w:ascii="宋体" w:hAnsi="宋体" w:eastAsia="宋体" w:cs="宋体"/>
          <w:color w:val="auto"/>
          <w:sz w:val="24"/>
          <w:szCs w:val="24"/>
          <w:highlight w:val="none"/>
          <w:lang w:val="en-US" w:eastAsia="zh-CN"/>
        </w:rPr>
        <w:t xml:space="preserve">上一年</w:t>
      </w:r>
      <w:r>
        <w:rPr>
          <w:rFonts w:hint="eastAsia" w:ascii="宋体" w:hAnsi="宋体" w:eastAsia="宋体" w:cs="宋体"/>
          <w:color w:val="auto"/>
          <w:sz w:val="24"/>
          <w:szCs w:val="24"/>
          <w:highlight w:val="none"/>
        </w:rPr>
        <w:t xml:space="preserve">度的财务审计报告，财务审计报告复印件并加盖公章，财务审计报告应至少包括资产负债表、利润表、现金流量表、所有者权益变动表及其附注）；</w:t>
      </w:r>
      <w:r/>
    </w:p>
    <w:p>
      <w:pPr>
        <w:ind w:firstLine="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（3）具有履行合同所必需的设备和专业技术能力（根据项目需求提供履行合同所必需的设备和专业技术能力的声明及证明材料）；</w:t>
      </w:r>
      <w:r/>
    </w:p>
    <w:p>
      <w:pPr>
        <w:ind w:firstLine="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（4）有依法缴纳税收和社会保障资金的良好记录（提供参加本次采购活动近六个月内（至少一个月）依法缴纳税收和社会保障资金的相关材料）；</w:t>
      </w:r>
      <w:r/>
    </w:p>
    <w:p>
      <w:pPr>
        <w:ind w:firstLine="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（5）参加政府采购活动前三年内，在经营活动中没有重大违法记录（提供参加本次政府采购活动前3年内在经营活动中没有重大违法记录的书面声明）；</w:t>
      </w:r>
      <w:r/>
    </w:p>
    <w:p>
      <w:pPr>
        <w:ind w:firstLine="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firstLine="0"/>
        <w:pageBreakBefore w:val="0"/>
        <w:spacing w:line="5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2、本项目特定资格要求：</w:t>
      </w:r>
      <w:r/>
    </w:p>
    <w:p>
      <w:pPr>
        <w:pStyle w:val="883"/>
        <w:numPr>
          <w:ilvl w:val="0"/>
          <w:numId w:val="4"/>
        </w:numPr>
        <w:ind w:firstLine="0"/>
        <w:keepLines w:val="0"/>
        <w:keepNext w:val="0"/>
        <w:pageBreakBefore w:val="0"/>
        <w:spacing w:before="80" w:beforeAutospacing="0" w:after="8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供应商具有有效期内的《食品生产许可证》或《食品经营许可证》，</w:t>
      </w:r>
      <w:r>
        <w:rPr>
          <w:rFonts w:hint="eastAsia" w:ascii="宋体" w:hAnsi="宋体" w:eastAsia="宋体" w:cs="宋体"/>
          <w:b/>
          <w:bCs/>
          <w:color w:val="auto"/>
          <w:highlight w:val="none"/>
          <w:lang w:val="en-US" w:eastAsia="zh-CN"/>
        </w:rPr>
        <w:t xml:space="preserve">上传证书至投标系统，加盖公章或电子签章</w:t>
      </w:r>
      <w:r>
        <w:rPr>
          <w:rFonts w:hint="eastAsia" w:ascii="宋体" w:hAnsi="宋体" w:eastAsia="宋体" w:cs="宋体"/>
          <w:b/>
          <w:bCs/>
          <w:color w:val="auto"/>
          <w:highlight w:val="none"/>
        </w:rPr>
        <w:t xml:space="preserve">。</w:t>
      </w:r>
      <w:r/>
    </w:p>
    <w:p>
      <w:pPr>
        <w:pStyle w:val="883"/>
        <w:numPr>
          <w:ilvl w:val="0"/>
          <w:numId w:val="4"/>
        </w:numPr>
        <w:ind w:firstLine="0"/>
        <w:keepLines w:val="0"/>
        <w:keepNext w:val="0"/>
        <w:pageBreakBefore w:val="0"/>
        <w:spacing w:before="80" w:beforeAutospacing="0" w:after="80" w:afterAutospacing="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highlight w:val="none"/>
          <w:lang w:val="en-US" w:eastAsia="zh-CN"/>
        </w:rPr>
        <w:t xml:space="preserve">供应商提供2个业绩：自2023年06月01日以来（以合同签订日期为准），具有类似项目合同业绩的，上传合同至投标系统，加盖公章或电子签章</w:t>
      </w:r>
      <w:r>
        <w:rPr>
          <w:rFonts w:hint="eastAsia" w:ascii="宋体" w:hAnsi="宋体" w:eastAsia="宋体" w:cs="宋体"/>
          <w:b/>
          <w:bCs/>
          <w:color w:val="auto"/>
          <w:highlight w:val="none"/>
        </w:rPr>
        <w:t xml:space="preserve">。</w:t>
      </w:r>
      <w:r/>
    </w:p>
    <w:p>
      <w:pPr>
        <w:pStyle w:val="883"/>
        <w:ind w:firstLine="0"/>
        <w:keepLines w:val="0"/>
        <w:keepNext w:val="0"/>
        <w:pageBreakBefore w:val="0"/>
        <w:spacing w:before="80" w:beforeAutospacing="0" w:after="8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拒绝下述供应商参加本次采购活动：</w:t>
      </w:r>
      <w:r/>
    </w:p>
    <w:p>
      <w:pPr>
        <w:pStyle w:val="883"/>
        <w:ind w:firstLine="0"/>
        <w:keepLines w:val="0"/>
        <w:keepNext w:val="0"/>
        <w:pageBreakBefore w:val="0"/>
        <w:spacing w:before="80" w:beforeAutospacing="0" w:after="8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（1）供应商单位负责人为同一人或者存在直接控股、管理关系的不同供应商，不得参加本项目的采购活动；</w:t>
      </w:r>
      <w:r/>
    </w:p>
    <w:p>
      <w:pPr>
        <w:pStyle w:val="883"/>
        <w:ind w:firstLine="0"/>
        <w:keepLines w:val="0"/>
        <w:keepNext w:val="0"/>
        <w:pageBreakBefore w:val="0"/>
        <w:spacing w:before="80" w:beforeAutospacing="0" w:after="8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）供应商被“信用中国”网站（www.creditchina.gov.cn）、“中国政府采购网”（www.ccgp.gov.cn）列入失信被执行人、重大税收违法案件当事人名单、政府采购严重违法失信行为记录名单。</w:t>
      </w:r>
      <w:r/>
    </w:p>
    <w:p>
      <w:pPr>
        <w:ind w:firstLine="0"/>
        <w:keepLines w:val="0"/>
        <w:keepNext w:val="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、落实政府采购政策需满足的资格要求：</w:t>
      </w:r>
      <w:r>
        <w:rPr>
          <w:rFonts w:hint="eastAsia" w:ascii="宋体" w:hAnsi="宋体" w:eastAsia="宋体" w:cs="宋体"/>
          <w:b w:val="0"/>
          <w:bCs w:val="0"/>
          <w:color w:val="auto"/>
          <w:sz w:val="24"/>
          <w:szCs w:val="24"/>
          <w:highlight w:val="none"/>
          <w:lang w:val="en-US" w:eastAsia="zh-CN"/>
        </w:rPr>
        <w:t xml:space="preserve">无</w:t>
      </w:r>
      <w:r/>
    </w:p>
    <w:p>
      <w:pPr>
        <w:ind w:firstLine="0"/>
        <w:pageBreakBefore w:val="0"/>
        <w:spacing w:line="560" w:lineRule="exac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 xml:space="preserve">三、</w:t>
      </w:r>
      <w:r>
        <w:rPr>
          <w:rFonts w:hint="eastAsia" w:ascii="宋体" w:hAnsi="宋体" w:eastAsia="宋体" w:cs="宋体"/>
          <w:b/>
          <w:color w:val="auto"/>
          <w:sz w:val="24"/>
          <w:szCs w:val="24"/>
          <w:highlight w:val="none"/>
          <w:lang w:val="zh-CN"/>
        </w:rPr>
        <w:t xml:space="preserve">获取</w:t>
      </w:r>
      <w:r>
        <w:rPr>
          <w:rFonts w:hint="eastAsia" w:ascii="宋体" w:hAnsi="宋体" w:eastAsia="宋体" w:cs="宋体"/>
          <w:b/>
          <w:color w:val="auto"/>
          <w:sz w:val="24"/>
          <w:szCs w:val="24"/>
          <w:highlight w:val="none"/>
        </w:rPr>
        <w:t xml:space="preserve">采购</w:t>
      </w:r>
      <w:r>
        <w:rPr>
          <w:rFonts w:hint="eastAsia" w:ascii="宋体" w:hAnsi="宋体" w:eastAsia="宋体" w:cs="宋体"/>
          <w:b/>
          <w:color w:val="auto"/>
          <w:sz w:val="24"/>
          <w:szCs w:val="24"/>
          <w:highlight w:val="none"/>
          <w:lang w:val="zh-CN"/>
        </w:rPr>
        <w:t xml:space="preserve">文件</w:t>
      </w:r>
      <w:r/>
    </w:p>
    <w:p>
      <w:pPr>
        <w:ind w:firstLine="0"/>
        <w:keepLines w:val="0"/>
        <w:keepNext w:val="0"/>
        <w:pageBreakBefore w:val="0"/>
        <w:spacing w:line="560" w:lineRule="exact"/>
        <w:widowControl w:val="off"/>
        <w:rPr>
          <w:rFonts w:hint="eastAsia" w:ascii="宋体" w:hAnsi="宋体" w:cs="宋体"/>
          <w:color w:val="auto"/>
          <w:sz w:val="24"/>
          <w:szCs w:val="24"/>
          <w:highlight w:val="none"/>
          <w:lang w:val="en-US" w:eastAsia="zh-CN"/>
        </w:rPr>
      </w:pPr>
      <w:r/>
      <w:bookmarkStart w:id="2" w:name="_Toc26958"/>
      <w:r/>
      <w:bookmarkStart w:id="3" w:name="_Toc3840"/>
      <w:r>
        <w:rPr>
          <w:rFonts w:hint="eastAsia" w:ascii="宋体" w:hAnsi="宋体" w:eastAsia="宋体" w:cs="宋体"/>
          <w:color w:val="auto"/>
          <w:sz w:val="24"/>
          <w:szCs w:val="24"/>
          <w:highlight w:val="none"/>
        </w:rPr>
        <w:t xml:space="preserve">1、获取时间：</w:t>
      </w:r>
      <w:r>
        <w:rPr>
          <w:rFonts w:hint="eastAsia" w:ascii="宋体" w:hAnsi="宋体" w:cs="宋体"/>
          <w:color w:val="auto"/>
          <w:sz w:val="24"/>
          <w:szCs w:val="24"/>
          <w:highlight w:val="none"/>
          <w:u w:val="single"/>
          <w:lang w:val="en-US" w:eastAsia="zh-CN"/>
        </w:rPr>
        <w:t xml:space="preserve">2026年07月14日至2026年07月20日，每天上午00:00-12:00，下午12:00-23:59</w:t>
      </w:r>
      <w:r>
        <w:rPr>
          <w:rFonts w:hint="eastAsia" w:ascii="宋体" w:hAnsi="宋体" w:cs="宋体"/>
          <w:color w:val="auto"/>
          <w:sz w:val="24"/>
          <w:szCs w:val="24"/>
          <w:highlight w:val="none"/>
          <w:lang w:val="en-US" w:eastAsia="zh-CN"/>
        </w:rPr>
        <w:t xml:space="preserve">（北京时间，法定节假日除外）。</w:t>
      </w:r>
      <w:r/>
    </w:p>
    <w:p>
      <w:pPr>
        <w:ind w:firstLine="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2、获取地点：江苏政府采购网“苏采云”系统。</w:t>
      </w:r>
      <w:r/>
    </w:p>
    <w:p>
      <w:pPr>
        <w:ind w:firstLine="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获取方式：投标人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0"/>
        <w:keepLines w:val="0"/>
        <w:keepNext w:val="0"/>
        <w:pageBreakBefore w:val="0"/>
        <w:spacing w:line="56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Cs/>
          <w:color w:val="auto"/>
          <w:sz w:val="24"/>
          <w:szCs w:val="24"/>
          <w:highlight w:val="none"/>
        </w:rPr>
        <w:t xml:space="preserve">售价：0.00元。</w:t>
      </w:r>
      <w:bookmarkEnd w:id="2"/>
      <w:r/>
      <w:bookmarkEnd w:id="3"/>
      <w:r/>
      <w:r/>
    </w:p>
    <w:p>
      <w:pPr>
        <w:ind w:firstLine="0"/>
        <w:pageBreakBefore w:val="0"/>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u w:val="single"/>
        </w:rPr>
        <w:t xml:space="preserve">2026年</w:t>
      </w:r>
      <w:r>
        <w:rPr>
          <w:rFonts w:hint="eastAsia" w:ascii="宋体" w:hAnsi="宋体" w:eastAsia="宋体" w:cs="宋体"/>
          <w:color w:val="auto"/>
          <w:sz w:val="24"/>
          <w:szCs w:val="24"/>
          <w:highlight w:val="none"/>
          <w:u w:val="single"/>
          <w:lang w:val="en-US" w:eastAsia="zh-CN"/>
        </w:rPr>
        <w:t xml:space="preserve">0</w:t>
      </w:r>
      <w:r>
        <w:rPr>
          <w:rFonts w:hint="eastAsia" w:ascii="宋体" w:hAnsi="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03</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点</w:t>
      </w:r>
      <w:r>
        <w:rPr>
          <w:rFonts w:hint="eastAsia" w:ascii="宋体" w:hAnsi="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地点：“苏采云”政府采购交易系统网上开标大厅</w:t>
      </w:r>
      <w:r/>
    </w:p>
    <w:p>
      <w:pPr>
        <w:ind w:firstLine="0"/>
        <w:pageBreakBefore w:val="0"/>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五、公告期限</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ind w:firstLine="0"/>
        <w:pageBreakBefore w:val="0"/>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0"/>
        <w:keepLines w:val="0"/>
        <w:keepNext w:val="0"/>
        <w:pageBreakBefore w:val="0"/>
        <w:spacing w:line="5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集中现场考察或答疑：采购人不组织。</w:t>
      </w:r>
      <w:r/>
    </w:p>
    <w:p>
      <w:pPr>
        <w:ind w:firstLine="0"/>
        <w:keepLines w:val="0"/>
        <w:keepNext w:val="0"/>
        <w:pageBreakBefore w:val="0"/>
        <w:spacing w:line="5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投标保证金数额及缴纳办法：本项目不收取投标保证金。</w:t>
      </w:r>
      <w:r/>
    </w:p>
    <w:p>
      <w:pPr>
        <w:ind w:firstLine="0"/>
        <w:keepLines w:val="0"/>
        <w:keepNext w:val="0"/>
        <w:pageBreakBefore w:val="0"/>
        <w:spacing w:line="5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是否接受进口产品：否。</w:t>
      </w:r>
      <w:r/>
    </w:p>
    <w:p>
      <w:pPr>
        <w:ind w:firstLine="0"/>
        <w:keepLines w:val="0"/>
        <w:keepNext w:val="0"/>
        <w:pageBreakBefore w:val="0"/>
        <w:spacing w:line="5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供应商通过苏采云（网址：http://jszfcg.jsczt.cn/）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0"/>
        <w:keepLines w:val="0"/>
        <w:keepNext w:val="0"/>
        <w:pageBreakBefore w:val="0"/>
        <w:spacing w:line="5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首次登录“苏采云”系统的新用户，登录网址后，点击“用户注册”--“新CA办理指南”--获取CA后绑定、登录系统--采购项目参与--下载采购文件（文件后缀名为“.kedt”）。“苏采云”南京地区客服热线025-83633744、025-83633743。</w:t>
      </w:r>
      <w:r/>
    </w:p>
    <w:p>
      <w:pPr>
        <w:ind w:firstLine="0"/>
        <w:keepLines w:val="0"/>
        <w:keepNext w:val="0"/>
        <w:pageBreakBefore w:val="0"/>
        <w:spacing w:line="5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政府采购信用承诺</w:t>
      </w:r>
      <w:r/>
    </w:p>
    <w:p>
      <w:pPr>
        <w:ind w:firstLine="0"/>
        <w:keepLines w:val="0"/>
        <w:keepNext w:val="0"/>
        <w:pageBreakBefore w:val="0"/>
        <w:spacing w:line="5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5.1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w:t>
      </w:r>
      <w:r>
        <w:rPr>
          <w:rFonts w:hint="eastAsia" w:ascii="宋体" w:hAnsi="宋体" w:eastAsia="宋体" w:cs="宋体"/>
          <w:b w:val="0"/>
          <w:bCs/>
          <w:color w:val="auto"/>
          <w:sz w:val="24"/>
          <w:szCs w:val="24"/>
          <w:highlight w:val="none"/>
        </w:rPr>
        <w:t xml:space="preserve">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并将扫描件上传至投标系统。打印时间须为本招标公告发布之日起至提交投标文件截止日前。</w:t>
      </w:r>
      <w:r/>
    </w:p>
    <w:p>
      <w:pPr>
        <w:ind w:firstLine="0"/>
        <w:keepLines w:val="0"/>
        <w:keepNext w:val="0"/>
        <w:pageBreakBefore w:val="0"/>
        <w:spacing w:line="5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5.2在政府采购资格审查环节，供应商只需提供《南京市政府采购供应商信用记录表暨信用承诺书》即可替代以下证明材料： </w:t>
      </w:r>
      <w:r/>
    </w:p>
    <w:p>
      <w:pPr>
        <w:ind w:firstLine="0"/>
        <w:keepLines w:val="0"/>
        <w:keepNext w:val="0"/>
        <w:pageBreakBefore w:val="0"/>
        <w:spacing w:line="5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（1）符合国家相关规定的财务状况报告； </w:t>
      </w:r>
      <w:r/>
    </w:p>
    <w:p>
      <w:pPr>
        <w:ind w:firstLine="0"/>
        <w:keepLines w:val="0"/>
        <w:keepNext w:val="0"/>
        <w:pageBreakBefore w:val="0"/>
        <w:spacing w:line="5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（2）依法缴纳税收的证明材料； </w:t>
      </w:r>
      <w:r/>
    </w:p>
    <w:p>
      <w:pPr>
        <w:ind w:firstLine="0"/>
        <w:keepLines w:val="0"/>
        <w:keepNext w:val="0"/>
        <w:pageBreakBefore w:val="0"/>
        <w:spacing w:line="5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（3）依法缴纳社会保障资金的证明材料； </w:t>
      </w:r>
      <w:r/>
    </w:p>
    <w:p>
      <w:pPr>
        <w:ind w:firstLine="0"/>
        <w:keepLines w:val="0"/>
        <w:keepNext w:val="0"/>
        <w:pageBreakBefore w:val="0"/>
        <w:spacing w:line="5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（4）具备履行政府采购合同所必需的设备和专业技术能力的证明材料； </w:t>
      </w:r>
      <w:r/>
    </w:p>
    <w:p>
      <w:pPr>
        <w:ind w:firstLine="0"/>
        <w:keepLines w:val="0"/>
        <w:keepNext w:val="0"/>
        <w:pageBreakBefore w:val="0"/>
        <w:spacing w:line="5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（5）参加政府采购活动前三年内在经营活动中没有重大违法记录的证明材料； </w:t>
      </w:r>
      <w:r/>
    </w:p>
    <w:p>
      <w:pPr>
        <w:ind w:firstLine="0"/>
        <w:keepLines w:val="0"/>
        <w:keepNext w:val="0"/>
        <w:pageBreakBefore w:val="0"/>
        <w:spacing w:line="5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（6）未被列入失信被执行人、重大税收违法失信主体、政府采购严重违法失信行为记录名单的证明材料。 </w:t>
      </w:r>
      <w:r/>
    </w:p>
    <w:p>
      <w:pPr>
        <w:ind w:firstLine="0"/>
        <w:keepLines w:val="0"/>
        <w:keepNext w:val="0"/>
        <w:pageBreakBefore w:val="0"/>
        <w:spacing w:line="5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5.3供应商在中标（成交）后，应按采购文件要求，将上述由信用承诺书替代的证明材料提交采购人或采购代理机构核验。经核验无误后，由采购人或采购代理机构发出中标（成交）通知书。 </w:t>
      </w:r>
      <w:r/>
    </w:p>
    <w:p>
      <w:pPr>
        <w:ind w:firstLine="0"/>
        <w:keepLines w:val="0"/>
        <w:keepNext w:val="0"/>
        <w:pageBreakBefore w:val="0"/>
        <w:spacing w:line="5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5.4其中不适用信用承诺的情形：供应商被列入严重失信主体名单；南京市政府采购供应商诚信档案管理系统中有失信处罚记录；被相关监管部门作出行政处罚且尚在处罚有效期内；其他法律、行政法规规定的不适用信用承诺的情形。</w:t>
      </w:r>
      <w:r/>
    </w:p>
    <w:p>
      <w:pPr>
        <w:ind w:firstLine="0"/>
        <w:keepLines w:val="0"/>
        <w:keepNext w:val="0"/>
        <w:pageBreakBefore w:val="0"/>
        <w:spacing w:line="5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5.5供应商对信用承诺内容的真实性、合法性、有效性负责。如作出虚假信用承诺，视同为“提供虚假材料谋取中标、成交”的违法行为。</w:t>
      </w:r>
      <w:r/>
    </w:p>
    <w:p>
      <w:pPr>
        <w:ind w:firstLine="0"/>
        <w:keepLines w:val="0"/>
        <w:keepNext w:val="0"/>
        <w:pageBreakBefore w:val="0"/>
        <w:spacing w:line="5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公告媒体</w:t>
      </w:r>
      <w:r/>
    </w:p>
    <w:p>
      <w:pPr>
        <w:ind w:firstLine="0"/>
        <w:keepLines w:val="0"/>
        <w:keepNext w:val="0"/>
        <w:pageBreakBefore w:val="0"/>
        <w:spacing w:line="5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（1）本采购公告在南京公共采购信息网（https://njgc.jfh.com）、江苏政府采购网（http://www.ccgp-jiangsu.gov.cn/）、中国政府采购网（www.ccgp.gov.cn）公示发布，敬请各供应商关注；</w:t>
      </w:r>
      <w:r/>
    </w:p>
    <w:p>
      <w:pPr>
        <w:ind w:firstLine="0"/>
        <w:keepLines w:val="0"/>
        <w:keepNext w:val="0"/>
        <w:pageBreakBefore w:val="0"/>
        <w:spacing w:line="5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若有关本次采购存在变动或修改，敬请各供应商及时关注南京公共采购信息网（https://njgc.jfh.com）、江苏政府采购网（http://www.ccgp-jiangsu.gov.cn/）、中国政府采购网（www.ccgp.gov.cn）发布的关于本项目的信息更正公告。</w:t>
      </w:r>
      <w:r/>
    </w:p>
    <w:p>
      <w:pPr>
        <w:ind w:firstLine="0"/>
        <w:keepLines w:val="0"/>
        <w:keepNext w:val="0"/>
        <w:pageBreakBefore w:val="0"/>
        <w:spacing w:line="5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七、凡对</w:t>
      </w:r>
      <w:bookmarkStart w:id="4" w:name="_Hlk124759339"/>
      <w:r>
        <w:rPr>
          <w:rFonts w:hint="eastAsia" w:ascii="宋体" w:hAnsi="宋体" w:eastAsia="宋体" w:cs="宋体"/>
          <w:b w:val="0"/>
          <w:bCs/>
          <w:color w:val="auto"/>
          <w:sz w:val="24"/>
          <w:szCs w:val="24"/>
          <w:highlight w:val="none"/>
        </w:rPr>
        <w:t xml:space="preserve">本次采购提出询问，请按以下方式联系</w:t>
      </w:r>
      <w:bookmarkEnd w:id="4"/>
      <w:r/>
      <w:r/>
    </w:p>
    <w:p>
      <w:pPr>
        <w:ind w:firstLine="0"/>
        <w:pageBreakBefore w:val="0"/>
        <w:spacing w:line="560" w:lineRule="exact"/>
        <w:tabs>
          <w:tab w:val="left" w:pos="0" w:leader="none"/>
          <w:tab w:val="left" w:pos="51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1.招标人信息</w:t>
      </w:r>
      <w:r/>
    </w:p>
    <w:p>
      <w:pPr>
        <w:ind w:firstLine="0"/>
        <w:pageBreakBefore w:val="0"/>
        <w:spacing w:line="560" w:lineRule="exact"/>
        <w:tabs>
          <w:tab w:val="left" w:pos="0" w:leader="none"/>
          <w:tab w:val="left" w:pos="51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采购人名称：南京市博物总馆</w:t>
      </w:r>
      <w:r/>
    </w:p>
    <w:p>
      <w:pPr>
        <w:ind w:firstLine="0"/>
        <w:pageBreakBefore w:val="0"/>
        <w:spacing w:line="560" w:lineRule="exact"/>
        <w:tabs>
          <w:tab w:val="left" w:pos="0" w:leader="none"/>
          <w:tab w:val="left" w:pos="51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采购人地址：</w:t>
      </w:r>
      <w:r>
        <w:rPr>
          <w:rFonts w:hint="eastAsia" w:ascii="宋体" w:hAnsi="宋体" w:eastAsia="宋体" w:cs="宋体"/>
          <w:color w:val="auto"/>
          <w:sz w:val="24"/>
          <w:szCs w:val="24"/>
          <w:highlight w:val="none"/>
          <w:lang w:eastAsia="zh-CN"/>
        </w:rPr>
        <w:t xml:space="preserve">南京市秦淮区中华路257号</w:t>
      </w:r>
      <w:r/>
    </w:p>
    <w:p>
      <w:pPr>
        <w:ind w:firstLine="0"/>
        <w:pageBreakBefore w:val="0"/>
        <w:spacing w:line="560" w:lineRule="exact"/>
        <w:tabs>
          <w:tab w:val="left" w:pos="0" w:leader="none"/>
          <w:tab w:val="left" w:pos="51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w:t>
      </w:r>
      <w:r>
        <w:rPr>
          <w:rFonts w:hint="eastAsia" w:ascii="宋体" w:hAnsi="宋体" w:eastAsia="宋体" w:cs="宋体"/>
          <w:color w:val="auto"/>
          <w:sz w:val="24"/>
          <w:szCs w:val="24"/>
          <w:highlight w:val="none"/>
          <w:lang w:val="en-US" w:eastAsia="zh-CN"/>
        </w:rPr>
        <w:t xml:space="preserve">王工</w:t>
      </w:r>
      <w:r/>
    </w:p>
    <w:p>
      <w:pPr>
        <w:ind w:firstLine="0"/>
        <w:pageBreakBefore w:val="0"/>
        <w:spacing w:line="560" w:lineRule="exact"/>
        <w:tabs>
          <w:tab w:val="left" w:pos="0" w:leader="none"/>
          <w:tab w:val="left" w:pos="51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联系方式：025-52686178</w:t>
      </w:r>
      <w:r/>
    </w:p>
    <w:p>
      <w:pPr>
        <w:ind w:firstLine="0"/>
        <w:pageBreakBefore w:val="0"/>
        <w:spacing w:line="560" w:lineRule="exact"/>
        <w:tabs>
          <w:tab w:val="left" w:pos="0" w:leader="none"/>
          <w:tab w:val="left" w:pos="51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0"/>
        <w:pageBreakBefore w:val="0"/>
        <w:spacing w:line="560" w:lineRule="exact"/>
        <w:tabs>
          <w:tab w:val="left" w:pos="0" w:leader="none"/>
          <w:tab w:val="left" w:pos="51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称：江苏有点招标代理有限公司</w:t>
      </w:r>
      <w:r/>
    </w:p>
    <w:p>
      <w:pPr>
        <w:ind w:firstLine="0"/>
        <w:pageBreakBefore w:val="0"/>
        <w:spacing w:line="560" w:lineRule="exact"/>
        <w:tabs>
          <w:tab w:val="left" w:pos="0" w:leader="none"/>
          <w:tab w:val="left" w:pos="51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址：南京市玄武区长江路99号长江贸易大楼1001室</w:t>
      </w:r>
      <w:r/>
    </w:p>
    <w:p>
      <w:pPr>
        <w:ind w:firstLine="0"/>
        <w:pageBreakBefore w:val="0"/>
        <w:spacing w:line="560" w:lineRule="exact"/>
        <w:tabs>
          <w:tab w:val="left" w:pos="0" w:leader="none"/>
          <w:tab w:val="left" w:pos="51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联系方式：025-57712503</w:t>
      </w:r>
      <w:r/>
    </w:p>
    <w:p>
      <w:pPr>
        <w:ind w:firstLine="0"/>
        <w:pageBreakBefore w:val="0"/>
        <w:spacing w:line="560" w:lineRule="exact"/>
        <w:tabs>
          <w:tab w:val="left" w:pos="0" w:leader="none"/>
          <w:tab w:val="left" w:pos="51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0"/>
        <w:pageBreakBefore w:val="0"/>
        <w:spacing w:line="560" w:lineRule="exact"/>
        <w:tabs>
          <w:tab w:val="left" w:pos="0" w:leader="none"/>
          <w:tab w:val="left" w:pos="51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项目联系人：刘工</w:t>
      </w:r>
      <w:r/>
    </w:p>
    <w:p>
      <w:pPr>
        <w:ind w:firstLine="0"/>
        <w:pageBreakBefore w:val="0"/>
        <w:spacing w:line="560" w:lineRule="exact"/>
        <w:tabs>
          <w:tab w:val="left" w:pos="0" w:leader="none"/>
          <w:tab w:val="left" w:pos="510" w:leader="none"/>
          <w:tab w:val="left" w:pos="1134" w:leader="none"/>
        </w:tabs>
        <w:rPr>
          <w:rFonts w:hint="eastAsia"/>
          <w:lang w:val="zh-CN"/>
        </w:rPr>
      </w:pPr>
      <w:r>
        <w:rPr>
          <w:rFonts w:hint="eastAsia" w:ascii="宋体" w:hAnsi="宋体" w:eastAsia="宋体" w:cs="宋体"/>
          <w:color w:val="auto"/>
          <w:sz w:val="24"/>
          <w:szCs w:val="24"/>
          <w:highlight w:val="none"/>
        </w:rPr>
        <w:t xml:space="preserve">电      话：025-57712503</w:t>
      </w:r>
      <w:r/>
    </w:p>
    <w:p>
      <w:pPr>
        <w:pStyle w:val="846"/>
        <w:ind w:firstLine="0"/>
        <w:jc w:val="center"/>
        <w:pageBreakBefore w:val="0"/>
        <w:spacing w:line="560" w:lineRule="exact"/>
        <w:rPr>
          <w:rFonts w:hint="eastAsia" w:ascii="宋体" w:hAnsi="宋体" w:eastAsia="宋体" w:cs="宋体"/>
          <w:color w:val="auto"/>
          <w:sz w:val="24"/>
          <w:szCs w:val="24"/>
          <w:highlight w:val="none"/>
        </w:rPr>
      </w:pPr>
      <w:r/>
      <w:bookmarkStart w:id="5" w:name="_Toc123027835"/>
      <w:r/>
      <w:bookmarkStart w:id="6" w:name="_Toc15285"/>
      <w:r>
        <w:rPr>
          <w:rFonts w:hint="eastAsia" w:ascii="宋体" w:hAnsi="宋体" w:eastAsia="宋体" w:cs="宋体"/>
          <w:color w:val="auto"/>
          <w:sz w:val="24"/>
          <w:szCs w:val="24"/>
          <w:highlight w:val="none"/>
        </w:rPr>
        <w:t xml:space="preserve">第二章  投标人须知</w:t>
      </w:r>
      <w:bookmarkEnd w:id="5"/>
      <w:r/>
      <w:bookmarkEnd w:id="6"/>
      <w:r/>
      <w:r/>
    </w:p>
    <w:p>
      <w:pPr>
        <w:ind w:firstLine="0"/>
        <w:pageBreakBefore w:val="0"/>
        <w:spacing w:line="56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一、总    则</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1、适用法律</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1.1《中华人民共和国政府采购法》、《中华人民共和国政府采购法实施条例》、《中华人民共和国招标投标法》等有关法律、法规、规章和规定等。</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2、定义</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2.1“招标人”是指依法进行政府采购的国家机关、事业单位、团体组织。</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2.2“投标人”是指参加响应竞争，并符合招标文件规定资格条件的法人、其他组织或者自然人。</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2.3“采购代理机构”是指集中采购机构和集中采购机构以外的采购代理机构，集中采购机构以外的采购代理机构，是从事采购代理业务的社会中介机构。</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2.4“服务”指本招标文件中所述相关服务。</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2.5“用户或使用单位”是指接受服务的单位。</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3、政策功能</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3.1政府采购促进中小企业发展，在政府采购活动中，投标人提供的货物、工程或者服务符合下列情形的，享受中小企业扶持政策：</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 </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在货物采购项目中，投标人提供的货物既有中小企业制造货物，也有大型企业制造货物的，不享受中小企业扶持政策。</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投标人参加政府采购活动，应当出具《中小企业声明函》（格式见后附件），否则不得享受相关中小企业扶持政策。</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政府采购支持监狱和戒毒企业发展政策，监狱和戒毒企业提供的产品和服务在投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政府采购促进残疾人就业政策，残疾人福利性单位提供的产品和服务在投标时将获得优势，参加投标的残疾人福利性单位，应当提供《残疾人福利性单位声明函》，残疾人福利性单位享受政府采购支持政策的要求详见财库〔2017〕141号。</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 提供的产品属于信息安全产品的，投标人应当选择经国家认证的信息安全产品投标，并提供由中国信息安全认证中心按国家标准认证颁发的有效认证证书复印件。</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提供的产品属于政府强制采购节能产品的，投标人应当选择依据国家标准中二级能效（水效）指标认证的节能产品投标，并提供有效的节能产品认证证书复印件。</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提供的产品属于环境标志产品的，投标人应当选择依据相关标准的最新版本认证的环境标志产品投标，并提供有效的环境标志产品认证证书复印件。</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3.8进口产品政策</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 号）的规定。</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（3）允许进口产品参加的，优先采购向我国企业转让技术、与我国企业签订消化吸收再创新方案的投标人的进口产品。</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 未按要求提供相关材料的，不享受相关政策。</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评标费用</w:t>
      </w:r>
      <w:r/>
    </w:p>
    <w:p>
      <w:pPr>
        <w:ind w:firstLine="0"/>
        <w:pageBreakBefore w:val="0"/>
        <w:spacing w:line="56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4.1招标代理服务费收费标准：本次采购活动参照《招标代理服务收费管理暂行办法》（计价格【2002】1980号）文，按照基准费率标准的 55% 计取。代理服务费由成交供应商在领取成交通知书前一次性支付给代理机构，如代理服务费不足3500元，按照3500元收取。</w:t>
      </w:r>
      <w:r/>
    </w:p>
    <w:p>
      <w:pPr>
        <w:ind w:firstLine="0"/>
        <w:pageBreakBefore w:val="0"/>
        <w:spacing w:line="56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4.2付款时请供应商备注项目名称和项目编号以便核实。供应商在响应时应充分考虑以上费用，无论供应商是否将该费用包含在报价中，均视为已含在响应价格中。</w:t>
      </w:r>
      <w:r/>
    </w:p>
    <w:p>
      <w:pPr>
        <w:ind w:firstLine="0"/>
        <w:pageBreakBefore w:val="0"/>
        <w:spacing w:line="56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账户名称：江苏有点招标代理有限公司</w:t>
      </w:r>
      <w:r/>
    </w:p>
    <w:p>
      <w:pPr>
        <w:ind w:firstLine="0"/>
        <w:pageBreakBefore w:val="0"/>
        <w:spacing w:line="56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开 户 行：中国建设银行股份有限公司南京鼓楼支行</w:t>
      </w:r>
      <w:r/>
    </w:p>
    <w:p>
      <w:pPr>
        <w:ind w:firstLine="0"/>
        <w:pageBreakBefore w:val="0"/>
        <w:spacing w:line="56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账    号：32050159553600002041</w:t>
      </w:r>
      <w:r/>
    </w:p>
    <w:p>
      <w:pPr>
        <w:ind w:firstLine="0"/>
        <w:pageBreakBefore w:val="0"/>
        <w:spacing w:line="560" w:lineRule="exac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二、投标文件编制</w:t>
      </w:r>
      <w:r/>
    </w:p>
    <w:p>
      <w:pPr>
        <w:ind w:firstLine="0"/>
        <w:pageBreakBefore w:val="0"/>
        <w:spacing w:line="560" w:lineRule="exact"/>
        <w:rPr>
          <w:rFonts w:hint="eastAsia" w:ascii="宋体" w:hAnsi="宋体" w:eastAsia="宋体" w:cs="宋体"/>
          <w:b/>
          <w:bCs/>
          <w:color w:val="auto"/>
          <w:sz w:val="24"/>
          <w:szCs w:val="24"/>
          <w:highlight w:val="none"/>
          <w:lang w:val="zh-CN"/>
        </w:rPr>
      </w:pPr>
      <w:r>
        <w:rPr>
          <w:rFonts w:hint="eastAsia" w:ascii="宋体" w:hAnsi="宋体" w:eastAsia="宋体" w:cs="宋体"/>
          <w:bCs/>
          <w:color w:val="auto"/>
          <w:sz w:val="24"/>
          <w:szCs w:val="24"/>
          <w:highlight w:val="none"/>
          <w:lang w:val="zh-CN"/>
        </w:rPr>
        <w:t xml:space="preserve">5、</w:t>
      </w:r>
      <w:r>
        <w:rPr>
          <w:rFonts w:hint="eastAsia" w:ascii="宋体" w:hAnsi="宋体" w:eastAsia="宋体" w:cs="宋体"/>
          <w:color w:val="auto"/>
          <w:sz w:val="24"/>
          <w:szCs w:val="24"/>
          <w:highlight w:val="none"/>
          <w:lang w:val="zh-CN"/>
        </w:rPr>
        <w:t xml:space="preserve">投标人应当按照招标文件的要求编制投标文件，并对其提交的投标文件的真实性、合法性承担法律责任。</w:t>
      </w:r>
      <w:r/>
    </w:p>
    <w:p>
      <w:pPr>
        <w:ind w:firstLine="0"/>
        <w:pageBreakBefore w:val="0"/>
        <w:spacing w:line="56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6、投标文件的语言、计量单位、货币和编制</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6.1 提交的投标文件、技术文件和资料，包括图纸中的说明，以及投标人与代理机构就有关招标的所有来往函电均应使用中文。投标文件中若有英文或其他语言文字的资料，应提供相应的中文翻译资料。对不同文本投标文件的解释发生异议的，以中文文本为准。</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6.2 投标人所使用的计量单位应为国家法定计量单位。</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6.3 投标人应用人民币报价。</w:t>
      </w:r>
      <w:r/>
    </w:p>
    <w:p>
      <w:pPr>
        <w:ind w:firstLine="0"/>
        <w:pageBreakBefore w:val="0"/>
        <w:spacing w:line="56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7、投标文件的组成</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7.1 </w:t>
      </w:r>
      <w:r>
        <w:rPr>
          <w:rFonts w:hint="eastAsia" w:ascii="宋体" w:hAnsi="宋体" w:eastAsia="宋体" w:cs="宋体"/>
          <w:color w:val="auto"/>
          <w:sz w:val="24"/>
          <w:szCs w:val="24"/>
          <w:highlight w:val="none"/>
        </w:rPr>
        <w:t xml:space="preserve">投标人应当根据</w:t>
      </w:r>
      <w:r>
        <w:rPr>
          <w:rFonts w:hint="eastAsia" w:ascii="宋体" w:hAnsi="宋体" w:eastAsia="宋体" w:cs="宋体"/>
          <w:color w:val="auto"/>
          <w:sz w:val="24"/>
          <w:szCs w:val="24"/>
          <w:highlight w:val="none"/>
          <w:lang w:val="zh-CN"/>
        </w:rPr>
        <w:t xml:space="preserve">招标文件</w:t>
      </w:r>
      <w:r>
        <w:rPr>
          <w:rFonts w:hint="eastAsia" w:ascii="宋体" w:hAnsi="宋体" w:eastAsia="宋体" w:cs="宋体"/>
          <w:color w:val="auto"/>
          <w:sz w:val="24"/>
          <w:szCs w:val="24"/>
          <w:highlight w:val="none"/>
        </w:rPr>
        <w:t xml:space="preserve">要求编制投标文件，并根据自己的商务能力、技术水平对招标文件提出的要求和条件逐条标明是否响应。</w:t>
      </w:r>
      <w:r>
        <w:rPr>
          <w:rFonts w:hint="eastAsia" w:ascii="宋体" w:hAnsi="宋体" w:eastAsia="宋体" w:cs="宋体"/>
          <w:color w:val="auto"/>
          <w:sz w:val="24"/>
          <w:szCs w:val="24"/>
          <w:highlight w:val="none"/>
          <w:lang w:val="zh-CN"/>
        </w:rPr>
        <w:t xml:space="preserve">投标文件由商务部分、技术部分、价格部分，以及其他部分组成。如标书制作工具中格式和内容与“江苏政府采购网”发布的招标文件不一致，请以“江苏政府采购网”发布的招标文件为准。</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 xml:space="preserve">7.2 投标文件的商务部分。</w:t>
      </w:r>
      <w:r>
        <w:rPr>
          <w:rFonts w:hint="eastAsia" w:ascii="宋体" w:hAnsi="宋体" w:eastAsia="宋体" w:cs="宋体"/>
          <w:color w:val="auto"/>
          <w:sz w:val="24"/>
          <w:szCs w:val="24"/>
          <w:highlight w:val="none"/>
          <w:lang w:val="zh-CN"/>
        </w:rPr>
        <w:t xml:space="preserve">商务部分是证明投标人有资格参加评标和中标后有能力履行合同的文件，</w:t>
      </w:r>
      <w:r>
        <w:rPr>
          <w:rFonts w:hint="eastAsia" w:ascii="宋体" w:hAnsi="宋体" w:eastAsia="宋体" w:cs="宋体"/>
          <w:color w:val="auto"/>
          <w:sz w:val="24"/>
          <w:szCs w:val="24"/>
          <w:highlight w:val="none"/>
        </w:rPr>
        <w:t xml:space="preserve">这些文件应能满足招标文件的要求</w:t>
      </w:r>
      <w:r>
        <w:rPr>
          <w:rFonts w:hint="eastAsia" w:ascii="宋体" w:hAnsi="宋体" w:eastAsia="宋体" w:cs="宋体"/>
          <w:color w:val="auto"/>
          <w:sz w:val="24"/>
          <w:szCs w:val="24"/>
          <w:highlight w:val="none"/>
          <w:lang w:val="zh-CN"/>
        </w:rPr>
        <w:t xml:space="preserve">，包括但不限于下列文件，其中加“★”项目不得有缺失或无效：</w:t>
      </w:r>
      <w:r/>
    </w:p>
    <w:p>
      <w:pPr>
        <w:ind w:firstLine="0"/>
        <w:jc w:val="left"/>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（1）★投标申请及声明；</w:t>
      </w:r>
      <w:r/>
    </w:p>
    <w:p>
      <w:pPr>
        <w:ind w:firstLine="0"/>
        <w:jc w:val="left"/>
        <w:pageBreakBefore w:val="0"/>
        <w:spacing w:line="5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法定代表人授权委托书及委托代理人的身份证复印件； </w:t>
      </w:r>
      <w:r/>
    </w:p>
    <w:p>
      <w:pPr>
        <w:ind w:firstLine="0"/>
        <w:pageBreakBefore w:val="0"/>
        <w:spacing w:line="560" w:lineRule="exact"/>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投标人资格资信证明文件</w:t>
      </w:r>
      <w:r>
        <w:rPr>
          <w:rFonts w:hint="eastAsia" w:ascii="宋体" w:hAnsi="宋体" w:eastAsia="宋体" w:cs="宋体"/>
          <w:b w:val="0"/>
          <w:bCs w:val="0"/>
          <w:color w:val="auto"/>
          <w:sz w:val="24"/>
          <w:szCs w:val="24"/>
          <w:highlight w:val="none"/>
        </w:rPr>
        <w:t xml:space="preserve">等</w:t>
      </w:r>
      <w:r>
        <w:rPr>
          <w:rFonts w:hint="eastAsia" w:ascii="宋体" w:hAnsi="宋体" w:eastAsia="宋体" w:cs="宋体"/>
          <w:b/>
          <w:bCs/>
          <w:color w:val="auto"/>
          <w:sz w:val="24"/>
          <w:szCs w:val="24"/>
          <w:highlight w:val="none"/>
          <w:lang w:val="zh-CN"/>
        </w:rPr>
        <w:t xml:space="preserve">；</w:t>
      </w:r>
      <w:r/>
    </w:p>
    <w:p>
      <w:pPr>
        <w:ind w:firstLine="0"/>
        <w:pageBreakBefore w:val="0"/>
        <w:spacing w:line="560" w:lineRule="exact"/>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lang w:val="zh-CN"/>
        </w:rPr>
        <w:t xml:space="preserve">（4）★采购人根据采购项目的特殊要求规定的特定条件证明材料；</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）★《商务条款偏离表》；</w:t>
      </w:r>
      <w:r/>
    </w:p>
    <w:p>
      <w:pPr>
        <w:ind w:firstLine="0"/>
        <w:pageBreakBefore w:val="0"/>
        <w:spacing w:line="5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）合同条款；</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（7）投标人认为需要</w:t>
      </w:r>
      <w:r>
        <w:rPr>
          <w:rFonts w:hint="eastAsia" w:ascii="宋体" w:hAnsi="宋体" w:eastAsia="宋体" w:cs="宋体"/>
          <w:color w:val="auto"/>
          <w:sz w:val="24"/>
          <w:szCs w:val="24"/>
          <w:highlight w:val="none"/>
          <w:lang w:val="zh-CN"/>
        </w:rPr>
        <w:t xml:space="preserve">提供的其他资格证明文件和商务资料等。</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 xml:space="preserve">7.3 投标文件的技术部分。</w:t>
      </w:r>
      <w:r>
        <w:rPr>
          <w:rFonts w:hint="eastAsia" w:ascii="宋体" w:hAnsi="宋体" w:eastAsia="宋体" w:cs="宋体"/>
          <w:color w:val="auto"/>
          <w:sz w:val="24"/>
          <w:szCs w:val="24"/>
          <w:highlight w:val="none"/>
          <w:lang w:val="zh-CN"/>
        </w:rPr>
        <w:t xml:space="preserve">技术部分是证明</w:t>
      </w:r>
      <w:r>
        <w:rPr>
          <w:rFonts w:hint="eastAsia" w:ascii="宋体" w:hAnsi="宋体" w:eastAsia="宋体" w:cs="宋体"/>
          <w:color w:val="auto"/>
          <w:sz w:val="24"/>
          <w:szCs w:val="24"/>
          <w:highlight w:val="none"/>
        </w:rPr>
        <w:t xml:space="preserve">投标人提供的服务是合格的，并符合</w:t>
      </w:r>
      <w:r>
        <w:rPr>
          <w:rFonts w:hint="eastAsia" w:ascii="宋体" w:hAnsi="宋体" w:eastAsia="宋体" w:cs="宋体"/>
          <w:color w:val="auto"/>
          <w:sz w:val="24"/>
          <w:szCs w:val="24"/>
          <w:highlight w:val="none"/>
          <w:lang w:val="zh-CN"/>
        </w:rPr>
        <w:t xml:space="preserve">招标文件</w:t>
      </w:r>
      <w:r>
        <w:rPr>
          <w:rFonts w:hint="eastAsia" w:ascii="宋体" w:hAnsi="宋体" w:eastAsia="宋体" w:cs="宋体"/>
          <w:color w:val="auto"/>
          <w:sz w:val="24"/>
          <w:szCs w:val="24"/>
          <w:highlight w:val="none"/>
        </w:rPr>
        <w:t xml:space="preserve">要求的证明文件，以及</w:t>
      </w:r>
      <w:r>
        <w:rPr>
          <w:rFonts w:hint="eastAsia" w:ascii="宋体" w:hAnsi="宋体" w:eastAsia="宋体" w:cs="宋体"/>
          <w:color w:val="auto"/>
          <w:sz w:val="24"/>
          <w:szCs w:val="24"/>
          <w:highlight w:val="none"/>
          <w:lang w:val="zh-CN"/>
        </w:rPr>
        <w:t xml:space="preserve">对服务的详细说明，这些文件可以是文字资料、图纸和数据等。提供的服务如与招标文件要求有不符之处，应说明其差别之所在。包括但不限于下列文件，其中加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项目不得有缺失或无效：</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（1）★《采购需求条款偏离表（技术条款偏离表）》；</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）技术说明或服务方案（根据文件要求自行编制）；</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）供应商认为需要提供的其他技术资料。</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）★售后质保承诺函（格式自拟）</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7.4 投标文件的价格部分</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（1）价格部分是对服务价格构成的说明，招标文件如没有特别说明的话，对每一项服务仅接受一个价格。</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zh-CN"/>
        </w:rPr>
        <w:t xml:space="preserve">报价应包含完成本服务项目发生的所有含税费用、支付给员工的工资和国家强制缴纳的各种社会保障资金</w:t>
      </w:r>
      <w:r>
        <w:rPr>
          <w:rFonts w:hint="eastAsia" w:ascii="宋体" w:hAnsi="宋体" w:eastAsia="宋体" w:cs="宋体"/>
          <w:bCs/>
          <w:color w:val="auto"/>
          <w:sz w:val="24"/>
          <w:szCs w:val="24"/>
          <w:highlight w:val="none"/>
        </w:rPr>
        <w:t xml:space="preserve">，以</w:t>
      </w:r>
      <w:r>
        <w:rPr>
          <w:rFonts w:hint="eastAsia" w:ascii="宋体" w:hAnsi="宋体" w:eastAsia="宋体" w:cs="宋体"/>
          <w:color w:val="auto"/>
          <w:sz w:val="24"/>
          <w:szCs w:val="24"/>
          <w:highlight w:val="none"/>
        </w:rPr>
        <w:t xml:space="preserve">及投标人认为需要的其他费用等</w:t>
      </w:r>
      <w:r>
        <w:rPr>
          <w:rFonts w:hint="eastAsia" w:ascii="宋体" w:hAnsi="宋体" w:eastAsia="宋体" w:cs="宋体"/>
          <w:b/>
          <w:color w:val="auto"/>
          <w:sz w:val="24"/>
          <w:szCs w:val="24"/>
          <w:highlight w:val="none"/>
        </w:rPr>
        <w:t xml:space="preserve">。</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（3）投标人应充分考虑到市场价格变动，以及项目实施过程中的不可预见因素，一旦中标，总价格不变。如果有漏项，视同让利。</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（4）经评标后，如果中标价低于投标人在投标文件首次报价的，分项报价同比例调整。</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7.5 投标文件的其他部分。其他部分由投标人根据编制投标文件需要提供的其他相关文件。</w:t>
      </w:r>
      <w:r/>
    </w:p>
    <w:p>
      <w:pPr>
        <w:ind w:firstLine="0"/>
        <w:pageBreakBefore w:val="0"/>
        <w:spacing w:line="560" w:lineRule="exac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三、电子投标文件递交与撤回</w:t>
      </w:r>
      <w:r/>
    </w:p>
    <w:p>
      <w:pPr>
        <w:ind w:firstLine="0"/>
        <w:pageBreakBefore w:val="0"/>
        <w:spacing w:line="56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8、电子投标文件递交</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投标人应当按照《操作手册》规定，在截止时间前制作并上传电子投标文件。</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9、响应截止日期</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9.1 投标人上传电子投标文件的时间不得迟于公开招标中规定的响应截止时间。</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投标人应充分考虑到网络环境、网络宽带等风险因素，如因投标人自身原因造成的电子投标文件上传不成功的按照本招标文件第二章第16.1.2条规定做无效投标处理。</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9.2 代理机构可以按照规定，通过修改招标文件酌情延长响应截止日期，在此情况下，投标人的所有权利和义务以及投标人受制的截止日期均应以延长后新的截止日期为准。</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10、电子投标文件的撤回和修改</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10.1 电子投标文件的撤回</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10.1.1 投标人可在响应截止时间前，撤回其电子投标文件，具体操作方法见《操作手册》。</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10.1.2 投标人撤回电子投标文件，则认为其不再参与本项目采购活动。</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10.2 电子投标文件的修改</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10.2.1 投标人可在响应截止时间前，对其电子投标文件进行修改，具体操作方法见《操作手册》。</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10.2.2 在投标截止时间之后，投标人不得对其电子投标文件作任何修改。</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10.3 在投标截止时间至招标文件中规定的投标有效期满之间的这段时间内，投标人不得撤回投标文件。</w:t>
      </w:r>
      <w:r/>
    </w:p>
    <w:p>
      <w:pPr>
        <w:ind w:firstLine="0"/>
        <w:pageBreakBefore w:val="0"/>
        <w:spacing w:line="56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四、开标与评标</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11、开标</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11.1 代理机构将在公开招标公告中规定的时间和地点组织开标。投标人应当按照《操作手册》规定，参加开标活动和在苏采云系统规定的时间内对电子投标文件进行解密。</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11.2 开标仪式由代理机构组织。苏采云系统将自动对项目进行开标，并宣布各投标人名称和投标价格。</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11.3 投标人在开标过程中涉及到的电子投标文件解密、开标结果确认等工作，应按照《操作手册》规定执行。</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11.4 投标人如果对开标过程和开标记录有疑义，应当根据《操作手册》规定提出，如苏采云系统中《开标记录表》宣布后5分钟内未提出的，视同认可开标结果。</w:t>
      </w:r>
      <w:r/>
    </w:p>
    <w:p>
      <w:pPr>
        <w:ind w:firstLine="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12、评标委员会</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开标后，代理机构将立即组织评标委员会进行评标。</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评标委员会由五个有关技术、经济等方面的专家或招标人代表和四个有关技术、经济等方面的专家组成，且人员构成符合政府采购有关规定。</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评标委员会独立工作，负责评标所有电子投标文件并确定中标人。</w:t>
      </w:r>
      <w:r/>
    </w:p>
    <w:p>
      <w:pPr>
        <w:ind w:firstLine="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13、评标过程的保密与公正</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凡是与审查、澄清、评价和比较投标的有关资料以及授标建议等，招标人、评标委员会、代理机构均不得向投标人或与评标无关的其他人员透露。</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在评标过程中，投标人不得以任何行为影响评标过程，否则其电子投标文件将被作为无效投标文件。</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代理机构和评标委员会不向未中标的投标人解释未中标原因，也不公布评标过程中的相关细节。</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 采用综合评分法的项目，未中标的投标人可于中标结果公告期限届满之日起通过苏采云系统查看自己的评审得分及排序情况。</w:t>
      </w:r>
      <w:r/>
    </w:p>
    <w:p>
      <w:pPr>
        <w:ind w:firstLine="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14、电子投标文件的澄清</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评标期间，评标委员会对电子投标文件中含义不明确、同类问题表述不一致或者有明显文字和计算错误的内容 ，有权要求投标人作出必要的澄清、说明或者补正。投标人的澄清、说明或者补正不得超出电子投标文件的范围或者改变电子投标文件的实质性内容。评标委员会并非对每个投标人都做澄清要求。</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需要投标人进行澄清、说明和补正的，评标委员会将通过苏采云系统向投标人发出“澄清要求函”，接到“澄清要求函”的投标人应当按照要求在苏采云系统中提交“澄清响应函”并加盖CA电子公章。澄清、说明和补正的内容作为电子投标文件的补充部分，具体操作方式见《操作手册》。</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在接到评标委员会澄清、说明和补正要求的投标人如未按规定作出澄清、说明和补正，其风险由投标人自行承担。</w:t>
      </w:r>
      <w:r/>
    </w:p>
    <w:p>
      <w:pPr>
        <w:ind w:firstLine="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15、对电子投标文件的初审</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电子投标文件初审分为资格审查和符合性审查。</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15.1.1 资格审查：依据法律法规和招标文件的规定，由招标人或评标委员会评委对电子投标文件中的资格证明文件进行审查。资格审查的结论，招标人或评标委员会评委以书面形式向评标委员会进行反馈。</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招标人或评标委员会评委在进行资格性审查的同时，将在“信用中国”网站（www.creditchina.gov.cn）查询投标人的信用记录，以确定投标人是否具备投标资格。</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15.1.2 符合性审查：依据招标文件的规定，由评标委员会从电子投标文件的有效性、完整性和对招标文件的投标程度进行审查，以确定是否对招标文件的实质性要求作出响应。</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15.1.3 未通过资格审查或符合性审查的投标人，代理机构将在苏采云系统中告知未通过资格审查或符合性审查的原因，评标结束后，代理机构将不再告知未通过资格审查或符合性审查的原因。</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在详细评标之前，评标委员会将首先审查每份电子投标文件是否实质性响应了招标文件的要求。实质性响应的响应应该是与招标文件要求的全部条款、条件和规格相符，没有重大偏离或保留的响应。</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标委员会以少数服从多数的原则作出结论。评标委员会决定电子投标文件的响应性只根据电子投标文件本身的内容，而不寻求外部的证据。</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如果电子投标文件实质上没有响应招标文件的要求，评标委员会将予以拒绝，投标人不得通过修改或撤销不合要求的偏离或保留而使其响应成为实质性响应的响应。</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 评标委员会将对确定为实质性响应的响应进行进一步审核，看其是否有计算上或累加上的算术错误，修正错误的原则如下：</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（1）电子投标文件中开标一览表内容与电子投标文件中相应内容不一致的，以开标一览表为准。</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15.5 评标委员会将按上述修正错误的方法调整电子投标文件中的投标报价，并通过苏采云系统告知投标人，调整后的价格应对投标人具有约束力。如果投标人不接受修正后的价格，则其投标将被拒绝。</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15.6 本次项目采用综合评分法，在综合比较与评价后按照得分由高到低顺序对投标人进行排列。得分相同的，按报价由低到高顺序排列。得分且报价相同的，按服务标准优劣顺序排列。评标委员会根据排名确定1-3名中标候选人。</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15.7 投标人在开、评标全过程中应保持通讯畅通，及时登录苏采云系统查阅、答复相关信息，并安排专人与代理机构及评标委员会联系。</w:t>
      </w:r>
      <w:r/>
    </w:p>
    <w:p>
      <w:pPr>
        <w:ind w:firstLine="0"/>
        <w:pageBreakBefore w:val="0"/>
        <w:spacing w:line="56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五、无效投标条款和废标条款</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16.1无效投标条款</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16.1.1 投标人在苏采云系统规定的时间内未成功解密电子投标文件的。</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16.1.2 投标人未按照招标文件要求上传电子投标文件的。</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16.1.3 投标人同一采购包提交两个（含两个）以上不同的投标报价的。</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16.1.4 投标人不具备招标文件中规定资格要求的。</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16.1.5 投标人的报价超过了采购预算或最高限价的。</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16.1.6 未通过符合性审查的。</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16.1.7 不符合招标文件中规定的实质性要求的。</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16.1.9  电子投标文件含有招标人不能接受的附加条件的。</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16.1.10强化政府采购异常低价审查：</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（一）、政府采购评审中出现下列情形之一的，评审委员会应当启动异常低价投标（响应）审查程序： </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1.投标（响应）报价低于全部通过符合性审查供应商投标（响应）报价平均值50%的，即投标（响应）报价&lt;全部通过符合性审查供应商投标（响应）报价平均值×50%； </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2.投标（响应）报价低于通过符合性审查的次低报价供应商投标（响应）报价50%的，即投标（响应）报价&lt;通过符合性审查的次低报价供应商投标（响应）报价×50%； </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3.投标（响应）报价低于采购项目最高限价45%的，即投标（响应）报价&lt;采购项目最高限价×45%； </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4.评审委员会基于专业判断，认为供应商报价过低，有可能影响产品质量或者不能诚信履约的其他情形。</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评审委员会依据专业经验，参考同类项目中标（中标）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采购人、采购代理机构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四）、采购人应当落实履约验收责任，依法组织履约验收工作，验收内容要包括每一项技术和商务要求的履约情况。对报价触发异常低价投标（响应）审查程序后仍中标（中标）的供应商，采购人要重点关注其履约承诺、实际履约情况等。对可以分期实施的采购项目，实行分期考核、分期验收、分期支付，及时掌握供应商履约进展。如供应商中标（中标）后无正当理由拒不签订政府采购合同的，依法予以处理；如供应商不履行合同或者未按合同约定履行合同导致验收不合格的，采购人应当依法追究其违约责任。</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电子投标文件中必须提供国家确定的认证机构出具的、处于有效期之内的该节能产品认证证书图片）</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16.1.12 电子投标文件未按照招标文件要求加盖CA电子公章的。</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16.1.13 其他法律、法规及本招标文件规定的属无效投标的情形。</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16.2 废标条款</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16.2.1 投标截止时间结束后参加投标的投标人不足三家的。</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16.2.2 出现影响采购公正的违法、违规行为的。</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16.2.3 因重大变故，采购任务取消的。</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16.2.4 评标委员会认定招标文件存在歧义、重大缺陷导致评标工作无法进行。</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16.2.5 因苏采云系统故障原因造成开标不成功的。</w:t>
      </w:r>
      <w:r/>
    </w:p>
    <w:p>
      <w:pPr>
        <w:ind w:firstLine="0"/>
        <w:pageBreakBefore w:val="0"/>
        <w:spacing w:line="56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六、定标</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17、确定中标单位</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17.1 中标候选人的选取原则详见招标文件第二章规定。 </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17.2 招标人应根据评标委员会推荐的中标候选人确定中标人或评标委员会根据排名确定1-3名中标候选人。</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17.3 代理机构将在“江苏政府采购网”发布中标公告，公告期限为1个工作日。</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17.4 若有充分证据证明，中标人出现下列情况之一的，一经查实，将被取消中标资格：</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17.4.1 提供虚假材料谋取中标的。</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17.4.2 向招标人、代理机构行贿或者提供其他不正当利益的。</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17.4.3 属于本文件规定的无效条件，但在评标过程中又未被评标委员会发现的。</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17.4.4 与招标人或者其他投标人恶意串通的。</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17.4.5 采取不正当手段诋毁、排挤其他投标人的。</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17.5 有下列情形之一的，视为投标人串通投标，投标无效：</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17.5.1 不同投标人的电子投标文件由同一单位或者个人编制。</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17.5.2 不同投标人委托同一单位或者个人办理投标事宜。</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17.5.3 不同投标人的电子投标文件载明的项目管理成员或者联系人员为同一人。</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17.5.4 不同投标人的电子投标文件异常一致或者投标报价呈规律性差异。</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17.5.5 不同投标人使用同一电脑上传电子投标文件的。</w:t>
      </w:r>
      <w:r/>
    </w:p>
    <w:p>
      <w:pPr>
        <w:ind w:firstLine="0"/>
        <w:pageBreakBefore w:val="0"/>
        <w:spacing w:line="56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提醒：不同投标人使用同一ip地址上传投标文件的可能会被苏彩云系统认定为串标，请各位投标人予以关注。</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18、质疑处理</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18.1 提出质疑的投标人应当是参与所质疑项目采购活动的投标人。潜在投标人依法获取其可质疑的采购文件的，可以对采购文件提出质疑。</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18.2 投标人认为采购文件、采购过程和采购结果使自己的权益受到损害的，可以在知道或应知其权益受到损害之日起七个工作日内，以书面形式根据下述18.4-18.8条款的规定向代理机构或招标人提出质疑。</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18.2.1 对可以质疑的采购文件提出质疑的，为收到采购文件之日或者采购文件公告期限届满之日；</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18.2.2 对采购过程提出质疑的，为各采购程序环节结束之日；</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18.2.3 对中标结果提出质疑的，为中标结果公告期限届满之日。</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投标人应当在法定质疑期内一次性提出针对同一采购程序环节的质疑。投标人如在法定期限内对同一采购程序环节提出多次质疑的，代理机构、招标人将只对投标人第一次质疑作出答复。</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18.3 以下情形的质疑不予受理</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18.3.1 内容不符合《政府采购质疑和投诉办法》第十二条规定的质疑。</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18.3.2 超出政府采购法定期限的质疑。</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18.3.3 以传真、电子邮件等方式递交的非原件形式的质疑。</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18.3.4 未参加投标活动的投标人或在投标活动中自身权益未受到损害的投标人所提出的质疑。</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18.3.5 投标人组成联合体参加投标，联合体中任何一方或多方未按要求签字、加盖公章的质疑。</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18.4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18.5 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18.6 质疑函应当使用中文。相关当事人提供外文书证或者外国语视听资料的，应当附有中文译本，由翻译机构盖章或者翻译人员签名。</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18.7 质疑函应当书面提交至采购代理机构联系人（详见公开招标公告）处，如为现场提交的，提交时应出示有效身份证明。</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18.8 质疑投标人在法定质疑期内应当一次性提出针对同一采购环节的质疑事项。</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18.9 代理机构在收到投标人的质疑后将及时组织调查核实，在七个工作日内作出答复，答复的内容不涉及商业秘密。</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18.10 代理机构遵循“谁过错谁负担”的原则，有过错的一方承担调查论证费用。质疑查无实据或质疑不成立的，将报财政部门记入投标人诚信档案。</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19、中标通知书</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19.l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19.2 中标通知书将是合同的一个组成部分。对招标人和中标人均具有法律效力。中标通知书发出后，招标人改变中标结果的，或者中标人放弃中标项目的，应当依法承担法律责任。</w:t>
      </w:r>
      <w:r/>
    </w:p>
    <w:p>
      <w:pPr>
        <w:ind w:firstLine="0"/>
        <w:pageBreakBefore w:val="0"/>
        <w:spacing w:line="56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七、合同签订</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20、签订合同</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20.l 中标人应当在中标通知书发出之日起三十日内，按照招标文件确定的事项与招标人签订政府采购合同。</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20.2 招标文件、中标人的电子投标文件及采购过程中有关澄清、承诺文件均应作为合同附件。</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20.3 签订合同后，中标人不得将合同标的进行转包。未经招标人同意，中标人也不得采用分包的形式履行合同，否则招标人有权终止合同。转包或分包造成招标人损失的，中标人应承担相应赔偿责任。</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20.4 中标人除发生法律规定的不能预见、不能避免并不能克服的客观情况外不得放弃或拒绝签订合同。放弃或拒绝签订合同的，财政部门视情将其列入不良行为名单，在一至三年内不得参加南京市政府采购活动。</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20.5 中标人拒绝签订政府采购合同的，或因不可抗力或者自身原因不能履行政府采购合同的，招标人可以按照评标报告推荐的中标候选人名单排序，确定下一候选人为中标人，也可以重新开展政府采购活动。评标报告未推荐中标候选人的，应重新开展政府采购活动。</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21、货物（包含与货物相关的服务）的追加</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21.1 政府采购合同履行中，招标人需追加与合同标的相同的货物（包含与货物相关的服务）的，在不改变合同其他条款的前提下，可以与中标人协商签订补充合同，但所有补充合同的采购金额不超过原合同金额10%。</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八、中国境内生产的组件成本核算基本规则</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一、产品的一级组件是指直接组成产品的组件。产品的二级组件是指直接组成产品一级组件的组件。一级组件不可分解的，视同二级组件。</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三、产品总成本和组件成本以相关会计核算数据、采购合同、进货记录等为基础进行计算。</w:t>
      </w:r>
      <w:r/>
    </w:p>
    <w:p>
      <w:pPr>
        <w:ind w:firstLine="0"/>
        <w:jc w:val="center"/>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四、需要对成本核算规则予以进一步明确的其他有关事项，由财政部会同有关部门另行规定。</w:t>
      </w:r>
      <w:r/>
    </w:p>
    <w:p>
      <w:pPr>
        <w:ind w:firstLine="0"/>
        <w:jc w:val="left"/>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lang w:val="zh-CN"/>
        </w:rPr>
        <w:t xml:space="preserve">八、</w:t>
      </w:r>
      <w:r>
        <w:rPr>
          <w:rFonts w:hint="eastAsia" w:ascii="宋体" w:hAnsi="宋体" w:eastAsia="宋体" w:cs="宋体"/>
          <w:color w:val="auto"/>
          <w:sz w:val="24"/>
          <w:szCs w:val="24"/>
          <w:highlight w:val="none"/>
          <w:lang w:val="zh-CN"/>
        </w:rPr>
        <w:br w:type="page" w:clear="all"/>
      </w:r>
      <w:r/>
    </w:p>
    <w:p>
      <w:pPr>
        <w:pStyle w:val="846"/>
        <w:ind w:firstLine="0"/>
        <w:jc w:val="center"/>
        <w:pageBreakBefore w:val="0"/>
        <w:spacing w:line="560" w:lineRule="exact"/>
        <w:rPr>
          <w:rFonts w:hint="eastAsia" w:ascii="宋体" w:hAnsi="宋体" w:eastAsia="宋体" w:cs="宋体"/>
          <w:color w:val="auto"/>
          <w:sz w:val="24"/>
          <w:szCs w:val="24"/>
          <w:highlight w:val="none"/>
        </w:rPr>
      </w:pPr>
      <w:r/>
      <w:bookmarkStart w:id="7" w:name="_Toc16318"/>
      <w:r>
        <w:rPr>
          <w:rFonts w:hint="eastAsia" w:ascii="宋体" w:hAnsi="宋体" w:eastAsia="宋体" w:cs="宋体"/>
          <w:color w:val="auto"/>
          <w:sz w:val="24"/>
          <w:szCs w:val="24"/>
          <w:highlight w:val="none"/>
        </w:rPr>
        <w:t xml:space="preserve">第三章  评审标准</w:t>
      </w:r>
      <w:bookmarkEnd w:id="7"/>
      <w:r/>
      <w:r/>
    </w:p>
    <w:tbl>
      <w:tblPr>
        <w:tblStyle w:val="856"/>
        <w:tblW w:w="10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090"/>
        <w:gridCol w:w="7010"/>
        <w:gridCol w:w="710"/>
        <w:gridCol w:w="904"/>
      </w:tblGrid>
      <w:tr>
        <w:trPr>
          <w:jc w:val="center"/>
          <w:trHeight w:val="687"/>
        </w:trPr>
        <w:tc>
          <w:tcPr>
            <w:tcW w:w="76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序号</w:t>
            </w:r>
            <w:r/>
          </w:p>
        </w:tc>
        <w:tc>
          <w:tcPr>
            <w:tcW w:w="1090"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评分因素</w:t>
            </w:r>
            <w:r/>
          </w:p>
        </w:tc>
        <w:tc>
          <w:tcPr>
            <w:tcW w:w="7010"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评审标准</w:t>
            </w:r>
            <w:r/>
          </w:p>
        </w:tc>
        <w:tc>
          <w:tcPr>
            <w:tcW w:w="710"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分值</w:t>
            </w:r>
            <w:r/>
          </w:p>
        </w:tc>
        <w:tc>
          <w:tcPr>
            <w:tcW w:w="904"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Hans"/>
              </w:rPr>
            </w:pPr>
            <w:r>
              <w:rPr>
                <w:rFonts w:hint="eastAsia" w:ascii="宋体" w:hAnsi="宋体" w:eastAsia="宋体" w:cs="宋体"/>
                <w:b w:val="0"/>
                <w:bCs/>
                <w:color w:val="auto"/>
                <w:sz w:val="24"/>
                <w:szCs w:val="24"/>
                <w:highlight w:val="none"/>
                <w:lang w:val="en-US" w:eastAsia="zh-Hans"/>
              </w:rPr>
              <w:t xml:space="preserve">备注</w:t>
            </w:r>
            <w:r/>
          </w:p>
        </w:tc>
      </w:tr>
      <w:tr>
        <w:trPr>
          <w:jc w:val="center"/>
          <w:trHeight w:val="446"/>
        </w:trPr>
        <w:tc>
          <w:tcPr>
            <w:gridSpan w:val="5"/>
            <w:tcW w:w="10477"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rPr>
            </w:pPr>
            <w:r/>
            <w:bookmarkStart w:id="8" w:name="_Hlk370300360"/>
            <w:r>
              <w:rPr>
                <w:rFonts w:hint="eastAsia" w:ascii="宋体" w:hAnsi="宋体" w:eastAsia="宋体" w:cs="宋体"/>
                <w:b w:val="0"/>
                <w:bCs/>
                <w:color w:val="auto"/>
                <w:sz w:val="24"/>
                <w:szCs w:val="24"/>
                <w:highlight w:val="none"/>
                <w:lang w:val="en-US"/>
              </w:rPr>
              <w:t xml:space="preserve">一、价格（30分）</w:t>
            </w:r>
            <w:r/>
          </w:p>
        </w:tc>
      </w:tr>
      <w:tr>
        <w:trPr>
          <w:jc w:val="center"/>
        </w:trPr>
        <w:tc>
          <w:tcPr>
            <w:tcW w:w="76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c>
          <w:tcPr>
            <w:tcW w:w="1090"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价格</w:t>
            </w:r>
            <w:r/>
          </w:p>
        </w:tc>
        <w:tc>
          <w:tcPr>
            <w:tcW w:w="7010" w:type="dxa"/>
            <w:vAlign w:val="center"/>
            <w:textDirection w:val="lrTb"/>
            <w:noWrap w:val="false"/>
          </w:tcPr>
          <w:p>
            <w:pPr>
              <w:jc w:val="left"/>
              <w:keepLines w:val="0"/>
              <w:keepNext w:val="0"/>
              <w:pageBreakBefore w:val="0"/>
              <w:spacing w:before="60" w:after="6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采用低价优先法计算，即满足招标文件要求且按照食材基准单价优惠率最高的投标报价为评审基准价，其价格分为满分。</w:t>
            </w:r>
            <w:r/>
          </w:p>
          <w:p>
            <w:pPr>
              <w:jc w:val="left"/>
              <w:keepLines w:val="0"/>
              <w:keepNext w:val="0"/>
              <w:pageBreakBefore w:val="0"/>
              <w:spacing w:before="60" w:after="6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其他供应商的价格分统一按照下列公式计算：报价得分=（1-评审基准价/1-投标报价）×</w:t>
            </w:r>
            <w:r>
              <w:rPr>
                <w:rFonts w:hint="eastAsia" w:ascii="宋体" w:hAnsi="宋体" w:eastAsia="宋体" w:cs="宋体"/>
                <w:b w:val="0"/>
                <w:bCs/>
                <w:color w:val="auto"/>
                <w:sz w:val="24"/>
                <w:szCs w:val="24"/>
                <w:highlight w:val="none"/>
                <w:lang w:val="en-US" w:eastAsia="zh-CN"/>
              </w:rPr>
              <w:t xml:space="preserve">30</w:t>
            </w:r>
            <w:r>
              <w:rPr>
                <w:rFonts w:hint="eastAsia" w:ascii="宋体" w:hAnsi="宋体" w:eastAsia="宋体" w:cs="宋体"/>
                <w:b w:val="0"/>
                <w:bCs/>
                <w:color w:val="auto"/>
                <w:sz w:val="24"/>
                <w:szCs w:val="24"/>
                <w:highlight w:val="none"/>
              </w:rPr>
              <w:t xml:space="preserve">（小数点保留两位）。</w:t>
            </w:r>
            <w:r/>
          </w:p>
        </w:tc>
        <w:tc>
          <w:tcPr>
            <w:tcW w:w="710"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rPr>
            </w:pPr>
            <w:r>
              <w:rPr>
                <w:rFonts w:hint="eastAsia" w:ascii="宋体" w:hAnsi="宋体" w:eastAsia="宋体" w:cs="宋体"/>
                <w:b w:val="0"/>
                <w:bCs/>
                <w:color w:val="auto"/>
                <w:sz w:val="24"/>
                <w:szCs w:val="24"/>
                <w:highlight w:val="none"/>
                <w:lang w:val="en-US"/>
              </w:rPr>
              <w:t xml:space="preserve">30</w:t>
            </w:r>
            <w:r/>
          </w:p>
        </w:tc>
        <w:tc>
          <w:tcPr>
            <w:tcW w:w="904"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Hans"/>
              </w:rPr>
            </w:pPr>
            <w:r>
              <w:rPr>
                <w:rFonts w:hint="eastAsia" w:ascii="宋体" w:hAnsi="宋体" w:eastAsia="宋体" w:cs="宋体"/>
                <w:b w:val="0"/>
                <w:bCs/>
                <w:color w:val="auto"/>
                <w:sz w:val="24"/>
                <w:szCs w:val="24"/>
                <w:highlight w:val="none"/>
                <w:lang w:val="en-US" w:eastAsia="zh-Hans"/>
              </w:rPr>
              <w:t xml:space="preserve">客观分</w:t>
            </w:r>
            <w:r/>
          </w:p>
        </w:tc>
      </w:tr>
      <w:tr>
        <w:trPr>
          <w:jc w:val="center"/>
        </w:trPr>
        <w:tc>
          <w:tcPr>
            <w:gridSpan w:val="5"/>
            <w:tcW w:w="10477"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rPr>
            </w:pPr>
            <w:r>
              <w:rPr>
                <w:rFonts w:hint="eastAsia" w:ascii="宋体" w:hAnsi="宋体" w:eastAsia="宋体" w:cs="宋体"/>
                <w:b w:val="0"/>
                <w:bCs/>
                <w:color w:val="auto"/>
                <w:sz w:val="24"/>
                <w:szCs w:val="24"/>
                <w:highlight w:val="none"/>
                <w:lang w:val="en-US"/>
              </w:rPr>
              <w:t xml:space="preserve">二、技术（</w:t>
            </w:r>
            <w:r>
              <w:rPr>
                <w:rFonts w:hint="eastAsia" w:ascii="宋体" w:hAnsi="宋体" w:eastAsia="宋体" w:cs="宋体"/>
                <w:b w:val="0"/>
                <w:bCs/>
                <w:color w:val="auto"/>
                <w:sz w:val="24"/>
                <w:szCs w:val="24"/>
                <w:highlight w:val="none"/>
                <w:lang w:val="en-US" w:eastAsia="zh"/>
              </w:rPr>
              <w:t xml:space="preserve">20</w:t>
            </w:r>
            <w:r>
              <w:rPr>
                <w:rFonts w:hint="eastAsia" w:ascii="宋体" w:hAnsi="宋体" w:eastAsia="宋体" w:cs="宋体"/>
                <w:b w:val="0"/>
                <w:bCs/>
                <w:color w:val="auto"/>
                <w:sz w:val="24"/>
                <w:szCs w:val="24"/>
                <w:highlight w:val="none"/>
                <w:lang w:val="en-US"/>
              </w:rPr>
              <w:t xml:space="preserve">分）</w:t>
            </w:r>
            <w:r/>
          </w:p>
        </w:tc>
      </w:tr>
      <w:tr>
        <w:trPr>
          <w:jc w:val="center"/>
        </w:trPr>
        <w:tc>
          <w:tcPr>
            <w:tcW w:w="76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rPr>
            </w:pPr>
            <w:r>
              <w:rPr>
                <w:rFonts w:hint="eastAsia" w:ascii="宋体" w:hAnsi="宋体" w:eastAsia="宋体" w:cs="宋体"/>
                <w:b w:val="0"/>
                <w:bCs/>
                <w:color w:val="auto"/>
                <w:sz w:val="24"/>
                <w:szCs w:val="24"/>
                <w:highlight w:val="none"/>
                <w:lang w:val="en-US"/>
              </w:rPr>
              <w:t xml:space="preserve">2.1</w:t>
            </w:r>
            <w:r/>
          </w:p>
        </w:tc>
        <w:tc>
          <w:tcPr>
            <w:tcW w:w="1090"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rPr>
            </w:pPr>
            <w:r>
              <w:rPr>
                <w:rFonts w:hint="eastAsia" w:ascii="宋体" w:hAnsi="宋体" w:eastAsia="宋体" w:cs="宋体"/>
                <w:b w:val="0"/>
                <w:bCs/>
                <w:color w:val="auto"/>
                <w:sz w:val="24"/>
                <w:szCs w:val="24"/>
                <w:highlight w:val="none"/>
                <w:lang w:val="en-US"/>
              </w:rPr>
              <w:t xml:space="preserve">食材质量、安全控制方案</w:t>
            </w:r>
            <w:r/>
          </w:p>
        </w:tc>
        <w:tc>
          <w:tcPr>
            <w:tcW w:w="7010" w:type="dxa"/>
            <w:vAlign w:val="center"/>
            <w:textDirection w:val="lrTb"/>
            <w:noWrap w:val="false"/>
          </w:tcPr>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评委根据供应商提供的食材质量、安全控制方案的完整性、科学性、合理性进行综合打分。</w:t>
            </w:r>
            <w:r/>
          </w:p>
          <w:p>
            <w:pPr>
              <w:ind w:left="0" w:right="0"/>
              <w:jc w:val="left"/>
              <w:keepLines w:val="0"/>
              <w:keepNext w:val="0"/>
              <w:pageBreakBefore w:val="0"/>
              <w:spacing w:before="100" w:beforeAutospacing="0" w:after="100" w:afterAutospacing="0" w:line="360" w:lineRule="auto"/>
              <w:widowControl/>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
              </w:rPr>
              <w:t xml:space="preserve">承诺提供所供货物商品溯源服务（含进货、检验证明材料）</w:t>
            </w:r>
            <w:r>
              <w:rPr>
                <w:rFonts w:hint="eastAsia" w:ascii="宋体" w:hAnsi="宋体" w:eastAsia="宋体" w:cs="宋体"/>
                <w:b w:val="0"/>
                <w:bCs/>
                <w:color w:val="auto"/>
                <w:sz w:val="24"/>
                <w:szCs w:val="24"/>
                <w:highlight w:val="none"/>
                <w:lang w:val="en-US" w:eastAsia="zh" w:bidi="ar"/>
              </w:rPr>
              <w:t xml:space="preserve">，</w:t>
            </w:r>
            <w:r>
              <w:rPr>
                <w:rFonts w:hint="eastAsia" w:ascii="宋体" w:hAnsi="宋体" w:eastAsia="宋体" w:cs="宋体"/>
                <w:b w:val="0"/>
                <w:bCs/>
                <w:color w:val="auto"/>
                <w:sz w:val="24"/>
                <w:szCs w:val="24"/>
                <w:highlight w:val="none"/>
                <w:lang w:val="en-US" w:eastAsia="zh-CN" w:bidi="ar-SA"/>
              </w:rPr>
              <w:t xml:space="preserve">食材质量安全控制方案完整、合理、科学、能够完全满足项目需要的得</w:t>
            </w:r>
            <w:r>
              <w:rPr>
                <w:rFonts w:hint="eastAsia" w:ascii="宋体" w:hAnsi="宋体" w:eastAsia="宋体" w:cs="宋体"/>
                <w:b w:val="0"/>
                <w:bCs/>
                <w:color w:val="auto"/>
                <w:sz w:val="24"/>
                <w:szCs w:val="24"/>
                <w:highlight w:val="none"/>
                <w:lang w:val="en-US" w:eastAsia="zh" w:bidi="ar-SA"/>
              </w:rPr>
              <w:t xml:space="preserve">5</w:t>
            </w:r>
            <w:r>
              <w:rPr>
                <w:rFonts w:hint="eastAsia" w:ascii="宋体" w:hAnsi="宋体" w:eastAsia="宋体" w:cs="宋体"/>
                <w:b w:val="0"/>
                <w:bCs/>
                <w:color w:val="auto"/>
                <w:sz w:val="24"/>
                <w:szCs w:val="24"/>
                <w:highlight w:val="none"/>
                <w:lang w:val="en-US" w:eastAsia="zh-CN" w:bidi="ar-SA"/>
              </w:rPr>
              <w:t xml:space="preserve">分；</w:t>
            </w:r>
            <w:r/>
          </w:p>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
              </w:rPr>
              <w:t xml:space="preserve">承诺提供所供货物商品溯源服务（含进货、检验证明材料）</w:t>
            </w:r>
            <w:r>
              <w:rPr>
                <w:rFonts w:hint="eastAsia" w:ascii="宋体" w:hAnsi="宋体" w:eastAsia="宋体" w:cs="宋体"/>
                <w:b w:val="0"/>
                <w:bCs/>
                <w:color w:val="auto"/>
                <w:sz w:val="24"/>
                <w:szCs w:val="24"/>
                <w:highlight w:val="none"/>
                <w:lang w:val="en-US" w:eastAsia="zh" w:bidi="ar"/>
              </w:rPr>
              <w:t xml:space="preserve">，</w:t>
            </w:r>
            <w:r>
              <w:rPr>
                <w:rFonts w:hint="eastAsia" w:ascii="宋体" w:hAnsi="宋体" w:eastAsia="宋体" w:cs="宋体"/>
                <w:b w:val="0"/>
                <w:bCs/>
                <w:color w:val="auto"/>
                <w:sz w:val="24"/>
                <w:szCs w:val="24"/>
                <w:highlight w:val="none"/>
                <w:lang w:val="en-US" w:eastAsia="zh-CN" w:bidi="ar-SA"/>
              </w:rPr>
              <w:t xml:space="preserve">食材质量安全控制方案较为完整、较为合理、科学，较能满足项目需要的得</w:t>
            </w:r>
            <w:r>
              <w:rPr>
                <w:rFonts w:hint="eastAsia" w:ascii="宋体" w:hAnsi="宋体" w:eastAsia="宋体" w:cs="宋体"/>
                <w:b w:val="0"/>
                <w:bCs/>
                <w:color w:val="auto"/>
                <w:sz w:val="24"/>
                <w:szCs w:val="24"/>
                <w:highlight w:val="none"/>
                <w:lang w:val="en-US" w:eastAsia="zh" w:bidi="ar-SA"/>
              </w:rPr>
              <w:t xml:space="preserve">3</w:t>
            </w:r>
            <w:r>
              <w:rPr>
                <w:rFonts w:hint="eastAsia" w:ascii="宋体" w:hAnsi="宋体" w:eastAsia="宋体" w:cs="宋体"/>
                <w:b w:val="0"/>
                <w:bCs/>
                <w:color w:val="auto"/>
                <w:sz w:val="24"/>
                <w:szCs w:val="24"/>
                <w:highlight w:val="none"/>
                <w:lang w:val="en-US" w:eastAsia="zh-CN" w:bidi="ar-SA"/>
              </w:rPr>
              <w:t xml:space="preserve">分；</w:t>
            </w:r>
            <w:r/>
          </w:p>
          <w:p>
            <w:pPr>
              <w:ind w:left="0" w:right="0"/>
              <w:jc w:val="left"/>
              <w:keepLines w:val="0"/>
              <w:keepNext w:val="0"/>
              <w:pageBreakBefore w:val="0"/>
              <w:spacing w:before="100" w:beforeAutospacing="0" w:after="100" w:afterAutospacing="0" w:line="360" w:lineRule="auto"/>
              <w:widowControl/>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
              </w:rPr>
              <w:t xml:space="preserve">承诺提供所供货物商品溯源服务（含进货、检验证明材料）</w:t>
            </w:r>
            <w:r>
              <w:rPr>
                <w:rFonts w:hint="eastAsia" w:ascii="宋体" w:hAnsi="宋体" w:eastAsia="宋体" w:cs="宋体"/>
                <w:b w:val="0"/>
                <w:bCs/>
                <w:color w:val="auto"/>
                <w:sz w:val="24"/>
                <w:szCs w:val="24"/>
                <w:highlight w:val="none"/>
                <w:lang w:val="en-US" w:eastAsia="zh" w:bidi="ar"/>
              </w:rPr>
              <w:t xml:space="preserve">，</w:t>
            </w:r>
            <w:r>
              <w:rPr>
                <w:rFonts w:hint="eastAsia" w:ascii="宋体" w:hAnsi="宋体" w:eastAsia="宋体" w:cs="宋体"/>
                <w:b w:val="0"/>
                <w:bCs/>
                <w:color w:val="auto"/>
                <w:sz w:val="24"/>
                <w:szCs w:val="24"/>
                <w:highlight w:val="none"/>
                <w:lang w:val="en-US" w:eastAsia="zh-CN" w:bidi="ar-SA"/>
              </w:rPr>
              <w:t xml:space="preserve">食材质量安全控制方案简单、笼统、内容有瑕疵，有待完善的得</w:t>
            </w:r>
            <w:r>
              <w:rPr>
                <w:rFonts w:hint="eastAsia" w:ascii="宋体" w:hAnsi="宋体" w:eastAsia="宋体" w:cs="宋体"/>
                <w:b w:val="0"/>
                <w:bCs/>
                <w:color w:val="auto"/>
                <w:sz w:val="24"/>
                <w:szCs w:val="24"/>
                <w:highlight w:val="none"/>
                <w:lang w:val="en-US" w:eastAsia="zh" w:bidi="ar-SA"/>
              </w:rPr>
              <w:t xml:space="preserve">1</w:t>
            </w:r>
            <w:r>
              <w:rPr>
                <w:rFonts w:hint="eastAsia" w:ascii="宋体" w:hAnsi="宋体" w:eastAsia="宋体" w:cs="宋体"/>
                <w:b w:val="0"/>
                <w:bCs/>
                <w:color w:val="auto"/>
                <w:sz w:val="24"/>
                <w:szCs w:val="24"/>
                <w:highlight w:val="none"/>
                <w:lang w:val="en-US" w:eastAsia="zh-CN" w:bidi="ar-SA"/>
              </w:rPr>
              <w:t xml:space="preserve">分；</w:t>
            </w:r>
            <w:r/>
          </w:p>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 w:bidi="ar"/>
              </w:rPr>
              <w:t xml:space="preserve">未</w:t>
            </w:r>
            <w:r>
              <w:rPr>
                <w:rFonts w:hint="eastAsia" w:ascii="宋体" w:hAnsi="宋体" w:eastAsia="宋体" w:cs="宋体"/>
                <w:b w:val="0"/>
                <w:bCs/>
                <w:color w:val="auto"/>
                <w:sz w:val="24"/>
                <w:szCs w:val="24"/>
                <w:highlight w:val="none"/>
                <w:lang w:val="en-US" w:eastAsia="zh-CN" w:bidi="ar"/>
              </w:rPr>
              <w:t xml:space="preserve">承诺提供所供货物商品溯源服务（含进货、检验证明材料）</w:t>
            </w:r>
            <w:r>
              <w:rPr>
                <w:rFonts w:hint="eastAsia" w:ascii="宋体" w:hAnsi="宋体" w:eastAsia="宋体" w:cs="宋体"/>
                <w:b w:val="0"/>
                <w:bCs/>
                <w:color w:val="auto"/>
                <w:sz w:val="24"/>
                <w:szCs w:val="24"/>
                <w:highlight w:val="none"/>
                <w:lang w:val="en-US" w:eastAsia="zh" w:bidi="ar"/>
              </w:rPr>
              <w:t xml:space="preserve">，</w:t>
            </w:r>
            <w:r>
              <w:rPr>
                <w:rFonts w:hint="eastAsia" w:ascii="宋体" w:hAnsi="宋体" w:eastAsia="宋体" w:cs="宋体"/>
                <w:b w:val="0"/>
                <w:bCs/>
                <w:color w:val="auto"/>
                <w:sz w:val="24"/>
                <w:szCs w:val="24"/>
                <w:highlight w:val="none"/>
                <w:lang w:val="en-US" w:eastAsia="zh-CN" w:bidi="ar-SA"/>
              </w:rPr>
              <w:t xml:space="preserve">食材质量安全控制方案简单、笼统、内容有瑕疵，有待完善的得</w:t>
            </w:r>
            <w:r>
              <w:rPr>
                <w:rFonts w:hint="eastAsia" w:ascii="宋体" w:hAnsi="宋体" w:eastAsia="宋体" w:cs="宋体"/>
                <w:b w:val="0"/>
                <w:bCs/>
                <w:color w:val="auto"/>
                <w:sz w:val="24"/>
                <w:szCs w:val="24"/>
                <w:highlight w:val="none"/>
                <w:lang w:val="en-US" w:eastAsia="zh" w:bidi="ar-SA"/>
              </w:rPr>
              <w:t xml:space="preserve">0</w:t>
            </w:r>
            <w:r>
              <w:rPr>
                <w:rFonts w:hint="eastAsia" w:ascii="宋体" w:hAnsi="宋体" w:eastAsia="宋体" w:cs="宋体"/>
                <w:b w:val="0"/>
                <w:bCs/>
                <w:color w:val="auto"/>
                <w:sz w:val="24"/>
                <w:szCs w:val="24"/>
                <w:highlight w:val="none"/>
                <w:lang w:val="en-US" w:eastAsia="zh-CN" w:bidi="ar-SA"/>
              </w:rPr>
              <w:t xml:space="preserve">分；未提供不得分。</w:t>
            </w:r>
            <w:r/>
          </w:p>
        </w:tc>
        <w:tc>
          <w:tcPr>
            <w:tcW w:w="710"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
              </w:rPr>
              <w:t xml:space="preserve">5</w:t>
            </w:r>
            <w:r/>
          </w:p>
        </w:tc>
        <w:tc>
          <w:tcPr>
            <w:tcW w:w="9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Hans"/>
              </w:rPr>
            </w:pPr>
            <w:r>
              <w:rPr>
                <w:rFonts w:hint="eastAsia" w:ascii="宋体" w:hAnsi="宋体" w:eastAsia="宋体" w:cs="宋体"/>
                <w:b w:val="0"/>
                <w:bCs/>
                <w:color w:val="auto"/>
                <w:sz w:val="24"/>
                <w:szCs w:val="24"/>
                <w:highlight w:val="none"/>
                <w:lang w:val="en-US" w:eastAsia="zh-Hans"/>
              </w:rPr>
              <w:t xml:space="preserve">主观分</w:t>
            </w:r>
            <w:bookmarkEnd w:id="8"/>
            <w:r/>
            <w:r/>
          </w:p>
        </w:tc>
      </w:tr>
      <w:tr>
        <w:trPr>
          <w:jc w:val="center"/>
        </w:trPr>
        <w:tc>
          <w:tcPr>
            <w:tcW w:w="76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rPr>
            </w:pPr>
            <w:r>
              <w:rPr>
                <w:rFonts w:hint="eastAsia" w:ascii="宋体" w:hAnsi="宋体" w:eastAsia="宋体" w:cs="宋体"/>
                <w:b w:val="0"/>
                <w:bCs/>
                <w:color w:val="auto"/>
                <w:sz w:val="24"/>
                <w:szCs w:val="24"/>
                <w:highlight w:val="none"/>
                <w:lang w:val="en-US"/>
              </w:rPr>
              <w:t xml:space="preserve">2.2</w:t>
            </w:r>
            <w:r/>
          </w:p>
        </w:tc>
        <w:tc>
          <w:tcPr>
            <w:tcW w:w="10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食材采购管理方案及食材保存管理方案</w:t>
            </w:r>
            <w:r/>
          </w:p>
        </w:tc>
        <w:tc>
          <w:tcPr>
            <w:tcW w:w="7010" w:type="dxa"/>
            <w:vAlign w:val="center"/>
            <w:textDirection w:val="lrTb"/>
            <w:noWrap w:val="false"/>
          </w:tcPr>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评委根据供应商提供的食材采购管理方案及食材保存管理方案的完整性、科学性、合理性进行综合打分。</w:t>
            </w:r>
            <w:r/>
          </w:p>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食材采购管理方案及食材保存管理方案完整、合理、科学的得</w:t>
            </w:r>
            <w:r>
              <w:rPr>
                <w:rFonts w:hint="eastAsia" w:ascii="宋体" w:hAnsi="宋体" w:eastAsia="宋体" w:cs="宋体"/>
                <w:b w:val="0"/>
                <w:bCs/>
                <w:color w:val="auto"/>
                <w:sz w:val="24"/>
                <w:szCs w:val="24"/>
                <w:highlight w:val="none"/>
                <w:lang w:val="en-US" w:eastAsia="zh" w:bidi="ar-SA"/>
              </w:rPr>
              <w:t xml:space="preserve">2</w:t>
            </w:r>
            <w:r>
              <w:rPr>
                <w:rFonts w:hint="eastAsia" w:ascii="宋体" w:hAnsi="宋体" w:eastAsia="宋体" w:cs="宋体"/>
                <w:b w:val="0"/>
                <w:bCs/>
                <w:color w:val="auto"/>
                <w:sz w:val="24"/>
                <w:szCs w:val="24"/>
                <w:highlight w:val="none"/>
                <w:lang w:val="en-US" w:eastAsia="zh-CN" w:bidi="ar-SA"/>
              </w:rPr>
              <w:t xml:space="preserve">分；</w:t>
            </w:r>
            <w:r/>
          </w:p>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食材采购管理方案及食材保存管理方案较完整、较合理、较科学的得</w:t>
            </w:r>
            <w:r>
              <w:rPr>
                <w:rFonts w:hint="eastAsia" w:ascii="宋体" w:hAnsi="宋体" w:eastAsia="宋体" w:cs="宋体"/>
                <w:b w:val="0"/>
                <w:bCs/>
                <w:color w:val="auto"/>
                <w:sz w:val="24"/>
                <w:szCs w:val="24"/>
                <w:highlight w:val="none"/>
                <w:lang w:val="en-US" w:eastAsia="zh" w:bidi="ar-SA"/>
              </w:rPr>
              <w:t xml:space="preserve">1</w:t>
            </w:r>
            <w:r>
              <w:rPr>
                <w:rFonts w:hint="eastAsia" w:ascii="宋体" w:hAnsi="宋体" w:eastAsia="宋体" w:cs="宋体"/>
                <w:b w:val="0"/>
                <w:bCs/>
                <w:color w:val="auto"/>
                <w:sz w:val="24"/>
                <w:szCs w:val="24"/>
                <w:highlight w:val="none"/>
                <w:lang w:val="en-US" w:eastAsia="zh-CN" w:bidi="ar-SA"/>
              </w:rPr>
              <w:t xml:space="preserve">分；</w:t>
            </w:r>
            <w:r/>
          </w:p>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未提供不得分。</w:t>
            </w:r>
            <w:r/>
          </w:p>
        </w:tc>
        <w:tc>
          <w:tcPr>
            <w:tcW w:w="71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
              </w:rPr>
              <w:t xml:space="preserve">2</w:t>
            </w:r>
            <w:r/>
          </w:p>
        </w:tc>
        <w:tc>
          <w:tcPr>
            <w:tcW w:w="9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Hans"/>
              </w:rPr>
            </w:pPr>
            <w:r>
              <w:rPr>
                <w:rFonts w:hint="eastAsia" w:ascii="宋体" w:hAnsi="宋体" w:eastAsia="宋体" w:cs="宋体"/>
                <w:b w:val="0"/>
                <w:bCs/>
                <w:color w:val="auto"/>
                <w:sz w:val="24"/>
                <w:szCs w:val="24"/>
                <w:highlight w:val="none"/>
                <w:lang w:val="en-US" w:eastAsia="zh-Hans"/>
              </w:rPr>
              <w:t xml:space="preserve">主观分</w:t>
            </w:r>
            <w:r/>
          </w:p>
        </w:tc>
      </w:tr>
      <w:tr>
        <w:trPr>
          <w:jc w:val="center"/>
        </w:trPr>
        <w:tc>
          <w:tcPr>
            <w:tcW w:w="76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rPr>
            </w:pPr>
            <w:r>
              <w:rPr>
                <w:rFonts w:hint="eastAsia" w:ascii="宋体" w:hAnsi="宋体" w:eastAsia="宋体" w:cs="宋体"/>
                <w:b w:val="0"/>
                <w:bCs/>
                <w:color w:val="auto"/>
                <w:sz w:val="24"/>
                <w:szCs w:val="24"/>
                <w:highlight w:val="none"/>
                <w:lang w:val="en-US"/>
              </w:rPr>
              <w:t xml:space="preserve">2.3</w:t>
            </w:r>
            <w:r/>
          </w:p>
        </w:tc>
        <w:tc>
          <w:tcPr>
            <w:tcW w:w="1090"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食材配送服务方案</w:t>
            </w:r>
            <w:r/>
          </w:p>
        </w:tc>
        <w:tc>
          <w:tcPr>
            <w:tcW w:w="7010" w:type="dxa"/>
            <w:vAlign w:val="center"/>
            <w:textDirection w:val="lrTb"/>
            <w:noWrap w:val="false"/>
          </w:tcPr>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评委根据供应商提供的食材配送服务方案</w:t>
            </w:r>
            <w:r>
              <w:rPr>
                <w:rFonts w:hint="eastAsia" w:ascii="宋体" w:hAnsi="宋体" w:eastAsia="宋体" w:cs="宋体"/>
                <w:b w:val="0"/>
                <w:bCs/>
                <w:color w:val="auto"/>
                <w:sz w:val="24"/>
                <w:szCs w:val="24"/>
                <w:highlight w:val="none"/>
                <w:lang w:val="en-US" w:eastAsia="zh" w:bidi="ar-SA"/>
              </w:rPr>
              <w:t xml:space="preserve">。</w:t>
            </w:r>
            <w:r>
              <w:rPr>
                <w:rFonts w:hint="eastAsia" w:ascii="宋体" w:hAnsi="宋体" w:eastAsia="宋体" w:cs="宋体"/>
                <w:b w:val="0"/>
                <w:bCs/>
                <w:color w:val="auto"/>
                <w:sz w:val="24"/>
                <w:szCs w:val="24"/>
                <w:highlight w:val="none"/>
                <w:lang w:val="en-US" w:eastAsia="zh-CN" w:bidi="ar-SA"/>
              </w:rPr>
              <w:t xml:space="preserve">包括：配送整理能力说明、</w:t>
            </w:r>
            <w:r>
              <w:rPr>
                <w:rFonts w:hint="eastAsia" w:ascii="宋体" w:hAnsi="宋体" w:eastAsia="宋体" w:cs="宋体"/>
                <w:b w:val="0"/>
                <w:bCs/>
                <w:color w:val="auto"/>
                <w:sz w:val="24"/>
                <w:szCs w:val="24"/>
                <w:highlight w:val="none"/>
                <w:lang w:val="en-US" w:eastAsia="zh" w:bidi="ar-SA"/>
              </w:rPr>
              <w:t xml:space="preserve">配送路线安排、</w:t>
            </w:r>
            <w:r>
              <w:rPr>
                <w:rFonts w:hint="eastAsia" w:ascii="宋体" w:hAnsi="宋体" w:eastAsia="宋体" w:cs="宋体"/>
                <w:b w:val="0"/>
                <w:bCs/>
                <w:color w:val="auto"/>
                <w:sz w:val="24"/>
                <w:szCs w:val="24"/>
                <w:highlight w:val="none"/>
                <w:lang w:val="en-US" w:eastAsia="zh-CN" w:bidi="ar-SA"/>
              </w:rPr>
              <w:t xml:space="preserve">配送过程中应急处理方案</w:t>
            </w:r>
            <w:r>
              <w:rPr>
                <w:rFonts w:hint="eastAsia" w:ascii="宋体" w:hAnsi="宋体" w:eastAsia="宋体" w:cs="宋体"/>
                <w:b w:val="0"/>
                <w:bCs/>
                <w:color w:val="auto"/>
                <w:sz w:val="24"/>
                <w:szCs w:val="24"/>
                <w:highlight w:val="none"/>
                <w:lang w:val="en-US" w:eastAsia="zh" w:bidi="ar-SA"/>
              </w:rPr>
              <w:t xml:space="preserve">、</w:t>
            </w:r>
            <w:r>
              <w:rPr>
                <w:rFonts w:hint="eastAsia" w:ascii="宋体" w:hAnsi="宋体" w:eastAsia="宋体" w:cs="宋体"/>
                <w:b w:val="0"/>
                <w:bCs/>
                <w:color w:val="auto"/>
                <w:sz w:val="24"/>
                <w:szCs w:val="24"/>
                <w:highlight w:val="none"/>
                <w:lang w:val="en-US" w:eastAsia="zh-CN" w:bidi="ar-SA"/>
              </w:rPr>
              <w:t xml:space="preserve">配送过程中</w:t>
            </w:r>
            <w:r>
              <w:rPr>
                <w:rFonts w:hint="eastAsia" w:ascii="宋体" w:hAnsi="宋体" w:eastAsia="宋体" w:cs="宋体"/>
                <w:b w:val="0"/>
                <w:bCs/>
                <w:color w:val="auto"/>
                <w:sz w:val="24"/>
                <w:szCs w:val="24"/>
                <w:highlight w:val="none"/>
                <w:lang w:val="en-US" w:eastAsia="zh" w:bidi="ar-SA"/>
              </w:rPr>
              <w:t xml:space="preserve">食品</w:t>
            </w:r>
            <w:r>
              <w:rPr>
                <w:rFonts w:hint="eastAsia" w:ascii="宋体" w:hAnsi="宋体" w:eastAsia="宋体" w:cs="宋体"/>
                <w:b w:val="0"/>
                <w:bCs/>
                <w:color w:val="auto"/>
                <w:sz w:val="24"/>
                <w:szCs w:val="24"/>
                <w:highlight w:val="none"/>
                <w:lang w:val="en-US" w:eastAsia="zh-CN" w:bidi="ar-SA"/>
              </w:rPr>
              <w:t xml:space="preserve">安全保障措施</w:t>
            </w:r>
            <w:r>
              <w:rPr>
                <w:rFonts w:hint="eastAsia" w:ascii="宋体" w:hAnsi="宋体" w:eastAsia="宋体" w:cs="宋体"/>
                <w:b w:val="0"/>
                <w:bCs/>
                <w:color w:val="auto"/>
                <w:sz w:val="24"/>
                <w:szCs w:val="24"/>
                <w:highlight w:val="none"/>
                <w:lang w:val="en-US" w:eastAsia="zh" w:bidi="ar-SA"/>
              </w:rPr>
              <w:t xml:space="preserve">，以及</w:t>
            </w:r>
            <w:r>
              <w:rPr>
                <w:rFonts w:hint="eastAsia" w:ascii="宋体" w:hAnsi="宋体" w:eastAsia="宋体" w:cs="宋体"/>
                <w:b w:val="0"/>
                <w:bCs/>
                <w:color w:val="auto"/>
                <w:sz w:val="24"/>
                <w:szCs w:val="24"/>
                <w:highlight w:val="none"/>
                <w:lang w:val="en-US" w:eastAsia="zh-CN" w:bidi="ar-SA"/>
              </w:rPr>
              <w:t xml:space="preserve">应急预案（包括</w:t>
            </w:r>
            <w:r>
              <w:rPr>
                <w:rFonts w:hint="eastAsia" w:ascii="宋体" w:hAnsi="宋体" w:eastAsia="宋体" w:cs="宋体"/>
                <w:b w:val="0"/>
                <w:bCs/>
                <w:color w:val="auto"/>
                <w:sz w:val="24"/>
                <w:szCs w:val="24"/>
                <w:highlight w:val="none"/>
                <w:lang w:val="en-US" w:eastAsia="zh" w:bidi="ar-SA"/>
              </w:rPr>
              <w:t xml:space="preserve">应急人员组成、</w:t>
            </w:r>
            <w:r>
              <w:rPr>
                <w:rFonts w:hint="eastAsia" w:ascii="宋体" w:hAnsi="宋体" w:eastAsia="宋体" w:cs="宋体"/>
                <w:b w:val="0"/>
                <w:bCs/>
                <w:color w:val="auto"/>
                <w:sz w:val="24"/>
                <w:szCs w:val="24"/>
                <w:highlight w:val="none"/>
                <w:lang w:val="en-US" w:eastAsia="zh-CN" w:bidi="ar-SA"/>
              </w:rPr>
              <w:t xml:space="preserve">食物中毒解决措施、临时加餐应急采购措施、质量问题退换货处理措施、遇突发不可抗力（如暴雨、大雪、冰雹等）进行综合评分。</w:t>
            </w:r>
            <w:r/>
          </w:p>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食材配送方案详细、具体、针对性强的得</w:t>
            </w:r>
            <w:r>
              <w:rPr>
                <w:rFonts w:hint="eastAsia" w:ascii="宋体" w:hAnsi="宋体" w:eastAsia="宋体" w:cs="宋体"/>
                <w:b w:val="0"/>
                <w:bCs/>
                <w:color w:val="auto"/>
                <w:sz w:val="24"/>
                <w:szCs w:val="24"/>
                <w:highlight w:val="none"/>
                <w:lang w:val="en-US" w:eastAsia="zh" w:bidi="ar-SA"/>
              </w:rPr>
              <w:t xml:space="preserve">5</w:t>
            </w:r>
            <w:r>
              <w:rPr>
                <w:rFonts w:hint="eastAsia" w:ascii="宋体" w:hAnsi="宋体" w:eastAsia="宋体" w:cs="宋体"/>
                <w:b w:val="0"/>
                <w:bCs/>
                <w:color w:val="auto"/>
                <w:sz w:val="24"/>
                <w:szCs w:val="24"/>
                <w:highlight w:val="none"/>
                <w:lang w:val="en-US" w:eastAsia="zh-CN" w:bidi="ar-SA"/>
              </w:rPr>
              <w:t xml:space="preserve">分；</w:t>
            </w:r>
            <w:r/>
          </w:p>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食材配送方案较为详细具体、针对性较强的得</w:t>
            </w:r>
            <w:r>
              <w:rPr>
                <w:rFonts w:hint="eastAsia" w:ascii="宋体" w:hAnsi="宋体" w:eastAsia="宋体" w:cs="宋体"/>
                <w:b w:val="0"/>
                <w:bCs/>
                <w:color w:val="auto"/>
                <w:sz w:val="24"/>
                <w:szCs w:val="24"/>
                <w:highlight w:val="none"/>
                <w:lang w:val="en-US" w:eastAsia="zh" w:bidi="ar-SA"/>
              </w:rPr>
              <w:t xml:space="preserve">3</w:t>
            </w:r>
            <w:r>
              <w:rPr>
                <w:rFonts w:hint="eastAsia" w:ascii="宋体" w:hAnsi="宋体" w:eastAsia="宋体" w:cs="宋体"/>
                <w:b w:val="0"/>
                <w:bCs/>
                <w:color w:val="auto"/>
                <w:sz w:val="24"/>
                <w:szCs w:val="24"/>
                <w:highlight w:val="none"/>
                <w:lang w:val="en-US" w:eastAsia="zh-CN" w:bidi="ar-SA"/>
              </w:rPr>
              <w:t xml:space="preserve">分；</w:t>
            </w:r>
            <w:r/>
          </w:p>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食材配送方案简单、笼统、缺乏可行性的得1分；</w:t>
            </w:r>
            <w:r/>
          </w:p>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未提供不得分。</w:t>
            </w:r>
            <w:r/>
          </w:p>
        </w:tc>
        <w:tc>
          <w:tcPr>
            <w:tcW w:w="71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
              </w:rPr>
              <w:t xml:space="preserve">5</w:t>
            </w:r>
            <w:r/>
          </w:p>
        </w:tc>
        <w:tc>
          <w:tcPr>
            <w:tcW w:w="9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Hans"/>
              </w:rPr>
            </w:pPr>
            <w:r>
              <w:rPr>
                <w:rFonts w:hint="eastAsia" w:ascii="宋体" w:hAnsi="宋体" w:eastAsia="宋体" w:cs="宋体"/>
                <w:b w:val="0"/>
                <w:bCs/>
                <w:color w:val="auto"/>
                <w:sz w:val="24"/>
                <w:szCs w:val="24"/>
                <w:highlight w:val="none"/>
                <w:lang w:val="en-US" w:eastAsia="zh-Hans"/>
              </w:rPr>
              <w:t xml:space="preserve">主观分</w:t>
            </w:r>
            <w:r/>
          </w:p>
        </w:tc>
      </w:tr>
      <w:tr>
        <w:trPr>
          <w:jc w:val="center"/>
        </w:trPr>
        <w:tc>
          <w:tcPr>
            <w:tcW w:w="76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
              </w:rPr>
              <w:t xml:space="preserve">4</w:t>
            </w:r>
            <w:r/>
          </w:p>
        </w:tc>
        <w:tc>
          <w:tcPr>
            <w:tcW w:w="1090" w:type="dxa"/>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意见反馈及处置方案</w:t>
            </w:r>
            <w:r/>
          </w:p>
        </w:tc>
        <w:tc>
          <w:tcPr>
            <w:tcW w:w="7010" w:type="dxa"/>
            <w:vAlign w:val="center"/>
            <w:textDirection w:val="lrTb"/>
            <w:noWrap w:val="false"/>
          </w:tcPr>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 w:bidi="ar-SA"/>
              </w:rPr>
            </w:pPr>
            <w:r>
              <w:rPr>
                <w:rFonts w:hint="eastAsia" w:ascii="宋体" w:hAnsi="宋体" w:eastAsia="宋体" w:cs="宋体"/>
                <w:b w:val="0"/>
                <w:bCs/>
                <w:color w:val="auto"/>
                <w:sz w:val="24"/>
                <w:szCs w:val="24"/>
                <w:highlight w:val="none"/>
                <w:lang w:val="en-US" w:eastAsia="zh-CN" w:bidi="ar-SA"/>
              </w:rPr>
              <w:t xml:space="preserve">供应商</w:t>
            </w:r>
            <w:r>
              <w:rPr>
                <w:rFonts w:hint="eastAsia" w:ascii="宋体" w:hAnsi="宋体" w:eastAsia="宋体" w:cs="宋体"/>
                <w:b w:val="0"/>
                <w:bCs/>
                <w:color w:val="auto"/>
                <w:sz w:val="24"/>
                <w:szCs w:val="24"/>
                <w:highlight w:val="none"/>
                <w:lang w:val="en-US" w:eastAsia="zh" w:bidi="ar-SA"/>
              </w:rPr>
              <w:t xml:space="preserve">承诺：</w:t>
            </w:r>
            <w:r/>
          </w:p>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对服务过程中采购人发现问题的意见反馈及时，</w:t>
            </w:r>
            <w:r>
              <w:rPr>
                <w:rFonts w:hint="eastAsia" w:ascii="宋体" w:hAnsi="宋体" w:eastAsia="宋体" w:cs="宋体"/>
                <w:b w:val="0"/>
                <w:bCs/>
                <w:color w:val="auto"/>
                <w:sz w:val="24"/>
                <w:szCs w:val="24"/>
                <w:highlight w:val="none"/>
                <w:lang w:val="en-US" w:eastAsia="zh" w:bidi="ar-SA"/>
              </w:rPr>
              <w:t xml:space="preserve">当天</w:t>
            </w:r>
            <w:r>
              <w:rPr>
                <w:rFonts w:hint="eastAsia" w:ascii="宋体" w:hAnsi="宋体" w:eastAsia="宋体" w:cs="宋体"/>
                <w:b w:val="0"/>
                <w:bCs/>
                <w:color w:val="auto"/>
                <w:sz w:val="24"/>
                <w:szCs w:val="24"/>
                <w:highlight w:val="none"/>
                <w:lang w:val="en-US" w:eastAsia="zh-CN" w:bidi="ar-SA"/>
              </w:rPr>
              <w:t xml:space="preserve">处置妥善准确的得</w:t>
            </w:r>
            <w:r>
              <w:rPr>
                <w:rFonts w:hint="eastAsia" w:ascii="宋体" w:hAnsi="宋体" w:eastAsia="宋体" w:cs="宋体"/>
                <w:b w:val="0"/>
                <w:bCs/>
                <w:color w:val="auto"/>
                <w:sz w:val="24"/>
                <w:szCs w:val="24"/>
                <w:highlight w:val="none"/>
                <w:lang w:val="en-US" w:eastAsia="zh" w:bidi="ar-SA"/>
              </w:rPr>
              <w:t xml:space="preserve">5</w:t>
            </w:r>
            <w:r>
              <w:rPr>
                <w:rFonts w:hint="eastAsia" w:ascii="宋体" w:hAnsi="宋体" w:eastAsia="宋体" w:cs="宋体"/>
                <w:b w:val="0"/>
                <w:bCs/>
                <w:color w:val="auto"/>
                <w:sz w:val="24"/>
                <w:szCs w:val="24"/>
                <w:highlight w:val="none"/>
                <w:lang w:val="en-US" w:eastAsia="zh-CN" w:bidi="ar-SA"/>
              </w:rPr>
              <w:t xml:space="preserve">分；</w:t>
            </w:r>
            <w:r/>
          </w:p>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对服务过程中采购人发现问题的意见反馈较为及时，</w:t>
            </w:r>
            <w:r>
              <w:rPr>
                <w:rFonts w:hint="eastAsia" w:ascii="宋体" w:hAnsi="宋体" w:eastAsia="宋体" w:cs="宋体"/>
                <w:b w:val="0"/>
                <w:bCs/>
                <w:color w:val="auto"/>
                <w:sz w:val="24"/>
                <w:szCs w:val="24"/>
                <w:highlight w:val="none"/>
                <w:lang w:val="en-US" w:eastAsia="zh" w:bidi="ar-SA"/>
              </w:rPr>
              <w:t xml:space="preserve">第二日</w:t>
            </w:r>
            <w:r>
              <w:rPr>
                <w:rFonts w:hint="eastAsia" w:ascii="宋体" w:hAnsi="宋体" w:eastAsia="宋体" w:cs="宋体"/>
                <w:b w:val="0"/>
                <w:bCs/>
                <w:color w:val="auto"/>
                <w:sz w:val="24"/>
                <w:szCs w:val="24"/>
                <w:highlight w:val="none"/>
                <w:lang w:val="en-US" w:eastAsia="zh-CN" w:bidi="ar-SA"/>
              </w:rPr>
              <w:t xml:space="preserve">处置较妥善准确的得2分；</w:t>
            </w:r>
            <w:r/>
          </w:p>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 w:bidi="ar-SA"/>
              </w:rPr>
            </w:pPr>
            <w:r>
              <w:rPr>
                <w:rFonts w:hint="eastAsia" w:ascii="宋体" w:hAnsi="宋体" w:eastAsia="宋体" w:cs="宋体"/>
                <w:b w:val="0"/>
                <w:bCs/>
                <w:color w:val="auto"/>
                <w:sz w:val="24"/>
                <w:szCs w:val="24"/>
                <w:highlight w:val="none"/>
                <w:lang w:val="en-US" w:eastAsia="zh" w:bidi="ar-SA"/>
              </w:rPr>
              <w:t xml:space="preserve">其余</w:t>
            </w:r>
            <w:r>
              <w:rPr>
                <w:rFonts w:hint="eastAsia" w:ascii="宋体" w:hAnsi="宋体" w:eastAsia="宋体" w:cs="宋体"/>
                <w:b w:val="0"/>
                <w:bCs/>
                <w:color w:val="auto"/>
                <w:sz w:val="24"/>
                <w:szCs w:val="24"/>
                <w:highlight w:val="none"/>
                <w:lang w:val="en-US" w:eastAsia="zh-CN" w:bidi="ar-SA"/>
              </w:rPr>
              <w:t xml:space="preserve">不得分</w:t>
            </w:r>
            <w:r>
              <w:rPr>
                <w:rFonts w:hint="eastAsia" w:ascii="宋体" w:hAnsi="宋体" w:eastAsia="宋体" w:cs="宋体"/>
                <w:b w:val="0"/>
                <w:bCs/>
                <w:color w:val="auto"/>
                <w:sz w:val="24"/>
                <w:szCs w:val="24"/>
                <w:highlight w:val="none"/>
                <w:lang w:val="en-US" w:eastAsia="zh" w:bidi="ar-SA"/>
              </w:rPr>
              <w:t xml:space="preserve">。</w:t>
            </w:r>
            <w:r/>
          </w:p>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上传</w:t>
            </w:r>
            <w:r>
              <w:rPr>
                <w:rFonts w:hint="eastAsia" w:ascii="宋体" w:hAnsi="宋体" w:eastAsia="宋体" w:cs="宋体"/>
                <w:b w:val="0"/>
                <w:bCs/>
                <w:color w:val="auto"/>
                <w:sz w:val="24"/>
                <w:szCs w:val="24"/>
                <w:highlight w:val="none"/>
                <w:lang w:val="en-US" w:eastAsia="zh" w:bidi="ar-SA"/>
              </w:rPr>
              <w:t xml:space="preserve">承诺书，</w:t>
            </w:r>
            <w:r>
              <w:rPr>
                <w:rFonts w:hint="eastAsia" w:ascii="宋体" w:hAnsi="宋体" w:eastAsia="宋体" w:cs="宋体"/>
                <w:b w:val="0"/>
                <w:bCs/>
                <w:color w:val="auto"/>
                <w:sz w:val="24"/>
                <w:szCs w:val="24"/>
                <w:highlight w:val="none"/>
                <w:lang w:val="en-US" w:eastAsia="zh-CN" w:bidi="ar-SA"/>
              </w:rPr>
              <w:t xml:space="preserve">加盖公章或电子签章的检测报告至投标系统</w:t>
            </w:r>
            <w:r/>
          </w:p>
        </w:tc>
        <w:tc>
          <w:tcPr>
            <w:tcW w:w="710"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
              </w:rPr>
              <w:t xml:space="preserve">5</w:t>
            </w:r>
            <w:r/>
          </w:p>
        </w:tc>
        <w:tc>
          <w:tcPr>
            <w:tcW w:w="904"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Hans"/>
              </w:rPr>
            </w:pPr>
            <w:r>
              <w:rPr>
                <w:rFonts w:hint="eastAsia" w:ascii="宋体" w:hAnsi="宋体" w:eastAsia="宋体" w:cs="宋体"/>
                <w:b w:val="0"/>
                <w:bCs/>
                <w:color w:val="auto"/>
                <w:sz w:val="24"/>
                <w:szCs w:val="24"/>
                <w:highlight w:val="none"/>
                <w:lang w:val="en-US" w:eastAsia="zh"/>
              </w:rPr>
              <w:t xml:space="preserve">客观</w:t>
            </w:r>
            <w:r>
              <w:rPr>
                <w:rFonts w:hint="eastAsia" w:ascii="宋体" w:hAnsi="宋体" w:eastAsia="宋体" w:cs="宋体"/>
                <w:b w:val="0"/>
                <w:bCs/>
                <w:color w:val="auto"/>
                <w:sz w:val="24"/>
                <w:szCs w:val="24"/>
                <w:highlight w:val="none"/>
                <w:lang w:val="en-US" w:eastAsia="zh-Hans"/>
              </w:rPr>
              <w:t xml:space="preserve">分</w:t>
            </w:r>
            <w:r/>
          </w:p>
        </w:tc>
      </w:tr>
      <w:tr>
        <w:trPr>
          <w:jc w:val="center"/>
        </w:trPr>
        <w:tc>
          <w:tcPr>
            <w:tcW w:w="76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
              </w:rPr>
              <w:t xml:space="preserve">5</w:t>
            </w:r>
            <w:r/>
          </w:p>
        </w:tc>
        <w:tc>
          <w:tcPr>
            <w:tcW w:w="1090" w:type="dxa"/>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 w:bidi="ar-SA"/>
              </w:rPr>
              <w:t xml:space="preserve">管理组织、文档建立管理方案</w:t>
            </w:r>
            <w:r/>
          </w:p>
        </w:tc>
        <w:tc>
          <w:tcPr>
            <w:tcW w:w="7010" w:type="dxa"/>
            <w:vAlign w:val="center"/>
            <w:textDirection w:val="lrTb"/>
            <w:noWrap w:val="false"/>
          </w:tcPr>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 w:bidi="ar-SA"/>
              </w:rPr>
            </w:pPr>
            <w:r>
              <w:rPr>
                <w:rFonts w:hint="eastAsia" w:ascii="宋体" w:hAnsi="宋体" w:eastAsia="宋体" w:cs="宋体"/>
                <w:b w:val="0"/>
                <w:bCs/>
                <w:color w:val="auto"/>
                <w:sz w:val="24"/>
                <w:szCs w:val="24"/>
                <w:highlight w:val="none"/>
                <w:lang w:val="en-US" w:eastAsia="zh" w:bidi="ar-SA"/>
              </w:rPr>
              <w:t xml:space="preserve">评委根据供应商提供的管理组织、文档建立管理方案（包括管理机构、人员情况、服务过程记录、票据保管及相关文件管理归档等）综合评分。</w:t>
            </w:r>
            <w:r/>
          </w:p>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 w:bidi="ar-SA"/>
              </w:rPr>
            </w:pPr>
            <w:r>
              <w:rPr>
                <w:rFonts w:hint="eastAsia" w:ascii="宋体" w:hAnsi="宋体" w:eastAsia="宋体" w:cs="宋体"/>
                <w:b w:val="0"/>
                <w:bCs/>
                <w:color w:val="auto"/>
                <w:sz w:val="24"/>
                <w:szCs w:val="24"/>
                <w:highlight w:val="none"/>
                <w:lang w:val="en-US" w:eastAsia="zh" w:bidi="ar-SA"/>
              </w:rPr>
              <w:t xml:space="preserve">供应商设立的管理机构及人员分工合理可行，文档建立管理方案中，服务过程记录全面，票据保管及相关文件管理归档规定明确合理的得3分；</w:t>
            </w:r>
            <w:r/>
          </w:p>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 w:bidi="ar-SA"/>
              </w:rPr>
            </w:pPr>
            <w:r>
              <w:rPr>
                <w:rFonts w:hint="eastAsia" w:ascii="宋体" w:hAnsi="宋体" w:eastAsia="宋体" w:cs="宋体"/>
                <w:b w:val="0"/>
                <w:bCs/>
                <w:color w:val="auto"/>
                <w:sz w:val="24"/>
                <w:szCs w:val="24"/>
                <w:highlight w:val="none"/>
                <w:lang w:val="en-US" w:eastAsia="zh" w:bidi="ar-SA"/>
              </w:rPr>
              <w:t xml:space="preserve">供应商设立的管理机构及人员分工较为合理可行，文档建立管理方案中，服务过程记录较全面，票据保管及相关文件管理归档规定较明确的得2分；</w:t>
            </w:r>
            <w:r/>
          </w:p>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 w:bidi="ar-SA"/>
              </w:rPr>
            </w:pPr>
            <w:r>
              <w:rPr>
                <w:rFonts w:hint="eastAsia" w:ascii="宋体" w:hAnsi="宋体" w:eastAsia="宋体" w:cs="宋体"/>
                <w:b w:val="0"/>
                <w:bCs/>
                <w:color w:val="auto"/>
                <w:sz w:val="24"/>
                <w:szCs w:val="24"/>
                <w:highlight w:val="none"/>
                <w:lang w:val="en-US" w:eastAsia="zh" w:bidi="ar-SA"/>
              </w:rPr>
              <w:t xml:space="preserve">供应商设立的管理机构及人员分工基本合理可行，文档建立管理方案中，服务过程记录基本全面、票据保管及相关文件管理归档规定基本明确合理的得1分；</w:t>
            </w:r>
            <w:r/>
          </w:p>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 w:bidi="ar-SA"/>
              </w:rPr>
            </w:pPr>
            <w:r>
              <w:rPr>
                <w:rFonts w:hint="eastAsia" w:ascii="宋体" w:hAnsi="宋体" w:eastAsia="宋体" w:cs="宋体"/>
                <w:b w:val="0"/>
                <w:bCs/>
                <w:color w:val="auto"/>
                <w:sz w:val="24"/>
                <w:szCs w:val="24"/>
                <w:highlight w:val="none"/>
                <w:lang w:val="en-US" w:eastAsia="zh" w:bidi="ar-SA"/>
              </w:rPr>
              <w:t xml:space="preserve">未提供不得分。</w:t>
            </w:r>
            <w:r/>
          </w:p>
        </w:tc>
        <w:tc>
          <w:tcPr>
            <w:tcW w:w="710"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
              </w:rPr>
            </w:pPr>
            <w:r>
              <w:rPr>
                <w:rFonts w:hint="eastAsia" w:ascii="宋体" w:hAnsi="宋体" w:eastAsia="宋体" w:cs="宋体"/>
                <w:b w:val="0"/>
                <w:bCs/>
                <w:color w:val="auto"/>
                <w:sz w:val="24"/>
                <w:szCs w:val="24"/>
                <w:highlight w:val="none"/>
                <w:lang w:val="en-US" w:eastAsia="zh"/>
              </w:rPr>
              <w:t xml:space="preserve">3</w:t>
            </w:r>
            <w:r/>
          </w:p>
        </w:tc>
        <w:tc>
          <w:tcPr>
            <w:tcW w:w="904"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Hans"/>
              </w:rPr>
            </w:pPr>
            <w:r>
              <w:rPr>
                <w:rFonts w:hint="eastAsia" w:ascii="宋体" w:hAnsi="宋体" w:eastAsia="宋体" w:cs="宋体"/>
                <w:b w:val="0"/>
                <w:bCs/>
                <w:color w:val="auto"/>
                <w:sz w:val="24"/>
                <w:szCs w:val="24"/>
                <w:highlight w:val="none"/>
                <w:lang w:val="en-US" w:eastAsia="zh-Hans"/>
              </w:rPr>
              <w:t xml:space="preserve">主观分</w:t>
            </w:r>
            <w:r/>
          </w:p>
        </w:tc>
      </w:tr>
      <w:tr>
        <w:trPr>
          <w:jc w:val="center"/>
        </w:trPr>
        <w:tc>
          <w:tcPr>
            <w:gridSpan w:val="5"/>
            <w:tcW w:w="1047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rPr>
            </w:pPr>
            <w:r>
              <w:rPr>
                <w:rFonts w:hint="eastAsia" w:ascii="宋体" w:hAnsi="宋体" w:eastAsia="宋体" w:cs="宋体"/>
                <w:b w:val="0"/>
                <w:bCs/>
                <w:color w:val="auto"/>
                <w:sz w:val="24"/>
                <w:szCs w:val="24"/>
                <w:highlight w:val="none"/>
                <w:lang w:val="en-US"/>
              </w:rPr>
              <w:t xml:space="preserve">三、商务（</w:t>
            </w:r>
            <w:r>
              <w:rPr>
                <w:rFonts w:hint="eastAsia" w:ascii="宋体" w:hAnsi="宋体" w:eastAsia="宋体" w:cs="宋体"/>
                <w:b w:val="0"/>
                <w:bCs/>
                <w:color w:val="auto"/>
                <w:sz w:val="24"/>
                <w:szCs w:val="24"/>
                <w:highlight w:val="none"/>
                <w:lang w:val="en-US" w:eastAsia="zh"/>
              </w:rPr>
              <w:t xml:space="preserve">50</w:t>
            </w:r>
            <w:r>
              <w:rPr>
                <w:rFonts w:hint="eastAsia" w:ascii="宋体" w:hAnsi="宋体" w:eastAsia="宋体" w:cs="宋体"/>
                <w:b w:val="0"/>
                <w:bCs/>
                <w:color w:val="auto"/>
                <w:sz w:val="24"/>
                <w:szCs w:val="24"/>
                <w:highlight w:val="none"/>
                <w:lang w:val="en-US"/>
              </w:rPr>
              <w:t xml:space="preserve">分）</w:t>
            </w:r>
            <w:r/>
          </w:p>
        </w:tc>
      </w:tr>
      <w:tr>
        <w:trPr>
          <w:jc w:val="center"/>
        </w:trPr>
        <w:tc>
          <w:tcPr>
            <w:tcW w:w="76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3.1</w:t>
            </w:r>
            <w:r/>
          </w:p>
        </w:tc>
        <w:tc>
          <w:tcPr>
            <w:tcW w:w="1090"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检测报告</w:t>
            </w:r>
            <w:r/>
          </w:p>
        </w:tc>
        <w:tc>
          <w:tcPr>
            <w:tcW w:w="7010" w:type="dxa"/>
            <w:vAlign w:val="center"/>
            <w:textDirection w:val="lrTb"/>
            <w:noWrap w:val="false"/>
          </w:tcPr>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投标人提供具有CMA标识的产品（鲜猪肉、牛肉、羊肉、水产、</w:t>
            </w:r>
            <w:r>
              <w:rPr>
                <w:rFonts w:hint="eastAsia" w:ascii="宋体" w:hAnsi="宋体" w:eastAsia="宋体" w:cs="宋体"/>
                <w:b w:val="0"/>
                <w:bCs/>
                <w:color w:val="auto"/>
                <w:sz w:val="24"/>
                <w:szCs w:val="24"/>
                <w:highlight w:val="none"/>
                <w:lang w:val="en-US" w:eastAsia="zh" w:bidi="ar-SA"/>
              </w:rPr>
              <w:t xml:space="preserve">鸡蛋</w:t>
            </w:r>
            <w:r>
              <w:rPr>
                <w:rFonts w:hint="eastAsia" w:ascii="宋体" w:hAnsi="宋体" w:eastAsia="宋体" w:cs="宋体"/>
                <w:b w:val="0"/>
                <w:bCs/>
                <w:color w:val="auto"/>
                <w:sz w:val="24"/>
                <w:szCs w:val="24"/>
                <w:highlight w:val="none"/>
                <w:lang w:val="en-US" w:eastAsia="zh-CN" w:bidi="ar-SA"/>
              </w:rPr>
              <w:t xml:space="preserve">、禽类、蔬菜、水果）检测报告，每提供1项得0.5分，最多得4分（上传加盖公章或电子签章的检测报告至投标系统）。</w:t>
            </w:r>
            <w:r/>
          </w:p>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 w:bidi="ar-SA"/>
              </w:rPr>
            </w:pPr>
            <w:r>
              <w:rPr>
                <w:rFonts w:hint="eastAsia" w:ascii="宋体" w:hAnsi="宋体" w:eastAsia="宋体" w:cs="宋体"/>
                <w:b w:val="0"/>
                <w:bCs/>
                <w:color w:val="auto"/>
                <w:sz w:val="24"/>
                <w:szCs w:val="24"/>
                <w:highlight w:val="none"/>
                <w:lang w:val="en-US" w:eastAsia="zh" w:bidi="ar-SA"/>
              </w:rPr>
              <w:t xml:space="preserve">说明：</w:t>
            </w:r>
            <w:r>
              <w:rPr>
                <w:rFonts w:hint="eastAsia" w:ascii="宋体" w:hAnsi="宋体" w:eastAsia="宋体" w:cs="宋体"/>
                <w:b w:val="0"/>
                <w:bCs/>
                <w:color w:val="auto"/>
                <w:sz w:val="24"/>
                <w:szCs w:val="24"/>
                <w:highlight w:val="none"/>
                <w:lang w:val="en-US" w:eastAsia="zh-CN" w:bidi="ar-SA"/>
              </w:rPr>
              <w:t xml:space="preserve">鲜猪肉、牛肉、羊肉、水产、</w:t>
            </w:r>
            <w:r>
              <w:rPr>
                <w:rFonts w:hint="eastAsia" w:ascii="宋体" w:hAnsi="宋体" w:eastAsia="宋体" w:cs="宋体"/>
                <w:b w:val="0"/>
                <w:bCs/>
                <w:color w:val="auto"/>
                <w:sz w:val="24"/>
                <w:szCs w:val="24"/>
                <w:highlight w:val="none"/>
                <w:lang w:val="en-US" w:eastAsia="zh" w:bidi="ar-SA"/>
              </w:rPr>
              <w:t xml:space="preserve">鸡蛋</w:t>
            </w:r>
            <w:r>
              <w:rPr>
                <w:rFonts w:hint="eastAsia" w:ascii="宋体" w:hAnsi="宋体" w:eastAsia="宋体" w:cs="宋体"/>
                <w:b w:val="0"/>
                <w:bCs/>
                <w:color w:val="auto"/>
                <w:sz w:val="24"/>
                <w:szCs w:val="24"/>
                <w:highlight w:val="none"/>
                <w:lang w:val="en-US" w:eastAsia="zh-CN" w:bidi="ar-SA"/>
              </w:rPr>
              <w:t xml:space="preserve">、禽类、蔬菜、水果</w:t>
            </w:r>
            <w:r>
              <w:rPr>
                <w:rFonts w:hint="eastAsia" w:ascii="宋体" w:hAnsi="宋体" w:eastAsia="宋体" w:cs="宋体"/>
                <w:b w:val="0"/>
                <w:bCs/>
                <w:color w:val="auto"/>
                <w:sz w:val="24"/>
                <w:szCs w:val="24"/>
                <w:highlight w:val="none"/>
                <w:lang w:val="en-US" w:eastAsia="zh" w:bidi="ar-SA"/>
              </w:rPr>
              <w:t xml:space="preserve">，</w:t>
            </w:r>
            <w:r>
              <w:rPr>
                <w:rFonts w:hint="eastAsia" w:ascii="宋体" w:hAnsi="宋体" w:eastAsia="宋体" w:cs="宋体"/>
                <w:b w:val="0"/>
                <w:bCs/>
                <w:color w:val="auto"/>
                <w:sz w:val="24"/>
                <w:szCs w:val="24"/>
                <w:highlight w:val="none"/>
                <w:lang w:val="en-US" w:eastAsia="zh-CN" w:bidi="ar-SA"/>
              </w:rPr>
              <w:t xml:space="preserve">八</w:t>
            </w:r>
            <w:r>
              <w:rPr>
                <w:rFonts w:hint="eastAsia" w:ascii="宋体" w:hAnsi="宋体" w:eastAsia="宋体" w:cs="宋体"/>
                <w:b w:val="0"/>
                <w:bCs/>
                <w:color w:val="auto"/>
                <w:sz w:val="24"/>
                <w:szCs w:val="24"/>
                <w:highlight w:val="none"/>
                <w:lang w:val="en-US" w:eastAsia="zh" w:bidi="ar-SA"/>
              </w:rPr>
              <w:t xml:space="preserve">类产品、每一类为1项，同一类不重复计分。比如，无论提供几种禽类的检测报告，只按1分计算。</w:t>
            </w:r>
            <w:r/>
          </w:p>
        </w:tc>
        <w:tc>
          <w:tcPr>
            <w:tcW w:w="71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4</w:t>
            </w:r>
            <w:r/>
          </w:p>
        </w:tc>
        <w:tc>
          <w:tcPr>
            <w:tcW w:w="9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Hans" w:bidi="ar-SA"/>
              </w:rPr>
            </w:pPr>
            <w:r>
              <w:rPr>
                <w:rFonts w:hint="eastAsia" w:ascii="宋体" w:hAnsi="宋体" w:eastAsia="宋体" w:cs="宋体"/>
                <w:b w:val="0"/>
                <w:bCs/>
                <w:color w:val="auto"/>
                <w:sz w:val="24"/>
                <w:szCs w:val="24"/>
                <w:highlight w:val="none"/>
                <w:lang w:val="en-US" w:eastAsia="zh-Hans"/>
              </w:rPr>
              <w:t xml:space="preserve">客观分</w:t>
            </w:r>
            <w:r/>
          </w:p>
        </w:tc>
      </w:tr>
      <w:tr>
        <w:trPr>
          <w:jc w:val="center"/>
        </w:trPr>
        <w:tc>
          <w:tcPr>
            <w:tcW w:w="76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3.2</w:t>
            </w:r>
            <w:r/>
          </w:p>
        </w:tc>
        <w:tc>
          <w:tcPr>
            <w:tcW w:w="109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W w:w="7010" w:type="dxa"/>
            <w:vAlign w:val="center"/>
            <w:textDirection w:val="lrTb"/>
            <w:noWrap w:val="false"/>
          </w:tcPr>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投标人提供具有CMA标识的产品（调味品、米、面、油、杂粮、干货、奶制品、豆制品、面制品）检测报告</w:t>
            </w:r>
            <w:r>
              <w:rPr>
                <w:rFonts w:hint="eastAsia" w:ascii="宋体" w:hAnsi="宋体" w:eastAsia="宋体" w:cs="宋体"/>
                <w:b w:val="0"/>
                <w:bCs/>
                <w:color w:val="auto"/>
                <w:sz w:val="24"/>
                <w:szCs w:val="24"/>
                <w:highlight w:val="none"/>
                <w:lang w:val="en-US" w:eastAsia="zh" w:bidi="ar-SA"/>
              </w:rPr>
              <w:t xml:space="preserve">（检测报告时间要求：开标当日</w:t>
            </w:r>
            <w:r>
              <w:rPr>
                <w:rFonts w:hint="eastAsia" w:ascii="宋体" w:hAnsi="宋体" w:eastAsia="宋体" w:cs="宋体"/>
                <w:b w:val="0"/>
                <w:bCs/>
                <w:color w:val="auto"/>
                <w:sz w:val="24"/>
                <w:szCs w:val="24"/>
                <w:highlight w:val="none"/>
                <w:lang w:val="en-US" w:eastAsia="zh-CN" w:bidi="ar-SA"/>
              </w:rPr>
              <w:t xml:space="preserve">近 3 个月内的第三方检测报告</w:t>
            </w:r>
            <w:r>
              <w:rPr>
                <w:rFonts w:hint="eastAsia" w:ascii="宋体" w:hAnsi="宋体" w:eastAsia="宋体" w:cs="宋体"/>
                <w:b w:val="0"/>
                <w:bCs/>
                <w:color w:val="auto"/>
                <w:sz w:val="24"/>
                <w:szCs w:val="24"/>
                <w:highlight w:val="none"/>
                <w:lang w:val="en-US" w:eastAsia="zh" w:bidi="ar-SA"/>
              </w:rPr>
              <w:t xml:space="preserve">，报告内容</w:t>
            </w:r>
            <w:r>
              <w:rPr>
                <w:rFonts w:hint="eastAsia" w:ascii="宋体" w:hAnsi="宋体" w:eastAsia="宋体" w:cs="宋体"/>
                <w:b w:val="0"/>
                <w:bCs/>
                <w:color w:val="auto"/>
                <w:sz w:val="24"/>
                <w:szCs w:val="24"/>
                <w:highlight w:val="none"/>
                <w:lang w:val="en-US" w:eastAsia="zh-CN" w:bidi="ar-SA"/>
              </w:rPr>
              <w:t xml:space="preserve">涵盖</w:t>
            </w:r>
            <w:r>
              <w:rPr>
                <w:rFonts w:hint="eastAsia" w:ascii="宋体" w:hAnsi="宋体" w:eastAsia="宋体" w:cs="宋体"/>
                <w:b w:val="0"/>
                <w:bCs/>
                <w:color w:val="auto"/>
                <w:sz w:val="24"/>
                <w:szCs w:val="24"/>
                <w:highlight w:val="none"/>
                <w:lang w:val="en-US" w:eastAsia="zh" w:bidi="ar-SA"/>
              </w:rPr>
              <w:t xml:space="preserve">：</w:t>
            </w:r>
            <w:r>
              <w:rPr>
                <w:rFonts w:hint="eastAsia" w:ascii="宋体" w:hAnsi="宋体" w:eastAsia="宋体" w:cs="宋体"/>
                <w:b w:val="0"/>
                <w:bCs/>
                <w:color w:val="auto"/>
                <w:sz w:val="24"/>
                <w:szCs w:val="24"/>
                <w:highlight w:val="none"/>
                <w:lang w:val="en-US" w:eastAsia="zh-CN" w:bidi="ar-SA"/>
              </w:rPr>
              <w:t xml:space="preserve">农残、重金属、</w:t>
            </w:r>
            <w:r>
              <w:rPr>
                <w:rFonts w:hint="eastAsia" w:ascii="宋体" w:hAnsi="宋体" w:eastAsia="宋体" w:cs="宋体"/>
                <w:b w:val="0"/>
                <w:bCs/>
                <w:color w:val="auto"/>
                <w:sz w:val="24"/>
                <w:szCs w:val="24"/>
                <w:highlight w:val="none"/>
                <w:lang w:val="en-US" w:eastAsia="zh" w:bidi="ar-SA"/>
              </w:rPr>
              <w:t xml:space="preserve">防腐剂、</w:t>
            </w:r>
            <w:r>
              <w:rPr>
                <w:rFonts w:hint="eastAsia" w:ascii="宋体" w:hAnsi="宋体" w:eastAsia="宋体" w:cs="宋体"/>
                <w:b w:val="0"/>
                <w:bCs/>
                <w:color w:val="auto"/>
                <w:sz w:val="24"/>
                <w:szCs w:val="24"/>
                <w:highlight w:val="none"/>
                <w:lang w:val="en-US" w:eastAsia="zh-CN" w:bidi="ar-SA"/>
              </w:rPr>
              <w:t xml:space="preserve">黄曲霉毒素 B1</w:t>
            </w:r>
            <w:r>
              <w:rPr>
                <w:rFonts w:hint="eastAsia" w:ascii="宋体" w:hAnsi="宋体" w:eastAsia="宋体" w:cs="宋体"/>
                <w:b w:val="0"/>
                <w:bCs/>
                <w:color w:val="auto"/>
                <w:sz w:val="24"/>
                <w:szCs w:val="24"/>
                <w:highlight w:val="none"/>
                <w:lang w:val="en-US" w:eastAsia="zh" w:bidi="ar-SA"/>
              </w:rPr>
              <w:t xml:space="preserve">、微生物</w:t>
            </w:r>
            <w:r>
              <w:rPr>
                <w:rFonts w:hint="eastAsia" w:ascii="宋体" w:hAnsi="宋体" w:eastAsia="宋体" w:cs="宋体"/>
                <w:b w:val="0"/>
                <w:bCs/>
                <w:color w:val="auto"/>
                <w:sz w:val="24"/>
                <w:szCs w:val="24"/>
                <w:highlight w:val="none"/>
                <w:lang w:val="en-US" w:eastAsia="zh-CN" w:bidi="ar-SA"/>
              </w:rPr>
              <w:t xml:space="preserve">等指标</w:t>
            </w:r>
            <w:r>
              <w:rPr>
                <w:rFonts w:hint="eastAsia" w:ascii="宋体" w:hAnsi="宋体" w:eastAsia="宋体" w:cs="宋体"/>
                <w:b w:val="0"/>
                <w:bCs/>
                <w:color w:val="auto"/>
                <w:sz w:val="24"/>
                <w:szCs w:val="24"/>
                <w:highlight w:val="none"/>
                <w:lang w:val="en-US" w:eastAsia="zh" w:bidi="ar-SA"/>
              </w:rPr>
              <w:t xml:space="preserve">中的一项或多项）</w:t>
            </w:r>
            <w:r>
              <w:rPr>
                <w:rFonts w:hint="eastAsia" w:ascii="宋体" w:hAnsi="宋体" w:eastAsia="宋体" w:cs="宋体"/>
                <w:b w:val="0"/>
                <w:bCs/>
                <w:color w:val="auto"/>
                <w:sz w:val="24"/>
                <w:szCs w:val="24"/>
                <w:highlight w:val="none"/>
                <w:lang w:val="en-US" w:eastAsia="zh-CN" w:bidi="ar-SA"/>
              </w:rPr>
              <w:t xml:space="preserve">，每提供1</w:t>
            </w:r>
            <w:r>
              <w:rPr>
                <w:rFonts w:hint="eastAsia" w:ascii="宋体" w:hAnsi="宋体" w:eastAsia="宋体" w:cs="宋体"/>
                <w:b w:val="0"/>
                <w:bCs/>
                <w:color w:val="auto"/>
                <w:sz w:val="24"/>
                <w:szCs w:val="24"/>
                <w:highlight w:val="none"/>
                <w:lang w:val="en-US" w:eastAsia="zh" w:bidi="ar-SA"/>
              </w:rPr>
              <w:t xml:space="preserve">项</w:t>
            </w:r>
            <w:r>
              <w:rPr>
                <w:rFonts w:hint="eastAsia" w:ascii="宋体" w:hAnsi="宋体" w:eastAsia="宋体" w:cs="宋体"/>
                <w:b w:val="0"/>
                <w:bCs/>
                <w:color w:val="auto"/>
                <w:sz w:val="24"/>
                <w:szCs w:val="24"/>
                <w:highlight w:val="none"/>
                <w:lang w:val="en-US" w:eastAsia="zh-CN" w:bidi="ar-SA"/>
              </w:rPr>
              <w:t xml:space="preserve">得0.5分，最多得4分（上传加盖公章或电子签章的检测报告至投标系统）。</w:t>
            </w:r>
            <w:r/>
          </w:p>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 w:bidi="ar-SA"/>
              </w:rPr>
            </w:pPr>
            <w:r>
              <w:rPr>
                <w:rFonts w:hint="eastAsia" w:ascii="宋体" w:hAnsi="宋体" w:eastAsia="宋体" w:cs="宋体"/>
                <w:b w:val="0"/>
                <w:bCs/>
                <w:color w:val="auto"/>
                <w:sz w:val="24"/>
                <w:szCs w:val="24"/>
                <w:highlight w:val="none"/>
                <w:lang w:val="en-US" w:eastAsia="zh" w:bidi="ar-SA"/>
              </w:rPr>
              <w:t xml:space="preserve">说明：</w:t>
            </w:r>
            <w:r>
              <w:rPr>
                <w:rFonts w:hint="eastAsia" w:ascii="宋体" w:hAnsi="宋体" w:eastAsia="宋体" w:cs="宋体"/>
                <w:b w:val="0"/>
                <w:bCs/>
                <w:color w:val="auto"/>
                <w:sz w:val="24"/>
                <w:szCs w:val="24"/>
                <w:highlight w:val="none"/>
                <w:lang w:val="en-US" w:eastAsia="zh-CN" w:bidi="ar-SA"/>
              </w:rPr>
              <w:t xml:space="preserve">调味品、米、面、油、杂粮、干货、奶制品、豆制品、面制品</w:t>
            </w:r>
            <w:r>
              <w:rPr>
                <w:rFonts w:hint="eastAsia" w:ascii="宋体" w:hAnsi="宋体" w:eastAsia="宋体" w:cs="宋体"/>
                <w:b w:val="0"/>
                <w:bCs/>
                <w:color w:val="auto"/>
                <w:sz w:val="24"/>
                <w:szCs w:val="24"/>
                <w:highlight w:val="none"/>
                <w:lang w:val="en-US" w:eastAsia="zh" w:bidi="ar-SA"/>
              </w:rPr>
              <w:t xml:space="preserve">，九类产品、每一类为1项，同一类不重复计分。比如，无论提供几种豆制品的检测报告，只按1分计算。</w:t>
            </w:r>
            <w:r/>
          </w:p>
        </w:tc>
        <w:tc>
          <w:tcPr>
            <w:tcW w:w="71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w:t>
            </w:r>
            <w:r/>
          </w:p>
        </w:tc>
        <w:tc>
          <w:tcPr>
            <w:tcW w:w="9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Hans" w:bidi="ar-SA"/>
              </w:rPr>
            </w:pPr>
            <w:r>
              <w:rPr>
                <w:rFonts w:hint="eastAsia" w:ascii="宋体" w:hAnsi="宋体" w:eastAsia="宋体" w:cs="宋体"/>
                <w:b w:val="0"/>
                <w:bCs/>
                <w:color w:val="auto"/>
                <w:sz w:val="24"/>
                <w:szCs w:val="24"/>
                <w:highlight w:val="none"/>
                <w:lang w:val="en-US" w:eastAsia="zh-Hans"/>
              </w:rPr>
              <w:t xml:space="preserve">客观分</w:t>
            </w:r>
            <w:r/>
          </w:p>
        </w:tc>
      </w:tr>
      <w:tr>
        <w:trPr>
          <w:jc w:val="center"/>
        </w:trPr>
        <w:tc>
          <w:tcPr>
            <w:tcW w:w="76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3.3</w:t>
            </w:r>
            <w:r/>
          </w:p>
        </w:tc>
        <w:tc>
          <w:tcPr>
            <w:tcW w:w="109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W w:w="7010" w:type="dxa"/>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 w:bidi="ar-SA"/>
              </w:rPr>
            </w:pPr>
            <w:r>
              <w:rPr>
                <w:rFonts w:hint="eastAsia" w:ascii="宋体" w:hAnsi="宋体" w:eastAsia="宋体" w:cs="宋体"/>
                <w:b w:val="0"/>
                <w:bCs/>
                <w:color w:val="auto"/>
                <w:sz w:val="24"/>
                <w:szCs w:val="24"/>
                <w:highlight w:val="none"/>
                <w:lang w:val="en-US" w:eastAsia="zh" w:bidi="ar-SA"/>
              </w:rPr>
              <w:t xml:space="preserve">投标人承诺：中标后可以提供每批次食材的农药残留、重金属检测合格证明。提供此承诺的得2分。上传加盖公章或电子签章承诺书至投标系统。</w:t>
            </w:r>
            <w:r/>
          </w:p>
        </w:tc>
        <w:tc>
          <w:tcPr>
            <w:tcW w:w="710"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
              </w:rPr>
              <w:t xml:space="preserve">2</w:t>
            </w:r>
            <w:r/>
          </w:p>
        </w:tc>
        <w:tc>
          <w:tcPr>
            <w:tcW w:w="904"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Hans" w:bidi="ar-SA"/>
              </w:rPr>
            </w:pPr>
            <w:r>
              <w:rPr>
                <w:rFonts w:hint="eastAsia" w:ascii="宋体" w:hAnsi="宋体" w:eastAsia="宋体" w:cs="宋体"/>
                <w:b w:val="0"/>
                <w:bCs/>
                <w:color w:val="auto"/>
                <w:sz w:val="24"/>
                <w:szCs w:val="24"/>
                <w:highlight w:val="none"/>
                <w:lang w:val="en-US" w:eastAsia="zh-Hans"/>
              </w:rPr>
              <w:t xml:space="preserve">客观分</w:t>
            </w:r>
            <w:r/>
          </w:p>
        </w:tc>
      </w:tr>
      <w:tr>
        <w:trPr>
          <w:jc w:val="center"/>
        </w:trPr>
        <w:tc>
          <w:tcPr>
            <w:tcW w:w="76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w:t>
            </w:r>
            <w:r/>
          </w:p>
        </w:tc>
        <w:tc>
          <w:tcPr>
            <w:tcW w:w="1090"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冷藏车辆</w:t>
            </w:r>
            <w:r/>
          </w:p>
        </w:tc>
        <w:tc>
          <w:tcPr>
            <w:tcW w:w="7010" w:type="dxa"/>
            <w:vAlign w:val="center"/>
            <w:textDirection w:val="lrTb"/>
            <w:noWrap w:val="false"/>
          </w:tcPr>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投标人</w:t>
            </w:r>
            <w:r>
              <w:rPr>
                <w:rFonts w:hint="eastAsia" w:ascii="宋体" w:hAnsi="宋体" w:eastAsia="宋体" w:cs="宋体"/>
                <w:b w:val="0"/>
                <w:bCs/>
                <w:color w:val="auto"/>
                <w:sz w:val="24"/>
                <w:szCs w:val="24"/>
                <w:highlight w:val="none"/>
                <w:lang w:val="en-US" w:eastAsia="zh" w:bidi="ar-SA"/>
              </w:rPr>
              <w:t xml:space="preserve">至少</w:t>
            </w:r>
            <w:r>
              <w:rPr>
                <w:rFonts w:hint="eastAsia" w:ascii="宋体" w:hAnsi="宋体" w:eastAsia="宋体" w:cs="宋体"/>
                <w:b w:val="0"/>
                <w:bCs/>
                <w:color w:val="auto"/>
                <w:sz w:val="24"/>
                <w:szCs w:val="24"/>
                <w:highlight w:val="none"/>
                <w:lang w:val="en-US" w:eastAsia="zh-CN" w:bidi="ar-SA"/>
              </w:rPr>
              <w:t xml:space="preserve">具备</w:t>
            </w:r>
            <w:r>
              <w:rPr>
                <w:rFonts w:hint="eastAsia" w:ascii="宋体" w:hAnsi="宋体" w:eastAsia="宋体" w:cs="宋体"/>
                <w:b w:val="0"/>
                <w:bCs/>
                <w:color w:val="auto"/>
                <w:sz w:val="24"/>
                <w:szCs w:val="24"/>
                <w:highlight w:val="none"/>
                <w:lang w:val="en-US" w:eastAsia="zh" w:bidi="ar-SA"/>
              </w:rPr>
              <w:t xml:space="preserve">1辆</w:t>
            </w:r>
            <w:r>
              <w:rPr>
                <w:rFonts w:hint="eastAsia" w:ascii="宋体" w:hAnsi="宋体" w:eastAsia="宋体" w:cs="宋体"/>
                <w:b w:val="0"/>
                <w:bCs/>
                <w:color w:val="auto"/>
                <w:sz w:val="24"/>
                <w:szCs w:val="24"/>
                <w:highlight w:val="none"/>
                <w:lang w:val="en-US" w:eastAsia="zh-CN" w:bidi="ar-SA"/>
              </w:rPr>
              <w:t xml:space="preserve">冷藏运输车辆，</w:t>
            </w:r>
            <w:r>
              <w:rPr>
                <w:rFonts w:hint="eastAsia" w:ascii="宋体" w:hAnsi="宋体" w:eastAsia="宋体" w:cs="宋体"/>
                <w:b w:val="0"/>
                <w:bCs/>
                <w:color w:val="auto"/>
                <w:sz w:val="24"/>
                <w:szCs w:val="24"/>
                <w:highlight w:val="none"/>
                <w:lang w:val="en-US" w:eastAsia="zh" w:bidi="ar-SA"/>
              </w:rPr>
              <w:t xml:space="preserve">在此基础上</w:t>
            </w:r>
            <w:r>
              <w:rPr>
                <w:rFonts w:hint="eastAsia" w:ascii="宋体" w:hAnsi="宋体" w:eastAsia="宋体" w:cs="宋体"/>
                <w:b w:val="0"/>
                <w:bCs/>
                <w:color w:val="auto"/>
                <w:sz w:val="24"/>
                <w:szCs w:val="24"/>
                <w:highlight w:val="none"/>
                <w:lang w:val="en-US" w:eastAsia="zh-CN" w:bidi="ar-SA"/>
              </w:rPr>
              <w:t xml:space="preserve">每</w:t>
            </w:r>
            <w:r>
              <w:rPr>
                <w:rFonts w:hint="eastAsia" w:ascii="宋体" w:hAnsi="宋体" w:eastAsia="宋体" w:cs="宋体"/>
                <w:b w:val="0"/>
                <w:bCs/>
                <w:color w:val="auto"/>
                <w:sz w:val="24"/>
                <w:szCs w:val="24"/>
                <w:highlight w:val="none"/>
                <w:lang w:val="en-US" w:eastAsia="zh" w:bidi="ar-SA"/>
              </w:rPr>
              <w:t xml:space="preserve">多</w:t>
            </w:r>
            <w:r>
              <w:rPr>
                <w:rFonts w:hint="eastAsia" w:ascii="宋体" w:hAnsi="宋体" w:eastAsia="宋体" w:cs="宋体"/>
                <w:b w:val="0"/>
                <w:bCs/>
                <w:color w:val="auto"/>
                <w:sz w:val="24"/>
                <w:szCs w:val="24"/>
                <w:highlight w:val="none"/>
                <w:lang w:val="en-US" w:eastAsia="zh-CN" w:bidi="ar-SA"/>
              </w:rPr>
              <w:t xml:space="preserve">提供一辆得1分，满分3分。（车辆为自有或租赁。车辆为自有的，提供车辆行驶证电子件。车辆为租赁的，提供租赁合同、车辆行驶证电子件，上传加盖公章或电子签章的证明材料）</w:t>
            </w:r>
            <w:r/>
          </w:p>
        </w:tc>
        <w:tc>
          <w:tcPr>
            <w:tcW w:w="71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w:t>
            </w:r>
            <w:r/>
          </w:p>
        </w:tc>
        <w:tc>
          <w:tcPr>
            <w:tcW w:w="9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Hans"/>
              </w:rPr>
            </w:pPr>
            <w:r>
              <w:rPr>
                <w:rFonts w:hint="eastAsia" w:ascii="宋体" w:hAnsi="宋体" w:eastAsia="宋体" w:cs="宋体"/>
                <w:b w:val="0"/>
                <w:bCs/>
                <w:color w:val="auto"/>
                <w:sz w:val="24"/>
                <w:szCs w:val="24"/>
                <w:highlight w:val="none"/>
                <w:lang w:val="en-US" w:eastAsia="zh-Hans"/>
              </w:rPr>
              <w:t xml:space="preserve">客观分</w:t>
            </w:r>
            <w:r/>
          </w:p>
        </w:tc>
      </w:tr>
      <w:tr>
        <w:trPr>
          <w:jc w:val="center"/>
          <w:trHeight w:val="1640"/>
        </w:trPr>
        <w:tc>
          <w:tcPr>
            <w:tcW w:w="76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5.1</w:t>
            </w:r>
            <w:r/>
          </w:p>
        </w:tc>
        <w:tc>
          <w:tcPr>
            <w:tcW w:w="1090"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仓库</w:t>
            </w:r>
            <w:r/>
          </w:p>
        </w:tc>
        <w:tc>
          <w:tcPr>
            <w:tcW w:w="7010" w:type="dxa"/>
            <w:vAlign w:val="center"/>
            <w:textDirection w:val="lrTb"/>
            <w:noWrap w:val="false"/>
          </w:tcPr>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投标人具有储存食品冷冻仓库的得</w:t>
            </w:r>
            <w:r>
              <w:rPr>
                <w:rFonts w:hint="eastAsia" w:ascii="宋体" w:hAnsi="宋体" w:eastAsia="宋体" w:cs="宋体"/>
                <w:b w:val="0"/>
                <w:bCs/>
                <w:color w:val="auto"/>
                <w:sz w:val="24"/>
                <w:szCs w:val="24"/>
                <w:highlight w:val="none"/>
                <w:lang w:val="en-US" w:eastAsia="zh" w:bidi="ar-SA"/>
              </w:rPr>
              <w:t xml:space="preserve">3</w:t>
            </w:r>
            <w:r>
              <w:rPr>
                <w:rFonts w:hint="eastAsia" w:ascii="宋体" w:hAnsi="宋体" w:eastAsia="宋体" w:cs="宋体"/>
                <w:b w:val="0"/>
                <w:bCs/>
                <w:color w:val="auto"/>
                <w:sz w:val="24"/>
                <w:szCs w:val="24"/>
                <w:highlight w:val="none"/>
                <w:lang w:val="en-US" w:eastAsia="zh-CN" w:bidi="ar-SA"/>
              </w:rPr>
              <w:t xml:space="preserve">分。（须提供房屋产权证明及冷库位置，如为租赁需同时提供房屋产权证明、租赁协议，未体现不得分，上传加盖公章或电子签章的证明材料）</w:t>
            </w:r>
            <w:r/>
          </w:p>
        </w:tc>
        <w:tc>
          <w:tcPr>
            <w:tcW w:w="71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
              </w:rPr>
              <w:t xml:space="preserve">3</w:t>
            </w:r>
            <w:r/>
          </w:p>
        </w:tc>
        <w:tc>
          <w:tcPr>
            <w:tcW w:w="9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Hans"/>
              </w:rPr>
            </w:pPr>
            <w:r>
              <w:rPr>
                <w:rFonts w:hint="eastAsia" w:ascii="宋体" w:hAnsi="宋体" w:eastAsia="宋体" w:cs="宋体"/>
                <w:b w:val="0"/>
                <w:bCs/>
                <w:color w:val="auto"/>
                <w:sz w:val="24"/>
                <w:szCs w:val="24"/>
                <w:highlight w:val="none"/>
                <w:lang w:val="en-US" w:eastAsia="zh-Hans"/>
              </w:rPr>
              <w:t xml:space="preserve">客观分</w:t>
            </w:r>
            <w:r/>
          </w:p>
        </w:tc>
      </w:tr>
      <w:tr>
        <w:trPr>
          <w:jc w:val="center"/>
          <w:trHeight w:val="1640"/>
        </w:trPr>
        <w:tc>
          <w:tcPr>
            <w:tcW w:w="76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5.2</w:t>
            </w:r>
            <w:r/>
          </w:p>
        </w:tc>
        <w:tc>
          <w:tcPr>
            <w:tcW w:w="109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W w:w="7010" w:type="dxa"/>
            <w:vAlign w:val="center"/>
            <w:textDirection w:val="lrTb"/>
            <w:noWrap w:val="false"/>
          </w:tcPr>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投标人具有储存食品</w:t>
            </w:r>
            <w:r>
              <w:rPr>
                <w:rFonts w:hint="eastAsia" w:ascii="宋体" w:hAnsi="宋体" w:eastAsia="宋体" w:cs="宋体"/>
                <w:b w:val="0"/>
                <w:bCs/>
                <w:color w:val="auto"/>
                <w:sz w:val="24"/>
                <w:szCs w:val="24"/>
                <w:highlight w:val="none"/>
                <w:lang w:val="en-US" w:eastAsia="zh" w:bidi="ar-SA"/>
              </w:rPr>
              <w:t xml:space="preserve">保鲜</w:t>
            </w:r>
            <w:r>
              <w:rPr>
                <w:rFonts w:hint="eastAsia" w:ascii="宋体" w:hAnsi="宋体" w:eastAsia="宋体" w:cs="宋体"/>
                <w:b w:val="0"/>
                <w:bCs/>
                <w:color w:val="auto"/>
                <w:sz w:val="24"/>
                <w:szCs w:val="24"/>
                <w:highlight w:val="none"/>
                <w:lang w:val="en-US" w:eastAsia="zh-CN" w:bidi="ar-SA"/>
              </w:rPr>
              <w:t xml:space="preserve">仓库的得</w:t>
            </w:r>
            <w:r>
              <w:rPr>
                <w:rFonts w:hint="eastAsia" w:ascii="宋体" w:hAnsi="宋体" w:eastAsia="宋体" w:cs="宋体"/>
                <w:b w:val="0"/>
                <w:bCs/>
                <w:color w:val="auto"/>
                <w:sz w:val="24"/>
                <w:szCs w:val="24"/>
                <w:highlight w:val="none"/>
                <w:lang w:val="en-US" w:eastAsia="zh" w:bidi="ar-SA"/>
              </w:rPr>
              <w:t xml:space="preserve">3</w:t>
            </w:r>
            <w:r>
              <w:rPr>
                <w:rFonts w:hint="eastAsia" w:ascii="宋体" w:hAnsi="宋体" w:eastAsia="宋体" w:cs="宋体"/>
                <w:b w:val="0"/>
                <w:bCs/>
                <w:color w:val="auto"/>
                <w:sz w:val="24"/>
                <w:szCs w:val="24"/>
                <w:highlight w:val="none"/>
                <w:lang w:val="en-US" w:eastAsia="zh-CN" w:bidi="ar-SA"/>
              </w:rPr>
              <w:t xml:space="preserve">分。（须提供房屋产权证明及保鲜仓库位置，如为租赁需同时提供房屋产权证明、租赁协议，未体现不得分，上传加盖公章或电子签章的证明材料）</w:t>
            </w:r>
            <w:r/>
          </w:p>
        </w:tc>
        <w:tc>
          <w:tcPr>
            <w:tcW w:w="71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
              </w:rPr>
              <w:t xml:space="preserve">3</w:t>
            </w:r>
            <w:r/>
          </w:p>
        </w:tc>
        <w:tc>
          <w:tcPr>
            <w:tcW w:w="9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Hans" w:bidi="ar-SA"/>
              </w:rPr>
            </w:pPr>
            <w:r>
              <w:rPr>
                <w:rFonts w:hint="eastAsia" w:ascii="宋体" w:hAnsi="宋体" w:eastAsia="宋体" w:cs="宋体"/>
                <w:b w:val="0"/>
                <w:bCs/>
                <w:color w:val="auto"/>
                <w:sz w:val="24"/>
                <w:szCs w:val="24"/>
                <w:highlight w:val="none"/>
                <w:lang w:val="en-US" w:eastAsia="zh-Hans"/>
              </w:rPr>
              <w:t xml:space="preserve">客观分</w:t>
            </w:r>
            <w:r/>
          </w:p>
        </w:tc>
      </w:tr>
      <w:tr>
        <w:trPr>
          <w:jc w:val="center"/>
          <w:trHeight w:val="1640"/>
        </w:trPr>
        <w:tc>
          <w:tcPr>
            <w:tcW w:w="76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5.3</w:t>
            </w:r>
            <w:r/>
          </w:p>
        </w:tc>
        <w:tc>
          <w:tcPr>
            <w:tcW w:w="109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W w:w="7010" w:type="dxa"/>
            <w:vAlign w:val="center"/>
            <w:textDirection w:val="lrTb"/>
            <w:noWrap w:val="false"/>
          </w:tcPr>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 w:bidi="ar-SA"/>
              </w:rPr>
            </w:pPr>
            <w:r>
              <w:rPr>
                <w:rFonts w:hint="eastAsia" w:ascii="宋体" w:hAnsi="宋体" w:eastAsia="宋体" w:cs="宋体"/>
                <w:b w:val="0"/>
                <w:bCs/>
                <w:color w:val="auto"/>
                <w:sz w:val="24"/>
                <w:szCs w:val="24"/>
                <w:highlight w:val="none"/>
                <w:lang w:val="en-US" w:eastAsia="zh-CN" w:bidi="ar-SA"/>
              </w:rPr>
              <w:t xml:space="preserve">投标人具有储存粮油</w:t>
            </w:r>
            <w:r>
              <w:rPr>
                <w:rFonts w:hint="eastAsia" w:ascii="宋体" w:hAnsi="宋体" w:eastAsia="宋体" w:cs="宋体"/>
                <w:b w:val="0"/>
                <w:bCs/>
                <w:color w:val="auto"/>
                <w:sz w:val="24"/>
                <w:szCs w:val="24"/>
                <w:highlight w:val="none"/>
                <w:lang w:val="en-US" w:eastAsia="zh" w:bidi="ar-SA"/>
              </w:rPr>
              <w:t xml:space="preserve">的仓库，</w:t>
            </w:r>
            <w:r>
              <w:rPr>
                <w:rFonts w:hint="eastAsia" w:ascii="宋体" w:hAnsi="宋体" w:eastAsia="宋体" w:cs="宋体"/>
                <w:b w:val="0"/>
                <w:bCs/>
                <w:color w:val="auto"/>
                <w:sz w:val="24"/>
                <w:szCs w:val="24"/>
                <w:highlight w:val="none"/>
                <w:lang w:val="en-US" w:eastAsia="zh-CN" w:bidi="ar-SA"/>
              </w:rPr>
              <w:t xml:space="preserve">存储条件达标（避光、阴凉、密封，保质期内质量稳定）</w:t>
            </w:r>
            <w:r>
              <w:rPr>
                <w:rFonts w:hint="eastAsia" w:ascii="宋体" w:hAnsi="宋体" w:eastAsia="宋体" w:cs="宋体"/>
                <w:b w:val="0"/>
                <w:bCs/>
                <w:color w:val="auto"/>
                <w:sz w:val="24"/>
                <w:szCs w:val="24"/>
                <w:highlight w:val="none"/>
                <w:lang w:val="en-US" w:eastAsia="zh" w:bidi="ar-SA"/>
              </w:rPr>
              <w:t xml:space="preserve">的得3分。</w:t>
            </w:r>
            <w:r/>
          </w:p>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 w:bidi="ar-SA"/>
              </w:rPr>
              <w:t xml:space="preserve">上传</w:t>
            </w:r>
            <w:r>
              <w:rPr>
                <w:rFonts w:hint="eastAsia" w:ascii="宋体" w:hAnsi="宋体" w:eastAsia="宋体" w:cs="宋体"/>
                <w:b w:val="0"/>
                <w:bCs/>
                <w:color w:val="auto"/>
                <w:sz w:val="24"/>
                <w:szCs w:val="24"/>
                <w:highlight w:val="none"/>
                <w:lang w:val="en-US" w:eastAsia="zh-CN" w:bidi="ar-SA"/>
              </w:rPr>
              <w:t xml:space="preserve">加盖公章或电子签章</w:t>
            </w:r>
            <w:r>
              <w:rPr>
                <w:rFonts w:hint="eastAsia" w:ascii="宋体" w:hAnsi="宋体" w:eastAsia="宋体" w:cs="宋体"/>
                <w:b w:val="0"/>
                <w:bCs/>
                <w:color w:val="auto"/>
                <w:sz w:val="24"/>
                <w:szCs w:val="24"/>
                <w:highlight w:val="none"/>
                <w:lang w:val="en-US" w:eastAsia="zh" w:bidi="ar-SA"/>
              </w:rPr>
              <w:t xml:space="preserve">的证明资料：包括</w:t>
            </w:r>
            <w:r>
              <w:rPr>
                <w:rFonts w:hint="eastAsia" w:ascii="宋体" w:hAnsi="宋体" w:eastAsia="宋体" w:cs="宋体"/>
                <w:b w:val="0"/>
                <w:bCs/>
                <w:color w:val="auto"/>
                <w:sz w:val="24"/>
                <w:szCs w:val="24"/>
                <w:highlight w:val="none"/>
                <w:lang w:val="en-US" w:eastAsia="zh-CN" w:bidi="ar-SA"/>
              </w:rPr>
              <w:t xml:space="preserve">仓库存储规范</w:t>
            </w:r>
            <w:r>
              <w:rPr>
                <w:rFonts w:hint="eastAsia" w:ascii="宋体" w:hAnsi="宋体" w:eastAsia="宋体" w:cs="宋体"/>
                <w:b w:val="0"/>
                <w:bCs/>
                <w:color w:val="auto"/>
                <w:sz w:val="24"/>
                <w:szCs w:val="24"/>
                <w:highlight w:val="none"/>
                <w:lang w:val="en-US" w:eastAsia="zh" w:bidi="ar-SA"/>
              </w:rPr>
              <w:t xml:space="preserve">说明</w:t>
            </w:r>
            <w:r>
              <w:rPr>
                <w:rFonts w:hint="eastAsia" w:ascii="宋体" w:hAnsi="宋体" w:eastAsia="宋体" w:cs="宋体"/>
                <w:b w:val="0"/>
                <w:bCs/>
                <w:color w:val="auto"/>
                <w:sz w:val="24"/>
                <w:szCs w:val="24"/>
                <w:highlight w:val="none"/>
                <w:lang w:val="en-US" w:eastAsia="zh-CN" w:bidi="ar-SA"/>
              </w:rPr>
              <w:t xml:space="preserve">和</w:t>
            </w:r>
            <w:r>
              <w:rPr>
                <w:rFonts w:hint="eastAsia" w:ascii="宋体" w:hAnsi="宋体" w:eastAsia="宋体" w:cs="宋体"/>
                <w:b w:val="0"/>
                <w:bCs/>
                <w:color w:val="auto"/>
                <w:sz w:val="24"/>
                <w:szCs w:val="24"/>
                <w:highlight w:val="none"/>
                <w:lang w:val="en-US" w:eastAsia="zh" w:bidi="ar-SA"/>
              </w:rPr>
              <w:t xml:space="preserve">现场</w:t>
            </w:r>
            <w:r>
              <w:rPr>
                <w:rFonts w:hint="eastAsia" w:ascii="宋体" w:hAnsi="宋体" w:eastAsia="宋体" w:cs="宋体"/>
                <w:b w:val="0"/>
                <w:bCs/>
                <w:color w:val="auto"/>
                <w:sz w:val="24"/>
                <w:szCs w:val="24"/>
                <w:highlight w:val="none"/>
                <w:lang w:val="en-US" w:eastAsia="zh-CN" w:bidi="ar-SA"/>
              </w:rPr>
              <w:t xml:space="preserve">照片</w:t>
            </w:r>
            <w:r>
              <w:rPr>
                <w:rFonts w:hint="eastAsia" w:ascii="宋体" w:hAnsi="宋体" w:eastAsia="宋体" w:cs="宋体"/>
                <w:b w:val="0"/>
                <w:bCs/>
                <w:color w:val="auto"/>
                <w:sz w:val="24"/>
                <w:szCs w:val="24"/>
                <w:highlight w:val="none"/>
                <w:lang w:val="en-US" w:eastAsia="zh" w:bidi="ar-SA"/>
              </w:rPr>
              <w:t xml:space="preserve">；</w:t>
            </w:r>
            <w:r>
              <w:rPr>
                <w:rFonts w:hint="eastAsia" w:ascii="宋体" w:hAnsi="宋体" w:eastAsia="宋体" w:cs="宋体"/>
                <w:b w:val="0"/>
                <w:bCs/>
                <w:color w:val="auto"/>
                <w:sz w:val="24"/>
                <w:szCs w:val="24"/>
                <w:highlight w:val="none"/>
                <w:lang w:val="en-US" w:eastAsia="zh-CN" w:bidi="ar-SA"/>
              </w:rPr>
              <w:t xml:space="preserve">房屋产权证明及位置，如为租赁需同时提供房屋产权证明、租赁协议</w:t>
            </w:r>
            <w:r>
              <w:rPr>
                <w:rFonts w:hint="eastAsia" w:ascii="宋体" w:hAnsi="宋体" w:eastAsia="宋体" w:cs="宋体"/>
                <w:b w:val="0"/>
                <w:bCs/>
                <w:color w:val="auto"/>
                <w:sz w:val="24"/>
                <w:szCs w:val="24"/>
                <w:highlight w:val="none"/>
                <w:lang w:val="en-US" w:eastAsia="zh" w:bidi="ar-SA"/>
              </w:rPr>
              <w:t xml:space="preserve">。</w:t>
            </w:r>
            <w:r/>
          </w:p>
        </w:tc>
        <w:tc>
          <w:tcPr>
            <w:tcW w:w="71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
              </w:rPr>
              <w:t xml:space="preserve">3</w:t>
            </w:r>
            <w:r/>
          </w:p>
        </w:tc>
        <w:tc>
          <w:tcPr>
            <w:tcW w:w="9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Hans" w:bidi="ar-SA"/>
              </w:rPr>
            </w:pPr>
            <w:r>
              <w:rPr>
                <w:rFonts w:hint="eastAsia" w:ascii="宋体" w:hAnsi="宋体" w:eastAsia="宋体" w:cs="宋体"/>
                <w:b w:val="0"/>
                <w:bCs/>
                <w:color w:val="auto"/>
                <w:sz w:val="24"/>
                <w:szCs w:val="24"/>
                <w:highlight w:val="none"/>
                <w:lang w:val="en-US" w:eastAsia="zh-Hans"/>
              </w:rPr>
              <w:t xml:space="preserve">客观分</w:t>
            </w:r>
            <w:r/>
          </w:p>
        </w:tc>
      </w:tr>
      <w:tr>
        <w:trPr>
          <w:jc w:val="center"/>
          <w:trHeight w:val="1060"/>
        </w:trPr>
        <w:tc>
          <w:tcPr>
            <w:tcW w:w="76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val="en-US" w:eastAsia="zh"/>
              </w:rPr>
              <w:t xml:space="preserve">1</w:t>
            </w:r>
            <w:r/>
          </w:p>
        </w:tc>
        <w:tc>
          <w:tcPr>
            <w:tcW w:w="1090" w:type="dxa"/>
            <w:vAlign w:val="center"/>
            <w:vMerge w:val="restart"/>
            <w:textDirection w:val="lrTb"/>
            <w:noWrap w:val="false"/>
          </w:tcPr>
          <w:p>
            <w:pPr>
              <w:ind w:left="0" w:firstLine="0"/>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 w:bidi="ar-SA"/>
              </w:rPr>
              <w:t xml:space="preserve">分拣等服务</w:t>
            </w:r>
            <w:r/>
          </w:p>
        </w:tc>
        <w:tc>
          <w:tcPr>
            <w:tcW w:w="7010" w:type="dxa"/>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 w:bidi="ar-SA"/>
              </w:rPr>
            </w:pPr>
            <w:r>
              <w:rPr>
                <w:rFonts w:hint="eastAsia" w:ascii="宋体" w:hAnsi="宋体" w:eastAsia="宋体" w:cs="宋体"/>
                <w:b w:val="0"/>
                <w:bCs/>
                <w:color w:val="auto"/>
                <w:sz w:val="24"/>
                <w:szCs w:val="24"/>
                <w:highlight w:val="none"/>
                <w:lang w:val="en-US" w:eastAsia="zh" w:bidi="ar-SA"/>
              </w:rPr>
              <w:t xml:space="preserve">投标人承诺从采摘到送达食堂的时间≤24 小时的得3分。上传加盖公章或电子签章承诺书至投标系统。</w:t>
            </w:r>
            <w:r/>
          </w:p>
        </w:tc>
        <w:tc>
          <w:tcPr>
            <w:tcW w:w="710"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
              </w:rPr>
            </w:pPr>
            <w:r>
              <w:rPr>
                <w:rFonts w:hint="eastAsia" w:ascii="宋体" w:hAnsi="宋体" w:eastAsia="宋体" w:cs="宋体"/>
                <w:b w:val="0"/>
                <w:bCs/>
                <w:color w:val="auto"/>
                <w:sz w:val="24"/>
                <w:szCs w:val="24"/>
                <w:highlight w:val="none"/>
                <w:lang w:val="en-US" w:eastAsia="zh"/>
              </w:rPr>
              <w:t xml:space="preserve">3</w:t>
            </w:r>
            <w:r/>
          </w:p>
        </w:tc>
        <w:tc>
          <w:tcPr>
            <w:tcW w:w="904"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Hans"/>
              </w:rPr>
            </w:pPr>
            <w:r>
              <w:rPr>
                <w:rFonts w:hint="eastAsia" w:ascii="宋体" w:hAnsi="宋体" w:eastAsia="宋体" w:cs="宋体"/>
                <w:b w:val="0"/>
                <w:bCs/>
                <w:color w:val="auto"/>
                <w:sz w:val="24"/>
                <w:szCs w:val="24"/>
                <w:highlight w:val="none"/>
                <w:lang w:val="en-US" w:eastAsia="zh-Hans"/>
              </w:rPr>
            </w:r>
            <w:r/>
          </w:p>
          <w:p>
            <w:pPr>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Hans"/>
              </w:rPr>
            </w:pPr>
            <w:r>
              <w:rPr>
                <w:rFonts w:hint="eastAsia" w:ascii="宋体" w:hAnsi="宋体" w:eastAsia="宋体" w:cs="宋体"/>
                <w:b w:val="0"/>
                <w:bCs/>
                <w:color w:val="auto"/>
                <w:sz w:val="24"/>
                <w:szCs w:val="24"/>
                <w:highlight w:val="none"/>
                <w:lang w:val="en-US" w:eastAsia="zh-Hans"/>
              </w:rPr>
              <w:t xml:space="preserve">客观分</w:t>
            </w:r>
            <w:r/>
          </w:p>
        </w:tc>
      </w:tr>
      <w:tr>
        <w:trPr>
          <w:jc w:val="center"/>
          <w:trHeight w:val="1306"/>
        </w:trPr>
        <w:tc>
          <w:tcPr>
            <w:tcW w:w="76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val="en-US" w:eastAsia="zh"/>
              </w:rPr>
              <w:t xml:space="preserve">2</w:t>
            </w:r>
            <w:r/>
          </w:p>
        </w:tc>
        <w:tc>
          <w:tcPr>
            <w:tcW w:w="1090" w:type="dxa"/>
            <w:vAlign w:val="center"/>
            <w:vMerge w:val="continue"/>
            <w:textDirection w:val="lrTb"/>
            <w:noWrap w:val="false"/>
          </w:tcPr>
          <w:p>
            <w:pPr>
              <w:ind w:left="0" w:firstLine="0"/>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 w:bidi="ar-SA"/>
              </w:rPr>
            </w:pPr>
            <w:r>
              <w:rPr>
                <w:rFonts w:hint="eastAsia" w:ascii="宋体" w:hAnsi="宋体" w:eastAsia="宋体" w:cs="宋体"/>
                <w:b w:val="0"/>
                <w:bCs/>
                <w:color w:val="auto"/>
                <w:sz w:val="24"/>
                <w:szCs w:val="24"/>
                <w:highlight w:val="none"/>
                <w:lang w:val="en-US" w:eastAsia="zh" w:bidi="ar-SA"/>
              </w:rPr>
            </w:r>
            <w:r/>
          </w:p>
        </w:tc>
        <w:tc>
          <w:tcPr>
            <w:tcW w:w="7010" w:type="dxa"/>
            <w:vAlign w:val="center"/>
            <w:textDirection w:val="lrTb"/>
            <w:noWrap w:val="false"/>
          </w:tcPr>
          <w:p>
            <w:pPr>
              <w:ind w:firstLine="0"/>
              <w:spacing w:line="360" w:lineRule="auto"/>
              <w:widowControl/>
              <w:rPr>
                <w:rFonts w:hint="eastAsia" w:ascii="宋体" w:hAnsi="宋体" w:eastAsia="宋体" w:cs="宋体"/>
                <w:b w:val="0"/>
                <w:bCs/>
                <w:color w:val="auto"/>
                <w:sz w:val="24"/>
                <w:szCs w:val="24"/>
                <w:highlight w:val="none"/>
                <w:lang w:val="en-US" w:eastAsia="zh" w:bidi="ar-SA"/>
              </w:rPr>
            </w:pPr>
            <w:r>
              <w:rPr>
                <w:rFonts w:hint="eastAsia" w:ascii="宋体" w:hAnsi="宋体" w:eastAsia="宋体" w:cs="宋体"/>
                <w:b w:val="0"/>
                <w:bCs/>
                <w:color w:val="auto"/>
                <w:sz w:val="24"/>
                <w:szCs w:val="24"/>
                <w:highlight w:val="none"/>
                <w:lang w:val="en-US" w:eastAsia="zh" w:bidi="ar-SA"/>
              </w:rPr>
              <w:t xml:space="preserve">投标人承诺能满足：应季品种的特色蔬菜/水果，品种覆盖率≥90% 的得3分。上传加盖公章或电子签章承诺书至投标系统。</w:t>
            </w:r>
            <w:r/>
          </w:p>
        </w:tc>
        <w:tc>
          <w:tcPr>
            <w:tcW w:w="71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
              </w:rPr>
            </w:pPr>
            <w:r>
              <w:rPr>
                <w:rFonts w:hint="eastAsia" w:ascii="宋体" w:hAnsi="宋体" w:eastAsia="宋体" w:cs="宋体"/>
                <w:b w:val="0"/>
                <w:bCs/>
                <w:color w:val="auto"/>
                <w:sz w:val="24"/>
                <w:szCs w:val="24"/>
                <w:highlight w:val="none"/>
                <w:lang w:val="en-US" w:eastAsia="zh"/>
              </w:rPr>
              <w:t xml:space="preserve">3</w:t>
            </w:r>
            <w:r/>
          </w:p>
        </w:tc>
        <w:tc>
          <w:tcPr>
            <w:tcW w:w="9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Hans"/>
              </w:rPr>
            </w:pPr>
            <w:r>
              <w:rPr>
                <w:rFonts w:hint="eastAsia" w:ascii="宋体" w:hAnsi="宋体" w:eastAsia="宋体" w:cs="宋体"/>
                <w:b w:val="0"/>
                <w:bCs/>
                <w:color w:val="auto"/>
                <w:sz w:val="24"/>
                <w:szCs w:val="24"/>
                <w:highlight w:val="none"/>
                <w:lang w:val="en-US" w:eastAsia="zh-Hans"/>
              </w:rPr>
              <w:t xml:space="preserve">客观分</w:t>
            </w:r>
            <w:r/>
          </w:p>
          <w:p>
            <w:pPr>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Hans"/>
              </w:rPr>
            </w:pPr>
            <w:r>
              <w:rPr>
                <w:rFonts w:hint="eastAsia" w:ascii="宋体" w:hAnsi="宋体" w:eastAsia="宋体" w:cs="宋体"/>
                <w:b w:val="0"/>
                <w:bCs/>
                <w:color w:val="auto"/>
                <w:sz w:val="24"/>
                <w:szCs w:val="24"/>
                <w:highlight w:val="none"/>
                <w:lang w:val="en-US" w:eastAsia="zh-Hans"/>
              </w:rPr>
            </w:r>
            <w:r/>
          </w:p>
        </w:tc>
      </w:tr>
      <w:tr>
        <w:trPr>
          <w:jc w:val="center"/>
          <w:trHeight w:val="1380"/>
        </w:trPr>
        <w:tc>
          <w:tcPr>
            <w:tcW w:w="76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val="en-US" w:eastAsia="zh"/>
              </w:rPr>
              <w:t xml:space="preserve">3</w:t>
            </w:r>
            <w:r/>
          </w:p>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tc>
        <w:tc>
          <w:tcPr>
            <w:tcW w:w="1090" w:type="dxa"/>
            <w:vAlign w:val="center"/>
            <w:vMerge w:val="continue"/>
            <w:textDirection w:val="lrTb"/>
            <w:noWrap w:val="false"/>
          </w:tcPr>
          <w:p>
            <w:pPr>
              <w:ind w:left="0" w:firstLine="0"/>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 w:bidi="ar-SA"/>
              </w:rPr>
            </w:pPr>
            <w:r>
              <w:rPr>
                <w:rFonts w:hint="eastAsia" w:ascii="宋体" w:hAnsi="宋体" w:eastAsia="宋体" w:cs="宋体"/>
                <w:b w:val="0"/>
                <w:bCs/>
                <w:color w:val="auto"/>
                <w:sz w:val="24"/>
                <w:szCs w:val="24"/>
                <w:highlight w:val="none"/>
                <w:lang w:val="en-US" w:eastAsia="zh" w:bidi="ar-SA"/>
              </w:rPr>
            </w:r>
            <w:r/>
          </w:p>
        </w:tc>
        <w:tc>
          <w:tcPr>
            <w:tcW w:w="7010" w:type="dxa"/>
            <w:vAlign w:val="center"/>
            <w:textDirection w:val="lrTb"/>
            <w:noWrap w:val="false"/>
          </w:tcPr>
          <w:p>
            <w:pPr>
              <w:ind w:firstLine="0"/>
              <w:spacing w:line="360" w:lineRule="auto"/>
              <w:widowControl/>
              <w:rPr>
                <w:rFonts w:hint="eastAsia" w:ascii="宋体" w:hAnsi="宋体" w:eastAsia="宋体" w:cs="宋体"/>
                <w:b w:val="0"/>
                <w:bCs/>
                <w:color w:val="auto"/>
                <w:sz w:val="24"/>
                <w:szCs w:val="24"/>
                <w:highlight w:val="none"/>
                <w:lang w:val="en-US" w:eastAsia="zh" w:bidi="ar-SA"/>
              </w:rPr>
            </w:pPr>
            <w:r>
              <w:rPr>
                <w:rFonts w:hint="eastAsia" w:ascii="宋体" w:hAnsi="宋体" w:eastAsia="宋体" w:cs="宋体"/>
                <w:b w:val="0"/>
                <w:bCs/>
                <w:color w:val="auto"/>
                <w:sz w:val="24"/>
                <w:szCs w:val="24"/>
                <w:highlight w:val="none"/>
                <w:lang w:val="en-US" w:eastAsia="zh" w:bidi="ar-SA"/>
              </w:rPr>
              <w:t xml:space="preserve">投标人承诺提供的食材满足低损耗加工：净菜加工零添加，无浸泡、无化学保鲜剂，仅物理清洗切配等。提供的得3分。上传加盖公章或电子签章承诺书、方案至投标系统。</w:t>
            </w:r>
            <w:r/>
          </w:p>
        </w:tc>
        <w:tc>
          <w:tcPr>
            <w:tcW w:w="71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
              </w:rPr>
              <w:t xml:space="preserve">3</w:t>
            </w:r>
            <w:r/>
          </w:p>
        </w:tc>
        <w:tc>
          <w:tcPr>
            <w:tcW w:w="9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Hans"/>
              </w:rPr>
            </w:pPr>
            <w:r>
              <w:rPr>
                <w:rFonts w:hint="eastAsia" w:ascii="宋体" w:hAnsi="宋体" w:eastAsia="宋体" w:cs="宋体"/>
                <w:b w:val="0"/>
                <w:bCs/>
                <w:color w:val="auto"/>
                <w:sz w:val="24"/>
                <w:szCs w:val="24"/>
                <w:highlight w:val="none"/>
                <w:lang w:val="en-US" w:eastAsia="zh-Hans"/>
              </w:rPr>
              <w:t xml:space="preserve">客观分</w:t>
            </w:r>
            <w:r/>
          </w:p>
          <w:p>
            <w:pPr>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Hans" w:bidi="ar-SA"/>
              </w:rPr>
            </w:pPr>
            <w:r>
              <w:rPr>
                <w:rFonts w:hint="eastAsia" w:ascii="宋体" w:hAnsi="宋体" w:eastAsia="宋体" w:cs="宋体"/>
                <w:b w:val="0"/>
                <w:bCs/>
                <w:color w:val="auto"/>
                <w:sz w:val="24"/>
                <w:szCs w:val="24"/>
                <w:highlight w:val="none"/>
                <w:lang w:val="en-US" w:eastAsia="zh-Hans" w:bidi="ar-SA"/>
              </w:rPr>
            </w:r>
            <w:r/>
          </w:p>
        </w:tc>
      </w:tr>
      <w:tr>
        <w:trPr>
          <w:jc w:val="center"/>
        </w:trPr>
        <w:tc>
          <w:tcPr>
            <w:tcW w:w="76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7</w:t>
            </w:r>
            <w:r/>
          </w:p>
        </w:tc>
        <w:tc>
          <w:tcPr>
            <w:tcW w:w="1090"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增值服务</w:t>
            </w:r>
            <w:r/>
          </w:p>
        </w:tc>
        <w:tc>
          <w:tcPr>
            <w:tcW w:w="7010" w:type="dxa"/>
            <w:vAlign w:val="center"/>
            <w:textDirection w:val="lrTb"/>
            <w:noWrap w:val="false"/>
          </w:tcPr>
          <w:p>
            <w:pPr>
              <w:keepLines w:val="0"/>
              <w:keepNext w:val="0"/>
              <w:pageBreakBefore w:val="0"/>
              <w:spacing w:line="360" w:lineRule="auto"/>
              <w:rPr>
                <w:rFonts w:hint="eastAsia" w:ascii="宋体" w:hAnsi="宋体" w:eastAsia="宋体" w:cs="宋体"/>
                <w:b w:val="0"/>
                <w:bCs/>
                <w:color w:val="auto"/>
                <w:sz w:val="24"/>
                <w:szCs w:val="24"/>
                <w:highlight w:val="none"/>
                <w:lang w:eastAsia="zh"/>
              </w:rPr>
            </w:pPr>
            <w:r>
              <w:rPr>
                <w:rFonts w:hint="eastAsia" w:ascii="宋体" w:hAnsi="宋体" w:eastAsia="宋体" w:cs="宋体"/>
                <w:b w:val="0"/>
                <w:bCs/>
                <w:color w:val="auto"/>
                <w:sz w:val="24"/>
                <w:szCs w:val="24"/>
                <w:highlight w:val="none"/>
                <w:lang w:val="en-US" w:eastAsia="zh-CN" w:bidi="ar-SA"/>
              </w:rPr>
              <w:t xml:space="preserve">投标人能提供的增值服务：列出具体内容和措施</w:t>
            </w:r>
            <w:r>
              <w:rPr>
                <w:rFonts w:hint="eastAsia" w:ascii="宋体" w:hAnsi="宋体" w:eastAsia="宋体" w:cs="宋体"/>
                <w:b w:val="0"/>
                <w:bCs/>
                <w:color w:val="auto"/>
                <w:sz w:val="24"/>
                <w:szCs w:val="24"/>
                <w:highlight w:val="none"/>
                <w:lang w:val="en-US" w:eastAsia="zh" w:bidi="ar-SA"/>
              </w:rPr>
              <w:t xml:space="preserve">，</w:t>
            </w:r>
            <w:r/>
          </w:p>
          <w:p>
            <w:pPr>
              <w:ind w:left="0" w:right="0"/>
              <w:jc w:val="left"/>
              <w:keepLines w:val="0"/>
              <w:keepNext w:val="0"/>
              <w:pageBreakBefore w:val="0"/>
              <w:spacing w:before="100" w:beforeAutospacing="0" w:after="100" w:afterAutospacing="0" w:line="360" w:lineRule="auto"/>
              <w:widowControl/>
              <w:rPr>
                <w:rFonts w:hint="eastAsia" w:ascii="宋体" w:hAnsi="宋体" w:eastAsia="宋体" w:cs="宋体"/>
                <w:b w:val="0"/>
                <w:bCs/>
                <w:color w:val="auto"/>
                <w:sz w:val="24"/>
                <w:szCs w:val="24"/>
                <w:highlight w:val="none"/>
                <w:lang w:val="en-US" w:eastAsia="zh" w:bidi="ar-SA"/>
              </w:rPr>
              <w:suppressLineNumbers w:val="0"/>
            </w:pPr>
            <w:r>
              <w:rPr>
                <w:rFonts w:hint="eastAsia" w:ascii="宋体" w:hAnsi="宋体" w:eastAsia="宋体" w:cs="宋体"/>
                <w:b w:val="0"/>
                <w:bCs/>
                <w:color w:val="auto"/>
                <w:sz w:val="24"/>
                <w:szCs w:val="24"/>
                <w:highlight w:val="none"/>
                <w:lang w:val="en-US" w:eastAsia="zh-CN" w:bidi="ar-SA"/>
              </w:rPr>
              <w:t xml:space="preserve">每提供一条得</w:t>
            </w:r>
            <w:r>
              <w:rPr>
                <w:rFonts w:hint="eastAsia" w:ascii="宋体" w:hAnsi="宋体" w:eastAsia="宋体" w:cs="宋体"/>
                <w:b w:val="0"/>
                <w:bCs/>
                <w:color w:val="auto"/>
                <w:sz w:val="24"/>
                <w:szCs w:val="24"/>
                <w:highlight w:val="none"/>
                <w:lang w:val="en-US" w:eastAsia="zh" w:bidi="ar-SA"/>
              </w:rPr>
              <w:t xml:space="preserve">到评委会认可的得1</w:t>
            </w:r>
            <w:r>
              <w:rPr>
                <w:rFonts w:hint="eastAsia" w:ascii="宋体" w:hAnsi="宋体" w:eastAsia="宋体" w:cs="宋体"/>
                <w:b w:val="0"/>
                <w:bCs/>
                <w:color w:val="auto"/>
                <w:sz w:val="24"/>
                <w:szCs w:val="24"/>
                <w:highlight w:val="none"/>
                <w:lang w:val="en-US" w:eastAsia="zh-CN" w:bidi="ar-SA"/>
              </w:rPr>
              <w:t xml:space="preserve">分，最多得</w:t>
            </w:r>
            <w:r>
              <w:rPr>
                <w:rFonts w:hint="eastAsia" w:ascii="宋体" w:hAnsi="宋体" w:eastAsia="宋体" w:cs="宋体"/>
                <w:b w:val="0"/>
                <w:bCs/>
                <w:color w:val="auto"/>
                <w:sz w:val="24"/>
                <w:szCs w:val="24"/>
                <w:highlight w:val="none"/>
                <w:lang w:val="en-US" w:eastAsia="zh" w:bidi="ar-SA"/>
              </w:rPr>
              <w:t xml:space="preserve">4</w:t>
            </w:r>
            <w:r>
              <w:rPr>
                <w:rFonts w:hint="eastAsia" w:ascii="宋体" w:hAnsi="宋体" w:eastAsia="宋体" w:cs="宋体"/>
                <w:b w:val="0"/>
                <w:bCs/>
                <w:color w:val="auto"/>
                <w:sz w:val="24"/>
                <w:szCs w:val="24"/>
                <w:highlight w:val="none"/>
                <w:lang w:val="en-US" w:eastAsia="zh-CN" w:bidi="ar-SA"/>
              </w:rPr>
              <w:t xml:space="preserve">分。</w:t>
            </w:r>
            <w:r/>
          </w:p>
          <w:p>
            <w:pPr>
              <w:numPr>
                <w:ilvl w:val="0"/>
                <w:numId w:val="0"/>
              </w:numPr>
              <w:ind w:left="0" w:right="0"/>
              <w:jc w:val="left"/>
              <w:keepLines w:val="0"/>
              <w:keepNext w:val="0"/>
              <w:pageBreakBefore w:val="0"/>
              <w:spacing w:before="100" w:beforeAutospacing="0" w:after="100" w:afterAutospacing="0" w:line="360" w:lineRule="auto"/>
              <w:widowControl/>
              <w:rPr>
                <w:rFonts w:hint="eastAsia" w:ascii="宋体" w:hAnsi="宋体" w:eastAsia="宋体" w:cs="宋体"/>
                <w:b w:val="0"/>
                <w:bCs/>
                <w:color w:val="auto"/>
                <w:sz w:val="24"/>
                <w:szCs w:val="24"/>
                <w:highlight w:val="none"/>
                <w:lang w:val="en-US" w:eastAsia="zh" w:bidi="ar-SA"/>
              </w:rPr>
              <w:suppressLineNumbers w:val="0"/>
            </w:pPr>
            <w:r>
              <w:rPr>
                <w:rFonts w:hint="eastAsia" w:ascii="宋体" w:hAnsi="宋体" w:eastAsia="宋体" w:cs="宋体"/>
                <w:b w:val="0"/>
                <w:bCs/>
                <w:color w:val="auto"/>
                <w:sz w:val="24"/>
                <w:szCs w:val="24"/>
                <w:highlight w:val="none"/>
                <w:lang w:val="en-US" w:eastAsia="zh" w:bidi="ar-SA"/>
              </w:rPr>
              <w:t xml:space="preserve">上传证明材料至投标系统，加盖公章或电子签章。</w:t>
            </w:r>
            <w:r/>
          </w:p>
        </w:tc>
        <w:tc>
          <w:tcPr>
            <w:tcW w:w="71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
              </w:rPr>
              <w:t xml:space="preserve">4</w:t>
            </w:r>
            <w:r/>
          </w:p>
        </w:tc>
        <w:tc>
          <w:tcPr>
            <w:tcW w:w="9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Hans"/>
              </w:rPr>
            </w:pPr>
            <w:r>
              <w:rPr>
                <w:rFonts w:hint="eastAsia" w:ascii="宋体" w:hAnsi="宋体" w:eastAsia="宋体" w:cs="宋体"/>
                <w:b w:val="0"/>
                <w:bCs/>
                <w:color w:val="auto"/>
                <w:sz w:val="24"/>
                <w:szCs w:val="24"/>
                <w:highlight w:val="none"/>
                <w:lang w:val="en-US" w:eastAsia="zh-Hans"/>
              </w:rPr>
              <w:t xml:space="preserve">客观分</w:t>
            </w:r>
            <w:r/>
          </w:p>
        </w:tc>
      </w:tr>
      <w:tr>
        <w:trPr>
          <w:jc w:val="center"/>
          <w:trHeight w:val="1843"/>
        </w:trPr>
        <w:tc>
          <w:tcPr>
            <w:tcW w:w="76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8</w:t>
            </w:r>
            <w:r/>
          </w:p>
        </w:tc>
        <w:tc>
          <w:tcPr>
            <w:tcW w:w="1090"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 w:bidi="ar-SA"/>
              </w:rPr>
            </w:pPr>
            <w:r>
              <w:rPr>
                <w:rFonts w:hint="eastAsia" w:ascii="宋体" w:hAnsi="宋体" w:eastAsia="宋体" w:cs="宋体"/>
                <w:b w:val="0"/>
                <w:bCs/>
                <w:color w:val="auto"/>
                <w:sz w:val="24"/>
                <w:szCs w:val="24"/>
                <w:highlight w:val="none"/>
                <w:lang w:val="en-US" w:eastAsia="zh" w:bidi="ar-SA"/>
              </w:rPr>
              <w:t xml:space="preserve">食品认证</w:t>
            </w:r>
            <w:r/>
          </w:p>
        </w:tc>
        <w:tc>
          <w:tcPr>
            <w:tcW w:w="7010" w:type="dxa"/>
            <w:vAlign w:val="center"/>
            <w:textDirection w:val="lrTb"/>
            <w:noWrap w:val="false"/>
          </w:tcPr>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 w:bidi="ar-SA"/>
              </w:rPr>
              <w:t xml:space="preserve">1.</w:t>
            </w:r>
            <w:r>
              <w:rPr>
                <w:rFonts w:hint="eastAsia" w:ascii="宋体" w:hAnsi="宋体" w:eastAsia="宋体" w:cs="宋体"/>
                <w:b w:val="0"/>
                <w:bCs/>
                <w:color w:val="auto"/>
                <w:sz w:val="24"/>
                <w:szCs w:val="24"/>
                <w:highlight w:val="none"/>
                <w:lang w:val="en-US" w:eastAsia="zh-CN" w:bidi="ar-SA"/>
              </w:rPr>
              <w:t xml:space="preserve">投标人所投食品具有有机食品认证得1分；</w:t>
            </w:r>
            <w:r/>
          </w:p>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 w:bidi="ar-SA"/>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lang w:val="en-US" w:eastAsia="zh" w:bidi="ar-SA"/>
              </w:rPr>
              <w:t xml:space="preserve">.</w:t>
            </w:r>
            <w:r>
              <w:rPr>
                <w:rFonts w:hint="eastAsia" w:ascii="宋体" w:hAnsi="宋体" w:eastAsia="宋体" w:cs="宋体"/>
                <w:b w:val="0"/>
                <w:bCs/>
                <w:color w:val="auto"/>
                <w:sz w:val="24"/>
                <w:szCs w:val="24"/>
                <w:highlight w:val="none"/>
                <w:lang w:val="en-US" w:eastAsia="zh-CN" w:bidi="ar-SA"/>
              </w:rPr>
              <w:t xml:space="preserve">投标人所投食品具有绿色食品认证得1分</w:t>
            </w:r>
            <w:r>
              <w:rPr>
                <w:rFonts w:hint="eastAsia" w:ascii="宋体" w:hAnsi="宋体" w:eastAsia="宋体" w:cs="宋体"/>
                <w:b w:val="0"/>
                <w:bCs/>
                <w:color w:val="auto"/>
                <w:sz w:val="24"/>
                <w:szCs w:val="24"/>
                <w:highlight w:val="none"/>
                <w:lang w:val="en-US" w:eastAsia="zh" w:bidi="ar-SA"/>
              </w:rPr>
              <w:t xml:space="preserve">；</w:t>
            </w:r>
            <w:r/>
          </w:p>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 w:bidi="ar-SA"/>
              </w:rPr>
            </w:pPr>
            <w:r>
              <w:rPr>
                <w:rFonts w:hint="eastAsia" w:ascii="宋体" w:hAnsi="宋体" w:eastAsia="宋体" w:cs="宋体"/>
                <w:b w:val="0"/>
                <w:bCs/>
                <w:color w:val="auto"/>
                <w:sz w:val="24"/>
                <w:szCs w:val="24"/>
                <w:highlight w:val="none"/>
                <w:lang w:val="en-US" w:eastAsia="zh" w:bidi="ar-SA"/>
              </w:rPr>
              <w:t xml:space="preserve">3.投标人承诺不提供转基因产品的得</w:t>
            </w:r>
            <w:r>
              <w:rPr>
                <w:rFonts w:hint="eastAsia" w:ascii="宋体" w:hAnsi="宋体" w:eastAsia="宋体" w:cs="宋体"/>
                <w:b w:val="0"/>
                <w:bCs/>
                <w:color w:val="auto"/>
                <w:sz w:val="24"/>
                <w:szCs w:val="24"/>
                <w:highlight w:val="none"/>
                <w:lang w:val="en-US" w:eastAsia="zh-CN" w:bidi="ar-SA"/>
              </w:rPr>
              <w:t xml:space="preserve">1</w:t>
            </w:r>
            <w:r>
              <w:rPr>
                <w:rFonts w:hint="eastAsia" w:ascii="宋体" w:hAnsi="宋体" w:eastAsia="宋体" w:cs="宋体"/>
                <w:b w:val="0"/>
                <w:bCs/>
                <w:color w:val="auto"/>
                <w:sz w:val="24"/>
                <w:szCs w:val="24"/>
                <w:highlight w:val="none"/>
                <w:lang w:val="en-US" w:eastAsia="zh" w:bidi="ar-SA"/>
              </w:rPr>
              <w:t xml:space="preserve">分。</w:t>
            </w:r>
            <w:r/>
          </w:p>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本项最多得3分，未提供不得分（</w:t>
            </w:r>
            <w:r>
              <w:rPr>
                <w:rFonts w:hint="eastAsia" w:ascii="宋体" w:hAnsi="宋体" w:eastAsia="宋体" w:cs="宋体"/>
                <w:b w:val="0"/>
                <w:bCs/>
                <w:color w:val="auto"/>
                <w:sz w:val="24"/>
                <w:szCs w:val="24"/>
                <w:highlight w:val="none"/>
                <w:lang w:val="en-US" w:eastAsia="zh" w:bidi="ar-SA"/>
              </w:rPr>
              <w:t xml:space="preserve">上传</w:t>
            </w:r>
            <w:r>
              <w:rPr>
                <w:rFonts w:hint="eastAsia" w:ascii="宋体" w:hAnsi="宋体" w:eastAsia="宋体" w:cs="宋体"/>
                <w:b w:val="0"/>
                <w:bCs/>
                <w:color w:val="auto"/>
                <w:sz w:val="24"/>
                <w:szCs w:val="24"/>
                <w:highlight w:val="none"/>
                <w:lang w:val="en-US" w:eastAsia="zh-CN" w:bidi="ar-SA"/>
              </w:rPr>
              <w:t xml:space="preserve">证书</w:t>
            </w:r>
            <w:r>
              <w:rPr>
                <w:rFonts w:hint="eastAsia" w:ascii="宋体" w:hAnsi="宋体" w:eastAsia="宋体" w:cs="宋体"/>
                <w:b w:val="0"/>
                <w:bCs/>
                <w:color w:val="auto"/>
                <w:sz w:val="24"/>
                <w:szCs w:val="24"/>
                <w:highlight w:val="none"/>
                <w:lang w:val="en-US" w:eastAsia="zh" w:bidi="ar-SA"/>
              </w:rPr>
              <w:t xml:space="preserve">、承诺书</w:t>
            </w:r>
            <w:r>
              <w:rPr>
                <w:rFonts w:hint="eastAsia" w:ascii="宋体" w:hAnsi="宋体" w:eastAsia="宋体" w:cs="宋体"/>
                <w:b w:val="0"/>
                <w:bCs/>
                <w:color w:val="auto"/>
                <w:sz w:val="24"/>
                <w:szCs w:val="24"/>
                <w:highlight w:val="none"/>
                <w:lang w:val="en-US" w:eastAsia="zh-CN" w:bidi="ar-SA"/>
              </w:rPr>
              <w:t xml:space="preserve">等相关证明材料</w:t>
            </w:r>
            <w:r>
              <w:rPr>
                <w:rFonts w:hint="eastAsia" w:ascii="宋体" w:hAnsi="宋体" w:eastAsia="宋体" w:cs="宋体"/>
                <w:b w:val="0"/>
                <w:bCs/>
                <w:color w:val="auto"/>
                <w:sz w:val="24"/>
                <w:szCs w:val="24"/>
                <w:highlight w:val="none"/>
                <w:lang w:val="en-US" w:eastAsia="zh" w:bidi="ar-SA"/>
              </w:rPr>
              <w:t xml:space="preserve">，加盖公章或电子签章</w:t>
            </w:r>
            <w:r>
              <w:rPr>
                <w:rFonts w:hint="eastAsia" w:ascii="宋体" w:hAnsi="宋体" w:eastAsia="宋体" w:cs="宋体"/>
                <w:b w:val="0"/>
                <w:bCs/>
                <w:color w:val="auto"/>
                <w:sz w:val="24"/>
                <w:szCs w:val="24"/>
                <w:highlight w:val="none"/>
                <w:lang w:val="en-US" w:eastAsia="zh-CN" w:bidi="ar-SA"/>
              </w:rPr>
              <w:t xml:space="preserve">）。</w:t>
            </w:r>
            <w:r/>
          </w:p>
        </w:tc>
        <w:tc>
          <w:tcPr>
            <w:tcW w:w="710"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w:t>
            </w:r>
            <w:r/>
          </w:p>
        </w:tc>
        <w:tc>
          <w:tcPr>
            <w:tcW w:w="904"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Hans"/>
              </w:rPr>
            </w:pPr>
            <w:r>
              <w:rPr>
                <w:rFonts w:hint="eastAsia" w:ascii="宋体" w:hAnsi="宋体" w:eastAsia="宋体" w:cs="宋体"/>
                <w:b w:val="0"/>
                <w:bCs/>
                <w:color w:val="auto"/>
                <w:sz w:val="24"/>
                <w:szCs w:val="24"/>
                <w:highlight w:val="none"/>
                <w:lang w:val="en-US" w:eastAsia="zh-Hans"/>
              </w:rPr>
              <w:t xml:space="preserve">客观分</w:t>
            </w:r>
            <w:r/>
          </w:p>
        </w:tc>
      </w:tr>
      <w:tr>
        <w:trPr>
          <w:jc w:val="center"/>
        </w:trPr>
        <w:tc>
          <w:tcPr>
            <w:tcW w:w="76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9.1</w:t>
            </w:r>
            <w:r/>
          </w:p>
        </w:tc>
        <w:tc>
          <w:tcPr>
            <w:tcW w:w="1090"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履约能力</w:t>
            </w:r>
            <w:r/>
          </w:p>
        </w:tc>
        <w:tc>
          <w:tcPr>
            <w:tcW w:w="7010" w:type="dxa"/>
            <w:vAlign w:val="center"/>
            <w:textDirection w:val="lrTb"/>
            <w:noWrap w:val="false"/>
          </w:tcPr>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 w:bidi="ar-SA"/>
              </w:rPr>
              <w:t xml:space="preserve">投</w:t>
            </w:r>
            <w:r>
              <w:rPr>
                <w:rFonts w:hint="eastAsia" w:ascii="宋体" w:hAnsi="宋体" w:eastAsia="宋体" w:cs="宋体"/>
                <w:b w:val="0"/>
                <w:bCs/>
                <w:color w:val="auto"/>
                <w:sz w:val="24"/>
                <w:szCs w:val="24"/>
                <w:highlight w:val="none"/>
                <w:lang w:val="en-US" w:eastAsia="zh-CN" w:bidi="ar-SA"/>
              </w:rPr>
              <w:t xml:space="preserve">标人提供具备或合作的食材类（包含本次采购内容）养殖基地或</w:t>
            </w:r>
            <w:r>
              <w:rPr>
                <w:rFonts w:hint="eastAsia" w:ascii="宋体" w:hAnsi="宋体" w:eastAsia="宋体" w:cs="宋体"/>
                <w:b w:val="0"/>
                <w:bCs/>
                <w:color w:val="auto"/>
                <w:sz w:val="24"/>
                <w:szCs w:val="24"/>
                <w:highlight w:val="none"/>
                <w:lang w:val="en-US" w:eastAsia="zh" w:bidi="ar-SA"/>
              </w:rPr>
              <w:t xml:space="preserve">种植</w:t>
            </w:r>
            <w:r>
              <w:rPr>
                <w:rFonts w:hint="eastAsia" w:ascii="宋体" w:hAnsi="宋体" w:eastAsia="宋体" w:cs="宋体"/>
                <w:b w:val="0"/>
                <w:bCs/>
                <w:color w:val="auto"/>
                <w:sz w:val="24"/>
                <w:szCs w:val="24"/>
                <w:highlight w:val="none"/>
                <w:lang w:val="en-US" w:eastAsia="zh-CN" w:bidi="ar-SA"/>
              </w:rPr>
              <w:t xml:space="preserve">基地或农业合作社购销合作单位或与品牌加工厂合作的</w:t>
            </w:r>
            <w:r>
              <w:rPr>
                <w:rFonts w:hint="eastAsia" w:ascii="宋体" w:hAnsi="宋体" w:eastAsia="宋体" w:cs="宋体"/>
                <w:b w:val="0"/>
                <w:bCs/>
                <w:color w:val="auto"/>
                <w:sz w:val="24"/>
                <w:szCs w:val="24"/>
                <w:highlight w:val="none"/>
                <w:lang w:val="en-US" w:eastAsia="zh" w:bidi="ar-SA"/>
              </w:rPr>
              <w:t xml:space="preserve">每提供一个得</w:t>
            </w:r>
            <w:r>
              <w:rPr>
                <w:rFonts w:hint="eastAsia" w:ascii="宋体" w:hAnsi="宋体" w:eastAsia="宋体" w:cs="宋体"/>
                <w:b w:val="0"/>
                <w:bCs/>
                <w:color w:val="auto"/>
                <w:sz w:val="24"/>
                <w:szCs w:val="24"/>
                <w:highlight w:val="none"/>
                <w:lang w:val="en-US" w:eastAsia="zh-CN" w:bidi="ar-SA"/>
              </w:rPr>
              <w:t xml:space="preserve">1分</w:t>
            </w:r>
            <w:r>
              <w:rPr>
                <w:rFonts w:hint="eastAsia" w:ascii="宋体" w:hAnsi="宋体" w:eastAsia="宋体" w:cs="宋体"/>
                <w:b w:val="0"/>
                <w:bCs/>
                <w:color w:val="auto"/>
                <w:sz w:val="24"/>
                <w:szCs w:val="24"/>
                <w:highlight w:val="none"/>
                <w:lang w:val="en-US" w:eastAsia="zh" w:bidi="ar-SA"/>
              </w:rPr>
              <w:t xml:space="preserve">，最多得</w:t>
            </w:r>
            <w:r>
              <w:rPr>
                <w:rFonts w:hint="eastAsia" w:ascii="宋体" w:hAnsi="宋体" w:eastAsia="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lang w:val="en-US" w:eastAsia="zh" w:bidi="ar-SA"/>
              </w:rPr>
              <w:t xml:space="preserve">分；</w:t>
            </w:r>
            <w:r/>
          </w:p>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提供合作协议相关证明材料，上传至投标系统。</w:t>
            </w:r>
            <w:r/>
          </w:p>
        </w:tc>
        <w:tc>
          <w:tcPr>
            <w:tcW w:w="71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w:t>
            </w:r>
            <w:r/>
          </w:p>
        </w:tc>
        <w:tc>
          <w:tcPr>
            <w:tcW w:w="9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Hans"/>
              </w:rPr>
            </w:pPr>
            <w:r>
              <w:rPr>
                <w:rFonts w:hint="eastAsia" w:ascii="宋体" w:hAnsi="宋体" w:eastAsia="宋体" w:cs="宋体"/>
                <w:b w:val="0"/>
                <w:bCs/>
                <w:color w:val="auto"/>
                <w:sz w:val="24"/>
                <w:szCs w:val="24"/>
                <w:highlight w:val="none"/>
                <w:lang w:val="en-US" w:eastAsia="zh-Hans"/>
              </w:rPr>
              <w:t xml:space="preserve">客观分</w:t>
            </w:r>
            <w:r/>
          </w:p>
        </w:tc>
      </w:tr>
      <w:tr>
        <w:trPr>
          <w:jc w:val="center"/>
        </w:trPr>
        <w:tc>
          <w:tcPr>
            <w:tcW w:w="76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lang w:val="en-US" w:eastAsia="zh"/>
              </w:rPr>
              <w:t xml:space="preserve">2</w:t>
            </w:r>
            <w:r/>
          </w:p>
        </w:tc>
        <w:tc>
          <w:tcPr>
            <w:tcW w:w="109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W w:w="7010" w:type="dxa"/>
            <w:vAlign w:val="center"/>
            <w:textDirection w:val="lrTb"/>
            <w:noWrap w:val="false"/>
          </w:tcPr>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 w:bidi="ar-SA"/>
              </w:rPr>
            </w:pPr>
            <w:r>
              <w:rPr>
                <w:rFonts w:hint="eastAsia" w:ascii="宋体" w:hAnsi="宋体" w:eastAsia="宋体" w:cs="宋体"/>
                <w:b w:val="0"/>
                <w:bCs/>
                <w:color w:val="auto"/>
                <w:sz w:val="24"/>
                <w:szCs w:val="24"/>
                <w:highlight w:val="none"/>
                <w:lang w:val="en-US" w:eastAsia="zh-CN" w:bidi="ar-SA"/>
              </w:rPr>
              <w:t xml:space="preserve">投标人拟配备项目服务人数不得少于4人</w:t>
            </w:r>
            <w:r>
              <w:rPr>
                <w:rFonts w:hint="eastAsia" w:ascii="宋体" w:hAnsi="宋体" w:eastAsia="宋体" w:cs="宋体"/>
                <w:b w:val="0"/>
                <w:bCs/>
                <w:color w:val="auto"/>
                <w:sz w:val="24"/>
                <w:szCs w:val="24"/>
                <w:highlight w:val="none"/>
                <w:lang w:val="en-US" w:eastAsia="zh" w:bidi="ar-SA"/>
              </w:rPr>
              <w:t xml:space="preserve">，在此基础上每增加1人的</w:t>
            </w:r>
            <w:r>
              <w:rPr>
                <w:rFonts w:hint="eastAsia" w:ascii="宋体" w:hAnsi="宋体" w:eastAsia="宋体" w:cs="宋体"/>
                <w:b w:val="0"/>
                <w:bCs/>
                <w:color w:val="auto"/>
                <w:sz w:val="24"/>
                <w:szCs w:val="24"/>
                <w:highlight w:val="none"/>
                <w:lang w:val="en-US" w:eastAsia="zh-CN" w:bidi="ar-SA"/>
              </w:rPr>
              <w:t xml:space="preserve">0.5</w:t>
            </w:r>
            <w:r>
              <w:rPr>
                <w:rFonts w:hint="eastAsia" w:ascii="宋体" w:hAnsi="宋体" w:eastAsia="宋体" w:cs="宋体"/>
                <w:b w:val="0"/>
                <w:bCs/>
                <w:color w:val="auto"/>
                <w:sz w:val="24"/>
                <w:szCs w:val="24"/>
                <w:highlight w:val="none"/>
                <w:lang w:val="en-US" w:eastAsia="zh" w:bidi="ar-SA"/>
              </w:rPr>
              <w:t xml:space="preserve">分，最多得</w:t>
            </w: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lang w:val="en-US" w:eastAsia="zh" w:bidi="ar-SA"/>
              </w:rPr>
              <w:t xml:space="preserve">分。</w:t>
            </w:r>
            <w:r/>
          </w:p>
          <w:p>
            <w:pP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 w:bidi="ar-SA"/>
              </w:rPr>
              <w:t xml:space="preserve">每个人应当同时</w:t>
            </w:r>
            <w:r>
              <w:rPr>
                <w:rFonts w:hint="eastAsia" w:ascii="宋体" w:hAnsi="宋体" w:eastAsia="宋体" w:cs="宋体"/>
                <w:b w:val="0"/>
                <w:bCs/>
                <w:color w:val="auto"/>
                <w:sz w:val="24"/>
                <w:szCs w:val="24"/>
                <w:highlight w:val="none"/>
                <w:lang w:val="en-US" w:eastAsia="zh-CN" w:bidi="ar-SA"/>
              </w:rPr>
              <w:t xml:space="preserve">提供人员驾驶证、健康证电子件及社保机构出具的开标前六个月内任意一个月投标人为其缴纳的社保缴纳证明，上传至投标系统。</w:t>
            </w:r>
            <w:r/>
          </w:p>
        </w:tc>
        <w:tc>
          <w:tcPr>
            <w:tcW w:w="71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w:t>
            </w:r>
            <w:r/>
          </w:p>
        </w:tc>
        <w:tc>
          <w:tcPr>
            <w:tcW w:w="9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Hans"/>
              </w:rPr>
            </w:pPr>
            <w:r>
              <w:rPr>
                <w:rFonts w:hint="eastAsia" w:ascii="宋体" w:hAnsi="宋体" w:eastAsia="宋体" w:cs="宋体"/>
                <w:b w:val="0"/>
                <w:bCs/>
                <w:color w:val="auto"/>
                <w:sz w:val="24"/>
                <w:szCs w:val="24"/>
                <w:highlight w:val="none"/>
                <w:lang w:val="en-US" w:eastAsia="zh-Hans"/>
              </w:rPr>
              <w:t xml:space="preserve">客观分</w:t>
            </w:r>
            <w:r/>
          </w:p>
        </w:tc>
      </w:tr>
      <w:tr>
        <w:trPr>
          <w:jc w:val="center"/>
        </w:trPr>
        <w:tc>
          <w:tcPr>
            <w:tcW w:w="76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
              </w:rPr>
            </w:pP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lang w:val="en-US" w:eastAsia="zh"/>
              </w:rPr>
              <w:t xml:space="preserve">.3</w:t>
            </w:r>
            <w:r/>
          </w:p>
        </w:tc>
        <w:tc>
          <w:tcPr>
            <w:tcW w:w="1090" w:type="dxa"/>
            <w:vAlign w:val="center"/>
            <w:vMerge w:val="continue"/>
            <w:textDirection w:val="lrTb"/>
            <w:noWrap w:val="false"/>
          </w:tcPr>
          <w:p>
            <w:pPr>
              <w:ind w:left="0" w:firstLine="0"/>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W w:w="7010" w:type="dxa"/>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投标人提供1名项目经理：具有一年至二年工作经验，且承担过类似项目业绩的得1分。</w:t>
            </w:r>
            <w:r/>
          </w:p>
          <w:p>
            <w:pPr>
              <w:ind w:left="0" w:firstLine="0"/>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投标人提供1名项目经理：具有三年及以上工作经验，且承担过类似项目业绩的得</w:t>
            </w:r>
            <w:r>
              <w:rPr>
                <w:rFonts w:hint="eastAsia" w:ascii="宋体" w:hAnsi="宋体" w:eastAsia="宋体" w:cs="宋体"/>
                <w:b w:val="0"/>
                <w:bCs/>
                <w:color w:val="auto"/>
                <w:sz w:val="24"/>
                <w:szCs w:val="24"/>
                <w:highlight w:val="none"/>
                <w:lang w:val="en-US" w:eastAsia="zh" w:bidi="ar-SA"/>
              </w:rPr>
              <w:t xml:space="preserve">3</w:t>
            </w:r>
            <w:r>
              <w:rPr>
                <w:rFonts w:hint="eastAsia" w:ascii="宋体" w:hAnsi="宋体" w:eastAsia="宋体" w:cs="宋体"/>
                <w:b w:val="0"/>
                <w:bCs/>
                <w:color w:val="auto"/>
                <w:sz w:val="24"/>
                <w:szCs w:val="24"/>
                <w:highlight w:val="none"/>
                <w:lang w:val="en-US" w:eastAsia="zh-CN" w:bidi="ar-SA"/>
              </w:rPr>
              <w:t xml:space="preserve">分。</w:t>
            </w:r>
            <w:r/>
          </w:p>
          <w:p>
            <w:pPr>
              <w:ind w:left="0" w:firstLine="0"/>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说明：1.工作经验证明：提供供货单位合同，合同没有明确时间的可以同时提供合同及业主出具的证明；</w:t>
            </w:r>
            <w:r/>
          </w:p>
          <w:p>
            <w:pPr>
              <w:spacing w:line="360" w:lineRule="auto"/>
              <w:widowControl/>
              <w:rPr>
                <w:rFonts w:hint="eastAsia" w:ascii="宋体" w:hAnsi="宋体" w:eastAsia="宋体" w:cs="宋体"/>
                <w:b w:val="0"/>
                <w:bCs/>
                <w:color w:val="auto"/>
                <w:sz w:val="24"/>
                <w:szCs w:val="24"/>
                <w:highlight w:val="none"/>
                <w:lang w:val="en-US"/>
              </w:rPr>
            </w:pPr>
            <w:r>
              <w:rPr>
                <w:rFonts w:hint="eastAsia" w:ascii="宋体" w:hAnsi="宋体" w:eastAsia="宋体" w:cs="宋体"/>
                <w:b w:val="0"/>
                <w:bCs/>
                <w:color w:val="auto"/>
                <w:sz w:val="24"/>
                <w:szCs w:val="24"/>
                <w:highlight w:val="none"/>
                <w:lang w:val="en-US" w:eastAsia="zh-CN" w:bidi="ar-SA"/>
              </w:rPr>
              <w:t xml:space="preserve">2.合同应能反映相关内容。如合同无法体现项目经理信息，须提供业主出具的证明材料。</w:t>
            </w:r>
            <w:r/>
          </w:p>
          <w:p>
            <w:pPr>
              <w:ind w:left="0" w:firstLine="0"/>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 w:bidi="ar-SA"/>
              </w:rPr>
            </w:pPr>
            <w:r>
              <w:rPr>
                <w:rFonts w:hint="eastAsia" w:ascii="宋体" w:hAnsi="宋体" w:eastAsia="宋体" w:cs="宋体"/>
                <w:b w:val="0"/>
                <w:bCs/>
                <w:color w:val="auto"/>
                <w:sz w:val="24"/>
                <w:szCs w:val="24"/>
                <w:highlight w:val="none"/>
                <w:lang w:val="en-US" w:eastAsia="zh-CN" w:bidi="ar-SA"/>
              </w:rPr>
              <w:t xml:space="preserve">3.上传证明文件至投标系统，加盖公章或电子签章。</w:t>
            </w:r>
            <w:r/>
          </w:p>
        </w:tc>
        <w:tc>
          <w:tcPr>
            <w:tcW w:w="710"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
              </w:rPr>
              <w:t xml:space="preserve">3</w:t>
            </w:r>
            <w:r/>
          </w:p>
        </w:tc>
        <w:tc>
          <w:tcPr>
            <w:tcW w:w="904"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
              </w:rPr>
            </w:pPr>
            <w:r>
              <w:rPr>
                <w:rFonts w:hint="eastAsia" w:ascii="宋体" w:hAnsi="宋体" w:eastAsia="宋体" w:cs="宋体"/>
                <w:b w:val="0"/>
                <w:bCs/>
                <w:color w:val="auto"/>
                <w:sz w:val="24"/>
                <w:szCs w:val="24"/>
                <w:highlight w:val="none"/>
                <w:lang w:val="en-US" w:eastAsia="zh"/>
              </w:rPr>
              <w:t xml:space="preserve">客观分</w:t>
            </w:r>
            <w:r/>
          </w:p>
        </w:tc>
      </w:tr>
      <w:tr>
        <w:trPr>
          <w:jc w:val="center"/>
        </w:trPr>
        <w:tc>
          <w:tcPr>
            <w:tcW w:w="76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
              </w:rPr>
            </w:pP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lang w:val="en-US" w:eastAsia="zh"/>
              </w:rPr>
              <w:t xml:space="preserve">.4</w:t>
            </w:r>
            <w:r/>
          </w:p>
        </w:tc>
        <w:tc>
          <w:tcPr>
            <w:tcW w:w="1090" w:type="dxa"/>
            <w:vAlign w:val="center"/>
            <w:vMerge w:val="continue"/>
            <w:textDirection w:val="lrTb"/>
            <w:noWrap w:val="false"/>
          </w:tcPr>
          <w:p>
            <w:pPr>
              <w:ind w:left="0" w:firstLine="0"/>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W w:w="7010" w:type="dxa"/>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 w:bidi="ar-SA"/>
              </w:rPr>
            </w:pPr>
            <w:r>
              <w:rPr>
                <w:rFonts w:hint="eastAsia" w:ascii="宋体" w:hAnsi="宋体" w:eastAsia="宋体" w:cs="宋体"/>
                <w:b w:val="0"/>
                <w:bCs/>
                <w:color w:val="auto"/>
                <w:sz w:val="24"/>
                <w:szCs w:val="24"/>
                <w:highlight w:val="none"/>
                <w:lang w:val="en-US" w:eastAsia="zh" w:bidi="ar-SA"/>
              </w:rPr>
              <w:t xml:space="preserve">投标人具有数字化服务平台（自有或租用均可），可实现在线下单、实时查看配送进度、自动生成采购台账等，软件功能覆盖全流程得3分，能实现大部分功能的得2分，仅支持基础下单得1分。</w:t>
            </w:r>
            <w:r/>
          </w:p>
          <w:p>
            <w:pPr>
              <w:ind w:left="0" w:firstLine="0"/>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 w:bidi="ar-SA"/>
              </w:rPr>
            </w:pPr>
            <w:r>
              <w:rPr>
                <w:rFonts w:hint="eastAsia" w:ascii="宋体" w:hAnsi="宋体" w:eastAsia="宋体" w:cs="宋体"/>
                <w:b w:val="0"/>
                <w:bCs/>
                <w:color w:val="auto"/>
                <w:sz w:val="24"/>
                <w:szCs w:val="24"/>
                <w:highlight w:val="none"/>
                <w:lang w:val="en-US" w:eastAsia="zh" w:bidi="ar-SA"/>
              </w:rPr>
              <w:t xml:space="preserve">提供软件服务平台介绍、截图等证明材料上传至投标系统。</w:t>
            </w:r>
            <w:r/>
          </w:p>
        </w:tc>
        <w:tc>
          <w:tcPr>
            <w:tcW w:w="710"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
              </w:rPr>
              <w:t xml:space="preserve">3</w:t>
            </w:r>
            <w:r/>
          </w:p>
        </w:tc>
        <w:tc>
          <w:tcPr>
            <w:tcW w:w="904"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
              </w:rPr>
            </w:pPr>
            <w:r>
              <w:rPr>
                <w:rFonts w:hint="eastAsia" w:ascii="宋体" w:hAnsi="宋体" w:eastAsia="宋体" w:cs="宋体"/>
                <w:b w:val="0"/>
                <w:bCs/>
                <w:color w:val="auto"/>
                <w:sz w:val="24"/>
                <w:szCs w:val="24"/>
                <w:highlight w:val="none"/>
                <w:lang w:val="en-US" w:eastAsia="zh-CN"/>
              </w:rPr>
              <w:t xml:space="preserve">客</w:t>
            </w:r>
            <w:r>
              <w:rPr>
                <w:rFonts w:hint="eastAsia" w:ascii="宋体" w:hAnsi="宋体" w:eastAsia="宋体" w:cs="宋体"/>
                <w:b w:val="0"/>
                <w:bCs/>
                <w:color w:val="auto"/>
                <w:sz w:val="24"/>
                <w:szCs w:val="24"/>
                <w:highlight w:val="none"/>
                <w:lang w:val="en-US" w:eastAsia="zh"/>
              </w:rPr>
              <w:t xml:space="preserve">观分</w:t>
            </w:r>
            <w:r/>
          </w:p>
        </w:tc>
      </w:tr>
      <w:tr>
        <w:trPr>
          <w:jc w:val="center"/>
        </w:trPr>
        <w:tc>
          <w:tcPr>
            <w:tcW w:w="76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tc>
        <w:tc>
          <w:tcPr>
            <w:tcW w:w="1090"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rPr>
              <w:t xml:space="preserve">合计分值</w:t>
            </w:r>
            <w:r/>
          </w:p>
        </w:tc>
        <w:tc>
          <w:tcPr>
            <w:tcW w:w="7010" w:type="dxa"/>
            <w:vAlign w:val="center"/>
            <w:textDirection w:val="lrTb"/>
            <w:noWrap w:val="false"/>
          </w:tcPr>
          <w:p>
            <w:pPr>
              <w:ind w:left="0" w:firstLine="0"/>
              <w:keepLines w:val="0"/>
              <w:keepNext w:val="0"/>
              <w:pageBreakBefore w:val="0"/>
              <w:spacing w:before="0" w:after="0" w:line="360" w:lineRule="auto"/>
              <w:widowControl/>
              <w:rPr>
                <w:rFonts w:hint="eastAsia" w:ascii="宋体" w:hAnsi="宋体" w:eastAsia="宋体" w:cs="宋体"/>
                <w:b w:val="0"/>
                <w:bCs/>
                <w:color w:val="auto"/>
                <w:sz w:val="24"/>
                <w:szCs w:val="24"/>
                <w:highlight w:val="none"/>
                <w:lang w:val="en-US" w:eastAsia="zh" w:bidi="ar-SA"/>
              </w:rPr>
            </w:pPr>
            <w:r>
              <w:rPr>
                <w:rFonts w:hint="eastAsia" w:ascii="宋体" w:hAnsi="宋体" w:eastAsia="宋体" w:cs="宋体"/>
                <w:b w:val="0"/>
                <w:bCs/>
                <w:color w:val="auto"/>
                <w:sz w:val="24"/>
                <w:szCs w:val="24"/>
                <w:highlight w:val="none"/>
                <w:lang w:val="en-US" w:eastAsia="zh" w:bidi="ar-SA"/>
              </w:rPr>
            </w:r>
            <w:r/>
          </w:p>
        </w:tc>
        <w:tc>
          <w:tcPr>
            <w:tcW w:w="710"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b w:val="0"/>
                <w:bCs/>
                <w:color w:val="auto"/>
                <w:sz w:val="24"/>
                <w:szCs w:val="24"/>
                <w:highlight w:val="none"/>
                <w:lang w:eastAsia="zh"/>
              </w:rPr>
            </w:pPr>
            <w:r>
              <w:rPr>
                <w:rFonts w:hint="eastAsia" w:ascii="宋体" w:hAnsi="宋体" w:eastAsia="宋体" w:cs="宋体"/>
                <w:b w:val="0"/>
                <w:bCs/>
                <w:color w:val="auto"/>
                <w:sz w:val="24"/>
                <w:szCs w:val="24"/>
                <w:highlight w:val="none"/>
                <w:lang w:eastAsia="zh"/>
              </w:rPr>
              <w:t xml:space="preserve">100</w:t>
            </w:r>
            <w:r/>
          </w:p>
        </w:tc>
        <w:tc>
          <w:tcPr>
            <w:tcW w:w="904"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
              </w:rPr>
            </w:pPr>
            <w:r>
              <w:rPr>
                <w:rFonts w:hint="eastAsia" w:ascii="宋体" w:hAnsi="宋体" w:eastAsia="宋体" w:cs="宋体"/>
                <w:b w:val="0"/>
                <w:bCs/>
                <w:color w:val="auto"/>
                <w:sz w:val="24"/>
                <w:szCs w:val="24"/>
                <w:highlight w:val="none"/>
                <w:lang w:val="en-US" w:eastAsia="zh"/>
              </w:rPr>
            </w:r>
            <w:r/>
          </w:p>
        </w:tc>
      </w:tr>
    </w:tbl>
    <w:p>
      <w:pPr>
        <w:ind w:firstLine="0"/>
        <w:jc w:val="left"/>
        <w:pageBreakBefore w:val="0"/>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w:t>
      </w:r>
      <w:r/>
    </w:p>
    <w:p>
      <w:pPr>
        <w:ind w:firstLine="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小微企业的价格扣除</w:t>
      </w:r>
      <w:r/>
    </w:p>
    <w:p>
      <w:pPr>
        <w:ind w:firstLine="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1.对于未预留份额专门面向中小企业采购的采购项目或预留份额项目中的非预留部分采购包，给予小微企业报价10%的扣除，用扣除后的价格参加评标。其中，接受大中型企业与小微企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标。联合体各方均为小微企业的，联合体视同为小微企业，享受10%的价格扣除。</w:t>
      </w:r>
      <w:r/>
    </w:p>
    <w:p>
      <w:pPr>
        <w:ind w:firstLine="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2.价格扣除比例或者价格分加分比例对小型企业和微型企业同等对待，不作区分。</w:t>
      </w:r>
      <w:r/>
    </w:p>
    <w:p>
      <w:pPr>
        <w:ind w:firstLine="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说明：价格扣除优惠政策仅适用于“第一章 4、申请人的资格要求 4.2落实政府采购政策需满足的资格要求”中“本项目采用以下第（4）种方式落实政府采购促进中小企业发展的要求”的采购项目中。</w:t>
      </w:r>
      <w:r/>
    </w:p>
    <w:p>
      <w:pPr>
        <w:ind w:firstLine="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）监狱和戒毒企业的价格扣除</w:t>
      </w:r>
      <w:r/>
    </w:p>
    <w:p>
      <w:pPr>
        <w:ind w:firstLine="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1.本项目对监狱和戒毒企业（简称监狱企业）视同小型、微型企业，给予10%的价格扣除，用扣除后的价格参与评标。</w:t>
      </w:r>
      <w:r/>
    </w:p>
    <w:p>
      <w:pPr>
        <w:ind w:firstLine="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2.监狱企业需提供由省级以上监狱管理局、戒毒管理局（含新疆生产建设兵团）出具的属于监狱企业的证明文件。</w:t>
      </w:r>
      <w:r/>
    </w:p>
    <w:p>
      <w:pPr>
        <w:ind w:firstLine="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ind w:firstLine="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）残疾人福利性单位的价格扣除</w:t>
      </w:r>
      <w:r/>
    </w:p>
    <w:p>
      <w:pPr>
        <w:ind w:firstLine="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1.本项目对残疾人福利性单位视同小型、微型企业，给予10%的价格扣除，用扣除后的价格参与评标。</w:t>
      </w:r>
      <w:r/>
    </w:p>
    <w:p>
      <w:pPr>
        <w:ind w:firstLine="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2.残疾人福利单位需按照招标文件的要求提供《残疾人福利性单位声明函》。</w:t>
      </w:r>
      <w:r/>
    </w:p>
    <w:p>
      <w:pPr>
        <w:ind w:firstLine="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ind w:firstLine="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）监狱企业、残疾人福利单位属于小型、微型企业的，不重复享受政策。</w:t>
      </w:r>
      <w:r/>
    </w:p>
    <w:p>
      <w:pPr>
        <w:pStyle w:val="865"/>
        <w:ind w:firstLine="0"/>
        <w:jc w:val="lef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）除评分标准中另有说明外，所有认证、证明和业绩均以有效的证明文件的复印件为依据。</w:t>
      </w:r>
      <w:r/>
    </w:p>
    <w:p>
      <w:pPr>
        <w:pStyle w:val="846"/>
        <w:ind w:firstLine="0"/>
        <w:jc w:val="center"/>
        <w:pageBreakBefore w:val="0"/>
        <w:spacing w:line="560" w:lineRule="exact"/>
        <w:rPr>
          <w:rFonts w:hint="eastAsia" w:ascii="宋体" w:hAnsi="宋体" w:eastAsia="宋体" w:cs="宋体"/>
          <w:b w:val="0"/>
          <w:color w:val="auto"/>
          <w:sz w:val="24"/>
          <w:szCs w:val="24"/>
          <w:highlight w:val="none"/>
        </w:rPr>
      </w:pPr>
      <w:r/>
      <w:bookmarkStart w:id="9" w:name="_Toc123027837"/>
      <w:r/>
      <w:bookmarkStart w:id="10" w:name="_Toc329"/>
      <w:r>
        <w:rPr>
          <w:rFonts w:hint="eastAsia" w:ascii="宋体" w:hAnsi="宋体" w:eastAsia="宋体" w:cs="宋体"/>
          <w:color w:val="auto"/>
          <w:sz w:val="24"/>
          <w:szCs w:val="24"/>
          <w:highlight w:val="none"/>
        </w:rPr>
        <w:t xml:space="preserve">第四章  招标项目的服务要求和数量等</w:t>
      </w:r>
      <w:bookmarkEnd w:id="9"/>
      <w:r/>
      <w:bookmarkEnd w:id="10"/>
      <w:r/>
      <w:r/>
    </w:p>
    <w:p>
      <w:pPr>
        <w:ind w:firstLine="0"/>
        <w:jc w:val="left"/>
        <w:pageBreakBefore w:val="0"/>
        <w:spacing w:line="560" w:lineRule="exact"/>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一、项目</w:t>
      </w:r>
      <w:r>
        <w:rPr>
          <w:rFonts w:hint="eastAsia" w:ascii="宋体" w:hAnsi="宋体" w:eastAsia="宋体" w:cs="宋体"/>
          <w:b/>
          <w:color w:val="auto"/>
          <w:sz w:val="24"/>
          <w:szCs w:val="24"/>
          <w:highlight w:val="none"/>
          <w:lang w:val="en-US" w:eastAsia="zh-CN"/>
        </w:rPr>
        <w:t xml:space="preserve">概况</w:t>
      </w:r>
      <w:r/>
    </w:p>
    <w:p>
      <w:pPr>
        <w:ind w:firstLine="0"/>
        <w:pageBreakBefore w:val="0"/>
        <w:spacing w:line="560" w:lineRule="exact"/>
        <w:rPr>
          <w:rFonts w:hint="eastAsia" w:ascii="宋体" w:hAnsi="宋体" w:eastAsia="宋体" w:cs="宋体"/>
          <w:bCs/>
          <w:color w:val="auto"/>
          <w:sz w:val="24"/>
          <w:szCs w:val="24"/>
          <w:highlight w:val="none"/>
        </w:rPr>
      </w:pPr>
      <w:r/>
      <w:bookmarkStart w:id="11" w:name="_Toc123027838"/>
      <w:r>
        <w:rPr>
          <w:rFonts w:hint="eastAsia" w:ascii="宋体" w:hAnsi="宋体" w:eastAsia="宋体" w:cs="宋体"/>
          <w:bCs/>
          <w:color w:val="auto"/>
          <w:sz w:val="24"/>
          <w:szCs w:val="24"/>
          <w:highlight w:val="none"/>
        </w:rPr>
        <w:t xml:space="preserve">南京市博物总馆食堂食材采购（包括但不限于：鲜猪肉、牛肉、羊肉、水产、鸡蛋、禽类、蔬菜、水果、调味品、米、面、油、杂粮、干货、奶制品、豆制品、面制品）及配送，满足用餐要求，食材质量符合国家质量标准、规范要求。预算金额为年度预估采购额度，具体以实际采购量为准。</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合同履行期限：合同签订之日起一年。</w:t>
      </w:r>
      <w:r/>
    </w:p>
    <w:p>
      <w:pPr>
        <w:numPr>
          <w:ilvl w:val="0"/>
          <w:numId w:val="5"/>
        </w:numPr>
        <w:ind w:firstLine="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食堂位置以及相关就餐安排说明</w:t>
      </w:r>
      <w:r/>
    </w:p>
    <w:tbl>
      <w:tblPr>
        <w:tblStyle w:val="888"/>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2518"/>
        <w:gridCol w:w="3044"/>
        <w:gridCol w:w="3480"/>
      </w:tblGrid>
      <w:tr>
        <w:trPr>
          <w:jc w:val="center"/>
        </w:trPr>
        <w:tc>
          <w:tcPr>
            <w:shd w:val="clear" w:color="auto" w:fill="d7d7d7" w:themeFill="background1" w:themeFillShade="D8"/>
            <w:tcW w:w="458" w:type="pct"/>
            <w:vAlign w:val="center"/>
            <w:textDirection w:val="lrTb"/>
            <w:noWrap w:val="false"/>
          </w:tcPr>
          <w:p>
            <w:pPr>
              <w:numPr>
                <w:ilvl w:val="0"/>
                <w:numId w:val="0"/>
              </w:numPr>
              <w:ind w:firstLine="0"/>
              <w:jc w:val="center"/>
              <w:pageBreakBefore w:val="0"/>
              <w:spacing w:line="5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序号</w:t>
            </w:r>
            <w:r/>
          </w:p>
        </w:tc>
        <w:tc>
          <w:tcPr>
            <w:shd w:val="clear" w:color="auto" w:fill="d7d7d7" w:themeFill="background1" w:themeFillShade="D8"/>
            <w:tcW w:w="1265" w:type="pct"/>
            <w:vAlign w:val="center"/>
            <w:textDirection w:val="lrTb"/>
            <w:noWrap w:val="false"/>
          </w:tcPr>
          <w:p>
            <w:pPr>
              <w:numPr>
                <w:ilvl w:val="0"/>
                <w:numId w:val="0"/>
              </w:numPr>
              <w:ind w:firstLine="0"/>
              <w:jc w:val="center"/>
              <w:pageBreakBefore w:val="0"/>
              <w:spacing w:line="5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单位名称</w:t>
            </w:r>
            <w:r/>
          </w:p>
        </w:tc>
        <w:tc>
          <w:tcPr>
            <w:shd w:val="clear" w:color="auto" w:fill="d7d7d7" w:themeFill="background1" w:themeFillShade="D8"/>
            <w:tcW w:w="1529" w:type="pct"/>
            <w:vAlign w:val="center"/>
            <w:textDirection w:val="lrTb"/>
            <w:noWrap w:val="false"/>
          </w:tcPr>
          <w:p>
            <w:pPr>
              <w:numPr>
                <w:ilvl w:val="0"/>
                <w:numId w:val="0"/>
              </w:numPr>
              <w:ind w:firstLine="0"/>
              <w:jc w:val="center"/>
              <w:pageBreakBefore w:val="0"/>
              <w:spacing w:line="5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配送或就餐地址</w:t>
            </w:r>
            <w:r/>
          </w:p>
        </w:tc>
        <w:tc>
          <w:tcPr>
            <w:shd w:val="clear" w:color="auto" w:fill="d7d7d7" w:themeFill="background1" w:themeFillShade="D8"/>
            <w:tcW w:w="1746" w:type="pct"/>
            <w:vAlign w:val="center"/>
            <w:textDirection w:val="lrTb"/>
            <w:noWrap w:val="false"/>
          </w:tcPr>
          <w:p>
            <w:pPr>
              <w:numPr>
                <w:ilvl w:val="0"/>
                <w:numId w:val="0"/>
              </w:numPr>
              <w:ind w:firstLine="0"/>
              <w:jc w:val="center"/>
              <w:pageBreakBefore w:val="0"/>
              <w:spacing w:line="5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食材采购说明</w:t>
            </w:r>
            <w:r/>
          </w:p>
        </w:tc>
      </w:tr>
      <w:tr>
        <w:trPr>
          <w:jc w:val="center"/>
        </w:trPr>
        <w:tc>
          <w:tcPr>
            <w:gridSpan w:val="4"/>
            <w:tcW w:w="5000" w:type="pct"/>
            <w:vAlign w:val="center"/>
            <w:textDirection w:val="lrTb"/>
            <w:noWrap w:val="false"/>
          </w:tcPr>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一、食材采购及配送</w:t>
            </w:r>
            <w:r/>
          </w:p>
        </w:tc>
      </w:tr>
      <w:tr>
        <w:trPr>
          <w:jc w:val="center"/>
          <w:trHeight w:val="487"/>
        </w:trPr>
        <w:tc>
          <w:tcPr>
            <w:tcW w:w="458" w:type="pct"/>
            <w:vAlign w:val="center"/>
            <w:vMerge w:val="restart"/>
            <w:textDirection w:val="lrTb"/>
            <w:noWrap w:val="false"/>
          </w:tcPr>
          <w:p>
            <w:pPr>
              <w:numPr>
                <w:ilvl w:val="0"/>
                <w:numId w:val="0"/>
              </w:numPr>
              <w:ind w:firstLine="0"/>
              <w:jc w:val="center"/>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W w:w="1265" w:type="pct"/>
            <w:vAlign w:val="center"/>
            <w:textDirection w:val="lrTb"/>
            <w:noWrap w:val="false"/>
          </w:tcPr>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南京市博物总馆</w:t>
            </w:r>
            <w:r/>
          </w:p>
        </w:tc>
        <w:tc>
          <w:tcPr>
            <w:tcW w:w="1529" w:type="pct"/>
            <w:vAlign w:val="center"/>
            <w:vMerge w:val="restart"/>
            <w:textDirection w:val="lrTb"/>
            <w:noWrap w:val="false"/>
          </w:tcPr>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南京市秦淮区中华路257号</w:t>
            </w:r>
            <w:r/>
          </w:p>
        </w:tc>
        <w:tc>
          <w:tcPr>
            <w:tcW w:w="1746" w:type="pct"/>
            <w:vAlign w:val="center"/>
            <w:vMerge w:val="restart"/>
            <w:textDirection w:val="lrTb"/>
            <w:noWrap w:val="false"/>
          </w:tcPr>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由南京市博物总馆统一制定食材采购内容清单，于每天中午12:00前下发第二天采购清单。工作日期间正常配送，配送时间每个工作日上午6：30之前，如遇节假日需要配送的，服从安排。</w:t>
            </w:r>
            <w:r/>
          </w:p>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配送至目的地后由各单位安排专人进行验收，并做好记录，</w:t>
            </w:r>
            <w:r>
              <w:rPr>
                <w:rFonts w:hint="eastAsia" w:ascii="宋体" w:hAnsi="宋体" w:eastAsia="宋体" w:cs="宋体"/>
                <w:b w:val="0"/>
                <w:bCs w:val="0"/>
                <w:color w:val="auto"/>
                <w:sz w:val="24"/>
                <w:szCs w:val="24"/>
                <w:highlight w:val="none"/>
                <w:lang w:val="en-US" w:eastAsia="zh"/>
              </w:rPr>
              <w:t xml:space="preserve">次</w:t>
            </w:r>
            <w:r>
              <w:rPr>
                <w:rFonts w:hint="eastAsia" w:ascii="宋体" w:hAnsi="宋体" w:eastAsia="宋体" w:cs="宋体"/>
                <w:b w:val="0"/>
                <w:bCs w:val="0"/>
                <w:color w:val="auto"/>
                <w:sz w:val="24"/>
                <w:szCs w:val="24"/>
                <w:highlight w:val="none"/>
                <w:lang w:val="en-US" w:eastAsia="zh-CN"/>
              </w:rPr>
              <w:t xml:space="preserve">月第一天汇总提交上月的每天供货的总清单。</w:t>
            </w:r>
            <w:r/>
          </w:p>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验收不通过或未送全或要求补货等，供应商应根据馆方的要求及时退、补、更换，要求</w:t>
            </w:r>
            <w:r>
              <w:rPr>
                <w:rFonts w:hint="eastAsia" w:ascii="宋体" w:hAnsi="宋体" w:eastAsia="宋体" w:cs="宋体"/>
                <w:b w:val="0"/>
                <w:bCs w:val="0"/>
                <w:color w:val="auto"/>
                <w:sz w:val="24"/>
                <w:szCs w:val="24"/>
                <w:highlight w:val="none"/>
                <w:lang w:val="en-US" w:eastAsia="zh"/>
              </w:rPr>
              <w:t xml:space="preserve">四十分钟</w:t>
            </w:r>
            <w:r>
              <w:rPr>
                <w:rFonts w:hint="eastAsia" w:ascii="宋体" w:hAnsi="宋体" w:eastAsia="宋体" w:cs="宋体"/>
                <w:b w:val="0"/>
                <w:bCs w:val="0"/>
                <w:color w:val="auto"/>
                <w:sz w:val="24"/>
                <w:szCs w:val="24"/>
                <w:highlight w:val="none"/>
                <w:lang w:val="en-US" w:eastAsia="zh-CN"/>
              </w:rPr>
              <w:t xml:space="preserve">内补充</w:t>
            </w:r>
            <w:r>
              <w:rPr>
                <w:rFonts w:hint="eastAsia" w:ascii="宋体" w:hAnsi="宋体" w:eastAsia="宋体" w:cs="宋体"/>
                <w:b w:val="0"/>
                <w:bCs w:val="0"/>
                <w:color w:val="auto"/>
                <w:sz w:val="24"/>
                <w:szCs w:val="24"/>
                <w:highlight w:val="none"/>
                <w:lang w:val="en-US" w:eastAsia="zh"/>
              </w:rPr>
              <w:t xml:space="preserve">到位</w:t>
            </w:r>
            <w:r>
              <w:rPr>
                <w:rFonts w:hint="eastAsia" w:ascii="宋体" w:hAnsi="宋体" w:eastAsia="宋体" w:cs="宋体"/>
                <w:b w:val="0"/>
                <w:bCs w:val="0"/>
                <w:color w:val="auto"/>
                <w:sz w:val="24"/>
                <w:szCs w:val="24"/>
                <w:highlight w:val="none"/>
                <w:lang w:val="en-US" w:eastAsia="zh-CN"/>
              </w:rPr>
              <w:t xml:space="preserve">合格货品。</w:t>
            </w:r>
            <w:r/>
          </w:p>
        </w:tc>
      </w:tr>
      <w:tr>
        <w:trPr>
          <w:jc w:val="center"/>
          <w:trHeight w:val="560"/>
        </w:trPr>
        <w:tc>
          <w:tcPr>
            <w:tcW w:w="458" w:type="pct"/>
            <w:vAlign w:val="center"/>
            <w:vMerge w:val="continue"/>
            <w:textDirection w:val="lrTb"/>
            <w:noWrap w:val="false"/>
          </w:tcPr>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1265" w:type="pct"/>
            <w:vAlign w:val="center"/>
            <w:textDirection w:val="lrTb"/>
            <w:noWrap w:val="false"/>
          </w:tcPr>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太平天国历史博物馆</w:t>
            </w:r>
            <w:r/>
          </w:p>
        </w:tc>
        <w:tc>
          <w:tcPr>
            <w:tcW w:w="1529" w:type="pct"/>
            <w:vAlign w:val="center"/>
            <w:vMerge w:val="continue"/>
            <w:textDirection w:val="lrTb"/>
            <w:noWrap w:val="false"/>
          </w:tcPr>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1746" w:type="pct"/>
            <w:vAlign w:val="center"/>
            <w:vMerge w:val="continue"/>
            <w:textDirection w:val="lrTb"/>
            <w:noWrap w:val="false"/>
          </w:tcPr>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jc w:val="center"/>
        </w:trPr>
        <w:tc>
          <w:tcPr>
            <w:tcW w:w="458" w:type="pct"/>
            <w:vAlign w:val="center"/>
            <w:vMerge w:val="restart"/>
            <w:textDirection w:val="lrTb"/>
            <w:noWrap w:val="false"/>
          </w:tcPr>
          <w:p>
            <w:pPr>
              <w:numPr>
                <w:ilvl w:val="0"/>
                <w:numId w:val="0"/>
              </w:numPr>
              <w:ind w:firstLine="0"/>
              <w:jc w:val="center"/>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tcW w:w="1265" w:type="pct"/>
            <w:vAlign w:val="center"/>
            <w:textDirection w:val="lrTb"/>
            <w:noWrap w:val="false"/>
          </w:tcPr>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南京市博物馆</w:t>
            </w:r>
            <w:r/>
          </w:p>
        </w:tc>
        <w:tc>
          <w:tcPr>
            <w:tcW w:w="1529" w:type="pct"/>
            <w:vAlign w:val="center"/>
            <w:vMerge w:val="restart"/>
            <w:textDirection w:val="lrTb"/>
            <w:noWrap w:val="false"/>
          </w:tcPr>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南京市秦淮区莫愁路188号</w:t>
            </w:r>
            <w:r/>
          </w:p>
        </w:tc>
        <w:tc>
          <w:tcPr>
            <w:tcW w:w="1746" w:type="pct"/>
            <w:vAlign w:val="center"/>
            <w:vMerge w:val="continue"/>
            <w:textDirection w:val="lrTb"/>
            <w:noWrap w:val="false"/>
          </w:tcPr>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jc w:val="center"/>
        </w:trPr>
        <w:tc>
          <w:tcPr>
            <w:tcW w:w="458" w:type="pct"/>
            <w:vAlign w:val="center"/>
            <w:vMerge w:val="continue"/>
            <w:textDirection w:val="lrTb"/>
            <w:noWrap w:val="false"/>
          </w:tcPr>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1265" w:type="pct"/>
            <w:vAlign w:val="center"/>
            <w:textDirection w:val="lrTb"/>
            <w:noWrap w:val="false"/>
          </w:tcPr>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南京市博物总馆文保部</w:t>
            </w:r>
            <w:r/>
          </w:p>
        </w:tc>
        <w:tc>
          <w:tcPr>
            <w:tcW w:w="1529" w:type="pct"/>
            <w:vAlign w:val="center"/>
            <w:vMerge w:val="continue"/>
            <w:textDirection w:val="lrTb"/>
            <w:noWrap w:val="false"/>
          </w:tcPr>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1746" w:type="pct"/>
            <w:vAlign w:val="center"/>
            <w:vMerge w:val="continue"/>
            <w:textDirection w:val="lrTb"/>
            <w:noWrap w:val="false"/>
          </w:tcPr>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jc w:val="center"/>
        </w:trPr>
        <w:tc>
          <w:tcPr>
            <w:tcW w:w="458" w:type="pct"/>
            <w:vAlign w:val="center"/>
            <w:vMerge w:val="continue"/>
            <w:textDirection w:val="lrTb"/>
            <w:noWrap w:val="false"/>
          </w:tcPr>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1265" w:type="pct"/>
            <w:vAlign w:val="center"/>
            <w:textDirection w:val="lrTb"/>
            <w:noWrap w:val="false"/>
          </w:tcPr>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南京市考古研究院</w:t>
            </w:r>
            <w:r/>
          </w:p>
        </w:tc>
        <w:tc>
          <w:tcPr>
            <w:tcW w:w="1529" w:type="pct"/>
            <w:vAlign w:val="center"/>
            <w:vMerge w:val="continue"/>
            <w:textDirection w:val="lrTb"/>
            <w:noWrap w:val="false"/>
          </w:tcPr>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1746" w:type="pct"/>
            <w:vAlign w:val="center"/>
            <w:vMerge w:val="continue"/>
            <w:textDirection w:val="lrTb"/>
            <w:noWrap w:val="false"/>
          </w:tcPr>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jc w:val="center"/>
        </w:trPr>
        <w:tc>
          <w:tcPr>
            <w:tcW w:w="458" w:type="pct"/>
            <w:vAlign w:val="center"/>
            <w:vMerge w:val="continue"/>
            <w:textDirection w:val="lrTb"/>
            <w:noWrap w:val="false"/>
          </w:tcPr>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1265" w:type="pct"/>
            <w:vAlign w:val="center"/>
            <w:textDirection w:val="lrTb"/>
            <w:noWrap w:val="false"/>
          </w:tcPr>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堂子街太平天国</w:t>
            </w:r>
            <w:r/>
          </w:p>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壁画艺术馆</w:t>
            </w:r>
            <w:r/>
          </w:p>
        </w:tc>
        <w:tc>
          <w:tcPr>
            <w:tcW w:w="1529" w:type="pct"/>
            <w:vAlign w:val="center"/>
            <w:vMerge w:val="continue"/>
            <w:textDirection w:val="lrTb"/>
            <w:noWrap w:val="false"/>
          </w:tcPr>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1746" w:type="pct"/>
            <w:vAlign w:val="center"/>
            <w:vMerge w:val="continue"/>
            <w:textDirection w:val="lrTb"/>
            <w:noWrap w:val="false"/>
          </w:tcPr>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jc w:val="center"/>
        </w:trPr>
        <w:tc>
          <w:tcPr>
            <w:tcW w:w="458" w:type="pct"/>
            <w:vAlign w:val="center"/>
            <w:textDirection w:val="lrTb"/>
            <w:noWrap w:val="false"/>
          </w:tcPr>
          <w:p>
            <w:pPr>
              <w:numPr>
                <w:ilvl w:val="0"/>
                <w:numId w:val="0"/>
              </w:numPr>
              <w:ind w:firstLine="0"/>
              <w:jc w:val="center"/>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c>
          <w:tcPr>
            <w:tcW w:w="1265" w:type="pct"/>
            <w:vAlign w:val="center"/>
            <w:textDirection w:val="lrTb"/>
            <w:noWrap w:val="false"/>
          </w:tcPr>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南京市民俗博物馆</w:t>
            </w:r>
            <w:r/>
          </w:p>
        </w:tc>
        <w:tc>
          <w:tcPr>
            <w:tcW w:w="1529" w:type="pct"/>
            <w:vAlign w:val="center"/>
            <w:textDirection w:val="lrTb"/>
            <w:noWrap w:val="false"/>
          </w:tcPr>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南京市</w:t>
            </w:r>
            <w:r>
              <w:rPr>
                <w:rFonts w:hint="eastAsia" w:ascii="宋体" w:hAnsi="宋体" w:eastAsia="宋体" w:cs="宋体"/>
                <w:b w:val="0"/>
                <w:bCs w:val="0"/>
                <w:color w:val="auto"/>
                <w:sz w:val="24"/>
                <w:szCs w:val="24"/>
                <w:highlight w:val="none"/>
              </w:rPr>
              <w:t xml:space="preserve">秦淮区南捕厅15号</w:t>
            </w:r>
            <w:r/>
          </w:p>
        </w:tc>
        <w:tc>
          <w:tcPr>
            <w:tcW w:w="1746" w:type="pct"/>
            <w:vAlign w:val="center"/>
            <w:vMerge w:val="continue"/>
            <w:textDirection w:val="lrTb"/>
            <w:noWrap w:val="false"/>
          </w:tcPr>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jc w:val="center"/>
        </w:trPr>
        <w:tc>
          <w:tcPr>
            <w:tcW w:w="458" w:type="pct"/>
            <w:vAlign w:val="center"/>
            <w:textDirection w:val="lrTb"/>
            <w:noWrap w:val="false"/>
          </w:tcPr>
          <w:p>
            <w:pPr>
              <w:numPr>
                <w:ilvl w:val="0"/>
                <w:numId w:val="0"/>
              </w:numPr>
              <w:ind w:firstLine="0"/>
              <w:jc w:val="center"/>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c>
          <w:tcPr>
            <w:tcW w:w="1265" w:type="pct"/>
            <w:vAlign w:val="center"/>
            <w:textDirection w:val="lrTb"/>
            <w:noWrap w:val="false"/>
          </w:tcPr>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中国共产党代表团</w:t>
            </w:r>
            <w:r/>
          </w:p>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梅园新村纪念馆</w:t>
            </w:r>
            <w:r/>
          </w:p>
        </w:tc>
        <w:tc>
          <w:tcPr>
            <w:tcW w:w="1529" w:type="pct"/>
            <w:vAlign w:val="center"/>
            <w:textDirection w:val="lrTb"/>
            <w:noWrap w:val="false"/>
          </w:tcPr>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南京市</w:t>
            </w:r>
            <w:r>
              <w:rPr>
                <w:rFonts w:hint="eastAsia" w:ascii="宋体" w:hAnsi="宋体" w:eastAsia="宋体" w:cs="宋体"/>
                <w:b w:val="0"/>
                <w:bCs w:val="0"/>
                <w:color w:val="auto"/>
                <w:sz w:val="24"/>
                <w:szCs w:val="24"/>
                <w:highlight w:val="none"/>
              </w:rPr>
              <w:t xml:space="preserve">玄武区汉府街18号-1</w:t>
            </w:r>
            <w:r/>
          </w:p>
        </w:tc>
        <w:tc>
          <w:tcPr>
            <w:tcW w:w="1746" w:type="pct"/>
            <w:vAlign w:val="center"/>
            <w:vMerge w:val="continue"/>
            <w:textDirection w:val="lrTb"/>
            <w:noWrap w:val="false"/>
          </w:tcPr>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jc w:val="center"/>
        </w:trPr>
        <w:tc>
          <w:tcPr>
            <w:tcW w:w="458" w:type="pct"/>
            <w:vAlign w:val="center"/>
            <w:textDirection w:val="lrTb"/>
            <w:noWrap w:val="false"/>
          </w:tcPr>
          <w:p>
            <w:pPr>
              <w:numPr>
                <w:ilvl w:val="0"/>
                <w:numId w:val="0"/>
              </w:numPr>
              <w:ind w:firstLine="0"/>
              <w:jc w:val="center"/>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c>
          <w:tcPr>
            <w:tcW w:w="1265" w:type="pct"/>
            <w:vAlign w:val="center"/>
            <w:textDirection w:val="lrTb"/>
            <w:noWrap w:val="false"/>
          </w:tcPr>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渡江胜利纪念馆</w:t>
            </w:r>
            <w:r/>
          </w:p>
        </w:tc>
        <w:tc>
          <w:tcPr>
            <w:tcW w:w="1529" w:type="pct"/>
            <w:vAlign w:val="center"/>
            <w:textDirection w:val="lrTb"/>
            <w:noWrap w:val="false"/>
          </w:tcPr>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南京市鼓楼区渡江路1号</w:t>
            </w:r>
            <w:r/>
          </w:p>
        </w:tc>
        <w:tc>
          <w:tcPr>
            <w:tcW w:w="1746" w:type="pct"/>
            <w:vAlign w:val="center"/>
            <w:vMerge w:val="continue"/>
            <w:textDirection w:val="lrTb"/>
            <w:noWrap w:val="false"/>
          </w:tcPr>
          <w:p>
            <w:pPr>
              <w:numPr>
                <w:ilvl w:val="0"/>
                <w:numId w:val="0"/>
              </w:numPr>
              <w:ind w:firstLine="0"/>
              <w:pageBreakBefore w:val="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bl>
    <w:p>
      <w:pPr>
        <w:numPr>
          <w:ilvl w:val="0"/>
          <w:numId w:val="5"/>
        </w:numPr>
        <w:ind w:left="0" w:firstLine="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食材供应清单及质量标准</w:t>
      </w:r>
      <w:r/>
    </w:p>
    <w:p>
      <w:pPr>
        <w:numPr>
          <w:ilvl w:val="0"/>
          <w:numId w:val="6"/>
        </w:numPr>
        <w:ind w:firstLine="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食材供应品种</w:t>
      </w:r>
      <w:r/>
    </w:p>
    <w:p>
      <w:pPr>
        <w:pStyle w:val="1106"/>
        <w:ind w:firstLine="0"/>
        <w:pageBreakBefore w:val="0"/>
        <w:rPr>
          <w:rFonts w:hint="eastAsia" w:ascii="宋体" w:hAnsi="宋体" w:eastAsia="宋体" w:cs="宋体"/>
          <w:b/>
          <w:bCs w:val="0"/>
          <w:color w:val="auto"/>
          <w:highlight w:val="none"/>
          <w:lang w:val="en-US" w:eastAsia="zh-CN"/>
        </w:rPr>
      </w:pPr>
      <w:r>
        <w:rPr>
          <w:rFonts w:hint="eastAsia" w:ascii="宋体" w:hAnsi="宋体" w:eastAsia="宋体" w:cs="宋体"/>
          <w:b/>
          <w:bCs w:val="0"/>
          <w:color w:val="auto"/>
          <w:sz w:val="24"/>
          <w:szCs w:val="24"/>
          <w:highlight w:val="none"/>
          <w:lang w:val="en-US" w:eastAsia="zh-CN"/>
        </w:rPr>
        <w:t xml:space="preserve">1、鲜猪肉、牛羊肉</w:t>
      </w:r>
      <w:r/>
    </w:p>
    <w:tbl>
      <w:tblPr>
        <w:tblStyle w:val="856"/>
        <w:tblW w:w="51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2646"/>
        <w:gridCol w:w="5150"/>
      </w:tblGrid>
      <w:tr>
        <w:trPr>
          <w:jc w:val="center"/>
          <w:trHeight w:val="600"/>
        </w:trPr>
        <w:tc>
          <w:tcPr>
            <w:tcW w:w="1168" w:type="pct"/>
            <w:vAlign w:val="center"/>
            <w:textDirection w:val="lrTb"/>
            <w:noWrap w:val="false"/>
          </w:tcPr>
          <w:p>
            <w:pPr>
              <w:ind w:firstLine="0"/>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采购食材类别</w:t>
            </w:r>
            <w:r/>
          </w:p>
        </w:tc>
        <w:tc>
          <w:tcPr>
            <w:tcW w:w="1300" w:type="pct"/>
            <w:vAlign w:val="center"/>
            <w:textDirection w:val="lrTb"/>
            <w:noWrap w:val="false"/>
          </w:tcPr>
          <w:p>
            <w:pPr>
              <w:ind w:firstLine="0"/>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具体明细</w:t>
            </w:r>
            <w:r/>
          </w:p>
        </w:tc>
        <w:tc>
          <w:tcPr>
            <w:tcW w:w="2530" w:type="pct"/>
            <w:vAlign w:val="center"/>
            <w:textDirection w:val="lrTb"/>
            <w:noWrap w:val="false"/>
          </w:tcPr>
          <w:p>
            <w:pPr>
              <w:ind w:firstLine="0"/>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rPr>
              <w:t xml:space="preserve">基准价格结算依据</w:t>
            </w:r>
            <w:r/>
          </w:p>
        </w:tc>
      </w:tr>
      <w:tr>
        <w:trPr>
          <w:jc w:val="center"/>
          <w:trHeight w:val="229"/>
        </w:trPr>
        <w:tc>
          <w:tcPr>
            <w:tcW w:w="1168" w:type="pct"/>
            <w:vAlign w:val="center"/>
            <w:vMerge w:val="restart"/>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鲜猪肉</w:t>
            </w:r>
            <w:r>
              <w:rPr>
                <w:rFonts w:hint="eastAsia" w:ascii="宋体" w:hAnsi="宋体" w:eastAsia="宋体" w:cs="宋体"/>
                <w:color w:val="auto"/>
                <w:sz w:val="24"/>
                <w:szCs w:val="24"/>
                <w:highlight w:val="none"/>
                <w:lang w:val="en-US" w:eastAsia="zh"/>
              </w:rPr>
              <w:t xml:space="preserve">（不含槽头肉）</w:t>
            </w:r>
            <w:r>
              <w:rPr>
                <w:rFonts w:hint="eastAsia" w:ascii="宋体" w:hAnsi="宋体" w:eastAsia="宋体" w:cs="宋体"/>
                <w:color w:val="auto"/>
                <w:sz w:val="24"/>
                <w:szCs w:val="24"/>
                <w:highlight w:val="none"/>
                <w:lang w:val="en-US" w:eastAsia="zh-CN"/>
              </w:rPr>
              <w:t xml:space="preserve">、牛羊肉</w:t>
            </w:r>
            <w:r/>
          </w:p>
        </w:tc>
        <w:tc>
          <w:tcPr>
            <w:tcW w:w="1300"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猪前腿肉</w:t>
            </w:r>
            <w:r/>
          </w:p>
        </w:tc>
        <w:tc>
          <w:tcPr>
            <w:tcW w:w="2530" w:type="pct"/>
            <w:vAlign w:val="center"/>
            <w:vMerge w:val="restart"/>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eastAsia="zh"/>
              </w:rPr>
            </w:pPr>
            <w:r>
              <w:rPr>
                <w:rFonts w:hint="eastAsia" w:ascii="宋体" w:hAnsi="宋体" w:eastAsia="宋体" w:cs="宋体"/>
                <w:b w:val="0"/>
                <w:bCs w:val="0"/>
                <w:color w:val="auto"/>
                <w:sz w:val="24"/>
                <w:szCs w:val="24"/>
                <w:highlight w:val="none"/>
                <w:vertAlign w:val="baseline"/>
                <w:lang w:val="en-US" w:eastAsia="zh-CN"/>
              </w:rPr>
              <w:t xml:space="preserve">价格每日一核，优先顺序：</w:t>
            </w:r>
            <w:r>
              <w:rPr>
                <w:rFonts w:hint="eastAsia" w:ascii="宋体" w:hAnsi="宋体" w:eastAsia="宋体" w:cs="宋体"/>
                <w:color w:val="auto"/>
                <w:sz w:val="24"/>
                <w:szCs w:val="24"/>
                <w:highlight w:val="none"/>
                <w:lang w:val="en-US" w:eastAsia="zh"/>
              </w:rPr>
              <w:t xml:space="preserve">南京市商务局（网址：https://swj.nanjing.gov.cn/njsswj/?id=386）发布的最新一期科巷菜场同类食材的指导价格→送货当天大润发超市零售价格</w:t>
            </w:r>
            <w:r/>
          </w:p>
        </w:tc>
      </w:tr>
      <w:tr>
        <w:trPr>
          <w:jc w:val="center"/>
          <w:trHeight w:val="229"/>
        </w:trPr>
        <w:tc>
          <w:tcPr>
            <w:tcW w:w="116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00"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猪后腿肉</w:t>
            </w:r>
            <w:r/>
          </w:p>
        </w:tc>
        <w:tc>
          <w:tcPr>
            <w:tcW w:w="2530"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73"/>
        </w:trPr>
        <w:tc>
          <w:tcPr>
            <w:tcW w:w="116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猪肋条肉</w:t>
            </w:r>
            <w:r/>
          </w:p>
        </w:tc>
        <w:tc>
          <w:tcPr>
            <w:tcW w:w="2530"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73"/>
        </w:trPr>
        <w:tc>
          <w:tcPr>
            <w:tcW w:w="116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猪五花肉</w:t>
            </w:r>
            <w:r/>
          </w:p>
        </w:tc>
        <w:tc>
          <w:tcPr>
            <w:tcW w:w="2530"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73"/>
        </w:trPr>
        <w:tc>
          <w:tcPr>
            <w:tcW w:w="116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牛肉</w:t>
            </w:r>
            <w:r/>
          </w:p>
        </w:tc>
        <w:tc>
          <w:tcPr>
            <w:tcW w:w="2530"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羊肉</w:t>
            </w:r>
            <w:r/>
          </w:p>
        </w:tc>
        <w:tc>
          <w:tcPr>
            <w:tcW w:w="2530"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猪小排</w:t>
            </w:r>
            <w:r/>
          </w:p>
        </w:tc>
        <w:tc>
          <w:tcPr>
            <w:tcW w:w="2530"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猪筒骨</w:t>
            </w:r>
            <w:r/>
          </w:p>
        </w:tc>
        <w:tc>
          <w:tcPr>
            <w:tcW w:w="2530"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73"/>
        </w:trPr>
        <w:tc>
          <w:tcPr>
            <w:tcW w:w="116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猪手</w:t>
            </w:r>
            <w:r/>
          </w:p>
        </w:tc>
        <w:tc>
          <w:tcPr>
            <w:tcW w:w="2530"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73"/>
        </w:trPr>
        <w:tc>
          <w:tcPr>
            <w:tcW w:w="116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猪仔排</w:t>
            </w:r>
            <w:r/>
          </w:p>
        </w:tc>
        <w:tc>
          <w:tcPr>
            <w:tcW w:w="2530"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猪梅子肉</w:t>
            </w:r>
            <w:r/>
          </w:p>
        </w:tc>
        <w:tc>
          <w:tcPr>
            <w:tcW w:w="2530"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牛筋</w:t>
            </w:r>
            <w:r/>
          </w:p>
        </w:tc>
        <w:tc>
          <w:tcPr>
            <w:tcW w:w="2530"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牛腱子</w:t>
            </w:r>
            <w:r/>
          </w:p>
        </w:tc>
        <w:tc>
          <w:tcPr>
            <w:tcW w:w="2530"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牛里脊</w:t>
            </w:r>
            <w:r/>
          </w:p>
        </w:tc>
        <w:tc>
          <w:tcPr>
            <w:tcW w:w="2530"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羊排</w:t>
            </w:r>
            <w:r/>
          </w:p>
        </w:tc>
        <w:tc>
          <w:tcPr>
            <w:tcW w:w="2530"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羊蝎子</w:t>
            </w:r>
            <w:r/>
          </w:p>
        </w:tc>
        <w:tc>
          <w:tcPr>
            <w:tcW w:w="2530"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牛尾</w:t>
            </w:r>
            <w:r/>
          </w:p>
        </w:tc>
        <w:tc>
          <w:tcPr>
            <w:tcW w:w="2530"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其他未列明</w:t>
            </w:r>
            <w:r>
              <w:rPr>
                <w:rFonts w:hint="eastAsia" w:ascii="宋体" w:hAnsi="宋体" w:eastAsia="宋体" w:cs="宋体"/>
                <w:color w:val="auto"/>
                <w:sz w:val="24"/>
                <w:szCs w:val="24"/>
                <w:highlight w:val="none"/>
              </w:rPr>
              <w:t xml:space="preserve">肉类</w:t>
            </w:r>
            <w:r/>
          </w:p>
        </w:tc>
        <w:tc>
          <w:tcPr>
            <w:tcW w:w="2530"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bl>
    <w:p>
      <w:pPr>
        <w:numPr>
          <w:ilvl w:val="0"/>
          <w:numId w:val="7"/>
        </w:numPr>
        <w:ind w:firstLine="0"/>
        <w:jc w:val="left"/>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水产</w:t>
      </w:r>
      <w:r/>
    </w:p>
    <w:tbl>
      <w:tblPr>
        <w:tblStyle w:val="856"/>
        <w:tblW w:w="51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72"/>
        <w:gridCol w:w="2645"/>
        <w:gridCol w:w="5146"/>
      </w:tblGrid>
      <w:tr>
        <w:trPr>
          <w:jc w:val="center"/>
          <w:trHeight w:val="600"/>
        </w:trPr>
        <w:tc>
          <w:tcPr>
            <w:tcW w:w="1167" w:type="pct"/>
            <w:vAlign w:val="center"/>
            <w:textDirection w:val="lrTb"/>
            <w:noWrap w:val="false"/>
          </w:tcPr>
          <w:p>
            <w:pPr>
              <w:ind w:firstLine="0"/>
              <w:jc w:val="center"/>
              <w:pageBreakBefore w:val="0"/>
              <w:spacing w:line="360" w:lineRule="auto"/>
              <w:widowControl/>
              <w:rPr>
                <w:rFonts w:hint="eastAsia" w:ascii="宋体" w:hAnsi="宋体" w:eastAsia="宋体" w:cs="宋体"/>
                <w:b/>
                <w:bCs/>
                <w:color w:val="auto"/>
                <w:sz w:val="24"/>
                <w:szCs w:val="24"/>
                <w:highlight w:val="none"/>
              </w:rPr>
            </w:pPr>
            <w:r/>
            <w:bookmarkStart w:id="12" w:name="_Hlk196210229"/>
            <w:r>
              <w:rPr>
                <w:rFonts w:hint="eastAsia" w:ascii="宋体" w:hAnsi="宋体" w:eastAsia="宋体" w:cs="宋体"/>
                <w:b/>
                <w:bCs/>
                <w:color w:val="auto"/>
                <w:sz w:val="24"/>
                <w:szCs w:val="24"/>
                <w:highlight w:val="none"/>
              </w:rPr>
              <w:t xml:space="preserve">采购食材类别</w:t>
            </w:r>
            <w:r/>
          </w:p>
        </w:tc>
        <w:tc>
          <w:tcPr>
            <w:tcW w:w="1301" w:type="pct"/>
            <w:vAlign w:val="center"/>
            <w:textDirection w:val="lrTb"/>
            <w:noWrap w:val="false"/>
          </w:tcPr>
          <w:p>
            <w:pPr>
              <w:ind w:firstLine="0"/>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具体明细</w:t>
            </w:r>
            <w:r/>
          </w:p>
        </w:tc>
        <w:tc>
          <w:tcPr>
            <w:tcW w:w="2531" w:type="pct"/>
            <w:vAlign w:val="center"/>
            <w:textDirection w:val="lrTb"/>
            <w:noWrap w:val="false"/>
          </w:tcPr>
          <w:p>
            <w:pPr>
              <w:ind w:firstLine="0"/>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rPr>
              <w:t xml:space="preserve">基准价格结算依据</w:t>
            </w:r>
            <w:bookmarkEnd w:id="12"/>
            <w:r/>
            <w:r/>
          </w:p>
        </w:tc>
      </w:tr>
      <w:tr>
        <w:trPr>
          <w:jc w:val="center"/>
          <w:trHeight w:val="273"/>
        </w:trPr>
        <w:tc>
          <w:tcPr>
            <w:tcW w:w="1167" w:type="pct"/>
            <w:vAlign w:val="center"/>
            <w:vMerge w:val="restart"/>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水产</w:t>
            </w:r>
            <w:r/>
          </w:p>
        </w:tc>
        <w:tc>
          <w:tcPr>
            <w:tcW w:w="2466" w:type="dxa"/>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rPr>
              <w:t xml:space="preserve">鲫鱼</w:t>
            </w:r>
            <w:r>
              <w:rPr>
                <w:rFonts w:hint="eastAsia" w:ascii="宋体" w:hAnsi="宋体" w:eastAsia="宋体" w:cs="宋体"/>
                <w:color w:val="auto"/>
                <w:sz w:val="24"/>
                <w:szCs w:val="24"/>
                <w:highlight w:val="none"/>
                <w:lang w:eastAsia="zh"/>
              </w:rPr>
              <w:t xml:space="preserve">（不小于16CM）</w:t>
            </w:r>
            <w:r/>
          </w:p>
        </w:tc>
        <w:tc>
          <w:tcPr>
            <w:tcW w:w="2531" w:type="pct"/>
            <w:vAlign w:val="center"/>
            <w:vMerge w:val="restart"/>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eastAsia="zh"/>
              </w:rPr>
            </w:pPr>
            <w:r>
              <w:rPr>
                <w:rFonts w:hint="eastAsia" w:ascii="宋体" w:hAnsi="宋体" w:eastAsia="宋体" w:cs="宋体"/>
                <w:b w:val="0"/>
                <w:bCs w:val="0"/>
                <w:color w:val="auto"/>
                <w:sz w:val="24"/>
                <w:szCs w:val="24"/>
                <w:highlight w:val="none"/>
                <w:vertAlign w:val="baseline"/>
                <w:lang w:val="en-US" w:eastAsia="zh-CN"/>
              </w:rPr>
              <w:t xml:space="preserve">价格每日一核，优先顺序：</w:t>
            </w:r>
            <w:r>
              <w:rPr>
                <w:rFonts w:hint="eastAsia" w:ascii="宋体" w:hAnsi="宋体" w:eastAsia="宋体" w:cs="宋体"/>
                <w:color w:val="auto"/>
                <w:sz w:val="24"/>
                <w:szCs w:val="24"/>
                <w:highlight w:val="none"/>
                <w:lang w:val="en-US" w:eastAsia="zh"/>
              </w:rPr>
              <w:t xml:space="preserve">南京市商务局（网址：https://swj.nanjing.gov.cn/njsswj/?id=386）发布的最新一期科巷菜场同类食材的指导价格→送货当天大润发超市零售价格</w:t>
            </w:r>
            <w:r/>
          </w:p>
        </w:tc>
      </w:tr>
      <w:tr>
        <w:trPr>
          <w:jc w:val="center"/>
          <w:trHeight w:val="273"/>
        </w:trPr>
        <w:tc>
          <w:tcPr>
            <w:tcW w:w="116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1"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青鱼</w:t>
            </w:r>
            <w:r/>
          </w:p>
        </w:tc>
        <w:tc>
          <w:tcPr>
            <w:tcW w:w="2531"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1"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鲈鱼</w:t>
            </w:r>
            <w:r/>
          </w:p>
        </w:tc>
        <w:tc>
          <w:tcPr>
            <w:tcW w:w="2531"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1"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lang w:eastAsia="zh"/>
              </w:rPr>
              <w:t xml:space="preserve">黄鱼（不小于14CM）</w:t>
            </w:r>
            <w:r/>
          </w:p>
        </w:tc>
        <w:tc>
          <w:tcPr>
            <w:tcW w:w="2531"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1"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rPr>
              <w:t xml:space="preserve">沙虾</w:t>
            </w:r>
            <w:r>
              <w:rPr>
                <w:rFonts w:hint="eastAsia" w:ascii="宋体" w:hAnsi="宋体" w:eastAsia="宋体" w:cs="宋体"/>
                <w:color w:val="auto"/>
                <w:sz w:val="24"/>
                <w:szCs w:val="24"/>
                <w:highlight w:val="none"/>
                <w:lang w:eastAsia="zh"/>
              </w:rPr>
              <w:t xml:space="preserve">（不小于8CM）</w:t>
            </w:r>
            <w:r/>
          </w:p>
        </w:tc>
        <w:tc>
          <w:tcPr>
            <w:tcW w:w="2531"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1"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牛蛙</w:t>
            </w:r>
            <w:r/>
          </w:p>
        </w:tc>
        <w:tc>
          <w:tcPr>
            <w:tcW w:w="2531"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1"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lang w:eastAsia="zh"/>
              </w:rPr>
              <w:t xml:space="preserve">带鱼（不小于3指宽）</w:t>
            </w:r>
            <w:r/>
          </w:p>
        </w:tc>
        <w:tc>
          <w:tcPr>
            <w:tcW w:w="2531"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1"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梭子蟹</w:t>
            </w:r>
            <w:r/>
          </w:p>
        </w:tc>
        <w:tc>
          <w:tcPr>
            <w:tcW w:w="2531"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1"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lang w:eastAsia="zh"/>
              </w:rPr>
              <w:t xml:space="preserve">鲳鳊鱼</w:t>
            </w:r>
            <w:r/>
          </w:p>
        </w:tc>
        <w:tc>
          <w:tcPr>
            <w:tcW w:w="2531"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1"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河虾</w:t>
            </w:r>
            <w:r/>
          </w:p>
        </w:tc>
        <w:tc>
          <w:tcPr>
            <w:tcW w:w="2531"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506"/>
        </w:trPr>
        <w:tc>
          <w:tcPr>
            <w:tcW w:w="116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1"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草鱼</w:t>
            </w:r>
            <w:r/>
          </w:p>
        </w:tc>
        <w:tc>
          <w:tcPr>
            <w:tcW w:w="2531"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1"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田螺</w:t>
            </w:r>
            <w:r/>
          </w:p>
        </w:tc>
        <w:tc>
          <w:tcPr>
            <w:tcW w:w="2531"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1"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罗氏虾</w:t>
            </w:r>
            <w:r/>
          </w:p>
        </w:tc>
        <w:tc>
          <w:tcPr>
            <w:tcW w:w="2531"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640"/>
        </w:trPr>
        <w:tc>
          <w:tcPr>
            <w:tcW w:w="116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1"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
              </w:rPr>
              <w:t xml:space="preserve">鱿鱼</w:t>
            </w:r>
            <w:r/>
          </w:p>
        </w:tc>
        <w:tc>
          <w:tcPr>
            <w:tcW w:w="2531"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1"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黄鳝</w:t>
            </w:r>
            <w:r/>
          </w:p>
        </w:tc>
        <w:tc>
          <w:tcPr>
            <w:tcW w:w="2531"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1"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花鲢鱼头</w:t>
            </w:r>
            <w:r/>
          </w:p>
        </w:tc>
        <w:tc>
          <w:tcPr>
            <w:tcW w:w="2531"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1"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昂剌鱼</w:t>
            </w:r>
            <w:r/>
          </w:p>
        </w:tc>
        <w:tc>
          <w:tcPr>
            <w:tcW w:w="2531"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374"/>
        </w:trPr>
        <w:tc>
          <w:tcPr>
            <w:tcW w:w="1167"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1"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其他未列明水产</w:t>
            </w:r>
            <w:r>
              <w:rPr>
                <w:rFonts w:hint="eastAsia" w:ascii="宋体" w:hAnsi="宋体" w:eastAsia="宋体" w:cs="宋体"/>
                <w:color w:val="auto"/>
                <w:sz w:val="24"/>
                <w:szCs w:val="24"/>
                <w:highlight w:val="none"/>
              </w:rPr>
              <w:t xml:space="preserve">类</w:t>
            </w:r>
            <w:r/>
          </w:p>
        </w:tc>
        <w:tc>
          <w:tcPr>
            <w:tcW w:w="2531"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bl>
    <w:p>
      <w:pPr>
        <w:pStyle w:val="1106"/>
        <w:numPr>
          <w:ilvl w:val="0"/>
          <w:numId w:val="0"/>
        </w:numPr>
        <w:ind w:firstLine="0"/>
        <w:pageBreakBefore w:val="0"/>
        <w:rPr>
          <w:rFonts w:hint="eastAsia" w:ascii="宋体" w:hAnsi="宋体" w:eastAsia="宋体" w:cs="宋体"/>
          <w:b/>
          <w:bCs/>
          <w:color w:val="auto"/>
          <w:highlight w:val="none"/>
          <w:lang w:val="en-US" w:eastAsia="zh"/>
        </w:rPr>
      </w:pPr>
      <w:r>
        <w:rPr>
          <w:rFonts w:hint="eastAsia" w:ascii="宋体" w:hAnsi="宋体" w:eastAsia="宋体" w:cs="宋体"/>
          <w:b/>
          <w:bCs/>
          <w:color w:val="auto"/>
          <w:highlight w:val="none"/>
          <w:lang w:val="en-US" w:eastAsia="zh-CN"/>
        </w:rPr>
        <w:t xml:space="preserve">3、</w:t>
      </w:r>
      <w:r>
        <w:rPr>
          <w:rFonts w:hint="eastAsia" w:ascii="宋体" w:hAnsi="宋体" w:eastAsia="宋体" w:cs="宋体"/>
          <w:b/>
          <w:bCs/>
          <w:color w:val="auto"/>
          <w:highlight w:val="none"/>
          <w:lang w:val="en-US" w:eastAsia="zh"/>
        </w:rPr>
        <w:t xml:space="preserve">鸡蛋</w:t>
      </w:r>
      <w:r/>
    </w:p>
    <w:tbl>
      <w:tblPr>
        <w:tblStyle w:val="856"/>
        <w:tblW w:w="51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71"/>
        <w:gridCol w:w="2645"/>
        <w:gridCol w:w="5147"/>
      </w:tblGrid>
      <w:tr>
        <w:trPr>
          <w:jc w:val="center"/>
          <w:trHeight w:val="0"/>
        </w:trPr>
        <w:tc>
          <w:tcPr>
            <w:tcW w:w="1166" w:type="pct"/>
            <w:vAlign w:val="center"/>
            <w:textDirection w:val="lrTb"/>
            <w:noWrap w:val="false"/>
          </w:tcPr>
          <w:p>
            <w:pPr>
              <w:ind w:firstLine="0"/>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采购食材类别</w:t>
            </w:r>
            <w:r/>
          </w:p>
        </w:tc>
        <w:tc>
          <w:tcPr>
            <w:tcW w:w="1301" w:type="pct"/>
            <w:vAlign w:val="center"/>
            <w:textDirection w:val="lrTb"/>
            <w:noWrap w:val="false"/>
          </w:tcPr>
          <w:p>
            <w:pPr>
              <w:ind w:firstLine="0"/>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具体明细</w:t>
            </w:r>
            <w:r/>
          </w:p>
        </w:tc>
        <w:tc>
          <w:tcPr>
            <w:tcW w:w="2531" w:type="pct"/>
            <w:vAlign w:val="center"/>
            <w:textDirection w:val="lrTb"/>
            <w:noWrap w:val="false"/>
          </w:tcPr>
          <w:p>
            <w:pPr>
              <w:ind w:firstLine="0"/>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rPr>
              <w:t xml:space="preserve">基准价格结算依据</w:t>
            </w:r>
            <w:r/>
          </w:p>
        </w:tc>
      </w:tr>
      <w:tr>
        <w:trPr>
          <w:jc w:val="center"/>
          <w:trHeight w:val="1940"/>
        </w:trPr>
        <w:tc>
          <w:tcPr>
            <w:tcW w:w="1166"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lang w:val="en-US" w:eastAsia="zh"/>
              </w:rPr>
              <w:t xml:space="preserve">鸡蛋</w:t>
            </w:r>
            <w:r/>
          </w:p>
        </w:tc>
        <w:tc>
          <w:tcPr>
            <w:tcW w:w="1301"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鲜鸡蛋等其他蛋类</w:t>
            </w:r>
            <w:r/>
          </w:p>
        </w:tc>
        <w:tc>
          <w:tcPr>
            <w:tcW w:w="2531"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eastAsia="zh"/>
              </w:rPr>
            </w:pPr>
            <w:r>
              <w:rPr>
                <w:rFonts w:hint="eastAsia" w:ascii="宋体" w:hAnsi="宋体" w:eastAsia="宋体" w:cs="宋体"/>
                <w:b w:val="0"/>
                <w:bCs w:val="0"/>
                <w:color w:val="auto"/>
                <w:sz w:val="24"/>
                <w:szCs w:val="24"/>
                <w:highlight w:val="none"/>
                <w:vertAlign w:val="baseline"/>
                <w:lang w:val="en-US" w:eastAsia="zh-CN"/>
              </w:rPr>
              <w:t xml:space="preserve">价格每日一核，优先顺序：</w:t>
            </w:r>
            <w:r>
              <w:rPr>
                <w:rFonts w:hint="eastAsia" w:ascii="宋体" w:hAnsi="宋体" w:eastAsia="宋体" w:cs="宋体"/>
                <w:color w:val="auto"/>
                <w:sz w:val="24"/>
                <w:szCs w:val="24"/>
                <w:highlight w:val="none"/>
                <w:lang w:val="en-US" w:eastAsia="zh"/>
              </w:rPr>
              <w:t xml:space="preserve">南京市商务局（网址：https://swj.nanjing.gov.cn/njsswj/?id=386）发布的最新一期科巷菜场同类食材的指导价格→送货当天大润发超市零售价格</w:t>
            </w:r>
            <w:r/>
          </w:p>
        </w:tc>
      </w:tr>
    </w:tbl>
    <w:p>
      <w:pPr>
        <w:ind w:firstLine="0"/>
        <w:jc w:val="left"/>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4、禽类</w:t>
      </w:r>
      <w:r/>
    </w:p>
    <w:tbl>
      <w:tblPr>
        <w:tblStyle w:val="856"/>
        <w:tblW w:w="51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70"/>
        <w:gridCol w:w="2645"/>
        <w:gridCol w:w="5148"/>
      </w:tblGrid>
      <w:tr>
        <w:trPr>
          <w:jc w:val="center"/>
          <w:trHeight w:val="600"/>
        </w:trPr>
        <w:tc>
          <w:tcPr>
            <w:tcW w:w="1166" w:type="pct"/>
            <w:vAlign w:val="center"/>
            <w:textDirection w:val="lrTb"/>
            <w:noWrap w:val="false"/>
          </w:tcPr>
          <w:p>
            <w:pPr>
              <w:ind w:firstLine="0"/>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采购食材类别</w:t>
            </w:r>
            <w:r/>
          </w:p>
        </w:tc>
        <w:tc>
          <w:tcPr>
            <w:tcW w:w="1301" w:type="pct"/>
            <w:vAlign w:val="center"/>
            <w:textDirection w:val="lrTb"/>
            <w:noWrap w:val="false"/>
          </w:tcPr>
          <w:p>
            <w:pPr>
              <w:ind w:firstLine="0"/>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具体明细</w:t>
            </w:r>
            <w:r/>
          </w:p>
        </w:tc>
        <w:tc>
          <w:tcPr>
            <w:tcW w:w="2532" w:type="pct"/>
            <w:vAlign w:val="center"/>
            <w:textDirection w:val="lrTb"/>
            <w:noWrap w:val="false"/>
          </w:tcPr>
          <w:p>
            <w:pPr>
              <w:ind w:firstLine="0"/>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rPr>
              <w:t xml:space="preserve">基准价格结算依据</w:t>
            </w:r>
            <w:r/>
          </w:p>
        </w:tc>
      </w:tr>
      <w:tr>
        <w:trPr>
          <w:jc w:val="center"/>
          <w:trHeight w:val="90"/>
        </w:trPr>
        <w:tc>
          <w:tcPr>
            <w:tcW w:w="1166" w:type="pct"/>
            <w:vAlign w:val="center"/>
            <w:vMerge w:val="restart"/>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禽类</w:t>
            </w:r>
            <w:r/>
          </w:p>
        </w:tc>
        <w:tc>
          <w:tcPr>
            <w:tcW w:w="1301"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鸡块</w:t>
            </w:r>
            <w:r/>
          </w:p>
        </w:tc>
        <w:tc>
          <w:tcPr>
            <w:tcW w:w="2532" w:type="pct"/>
            <w:vAlign w:val="center"/>
            <w:vMerge w:val="restart"/>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b w:val="0"/>
                <w:bCs w:val="0"/>
                <w:color w:val="auto"/>
                <w:sz w:val="24"/>
                <w:szCs w:val="24"/>
                <w:highlight w:val="none"/>
                <w:vertAlign w:val="baseline"/>
                <w:lang w:val="en-US" w:eastAsia="zh-CN"/>
              </w:rPr>
              <w:t xml:space="preserve">价格每日一核，优先顺序：</w:t>
            </w:r>
            <w:r>
              <w:rPr>
                <w:rFonts w:hint="eastAsia" w:ascii="宋体" w:hAnsi="宋体" w:eastAsia="宋体" w:cs="宋体"/>
                <w:color w:val="auto"/>
                <w:sz w:val="24"/>
                <w:szCs w:val="24"/>
                <w:highlight w:val="none"/>
                <w:lang w:val="en-US" w:eastAsia="zh"/>
              </w:rPr>
              <w:t xml:space="preserve">南京市商务局（网址：https://swj.nanjing.gov.cn/njsswj/?id=386）发布的最新一期科巷菜场同类食材的指导价格→送货当天大润发超市零售价格</w:t>
            </w:r>
            <w:r/>
          </w:p>
        </w:tc>
      </w:tr>
      <w:tr>
        <w:trPr>
          <w:jc w:val="center"/>
          <w:trHeight w:val="273"/>
        </w:trPr>
        <w:tc>
          <w:tcPr>
            <w:tcW w:w="1166"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1"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鸡腿</w:t>
            </w:r>
            <w:r/>
          </w:p>
        </w:tc>
        <w:tc>
          <w:tcPr>
            <w:tcW w:w="2532"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6"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1"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鸡脯</w:t>
            </w:r>
            <w:r/>
          </w:p>
        </w:tc>
        <w:tc>
          <w:tcPr>
            <w:tcW w:w="2532"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6"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1"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鸡中翅</w:t>
            </w:r>
            <w:r/>
          </w:p>
        </w:tc>
        <w:tc>
          <w:tcPr>
            <w:tcW w:w="2532"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6"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1"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鸡全翅</w:t>
            </w:r>
            <w:r/>
          </w:p>
        </w:tc>
        <w:tc>
          <w:tcPr>
            <w:tcW w:w="2532"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6"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1"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鸭块</w:t>
            </w:r>
            <w:r/>
          </w:p>
        </w:tc>
        <w:tc>
          <w:tcPr>
            <w:tcW w:w="2532"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6"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1"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鸭腿</w:t>
            </w:r>
            <w:r/>
          </w:p>
        </w:tc>
        <w:tc>
          <w:tcPr>
            <w:tcW w:w="2532"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6"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1"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鸭四件</w:t>
            </w:r>
            <w:r/>
          </w:p>
        </w:tc>
        <w:tc>
          <w:tcPr>
            <w:tcW w:w="2532"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6"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1"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rPr>
              <w:t xml:space="preserve">光鸡</w:t>
            </w:r>
            <w:r/>
          </w:p>
        </w:tc>
        <w:tc>
          <w:tcPr>
            <w:tcW w:w="2532"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6"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1"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rPr>
              <w:t xml:space="preserve">老母鸡</w:t>
            </w:r>
            <w:r/>
          </w:p>
        </w:tc>
        <w:tc>
          <w:tcPr>
            <w:tcW w:w="2532"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6"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1"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rPr>
              <w:t xml:space="preserve">光鸭</w:t>
            </w:r>
            <w:r/>
          </w:p>
        </w:tc>
        <w:tc>
          <w:tcPr>
            <w:tcW w:w="2532"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445"/>
        </w:trPr>
        <w:tc>
          <w:tcPr>
            <w:tcW w:w="1166"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1"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其他未列明禽</w:t>
            </w:r>
            <w:r>
              <w:rPr>
                <w:rFonts w:hint="eastAsia" w:ascii="宋体" w:hAnsi="宋体" w:eastAsia="宋体" w:cs="宋体"/>
                <w:color w:val="auto"/>
                <w:sz w:val="24"/>
                <w:szCs w:val="24"/>
                <w:highlight w:val="none"/>
              </w:rPr>
              <w:t xml:space="preserve">类</w:t>
            </w:r>
            <w:r/>
          </w:p>
        </w:tc>
        <w:tc>
          <w:tcPr>
            <w:tcW w:w="2532"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bl>
    <w:p>
      <w:pPr>
        <w:ind w:firstLine="0"/>
        <w:jc w:val="left"/>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val="0"/>
          <w:color w:val="auto"/>
          <w:sz w:val="24"/>
          <w:szCs w:val="24"/>
          <w:highlight w:val="none"/>
          <w:lang w:val="en-US" w:eastAsia="zh-CN"/>
        </w:rPr>
        <w:t xml:space="preserve">蔬菜</w:t>
      </w:r>
      <w:r/>
    </w:p>
    <w:tbl>
      <w:tblPr>
        <w:tblStyle w:val="856"/>
        <w:tblW w:w="51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2646"/>
        <w:gridCol w:w="5150"/>
      </w:tblGrid>
      <w:tr>
        <w:trPr>
          <w:jc w:val="center"/>
          <w:trHeight w:val="600"/>
        </w:trPr>
        <w:tc>
          <w:tcPr>
            <w:tcW w:w="1168" w:type="pct"/>
            <w:vAlign w:val="center"/>
            <w:textDirection w:val="lrTb"/>
            <w:noWrap w:val="false"/>
          </w:tcPr>
          <w:p>
            <w:pPr>
              <w:ind w:firstLine="0"/>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采购食材类别</w:t>
            </w:r>
            <w:r/>
          </w:p>
        </w:tc>
        <w:tc>
          <w:tcPr>
            <w:tcW w:w="1300" w:type="pct"/>
            <w:vAlign w:val="center"/>
            <w:textDirection w:val="lrTb"/>
            <w:noWrap w:val="false"/>
          </w:tcPr>
          <w:p>
            <w:pPr>
              <w:ind w:firstLine="0"/>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具体明细</w:t>
            </w:r>
            <w:r/>
          </w:p>
        </w:tc>
        <w:tc>
          <w:tcPr>
            <w:tcW w:w="2530" w:type="pct"/>
            <w:vAlign w:val="center"/>
            <w:textDirection w:val="lrTb"/>
            <w:noWrap w:val="false"/>
          </w:tcPr>
          <w:p>
            <w:pPr>
              <w:ind w:firstLine="0"/>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rPr>
              <w:t xml:space="preserve">基准价格结算依据</w:t>
            </w:r>
            <w:r/>
          </w:p>
        </w:tc>
      </w:tr>
      <w:tr>
        <w:trPr>
          <w:jc w:val="center"/>
          <w:trHeight w:val="90"/>
        </w:trPr>
        <w:tc>
          <w:tcPr>
            <w:tcW w:w="1168" w:type="pct"/>
            <w:vAlign w:val="center"/>
            <w:vMerge w:val="restart"/>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蔬菜</w:t>
            </w:r>
            <w:r/>
          </w:p>
        </w:tc>
        <w:tc>
          <w:tcPr>
            <w:tcW w:w="1300"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白萝卜</w:t>
            </w:r>
            <w:r/>
          </w:p>
        </w:tc>
        <w:tc>
          <w:tcPr>
            <w:tcW w:w="2530" w:type="pct"/>
            <w:vAlign w:val="center"/>
            <w:vMerge w:val="restart"/>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eastAsia="zh"/>
              </w:rPr>
            </w:pPr>
            <w:r>
              <w:rPr>
                <w:rFonts w:hint="eastAsia" w:ascii="宋体" w:hAnsi="宋体" w:eastAsia="宋体" w:cs="宋体"/>
                <w:b w:val="0"/>
                <w:bCs w:val="0"/>
                <w:color w:val="auto"/>
                <w:sz w:val="24"/>
                <w:szCs w:val="24"/>
                <w:highlight w:val="none"/>
                <w:vertAlign w:val="baseline"/>
                <w:lang w:val="en-US" w:eastAsia="zh-CN"/>
              </w:rPr>
              <w:t xml:space="preserve">价格每日一核，优先顺序：</w:t>
            </w:r>
            <w:r>
              <w:rPr>
                <w:rFonts w:hint="eastAsia" w:ascii="宋体" w:hAnsi="宋体" w:eastAsia="宋体" w:cs="宋体"/>
                <w:color w:val="auto"/>
                <w:sz w:val="24"/>
                <w:szCs w:val="24"/>
                <w:highlight w:val="none"/>
                <w:lang w:val="en-US" w:eastAsia="zh"/>
              </w:rPr>
              <w:t xml:space="preserve">南京市商务局（网址：https://swj.nanjing.gov.cn/njsswj/?id=386）发布的最新一期科巷菜场同类食材的指导价格→送货当天大润发超市零售价格</w:t>
            </w:r>
            <w:r/>
          </w:p>
        </w:tc>
      </w:tr>
      <w:tr>
        <w:trPr>
          <w:jc w:val="center"/>
          <w:trHeight w:val="273"/>
        </w:trPr>
        <w:tc>
          <w:tcPr>
            <w:tcW w:w="116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青菜</w:t>
            </w:r>
            <w:r/>
          </w:p>
        </w:tc>
        <w:tc>
          <w:tcPr>
            <w:tcW w:w="2530"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73"/>
        </w:trPr>
        <w:tc>
          <w:tcPr>
            <w:tcW w:w="116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苞菜</w:t>
            </w:r>
            <w:r/>
          </w:p>
        </w:tc>
        <w:tc>
          <w:tcPr>
            <w:tcW w:w="2530"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73"/>
        </w:trPr>
        <w:tc>
          <w:tcPr>
            <w:tcW w:w="116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芹菜</w:t>
            </w:r>
            <w:r/>
          </w:p>
        </w:tc>
        <w:tc>
          <w:tcPr>
            <w:tcW w:w="2530"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大白菜</w:t>
            </w:r>
            <w:r/>
          </w:p>
        </w:tc>
        <w:tc>
          <w:tcPr>
            <w:tcW w:w="2530"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西红柿</w:t>
            </w:r>
            <w:r/>
          </w:p>
        </w:tc>
        <w:tc>
          <w:tcPr>
            <w:tcW w:w="2530"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土豆</w:t>
            </w:r>
            <w:r/>
          </w:p>
        </w:tc>
        <w:tc>
          <w:tcPr>
            <w:tcW w:w="2530"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73"/>
        </w:trPr>
        <w:tc>
          <w:tcPr>
            <w:tcW w:w="116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黄瓜</w:t>
            </w:r>
            <w:r/>
          </w:p>
        </w:tc>
        <w:tc>
          <w:tcPr>
            <w:tcW w:w="2530"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73"/>
        </w:trPr>
        <w:tc>
          <w:tcPr>
            <w:tcW w:w="116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青椒</w:t>
            </w:r>
            <w:r/>
          </w:p>
        </w:tc>
        <w:tc>
          <w:tcPr>
            <w:tcW w:w="2530"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highlight w:val="none"/>
              </w:rPr>
              <w:t xml:space="preserve">茄子</w:t>
            </w:r>
            <w:r/>
          </w:p>
        </w:tc>
        <w:tc>
          <w:tcPr>
            <w:tcW w:w="2530"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highlight w:val="none"/>
              </w:rPr>
              <w:t xml:space="preserve">四季豆</w:t>
            </w:r>
            <w:r/>
          </w:p>
        </w:tc>
        <w:tc>
          <w:tcPr>
            <w:tcW w:w="2530"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highlight w:val="none"/>
              </w:rPr>
              <w:t xml:space="preserve">洋葱</w:t>
            </w:r>
            <w:r/>
          </w:p>
        </w:tc>
        <w:tc>
          <w:tcPr>
            <w:tcW w:w="2530"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highlight w:val="none"/>
              </w:rPr>
              <w:t xml:space="preserve">冬瓜</w:t>
            </w:r>
            <w:r/>
          </w:p>
        </w:tc>
        <w:tc>
          <w:tcPr>
            <w:tcW w:w="2530"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6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highlight w:val="none"/>
              </w:rPr>
              <w:t xml:space="preserve">花菜</w:t>
            </w:r>
            <w:r/>
          </w:p>
        </w:tc>
        <w:tc>
          <w:tcPr>
            <w:tcW w:w="2530"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0"/>
        </w:trPr>
        <w:tc>
          <w:tcPr>
            <w:tcW w:w="116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highlight w:val="none"/>
              </w:rPr>
              <w:t xml:space="preserve">山药</w:t>
            </w:r>
            <w:r/>
          </w:p>
        </w:tc>
        <w:tc>
          <w:tcPr>
            <w:tcW w:w="2530"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0"/>
        </w:trPr>
        <w:tc>
          <w:tcPr>
            <w:tcW w:w="1168" w:type="pct"/>
            <w:vAlign w:val="center"/>
            <w:vMerge w:val="continue"/>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00"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highlight w:val="none"/>
              </w:rPr>
              <w:t xml:space="preserve">胡萝卜</w:t>
            </w:r>
            <w:r/>
          </w:p>
        </w:tc>
        <w:tc>
          <w:tcPr>
            <w:tcW w:w="2530" w:type="pct"/>
            <w:vAlign w:val="center"/>
            <w:vMerge w:val="continue"/>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0"/>
        </w:trPr>
        <w:tc>
          <w:tcPr>
            <w:tcW w:w="1168" w:type="pct"/>
            <w:vAlign w:val="center"/>
            <w:vMerge w:val="continue"/>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highlight w:val="none"/>
              </w:rPr>
              <w:t xml:space="preserve">生菜</w:t>
            </w:r>
            <w:r/>
          </w:p>
        </w:tc>
        <w:tc>
          <w:tcPr>
            <w:tcW w:w="2530" w:type="pct"/>
            <w:vAlign w:val="center"/>
            <w:vMerge w:val="continue"/>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0"/>
        </w:trPr>
        <w:tc>
          <w:tcPr>
            <w:tcW w:w="1168" w:type="pct"/>
            <w:vAlign w:val="center"/>
            <w:vMerge w:val="continue"/>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highlight w:val="none"/>
              </w:rPr>
              <w:t xml:space="preserve">西兰花</w:t>
            </w:r>
            <w:r/>
          </w:p>
        </w:tc>
        <w:tc>
          <w:tcPr>
            <w:tcW w:w="2530" w:type="pct"/>
            <w:vAlign w:val="center"/>
            <w:vMerge w:val="continue"/>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0"/>
        </w:trPr>
        <w:tc>
          <w:tcPr>
            <w:tcW w:w="1168" w:type="pct"/>
            <w:vAlign w:val="center"/>
            <w:vMerge w:val="continue"/>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highlight w:val="none"/>
              </w:rPr>
              <w:t xml:space="preserve">生瓜</w:t>
            </w:r>
            <w:r/>
          </w:p>
        </w:tc>
        <w:tc>
          <w:tcPr>
            <w:tcW w:w="2530" w:type="pct"/>
            <w:vAlign w:val="center"/>
            <w:vMerge w:val="continue"/>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0"/>
        </w:trPr>
        <w:tc>
          <w:tcPr>
            <w:tcW w:w="116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莴笋</w:t>
            </w:r>
            <w:r/>
          </w:p>
        </w:tc>
        <w:tc>
          <w:tcPr>
            <w:tcW w:w="2530"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0"/>
        </w:trPr>
        <w:tc>
          <w:tcPr>
            <w:tcW w:w="1168" w:type="pct"/>
            <w:vAlign w:val="center"/>
            <w:vMerge w:val="continue"/>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00"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藕</w:t>
            </w:r>
            <w:r/>
          </w:p>
        </w:tc>
        <w:tc>
          <w:tcPr>
            <w:tcW w:w="2530" w:type="pct"/>
            <w:vAlign w:val="center"/>
            <w:vMerge w:val="continue"/>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0"/>
        </w:trPr>
        <w:tc>
          <w:tcPr>
            <w:tcW w:w="1168" w:type="pct"/>
            <w:vAlign w:val="center"/>
            <w:vMerge w:val="continue"/>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黄豆芽</w:t>
            </w:r>
            <w:r/>
          </w:p>
        </w:tc>
        <w:tc>
          <w:tcPr>
            <w:tcW w:w="2530" w:type="pct"/>
            <w:vAlign w:val="center"/>
            <w:vMerge w:val="continue"/>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0"/>
        </w:trPr>
        <w:tc>
          <w:tcPr>
            <w:tcW w:w="1168" w:type="pct"/>
            <w:vAlign w:val="center"/>
            <w:vMerge w:val="continue"/>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韭菜</w:t>
            </w:r>
            <w:r/>
          </w:p>
        </w:tc>
        <w:tc>
          <w:tcPr>
            <w:tcW w:w="2530" w:type="pct"/>
            <w:vAlign w:val="center"/>
            <w:vMerge w:val="continue"/>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0"/>
        </w:trPr>
        <w:tc>
          <w:tcPr>
            <w:tcW w:w="1168" w:type="pct"/>
            <w:vAlign w:val="center"/>
            <w:vMerge w:val="continue"/>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红辣椒</w:t>
            </w:r>
            <w:r/>
          </w:p>
        </w:tc>
        <w:tc>
          <w:tcPr>
            <w:tcW w:w="2530" w:type="pct"/>
            <w:vAlign w:val="center"/>
            <w:vMerge w:val="continue"/>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0"/>
        </w:trPr>
        <w:tc>
          <w:tcPr>
            <w:tcW w:w="1168" w:type="pct"/>
            <w:vAlign w:val="center"/>
            <w:vMerge w:val="continue"/>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00"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葱</w:t>
            </w:r>
            <w:r/>
          </w:p>
        </w:tc>
        <w:tc>
          <w:tcPr>
            <w:tcW w:w="2530" w:type="pct"/>
            <w:vAlign w:val="center"/>
            <w:vMerge w:val="continue"/>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W w:w="1168" w:type="pct"/>
            <w:vAlign w:val="center"/>
            <w:vMerge w:val="continue"/>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00"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姜</w:t>
            </w:r>
            <w:r/>
          </w:p>
        </w:tc>
        <w:tc>
          <w:tcPr>
            <w:tcW w:w="2530" w:type="pct"/>
            <w:vAlign w:val="center"/>
            <w:vMerge w:val="continue"/>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W w:w="1168" w:type="pct"/>
            <w:vAlign w:val="center"/>
            <w:vMerge w:val="continue"/>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00"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蒜</w:t>
            </w:r>
            <w:r/>
          </w:p>
        </w:tc>
        <w:tc>
          <w:tcPr>
            <w:tcW w:w="2530" w:type="pct"/>
            <w:vAlign w:val="center"/>
            <w:vMerge w:val="continue"/>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58"/>
        </w:trPr>
        <w:tc>
          <w:tcPr>
            <w:tcW w:w="1168" w:type="pct"/>
            <w:vAlign w:val="center"/>
            <w:vMerge w:val="continue"/>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0"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其他未列明蔬菜</w:t>
            </w:r>
            <w:r>
              <w:rPr>
                <w:rFonts w:hint="eastAsia" w:ascii="宋体" w:hAnsi="宋体" w:eastAsia="宋体" w:cs="宋体"/>
                <w:color w:val="auto"/>
                <w:sz w:val="24"/>
                <w:szCs w:val="24"/>
                <w:highlight w:val="none"/>
              </w:rPr>
              <w:t xml:space="preserve">类</w:t>
            </w:r>
            <w:r/>
          </w:p>
        </w:tc>
        <w:tc>
          <w:tcPr>
            <w:tcW w:w="2530" w:type="pct"/>
            <w:vAlign w:val="center"/>
            <w:vMerge w:val="continue"/>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0"/>
        <w:jc w:val="left"/>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6、水果</w:t>
      </w:r>
      <w:r/>
    </w:p>
    <w:tbl>
      <w:tblPr>
        <w:tblStyle w:val="856"/>
        <w:tblW w:w="51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46"/>
        <w:gridCol w:w="2839"/>
        <w:gridCol w:w="4890"/>
      </w:tblGrid>
      <w:tr>
        <w:trPr>
          <w:jc w:val="center"/>
          <w:trHeight w:val="600"/>
        </w:trPr>
        <w:tc>
          <w:tcPr>
            <w:tcW w:w="1239" w:type="pct"/>
            <w:vAlign w:val="center"/>
            <w:textDirection w:val="lrTb"/>
            <w:noWrap w:val="false"/>
          </w:tcPr>
          <w:p>
            <w:pPr>
              <w:ind w:firstLine="0"/>
              <w:jc w:val="center"/>
              <w:pageBreakBefore w:val="0"/>
              <w:spacing w:line="360" w:lineRule="auto"/>
              <w:widowControl/>
              <w:rPr>
                <w:rFonts w:hint="eastAsia" w:ascii="宋体" w:hAnsi="宋体" w:eastAsia="宋体" w:cs="宋体"/>
                <w:b/>
                <w:bCs/>
                <w:color w:val="auto"/>
                <w:sz w:val="24"/>
                <w:szCs w:val="24"/>
                <w:highlight w:val="none"/>
              </w:rPr>
            </w:pPr>
            <w:r/>
            <w:bookmarkStart w:id="13" w:name="_Hlk196210394"/>
            <w:r>
              <w:rPr>
                <w:rFonts w:hint="eastAsia" w:ascii="宋体" w:hAnsi="宋体" w:eastAsia="宋体" w:cs="宋体"/>
                <w:b/>
                <w:bCs/>
                <w:color w:val="auto"/>
                <w:sz w:val="24"/>
                <w:szCs w:val="24"/>
                <w:highlight w:val="none"/>
              </w:rPr>
              <w:t xml:space="preserve">采购食材类别</w:t>
            </w:r>
            <w:r/>
          </w:p>
        </w:tc>
        <w:tc>
          <w:tcPr>
            <w:tcW w:w="1381" w:type="pct"/>
            <w:vAlign w:val="center"/>
            <w:textDirection w:val="lrTb"/>
            <w:noWrap w:val="false"/>
          </w:tcPr>
          <w:p>
            <w:pPr>
              <w:ind w:firstLine="0"/>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具体明细</w:t>
            </w:r>
            <w:r/>
          </w:p>
        </w:tc>
        <w:tc>
          <w:tcPr>
            <w:tcW w:w="2379" w:type="pct"/>
            <w:vAlign w:val="center"/>
            <w:textDirection w:val="lrTb"/>
            <w:noWrap w:val="false"/>
          </w:tcPr>
          <w:p>
            <w:pPr>
              <w:ind w:firstLine="0"/>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rPr>
              <w:t xml:space="preserve">基准价格结算依据</w:t>
            </w:r>
            <w:bookmarkEnd w:id="13"/>
            <w:r/>
            <w:r/>
          </w:p>
        </w:tc>
      </w:tr>
      <w:tr>
        <w:trPr>
          <w:jc w:val="center"/>
          <w:trHeight w:val="273"/>
        </w:trPr>
        <w:tc>
          <w:tcPr>
            <w:tcW w:w="1239" w:type="pct"/>
            <w:vAlign w:val="center"/>
            <w:vMerge w:val="restart"/>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水果类</w:t>
            </w:r>
            <w:r/>
          </w:p>
        </w:tc>
        <w:tc>
          <w:tcPr>
            <w:tcW w:w="1381"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橙子</w:t>
            </w:r>
            <w:r/>
          </w:p>
        </w:tc>
        <w:tc>
          <w:tcPr>
            <w:tcW w:w="2379" w:type="pct"/>
            <w:vAlign w:val="center"/>
            <w:vMerge w:val="restart"/>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eastAsia="zh" w:bidi="ar-SA"/>
              </w:rPr>
            </w:pPr>
            <w:r>
              <w:rPr>
                <w:rFonts w:hint="eastAsia" w:ascii="宋体" w:hAnsi="宋体" w:eastAsia="宋体" w:cs="宋体"/>
                <w:b w:val="0"/>
                <w:bCs w:val="0"/>
                <w:color w:val="auto"/>
                <w:sz w:val="24"/>
                <w:szCs w:val="24"/>
                <w:highlight w:val="none"/>
                <w:vertAlign w:val="baseline"/>
                <w:lang w:val="en-US" w:eastAsia="zh-CN"/>
              </w:rPr>
              <w:t xml:space="preserve">价格每日一核，优先顺序：</w:t>
            </w:r>
            <w:r>
              <w:rPr>
                <w:rFonts w:hint="eastAsia" w:ascii="宋体" w:hAnsi="宋体" w:eastAsia="宋体" w:cs="宋体"/>
                <w:color w:val="auto"/>
                <w:sz w:val="24"/>
                <w:szCs w:val="24"/>
                <w:highlight w:val="none"/>
                <w:lang w:val="en-US" w:eastAsia="zh"/>
              </w:rPr>
              <w:t xml:space="preserve">南京市商务局（网址：https://swj.nanjing.gov.cn/njsswj/?id=386）发布的最新一期科巷菜场同类食材的指导价格→送货当天大润发超市零售价格</w:t>
            </w:r>
            <w:r/>
          </w:p>
        </w:tc>
      </w:tr>
      <w:tr>
        <w:trPr>
          <w:jc w:val="center"/>
          <w:trHeight w:val="273"/>
        </w:trPr>
        <w:tc>
          <w:tcPr>
            <w:tcW w:w="1239"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1"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苹果</w:t>
            </w:r>
            <w:r/>
          </w:p>
        </w:tc>
        <w:tc>
          <w:tcPr>
            <w:tcW w:w="2379"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239"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1"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香蕉</w:t>
            </w:r>
            <w:r/>
          </w:p>
        </w:tc>
        <w:tc>
          <w:tcPr>
            <w:tcW w:w="2379"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239"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1"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西瓜</w:t>
            </w:r>
            <w:r/>
          </w:p>
        </w:tc>
        <w:tc>
          <w:tcPr>
            <w:tcW w:w="2379"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239"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1"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梨</w:t>
            </w:r>
            <w:r/>
          </w:p>
        </w:tc>
        <w:tc>
          <w:tcPr>
            <w:tcW w:w="2379"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239"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1"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哈密瓜</w:t>
            </w:r>
            <w:r/>
          </w:p>
        </w:tc>
        <w:tc>
          <w:tcPr>
            <w:tcW w:w="2379"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239"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1"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草莓</w:t>
            </w:r>
            <w:r/>
          </w:p>
        </w:tc>
        <w:tc>
          <w:tcPr>
            <w:tcW w:w="2379"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239"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1"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阳光玫瑰</w:t>
            </w:r>
            <w:r/>
          </w:p>
        </w:tc>
        <w:tc>
          <w:tcPr>
            <w:tcW w:w="2379"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239"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1"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爱媛橙</w:t>
            </w:r>
            <w:r/>
          </w:p>
        </w:tc>
        <w:tc>
          <w:tcPr>
            <w:tcW w:w="2379"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239"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1"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水果黄瓜</w:t>
            </w:r>
            <w:r/>
          </w:p>
        </w:tc>
        <w:tc>
          <w:tcPr>
            <w:tcW w:w="2379"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239"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1"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火龙果</w:t>
            </w:r>
            <w:r/>
          </w:p>
        </w:tc>
        <w:tc>
          <w:tcPr>
            <w:tcW w:w="2379"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239"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1"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千禧果</w:t>
            </w:r>
            <w:r/>
          </w:p>
        </w:tc>
        <w:tc>
          <w:tcPr>
            <w:tcW w:w="2379"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239"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1"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
              </w:rPr>
              <w:t xml:space="preserve">耙耙柑</w:t>
            </w:r>
            <w:r/>
          </w:p>
        </w:tc>
        <w:tc>
          <w:tcPr>
            <w:tcW w:w="2379"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239"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1"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红提</w:t>
            </w:r>
            <w:r/>
          </w:p>
        </w:tc>
        <w:tc>
          <w:tcPr>
            <w:tcW w:w="2379"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239"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1"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龙眼</w:t>
            </w:r>
            <w:r/>
          </w:p>
        </w:tc>
        <w:tc>
          <w:tcPr>
            <w:tcW w:w="2379"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239"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1"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桂圆</w:t>
            </w:r>
            <w:r/>
          </w:p>
        </w:tc>
        <w:tc>
          <w:tcPr>
            <w:tcW w:w="2379"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239"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1" w:type="pct"/>
            <w:vAlign w:val="center"/>
            <w:textDirection w:val="lrTb"/>
            <w:noWrap w:val="false"/>
          </w:tcPr>
          <w:p>
            <w:pPr>
              <w:pStyle w:val="883"/>
              <w:ind w:firstLine="0"/>
              <w:jc w:val="center"/>
              <w:pageBreakBefore w:val="0"/>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其他未列明水果类</w:t>
            </w:r>
            <w:r/>
          </w:p>
        </w:tc>
        <w:tc>
          <w:tcPr>
            <w:tcW w:w="2379"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bl>
    <w:p>
      <w:pPr>
        <w:ind w:firstLine="0"/>
        <w:jc w:val="left"/>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val="0"/>
          <w:color w:val="auto"/>
          <w:sz w:val="24"/>
          <w:szCs w:val="24"/>
          <w:highlight w:val="none"/>
          <w:lang w:val="en-US" w:eastAsia="zh-CN"/>
        </w:rPr>
        <w:t xml:space="preserve">调味品、干货</w:t>
      </w:r>
      <w:r/>
    </w:p>
    <w:tbl>
      <w:tblPr>
        <w:tblStyle w:val="856"/>
        <w:tblW w:w="50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883"/>
        <w:gridCol w:w="4833"/>
      </w:tblGrid>
      <w:tr>
        <w:trPr>
          <w:jc w:val="center"/>
          <w:trHeight w:val="600"/>
        </w:trPr>
        <w:tc>
          <w:tcPr>
            <w:tcW w:w="1188" w:type="pct"/>
            <w:vAlign w:val="center"/>
            <w:textDirection w:val="lrTb"/>
            <w:noWrap w:val="false"/>
          </w:tcPr>
          <w:p>
            <w:pPr>
              <w:ind w:firstLine="0"/>
              <w:jc w:val="center"/>
              <w:pageBreakBefore w:val="0"/>
              <w:spacing w:line="360" w:lineRule="auto"/>
              <w:widowControl/>
              <w:rPr>
                <w:rFonts w:hint="eastAsia" w:ascii="宋体" w:hAnsi="宋体" w:eastAsia="宋体" w:cs="宋体"/>
                <w:b/>
                <w:bCs/>
                <w:color w:val="auto"/>
                <w:sz w:val="24"/>
                <w:szCs w:val="24"/>
                <w:highlight w:val="none"/>
              </w:rPr>
            </w:pPr>
            <w:r/>
            <w:bookmarkStart w:id="14" w:name="_Hlk196210292"/>
            <w:r>
              <w:rPr>
                <w:rFonts w:hint="eastAsia" w:ascii="宋体" w:hAnsi="宋体" w:eastAsia="宋体" w:cs="宋体"/>
                <w:b/>
                <w:bCs/>
                <w:color w:val="auto"/>
                <w:sz w:val="24"/>
                <w:szCs w:val="24"/>
                <w:highlight w:val="none"/>
              </w:rPr>
              <w:t xml:space="preserve">采购食材类别</w:t>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具体明细</w:t>
            </w:r>
            <w:r/>
          </w:p>
        </w:tc>
        <w:tc>
          <w:tcPr>
            <w:tcW w:w="2387" w:type="pct"/>
            <w:vAlign w:val="center"/>
            <w:textDirection w:val="lrTb"/>
            <w:noWrap w:val="false"/>
          </w:tcPr>
          <w:p>
            <w:pPr>
              <w:ind w:firstLine="0"/>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rPr>
              <w:t xml:space="preserve">基准价格结算依据</w:t>
            </w:r>
            <w:bookmarkEnd w:id="14"/>
            <w:r/>
            <w:r/>
          </w:p>
        </w:tc>
      </w:tr>
      <w:tr>
        <w:trPr>
          <w:jc w:val="center"/>
          <w:trHeight w:val="750"/>
        </w:trPr>
        <w:tc>
          <w:tcPr>
            <w:tcW w:w="1188" w:type="pct"/>
            <w:vAlign w:val="center"/>
            <w:vMerge w:val="restart"/>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调味品、</w:t>
            </w:r>
            <w:r>
              <w:rPr>
                <w:rFonts w:hint="eastAsia" w:ascii="宋体" w:hAnsi="宋体" w:eastAsia="宋体" w:cs="宋体"/>
                <w:color w:val="auto"/>
                <w:sz w:val="24"/>
                <w:szCs w:val="24"/>
                <w:highlight w:val="none"/>
                <w:lang w:val="en-US" w:eastAsia="zh-CN"/>
              </w:rPr>
              <w:t xml:space="preserve">干货</w:t>
            </w:r>
            <w:r/>
          </w:p>
        </w:tc>
        <w:tc>
          <w:tcPr>
            <w:tcW w:w="1424" w:type="pct"/>
            <w:vAlign w:val="center"/>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白野山椒</w:t>
            </w:r>
            <w:r/>
          </w:p>
        </w:tc>
        <w:tc>
          <w:tcPr>
            <w:tcW w:w="2387" w:type="pct"/>
            <w:vAlign w:val="center"/>
            <w:vMerge w:val="restart"/>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eastAsia="zh"/>
              </w:rPr>
            </w:pPr>
            <w:r>
              <w:rPr>
                <w:rFonts w:hint="eastAsia" w:ascii="宋体" w:hAnsi="宋体" w:eastAsia="宋体" w:cs="宋体"/>
                <w:b w:val="0"/>
                <w:bCs w:val="0"/>
                <w:color w:val="auto"/>
                <w:sz w:val="24"/>
                <w:szCs w:val="24"/>
                <w:highlight w:val="none"/>
                <w:vertAlign w:val="baseline"/>
                <w:lang w:val="en-US" w:eastAsia="zh-CN"/>
              </w:rPr>
              <w:t xml:space="preserve">价格每日一核，优先顺序：</w:t>
            </w:r>
            <w:r>
              <w:rPr>
                <w:rFonts w:hint="eastAsia" w:ascii="宋体" w:hAnsi="宋体" w:eastAsia="宋体" w:cs="宋体"/>
                <w:color w:val="auto"/>
                <w:sz w:val="24"/>
                <w:szCs w:val="24"/>
                <w:highlight w:val="none"/>
                <w:lang w:val="en-US" w:eastAsia="zh"/>
              </w:rPr>
              <w:t xml:space="preserve">南京市商务局（网址：https://swj.nanjing.gov.cn/njsswj/?id=386）发布的最新一期科巷菜场同类食材的指导价格→送货当天大润发超市零售价格</w:t>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白胡椒粉</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剁椒</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料酒</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香辣酱</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黄灯笼辣酱</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白绵糖</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澄粉</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八角</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辣椒干</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桂皮</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葡萄干</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黑木耳</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藤椒油</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香醋</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老干妈风味豆豉油制辣椒</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果汁</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蒸肉米粉</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泡打粉</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老抽</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酵母</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蒸鱼豉油</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味精</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精制食用盐</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红糖</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海鲜酱</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黄豆酱</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孜然粉</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生粉</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南乳汁</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90"/>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麻油</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蚝油</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草菇老抽</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红花椒</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白醋</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香辣酱</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重庆火锅底料</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小茴香</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腌料</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487"/>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坚果系列</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487"/>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其他未列名调味品、干货类</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bl>
    <w:p>
      <w:pPr>
        <w:ind w:firstLine="0"/>
        <w:jc w:val="left"/>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8、米面、杂粮、油</w:t>
      </w:r>
      <w:r/>
    </w:p>
    <w:tbl>
      <w:tblPr>
        <w:tblStyle w:val="856"/>
        <w:tblW w:w="50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882"/>
        <w:gridCol w:w="4834"/>
      </w:tblGrid>
      <w:tr>
        <w:trPr>
          <w:jc w:val="center"/>
          <w:trHeight w:val="600"/>
        </w:trPr>
        <w:tc>
          <w:tcPr>
            <w:tcW w:w="1188" w:type="pct"/>
            <w:vAlign w:val="center"/>
            <w:textDirection w:val="lrTb"/>
            <w:noWrap w:val="false"/>
          </w:tcPr>
          <w:p>
            <w:pPr>
              <w:ind w:firstLine="0"/>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采购食材类别</w:t>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具体明细</w:t>
            </w:r>
            <w:r/>
          </w:p>
        </w:tc>
        <w:tc>
          <w:tcPr>
            <w:tcW w:w="2387" w:type="pct"/>
            <w:vAlign w:val="center"/>
            <w:textDirection w:val="lrTb"/>
            <w:noWrap w:val="false"/>
          </w:tcPr>
          <w:p>
            <w:pPr>
              <w:ind w:firstLine="0"/>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rPr>
              <w:t xml:space="preserve">基准价格结算依据</w:t>
            </w:r>
            <w:r/>
          </w:p>
        </w:tc>
      </w:tr>
      <w:tr>
        <w:trPr>
          <w:jc w:val="center"/>
          <w:trHeight w:val="1872"/>
        </w:trPr>
        <w:tc>
          <w:tcPr>
            <w:tcW w:w="1188" w:type="pct"/>
            <w:vAlign w:val="center"/>
            <w:vMerge w:val="restart"/>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米面、杂粮、油</w:t>
            </w:r>
            <w:r/>
          </w:p>
        </w:tc>
        <w:tc>
          <w:tcPr>
            <w:tcW w:w="1424" w:type="pct"/>
            <w:vAlign w:val="center"/>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米、面、杂粮：推荐金龙鱼优质东北大米、金龙鱼清香稻长粒米、金龙鱼盘锦大米、苏垦宝金玉大米杂粮（散称）包括但不限于：血糯米、藜麦、荞麦、小黄米、麦片、小麦、小米、黑米、糙米、玉米渣、红豆、绿豆、银耳、花生仁、薏米、麦片，红枣（无核）。</w:t>
            </w:r>
            <w:r/>
          </w:p>
        </w:tc>
        <w:tc>
          <w:tcPr>
            <w:tcW w:w="2387" w:type="pct"/>
            <w:vAlign w:val="center"/>
            <w:vMerge w:val="restart"/>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eastAsia="zh"/>
              </w:rPr>
            </w:pPr>
            <w:r>
              <w:rPr>
                <w:rFonts w:hint="eastAsia" w:ascii="宋体" w:hAnsi="宋体" w:eastAsia="宋体" w:cs="宋体"/>
                <w:b w:val="0"/>
                <w:bCs w:val="0"/>
                <w:color w:val="auto"/>
                <w:sz w:val="24"/>
                <w:szCs w:val="24"/>
                <w:highlight w:val="none"/>
                <w:vertAlign w:val="baseline"/>
                <w:lang w:val="en-US" w:eastAsia="zh-CN"/>
              </w:rPr>
              <w:t xml:space="preserve">价格每日一核，优先顺序：</w:t>
            </w:r>
            <w:r>
              <w:rPr>
                <w:rFonts w:hint="eastAsia" w:ascii="宋体" w:hAnsi="宋体" w:eastAsia="宋体" w:cs="宋体"/>
                <w:color w:val="auto"/>
                <w:sz w:val="24"/>
                <w:szCs w:val="24"/>
                <w:highlight w:val="none"/>
                <w:lang w:val="en-US" w:eastAsia="zh"/>
              </w:rPr>
              <w:t xml:space="preserve">南京市商务局（网址：https://swj.nanjing.gov.cn/njsswj/?id=386）发布的最新一期科巷菜场同类食材的指导价格→送货当天大润发超市零售价格</w:t>
            </w:r>
            <w:r/>
          </w:p>
        </w:tc>
      </w:tr>
      <w:tr>
        <w:trPr>
          <w:jc w:val="center"/>
          <w:trHeight w:val="818"/>
        </w:trPr>
        <w:tc>
          <w:tcPr>
            <w:tcW w:w="1188"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油：推荐采用西王玉米胚芽油、金龙鱼葵花籽油、鲁花5S压榨花生油、金龙鱼玉米胚芽油</w:t>
            </w:r>
            <w:r/>
          </w:p>
        </w:tc>
        <w:tc>
          <w:tcPr>
            <w:tcW w:w="2387" w:type="pct"/>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818"/>
        </w:trPr>
        <w:tc>
          <w:tcPr>
            <w:gridSpan w:val="3"/>
            <w:tcW w:w="5000" w:type="pct"/>
            <w:vAlign w:val="center"/>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highlight w:val="none"/>
              </w:rPr>
              <w:t xml:space="preserve">如果供应商使用推荐品牌以外的同等档次的品牌，需经</w:t>
            </w:r>
            <w:r>
              <w:rPr>
                <w:rFonts w:hint="eastAsia" w:ascii="宋体" w:hAnsi="宋体" w:eastAsia="宋体" w:cs="宋体"/>
                <w:color w:val="auto"/>
                <w:sz w:val="24"/>
                <w:highlight w:val="none"/>
                <w:lang w:val="en-US" w:eastAsia="zh-CN"/>
              </w:rPr>
              <w:t xml:space="preserve">采购认可</w:t>
            </w:r>
            <w:r>
              <w:rPr>
                <w:rFonts w:hint="eastAsia" w:ascii="宋体" w:hAnsi="宋体" w:eastAsia="宋体" w:cs="宋体"/>
                <w:color w:val="auto"/>
                <w:sz w:val="24"/>
                <w:highlight w:val="none"/>
              </w:rPr>
              <w:t xml:space="preserve">后，方能进行采购供货。</w:t>
            </w:r>
            <w:r/>
          </w:p>
        </w:tc>
      </w:tr>
    </w:tbl>
    <w:p>
      <w:pPr>
        <w:ind w:firstLine="0"/>
        <w:jc w:val="left"/>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9、奶制品</w:t>
      </w:r>
      <w:r/>
    </w:p>
    <w:tbl>
      <w:tblPr>
        <w:tblStyle w:val="856"/>
        <w:tblW w:w="50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883"/>
        <w:gridCol w:w="4833"/>
      </w:tblGrid>
      <w:tr>
        <w:trPr>
          <w:jc w:val="center"/>
          <w:trHeight w:val="600"/>
        </w:trPr>
        <w:tc>
          <w:tcPr>
            <w:tcW w:w="1188" w:type="pct"/>
            <w:vAlign w:val="center"/>
            <w:textDirection w:val="lrTb"/>
            <w:noWrap w:val="false"/>
          </w:tcPr>
          <w:p>
            <w:pPr>
              <w:ind w:firstLine="0"/>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采购食材类别</w:t>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具体明细</w:t>
            </w:r>
            <w:r/>
          </w:p>
        </w:tc>
        <w:tc>
          <w:tcPr>
            <w:tcW w:w="2387" w:type="pct"/>
            <w:vAlign w:val="center"/>
            <w:textDirection w:val="lrTb"/>
            <w:noWrap w:val="false"/>
          </w:tcPr>
          <w:p>
            <w:pPr>
              <w:ind w:firstLine="0"/>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rPr>
              <w:t xml:space="preserve">基准价格结算依据</w:t>
            </w:r>
            <w:r/>
          </w:p>
        </w:tc>
      </w:tr>
      <w:tr>
        <w:trPr>
          <w:jc w:val="center"/>
          <w:trHeight w:val="599"/>
        </w:trPr>
        <w:tc>
          <w:tcPr>
            <w:tcW w:w="1188" w:type="pct"/>
            <w:vAlign w:val="center"/>
            <w:vMerge w:val="restart"/>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奶制品</w:t>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酸奶</w:t>
            </w:r>
            <w:r/>
          </w:p>
        </w:tc>
        <w:tc>
          <w:tcPr>
            <w:tcW w:w="2387" w:type="pct"/>
            <w:vAlign w:val="center"/>
            <w:vMerge w:val="restart"/>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eastAsia="zh"/>
              </w:rPr>
            </w:pPr>
            <w:r>
              <w:rPr>
                <w:rFonts w:hint="eastAsia" w:ascii="宋体" w:hAnsi="宋体" w:eastAsia="宋体" w:cs="宋体"/>
                <w:b w:val="0"/>
                <w:bCs w:val="0"/>
                <w:color w:val="auto"/>
                <w:sz w:val="24"/>
                <w:szCs w:val="24"/>
                <w:highlight w:val="none"/>
                <w:vertAlign w:val="baseline"/>
                <w:lang w:val="en-US" w:eastAsia="zh-CN"/>
              </w:rPr>
              <w:t xml:space="preserve">价格每日一核，优先顺序：</w:t>
            </w:r>
            <w:r>
              <w:rPr>
                <w:rFonts w:hint="eastAsia" w:ascii="宋体" w:hAnsi="宋体" w:eastAsia="宋体" w:cs="宋体"/>
                <w:color w:val="auto"/>
                <w:sz w:val="24"/>
                <w:szCs w:val="24"/>
                <w:highlight w:val="none"/>
                <w:lang w:val="en-US" w:eastAsia="zh"/>
              </w:rPr>
              <w:t xml:space="preserve">南京市商务局（网址：https://swj.nanjing.gov.cn/njsswj/?id=386）发布的最新一期科巷菜场同类食材的指导价格→送货当天大润发超市零售价格</w:t>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鲜奶</w:t>
            </w:r>
            <w:r/>
          </w:p>
        </w:tc>
        <w:tc>
          <w:tcPr>
            <w:tcW w:w="2387"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脱脂奶</w:t>
            </w:r>
            <w:r/>
          </w:p>
        </w:tc>
        <w:tc>
          <w:tcPr>
            <w:tcW w:w="2387"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豆奶、水果奶</w:t>
            </w:r>
            <w:r/>
          </w:p>
        </w:tc>
        <w:tc>
          <w:tcPr>
            <w:tcW w:w="2387"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其他未列名奶制品类</w:t>
            </w:r>
            <w:r/>
          </w:p>
        </w:tc>
        <w:tc>
          <w:tcPr>
            <w:tcW w:w="2387"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bl>
    <w:p>
      <w:pPr>
        <w:ind w:firstLine="0"/>
        <w:jc w:val="left"/>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10、豆制品</w:t>
      </w:r>
      <w:r/>
    </w:p>
    <w:tbl>
      <w:tblPr>
        <w:tblStyle w:val="856"/>
        <w:tblW w:w="50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883"/>
        <w:gridCol w:w="4833"/>
      </w:tblGrid>
      <w:tr>
        <w:trPr>
          <w:jc w:val="center"/>
          <w:trHeight w:val="600"/>
        </w:trPr>
        <w:tc>
          <w:tcPr>
            <w:tcW w:w="1188" w:type="pct"/>
            <w:vAlign w:val="center"/>
            <w:textDirection w:val="lrTb"/>
            <w:noWrap w:val="false"/>
          </w:tcPr>
          <w:p>
            <w:pPr>
              <w:ind w:firstLine="0"/>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采购食材类别</w:t>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具体明细</w:t>
            </w:r>
            <w:r/>
          </w:p>
        </w:tc>
        <w:tc>
          <w:tcPr>
            <w:tcW w:w="2387" w:type="pct"/>
            <w:vAlign w:val="center"/>
            <w:textDirection w:val="lrTb"/>
            <w:noWrap w:val="false"/>
          </w:tcPr>
          <w:p>
            <w:pPr>
              <w:ind w:firstLine="0"/>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rPr>
              <w:t xml:space="preserve">基准价格结算依据</w:t>
            </w:r>
            <w:r/>
          </w:p>
        </w:tc>
      </w:tr>
      <w:tr>
        <w:trPr>
          <w:jc w:val="center"/>
          <w:trHeight w:val="599"/>
        </w:trPr>
        <w:tc>
          <w:tcPr>
            <w:tcW w:w="1188" w:type="pct"/>
            <w:vAlign w:val="center"/>
            <w:vMerge w:val="restart"/>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豆制品</w:t>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豆腐</w:t>
            </w:r>
            <w:r/>
          </w:p>
        </w:tc>
        <w:tc>
          <w:tcPr>
            <w:tcW w:w="2387" w:type="pct"/>
            <w:vAlign w:val="center"/>
            <w:vMerge w:val="restart"/>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eastAsia="zh"/>
              </w:rPr>
            </w:pPr>
            <w:r>
              <w:rPr>
                <w:rFonts w:hint="eastAsia" w:ascii="宋体" w:hAnsi="宋体" w:eastAsia="宋体" w:cs="宋体"/>
                <w:b w:val="0"/>
                <w:bCs w:val="0"/>
                <w:color w:val="auto"/>
                <w:sz w:val="24"/>
                <w:szCs w:val="24"/>
                <w:highlight w:val="none"/>
                <w:vertAlign w:val="baseline"/>
                <w:lang w:val="en-US" w:eastAsia="zh-CN"/>
              </w:rPr>
              <w:t xml:space="preserve">价格每日一核，优先顺序：</w:t>
            </w:r>
            <w:r>
              <w:rPr>
                <w:rFonts w:hint="eastAsia" w:ascii="宋体" w:hAnsi="宋体" w:eastAsia="宋体" w:cs="宋体"/>
                <w:color w:val="auto"/>
                <w:sz w:val="24"/>
                <w:szCs w:val="24"/>
                <w:highlight w:val="none"/>
                <w:lang w:val="en-US" w:eastAsia="zh"/>
              </w:rPr>
              <w:t xml:space="preserve">南京市商务局（网址：https://swj.nanjing.gov.cn/njsswj/?id=386）发布的最新一期科巷菜场同类食材的指导价格→送货当天大润发超市零售价格</w:t>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香干</w:t>
            </w:r>
            <w:r/>
          </w:p>
        </w:tc>
        <w:tc>
          <w:tcPr>
            <w:tcW w:w="2387"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豆皮</w:t>
            </w:r>
            <w:r/>
          </w:p>
        </w:tc>
        <w:tc>
          <w:tcPr>
            <w:tcW w:w="2387"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豆浆</w:t>
            </w:r>
            <w:r/>
          </w:p>
        </w:tc>
        <w:tc>
          <w:tcPr>
            <w:tcW w:w="2387"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其他未列名豆制品类</w:t>
            </w:r>
            <w:r/>
          </w:p>
        </w:tc>
        <w:tc>
          <w:tcPr>
            <w:tcW w:w="2387"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bl>
    <w:p>
      <w:pPr>
        <w:ind w:firstLine="0"/>
        <w:jc w:val="left"/>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11、</w:t>
      </w:r>
      <w:r>
        <w:rPr>
          <w:rFonts w:hint="eastAsia" w:ascii="宋体" w:hAnsi="宋体" w:eastAsia="宋体" w:cs="宋体"/>
          <w:b/>
          <w:bCs/>
          <w:color w:val="auto"/>
          <w:sz w:val="24"/>
          <w:szCs w:val="24"/>
          <w:highlight w:val="none"/>
          <w:lang w:val="en-US" w:eastAsia="zh"/>
        </w:rPr>
        <w:t xml:space="preserve">面制品</w:t>
      </w:r>
      <w:r/>
    </w:p>
    <w:tbl>
      <w:tblPr>
        <w:tblStyle w:val="856"/>
        <w:tblW w:w="50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883"/>
        <w:gridCol w:w="4833"/>
      </w:tblGrid>
      <w:tr>
        <w:trPr>
          <w:jc w:val="center"/>
          <w:trHeight w:val="600"/>
        </w:trPr>
        <w:tc>
          <w:tcPr>
            <w:tcW w:w="1188" w:type="pct"/>
            <w:vAlign w:val="center"/>
            <w:textDirection w:val="lrTb"/>
            <w:noWrap w:val="false"/>
          </w:tcPr>
          <w:p>
            <w:pPr>
              <w:ind w:firstLine="0"/>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采购食材类别</w:t>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具体明细</w:t>
            </w:r>
            <w:r/>
          </w:p>
        </w:tc>
        <w:tc>
          <w:tcPr>
            <w:tcW w:w="2387" w:type="pct"/>
            <w:vAlign w:val="center"/>
            <w:textDirection w:val="lrTb"/>
            <w:noWrap w:val="false"/>
          </w:tcPr>
          <w:p>
            <w:pPr>
              <w:ind w:firstLine="0"/>
              <w:jc w:val="center"/>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rPr>
              <w:t xml:space="preserve">基准价格结算依据</w:t>
            </w:r>
            <w:r/>
          </w:p>
        </w:tc>
      </w:tr>
      <w:tr>
        <w:trPr>
          <w:jc w:val="center"/>
          <w:trHeight w:val="599"/>
        </w:trPr>
        <w:tc>
          <w:tcPr>
            <w:tcW w:w="1188" w:type="pct"/>
            <w:vAlign w:val="center"/>
            <w:vMerge w:val="restart"/>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lang w:eastAsia="zh"/>
              </w:rPr>
              <w:t xml:space="preserve">面制品</w:t>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lang w:eastAsia="zh"/>
              </w:rPr>
              <w:t xml:space="preserve">包子</w:t>
            </w:r>
            <w:r/>
          </w:p>
        </w:tc>
        <w:tc>
          <w:tcPr>
            <w:tcW w:w="2387" w:type="pct"/>
            <w:vAlign w:val="center"/>
            <w:vMerge w:val="restart"/>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eastAsia="zh"/>
              </w:rPr>
            </w:pPr>
            <w:r>
              <w:rPr>
                <w:rFonts w:hint="eastAsia" w:ascii="宋体" w:hAnsi="宋体" w:eastAsia="宋体" w:cs="宋体"/>
                <w:b w:val="0"/>
                <w:bCs w:val="0"/>
                <w:color w:val="auto"/>
                <w:sz w:val="24"/>
                <w:szCs w:val="24"/>
                <w:highlight w:val="none"/>
                <w:vertAlign w:val="baseline"/>
                <w:lang w:val="en-US" w:eastAsia="zh-CN"/>
              </w:rPr>
              <w:t xml:space="preserve">价格每日一核，优先顺序：</w:t>
            </w:r>
            <w:r>
              <w:rPr>
                <w:rFonts w:hint="eastAsia" w:ascii="宋体" w:hAnsi="宋体" w:eastAsia="宋体" w:cs="宋体"/>
                <w:color w:val="auto"/>
                <w:sz w:val="24"/>
                <w:szCs w:val="24"/>
                <w:highlight w:val="none"/>
                <w:lang w:val="en-US" w:eastAsia="zh"/>
              </w:rPr>
              <w:t xml:space="preserve">南京市商务局（网址：https://swj.nanjing.gov.cn/njsswj/?id=386）发布的最新一期科巷菜场同类食材的指导价格→送货当天大润发超市零售价格</w:t>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lang w:eastAsia="zh"/>
              </w:rPr>
              <w:t xml:space="preserve">花卷</w:t>
            </w:r>
            <w:r/>
          </w:p>
        </w:tc>
        <w:tc>
          <w:tcPr>
            <w:tcW w:w="2387"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lang w:eastAsia="zh"/>
              </w:rPr>
              <w:t xml:space="preserve">烧麦</w:t>
            </w:r>
            <w:r/>
          </w:p>
        </w:tc>
        <w:tc>
          <w:tcPr>
            <w:tcW w:w="2387"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lang w:eastAsia="zh"/>
              </w:rPr>
              <w:t xml:space="preserve">烧饼</w:t>
            </w:r>
            <w:r/>
          </w:p>
        </w:tc>
        <w:tc>
          <w:tcPr>
            <w:tcW w:w="2387"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r>
        <w:trPr>
          <w:jc w:val="center"/>
          <w:trHeight w:val="273"/>
        </w:trPr>
        <w:tc>
          <w:tcPr>
            <w:tcW w:w="1188"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pct"/>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其他未列名</w:t>
            </w:r>
            <w:r>
              <w:rPr>
                <w:rFonts w:hint="eastAsia" w:ascii="宋体" w:hAnsi="宋体" w:eastAsia="宋体" w:cs="宋体"/>
                <w:color w:val="auto"/>
                <w:sz w:val="24"/>
                <w:szCs w:val="24"/>
                <w:highlight w:val="none"/>
                <w:lang w:val="en-US" w:eastAsia="zh"/>
              </w:rPr>
              <w:t xml:space="preserve">面食、</w:t>
            </w:r>
            <w:r>
              <w:rPr>
                <w:rFonts w:hint="eastAsia" w:ascii="宋体" w:hAnsi="宋体" w:eastAsia="宋体" w:cs="宋体"/>
                <w:color w:val="auto"/>
                <w:sz w:val="24"/>
                <w:szCs w:val="24"/>
                <w:highlight w:val="none"/>
                <w:lang w:val="en-US" w:eastAsia="zh-CN"/>
              </w:rPr>
              <w:t xml:space="preserve">豆制品类</w:t>
            </w:r>
            <w:r/>
          </w:p>
        </w:tc>
        <w:tc>
          <w:tcPr>
            <w:tcW w:w="2387" w:type="pct"/>
            <w:vAlign w:val="center"/>
            <w:vMerge w:val="continue"/>
            <w:textDirection w:val="lrTb"/>
            <w:noWrap w:val="false"/>
          </w:tcPr>
          <w:p>
            <w:pPr>
              <w:ind w:firstLine="0"/>
              <w:jc w:val="center"/>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r>
    </w:tbl>
    <w:p>
      <w:pPr>
        <w:ind w:firstLine="0"/>
        <w:jc w:val="left"/>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 质量标准</w:t>
      </w:r>
      <w:r/>
    </w:p>
    <w:tbl>
      <w:tblPr>
        <w:tblStyle w:val="85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7"/>
        <w:gridCol w:w="8427"/>
      </w:tblGrid>
      <w:tr>
        <w:trPr>
          <w:jc w:val="center"/>
        </w:trPr>
        <w:tc>
          <w:tcPr>
            <w:tcW w:w="767" w:type="pct"/>
            <w:vAlign w:val="center"/>
            <w:textDirection w:val="lrTb"/>
            <w:noWrap w:val="false"/>
          </w:tcPr>
          <w:p>
            <w:pPr>
              <w:ind w:firstLine="0"/>
              <w:jc w:val="center"/>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食材类别</w:t>
            </w:r>
            <w:r/>
          </w:p>
        </w:tc>
        <w:tc>
          <w:tcPr>
            <w:tcW w:w="4232" w:type="pct"/>
            <w:vAlign w:val="top"/>
            <w:textDirection w:val="lrTb"/>
            <w:noWrap w:val="false"/>
          </w:tcPr>
          <w:p>
            <w:pPr>
              <w:ind w:firstLine="0"/>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质量标准</w:t>
            </w:r>
            <w:r/>
          </w:p>
        </w:tc>
      </w:tr>
      <w:tr>
        <w:trPr>
          <w:jc w:val="center"/>
          <w:trHeight w:val="347"/>
        </w:trPr>
        <w:tc>
          <w:tcPr>
            <w:tcW w:w="767" w:type="pct"/>
            <w:vAlign w:val="center"/>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1、鲜猪肉、牛羊肉</w:t>
            </w:r>
            <w:r/>
          </w:p>
        </w:tc>
        <w:tc>
          <w:tcPr>
            <w:tcW w:w="4232" w:type="pct"/>
            <w:vAlign w:val="top"/>
            <w:textDirection w:val="lrTb"/>
            <w:noWrap w:val="false"/>
          </w:tcPr>
          <w:p>
            <w:pPr>
              <w:ind w:firstLine="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1、感官要求</w:t>
            </w:r>
            <w:r>
              <w:rPr>
                <w:rFonts w:hint="eastAsia" w:ascii="宋体" w:hAnsi="宋体" w:eastAsia="宋体" w:cs="宋体"/>
                <w:color w:val="auto"/>
                <w:sz w:val="24"/>
                <w:szCs w:val="24"/>
                <w:highlight w:val="none"/>
                <w:lang w:val="en-US" w:eastAsia="zh-CN"/>
              </w:rPr>
              <w:t xml:space="preserve">  </w:t>
            </w:r>
            <w:r/>
          </w:p>
          <w:p>
            <w:pPr>
              <w:ind w:firstLine="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鲜猪肉质量验收标准：肌肉红色均匀，有光泽，脂肪洁白。外表微干或微湿润，不粘手。弹性良好，压后凹陷立即恢复。具有鲜猪肉正常气味，无泥污、血污、肉边整齐、无碎肉、碎骨，按标准部位分割、精肉无多余脂肪</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无冻肉、无注水。</w:t>
            </w:r>
            <w:r/>
          </w:p>
          <w:p>
            <w:pPr>
              <w:ind w:firstLine="0"/>
              <w:jc w:val="left"/>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牛羊肉质量验收标准：2.1颜色：新鲜正常红色，淡红色，有光泽；2.2气味：具有牛羊肉的正常气味，无异味；2.3油层：无；2.4淤血：无；2.5表面湿润，不黏手，有弹性；2.6水分，感观上不能有水，恒温库吊挂 12 小时。</w:t>
            </w:r>
            <w:r/>
          </w:p>
          <w:p>
            <w:pPr>
              <w:ind w:firstLine="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2、规范标准</w:t>
            </w:r>
            <w:r/>
          </w:p>
          <w:p>
            <w:pPr>
              <w:ind w:firstLine="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（1）鲜猪肉：产品质量标准符合：GB/T9959.1-2019《鲜、冻猪肉及猪副产品第 1 部分：片猪肉》、GB/T9959.2-2019《鲜、冻猪肉及猪副产品第 2 部分：分割鲜、冻猪瘦肉》、GB/T9959.3—2019《鲜、冻猪肉及猪副产品第 3 部分：分部位分割猪肉》、GB/T9959.4—2019《鲜、冻猪肉及猪副产品第 4 部分：猪副产品》。食品安全符合 GB2707-2016《食品安全国家标准鲜（冻）畜、禽产品》的要求。重金属污染物、农药残留、微生物等其它理化指标等达到国家标准的要求。</w:t>
            </w:r>
            <w:r/>
          </w:p>
          <w:p>
            <w:pPr>
              <w:ind w:firstLine="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（2）牛羊肉：</w:t>
            </w:r>
            <w:r/>
          </w:p>
          <w:p>
            <w:pPr>
              <w:ind w:firstLine="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1.牛肉质量符合：GB/T 17238-2022《鲜、冻分割牛肉》，食品安全符合：GB2707-2016 《食品安全国家标准 鲜(冻)畜、禽产品》；其它理化指标(重金属、农药残留、兽药残 留)、微生物等相关指标达到国家标准的要求。</w:t>
            </w:r>
            <w:r/>
          </w:p>
          <w:p>
            <w:pPr>
              <w:ind w:firstLine="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2.羊肉质量符合：GB/T9961-2008《鲜、冻胴体羊肉》、GB/T39918-2021《羊胴体及 鲜肉分割》；食品安全符合：GB2707-2016《食品安全国家标准鲜(冻)畜、禽产品》； 牛羊肉类产品其它理化指标(重金属、农药残留、兽药残留)、微生物等相关指标达到国家标准要求。</w:t>
            </w:r>
            <w:r/>
          </w:p>
        </w:tc>
      </w:tr>
      <w:tr>
        <w:trPr>
          <w:jc w:val="center"/>
          <w:trHeight w:val="765"/>
        </w:trPr>
        <w:tc>
          <w:tcPr>
            <w:tcW w:w="767" w:type="pct"/>
            <w:vAlign w:val="center"/>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2、水产</w:t>
            </w:r>
            <w:r/>
          </w:p>
        </w:tc>
        <w:tc>
          <w:tcPr>
            <w:tcW w:w="4232" w:type="pct"/>
            <w:vAlign w:val="top"/>
            <w:textDirection w:val="lrTb"/>
            <w:noWrap w:val="false"/>
          </w:tcPr>
          <w:p>
            <w:pPr>
              <w:ind w:firstLine="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1、感官要求</w:t>
            </w:r>
            <w:r>
              <w:rPr>
                <w:rFonts w:hint="eastAsia" w:ascii="宋体" w:hAnsi="宋体" w:eastAsia="宋体" w:cs="宋体"/>
                <w:color w:val="auto"/>
                <w:sz w:val="24"/>
                <w:szCs w:val="24"/>
                <w:highlight w:val="none"/>
                <w:lang w:val="en-US" w:eastAsia="zh-CN"/>
              </w:rPr>
              <w:t xml:space="preserve">  </w:t>
            </w:r>
            <w:r/>
          </w:p>
          <w:p>
            <w:pPr>
              <w:ind w:firstLine="0"/>
              <w:jc w:val="left"/>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活鱼类鱼鳞有光泽，不易脱落，眼隔膜有光泽、透明，眼球突出；虾类头尾完整、有一定弯曲度、虾身较挺、肉质坚实、虾壳发亮、发硬，呈青绿色或青白色；贝类肉质新鲜、无臭味、两贝壳相碰发出实响，且响声均匀；表面清洁完整、无寄生物。深海类（带鱼鱿鱼等）可以冰鲜</w:t>
            </w:r>
            <w:r>
              <w:rPr>
                <w:rFonts w:hint="eastAsia" w:ascii="宋体" w:hAnsi="宋体" w:eastAsia="宋体" w:cs="宋体"/>
                <w:color w:val="auto"/>
                <w:sz w:val="24"/>
                <w:szCs w:val="24"/>
                <w:highlight w:val="none"/>
                <w:lang w:eastAsia="zh-CN"/>
              </w:rPr>
              <w:t xml:space="preserve">。</w:t>
            </w:r>
            <w:r/>
          </w:p>
          <w:p>
            <w:pPr>
              <w:ind w:firstLine="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2、规范标准</w:t>
            </w:r>
            <w:r/>
          </w:p>
          <w:p>
            <w:pPr>
              <w:ind w:firstLine="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水产品食品安全须符合 GB2733—2015《食品安全国家标准 鲜、冻动物性水产品》、GB10136—2015《食品安全国家标准动物性水产制品》的规定要求。</w:t>
            </w:r>
            <w:r/>
          </w:p>
        </w:tc>
      </w:tr>
      <w:tr>
        <w:trPr>
          <w:jc w:val="center"/>
          <w:trHeight w:val="1885"/>
        </w:trPr>
        <w:tc>
          <w:tcPr>
            <w:tcW w:w="767" w:type="pct"/>
            <w:vAlign w:val="center"/>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
              </w:rPr>
              <w:t xml:space="preserve">鸡蛋</w:t>
            </w:r>
            <w:r/>
          </w:p>
        </w:tc>
        <w:tc>
          <w:tcPr>
            <w:tcW w:w="4232" w:type="pct"/>
            <w:vAlign w:val="top"/>
            <w:textDirection w:val="lrTb"/>
            <w:noWrap w:val="false"/>
          </w:tcPr>
          <w:p>
            <w:pPr>
              <w:ind w:firstLine="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1、感官要求</w:t>
            </w:r>
            <w:r>
              <w:rPr>
                <w:rFonts w:hint="eastAsia" w:ascii="宋体" w:hAnsi="宋体" w:eastAsia="宋体" w:cs="宋体"/>
                <w:color w:val="auto"/>
                <w:sz w:val="24"/>
                <w:szCs w:val="24"/>
                <w:highlight w:val="none"/>
                <w:lang w:val="en-US" w:eastAsia="zh-CN"/>
              </w:rPr>
              <w:t xml:space="preserve">  </w:t>
            </w:r>
            <w:r/>
          </w:p>
          <w:p>
            <w:pPr>
              <w:ind w:firstLine="0"/>
              <w:jc w:val="left"/>
              <w:pageBreakBefore w:val="0"/>
              <w:spacing w:line="360" w:lineRule="auto"/>
              <w:widowControl/>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rPr>
              <w:t xml:space="preserve">具有禽蛋固有的色泽，组织形态蛋壳清洁、无破裂、打开后蛋壳凸起、完整、有韧性，蛋白澄清透明，稀稠分明，具有产品固有的气味，无异味，无杂质，不得有血块及其他组织异物。</w:t>
            </w:r>
            <w:r>
              <w:rPr>
                <w:rFonts w:hint="eastAsia" w:ascii="宋体" w:hAnsi="宋体" w:eastAsia="宋体" w:cs="宋体"/>
                <w:i w:val="0"/>
                <w:iCs w:val="0"/>
                <w:caps w:val="0"/>
                <w:color w:val="auto"/>
                <w:spacing w:val="0"/>
                <w:sz w:val="24"/>
                <w:szCs w:val="24"/>
                <w:highlight w:val="none"/>
                <w:u w:val="none"/>
                <w:shd w:val="clear" w:color="auto" w:fill="ffffff"/>
              </w:rPr>
              <w:t xml:space="preserve">禁止使用抗生素、激素等外源性药物</w:t>
            </w:r>
            <w:r>
              <w:rPr>
                <w:rFonts w:hint="eastAsia" w:ascii="宋体" w:hAnsi="宋体" w:eastAsia="宋体" w:cs="宋体"/>
                <w:i w:val="0"/>
                <w:iCs w:val="0"/>
                <w:caps w:val="0"/>
                <w:color w:val="auto"/>
                <w:spacing w:val="0"/>
                <w:sz w:val="24"/>
                <w:szCs w:val="24"/>
                <w:highlight w:val="none"/>
                <w:u w:val="none"/>
                <w:shd w:val="clear" w:color="auto" w:fill="ffffff"/>
                <w:lang w:eastAsia="zh"/>
              </w:rPr>
              <w:t xml:space="preserve">。</w:t>
            </w:r>
            <w:r/>
          </w:p>
          <w:p>
            <w:pPr>
              <w:ind w:firstLine="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2、规范标准</w:t>
            </w:r>
            <w:r/>
          </w:p>
          <w:p>
            <w:pPr>
              <w:ind w:firstLine="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符合GB 2749-2015、GB 2762-2017、GB 2763-2016、GB/T 21316-2007标准。蛋壳上无残留的羽毛、粪便等有害物体，无禽流感病菌、沙门氏菌、大肠杆菌等致病菌。</w:t>
            </w:r>
            <w:r/>
          </w:p>
        </w:tc>
      </w:tr>
      <w:tr>
        <w:trPr>
          <w:jc w:val="center"/>
          <w:trHeight w:val="2348"/>
        </w:trPr>
        <w:tc>
          <w:tcPr>
            <w:tcW w:w="767" w:type="pct"/>
            <w:vAlign w:val="center"/>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4、禽类</w:t>
            </w:r>
            <w:r/>
          </w:p>
        </w:tc>
        <w:tc>
          <w:tcPr>
            <w:tcW w:w="4232" w:type="pct"/>
            <w:vAlign w:val="top"/>
            <w:textDirection w:val="lrTb"/>
            <w:noWrap w:val="false"/>
          </w:tcPr>
          <w:p>
            <w:pPr>
              <w:ind w:firstLine="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1、感官要求</w:t>
            </w:r>
            <w:r>
              <w:rPr>
                <w:rFonts w:hint="eastAsia" w:ascii="宋体" w:hAnsi="宋体" w:eastAsia="宋体" w:cs="宋体"/>
                <w:color w:val="auto"/>
                <w:sz w:val="24"/>
                <w:szCs w:val="24"/>
                <w:highlight w:val="none"/>
                <w:lang w:val="en-US" w:eastAsia="zh-CN"/>
              </w:rPr>
              <w:t xml:space="preserve">  </w:t>
            </w:r>
            <w:r/>
          </w:p>
          <w:p>
            <w:pPr>
              <w:ind w:firstLine="0"/>
              <w:jc w:val="left"/>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个体均匀、肉色正常、气味正常、表皮光滑、无病变、无破皮、无血斑、内脏掏空、身段肥圆、</w:t>
            </w:r>
            <w:r>
              <w:rPr>
                <w:rFonts w:hint="eastAsia" w:ascii="宋体" w:hAnsi="宋体" w:eastAsia="宋体" w:cs="宋体"/>
                <w:color w:val="auto"/>
                <w:sz w:val="24"/>
                <w:szCs w:val="24"/>
                <w:highlight w:val="none"/>
                <w:lang w:val="en-US" w:eastAsia="zh-CN"/>
              </w:rPr>
              <w:t xml:space="preserve">无注水</w:t>
            </w:r>
            <w:r>
              <w:rPr>
                <w:rFonts w:hint="eastAsia" w:ascii="宋体" w:hAnsi="宋体" w:eastAsia="宋体" w:cs="宋体"/>
                <w:bCs/>
                <w:color w:val="auto"/>
                <w:sz w:val="24"/>
                <w:szCs w:val="24"/>
                <w:highlight w:val="none"/>
              </w:rPr>
              <w:t xml:space="preserve">。</w:t>
            </w:r>
            <w:r/>
          </w:p>
          <w:p>
            <w:pPr>
              <w:ind w:firstLine="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2、规范标准</w:t>
            </w:r>
            <w:r/>
          </w:p>
          <w:p>
            <w:pPr>
              <w:ind w:firstLine="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符合 GB2707-2016《食品安全国家标准鲜（冻）畜、禽产品》的要求。</w:t>
            </w:r>
            <w:r/>
          </w:p>
        </w:tc>
      </w:tr>
      <w:tr>
        <w:trPr>
          <w:jc w:val="center"/>
          <w:trHeight w:val="2348"/>
        </w:trPr>
        <w:tc>
          <w:tcPr>
            <w:tcW w:w="767" w:type="pct"/>
            <w:vAlign w:val="center"/>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5、蔬菜</w:t>
            </w:r>
            <w:r/>
          </w:p>
        </w:tc>
        <w:tc>
          <w:tcPr>
            <w:tcW w:w="4232" w:type="pct"/>
            <w:vAlign w:val="top"/>
            <w:textDirection w:val="lrTb"/>
            <w:noWrap w:val="false"/>
          </w:tcPr>
          <w:p>
            <w:pPr>
              <w:ind w:firstLine="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1、感官要求</w:t>
            </w:r>
            <w:r>
              <w:rPr>
                <w:rFonts w:hint="eastAsia" w:ascii="宋体" w:hAnsi="宋体" w:eastAsia="宋体" w:cs="宋体"/>
                <w:color w:val="auto"/>
                <w:sz w:val="24"/>
                <w:szCs w:val="24"/>
                <w:highlight w:val="none"/>
                <w:lang w:val="en-US" w:eastAsia="zh-CN"/>
              </w:rPr>
              <w:t xml:space="preserve">  </w:t>
            </w:r>
            <w:r/>
          </w:p>
          <w:p>
            <w:pPr>
              <w:ind w:firstLine="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蔬菜：无虫咬、发芽、萎蔫现象、不含任何可见杂物；无明显浸水现</w:t>
            </w:r>
            <w:r>
              <w:rPr>
                <w:rFonts w:hint="eastAsia" w:ascii="宋体" w:hAnsi="宋体" w:eastAsia="宋体" w:cs="宋体"/>
                <w:color w:val="auto"/>
                <w:sz w:val="24"/>
                <w:szCs w:val="24"/>
                <w:highlight w:val="none"/>
              </w:rPr>
              <w:t xml:space="preserve">象，根、茎、叶新鲜，具有本品种的基本特征；无任何异常气味，未腐烂、变质。</w:t>
            </w:r>
            <w:r/>
          </w:p>
          <w:p>
            <w:pPr>
              <w:ind w:firstLine="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2、规范标准</w:t>
            </w:r>
            <w:r/>
          </w:p>
          <w:p>
            <w:pPr>
              <w:ind w:firstLine="0"/>
              <w:jc w:val="left"/>
              <w:pageBreakBefore w:val="0"/>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rPr>
              <w:t xml:space="preserve">蔬菜：蔬菜农药残留符合GB2763-2019；净菜农药残留符合GB 2763-2019，并参照DB42/T 949-2014。</w:t>
            </w:r>
            <w:r/>
          </w:p>
        </w:tc>
      </w:tr>
      <w:tr>
        <w:trPr>
          <w:jc w:val="center"/>
          <w:trHeight w:val="2348"/>
        </w:trPr>
        <w:tc>
          <w:tcPr>
            <w:tcW w:w="767" w:type="pct"/>
            <w:vAlign w:val="center"/>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6、水果</w:t>
            </w:r>
            <w:r/>
          </w:p>
        </w:tc>
        <w:tc>
          <w:tcPr>
            <w:tcW w:w="4232" w:type="pct"/>
            <w:vAlign w:val="top"/>
            <w:textDirection w:val="lrTb"/>
            <w:noWrap w:val="false"/>
          </w:tcPr>
          <w:p>
            <w:pPr>
              <w:ind w:firstLine="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1、感官要求</w:t>
            </w:r>
            <w:r/>
          </w:p>
          <w:p>
            <w:pPr>
              <w:ind w:firstLine="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
              </w:rPr>
              <w:t xml:space="preserve">无果蜡，</w:t>
            </w:r>
            <w:r>
              <w:rPr>
                <w:rFonts w:hint="eastAsia" w:ascii="宋体" w:hAnsi="宋体" w:eastAsia="宋体" w:cs="宋体"/>
                <w:color w:val="auto"/>
                <w:sz w:val="24"/>
                <w:szCs w:val="24"/>
                <w:highlight w:val="none"/>
              </w:rPr>
              <w:t xml:space="preserve">具有本品种独有的外形，大小均匀，果面圆滑有光彩，拥有本品种应有的自然色彩；无斑点或极少果锈，无病虫害，不起皱，无裂口，无压痕及其余机械伤害和冻伤黑斑；果身重，硬朗；味爽口，无异味。</w:t>
            </w:r>
            <w:r/>
          </w:p>
          <w:p>
            <w:pPr>
              <w:ind w:firstLine="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2、规范标准</w:t>
            </w:r>
            <w:r/>
          </w:p>
          <w:p>
            <w:pPr>
              <w:ind w:firstLine="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水果类必须符合GB23200-2016标准。</w:t>
            </w:r>
            <w:r/>
          </w:p>
        </w:tc>
      </w:tr>
      <w:tr>
        <w:trPr>
          <w:jc w:val="center"/>
          <w:trHeight w:val="332"/>
        </w:trPr>
        <w:tc>
          <w:tcPr>
            <w:tcW w:w="767" w:type="pct"/>
            <w:vAlign w:val="center"/>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调味品、</w:t>
            </w:r>
            <w:r>
              <w:rPr>
                <w:rFonts w:hint="eastAsia" w:ascii="宋体" w:hAnsi="宋体" w:eastAsia="宋体" w:cs="宋体"/>
                <w:color w:val="auto"/>
                <w:sz w:val="24"/>
                <w:szCs w:val="24"/>
                <w:highlight w:val="none"/>
                <w:lang w:val="en-US" w:eastAsia="zh-CN"/>
              </w:rPr>
              <w:t xml:space="preserve">干货</w:t>
            </w:r>
            <w:r/>
          </w:p>
        </w:tc>
        <w:tc>
          <w:tcPr>
            <w:tcW w:w="4232" w:type="pct"/>
            <w:vAlign w:val="top"/>
            <w:textDirection w:val="lrTb"/>
            <w:noWrap w:val="false"/>
          </w:tcPr>
          <w:p>
            <w:pPr>
              <w:ind w:firstLine="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1、感官要求</w:t>
            </w:r>
            <w:r>
              <w:rPr>
                <w:rFonts w:hint="eastAsia" w:ascii="宋体" w:hAnsi="宋体" w:eastAsia="宋体" w:cs="宋体"/>
                <w:color w:val="auto"/>
                <w:sz w:val="24"/>
                <w:szCs w:val="24"/>
                <w:highlight w:val="none"/>
                <w:lang w:val="en-US" w:eastAsia="zh-CN"/>
              </w:rPr>
              <w:t xml:space="preserve">  </w:t>
            </w:r>
            <w:r/>
          </w:p>
          <w:p>
            <w:pPr>
              <w:ind w:firstLine="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调味品：色泽正常、具有该品种固有的香味、滋味无异味、酱体均匀、粉状固体无结块、外包装封口平整、无破包、漏包。</w:t>
            </w:r>
            <w:r/>
          </w:p>
          <w:p>
            <w:pPr>
              <w:ind w:firstLine="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
              </w:rPr>
              <w:t xml:space="preserve">一级以上非转基因酿造酱油，</w:t>
            </w:r>
            <w:r>
              <w:rPr>
                <w:rFonts w:hint="eastAsia" w:ascii="宋体" w:hAnsi="宋体" w:eastAsia="宋体" w:cs="宋体"/>
                <w:color w:val="auto"/>
                <w:sz w:val="24"/>
                <w:szCs w:val="24"/>
                <w:highlight w:val="none"/>
                <w:lang w:val="en-US" w:eastAsia="zh-CN"/>
              </w:rPr>
              <w:t xml:space="preserve">防腐剂（如苯甲酸钠、山梨酸钾）：总量≤0.25g/kg（单独或混合使用）；</w:t>
            </w:r>
            <w:r/>
          </w:p>
          <w:p>
            <w:pPr>
              <w:ind w:firstLine="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色素（如焦糖色）：仅限天然提取，不得使用人工合成色素（如日落黄）；</w:t>
            </w:r>
            <w:r/>
          </w:p>
          <w:p>
            <w:pPr>
              <w:ind w:firstLine="0"/>
              <w:jc w:val="left"/>
              <w:pageBreakBefore w:val="0"/>
              <w:spacing w:line="360" w:lineRule="auto"/>
              <w:widowControl/>
              <w:rPr>
                <w:rFonts w:hint="eastAsia" w:ascii="宋体" w:hAnsi="宋体" w:eastAsia="宋体" w:cs="宋体"/>
                <w:color w:val="auto"/>
                <w:sz w:val="24"/>
                <w:szCs w:val="24"/>
                <w:highlight w:val="none"/>
                <w:lang w:val="en-US" w:eastAsia="zh"/>
              </w:rPr>
            </w:pPr>
            <w:r>
              <w:rPr>
                <w:rFonts w:hint="eastAsia" w:ascii="宋体" w:hAnsi="宋体" w:eastAsia="宋体" w:cs="宋体"/>
                <w:color w:val="auto"/>
                <w:sz w:val="24"/>
                <w:szCs w:val="24"/>
                <w:highlight w:val="none"/>
                <w:lang w:val="en-US" w:eastAsia="zh-CN"/>
              </w:rPr>
              <w:t xml:space="preserve">不得添加非食用物质（如工业盐、三聚氰胺等）。</w:t>
            </w:r>
            <w:r/>
          </w:p>
          <w:p>
            <w:pPr>
              <w:ind w:firstLine="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干货：具有产品应有的色泽； 具有产品应有的滋味和气味，无异味；具有产品应有的状态，无霉变，无正常视力可见的外来异物。</w:t>
            </w:r>
            <w:r/>
          </w:p>
          <w:p>
            <w:pPr>
              <w:ind w:firstLine="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2、规范标准</w:t>
            </w:r>
            <w:r/>
          </w:p>
          <w:p>
            <w:pPr>
              <w:ind w:firstLine="0"/>
              <w:jc w:val="left"/>
              <w:pageBreakBefore w:val="0"/>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rPr>
              <w:t xml:space="preserve">包括但不限</w:t>
            </w:r>
            <w:r>
              <w:rPr>
                <w:rFonts w:hint="eastAsia" w:ascii="宋体" w:hAnsi="宋体" w:eastAsia="宋体" w:cs="宋体"/>
                <w:color w:val="auto"/>
                <w:sz w:val="24"/>
                <w:szCs w:val="24"/>
                <w:highlight w:val="none"/>
              </w:rPr>
              <w:t xml:space="preserve">于符合香辛料和调味品（GB-T 12729.1-2008）；白砂糖（白砂糖国家标准GB 317-2006）；食用盐（食用盐国家标准GB5461-2000、食用盐卫生标准GB2721-2003）；酱油（酿造酱油国家标准GB18186-2000、酱油卫生标准GB 2717-2003）；味精（味精卫生标准GB 2720-2003）；生粉（淀粉制品卫生标准GB 2713-2003）；绵白糖（绵白糖国家标准GB 1445-2000）；香醋（食醋国家标准GB 18187-2000、食醋卫生标准GB 2719-2003）</w:t>
            </w:r>
            <w:r>
              <w:rPr>
                <w:rFonts w:hint="eastAsia" w:ascii="宋体" w:hAnsi="宋体" w:eastAsia="宋体" w:cs="宋体"/>
                <w:color w:val="auto"/>
                <w:sz w:val="24"/>
                <w:szCs w:val="24"/>
                <w:highlight w:val="none"/>
                <w:lang w:val="en-US" w:eastAsia="zh-CN"/>
              </w:rPr>
              <w:t xml:space="preserve">等标准</w:t>
            </w:r>
            <w:r>
              <w:rPr>
                <w:rFonts w:hint="eastAsia" w:ascii="宋体" w:hAnsi="宋体" w:eastAsia="宋体" w:cs="宋体"/>
                <w:color w:val="auto"/>
                <w:sz w:val="24"/>
                <w:szCs w:val="24"/>
                <w:highlight w:val="none"/>
              </w:rPr>
              <w:t xml:space="preserve">。</w:t>
            </w:r>
            <w:r/>
          </w:p>
        </w:tc>
      </w:tr>
      <w:tr>
        <w:trPr>
          <w:jc w:val="center"/>
          <w:trHeight w:val="332"/>
        </w:trPr>
        <w:tc>
          <w:tcPr>
            <w:tcW w:w="767" w:type="pct"/>
            <w:vAlign w:val="center"/>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8、米面、杂粮、油</w:t>
            </w:r>
            <w:r/>
          </w:p>
        </w:tc>
        <w:tc>
          <w:tcPr>
            <w:tcW w:w="4232" w:type="pct"/>
            <w:vAlign w:val="top"/>
            <w:textDirection w:val="lrTb"/>
            <w:noWrap w:val="false"/>
          </w:tcPr>
          <w:p>
            <w:pPr>
              <w:ind w:firstLine="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1、感官要求</w:t>
            </w:r>
            <w:r/>
          </w:p>
          <w:p>
            <w:pPr>
              <w:ind w:firstLine="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米：颗粒饱满，米中无杂质，无发霉、生虫等变质现象。</w:t>
            </w:r>
            <w:r/>
          </w:p>
          <w:p>
            <w:pPr>
              <w:ind w:firstLine="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面：色泽洁白，干燥松散，无结块。</w:t>
            </w:r>
            <w:r/>
          </w:p>
          <w:p>
            <w:pPr>
              <w:ind w:firstLine="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杂粮：</w:t>
            </w:r>
            <w:r>
              <w:rPr>
                <w:rFonts w:hint="eastAsia" w:ascii="宋体" w:hAnsi="宋体" w:eastAsia="宋体" w:cs="宋体"/>
                <w:color w:val="auto"/>
                <w:sz w:val="24"/>
                <w:szCs w:val="24"/>
                <w:highlight w:val="none"/>
              </w:rPr>
              <w:t xml:space="preserve">无杂质，无发霉、生虫等变质现象</w:t>
            </w:r>
            <w:r>
              <w:rPr>
                <w:rFonts w:hint="eastAsia" w:ascii="宋体" w:hAnsi="宋体" w:eastAsia="宋体" w:cs="宋体"/>
                <w:color w:val="auto"/>
                <w:sz w:val="24"/>
                <w:szCs w:val="24"/>
                <w:highlight w:val="none"/>
                <w:lang w:eastAsia="zh-CN"/>
              </w:rPr>
              <w:t xml:space="preserve">。</w:t>
            </w:r>
            <w:r/>
          </w:p>
          <w:p>
            <w:pPr>
              <w:ind w:firstLine="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油：油品清亮、无杂质、无沉淀物，无云雾状悬浮物，油品颜色应具各自油脂的质量标准；</w:t>
            </w:r>
            <w:r>
              <w:rPr>
                <w:rFonts w:hint="eastAsia" w:ascii="宋体" w:hAnsi="宋体" w:eastAsia="宋体" w:cs="宋体"/>
                <w:bCs/>
                <w:color w:val="auto"/>
                <w:sz w:val="24"/>
                <w:szCs w:val="24"/>
                <w:highlight w:val="none"/>
              </w:rPr>
              <w:t xml:space="preserve">商标整齐，喷码正确，文字清晰。密封良好，无渗漏。</w:t>
            </w:r>
            <w:r/>
          </w:p>
          <w:p>
            <w:pPr>
              <w:ind w:firstLine="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2、规范标准</w:t>
            </w:r>
            <w:r/>
          </w:p>
          <w:p>
            <w:pPr>
              <w:ind w:firstLine="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米</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杂粮</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
              </w:rPr>
              <w:t xml:space="preserve">符合国家标准的一级新米，新米以稻谷收获季节为基准，早稻（7-8 月收获）、中稻（9 月收获）、晚稻（10-11 月收获），对应的新米指从收获后至次年新稻谷上市前的大米。例如，2024 年收获的晚稻加工成的大米）。</w:t>
            </w:r>
            <w:r>
              <w:rPr>
                <w:rFonts w:hint="eastAsia" w:ascii="宋体" w:hAnsi="宋体" w:eastAsia="宋体" w:cs="宋体"/>
                <w:bCs/>
                <w:color w:val="auto"/>
                <w:sz w:val="24"/>
                <w:szCs w:val="24"/>
                <w:highlight w:val="none"/>
              </w:rPr>
              <w:t xml:space="preserve">一级大米符合</w:t>
            </w:r>
            <w:r>
              <w:rPr>
                <w:rFonts w:hint="eastAsia" w:ascii="宋体" w:hAnsi="宋体" w:eastAsia="宋体" w:cs="宋体"/>
                <w:color w:val="auto"/>
                <w:sz w:val="24"/>
                <w:szCs w:val="24"/>
                <w:highlight w:val="none"/>
              </w:rPr>
              <w:t xml:space="preserve">GB1354-2018</w:t>
            </w:r>
            <w:r>
              <w:rPr>
                <w:rFonts w:hint="eastAsia" w:ascii="宋体" w:hAnsi="宋体" w:eastAsia="宋体" w:cs="宋体"/>
                <w:bCs/>
                <w:color w:val="auto"/>
                <w:sz w:val="24"/>
                <w:szCs w:val="24"/>
                <w:highlight w:val="none"/>
              </w:rPr>
              <w:t xml:space="preserve">、GB2715-2016标准，要求含水量等于低于规定标准，无杂质、杂米，黄粒米〈2%，含碎〈15%，水份〈15.5%；</w:t>
            </w:r>
            <w:r>
              <w:rPr>
                <w:rFonts w:hint="eastAsia" w:ascii="宋体" w:hAnsi="宋体" w:eastAsia="宋体" w:cs="宋体"/>
                <w:bCs/>
                <w:color w:val="auto"/>
                <w:sz w:val="24"/>
                <w:szCs w:val="24"/>
                <w:highlight w:val="none"/>
              </w:rPr>
              <w:t xml:space="preserve">优质大米符合GB1354-2018、GB2715-2016标准，要求含水量等于低于规定标准，无杂质、杂米，黄粒米〈2%，含碎〈10%，水份〈15%；粳米符合GB/T 1354-2018标准；含水量等于低于规定标准，无杂质、杂米，黄粒米〈2%，含碎〈10%，水份〈15%；小米符合GB/T 11766-2008标准；要求含水量等于低于规定标准，无杂质、杂米含碎〈4%，水份〈13%；糯米符合GB/T 1354-2018标准；要求含水量等于低于规定标准，无杂质、杂米，黄粒米〈2%，含碎〈15%，水份〈15.5%等。</w:t>
            </w:r>
            <w:r/>
          </w:p>
          <w:p>
            <w:pPr>
              <w:ind w:firstLine="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面：</w:t>
            </w:r>
            <w:r>
              <w:rPr>
                <w:rFonts w:hint="eastAsia" w:ascii="宋体" w:hAnsi="宋体" w:eastAsia="宋体" w:cs="宋体"/>
                <w:bCs/>
                <w:color w:val="auto"/>
                <w:sz w:val="24"/>
                <w:szCs w:val="24"/>
                <w:highlight w:val="none"/>
                <w:lang w:val="en-US"/>
              </w:rPr>
              <w:t xml:space="preserve">所用原料符合GB1335 特制一等粉</w:t>
            </w:r>
            <w:r>
              <w:rPr>
                <w:rFonts w:hint="eastAsia" w:ascii="宋体" w:hAnsi="宋体" w:eastAsia="宋体" w:cs="宋体"/>
                <w:bCs/>
                <w:color w:val="auto"/>
                <w:sz w:val="24"/>
                <w:szCs w:val="24"/>
                <w:highlight w:val="none"/>
              </w:rPr>
              <w:t xml:space="preserve">规定；食品添加剂应符合GB2760 规定，粗细度应全通CQ20 号筛；面制品符合QB/T5729-2022规定。</w:t>
            </w:r>
            <w:r/>
          </w:p>
          <w:p>
            <w:pPr>
              <w:ind w:firstLine="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油：压榨法工艺油</w:t>
            </w:r>
            <w:r>
              <w:rPr>
                <w:rFonts w:hint="eastAsia" w:ascii="宋体" w:hAnsi="宋体" w:eastAsia="宋体" w:cs="宋体"/>
                <w:color w:val="auto"/>
                <w:sz w:val="24"/>
                <w:szCs w:val="24"/>
                <w:highlight w:val="none"/>
                <w:lang w:eastAsia="zh"/>
              </w:rPr>
              <w:t xml:space="preserve">。</w:t>
            </w:r>
            <w:r>
              <w:rPr>
                <w:rFonts w:hint="eastAsia" w:ascii="宋体" w:hAnsi="宋体" w:eastAsia="宋体" w:cs="宋体"/>
                <w:bCs/>
                <w:color w:val="auto"/>
                <w:sz w:val="24"/>
                <w:szCs w:val="24"/>
                <w:highlight w:val="none"/>
              </w:rPr>
              <w:t xml:space="preserve">非转基因大豆油符合GB2716-2018、GB/T1535-2017标准；溶剂残留不得检出；酸值小于0.2%；过氧化值小于5；非转基因玉米油符合GB/19111-2017标准；酸值小于0.2%；非转基因葵籽油符合GB10464-2017标准；溶剂残留不得检出；酸价≤0.5；过氧化值≤5；非转基因菜籽油符合GB/T 1536-2021 标准；溶剂残留不得检出；酸价≤1.5；过氧化值≤0.125；非转基因花生油符合GB/T 1534-2017标准；溶剂残留不得检出；酸价≤1.5；过氧化值≤6。</w:t>
            </w:r>
            <w:r/>
          </w:p>
        </w:tc>
      </w:tr>
      <w:tr>
        <w:trPr>
          <w:jc w:val="center"/>
          <w:trHeight w:val="332"/>
        </w:trPr>
        <w:tc>
          <w:tcPr>
            <w:tcW w:w="767" w:type="pct"/>
            <w:vAlign w:val="center"/>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9、奶制品</w:t>
            </w:r>
            <w:r/>
          </w:p>
        </w:tc>
        <w:tc>
          <w:tcPr>
            <w:tcW w:w="4232" w:type="pct"/>
            <w:vAlign w:val="top"/>
            <w:textDirection w:val="lrTb"/>
            <w:noWrap w:val="false"/>
          </w:tcPr>
          <w:p>
            <w:pPr>
              <w:ind w:firstLine="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1、感官要求</w:t>
            </w:r>
            <w:r>
              <w:rPr>
                <w:rFonts w:hint="eastAsia" w:ascii="宋体" w:hAnsi="宋体" w:eastAsia="宋体" w:cs="宋体"/>
                <w:color w:val="auto"/>
                <w:sz w:val="24"/>
                <w:szCs w:val="24"/>
                <w:highlight w:val="none"/>
                <w:lang w:val="en-US" w:eastAsia="zh-CN"/>
              </w:rPr>
              <w:t xml:space="preserve">  </w:t>
            </w:r>
            <w:r/>
          </w:p>
          <w:p>
            <w:pPr>
              <w:ind w:firstLine="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不得为假冒伪劣、过期变质产品。外包装清洁、牢固、无污染</w:t>
            </w:r>
            <w:r>
              <w:rPr>
                <w:rFonts w:hint="eastAsia" w:ascii="宋体" w:hAnsi="宋体" w:eastAsia="宋体" w:cs="宋体"/>
                <w:bCs/>
                <w:color w:val="auto"/>
                <w:sz w:val="24"/>
                <w:szCs w:val="24"/>
                <w:highlight w:val="none"/>
              </w:rPr>
              <w:t xml:space="preserve">、无异味；色泽正常、质地均匀细腻、滋味纯正、无机械杂质、无沉淀；每件包装应有净含量、生产单位及地址和生产日期和保质期等。</w:t>
            </w:r>
            <w:r/>
          </w:p>
          <w:p>
            <w:pPr>
              <w:ind w:firstLine="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2、规范标准</w:t>
            </w:r>
            <w:r/>
          </w:p>
          <w:p>
            <w:pPr>
              <w:ind w:firstLine="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包括但不限于符合下列要求：GB 19302食品安全国家标准发酵乳；GB 19645食品安全国家标准巴氏杀菌乳；GB 25190食品安全国家标准灭菌乳；GB 25191食品安全国家标准调制乳；GB 19644食品安全国家标准乳粉；</w:t>
            </w:r>
            <w:r/>
          </w:p>
          <w:p>
            <w:pPr>
              <w:ind w:firstLine="0"/>
              <w:pageBreakBefore w:val="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bCs/>
                <w:color w:val="auto"/>
                <w:sz w:val="24"/>
                <w:szCs w:val="24"/>
                <w:highlight w:val="none"/>
              </w:rPr>
              <w:t xml:space="preserve">GB 2761食品安全国家标准食品中真菌毒素限量；GB 2762食品安全国家标准食品中污染物限量。</w:t>
            </w:r>
            <w:r/>
          </w:p>
        </w:tc>
      </w:tr>
      <w:tr>
        <w:trPr>
          <w:jc w:val="center"/>
          <w:trHeight w:val="332"/>
        </w:trPr>
        <w:tc>
          <w:tcPr>
            <w:tcW w:w="767" w:type="pct"/>
            <w:vAlign w:val="center"/>
            <w:textDirection w:val="lrTb"/>
            <w:noWrap w:val="false"/>
          </w:tcPr>
          <w:p>
            <w:pPr>
              <w:ind w:firstLine="0"/>
              <w:jc w:val="center"/>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10、豆制品</w:t>
            </w:r>
            <w:r/>
          </w:p>
        </w:tc>
        <w:tc>
          <w:tcPr>
            <w:tcW w:w="4232" w:type="pct"/>
            <w:vAlign w:val="top"/>
            <w:textDirection w:val="lrTb"/>
            <w:noWrap w:val="false"/>
          </w:tcPr>
          <w:p>
            <w:pPr>
              <w:ind w:firstLine="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1、感官要求</w:t>
            </w:r>
            <w:r>
              <w:rPr>
                <w:rFonts w:hint="eastAsia" w:ascii="宋体" w:hAnsi="宋体" w:eastAsia="宋体" w:cs="宋体"/>
                <w:color w:val="auto"/>
                <w:sz w:val="24"/>
                <w:szCs w:val="24"/>
                <w:highlight w:val="none"/>
                <w:lang w:val="en-US" w:eastAsia="zh-CN"/>
              </w:rPr>
              <w:t xml:space="preserve">  </w:t>
            </w:r>
            <w:r/>
          </w:p>
          <w:p>
            <w:pPr>
              <w:ind w:firstLine="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具有产品应有的色泽； 具有产品应有的滋味和气味，无异味；</w:t>
            </w:r>
            <w:r/>
          </w:p>
          <w:p>
            <w:pPr>
              <w:ind w:firstLine="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规范标准</w:t>
            </w:r>
            <w:r/>
          </w:p>
          <w:p>
            <w:pPr>
              <w:ind w:firstLine="0"/>
              <w:pageBreakBefore w:val="0"/>
              <w:spacing w:line="360" w:lineRule="auto"/>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rPr>
              <w:t xml:space="preserve">符合食品安全国家标准（GB2712-2014）豆制品。</w:t>
            </w:r>
            <w:r/>
          </w:p>
        </w:tc>
      </w:tr>
      <w:tr>
        <w:trPr>
          <w:jc w:val="center"/>
          <w:trHeight w:val="332"/>
        </w:trPr>
        <w:tc>
          <w:tcPr>
            <w:tcW w:w="767" w:type="pct"/>
            <w:vAlign w:val="center"/>
            <w:textDirection w:val="lrTb"/>
            <w:noWrap w:val="false"/>
          </w:tcPr>
          <w:p>
            <w:pPr>
              <w:ind w:left="0" w:firstLine="0"/>
              <w:jc w:val="center"/>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
              </w:rPr>
              <w:t xml:space="preserve">面制品</w:t>
            </w:r>
            <w:r/>
          </w:p>
        </w:tc>
        <w:tc>
          <w:tcPr>
            <w:tcW w:w="4232" w:type="pct"/>
            <w:vAlign w:val="top"/>
            <w:textDirection w:val="lrTb"/>
            <w:noWrap w:val="false"/>
          </w:tcPr>
          <w:p>
            <w:pPr>
              <w:numPr>
                <w:ilvl w:val="0"/>
                <w:numId w:val="8"/>
              </w:numPr>
              <w:ind w:left="0" w:firstLine="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感官要求</w:t>
            </w:r>
            <w:r/>
          </w:p>
          <w:p>
            <w:pPr>
              <w:numPr>
                <w:ilvl w:val="0"/>
                <w:numId w:val="0"/>
              </w:numPr>
              <w:ind w:firstLine="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具有产品应有的色泽；具有产品应有的滋味和气味，无异味；</w:t>
            </w:r>
            <w:r>
              <w:rPr>
                <w:rFonts w:hint="eastAsia" w:ascii="宋体" w:hAnsi="宋体" w:eastAsia="宋体" w:cs="宋体"/>
                <w:color w:val="auto"/>
                <w:sz w:val="24"/>
                <w:szCs w:val="24"/>
                <w:highlight w:val="none"/>
                <w:lang w:eastAsia="zh-CN"/>
              </w:rPr>
              <w:t xml:space="preserve">不得使用含有铝的膨松剂，不得使用安赛蜜、糖精钠和甜蜜素等甜味剂，不得使用脱氢乙酸钠、苯甲酸和山梨酸等防腐剂，不得使用柠檬黄、日落黄等着色剂</w:t>
            </w:r>
            <w:r>
              <w:rPr>
                <w:rFonts w:hint="eastAsia" w:ascii="宋体" w:hAnsi="宋体" w:eastAsia="宋体" w:cs="宋体"/>
                <w:color w:val="auto"/>
                <w:sz w:val="24"/>
                <w:szCs w:val="24"/>
                <w:highlight w:val="none"/>
                <w:lang w:val="en-US" w:eastAsia="zh-CN"/>
              </w:rPr>
              <w:t xml:space="preserve">。</w:t>
            </w:r>
            <w:r/>
          </w:p>
          <w:p>
            <w:pPr>
              <w:numPr>
                <w:ilvl w:val="0"/>
                <w:numId w:val="0"/>
              </w:numPr>
              <w:ind w:firstLine="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包装材料需符合食品安全标准且不含害物质</w:t>
            </w:r>
            <w:r>
              <w:rPr>
                <w:rFonts w:hint="eastAsia" w:ascii="宋体" w:hAnsi="宋体" w:eastAsia="宋体" w:cs="宋体"/>
                <w:color w:val="auto"/>
                <w:sz w:val="24"/>
                <w:szCs w:val="24"/>
                <w:highlight w:val="none"/>
                <w:lang w:eastAsia="zh-CN"/>
              </w:rPr>
              <w:t xml:space="preserve">；</w:t>
            </w:r>
            <w:r/>
          </w:p>
          <w:p>
            <w:pPr>
              <w:numPr>
                <w:ilvl w:val="0"/>
                <w:numId w:val="8"/>
              </w:numPr>
              <w:ind w:left="0" w:firstLine="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规范标准</w:t>
            </w:r>
            <w:r/>
          </w:p>
          <w:p>
            <w:pPr>
              <w:numPr>
                <w:ilvl w:val="0"/>
                <w:numId w:val="0"/>
              </w:numPr>
              <w:ind w:left="0" w:firstLine="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符合食品安全国家标准</w:t>
            </w:r>
            <w:r>
              <w:rPr>
                <w:rFonts w:hint="eastAsia" w:ascii="宋体" w:hAnsi="宋体" w:eastAsia="宋体" w:cs="宋体"/>
                <w:color w:val="auto"/>
                <w:sz w:val="24"/>
                <w:szCs w:val="24"/>
                <w:highlight w:val="none"/>
                <w:lang w:val="en-US" w:eastAsia="zh-CN"/>
              </w:rPr>
              <w:t xml:space="preserve">相关规定。</w:t>
            </w:r>
            <w:r/>
          </w:p>
        </w:tc>
      </w:tr>
    </w:tbl>
    <w:p>
      <w:pPr>
        <w:ind w:firstLine="0"/>
        <w:pageBreakBefore w:val="0"/>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四、商务条款</w:t>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验收方式</w:t>
      </w:r>
      <w:r/>
    </w:p>
    <w:p>
      <w:pPr>
        <w:ind w:firstLine="0"/>
        <w:pageBreakBefore w:val="0"/>
        <w:spacing w:line="56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采购人每天上午集中收货、验收一次，中标供应商需将当日需要的所有食材、商品一次性打包密闭送达，不得将项目分包给多家供应商及多次送货。货物到达现场后，中标供应商应在使用单位人员和质量监督员在场情况下当面进行感官检验、外观检验或试用检验，若产品外观、包装、质量不能达到收货标准，采购人拒收配送物资，供应商应无条件迅速补充合格产品，不得影响正常开餐。对符合要求的产品当场作出记录，双方签字确认。 </w:t>
      </w:r>
      <w:r/>
    </w:p>
    <w:p>
      <w:pPr>
        <w:ind w:firstLine="0"/>
        <w:pageBreakBefore w:val="0"/>
        <w:spacing w:line="56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2、提供货物未达到招标文件规定要求，且对采购人造成损失的，由中标供应商承担一切责任，并赔偿所造成损失。超过收货时间送货的，采购人有权拒绝收货。</w:t>
      </w:r>
      <w:r/>
    </w:p>
    <w:p>
      <w:pPr>
        <w:ind w:firstLine="0"/>
        <w:pageBreakBefore w:val="0"/>
        <w:spacing w:line="56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3、采购人组织定期或不定期货品抽检和送检</w:t>
      </w:r>
      <w:r>
        <w:rPr>
          <w:rFonts w:hint="eastAsia" w:ascii="宋体" w:hAnsi="宋体" w:eastAsia="宋体" w:cs="宋体"/>
          <w:bCs/>
          <w:color w:val="auto"/>
          <w:sz w:val="24"/>
          <w:szCs w:val="24"/>
          <w:highlight w:val="none"/>
          <w:lang w:val="en-US" w:eastAsia="zh"/>
        </w:rPr>
        <w:t xml:space="preserve">，送检费用由中标人承担</w:t>
      </w:r>
      <w:r>
        <w:rPr>
          <w:rFonts w:hint="eastAsia" w:ascii="宋体" w:hAnsi="宋体" w:eastAsia="宋体" w:cs="宋体"/>
          <w:bCs/>
          <w:color w:val="auto"/>
          <w:sz w:val="24"/>
          <w:szCs w:val="24"/>
          <w:highlight w:val="none"/>
          <w:lang w:val="en-US" w:eastAsia="zh-CN"/>
        </w:rPr>
        <w:t xml:space="preserve">。对检验不合格产品无条件退、换货。因验收货物时不能直接判断质量的，在使用过程中发现不合格商品，中标供应商应做退换货处理。 </w:t>
      </w:r>
      <w:r/>
    </w:p>
    <w:p>
      <w:pPr>
        <w:ind w:firstLine="0"/>
        <w:pageBreakBefore w:val="0"/>
        <w:spacing w:line="56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4、凡按重量计量物资，均以物品净重方式计量结算。 </w:t>
      </w:r>
      <w:r/>
    </w:p>
    <w:p>
      <w:pPr>
        <w:ind w:firstLine="0"/>
        <w:pageBreakBefore w:val="0"/>
        <w:spacing w:line="56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5、所有货物送达采购人指定地点前必须按包装要求进行封闭装运。</w:t>
      </w:r>
      <w:r/>
    </w:p>
    <w:p>
      <w:pPr>
        <w:ind w:firstLine="0"/>
        <w:pageBreakBefore w:val="0"/>
        <w:spacing w:line="56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食材质量要求</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成交供应商应承诺其所供的食材均符合《食品安全法》、《食品安全法实施条例》、《农产品质量安全法》等相关法律法规及政策规定要求，符合国家食品安全标准与卫生检测标准，达到本次采购项目技术要求，保证卫生安全，具备相应的色、香、味等感官性状。</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成交供应商严禁配送变质、过期、假冒、伪劣、有毒、有害的食材，不得弄虚作假或以次充好，否则采购人有权要求退货或换货。因所供食材质量达不到国家有关食品安全标准而造成食物中毒或其它后果，由此所产生的一切法律责任和经济责任均由成交供应商承担。</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成交供应商应保证所提供的食材在保质期内经正确和合理使用，不会出现因预包装食品添加剂、营养强化剂和功效成分原料的添加、生产加工工艺、包装物、运输方式等的缺陷而产生的食品安全事故，并对因上述缺陷而产生的任何食品安全事故负责。 </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4、一经发现供应以下食材，成交供应商除全部退货外没收全部履约保证金，同时还应承担由此造成的经济责任和法律责任：</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（1）腐败变质、霉变、生虫、污秽不洁、混有异物或者其他感官性状异常，对人体健康有害的；</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（2）含有毒、有害物质或者被有害物质污染，对人体健康有害的；含有严重超出标准限量的农药残留、重金属、污染物质以及其他危害人体健康的；</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（3）含有致病性寄生虫、微生物或者微生物含量超过国家限定标准的；</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（4）掺假、掺杂、伪造，影响营养、卫生的；</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（5）超过保质期限的；</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（6）其他经相关部门及采购人确认的质量问题。</w:t>
      </w:r>
      <w:r/>
    </w:p>
    <w:p>
      <w:pPr>
        <w:ind w:firstLine="0"/>
        <w:pageBreakBefore w:val="0"/>
        <w:spacing w:line="56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人员管理及仓储要求</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1、成交供应商应具有食品安全法律知识及一定数量的食品管理技能的专职或者兼职食品安全管理人。</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2、成交供应商须建立健全食品安全管理十项制度和从业人员健康管理制度。</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成交供应商应具有自有食材种植或养殖基地以及与所供应配送的食材品种、数量相适应的仓储设备及相关条件；保持仓库环境整洁，同时仓库内食材应排放有序并与有毒、有害场所以及其他污染源保持规定的距离。</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4、配送人员必须取得卫生部门出具的健康证，工作时做到个人仪表整洁。配送人员数量、型号必须与市场监督管理部门核定的一致，且送货时必须佩带经营单位的食品配送上岗证。</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配送车辆的数量、型号及配送人员必须到食品配送地市场监督部门备案，且在配送期内进行配送的车辆、人员必须与市场监督部门备案内容一致。配送车辆上必须粘贴配送标识，车辆要保持清洁，在食材配送过程中不得与其他产品混装。</w:t>
      </w:r>
      <w:r/>
    </w:p>
    <w:p>
      <w:pPr>
        <w:ind w:firstLine="0"/>
        <w:pageBreakBefore w:val="0"/>
        <w:spacing w:line="56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五、食材配送及交货要求</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成交供应商食材供货配送必须具备食品经营的法定条件，所配送的食材必须符合《中华人民共和国食品安全法》第二十条、《中华人民共和国产品质量法》第二十七条的规定，对社会和公众负责，保证食品安全，承担社会责任，接受社会监督。</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2、食材供货配送必须建立完善的质量承诺制度，并具有与该承诺相适应的财务保障。</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日常情况下，采购人提前一周左右以邮件或电话形式告知成交供应商供应的食材种类、数量及交货地点，成交供应商应对订单进行确认；成交供应商未于下单日当天明确表示不能配送的，则视为确认。成交供应商必须按照采购人提供的采购与配送需求计划至少提前 2 天（每周四 14:00 前）向采购人报价（不作为最终结算价格，只作为双方议价时参考）。</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成交供应商须于交货日按照采购人通知的时间、数量、品种、品质要求准时送货，经验收合格后签字确认并进行卸货，运费自理，不能以任何理由推托，一旦影响到食堂正常供应，成交供应商应承担相应的经济赔偿。</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当采购人临时有大批量食材采购或紧急采购任务时，成交供应商承诺在接到采购人通知后于指定的时间和地点进行送货并卸货，派专人负责跟踪服务，保证食材准时准点供应，如推迟送货的，采购人有权拒绝验收签单。</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6、交货地点：采购人指定地点。</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7、依据产品质量监督检验单位提供的质量标准，成交供应商提供的食材必须是经过质量监督管理部门检验并取得合格证明的产品，每批次产品提供时应交存产品质量合格证明。</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8、成交供应商提供的食材须经过采购人验收人员的感官检验、外观检验和试用检验，若食材外观、包装、形式不符合要求、感官检验不能达到食品卫生要求，当即拒收， 并立即按采购人要求予以退货更换，否则采购人将对其进行处罚。</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9、成交供应商须随时接受采购人或相关单位的随机抽样检查，检验费用由成交供应商支付。</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10、采购人对食材提出的质量异议时，保证在 30 分钟以内作出答复，并妥善商处。</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无法在 30 分钟内解决的，应在 1 个小时内提供备用产品，使采购人能够正常使用。</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11、规格包装的食材交付时，必须原包装完好无损，否则采购人有权拒收。</w:t>
      </w:r>
      <w:r/>
    </w:p>
    <w:p>
      <w:pPr>
        <w:ind w:firstLine="0"/>
        <w:pageBreakBefore w:val="0"/>
        <w:spacing w:line="56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
          <w:bCs w:val="0"/>
          <w:color w:val="auto"/>
          <w:sz w:val="24"/>
          <w:szCs w:val="24"/>
          <w:highlight w:val="none"/>
          <w:lang w:val="en-US" w:eastAsia="zh-CN"/>
        </w:rPr>
        <w:t xml:space="preserve">其他注意事项</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交货方式为按采购人要求按时供货的，中标供应商必须在规定的交货时间内把指定产品封闭装运送至指定地点。交付地点：采购人指定地点，交付时间：每个工作日上午6：30之前送达。</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（二）若有额外需求需补充货品的，中标供应商应在15分钟内响应，40分钟内（含响应的15分钟）补充送达。</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（三）提前一小时或推迟送货，采购人有权拒绝验收签单。</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每日及每批次提供的原料，必须经食堂仓管员或食堂相关的人员验收签单（不少于两人签字验收）后才能视为有效，否则均视为无效供货，不予结算（验收应当当场签单、补签单仍然视为无效供货）。每日送货到馆里的签单需包含指导价格，以南京市商务局（网址：https://swj.nanjing.gov.cn/njsswj/?id=386）发布的最新一期科巷菜场同类食材的指导价格、送货当天大润发超市零售价格为依据。</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（五）中标供应商必须对每日及每批次提供的食品提供其相关单位的检验检疫证、检测报告等相关证明，否则采购人有权拒绝验收签单。 </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（六）规格包装的产品交付时，必须原包装完好无损，否则采购人有权拒收。</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（七）中标供应商运输工具进入采购人所在地点后，必须接受采购人统一管理，发生任何人员与设施损伤，均由中标供应商承担责任。</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（八）中标供应商需免费指导采购人正确使用其产品，采购人有权要求中标供应商供货前对其提供的食材进行前期处理。</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、各类食材验收标准：</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（1）肉禽类</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确保食材无毒、无害、无污染、无辐射，符合国家、行业及地方的食品卫生及安全标准，农 产品符合国家、行业及地方的无公害农产品标准，安全、卫生和动植物检验、检疫项目按照国家有关规定执行。</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确保食材种类的多样性和季节性，以保持食材的新鲜感。确保食材质优量足，不得采用转基因原材料，并为制造商原厂、原装产品。</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确保食材外包装（带包装的）完整，包装材料清洁、卫生，符合国家食品卫生标准的规定；在有效质保期内，供货时的剩余质保期不得少于标注有效期的三分之二。</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所供鲜肉必须保证经过肉检（卫生部门检疫）的当日屠宰的新鲜肉，表皮查验章清晰可见，无毛、无血迹，无注水等掺架。</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禽类应当为当日屠宰，且必须去内脏、表皮无毛、无血迹、无污染、无注水掺假现象。</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所有冷冻食品肉体冻实而坚硬，无化冻现象；清晰列出产品品牌、规格、类型、包装方式、包装净重、含冰量等相关参数；冷冻肉类食品解冻后净重量不少于 95%，冷冻禽类食品解冻后净重量不少于 92%，解冻时间为 4 小时以内（室温 20 摄氏度）。</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来源：经检疫和肉品品质检验合格的当日屠宰的新鲜肉，具有由地方政府定点屠宰厂（场）加盖验讫印章并出具《畜产品检验证明》和《动物检疫合格证明》，具有可追索性。外观和质量等级符合国家食品部门的有关标准，品质新鲜，无霉烂变质；</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加工：按照规格要求进行分割、砍件、分条等。分割肉具有分割肉销售凭据；</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（2）蛋奶类</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蛋奶无破损，无异味，无变质发霉，包装清晰醒目，生产日期保质期明确，所有奶类需新鲜远离质保期，需提供检测报告，满足国家要求。</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（3）油、米面制品、干货副食、调味品类总体要求</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确保食材无毒、无害、无污染、无辐射，符合国家、行业及地方的食品卫生及安全标准，外包装完好，具有 QS 标志，标明品名、厂名、重量、生产日期、保质期或保存期、执行标准，具有产品合格证。</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确保包装的食材外包装完整，包装材料清洁、卫生，符合国家食品卫生标准的规定；在有效质保期内，供货时的剩余质保期不得少于标注有效期的三分之二。</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食材不得含硫酸铝钾、硫酸铝铵等，不得使用或掺入对人体有害的添加剂。</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豆制类应无色素、符合国家食品卫生标准及其必要的营养要求（提供生产单位食品卫生检验合格证及卫生许可证）。</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（4）水产类（含生鲜及冷冻）食材总体要求</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确保食材无毒、无害、无污染、无辐射，符合国家、行业及地方的食品卫生及安全标准，农产品符合国家、行业及地方的无公害农产品标准，安全、卫生和动植物检验、检疫项目按照国家有关规定执行。</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确保食材种类的多样性和季节性，以保持食材的新鲜感。</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确保食材质优量足，不得采用转基因原材料，并为制造商原厂、原装产品。</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确保食材外包装（带包装的）完整，包装材料清洁、卫生，符合国家食品卫生标准的规定；在有效质保期内，供货时的剩余保质期不得少于标注有效期的三分之二。</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所有冷冻食品肉体冻实而坚硬，无化冻现象；清晰列出产品品牌、规格、类型、包装方式、包装净重、含冰量等相关参数；冷冻水产类食品解冻后净重量不少于 85%， 解冻时间为 4 小时以内（室温 20 摄氏度）。</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活鱼类：在水中游动自如，反应敏捷；体色青亮，手摸有黏滑感，鳞片完整无损， 无皮下出血现象及红色鱼鳞；眼睛清亮，角膜透明，皮肤天然色泽明显；无伤残、无畸形、无病害；</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鲜鱼类：鱼鳃盖紧闭，鱼鳃色泽鲜艳，无粘液，呈透明状，无异味；鱼眼澄清透明 ， 鱼嘴紧闭，口腔清洁无污物；鳞片完整，不易脱落，腹内无胀气，色泽正常，质地坚实， 手感富有弹性；内脏鲜红，肠腮坚韧有弹性，胆囊完整，腹腔清洁；</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冻鱼类：体表色泽鲜亮，清洁无污物，具有海水鱼或淡水鱼固有气味，鳞片完整， 不易脱落，腹内无胀气，色泽正常，质地坚实；解冻后与鲜品特征相同，用刀切开肉质坚实、有弹性，肉不离刺，背骨处无红线，胆囊完整无破裂；</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加工：根据采购人的需要，按照时间和规格要求进行宰杀、分割、砍件、分条等；</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（5）严格禁止供应如下食品，一经发现，取消其供货资格：</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腐败变质、油脂酸败、霉变、生虫、污秽不洁、混有异物或其他感官性状异常， 对人体有害的；</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含有毒、有害物质或被有害物质污染，对人体身体健康有害的；含有严重超出标准限量的农药残留、兽药残留、重金属、污染物质以及其他危害人体健康的；</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未经动物部门检疫、检验或者检疫、检验不合格的肉类及其品； </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病死、毒死或不明死因的禽、蓄、兽、水产动物等及其制品；</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用非食品原料加工的，加入非食品用化学物质或将非食品当作食品的。</w:t>
      </w:r>
      <w:r/>
    </w:p>
    <w:p>
      <w:pPr>
        <w:ind w:firstLine="0"/>
        <w:pageBreakBefore w:val="0"/>
        <w:spacing w:line="56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六、履约及违约</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因成交供应商配送不及时导致伙食供应出现断供现象的，造成不良影响的，合同立即终止。</w:t>
      </w:r>
      <w:r/>
    </w:p>
    <w:p>
      <w:pPr>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履约及</w:t>
      </w:r>
      <w:r>
        <w:rPr>
          <w:rFonts w:hint="eastAsia" w:ascii="宋体" w:hAnsi="宋体" w:eastAsia="宋体" w:cs="宋体"/>
          <w:b/>
          <w:bCs/>
          <w:color w:val="auto"/>
          <w:sz w:val="24"/>
          <w:szCs w:val="24"/>
          <w:highlight w:val="none"/>
          <w:lang w:val="en-US" w:eastAsia="zh-CN"/>
        </w:rPr>
        <w:t xml:space="preserve">考核办法</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（一）履约保证金：</w:t>
      </w:r>
      <w:r/>
    </w:p>
    <w:tbl>
      <w:tblPr>
        <w:tblStyle w:val="8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6"/>
        <w:gridCol w:w="3579"/>
        <w:gridCol w:w="4777"/>
      </w:tblGrid>
      <w:tr>
        <w:trPr>
          <w:trHeight w:val="600"/>
        </w:trPr>
        <w:tc>
          <w:tcPr>
            <w:tcW w:w="806" w:type="pct"/>
            <w:vAlign w:val="center"/>
            <w:textDirection w:val="lrTb"/>
            <w:noWrap/>
          </w:tcPr>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分包号</w:t>
            </w:r>
            <w:r/>
          </w:p>
        </w:tc>
        <w:tc>
          <w:tcPr>
            <w:tcW w:w="1796" w:type="pct"/>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vertAlign w:val="baseline"/>
                <w:lang w:val="en-US" w:eastAsia="zh-CN"/>
              </w:rPr>
              <w:t xml:space="preserve">采购内容</w:t>
            </w:r>
            <w:r/>
          </w:p>
        </w:tc>
        <w:tc>
          <w:tcPr>
            <w:tcW w:w="2397" w:type="pct"/>
            <w:vAlign w:val="center"/>
            <w:textDirection w:val="lrTb"/>
            <w:noWrap w:val="false"/>
          </w:tcPr>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履约保证金金额（万元）</w:t>
            </w:r>
            <w:r/>
          </w:p>
        </w:tc>
      </w:tr>
      <w:tr>
        <w:trPr>
          <w:trHeight w:val="273"/>
        </w:trPr>
        <w:tc>
          <w:tcPr>
            <w:tcW w:w="806" w:type="pct"/>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796" w:type="pct"/>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vertAlign w:val="baseline"/>
                <w:lang w:val="en-US" w:eastAsia="zh-CN"/>
              </w:rPr>
              <w:t xml:space="preserve">鲜猪肉、牛肉、羊肉、水产等</w:t>
            </w:r>
            <w:r/>
          </w:p>
        </w:tc>
        <w:tc>
          <w:tcPr>
            <w:tcW w:w="239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15.00</w:t>
            </w:r>
            <w:r/>
          </w:p>
        </w:tc>
      </w:tr>
    </w:tbl>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各分包中标供应商须在签订合</w:t>
      </w:r>
      <w:r>
        <w:rPr>
          <w:rFonts w:hint="eastAsia" w:ascii="宋体" w:hAnsi="宋体" w:eastAsia="宋体" w:cs="宋体"/>
          <w:color w:val="auto"/>
          <w:sz w:val="24"/>
          <w:szCs w:val="24"/>
          <w:highlight w:val="none"/>
          <w:lang w:eastAsia="zh"/>
        </w:rPr>
        <w:t xml:space="preserve">时</w:t>
      </w:r>
      <w:r>
        <w:rPr>
          <w:rFonts w:hint="eastAsia" w:ascii="宋体" w:hAnsi="宋体" w:eastAsia="宋体" w:cs="宋体"/>
          <w:color w:val="auto"/>
          <w:sz w:val="24"/>
          <w:szCs w:val="24"/>
          <w:highlight w:val="none"/>
        </w:rPr>
        <w:t xml:space="preserve">向采购人交纳上述所要求金额的履约保证金作为合同生效的前提。</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val="en-US" w:eastAsia="zh-CN"/>
        </w:rPr>
        <w:t xml:space="preserve">考核办法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除有特别规定外，中标供应商存在</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扣除履约保证金情形累计≥三次的，</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有权扣除全部履约保证金且解除合同。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1、因中标供应商配送不及时导致伙食供应出现断供现象的，造成不良影响的，合同立即终止。并扣除全部履约保证金。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2、因中标供应商配送不及时导致伙食供应延时且经供应商采取补救措施未造成采购人不良影响的，每发生一次扣除履约保证金的30%。发生三次后扣除全部履约保证金且取消合同。</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3、采购人临时增加用餐人员,需临时补充原料的,中标供应商应在</w:t>
      </w:r>
      <w:r>
        <w:rPr>
          <w:rFonts w:hint="eastAsia" w:ascii="宋体" w:hAnsi="宋体" w:eastAsia="宋体" w:cs="宋体"/>
          <w:color w:val="auto"/>
          <w:sz w:val="24"/>
          <w:szCs w:val="24"/>
          <w:highlight w:val="none"/>
          <w:lang w:val="en-US" w:eastAsia="zh-CN" w:bidi="ar"/>
        </w:rPr>
        <w:t xml:space="preserve">采购人下单后40分钟内</w:t>
      </w:r>
      <w:r>
        <w:rPr>
          <w:rFonts w:hint="eastAsia" w:ascii="宋体" w:hAnsi="宋体" w:eastAsia="宋体" w:cs="宋体"/>
          <w:color w:val="auto"/>
          <w:sz w:val="24"/>
          <w:szCs w:val="24"/>
          <w:highlight w:val="none"/>
          <w:lang w:val="en-US" w:eastAsia="zh-CN"/>
        </w:rPr>
        <w:t xml:space="preserve">无条件把指定的原料送至指定的地点,否则，按第2条处理。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凡经相关部门认定，如因中标供应商所提供的原料原因造成采购人食堂出现食物中毒等卫生事故的，中标供应商除必须承担全部的法律责任外，还要全额承担因食物中毒发生造成后果的一切费用，并终止合同，暂扣当月所有供应原料的货款作为中标供应商的赔偿预付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5、凡中标供应商向采购人提供产品发生质量问题，影响食用但未发生食物安全等卫生事件的，经采购人、供货商、使用人确认，每发生一次扣除履约保证金的30%。发生三次后扣除全部履约保证金且取消合同。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6、采购人将定期或不定期地组织专人对供货商所供货物的质量送质检部门抽检，检测费用由中标供应商支付，若发现货物质量检测结果与招标文件质量标准不符，采购人有权酌情予以罚款、没收保证金、解除合同等处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7、凡供应货物故意串规、定量包装批量误差超过相关规定误差之短缺，一经查实，均需按当月总采购量的3倍误差值作为中标供应商向采购人支付的违约金并取消合同。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8、凡供应商违反国家、省、市及采购人有关廉政建设的规定，一经查实，扣除全部履约保证金并取消合同。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9、采购人组织不定期考核</w:t>
      </w:r>
      <w:r>
        <w:rPr>
          <w:rFonts w:hint="eastAsia" w:ascii="宋体" w:hAnsi="宋体" w:eastAsia="宋体" w:cs="宋体"/>
          <w:color w:val="auto"/>
          <w:sz w:val="24"/>
          <w:szCs w:val="24"/>
          <w:highlight w:val="none"/>
          <w:lang w:val="zh-CN"/>
        </w:rPr>
        <w:t xml:space="preserve">，采购人组织食堂主要负责人、相关专家对中标供应商进行考核，进行综合打分评审，满分100分，</w:t>
      </w:r>
      <w:r>
        <w:rPr>
          <w:rFonts w:hint="eastAsia" w:ascii="宋体" w:hAnsi="宋体" w:eastAsia="宋体" w:cs="宋体"/>
          <w:color w:val="auto"/>
          <w:sz w:val="24"/>
          <w:szCs w:val="24"/>
          <w:highlight w:val="none"/>
        </w:rPr>
        <w:t xml:space="preserve">如考核结果95分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不含）--85分（含）之间</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扣除履约保证金的10%</w:t>
      </w:r>
      <w:r>
        <w:rPr>
          <w:rFonts w:hint="eastAsia" w:ascii="宋体" w:hAnsi="宋体" w:eastAsia="宋体" w:cs="宋体"/>
          <w:color w:val="auto"/>
          <w:sz w:val="24"/>
          <w:szCs w:val="24"/>
          <w:highlight w:val="none"/>
        </w:rPr>
        <w:t xml:space="preserve">。如结果</w:t>
      </w:r>
      <w:r>
        <w:rPr>
          <w:rFonts w:hint="eastAsia" w:ascii="宋体" w:hAnsi="宋体" w:eastAsia="宋体" w:cs="宋体"/>
          <w:color w:val="auto"/>
          <w:sz w:val="24"/>
          <w:szCs w:val="24"/>
          <w:highlight w:val="none"/>
          <w:lang w:val="en-US" w:eastAsia="zh-CN"/>
        </w:rPr>
        <w:t xml:space="preserve">85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不含）--75分（含）之间</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扣除履约保证金的20%。</w:t>
      </w:r>
      <w:r>
        <w:rPr>
          <w:rFonts w:hint="eastAsia" w:ascii="宋体" w:hAnsi="宋体" w:eastAsia="宋体" w:cs="宋体"/>
          <w:b/>
          <w:bCs/>
          <w:color w:val="auto"/>
          <w:sz w:val="24"/>
          <w:szCs w:val="24"/>
          <w:highlight w:val="none"/>
          <w:lang w:val="en-US" w:eastAsia="zh-CN"/>
        </w:rPr>
        <w:t xml:space="preserve">75</w:t>
      </w:r>
      <w:r>
        <w:rPr>
          <w:rFonts w:hint="eastAsia" w:ascii="宋体" w:hAnsi="宋体" w:eastAsia="宋体" w:cs="宋体"/>
          <w:b/>
          <w:bCs/>
          <w:color w:val="auto"/>
          <w:sz w:val="24"/>
          <w:szCs w:val="24"/>
          <w:highlight w:val="none"/>
          <w:lang w:val="zh-CN"/>
        </w:rPr>
        <w:t xml:space="preserve">分（</w:t>
      </w:r>
      <w:r>
        <w:rPr>
          <w:rFonts w:hint="eastAsia" w:ascii="宋体" w:hAnsi="宋体" w:eastAsia="宋体" w:cs="宋体"/>
          <w:b/>
          <w:bCs/>
          <w:color w:val="auto"/>
          <w:sz w:val="24"/>
          <w:szCs w:val="24"/>
          <w:highlight w:val="none"/>
          <w:lang w:val="en-US" w:eastAsia="zh-CN"/>
        </w:rPr>
        <w:t xml:space="preserve">不含）</w:t>
      </w:r>
      <w:r>
        <w:rPr>
          <w:rFonts w:hint="eastAsia" w:ascii="宋体" w:hAnsi="宋体" w:eastAsia="宋体" w:cs="宋体"/>
          <w:b/>
          <w:bCs/>
          <w:color w:val="auto"/>
          <w:sz w:val="24"/>
          <w:szCs w:val="24"/>
          <w:highlight w:val="none"/>
          <w:lang w:val="zh-CN"/>
        </w:rPr>
        <w:t xml:space="preserve">以下为不合格取消供货资格，</w:t>
      </w:r>
      <w:r>
        <w:rPr>
          <w:rFonts w:hint="eastAsia" w:ascii="宋体" w:hAnsi="宋体" w:eastAsia="宋体" w:cs="宋体"/>
          <w:b/>
          <w:bCs/>
          <w:color w:val="auto"/>
          <w:sz w:val="24"/>
          <w:szCs w:val="24"/>
          <w:highlight w:val="none"/>
        </w:rPr>
        <w:t xml:space="preserve">采购人重新招标</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lang w:val="zh-CN"/>
        </w:rPr>
        <w:t xml:space="preserve">考核表</w:t>
      </w:r>
      <w:r>
        <w:rPr>
          <w:rFonts w:hint="eastAsia" w:ascii="宋体" w:hAnsi="宋体" w:eastAsia="宋体" w:cs="宋体"/>
          <w:color w:val="auto"/>
          <w:sz w:val="24"/>
          <w:szCs w:val="24"/>
          <w:highlight w:val="none"/>
          <w:lang w:val="en-US" w:eastAsia="zh-CN"/>
        </w:rPr>
        <w:t xml:space="preserve">如下：</w:t>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供应服务考核细则评价表（模板）</w:t>
      </w:r>
      <w:r/>
    </w:p>
    <w:tbl>
      <w:tblPr>
        <w:tblStyle w:val="8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3601"/>
        <w:gridCol w:w="877"/>
        <w:gridCol w:w="2145"/>
        <w:gridCol w:w="965"/>
        <w:gridCol w:w="909"/>
      </w:tblGrid>
      <w:tr>
        <w:trPr>
          <w:trHeight w:val="4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01"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考核要求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45"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考核扣分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备注</w:t>
            </w:r>
            <w:r/>
          </w:p>
        </w:tc>
      </w:tr>
      <w:tr>
        <w:trPr>
          <w:trHeight w:val="423"/>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6"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一、日常基本要求：（</w:t>
            </w:r>
            <w:r>
              <w:rPr>
                <w:rFonts w:hint="eastAsia" w:ascii="宋体" w:hAnsi="宋体" w:eastAsia="宋体" w:cs="宋体"/>
                <w:color w:val="auto"/>
                <w:sz w:val="21"/>
                <w:szCs w:val="21"/>
                <w:highlight w:val="none"/>
                <w:lang w:eastAsia="zh"/>
              </w:rPr>
              <w:t xml:space="preserve">5</w:t>
            </w:r>
            <w:r>
              <w:rPr>
                <w:rFonts w:hint="eastAsia" w:ascii="宋体" w:hAnsi="宋体" w:eastAsia="宋体" w:cs="宋体"/>
                <w:color w:val="auto"/>
                <w:sz w:val="21"/>
                <w:szCs w:val="21"/>
                <w:highlight w:val="none"/>
              </w:rPr>
              <w:t xml:space="preserve">5分）</w:t>
            </w:r>
            <w:r/>
          </w:p>
        </w:tc>
      </w:tr>
      <w:tr>
        <w:trPr>
          <w:trHeight w:val="7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1" w:type="dxa"/>
            <w:vAlign w:val="center"/>
            <w:textDirection w:val="lrTb"/>
            <w:noWrap w:val="false"/>
          </w:tcPr>
          <w:p>
            <w:pPr>
              <w:ind w:left="0" w:right="0" w:firstLine="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书面记录的内容：外来物品进货、送货单是否书写规范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
              </w:rPr>
              <w:t xml:space="preserve">5</w:t>
            </w:r>
            <w:r>
              <w:rPr>
                <w:rFonts w:hint="eastAsia" w:ascii="宋体" w:hAnsi="宋体" w:eastAsia="宋体" w:cs="宋体"/>
                <w:color w:val="auto"/>
                <w:sz w:val="21"/>
                <w:szCs w:val="21"/>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5"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不符一次扣0.5分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rHeight w:val="21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1"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供货质量是否符合要求，是否按规定时间</w:t>
            </w:r>
            <w:r>
              <w:rPr>
                <w:rFonts w:hint="eastAsia" w:ascii="宋体" w:hAnsi="宋体" w:eastAsia="宋体" w:cs="宋体"/>
                <w:color w:val="auto"/>
                <w:sz w:val="21"/>
                <w:szCs w:val="21"/>
                <w:highlight w:val="none"/>
                <w:lang w:eastAsia="zh"/>
              </w:rPr>
              <w:t xml:space="preserve">（</w:t>
            </w:r>
            <w:r>
              <w:rPr>
                <w:rFonts w:hint="eastAsia" w:ascii="宋体" w:hAnsi="宋体" w:eastAsia="宋体" w:cs="宋体"/>
                <w:color w:val="auto"/>
                <w:sz w:val="21"/>
                <w:szCs w:val="21"/>
                <w:highlight w:val="none"/>
                <w:lang w:val="en-US" w:eastAsia="zh"/>
              </w:rPr>
              <w:t xml:space="preserve">每天</w:t>
            </w:r>
            <w:r>
              <w:rPr>
                <w:rFonts w:hint="eastAsia" w:ascii="宋体" w:hAnsi="宋体" w:eastAsia="宋体" w:cs="宋体"/>
                <w:color w:val="auto"/>
                <w:sz w:val="21"/>
                <w:szCs w:val="21"/>
                <w:highlight w:val="none"/>
                <w:lang w:eastAsia="zh"/>
              </w:rPr>
              <w:t xml:space="preserve">上午</w:t>
            </w:r>
            <w:r>
              <w:rPr>
                <w:rFonts w:hint="eastAsia" w:ascii="宋体" w:hAnsi="宋体" w:eastAsia="宋体" w:cs="宋体"/>
                <w:color w:val="auto"/>
                <w:sz w:val="21"/>
                <w:szCs w:val="21"/>
                <w:highlight w:val="none"/>
                <w:lang w:val="en-US" w:eastAsia="zh"/>
              </w:rPr>
              <w:t xml:space="preserve">6：30</w:t>
            </w:r>
            <w:r>
              <w:rPr>
                <w:rFonts w:hint="eastAsia" w:ascii="宋体" w:hAnsi="宋体" w:eastAsia="宋体" w:cs="宋体"/>
                <w:color w:val="auto"/>
                <w:sz w:val="21"/>
                <w:szCs w:val="21"/>
                <w:highlight w:val="none"/>
                <w:lang w:eastAsia="zh"/>
              </w:rPr>
              <w:t xml:space="preserve">之前送达）</w:t>
            </w:r>
            <w:r>
              <w:rPr>
                <w:rFonts w:hint="eastAsia" w:ascii="宋体" w:hAnsi="宋体" w:eastAsia="宋体" w:cs="宋体"/>
                <w:color w:val="auto"/>
                <w:sz w:val="21"/>
                <w:szCs w:val="21"/>
                <w:highlight w:val="none"/>
              </w:rPr>
              <w:t xml:space="preserve">到达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
              </w:rPr>
              <w:t xml:space="preserve">30</w:t>
            </w:r>
            <w:r>
              <w:rPr>
                <w:rFonts w:hint="eastAsia" w:ascii="宋体" w:hAnsi="宋体" w:eastAsia="宋体" w:cs="宋体"/>
                <w:color w:val="auto"/>
                <w:sz w:val="21"/>
                <w:szCs w:val="21"/>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5"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eastAsia="zh"/>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
              </w:rPr>
              <w:t xml:space="preserve">供货质量不符一次扣0.5分。未按规定时间送达的，每次迟到在 10 分钟内扣 1分超过 10 分钟的扣 5分。缺斤少两的，在98%范围内，扣 1分在 95%--98%内，扣5分。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rHeight w:val="7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1"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送货人员是否服从现场人员管理。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
              </w:rPr>
              <w:t xml:space="preserve">5</w:t>
            </w:r>
            <w:r>
              <w:rPr>
                <w:rFonts w:hint="eastAsia" w:ascii="宋体" w:hAnsi="宋体" w:eastAsia="宋体" w:cs="宋体"/>
                <w:color w:val="auto"/>
                <w:sz w:val="21"/>
                <w:szCs w:val="21"/>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5"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不符一次扣0.5分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1"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eastAsia="zh"/>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
              </w:rPr>
              <w:t xml:space="preserve">送货单菜品单价是否超过基准单价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5"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eastAsia="zh"/>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
              </w:rPr>
              <w:t xml:space="preserve">超过 1次扣 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1"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是否按照要求提供检测报告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
              </w:rPr>
              <w:t xml:space="preserve">5</w:t>
            </w:r>
            <w:r>
              <w:rPr>
                <w:rFonts w:hint="eastAsia" w:ascii="宋体" w:hAnsi="宋体" w:eastAsia="宋体" w:cs="宋体"/>
                <w:color w:val="auto"/>
                <w:sz w:val="21"/>
                <w:szCs w:val="21"/>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5"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不符一个扣0.5分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rHeight w:val="423"/>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6"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二、现场卫生整洁维护（</w:t>
            </w:r>
            <w:r>
              <w:rPr>
                <w:rFonts w:hint="eastAsia" w:ascii="宋体" w:hAnsi="宋体" w:eastAsia="宋体" w:cs="宋体"/>
                <w:color w:val="auto"/>
                <w:sz w:val="21"/>
                <w:szCs w:val="21"/>
                <w:highlight w:val="none"/>
                <w:lang w:eastAsia="zh"/>
              </w:rPr>
              <w:t xml:space="preserve">2</w:t>
            </w:r>
            <w:r>
              <w:rPr>
                <w:rFonts w:hint="eastAsia" w:ascii="宋体" w:hAnsi="宋体" w:eastAsia="宋体" w:cs="宋体"/>
                <w:color w:val="auto"/>
                <w:sz w:val="21"/>
                <w:szCs w:val="21"/>
                <w:highlight w:val="none"/>
              </w:rPr>
              <w:t xml:space="preserve">5分）</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1"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eastAsia="zh"/>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送货现场卫生是否打扫干净</w:t>
            </w:r>
            <w:r>
              <w:rPr>
                <w:rFonts w:hint="eastAsia" w:ascii="宋体" w:hAnsi="宋体" w:eastAsia="宋体" w:cs="宋体"/>
                <w:color w:val="auto"/>
                <w:sz w:val="21"/>
                <w:szCs w:val="21"/>
                <w:highlight w:val="none"/>
                <w:lang w:eastAsia="zh"/>
              </w:rPr>
              <w:t xml:space="preserve">，有无跑冒滴漏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
              </w:rPr>
              <w:t xml:space="preserve">5</w:t>
            </w:r>
            <w:r>
              <w:rPr>
                <w:rFonts w:hint="eastAsia" w:ascii="宋体" w:hAnsi="宋体" w:eastAsia="宋体" w:cs="宋体"/>
                <w:color w:val="auto"/>
                <w:sz w:val="21"/>
                <w:szCs w:val="21"/>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5"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不符一次扣1分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1"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送货后外包装是否清理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
              </w:rPr>
              <w:t xml:space="preserve">5</w:t>
            </w:r>
            <w:r>
              <w:rPr>
                <w:rFonts w:hint="eastAsia" w:ascii="宋体" w:hAnsi="宋体" w:eastAsia="宋体" w:cs="宋体"/>
                <w:color w:val="auto"/>
                <w:sz w:val="21"/>
                <w:szCs w:val="21"/>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5"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不符一次扣1分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1"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车辆是否按照规定停放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
              </w:rPr>
              <w:t xml:space="preserve">5</w:t>
            </w:r>
            <w:r>
              <w:rPr>
                <w:rFonts w:hint="eastAsia" w:ascii="宋体" w:hAnsi="宋体" w:eastAsia="宋体" w:cs="宋体"/>
                <w:color w:val="auto"/>
                <w:sz w:val="21"/>
                <w:szCs w:val="21"/>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5"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不符一次扣1分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1"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货品是否按要求摆放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
              </w:rPr>
              <w:t xml:space="preserve">5</w:t>
            </w:r>
            <w:r>
              <w:rPr>
                <w:rFonts w:hint="eastAsia" w:ascii="宋体" w:hAnsi="宋体" w:eastAsia="宋体" w:cs="宋体"/>
                <w:color w:val="auto"/>
                <w:sz w:val="21"/>
                <w:szCs w:val="21"/>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5"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不符一次扣1分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rHeight w:val="7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1"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送货完成后，对现场使用的工具是否清洗并按规定摆放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5"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不符一次扣1分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rHeight w:val="423"/>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6"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三、其他情况（20分）</w:t>
            </w:r>
            <w:r/>
          </w:p>
        </w:tc>
      </w:tr>
      <w:tr>
        <w:trPr>
          <w:trHeight w:val="11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1"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是否按甲方格式和其他要求在规定时间内提供报价单等调价相关材料。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5"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不符一次扣1分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1"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临时补货</w:t>
            </w:r>
            <w:r>
              <w:rPr>
                <w:rFonts w:hint="eastAsia" w:ascii="宋体" w:hAnsi="宋体" w:eastAsia="宋体" w:cs="宋体"/>
                <w:color w:val="auto"/>
                <w:sz w:val="21"/>
                <w:szCs w:val="21"/>
                <w:highlight w:val="none"/>
                <w:lang w:val="en-US" w:eastAsia="zh-CN"/>
              </w:rPr>
              <w:t xml:space="preserve">是否在</w:t>
            </w:r>
            <w:r>
              <w:rPr>
                <w:rFonts w:hint="eastAsia" w:ascii="宋体" w:hAnsi="宋体" w:eastAsia="宋体" w:cs="宋体"/>
                <w:color w:val="auto"/>
                <w:sz w:val="21"/>
                <w:szCs w:val="21"/>
                <w:highlight w:val="none"/>
                <w:lang w:val="en-US" w:eastAsia="zh"/>
              </w:rPr>
              <w:t xml:space="preserve">40分钟内</w:t>
            </w:r>
            <w:r>
              <w:rPr>
                <w:rFonts w:hint="eastAsia" w:ascii="宋体" w:hAnsi="宋体" w:eastAsia="宋体" w:cs="宋体"/>
                <w:color w:val="auto"/>
                <w:sz w:val="21"/>
                <w:szCs w:val="21"/>
                <w:highlight w:val="none"/>
              </w:rPr>
              <w:t xml:space="preserve">送达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5"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不符一次扣</w:t>
            </w:r>
            <w:r>
              <w:rPr>
                <w:rFonts w:hint="eastAsia" w:ascii="宋体" w:hAnsi="宋体" w:eastAsia="宋体" w:cs="宋体"/>
                <w:color w:val="auto"/>
                <w:sz w:val="21"/>
                <w:szCs w:val="21"/>
                <w:highlight w:val="none"/>
                <w:lang w:eastAsia="zh"/>
              </w:rPr>
              <w:t xml:space="preserve">1</w:t>
            </w:r>
            <w:r>
              <w:rPr>
                <w:rFonts w:hint="eastAsia" w:ascii="宋体" w:hAnsi="宋体" w:eastAsia="宋体" w:cs="宋体"/>
                <w:color w:val="auto"/>
                <w:sz w:val="21"/>
                <w:szCs w:val="21"/>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1"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发票是否在</w:t>
            </w:r>
            <w:r>
              <w:rPr>
                <w:rFonts w:hint="eastAsia" w:ascii="宋体" w:hAnsi="宋体" w:eastAsia="宋体" w:cs="宋体"/>
                <w:color w:val="auto"/>
                <w:sz w:val="21"/>
                <w:szCs w:val="21"/>
                <w:highlight w:val="none"/>
                <w:lang w:val="en-US" w:eastAsia="zh-CN"/>
              </w:rPr>
              <w:t xml:space="preserve">每月10日前</w:t>
            </w:r>
            <w:r>
              <w:rPr>
                <w:rFonts w:hint="eastAsia" w:ascii="宋体" w:hAnsi="宋体" w:eastAsia="宋体" w:cs="宋体"/>
                <w:color w:val="auto"/>
                <w:sz w:val="21"/>
                <w:szCs w:val="21"/>
                <w:highlight w:val="none"/>
              </w:rPr>
              <w:t xml:space="preserve">送达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5"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不符一次扣</w:t>
            </w:r>
            <w:r>
              <w:rPr>
                <w:rFonts w:hint="eastAsia" w:ascii="宋体" w:hAnsi="宋体" w:eastAsia="宋体" w:cs="宋体"/>
                <w:color w:val="auto"/>
                <w:sz w:val="21"/>
                <w:szCs w:val="21"/>
                <w:highlight w:val="none"/>
                <w:lang w:eastAsia="zh"/>
              </w:rPr>
              <w:t xml:space="preserve">5</w:t>
            </w:r>
            <w:r>
              <w:rPr>
                <w:rFonts w:hint="eastAsia" w:ascii="宋体" w:hAnsi="宋体" w:eastAsia="宋体" w:cs="宋体"/>
                <w:color w:val="auto"/>
                <w:sz w:val="21"/>
                <w:szCs w:val="21"/>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rHeight w:val="50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2"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bl>
    <w:p>
      <w:pP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报价方式</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lang w:val="en-US"/>
        </w:rPr>
        <w:t xml:space="preserve">供应商须综合考虑不同种类食材的价格以及市场波动等客观因素，</w:t>
      </w:r>
      <w:r>
        <w:rPr>
          <w:rFonts w:hint="eastAsia" w:ascii="宋体" w:hAnsi="宋体" w:eastAsia="宋体" w:cs="宋体"/>
          <w:b/>
          <w:bCs w:val="0"/>
          <w:color w:val="auto"/>
          <w:sz w:val="24"/>
          <w:szCs w:val="24"/>
          <w:highlight w:val="none"/>
          <w:lang w:val="en-US"/>
        </w:rPr>
        <w:t xml:space="preserve">统一按照食材基准单价优惠率进行报价</w:t>
      </w:r>
      <w:r>
        <w:rPr>
          <w:rFonts w:hint="eastAsia" w:ascii="宋体" w:hAnsi="宋体" w:eastAsia="宋体" w:cs="宋体"/>
          <w:bCs/>
          <w:color w:val="auto"/>
          <w:sz w:val="24"/>
          <w:szCs w:val="24"/>
          <w:highlight w:val="none"/>
          <w:lang w:val="en-US"/>
        </w:rPr>
        <w:t xml:space="preserve">。中标供应商在供货期间优惠率不予调整。</w:t>
      </w:r>
      <w:r/>
    </w:p>
    <w:p>
      <w:pPr>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基准单价</w:t>
      </w:r>
      <w:r>
        <w:rPr>
          <w:rFonts w:hint="eastAsia" w:ascii="宋体" w:hAnsi="宋体" w:eastAsia="宋体" w:cs="宋体"/>
          <w:bCs/>
          <w:color w:val="auto"/>
          <w:sz w:val="24"/>
          <w:szCs w:val="24"/>
          <w:highlight w:val="none"/>
          <w:lang w:val="en-US"/>
        </w:rPr>
        <w:t xml:space="preserve">计算方式：</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依照市场指导价格为基准单价，市场指导价格参考范围以及优先顺序：</w:t>
      </w:r>
      <w:r>
        <w:rPr>
          <w:rFonts w:hint="eastAsia" w:ascii="宋体" w:hAnsi="宋体" w:eastAsia="宋体" w:cs="宋体"/>
          <w:color w:val="auto"/>
          <w:sz w:val="24"/>
          <w:szCs w:val="24"/>
          <w:highlight w:val="none"/>
          <w:lang w:val="en-US" w:eastAsia="zh"/>
        </w:rPr>
        <w:t xml:space="preserve">南京市商务局（网址：https://swj.nanjing.gov.cn/njsswj/?id=386）发布的最新一期科巷菜场同类食材的指导价格→送货当天大润发超市零售价格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如部分类别食材确实均不在以上价格查询平台中（须由甲乙双方事先确认），则其结算单价由采购人综合市场价格并根据供应商报价优惠率计算后确定。</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lang w:val="en-US"/>
        </w:rPr>
        <w:t xml:space="preserve">最终结算单价=基准单价*（1-优惠率）。</w:t>
      </w:r>
      <w:r/>
    </w:p>
    <w:p>
      <w:pPr>
        <w:ind w:firstLine="0"/>
        <w:pageBreakBefore w:val="0"/>
        <w:spacing w:line="560" w:lineRule="exact"/>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七、付款方式</w:t>
      </w:r>
      <w:r/>
    </w:p>
    <w:p>
      <w:pPr>
        <w:ind w:firstLine="0"/>
        <w:pageBreakBefore w:val="0"/>
        <w:spacing w:line="560" w:lineRule="exact"/>
        <w:rPr>
          <w:rStyle w:val="1077"/>
          <w:rFonts w:hint="eastAsia" w:ascii="宋体" w:hAnsi="宋体" w:eastAsia="宋体" w:cs="宋体"/>
          <w:color w:val="auto"/>
          <w:sz w:val="24"/>
          <w:szCs w:val="24"/>
          <w:highlight w:val="none"/>
          <w:lang w:bidi="ar"/>
          <w14:ligatures w14:val="standardContextual"/>
        </w:rPr>
      </w:pPr>
      <w:r>
        <w:rPr>
          <w:rStyle w:val="1077"/>
          <w:rFonts w:hint="eastAsia" w:ascii="宋体" w:hAnsi="宋体" w:eastAsia="宋体" w:cs="宋体"/>
          <w:color w:val="auto"/>
          <w:sz w:val="24"/>
          <w:szCs w:val="24"/>
          <w:highlight w:val="none"/>
          <w:lang w:bidi="ar"/>
          <w14:ligatures w14:val="standardContextual"/>
        </w:rPr>
        <w:t xml:space="preserve">全年采购金额为预估数，采购人不对全年采购金额做出承诺，根据市场定价和采购量由采购人据实结算，结算方式如下： </w:t>
      </w:r>
      <w:r/>
    </w:p>
    <w:p>
      <w:pPr>
        <w:ind w:firstLine="0"/>
        <w:pageBreakBefore w:val="0"/>
        <w:spacing w:line="560" w:lineRule="exact"/>
        <w:rPr>
          <w:rStyle w:val="1077"/>
          <w:rFonts w:hint="eastAsia" w:ascii="宋体" w:hAnsi="宋体" w:eastAsia="宋体" w:cs="宋体"/>
          <w:color w:val="auto"/>
          <w:sz w:val="24"/>
          <w:szCs w:val="24"/>
          <w:highlight w:val="none"/>
          <w:lang w:bidi="ar"/>
          <w14:ligatures w14:val="standardContextual"/>
        </w:rPr>
      </w:pPr>
      <w:r>
        <w:rPr>
          <w:rStyle w:val="1077"/>
          <w:rFonts w:hint="eastAsia" w:ascii="宋体" w:hAnsi="宋体" w:eastAsia="宋体" w:cs="宋体"/>
          <w:color w:val="auto"/>
          <w:sz w:val="24"/>
          <w:szCs w:val="24"/>
          <w:highlight w:val="none"/>
          <w:lang w:bidi="ar"/>
          <w14:ligatures w14:val="standardContextual"/>
        </w:rPr>
        <w:t xml:space="preserve">（一）合同签订时，中标供应商向</w:t>
      </w:r>
      <w:r>
        <w:rPr>
          <w:rStyle w:val="1077"/>
          <w:rFonts w:hint="eastAsia" w:ascii="宋体" w:hAnsi="宋体" w:eastAsia="宋体" w:cs="宋体"/>
          <w:color w:val="auto"/>
          <w:sz w:val="24"/>
          <w:szCs w:val="24"/>
          <w:highlight w:val="none"/>
          <w:lang w:val="en-US" w:eastAsia="zh-CN" w:bidi="ar"/>
          <w14:ligatures w14:val="standardContextual"/>
        </w:rPr>
        <w:t xml:space="preserve">招标人</w:t>
      </w:r>
      <w:r>
        <w:rPr>
          <w:rStyle w:val="1077"/>
          <w:rFonts w:hint="eastAsia" w:ascii="宋体" w:hAnsi="宋体" w:eastAsia="宋体" w:cs="宋体"/>
          <w:color w:val="auto"/>
          <w:sz w:val="24"/>
          <w:szCs w:val="24"/>
          <w:highlight w:val="none"/>
          <w:lang w:bidi="ar"/>
          <w14:ligatures w14:val="standardContextual"/>
        </w:rPr>
        <w:t xml:space="preserve">缴纳足额履约保证金，项目履约完成后视合同完成情况，无息一次性退还（付款时间最长不超过60日）。</w:t>
      </w:r>
      <w:r/>
    </w:p>
    <w:p>
      <w:pPr>
        <w:ind w:firstLine="0"/>
        <w:pageBreakBefore w:val="0"/>
        <w:spacing w:line="560" w:lineRule="exact"/>
        <w:rPr>
          <w:rStyle w:val="1077"/>
          <w:rFonts w:hint="eastAsia" w:ascii="宋体" w:hAnsi="宋体" w:eastAsia="宋体" w:cs="宋体"/>
          <w:color w:val="auto"/>
          <w:sz w:val="24"/>
          <w:szCs w:val="24"/>
          <w:highlight w:val="none"/>
          <w:lang w:bidi="ar"/>
          <w14:ligatures w14:val="standardContextual"/>
        </w:rPr>
      </w:pPr>
      <w:r>
        <w:rPr>
          <w:rStyle w:val="1077"/>
          <w:rFonts w:hint="eastAsia" w:ascii="宋体" w:hAnsi="宋体" w:eastAsia="宋体" w:cs="宋体"/>
          <w:color w:val="auto"/>
          <w:sz w:val="24"/>
          <w:szCs w:val="24"/>
          <w:highlight w:val="none"/>
          <w:lang w:bidi="ar"/>
          <w14:ligatures w14:val="standardContextual"/>
        </w:rPr>
        <w:t xml:space="preserve">（二）中标供应商每日提供供货验收单，经</w:t>
      </w:r>
      <w:r>
        <w:rPr>
          <w:rStyle w:val="1077"/>
          <w:rFonts w:hint="eastAsia" w:ascii="宋体" w:hAnsi="宋体" w:eastAsia="宋体" w:cs="宋体"/>
          <w:color w:val="auto"/>
          <w:sz w:val="24"/>
          <w:szCs w:val="24"/>
          <w:highlight w:val="none"/>
          <w:lang w:val="en-US" w:eastAsia="zh-CN" w:bidi="ar"/>
          <w14:ligatures w14:val="standardContextual"/>
        </w:rPr>
        <w:t xml:space="preserve">中标人</w:t>
      </w:r>
      <w:r>
        <w:rPr>
          <w:rStyle w:val="1077"/>
          <w:rFonts w:hint="eastAsia" w:ascii="宋体" w:hAnsi="宋体" w:eastAsia="宋体" w:cs="宋体"/>
          <w:color w:val="auto"/>
          <w:sz w:val="24"/>
          <w:szCs w:val="24"/>
          <w:highlight w:val="none"/>
          <w:lang w:bidi="ar"/>
          <w14:ligatures w14:val="standardContextual"/>
        </w:rPr>
        <w:t xml:space="preserve">收货人、办公室主任及中标供应商三方签字确认。食材每月一结，每月10日前，中标供应商根据上月经确认的供货验收单上采购核定的当日菜价与</w:t>
      </w:r>
      <w:r>
        <w:rPr>
          <w:rStyle w:val="1077"/>
          <w:rFonts w:hint="eastAsia" w:ascii="宋体" w:hAnsi="宋体" w:eastAsia="宋体" w:cs="宋体"/>
          <w:color w:val="auto"/>
          <w:sz w:val="24"/>
          <w:szCs w:val="24"/>
          <w:highlight w:val="none"/>
          <w:lang w:val="en-US" w:eastAsia="zh-CN" w:bidi="ar"/>
          <w14:ligatures w14:val="standardContextual"/>
        </w:rPr>
        <w:t xml:space="preserve">招标人</w:t>
      </w:r>
      <w:r>
        <w:rPr>
          <w:rStyle w:val="1077"/>
          <w:rFonts w:hint="eastAsia" w:ascii="宋体" w:hAnsi="宋体" w:eastAsia="宋体" w:cs="宋体"/>
          <w:color w:val="auto"/>
          <w:sz w:val="24"/>
          <w:szCs w:val="24"/>
          <w:highlight w:val="none"/>
          <w:lang w:bidi="ar"/>
          <w14:ligatures w14:val="standardContextual"/>
        </w:rPr>
        <w:t xml:space="preserve">确定结算金额并开具正规税务发票，发票上注明食材类别及对应清单。 每月结算价=基准单价*（1-优惠率）*订货量。实际供货量超出订货量部分，不补差价；实际供货量少于订货量部分，应补足。</w:t>
      </w:r>
      <w:r/>
    </w:p>
    <w:p>
      <w:pPr>
        <w:ind w:firstLine="0"/>
        <w:pageBreakBefore w:val="0"/>
        <w:spacing w:line="560" w:lineRule="exact"/>
        <w:rPr>
          <w:rStyle w:val="1077"/>
          <w:rFonts w:hint="eastAsia" w:ascii="宋体" w:hAnsi="宋体" w:eastAsia="宋体" w:cs="宋体"/>
          <w:color w:val="auto"/>
          <w:sz w:val="24"/>
          <w:szCs w:val="24"/>
          <w:highlight w:val="none"/>
          <w:lang w:bidi="ar"/>
          <w14:ligatures w14:val="standardContextual"/>
        </w:rPr>
      </w:pPr>
      <w:r>
        <w:rPr>
          <w:rStyle w:val="1077"/>
          <w:rFonts w:hint="eastAsia" w:ascii="宋体" w:hAnsi="宋体" w:eastAsia="宋体" w:cs="宋体"/>
          <w:color w:val="auto"/>
          <w:sz w:val="24"/>
          <w:szCs w:val="24"/>
          <w:highlight w:val="none"/>
          <w:lang w:bidi="ar"/>
          <w14:ligatures w14:val="standardContextual"/>
        </w:rPr>
        <w:t xml:space="preserve">（三）所使用货币币制如未作特别说明均为人民币。</w:t>
      </w:r>
      <w:r/>
    </w:p>
    <w:p>
      <w:pPr>
        <w:ind w:firstLine="0"/>
        <w:pageBreakBefore w:val="0"/>
        <w:spacing w:line="560" w:lineRule="exact"/>
        <w:rPr>
          <w:rStyle w:val="1077"/>
          <w:rFonts w:hint="eastAsia" w:ascii="宋体" w:hAnsi="宋体" w:eastAsia="宋体" w:cs="宋体"/>
          <w:color w:val="auto"/>
          <w:sz w:val="24"/>
          <w:szCs w:val="24"/>
          <w:highlight w:val="none"/>
          <w:lang w:bidi="ar"/>
          <w14:ligatures w14:val="standardContextual"/>
        </w:rPr>
      </w:pPr>
      <w:r>
        <w:rPr>
          <w:rStyle w:val="1077"/>
          <w:rFonts w:hint="eastAsia" w:ascii="宋体" w:hAnsi="宋体" w:eastAsia="宋体" w:cs="宋体"/>
          <w:color w:val="auto"/>
          <w:sz w:val="24"/>
          <w:szCs w:val="24"/>
          <w:highlight w:val="none"/>
          <w:lang w:bidi="ar"/>
          <w14:ligatures w14:val="standardContextual"/>
        </w:rPr>
        <w:t xml:space="preserve">（四）价格为每天一核,核价时以核价当日南京市商务局（网址：https://swj.nanjing.gov.cn/njsswj/?id=386）发布的最新一期科巷菜场同类食材的指导价格、送货当天大润发超市零售价格为依据，确定基准单价，基准单价×（1-投标优惠率）＝采购核定的当日菜价。供应商在竞争报价时，应充分考虑到市场波动等客观因素，如遇所供食品市场价格上下波动在核算期内价格不做调整。</w:t>
      </w:r>
      <w:r/>
    </w:p>
    <w:p>
      <w:pPr>
        <w:ind w:firstLine="0"/>
        <w:jc w:val="center"/>
        <w:pageBreakBefore w:val="0"/>
        <w:spacing w:line="360" w:lineRule="auto"/>
        <w:shd w:val="clear" w:color="auto" w:fill="ffffff"/>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
        </w:rPr>
        <w:t xml:space="preserve">送货</w:t>
      </w:r>
      <w:r>
        <w:rPr>
          <w:rFonts w:hint="eastAsia" w:ascii="宋体" w:hAnsi="宋体" w:eastAsia="宋体" w:cs="宋体"/>
          <w:b/>
          <w:bCs/>
          <w:color w:val="auto"/>
          <w:sz w:val="24"/>
          <w:highlight w:val="none"/>
          <w:lang w:val="en-US" w:eastAsia="zh-CN"/>
        </w:rPr>
        <w:t xml:space="preserve">价格</w:t>
      </w:r>
      <w:r>
        <w:rPr>
          <w:rFonts w:hint="eastAsia" w:ascii="宋体" w:hAnsi="宋体" w:eastAsia="宋体" w:cs="宋体"/>
          <w:b/>
          <w:bCs/>
          <w:color w:val="auto"/>
          <w:sz w:val="24"/>
          <w:highlight w:val="none"/>
        </w:rPr>
        <w:t xml:space="preserve">资料要求（</w:t>
      </w:r>
      <w:r>
        <w:rPr>
          <w:rFonts w:hint="eastAsia" w:ascii="宋体" w:hAnsi="宋体" w:eastAsia="宋体" w:cs="宋体"/>
          <w:b/>
          <w:bCs/>
          <w:color w:val="auto"/>
          <w:sz w:val="24"/>
          <w:highlight w:val="none"/>
          <w:lang w:val="en-US" w:eastAsia="zh-CN"/>
        </w:rPr>
        <w:t xml:space="preserve">每日一核对，</w:t>
      </w:r>
      <w:r>
        <w:rPr>
          <w:rFonts w:hint="eastAsia" w:ascii="宋体" w:hAnsi="宋体" w:eastAsia="宋体" w:cs="宋体"/>
          <w:b/>
          <w:bCs/>
          <w:color w:val="auto"/>
          <w:sz w:val="24"/>
          <w:highlight w:val="none"/>
        </w:rPr>
        <w:t xml:space="preserve">包括但不限于以下要素）</w:t>
      </w:r>
      <w:r/>
    </w:p>
    <w:tbl>
      <w:tblPr>
        <w:tblStyle w:val="856"/>
        <w:tblW w:w="5333" w:type="pct"/>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1326"/>
        <w:gridCol w:w="1377"/>
        <w:gridCol w:w="2629"/>
        <w:gridCol w:w="1460"/>
        <w:gridCol w:w="1328"/>
        <w:gridCol w:w="737"/>
        <w:gridCol w:w="1033"/>
      </w:tblGrid>
      <w:tr>
        <w:trPr/>
        <w:tc>
          <w:tcPr>
            <w:tcW w:w="346" w:type="pct"/>
            <w:vAlign w:val="center"/>
            <w:textDirection w:val="lrTb"/>
            <w:noWrap w:val="false"/>
          </w:tcPr>
          <w:p>
            <w:pPr>
              <w:ind w:firstLine="0"/>
              <w:jc w:val="center"/>
              <w:pageBreakBefore w:val="0"/>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序号</w:t>
            </w:r>
            <w:r/>
          </w:p>
        </w:tc>
        <w:tc>
          <w:tcPr>
            <w:tcW w:w="624" w:type="pct"/>
            <w:vAlign w:val="center"/>
            <w:textDirection w:val="lrTb"/>
            <w:noWrap w:val="false"/>
          </w:tcPr>
          <w:p>
            <w:pPr>
              <w:ind w:firstLine="0"/>
              <w:jc w:val="center"/>
              <w:pageBreakBefore w:val="0"/>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食材种类</w:t>
            </w:r>
            <w:r/>
          </w:p>
        </w:tc>
        <w:tc>
          <w:tcPr>
            <w:tcW w:w="648" w:type="pct"/>
            <w:vAlign w:val="center"/>
            <w:textDirection w:val="lrTb"/>
            <w:noWrap w:val="false"/>
          </w:tcPr>
          <w:p>
            <w:pPr>
              <w:ind w:firstLine="0"/>
              <w:jc w:val="center"/>
              <w:pageBreakBefore w:val="0"/>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交货时间</w:t>
            </w:r>
            <w:r/>
          </w:p>
        </w:tc>
        <w:tc>
          <w:tcPr>
            <w:tcW w:w="1237" w:type="pct"/>
            <w:vAlign w:val="center"/>
            <w:textDirection w:val="lrTb"/>
            <w:noWrap w:val="false"/>
          </w:tcPr>
          <w:p>
            <w:pPr>
              <w:ind w:firstLine="0"/>
              <w:jc w:val="center"/>
              <w:pageBreakBefore w:val="0"/>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基准单价</w:t>
            </w:r>
            <w:r/>
          </w:p>
        </w:tc>
        <w:tc>
          <w:tcPr>
            <w:tcBorders>
              <w:right w:val="single" w:color="auto" w:sz="4" w:space="0"/>
            </w:tcBorders>
            <w:tcW w:w="687" w:type="pct"/>
            <w:vAlign w:val="center"/>
            <w:textDirection w:val="lrTb"/>
            <w:noWrap w:val="false"/>
          </w:tcPr>
          <w:p>
            <w:pPr>
              <w:ind w:firstLine="0"/>
              <w:jc w:val="center"/>
              <w:pageBreakBefore w:val="0"/>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优惠率</w:t>
            </w:r>
            <w:r/>
          </w:p>
        </w:tc>
        <w:tc>
          <w:tcPr>
            <w:tcBorders>
              <w:left w:val="single" w:color="auto" w:sz="4" w:space="0"/>
              <w:right w:val="single" w:color="auto" w:sz="4" w:space="0"/>
            </w:tcBorders>
            <w:tcW w:w="625" w:type="pct"/>
            <w:vAlign w:val="center"/>
            <w:textDirection w:val="lrTb"/>
            <w:noWrap w:val="false"/>
          </w:tcPr>
          <w:p>
            <w:pPr>
              <w:ind w:firstLine="0"/>
              <w:jc w:val="center"/>
              <w:pageBreakBefore w:val="0"/>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结算单价</w:t>
            </w:r>
            <w:r/>
          </w:p>
        </w:tc>
        <w:tc>
          <w:tcPr>
            <w:tcBorders>
              <w:left w:val="single" w:color="auto" w:sz="4" w:space="0"/>
              <w:right w:val="single" w:color="auto" w:sz="4" w:space="0"/>
            </w:tcBorders>
            <w:tcW w:w="347" w:type="pct"/>
            <w:vAlign w:val="center"/>
            <w:textDirection w:val="lrTb"/>
            <w:noWrap w:val="false"/>
          </w:tcPr>
          <w:p>
            <w:pPr>
              <w:ind w:firstLine="0"/>
              <w:jc w:val="center"/>
              <w:pageBreakBefore w:val="0"/>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数量</w:t>
            </w:r>
            <w:r/>
          </w:p>
        </w:tc>
        <w:tc>
          <w:tcPr>
            <w:tcBorders>
              <w:left w:val="single" w:color="auto" w:sz="4" w:space="0"/>
            </w:tcBorders>
            <w:tcW w:w="487" w:type="pct"/>
            <w:vAlign w:val="center"/>
            <w:textDirection w:val="lrTb"/>
            <w:noWrap w:val="false"/>
          </w:tcPr>
          <w:p>
            <w:pPr>
              <w:ind w:firstLine="0"/>
              <w:jc w:val="center"/>
              <w:pageBreakBefore w:val="0"/>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总价</w:t>
            </w:r>
            <w:r/>
          </w:p>
        </w:tc>
      </w:tr>
      <w:tr>
        <w:trPr>
          <w:trHeight w:val="891"/>
        </w:trPr>
        <w:tc>
          <w:tcPr>
            <w:tcW w:w="346" w:type="pct"/>
            <w:vAlign w:val="center"/>
            <w:textDirection w:val="lrTb"/>
            <w:noWrap w:val="false"/>
          </w:tcPr>
          <w:p>
            <w:pPr>
              <w:ind w:firstLine="0"/>
              <w:jc w:val="center"/>
              <w:pageBreakBefore w:val="0"/>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1</w:t>
            </w:r>
            <w:r/>
          </w:p>
        </w:tc>
        <w:tc>
          <w:tcPr>
            <w:tcW w:w="624" w:type="pct"/>
            <w:vAlign w:val="center"/>
            <w:textDirection w:val="lrTb"/>
            <w:noWrap w:val="false"/>
          </w:tcPr>
          <w:p>
            <w:pPr>
              <w:ind w:firstLine="0"/>
              <w:jc w:val="center"/>
              <w:pageBreakBefore w:val="0"/>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填写供应的食材种类</w:t>
            </w:r>
            <w:r/>
          </w:p>
        </w:tc>
        <w:tc>
          <w:tcPr>
            <w:tcW w:w="648" w:type="pct"/>
            <w:vAlign w:val="center"/>
            <w:textDirection w:val="lrTb"/>
            <w:noWrap w:val="false"/>
          </w:tcPr>
          <w:p>
            <w:pPr>
              <w:ind w:firstLine="0"/>
              <w:jc w:val="center"/>
              <w:pageBreakBefore w:val="0"/>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填写交货</w:t>
            </w:r>
            <w:r/>
          </w:p>
          <w:p>
            <w:pPr>
              <w:ind w:firstLine="0"/>
              <w:jc w:val="center"/>
              <w:pageBreakBefore w:val="0"/>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时间</w:t>
            </w:r>
            <w:r/>
          </w:p>
        </w:tc>
        <w:tc>
          <w:tcPr>
            <w:tcW w:w="1237" w:type="pct"/>
            <w:vAlign w:val="center"/>
            <w:textDirection w:val="lrTb"/>
            <w:noWrap w:val="false"/>
          </w:tcPr>
          <w:p>
            <w:pPr>
              <w:ind w:firstLine="0"/>
              <w:jc w:val="center"/>
              <w:pageBreakBefore w:val="0"/>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18"/>
                <w:szCs w:val="18"/>
                <w:highlight w:val="none"/>
                <w:lang w:val="en-US"/>
              </w:rPr>
              <w:t xml:space="preserve">填写</w:t>
            </w:r>
            <w:r>
              <w:rPr>
                <w:rFonts w:hint="eastAsia" w:ascii="宋体" w:hAnsi="宋体" w:eastAsia="宋体" w:cs="宋体"/>
                <w:b/>
                <w:bCs/>
                <w:color w:val="auto"/>
                <w:sz w:val="18"/>
                <w:szCs w:val="18"/>
                <w:highlight w:val="none"/>
                <w:lang w:val="en-US" w:eastAsia="zh-CN"/>
              </w:rPr>
              <w:t xml:space="preserve">当日</w:t>
            </w:r>
            <w:r>
              <w:rPr>
                <w:rFonts w:hint="eastAsia" w:ascii="宋体" w:hAnsi="宋体" w:eastAsia="宋体" w:cs="宋体"/>
                <w:b/>
                <w:bCs/>
                <w:color w:val="auto"/>
                <w:sz w:val="18"/>
                <w:szCs w:val="18"/>
                <w:highlight w:val="none"/>
                <w:lang w:val="en-US"/>
              </w:rPr>
              <w:t xml:space="preserve">的</w:t>
            </w:r>
            <w:r>
              <w:rPr>
                <w:rFonts w:hint="eastAsia" w:ascii="宋体" w:hAnsi="宋体" w:eastAsia="宋体" w:cs="宋体"/>
                <w:b/>
                <w:bCs/>
                <w:color w:val="auto"/>
                <w:sz w:val="18"/>
                <w:szCs w:val="18"/>
                <w:highlight w:val="none"/>
                <w:lang w:val="en-US" w:eastAsia="zh"/>
              </w:rPr>
              <w:t xml:space="preserve">南京市商务局（网址：https://swj.nanjing.gov.cn/njsswj/?id=386）发布的最新一期科巷菜场同类食材的指导价格、送货当天大润发超市零售价格</w:t>
            </w:r>
            <w:r>
              <w:rPr>
                <w:rFonts w:hint="eastAsia" w:ascii="宋体" w:hAnsi="宋体" w:eastAsia="宋体" w:cs="宋体"/>
                <w:b/>
                <w:bCs/>
                <w:color w:val="auto"/>
                <w:sz w:val="18"/>
                <w:szCs w:val="18"/>
                <w:highlight w:val="none"/>
                <w:lang w:val="en-US"/>
              </w:rPr>
              <w:t xml:space="preserve">。</w:t>
            </w:r>
            <w:r>
              <w:rPr>
                <w:rFonts w:hint="eastAsia" w:ascii="宋体" w:hAnsi="宋体" w:eastAsia="宋体" w:cs="宋体"/>
                <w:b/>
                <w:bCs/>
                <w:color w:val="auto"/>
                <w:sz w:val="18"/>
                <w:szCs w:val="18"/>
                <w:highlight w:val="none"/>
              </w:rPr>
              <w:t xml:space="preserve">如部分类别食材确实均不在以上查询平台中（须由甲乙双方事先确认），则其结算单价由甲方综合市场价格并根据乙方报价优惠率计算后确定，</w:t>
            </w:r>
            <w:r>
              <w:rPr>
                <w:rFonts w:hint="eastAsia" w:ascii="宋体" w:hAnsi="宋体" w:eastAsia="宋体" w:cs="宋体"/>
                <w:b/>
                <w:bCs/>
                <w:color w:val="auto"/>
                <w:sz w:val="18"/>
                <w:szCs w:val="18"/>
                <w:highlight w:val="none"/>
                <w:lang w:val="en-US"/>
              </w:rPr>
              <w:t xml:space="preserve">由甲方提供相关证明资料附后。</w:t>
            </w:r>
            <w:r/>
          </w:p>
        </w:tc>
        <w:tc>
          <w:tcPr>
            <w:tcBorders>
              <w:right w:val="single" w:color="auto" w:sz="4" w:space="0"/>
            </w:tcBorders>
            <w:tcW w:w="687" w:type="pct"/>
            <w:vAlign w:val="center"/>
            <w:textDirection w:val="lrTb"/>
            <w:noWrap w:val="false"/>
          </w:tcPr>
          <w:p>
            <w:pPr>
              <w:ind w:firstLine="0"/>
              <w:jc w:val="center"/>
              <w:pageBreakBefore w:val="0"/>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填写成交的</w:t>
            </w:r>
            <w:r/>
          </w:p>
          <w:p>
            <w:pPr>
              <w:ind w:firstLine="0"/>
              <w:jc w:val="center"/>
              <w:pageBreakBefore w:val="0"/>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优惠率</w:t>
            </w:r>
            <w:r/>
          </w:p>
        </w:tc>
        <w:tc>
          <w:tcPr>
            <w:tcBorders>
              <w:left w:val="single" w:color="auto" w:sz="4" w:space="0"/>
              <w:right w:val="single" w:color="auto" w:sz="4" w:space="0"/>
            </w:tcBorders>
            <w:tcW w:w="625" w:type="pct"/>
            <w:vAlign w:val="center"/>
            <w:textDirection w:val="lrTb"/>
            <w:noWrap w:val="false"/>
          </w:tcPr>
          <w:p>
            <w:pPr>
              <w:ind w:firstLine="0"/>
              <w:jc w:val="center"/>
              <w:pageBreakBefore w:val="0"/>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基准单价*（1-优惠率）</w:t>
            </w:r>
            <w:r/>
          </w:p>
        </w:tc>
        <w:tc>
          <w:tcPr>
            <w:tcBorders>
              <w:left w:val="single" w:color="auto" w:sz="4" w:space="0"/>
              <w:right w:val="single" w:color="auto" w:sz="4" w:space="0"/>
            </w:tcBorders>
            <w:tcW w:w="347" w:type="pct"/>
            <w:vAlign w:val="center"/>
            <w:textDirection w:val="lrTb"/>
            <w:noWrap w:val="false"/>
          </w:tcPr>
          <w:p>
            <w:pPr>
              <w:ind w:firstLine="0"/>
              <w:jc w:val="center"/>
              <w:pageBreakBefore w:val="0"/>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r>
            <w:r/>
          </w:p>
        </w:tc>
        <w:tc>
          <w:tcPr>
            <w:tcBorders>
              <w:left w:val="single" w:color="auto" w:sz="4" w:space="0"/>
            </w:tcBorders>
            <w:tcW w:w="487" w:type="pct"/>
            <w:vAlign w:val="center"/>
            <w:textDirection w:val="lrTb"/>
            <w:noWrap w:val="false"/>
          </w:tcPr>
          <w:p>
            <w:pPr>
              <w:ind w:firstLine="0"/>
              <w:jc w:val="center"/>
              <w:pageBreakBefore w:val="0"/>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r>
            <w:r/>
          </w:p>
        </w:tc>
      </w:tr>
      <w:tr>
        <w:trPr/>
        <w:tc>
          <w:tcPr>
            <w:tcW w:w="346" w:type="pct"/>
            <w:vAlign w:val="center"/>
            <w:textDirection w:val="lrTb"/>
            <w:noWrap w:val="false"/>
          </w:tcPr>
          <w:p>
            <w:pPr>
              <w:ind w:firstLine="0"/>
              <w:jc w:val="center"/>
              <w:pageBreakBefore w:val="0"/>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r>
            <w:r/>
          </w:p>
        </w:tc>
        <w:tc>
          <w:tcPr>
            <w:tcW w:w="624" w:type="pct"/>
            <w:vAlign w:val="center"/>
            <w:textDirection w:val="lrTb"/>
            <w:noWrap w:val="false"/>
          </w:tcPr>
          <w:p>
            <w:pPr>
              <w:ind w:firstLine="0"/>
              <w:jc w:val="center"/>
              <w:pageBreakBefore w:val="0"/>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eastAsia="zh"/>
              </w:rPr>
              <w:t xml:space="preserve">合计</w:t>
            </w:r>
            <w:r/>
          </w:p>
        </w:tc>
        <w:tc>
          <w:tcPr>
            <w:tcW w:w="648" w:type="pct"/>
            <w:vAlign w:val="center"/>
            <w:textDirection w:val="lrTb"/>
            <w:noWrap w:val="false"/>
          </w:tcPr>
          <w:p>
            <w:pPr>
              <w:ind w:firstLine="0"/>
              <w:jc w:val="center"/>
              <w:pageBreakBefore w:val="0"/>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r>
            <w:r/>
          </w:p>
        </w:tc>
        <w:tc>
          <w:tcPr>
            <w:tcW w:w="1237" w:type="pct"/>
            <w:vAlign w:val="center"/>
            <w:textDirection w:val="lrTb"/>
            <w:noWrap w:val="false"/>
          </w:tcPr>
          <w:p>
            <w:pPr>
              <w:ind w:firstLine="0"/>
              <w:jc w:val="center"/>
              <w:pageBreakBefore w:val="0"/>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r>
            <w:r/>
          </w:p>
        </w:tc>
        <w:tc>
          <w:tcPr>
            <w:tcBorders>
              <w:right w:val="single" w:color="auto" w:sz="4" w:space="0"/>
            </w:tcBorders>
            <w:tcW w:w="687" w:type="pct"/>
            <w:vAlign w:val="center"/>
            <w:textDirection w:val="lrTb"/>
            <w:noWrap w:val="false"/>
          </w:tcPr>
          <w:p>
            <w:pPr>
              <w:ind w:firstLine="0"/>
              <w:jc w:val="center"/>
              <w:pageBreakBefore w:val="0"/>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r>
            <w:r/>
          </w:p>
        </w:tc>
        <w:tc>
          <w:tcPr>
            <w:tcBorders>
              <w:left w:val="single" w:color="auto" w:sz="4" w:space="0"/>
              <w:right w:val="single" w:color="auto" w:sz="4" w:space="0"/>
            </w:tcBorders>
            <w:tcW w:w="625" w:type="pct"/>
            <w:vAlign w:val="center"/>
            <w:textDirection w:val="lrTb"/>
            <w:noWrap w:val="false"/>
          </w:tcPr>
          <w:p>
            <w:pPr>
              <w:ind w:firstLine="0"/>
              <w:jc w:val="center"/>
              <w:pageBreakBefore w:val="0"/>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r>
            <w:r/>
          </w:p>
        </w:tc>
        <w:tc>
          <w:tcPr>
            <w:tcBorders>
              <w:left w:val="single" w:color="auto" w:sz="4" w:space="0"/>
              <w:right w:val="single" w:color="auto" w:sz="4" w:space="0"/>
            </w:tcBorders>
            <w:tcW w:w="347" w:type="pct"/>
            <w:vAlign w:val="center"/>
            <w:textDirection w:val="lrTb"/>
            <w:noWrap w:val="false"/>
          </w:tcPr>
          <w:p>
            <w:pPr>
              <w:ind w:firstLine="0"/>
              <w:jc w:val="center"/>
              <w:pageBreakBefore w:val="0"/>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r>
            <w:r/>
          </w:p>
        </w:tc>
        <w:tc>
          <w:tcPr>
            <w:tcBorders>
              <w:left w:val="single" w:color="auto" w:sz="4" w:space="0"/>
            </w:tcBorders>
            <w:tcW w:w="487" w:type="pct"/>
            <w:vAlign w:val="center"/>
            <w:textDirection w:val="lrTb"/>
            <w:noWrap w:val="false"/>
          </w:tcPr>
          <w:p>
            <w:pPr>
              <w:ind w:firstLine="0"/>
              <w:jc w:val="center"/>
              <w:pageBreakBefore w:val="0"/>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r>
            <w:r/>
          </w:p>
        </w:tc>
      </w:tr>
    </w:tbl>
    <w:p>
      <w:pPr>
        <w:ind w:right="844" w:firstLine="0"/>
        <w:pageBreakBefore w:val="0"/>
        <w:spacing w:line="360" w:lineRule="auto"/>
        <w:shd w:val="clear" w:color="auto" w:fill="ffffff"/>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r>
      <w:r/>
    </w:p>
    <w:p>
      <w:pPr>
        <w:ind w:right="844" w:firstLine="0"/>
        <w:pageBreakBefore w:val="0"/>
        <w:spacing w:line="360" w:lineRule="auto"/>
        <w:shd w:val="clear" w:color="auto" w:fill="ffffff"/>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采购人代表签字：                                      供应商代表签字：</w:t>
      </w:r>
      <w:r/>
    </w:p>
    <w:p>
      <w:pPr>
        <w:ind w:right="571" w:firstLine="0"/>
        <w:jc w:val="right"/>
        <w:pageBreakBefore w:val="0"/>
        <w:spacing w:line="360" w:lineRule="auto"/>
        <w:shd w:val="clear" w:color="auto" w:fill="ffffff"/>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年  月  日</w:t>
      </w:r>
      <w:r/>
    </w:p>
    <w:p>
      <w:pPr>
        <w:ind w:firstLine="0"/>
        <w:jc w:val="left"/>
        <w:pageBreakBefore w:val="0"/>
        <w:spacing w:line="360" w:lineRule="auto"/>
        <w:shd w:val="clear" w:color="auto" w:fill="ffffff"/>
        <w:rPr>
          <w:rFonts w:hint="eastAsia" w:ascii="宋体" w:hAnsi="宋体" w:eastAsia="宋体" w:cs="宋体"/>
          <w:b/>
          <w:bCs/>
          <w:iCs/>
          <w:color w:val="auto"/>
          <w:sz w:val="21"/>
          <w:szCs w:val="21"/>
          <w:highlight w:val="none"/>
          <w:lang w:val="en-US"/>
        </w:rPr>
      </w:pPr>
      <w:r>
        <w:rPr>
          <w:rFonts w:hint="eastAsia" w:ascii="宋体" w:hAnsi="宋体" w:eastAsia="宋体" w:cs="宋体"/>
          <w:b/>
          <w:bCs/>
          <w:iCs/>
          <w:color w:val="auto"/>
          <w:sz w:val="21"/>
          <w:szCs w:val="21"/>
          <w:highlight w:val="none"/>
          <w:lang w:val="en-US"/>
        </w:rPr>
        <w:t xml:space="preserve">注：针对表格基准单价中要求提供证明资料的要求如下：</w:t>
      </w:r>
      <w:r/>
    </w:p>
    <w:p>
      <w:pPr>
        <w:pStyle w:val="1111"/>
        <w:ind w:left="0" w:firstLine="0"/>
        <w:pageBreakBefore w:val="0"/>
        <w:spacing w:line="360" w:lineRule="auto"/>
        <w:widowControl w:val="off"/>
        <w:rPr>
          <w:rFonts w:hint="eastAsia" w:ascii="宋体" w:hAnsi="宋体" w:eastAsia="宋体" w:cs="宋体"/>
          <w:b/>
          <w:bCs/>
          <w:iCs/>
          <w:color w:val="auto"/>
          <w:sz w:val="21"/>
          <w:szCs w:val="21"/>
          <w:highlight w:val="none"/>
          <w:lang w:val="en-US" w:eastAsia="zh-CN"/>
        </w:rPr>
      </w:pPr>
      <w:r>
        <w:rPr>
          <w:rFonts w:hint="eastAsia" w:ascii="宋体" w:hAnsi="宋体" w:eastAsia="宋体" w:cs="宋体"/>
          <w:b/>
          <w:bCs/>
          <w:iCs/>
          <w:color w:val="auto"/>
          <w:sz w:val="21"/>
          <w:szCs w:val="21"/>
          <w:highlight w:val="none"/>
          <w:lang w:val="en-US" w:eastAsia="zh-CN"/>
        </w:rPr>
        <w:t xml:space="preserve">（1）提供的是南京市商务局发布的最新一期科巷菜场同类食材的指导价格，则证明资料应为南京市商务局网站（网址：</w:t>
      </w:r>
      <w:r>
        <w:rPr>
          <w:rFonts w:hint="eastAsia" w:ascii="宋体" w:hAnsi="宋体" w:eastAsia="宋体" w:cs="宋体"/>
          <w:b/>
          <w:bCs/>
          <w:iCs/>
          <w:color w:val="auto"/>
          <w:sz w:val="21"/>
          <w:szCs w:val="21"/>
          <w:highlight w:val="none"/>
          <w:lang w:val="en-US" w:eastAsia="zh-CN"/>
        </w:rPr>
        <w:fldChar w:fldCharType="begin"/>
      </w:r>
      <w:r>
        <w:rPr>
          <w:rFonts w:hint="eastAsia" w:ascii="宋体" w:hAnsi="宋体" w:eastAsia="宋体" w:cs="宋体"/>
          <w:b/>
          <w:bCs/>
          <w:iCs/>
          <w:color w:val="auto"/>
          <w:sz w:val="21"/>
          <w:szCs w:val="21"/>
          <w:highlight w:val="none"/>
          <w:lang w:val="en-US" w:eastAsia="zh-CN"/>
        </w:rPr>
        <w:instrText xml:space="preserve">HYPERLINK "https://swj"</w:instrText>
      </w:r>
      <w:r>
        <w:rPr>
          <w:rFonts w:hint="eastAsia" w:ascii="宋体" w:hAnsi="宋体" w:eastAsia="宋体" w:cs="宋体"/>
          <w:b/>
          <w:bCs/>
          <w:iCs/>
          <w:color w:val="auto"/>
          <w:sz w:val="21"/>
          <w:szCs w:val="21"/>
          <w:highlight w:val="none"/>
          <w:lang w:val="en-US" w:eastAsia="zh-CN"/>
        </w:rPr>
        <w:fldChar w:fldCharType="separate"/>
      </w:r>
      <w:r>
        <w:rPr>
          <w:rFonts w:hint="eastAsia" w:ascii="宋体" w:hAnsi="宋体" w:eastAsia="宋体" w:cs="宋体"/>
          <w:b/>
          <w:bCs/>
          <w:iCs/>
          <w:color w:val="auto"/>
          <w:sz w:val="21"/>
          <w:szCs w:val="21"/>
          <w:highlight w:val="none"/>
          <w:lang w:val="en-US" w:eastAsia="zh-CN"/>
        </w:rPr>
        <w:t xml:space="preserve">https://swj</w:t>
      </w:r>
      <w:r>
        <w:rPr>
          <w:rFonts w:hint="eastAsia" w:ascii="宋体" w:hAnsi="宋体" w:eastAsia="宋体" w:cs="宋体"/>
          <w:b/>
          <w:bCs/>
          <w:iCs/>
          <w:color w:val="auto"/>
          <w:sz w:val="21"/>
          <w:szCs w:val="21"/>
          <w:highlight w:val="none"/>
          <w:lang w:val="en-US" w:eastAsia="zh-CN"/>
        </w:rPr>
        <w:fldChar w:fldCharType="end"/>
      </w:r>
      <w:r>
        <w:rPr>
          <w:rFonts w:hint="eastAsia" w:ascii="宋体" w:hAnsi="宋体" w:eastAsia="宋体" w:cs="宋体"/>
          <w:b/>
          <w:bCs/>
          <w:iCs/>
          <w:color w:val="auto"/>
          <w:sz w:val="21"/>
          <w:szCs w:val="21"/>
          <w:highlight w:val="none"/>
          <w:lang w:val="en-US" w:eastAsia="zh-CN"/>
        </w:rPr>
        <w:t xml:space="preserve">.nanjing.gov.cn/njsswj/?id=386）</w:t>
      </w:r>
      <w:r>
        <w:rPr>
          <w:rFonts w:hint="eastAsia" w:ascii="宋体" w:hAnsi="宋体" w:eastAsia="宋体" w:cs="宋体"/>
          <w:b/>
          <w:bCs/>
          <w:iCs/>
          <w:color w:val="auto"/>
          <w:sz w:val="21"/>
          <w:szCs w:val="21"/>
          <w:highlight w:val="none"/>
          <w:lang w:val="en-US" w:eastAsia="zh"/>
        </w:rPr>
        <w:t xml:space="preserve">最新一期</w:t>
      </w:r>
      <w:r>
        <w:rPr>
          <w:rFonts w:hint="eastAsia" w:ascii="宋体" w:hAnsi="宋体" w:eastAsia="宋体" w:cs="宋体"/>
          <w:b/>
          <w:bCs/>
          <w:iCs/>
          <w:color w:val="auto"/>
          <w:sz w:val="21"/>
          <w:szCs w:val="21"/>
          <w:highlight w:val="none"/>
          <w:lang w:val="en-US" w:eastAsia="zh-CN"/>
        </w:rPr>
        <w:t xml:space="preserve">价格截图。</w:t>
      </w:r>
      <w:r/>
    </w:p>
    <w:p>
      <w:pPr>
        <w:pStyle w:val="1111"/>
        <w:ind w:left="0" w:firstLine="0"/>
        <w:pageBreakBefore w:val="0"/>
        <w:spacing w:line="360" w:lineRule="auto"/>
        <w:widowControl w:val="off"/>
        <w:rPr>
          <w:rFonts w:hint="eastAsia" w:ascii="宋体" w:hAnsi="宋体" w:eastAsia="宋体" w:cs="宋体"/>
          <w:b/>
          <w:bCs/>
          <w:iCs/>
          <w:color w:val="auto"/>
          <w:sz w:val="21"/>
          <w:szCs w:val="21"/>
          <w:highlight w:val="none"/>
          <w:lang w:val="en-US" w:eastAsia="zh-CN"/>
        </w:rPr>
      </w:pPr>
      <w:r>
        <w:rPr>
          <w:rFonts w:hint="eastAsia" w:ascii="宋体" w:hAnsi="宋体" w:eastAsia="宋体" w:cs="宋体"/>
          <w:b/>
          <w:bCs/>
          <w:iCs/>
          <w:color w:val="auto"/>
          <w:sz w:val="21"/>
          <w:szCs w:val="21"/>
          <w:highlight w:val="none"/>
          <w:lang w:val="en-US" w:eastAsia="zh-CN"/>
        </w:rPr>
        <w:t xml:space="preserve">（2）提供的是</w:t>
      </w:r>
      <w:r>
        <w:rPr>
          <w:rFonts w:hint="eastAsia" w:ascii="宋体" w:hAnsi="宋体" w:eastAsia="宋体" w:cs="宋体"/>
          <w:b/>
          <w:bCs/>
          <w:color w:val="auto"/>
          <w:sz w:val="21"/>
          <w:szCs w:val="21"/>
          <w:highlight w:val="none"/>
          <w:lang w:val="en-US" w:eastAsia="zh-CN"/>
        </w:rPr>
        <w:t xml:space="preserve">大润发超市同类食材</w:t>
      </w:r>
      <w:r>
        <w:rPr>
          <w:rFonts w:hint="eastAsia" w:ascii="宋体" w:hAnsi="宋体" w:eastAsia="宋体" w:cs="宋体"/>
          <w:b/>
          <w:bCs/>
          <w:color w:val="auto"/>
          <w:sz w:val="21"/>
          <w:szCs w:val="21"/>
          <w:highlight w:val="none"/>
          <w:shd w:val="clear" w:color="ffffff" w:fill="d9d9d9"/>
          <w:lang w:val="en-US" w:eastAsia="zh-CN"/>
        </w:rPr>
        <w:t xml:space="preserve">当日</w:t>
      </w:r>
      <w:r>
        <w:rPr>
          <w:rFonts w:hint="eastAsia" w:ascii="宋体" w:hAnsi="宋体" w:eastAsia="宋体" w:cs="宋体"/>
          <w:b/>
          <w:bCs/>
          <w:color w:val="auto"/>
          <w:sz w:val="21"/>
          <w:szCs w:val="21"/>
          <w:highlight w:val="none"/>
          <w:lang w:val="en-US" w:eastAsia="zh-CN"/>
        </w:rPr>
        <w:t xml:space="preserve">的零售价格</w:t>
      </w:r>
      <w:r>
        <w:rPr>
          <w:rFonts w:hint="eastAsia" w:ascii="宋体" w:hAnsi="宋体" w:eastAsia="宋体" w:cs="宋体"/>
          <w:b/>
          <w:bCs/>
          <w:iCs/>
          <w:color w:val="auto"/>
          <w:sz w:val="21"/>
          <w:szCs w:val="21"/>
          <w:highlight w:val="none"/>
          <w:lang w:val="en-US" w:eastAsia="zh-CN"/>
        </w:rPr>
        <w:t xml:space="preserve">，则证明资料应为在该超市同类食材当日的零售价格信息照片/图片。</w:t>
      </w:r>
      <w:r/>
    </w:p>
    <w:p>
      <w:pPr>
        <w:ind w:firstLine="0"/>
        <w:pageBreakBefore w:val="0"/>
        <w:spacing w:line="360" w:lineRule="auto"/>
        <w:shd w:val="clear" w:color="auto" w:fill="ffffff"/>
        <w:widowControl/>
        <w:rPr>
          <w:rFonts w:hint="eastAsia" w:ascii="宋体" w:hAnsi="宋体" w:eastAsia="宋体" w:cs="宋体"/>
          <w:b/>
          <w:bCs/>
          <w:color w:val="auto"/>
          <w:sz w:val="24"/>
          <w:szCs w:val="24"/>
          <w:highlight w:val="none"/>
          <w:lang w:val="en-US"/>
        </w:rPr>
      </w:pPr>
      <w:r>
        <w:rPr>
          <w:rFonts w:hint="eastAsia" w:ascii="宋体" w:hAnsi="宋体" w:eastAsia="宋体" w:cs="宋体"/>
          <w:b/>
          <w:bCs/>
          <w:iCs/>
          <w:color w:val="auto"/>
          <w:sz w:val="21"/>
          <w:szCs w:val="21"/>
          <w:highlight w:val="none"/>
          <w:lang w:val="en-US" w:eastAsia="zh-CN" w:bidi="ar-SA"/>
        </w:rPr>
        <w:t xml:space="preserve">如部分类别食材确实均不在以上价格查询平台中（须由甲乙双方事先确认），则其结算单价由采购人综合市场价格并根据供应商报价优惠率计算后确定，其</w:t>
      </w:r>
      <w:r>
        <w:rPr>
          <w:rFonts w:hint="eastAsia" w:ascii="宋体" w:hAnsi="宋体" w:eastAsia="宋体" w:cs="宋体"/>
          <w:b/>
          <w:bCs/>
          <w:iCs/>
          <w:color w:val="auto"/>
          <w:sz w:val="21"/>
          <w:szCs w:val="21"/>
          <w:highlight w:val="none"/>
          <w:lang w:val="en-US" w:eastAsia="zh" w:bidi="ar-SA"/>
        </w:rPr>
        <w:t xml:space="preserve">结算</w:t>
      </w:r>
      <w:r>
        <w:rPr>
          <w:rFonts w:hint="eastAsia" w:ascii="宋体" w:hAnsi="宋体" w:eastAsia="宋体" w:cs="宋体"/>
          <w:b/>
          <w:bCs/>
          <w:iCs/>
          <w:color w:val="auto"/>
          <w:sz w:val="21"/>
          <w:szCs w:val="21"/>
          <w:highlight w:val="none"/>
          <w:lang w:val="en-US" w:eastAsia="zh-CN" w:bidi="ar-SA"/>
        </w:rPr>
        <w:t xml:space="preserve">资料同样按此要求执行。</w:t>
      </w:r>
      <w:r/>
    </w:p>
    <w:p>
      <w:pPr>
        <w:ind w:firstLine="0"/>
        <w:pageBreakBefore w:val="0"/>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、特别说明</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1、本章“招标项目需求”中所有要求均为实质性要求，不可负偏离，否则作为无效响应处理。</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2、本章“招标项目需求”中所有要求为本项目合同不可分割的一部分，成交供应商在项目实施过程中应严格按照项本章各项要求、项目合同各项条款、招标人要求以及投标文件中确定的事项和承诺履行本项目。</w:t>
      </w:r>
      <w:r/>
    </w:p>
    <w:p>
      <w:pPr>
        <w:pStyle w:val="846"/>
        <w:ind w:firstLine="0"/>
        <w:jc w:val="center"/>
        <w:pageBreakBefore w:val="0"/>
        <w:spacing w:line="560" w:lineRule="exact"/>
        <w:rPr>
          <w:rFonts w:hint="eastAsia" w:ascii="宋体" w:hAnsi="宋体" w:eastAsia="宋体" w:cs="宋体"/>
          <w:color w:val="auto"/>
          <w:sz w:val="24"/>
          <w:szCs w:val="24"/>
          <w:highlight w:val="none"/>
        </w:rPr>
      </w:pPr>
      <w:r/>
      <w:bookmarkStart w:id="15" w:name="_Toc5536"/>
      <w:r>
        <w:rPr>
          <w:rFonts w:hint="eastAsia" w:ascii="宋体" w:hAnsi="宋体" w:eastAsia="宋体" w:cs="宋体"/>
          <w:color w:val="auto"/>
          <w:sz w:val="24"/>
          <w:szCs w:val="24"/>
          <w:highlight w:val="none"/>
        </w:rPr>
        <w:t xml:space="preserve">第五章  合同主要条款及格式</w:t>
      </w:r>
      <w:bookmarkEnd w:id="11"/>
      <w:r/>
      <w:bookmarkEnd w:id="15"/>
      <w:r/>
      <w:r/>
    </w:p>
    <w:p>
      <w:pPr>
        <w:ind w:firstLine="0"/>
        <w:jc w:val="center"/>
        <w:pageBreakBefore w:val="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（此合同模板为草案，具体</w:t>
      </w:r>
      <w:r>
        <w:rPr>
          <w:rFonts w:hint="eastAsia" w:ascii="宋体" w:hAnsi="宋体" w:eastAsia="宋体" w:cs="宋体"/>
          <w:color w:val="auto"/>
          <w:szCs w:val="21"/>
          <w:highlight w:val="none"/>
          <w:lang w:eastAsia="zh-CN"/>
        </w:rPr>
        <w:t xml:space="preserve">中标</w:t>
      </w:r>
      <w:r>
        <w:rPr>
          <w:rFonts w:hint="eastAsia" w:ascii="宋体" w:hAnsi="宋体" w:eastAsia="宋体" w:cs="宋体"/>
          <w:color w:val="auto"/>
          <w:szCs w:val="21"/>
          <w:highlight w:val="none"/>
        </w:rPr>
        <w:t xml:space="preserve">后以双方协商为准，如实际勘察后，经双方协商一致需另行约定的，在其它约定内明示）</w:t>
      </w:r>
      <w:r/>
    </w:p>
    <w:p>
      <w:pPr>
        <w:ind w:firstLine="0"/>
        <w:pageBreakBefore w:val="0"/>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0"/>
        <w:pageBreakBefore w:val="0"/>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0"/>
        <w:jc w:val="center"/>
        <w:pageBreakBefore w:val="0"/>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项目合同</w:t>
      </w:r>
      <w:r/>
    </w:p>
    <w:p>
      <w:pPr>
        <w:ind w:firstLine="0"/>
        <w:pageBreakBefore w:val="0"/>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0"/>
        <w:pageBreakBefore w:val="0"/>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0"/>
        <w:pageBreakBefore w:val="0"/>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0"/>
        <w:pageBreakBefore w:val="0"/>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0"/>
        <w:pageBreakBefore w:val="0"/>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0"/>
        <w:pageBreakBefore w:val="0"/>
        <w:spacing w:line="5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合同编号 ：</w:t>
      </w:r>
      <w:r>
        <w:rPr>
          <w:rFonts w:hint="eastAsia" w:ascii="宋体" w:hAnsi="宋体" w:eastAsia="宋体" w:cs="宋体"/>
          <w:b/>
          <w:color w:val="auto"/>
          <w:sz w:val="28"/>
          <w:szCs w:val="28"/>
          <w:highlight w:val="none"/>
          <w:u w:val="single"/>
        </w:rPr>
        <w:t xml:space="preserve">                    </w:t>
      </w:r>
      <w:r/>
    </w:p>
    <w:p>
      <w:pPr>
        <w:ind w:firstLine="0"/>
        <w:pageBreakBefore w:val="0"/>
        <w:spacing w:line="5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0"/>
        <w:pageBreakBefore w:val="0"/>
        <w:spacing w:line="560" w:lineRule="exact"/>
        <w:rPr>
          <w:rFonts w:hint="eastAsia" w:ascii="宋体" w:hAnsi="宋体" w:eastAsia="宋体" w:cs="宋体"/>
          <w:b/>
          <w:color w:val="auto"/>
          <w:sz w:val="28"/>
          <w:szCs w:val="28"/>
          <w:highlight w:val="none"/>
          <w:u w:val="single"/>
          <w:lang w:eastAsia="zh-CN"/>
        </w:rPr>
      </w:pPr>
      <w:r>
        <w:rPr>
          <w:rFonts w:hint="eastAsia" w:ascii="宋体" w:hAnsi="宋体" w:eastAsia="宋体" w:cs="宋体"/>
          <w:b/>
          <w:color w:val="auto"/>
          <w:sz w:val="28"/>
          <w:szCs w:val="28"/>
          <w:highlight w:val="none"/>
        </w:rPr>
        <w:t xml:space="preserve">项目名称 ：</w:t>
      </w:r>
      <w:r>
        <w:rPr>
          <w:rFonts w:hint="eastAsia" w:ascii="宋体" w:hAnsi="宋体" w:eastAsia="宋体" w:cs="宋体"/>
          <w:b/>
          <w:color w:val="auto"/>
          <w:sz w:val="28"/>
          <w:szCs w:val="28"/>
          <w:highlight w:val="none"/>
          <w:u w:val="single"/>
          <w:lang w:eastAsia="zh-CN"/>
        </w:rPr>
        <w:t xml:space="preserve">南京市博物总馆食堂食材采购及配送 </w:t>
      </w:r>
      <w:r/>
    </w:p>
    <w:p>
      <w:pPr>
        <w:ind w:firstLine="0"/>
        <w:pageBreakBefore w:val="0"/>
        <w:spacing w:line="5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0"/>
        <w:pageBreakBefore w:val="0"/>
        <w:spacing w:line="560" w:lineRule="exact"/>
        <w:rPr>
          <w:rFonts w:hint="eastAsia" w:ascii="宋体" w:hAnsi="宋体" w:eastAsia="宋体" w:cs="宋体"/>
          <w:b/>
          <w:color w:val="auto"/>
          <w:sz w:val="28"/>
          <w:szCs w:val="28"/>
          <w:highlight w:val="none"/>
          <w:u w:val="single"/>
          <w:lang w:eastAsia="zh-CN"/>
        </w:rPr>
      </w:pPr>
      <w:r>
        <w:rPr>
          <w:rFonts w:hint="eastAsia" w:ascii="宋体" w:hAnsi="宋体" w:eastAsia="宋体" w:cs="宋体"/>
          <w:b/>
          <w:color w:val="auto"/>
          <w:sz w:val="28"/>
          <w:szCs w:val="28"/>
          <w:highlight w:val="none"/>
        </w:rPr>
        <w:t xml:space="preserve">采 购 人 ：</w:t>
      </w:r>
      <w:r>
        <w:rPr>
          <w:rFonts w:hint="eastAsia" w:ascii="宋体" w:hAnsi="宋体" w:eastAsia="宋体" w:cs="宋体"/>
          <w:b/>
          <w:color w:val="auto"/>
          <w:sz w:val="28"/>
          <w:szCs w:val="28"/>
          <w:highlight w:val="none"/>
          <w:u w:val="single"/>
          <w:lang w:eastAsia="zh-CN"/>
        </w:rPr>
        <w:t xml:space="preserve">南京市博物总馆</w:t>
      </w:r>
      <w:r/>
    </w:p>
    <w:p>
      <w:pPr>
        <w:ind w:firstLine="0"/>
        <w:pageBreakBefore w:val="0"/>
        <w:spacing w:line="5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0"/>
        <w:pageBreakBefore w:val="0"/>
        <w:spacing w:line="5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 xml:space="preserve">中标</w:t>
      </w:r>
      <w:r>
        <w:rPr>
          <w:rFonts w:hint="eastAsia" w:ascii="宋体" w:hAnsi="宋体" w:eastAsia="宋体" w:cs="宋体"/>
          <w:b/>
          <w:color w:val="auto"/>
          <w:sz w:val="28"/>
          <w:szCs w:val="28"/>
          <w:highlight w:val="none"/>
        </w:rPr>
        <w:t xml:space="preserve">供应商 ：</w:t>
      </w:r>
      <w:r>
        <w:rPr>
          <w:rFonts w:hint="eastAsia" w:ascii="宋体" w:hAnsi="宋体" w:eastAsia="宋体" w:cs="宋体"/>
          <w:b/>
          <w:color w:val="auto"/>
          <w:sz w:val="28"/>
          <w:szCs w:val="28"/>
          <w:highlight w:val="none"/>
          <w:u w:val="single"/>
        </w:rPr>
        <w:t xml:space="preserve">                  </w:t>
      </w:r>
      <w:r/>
    </w:p>
    <w:p>
      <w:pPr>
        <w:ind w:firstLine="0"/>
        <w:pageBreakBefore w:val="0"/>
        <w:spacing w:line="5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0"/>
        <w:pageBreakBefore w:val="0"/>
        <w:spacing w:line="5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签订日期 ：</w:t>
      </w:r>
      <w:r>
        <w:rPr>
          <w:rFonts w:hint="eastAsia" w:ascii="宋体" w:hAnsi="宋体" w:eastAsia="宋体" w:cs="宋体"/>
          <w:b/>
          <w:color w:val="auto"/>
          <w:sz w:val="28"/>
          <w:szCs w:val="28"/>
          <w:highlight w:val="none"/>
          <w:u w:val="single"/>
        </w:rPr>
        <w:t xml:space="preserve">                    </w:t>
      </w:r>
      <w:r/>
    </w:p>
    <w:p>
      <w:pPr>
        <w:ind w:firstLine="0"/>
        <w:pageBreakBefore w:val="0"/>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0"/>
        <w:pageBreakBefore w:val="0"/>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0"/>
        <w:pageBreakBefore w:val="0"/>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36"/>
          <w:highlight w:val="none"/>
        </w:rPr>
        <w:br w:type="page" w:clear="all"/>
      </w:r>
      <w:r>
        <w:rPr>
          <w:rFonts w:hint="eastAsia" w:ascii="宋体" w:hAnsi="宋体" w:eastAsia="宋体" w:cs="宋体"/>
          <w:color w:val="auto"/>
          <w:sz w:val="24"/>
          <w:szCs w:val="24"/>
          <w:highlight w:val="none"/>
        </w:rPr>
        <w:t xml:space="preserve">合同编号：</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政府采购计划号：（如有）</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采购人：（以下称甲方）                      供应商：（以下称乙方）</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住所地：                                    住所地：</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根据《中华人民共和国政府采购法》、《中华人民共和国民法典》等法律法规的规定，甲乙双方按照</w:t>
      </w:r>
      <w:r>
        <w:rPr>
          <w:rFonts w:hint="eastAsia" w:ascii="宋体" w:hAnsi="宋体" w:eastAsia="宋体" w:cs="宋体"/>
          <w:color w:val="auto"/>
          <w:sz w:val="24"/>
          <w:szCs w:val="24"/>
          <w:highlight w:val="none"/>
          <w:lang w:eastAsia="zh-CN"/>
        </w:rPr>
        <w:t xml:space="preserve">公开招标</w:t>
      </w:r>
      <w:r>
        <w:rPr>
          <w:rFonts w:hint="eastAsia" w:ascii="宋体" w:hAnsi="宋体" w:eastAsia="宋体" w:cs="宋体"/>
          <w:color w:val="auto"/>
          <w:sz w:val="24"/>
          <w:szCs w:val="24"/>
          <w:highlight w:val="none"/>
        </w:rPr>
        <w:t xml:space="preserve">结果签订本合同。</w:t>
      </w:r>
      <w:r/>
    </w:p>
    <w:p>
      <w:pPr>
        <w:numPr>
          <w:ilvl w:val="0"/>
          <w:numId w:val="9"/>
        </w:numPr>
        <w:ind w:firstLine="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合同标的</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乙方根据甲方需求提供下列服务：详见乙方响应文件。</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第二条</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合同总价款</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项下食材单价优惠率为________%，依照当天市场发布的市场指导价格为基准单价，市场指导价格参考范围以及优先顺序：南京市商务局（网址：https://swj.nanjing.gov.cn/njsswj/?id=386）发布的最新一期科巷菜场同类食材的指导价格→送货当天大润发超市零售价格。如部分类别食材确实均不在以上价格查询平台中（须由甲乙双方事先确认），则其结算单价由采购人综合市场价格并根据供应商报价优惠率计算后确定。</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价款是包含但不限于完成本项目所发生的食材采购费用、配送整理费用、所有含税费用、支付给员工的工资和国家强制缴纳的各种社会保障资金，以及乙方认为需要的其他费用等，除此之外，甲方不再另行支付任何费用。</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3、本合同执行期间优惠率不变。</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本合同总价款是完成本项目所发生的所有含税费用、支付给员工的工资和国家强制缴纳的各种社会保障资金</w:t>
      </w:r>
      <w:r>
        <w:rPr>
          <w:rFonts w:hint="eastAsia" w:ascii="宋体" w:hAnsi="宋体" w:eastAsia="宋体" w:cs="宋体"/>
          <w:bCs/>
          <w:color w:val="auto"/>
          <w:sz w:val="24"/>
          <w:szCs w:val="24"/>
          <w:highlight w:val="none"/>
        </w:rPr>
        <w:t xml:space="preserve">，以</w:t>
      </w:r>
      <w:r>
        <w:rPr>
          <w:rFonts w:hint="eastAsia" w:ascii="宋体" w:hAnsi="宋体" w:eastAsia="宋体" w:cs="宋体"/>
          <w:color w:val="auto"/>
          <w:sz w:val="24"/>
          <w:szCs w:val="24"/>
          <w:highlight w:val="none"/>
        </w:rPr>
        <w:t xml:space="preserve">及乙方认为需要的其他费用等。</w:t>
      </w:r>
      <w:r/>
    </w:p>
    <w:p>
      <w:pPr>
        <w:ind w:firstLine="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第三条 组成本合同的有关文件</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下列关于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公开招标</w:t>
      </w:r>
      <w:r>
        <w:rPr>
          <w:rFonts w:hint="eastAsia" w:ascii="宋体" w:hAnsi="宋体" w:eastAsia="宋体" w:cs="宋体"/>
          <w:color w:val="auto"/>
          <w:sz w:val="24"/>
          <w:szCs w:val="24"/>
          <w:highlight w:val="none"/>
        </w:rPr>
        <w:t xml:space="preserve">文件、乙方响应文件，或与本次采购活动方式相适应的文件，以及有关附件是本合同不可分割的组成部分，与本合同具有同等法律效力，这些文件包括但不限于：</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（1）乙方提供的响应文件和报价表；</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（2）技术偏离表；</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（3）承诺/服务承诺；</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（5）甲乙双方商定的其他文件等。</w:t>
      </w:r>
      <w:r/>
    </w:p>
    <w:p>
      <w:pPr>
        <w:ind w:firstLine="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第四条 权利保证</w:t>
      </w:r>
      <w:r/>
    </w:p>
    <w:p>
      <w:pPr>
        <w:ind w:firstLine="0"/>
        <w:pageBreakBefore w:val="0"/>
        <w:spacing w:line="560" w:lineRule="exact"/>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rPr>
        <w:t xml:space="preserve">乙方应保证甲方在使用该服务或其任何一部分时不受第三方提出侵犯其专利权、版权、商标权或其他权利的起诉。一旦出现侵权，乙方应承担全部责任。</w:t>
      </w:r>
      <w:r/>
    </w:p>
    <w:p>
      <w:pPr>
        <w:ind w:firstLine="0"/>
        <w:pageBreakBefore w:val="0"/>
        <w:spacing w:line="560" w:lineRule="exact"/>
        <w:rPr>
          <w:rFonts w:hint="eastAsia" w:ascii="宋体" w:hAnsi="宋体" w:eastAsia="宋体" w:cs="宋体"/>
          <w:b/>
          <w:bCs/>
          <w:color w:val="auto"/>
          <w:sz w:val="24"/>
          <w:szCs w:val="24"/>
          <w:highlight w:val="none"/>
          <w:lang w:eastAsia="zh-TW"/>
        </w:rPr>
      </w:pPr>
      <w:r>
        <w:rPr>
          <w:rFonts w:hint="eastAsia" w:ascii="宋体" w:hAnsi="宋体" w:eastAsia="宋体" w:cs="宋体"/>
          <w:b/>
          <w:bCs/>
          <w:color w:val="auto"/>
          <w:sz w:val="24"/>
          <w:szCs w:val="24"/>
          <w:highlight w:val="none"/>
        </w:rPr>
        <w:t xml:space="preserve">第五条 质量保证</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1、乙方所提供服务的技术规格响应与</w:t>
      </w:r>
      <w:r>
        <w:rPr>
          <w:rFonts w:hint="eastAsia" w:ascii="宋体" w:hAnsi="宋体" w:eastAsia="宋体" w:cs="宋体"/>
          <w:color w:val="auto"/>
          <w:sz w:val="24"/>
          <w:szCs w:val="24"/>
          <w:highlight w:val="none"/>
          <w:lang w:val="en-US" w:eastAsia="zh-CN"/>
        </w:rPr>
        <w:t xml:space="preserve">公开招标</w:t>
      </w:r>
      <w:r>
        <w:rPr>
          <w:rFonts w:hint="eastAsia" w:ascii="宋体" w:hAnsi="宋体" w:eastAsia="宋体" w:cs="宋体"/>
          <w:color w:val="auto"/>
          <w:sz w:val="24"/>
          <w:szCs w:val="24"/>
          <w:highlight w:val="none"/>
        </w:rPr>
        <w:t xml:space="preserve">文件规定的服务要求及所附的“技术条款偏离表”相一致；若技术性能无特殊说明，则按国家有关部门最新颁布的标准及规范为准。</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2、乙方应在合同签订后365个日历日内完成服务事项。</w:t>
      </w:r>
      <w:r/>
    </w:p>
    <w:p>
      <w:pPr>
        <w:ind w:firstLine="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第六条 验收评估</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验收标准：按行业通行标准和乙方响应文件的承诺（不低于国家相关标准）。 </w:t>
      </w:r>
      <w:r/>
    </w:p>
    <w:p>
      <w:pPr>
        <w:ind w:firstLine="0"/>
        <w:pageBreakBefore w:val="0"/>
        <w:spacing w:line="560" w:lineRule="exact"/>
        <w:rPr>
          <w:rFonts w:hint="eastAsia" w:ascii="宋体" w:hAnsi="宋体" w:eastAsia="宋体" w:cs="宋体"/>
          <w:b/>
          <w:bCs/>
          <w:i/>
          <w:iCs/>
          <w:color w:val="auto"/>
          <w:sz w:val="24"/>
          <w:szCs w:val="24"/>
          <w:highlight w:val="none"/>
        </w:rPr>
      </w:pPr>
      <w:r>
        <w:rPr>
          <w:rFonts w:hint="eastAsia" w:ascii="宋体" w:hAnsi="宋体" w:eastAsia="宋体" w:cs="宋体"/>
          <w:b/>
          <w:bCs/>
          <w:color w:val="auto"/>
          <w:sz w:val="24"/>
          <w:szCs w:val="24"/>
          <w:highlight w:val="none"/>
        </w:rPr>
        <w:t xml:space="preserve">第七条 合同款支付</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全年采购金额为预估数，采购人不对全年采购金额做出承诺，根据市场定价和采购量由采购人据实结算，结算方式如下： </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（一）合同签订时，中标供应商向招标人缴纳足额履约保证金，项目履约完成后视合同完成情况，无息一次性退还（付款时间最长不超过60日）。</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中标供应商每日提供供货验收单，经中标人收货人、办公室主任及中标供应商三方签字确认。食材每月一结，每月10日前，中标供应商根据上月经确认的供货验收单上采购核定的当日菜价与招标人确定结算金额并开具正规税务发票，发票上注明食材类别及对应清单。 每月结算价=基准单价*（1-优惠率）*订货量。实际供货量超出订货量部分，不补差价；实际供货量少于订货量部分，应补足。</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（三）所使用货币币制如未作特别说明均为人民币。</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价格为每天一核,核价时以核价当日南京市商务局（网址：https://swj.nanjing.gov.cn/njsswj/?id=386）发布的最新一期科巷菜场同类食材的指导价格、送货当天大润发超市零售价格为依据，确定基准单价，基准单价×（1-投标优惠率）＝采购核定的当日菜价。供应商在竞争报价时，应充分考虑到市场波动等客观因素，如遇所供食品市场价格上下波动在核算期内价格不做调整。</w:t>
      </w:r>
      <w:r/>
    </w:p>
    <w:p>
      <w:pPr>
        <w:ind w:firstLine="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第八条 违约责任</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1、甲方无正当理由拒收服务、拒付服务款的，甲方向乙方偿付合同总价的5%违约金。</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2、甲方未按合同规定的期限向乙方支付货款的，每逾期1天甲方向乙方偿付欠款总额的5‰滞纳金，但累计滞纳金总额不超过欠款总额的5% 。</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3、如乙方不能交付服务的，甲方有权扣留全部履约保证金；同时乙方应向甲方支付合同总价5%的违约金。</w:t>
      </w:r>
      <w:r/>
    </w:p>
    <w:p>
      <w:pPr>
        <w:ind w:firstLine="0"/>
        <w:pageBreakBefore w:val="0"/>
        <w:spacing w:line="560" w:lineRule="exact"/>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rPr>
        <w:t xml:space="preserve">4、乙方逾期交付的，每逾期1天，乙方向甲方偿付合同总额的5‰的滞纳金。如乙方逾期交付达</w:t>
      </w:r>
      <w:r>
        <w:rPr>
          <w:rFonts w:hint="eastAsia" w:ascii="宋体" w:hAnsi="宋体" w:eastAsia="宋体" w:cs="宋体"/>
          <w:color w:val="auto"/>
          <w:sz w:val="24"/>
          <w:szCs w:val="24"/>
          <w:highlight w:val="none"/>
          <w:lang w:eastAsia="zh-TW"/>
        </w:rPr>
        <w:t xml:space="preserve">10</w:t>
      </w:r>
      <w:r>
        <w:rPr>
          <w:rFonts w:hint="eastAsia" w:ascii="宋体" w:hAnsi="宋体" w:eastAsia="宋体" w:cs="宋体"/>
          <w:color w:val="auto"/>
          <w:sz w:val="24"/>
          <w:szCs w:val="24"/>
          <w:highlight w:val="none"/>
        </w:rPr>
        <w:t xml:space="preserve">天，甲方有权解除合同，解除合同的通知自到达乙方时生效。</w:t>
      </w:r>
      <w:r/>
    </w:p>
    <w:p>
      <w:pPr>
        <w:ind w:firstLine="0"/>
        <w:pageBreakBefore w:val="0"/>
        <w:spacing w:line="560" w:lineRule="exact"/>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rPr>
        <w:t xml:space="preserve">5、乙方所交付的服务不符合合同规定的，甲方有权拒收。甲方拒收的，乙方应向甲方支付合同总款</w:t>
      </w:r>
      <w:r>
        <w:rPr>
          <w:rFonts w:hint="eastAsia" w:ascii="宋体" w:hAnsi="宋体" w:eastAsia="宋体" w:cs="宋体"/>
          <w:color w:val="auto"/>
          <w:sz w:val="24"/>
          <w:szCs w:val="24"/>
          <w:highlight w:val="none"/>
          <w:lang w:eastAsia="zh-TW"/>
        </w:rPr>
        <w:t xml:space="preserve">5%</w:t>
      </w:r>
      <w:r>
        <w:rPr>
          <w:rFonts w:hint="eastAsia" w:ascii="宋体" w:hAnsi="宋体" w:eastAsia="宋体" w:cs="宋体"/>
          <w:color w:val="auto"/>
          <w:sz w:val="24"/>
          <w:szCs w:val="24"/>
          <w:highlight w:val="none"/>
        </w:rPr>
        <w:t xml:space="preserve">的违约金。甲方未拒收的，代理机构发现后将向有关部门反映，并责成乙方按照采购结果提供服务，同时视情给予不退还部分或全部履约保证金处理。</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6、在乙方承诺的或国家规定的质量保证期内（取两者中最长的期限），如经乙方两次整改仍不能达到合同约定的质量标准，乙方应退回全部合同价款，并按第</w:t>
      </w:r>
      <w:r>
        <w:rPr>
          <w:rFonts w:hint="eastAsia" w:ascii="宋体" w:hAnsi="宋体" w:eastAsia="宋体" w:cs="宋体"/>
          <w:color w:val="auto"/>
          <w:sz w:val="24"/>
          <w:szCs w:val="24"/>
          <w:highlight w:val="none"/>
          <w:lang w:eastAsia="zh-TW"/>
        </w:rPr>
        <w:t xml:space="preserve">3</w:t>
      </w:r>
      <w:r>
        <w:rPr>
          <w:rFonts w:hint="eastAsia" w:ascii="宋体" w:hAnsi="宋体" w:eastAsia="宋体" w:cs="宋体"/>
          <w:color w:val="auto"/>
          <w:sz w:val="24"/>
          <w:szCs w:val="24"/>
          <w:highlight w:val="none"/>
        </w:rPr>
        <w:t xml:space="preserve">款处理，同时，乙方还须赔偿甲方因此遭受的损失。</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7</w:t>
      </w:r>
      <w:r>
        <w:rPr>
          <w:rFonts w:hint="eastAsia" w:ascii="宋体" w:hAnsi="宋体" w:eastAsia="宋体" w:cs="宋体"/>
          <w:color w:val="auto"/>
          <w:sz w:val="24"/>
          <w:szCs w:val="24"/>
          <w:highlight w:val="none"/>
        </w:rPr>
        <w:t xml:space="preserve">、乙方未按本合同的规定和“服务承诺”提供伴随服务</w:t>
      </w:r>
      <w:r>
        <w:rPr>
          <w:rFonts w:hint="eastAsia" w:ascii="宋体" w:hAnsi="宋体" w:eastAsia="宋体" w:cs="宋体"/>
          <w:color w:val="auto"/>
          <w:sz w:val="24"/>
          <w:szCs w:val="24"/>
          <w:highlight w:val="none"/>
          <w:lang w:eastAsia="zh-TW"/>
        </w:rPr>
        <w:t xml:space="preserve">/</w:t>
      </w:r>
      <w:r>
        <w:rPr>
          <w:rFonts w:hint="eastAsia" w:ascii="宋体" w:hAnsi="宋体" w:eastAsia="宋体" w:cs="宋体"/>
          <w:color w:val="auto"/>
          <w:sz w:val="24"/>
          <w:szCs w:val="24"/>
          <w:highlight w:val="none"/>
        </w:rPr>
        <w:t xml:space="preserve">售后服务的，应按合同总价款的</w:t>
      </w:r>
      <w:r>
        <w:rPr>
          <w:rFonts w:hint="eastAsia" w:ascii="宋体" w:hAnsi="宋体" w:eastAsia="宋体" w:cs="宋体"/>
          <w:color w:val="auto"/>
          <w:sz w:val="24"/>
          <w:szCs w:val="24"/>
          <w:highlight w:val="none"/>
          <w:lang w:eastAsia="zh-TW"/>
        </w:rPr>
        <w:t xml:space="preserve">5 %</w:t>
      </w:r>
      <w:r>
        <w:rPr>
          <w:rFonts w:hint="eastAsia" w:ascii="宋体" w:hAnsi="宋体" w:eastAsia="宋体" w:cs="宋体"/>
          <w:color w:val="auto"/>
          <w:sz w:val="24"/>
          <w:szCs w:val="24"/>
          <w:highlight w:val="none"/>
        </w:rPr>
        <w:t xml:space="preserve">向甲方承担违约责任。</w:t>
      </w:r>
      <w:r/>
    </w:p>
    <w:p>
      <w:pPr>
        <w:ind w:firstLine="0"/>
        <w:pageBreakBefore w:val="0"/>
        <w:spacing w:line="560" w:lineRule="exact"/>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t xml:space="preserve">8</w:t>
      </w:r>
      <w:r>
        <w:rPr>
          <w:rFonts w:hint="eastAsia" w:ascii="宋体" w:hAnsi="宋体" w:eastAsia="宋体" w:cs="宋体"/>
          <w:color w:val="auto"/>
          <w:sz w:val="24"/>
          <w:szCs w:val="24"/>
          <w:highlight w:val="none"/>
        </w:rPr>
        <w:t xml:space="preserve">、乙方在承担上述</w:t>
      </w:r>
      <w:r>
        <w:rPr>
          <w:rFonts w:hint="eastAsia" w:ascii="宋体" w:hAnsi="宋体" w:eastAsia="宋体" w:cs="宋体"/>
          <w:color w:val="auto"/>
          <w:sz w:val="24"/>
          <w:szCs w:val="24"/>
          <w:highlight w:val="none"/>
          <w:lang w:eastAsia="zh-TW"/>
        </w:rPr>
        <w:t xml:space="preserve">4-7</w:t>
      </w:r>
      <w:r>
        <w:rPr>
          <w:rFonts w:hint="eastAsia" w:ascii="宋体" w:hAnsi="宋体" w:eastAsia="宋体" w:cs="宋体"/>
          <w:color w:val="auto"/>
          <w:sz w:val="24"/>
          <w:szCs w:val="24"/>
          <w:highlight w:val="none"/>
        </w:rPr>
        <w:t xml:space="preserve">款一项或多项违约责任后，仍应继续履行合同规定的义务（甲方解除合同的除外）。甲方未能及时追究乙方的任何一项违约责任并不表明甲方放弃追究乙方该项或其他违约责任。</w:t>
      </w:r>
      <w:r/>
    </w:p>
    <w:p>
      <w:pPr>
        <w:ind w:firstLine="0"/>
        <w:pageBreakBefore w:val="0"/>
        <w:spacing w:line="560" w:lineRule="exact"/>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t xml:space="preserve">9</w:t>
      </w:r>
      <w:r>
        <w:rPr>
          <w:rFonts w:hint="eastAsia" w:ascii="宋体" w:hAnsi="宋体" w:eastAsia="宋体" w:cs="宋体"/>
          <w:color w:val="auto"/>
          <w:sz w:val="24"/>
          <w:szCs w:val="24"/>
          <w:highlight w:val="none"/>
        </w:rPr>
        <w:t xml:space="preserve">、乙方响应属虚假承诺，或经权威部门监测提供的服务不能满足</w:t>
      </w:r>
      <w:r>
        <w:rPr>
          <w:rFonts w:hint="eastAsia" w:ascii="宋体" w:hAnsi="宋体" w:eastAsia="宋体" w:cs="宋体"/>
          <w:color w:val="auto"/>
          <w:sz w:val="24"/>
          <w:szCs w:val="24"/>
          <w:highlight w:val="none"/>
          <w:lang w:eastAsia="zh-CN"/>
        </w:rPr>
        <w:t xml:space="preserve">公开招标</w:t>
      </w:r>
      <w:r>
        <w:rPr>
          <w:rFonts w:hint="eastAsia" w:ascii="宋体" w:hAnsi="宋体" w:eastAsia="宋体" w:cs="宋体"/>
          <w:color w:val="auto"/>
          <w:sz w:val="24"/>
          <w:szCs w:val="24"/>
          <w:highlight w:val="none"/>
        </w:rPr>
        <w:t xml:space="preserve">文件要求，或是由于乙方的过错造成合同无法继续履行的，乙方履约保证金不予退还外，还应向甲方支付不少于合同总价</w:t>
      </w:r>
      <w:r>
        <w:rPr>
          <w:rFonts w:hint="eastAsia" w:ascii="宋体" w:hAnsi="宋体" w:eastAsia="宋体" w:cs="宋体"/>
          <w:color w:val="auto"/>
          <w:sz w:val="24"/>
          <w:szCs w:val="24"/>
          <w:highlight w:val="none"/>
          <w:lang w:eastAsia="zh-TW"/>
        </w:rPr>
        <w:t xml:space="preserve">30%</w:t>
      </w:r>
      <w:r>
        <w:rPr>
          <w:rFonts w:hint="eastAsia" w:ascii="宋体" w:hAnsi="宋体" w:eastAsia="宋体" w:cs="宋体"/>
          <w:color w:val="auto"/>
          <w:sz w:val="24"/>
          <w:szCs w:val="24"/>
          <w:highlight w:val="none"/>
        </w:rPr>
        <w:t xml:space="preserve">赔偿金。</w:t>
      </w:r>
      <w:r/>
    </w:p>
    <w:p>
      <w:pPr>
        <w:ind w:firstLine="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第九条 合同的变更和终止</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1</w:t>
      </w:r>
      <w:r>
        <w:rPr>
          <w:rFonts w:hint="eastAsia" w:ascii="宋体" w:hAnsi="宋体" w:eastAsia="宋体" w:cs="宋体"/>
          <w:color w:val="auto"/>
          <w:sz w:val="24"/>
          <w:szCs w:val="24"/>
          <w:highlight w:val="none"/>
        </w:rPr>
        <w:t xml:space="preserve">、除《政府采购法》第</w:t>
      </w:r>
      <w:r>
        <w:rPr>
          <w:rFonts w:hint="eastAsia" w:ascii="宋体" w:hAnsi="宋体" w:eastAsia="宋体" w:cs="宋体"/>
          <w:color w:val="auto"/>
          <w:sz w:val="24"/>
          <w:szCs w:val="24"/>
          <w:highlight w:val="none"/>
          <w:lang w:eastAsia="zh-TW"/>
        </w:rPr>
        <w:t xml:space="preserve">50</w:t>
      </w:r>
      <w:r>
        <w:rPr>
          <w:rFonts w:hint="eastAsia" w:ascii="宋体" w:hAnsi="宋体" w:eastAsia="宋体" w:cs="宋体"/>
          <w:color w:val="auto"/>
          <w:sz w:val="24"/>
          <w:szCs w:val="24"/>
          <w:highlight w:val="none"/>
        </w:rPr>
        <w:t xml:space="preserve">条第二款规定及本合同约定的情形外，本合同一经签订，甲乙双方不得擅自变更、中止或终止合同。</w:t>
      </w:r>
      <w:r/>
    </w:p>
    <w:p>
      <w:pPr>
        <w:ind w:firstLine="0"/>
        <w:pageBreakBefore w:val="0"/>
        <w:spacing w:line="560" w:lineRule="exact"/>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t xml:space="preserve">2</w:t>
      </w:r>
      <w:r>
        <w:rPr>
          <w:rFonts w:hint="eastAsia" w:ascii="宋体" w:hAnsi="宋体" w:eastAsia="宋体" w:cs="宋体"/>
          <w:color w:val="auto"/>
          <w:sz w:val="24"/>
          <w:szCs w:val="24"/>
          <w:highlight w:val="none"/>
        </w:rPr>
        <w:t xml:space="preserve">、除发生法律规定的不能预见、不能避免并不能克服的客观情况外，甲乙双方不得放弃或拒绝履行合同。乙方放弃或拒绝履行合同，保证金不予退还。</w:t>
      </w:r>
      <w:r/>
    </w:p>
    <w:p>
      <w:pPr>
        <w:ind w:firstLine="0"/>
        <w:pageBreakBefore w:val="0"/>
        <w:spacing w:line="560" w:lineRule="exact"/>
        <w:rPr>
          <w:rFonts w:hint="eastAsia" w:ascii="宋体" w:hAnsi="宋体" w:eastAsia="宋体" w:cs="宋体"/>
          <w:b/>
          <w:bCs/>
          <w:color w:val="auto"/>
          <w:sz w:val="24"/>
          <w:szCs w:val="24"/>
          <w:highlight w:val="none"/>
          <w:lang w:eastAsia="zh-TW"/>
        </w:rPr>
      </w:pPr>
      <w:r>
        <w:rPr>
          <w:rFonts w:hint="eastAsia" w:ascii="宋体" w:hAnsi="宋体" w:eastAsia="宋体" w:cs="宋体"/>
          <w:b/>
          <w:bCs/>
          <w:color w:val="auto"/>
          <w:sz w:val="24"/>
          <w:szCs w:val="24"/>
          <w:highlight w:val="none"/>
        </w:rPr>
        <w:t xml:space="preserve">第十条 合同的转让</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乙方不得擅自部分或全部转让其应履行的合同义务。</w:t>
      </w:r>
      <w:r/>
    </w:p>
    <w:p>
      <w:pPr>
        <w:ind w:firstLine="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第十一条 争议的解决</w:t>
      </w:r>
      <w:r/>
    </w:p>
    <w:p>
      <w:pPr>
        <w:ind w:firstLine="0"/>
        <w:pageBreakBefore w:val="0"/>
        <w:spacing w:line="560" w:lineRule="exact"/>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eastAsia="zh-TW"/>
        </w:rPr>
        <w:t xml:space="preserve">1</w:t>
      </w:r>
      <w:r>
        <w:rPr>
          <w:rFonts w:hint="eastAsia" w:ascii="宋体" w:hAnsi="宋体" w:eastAsia="宋体" w:cs="宋体"/>
          <w:color w:val="auto"/>
          <w:sz w:val="24"/>
          <w:szCs w:val="24"/>
          <w:highlight w:val="none"/>
        </w:rPr>
        <w:t xml:space="preserve">、因服务的质量问题发生争议的，可邀请国家认可的质量检测机构对服务质量进行鉴定。符合标准的，鉴定费由甲方承担；不符合质量标准的，鉴定费由乙方承担。</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2</w:t>
      </w:r>
      <w:r>
        <w:rPr>
          <w:rFonts w:hint="eastAsia" w:ascii="宋体" w:hAnsi="宋体" w:eastAsia="宋体" w:cs="宋体"/>
          <w:color w:val="auto"/>
          <w:sz w:val="24"/>
          <w:szCs w:val="24"/>
          <w:highlight w:val="none"/>
        </w:rPr>
        <w:t xml:space="preserve">、因履行本合同引起的或与本合同有关的争议，甲、乙双方应首先通过友好协商解决，如果协商不能解决争议，可向有管辖权的人民法院提起诉讼。</w:t>
      </w:r>
      <w:r/>
    </w:p>
    <w:p>
      <w:pPr>
        <w:ind w:firstLine="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第十二条 诚实信用</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乙方应诚实信用，严格按照</w:t>
      </w:r>
      <w:r>
        <w:rPr>
          <w:rFonts w:hint="eastAsia" w:ascii="宋体" w:hAnsi="宋体" w:eastAsia="宋体" w:cs="宋体"/>
          <w:color w:val="auto"/>
          <w:sz w:val="24"/>
          <w:szCs w:val="24"/>
          <w:highlight w:val="none"/>
          <w:lang w:eastAsia="zh-CN"/>
        </w:rPr>
        <w:t xml:space="preserve">公开招标</w:t>
      </w:r>
      <w:r>
        <w:rPr>
          <w:rFonts w:hint="eastAsia" w:ascii="宋体" w:hAnsi="宋体" w:eastAsia="宋体" w:cs="宋体"/>
          <w:color w:val="auto"/>
          <w:sz w:val="24"/>
          <w:szCs w:val="24"/>
          <w:highlight w:val="none"/>
        </w:rPr>
        <w:t xml:space="preserve">文件要求和响应承诺履行合同，不向甲方进行商业贿赂或者提供不正当利益。</w:t>
      </w:r>
      <w:r/>
    </w:p>
    <w:p>
      <w:pPr>
        <w:ind w:firstLine="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第十三条 合同生效及其他</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1</w:t>
      </w:r>
      <w:r>
        <w:rPr>
          <w:rFonts w:hint="eastAsia" w:ascii="宋体" w:hAnsi="宋体" w:eastAsia="宋体" w:cs="宋体"/>
          <w:color w:val="auto"/>
          <w:sz w:val="24"/>
          <w:szCs w:val="24"/>
          <w:highlight w:val="none"/>
        </w:rPr>
        <w:t xml:space="preserve">、本合同自签订之日起生效。</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2</w:t>
      </w:r>
      <w:r>
        <w:rPr>
          <w:rFonts w:hint="eastAsia" w:ascii="宋体" w:hAnsi="宋体" w:eastAsia="宋体" w:cs="宋体"/>
          <w:color w:val="auto"/>
          <w:sz w:val="24"/>
          <w:szCs w:val="24"/>
          <w:highlight w:val="none"/>
        </w:rPr>
        <w:t xml:space="preserve">、本合同一式柒份，甲乙双方各执叁份，壹份交由代理机构存档。</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TW"/>
        </w:rPr>
        <w:t xml:space="preserve">3</w:t>
      </w:r>
      <w:r>
        <w:rPr>
          <w:rFonts w:hint="eastAsia" w:ascii="宋体" w:hAnsi="宋体" w:eastAsia="宋体" w:cs="宋体"/>
          <w:color w:val="auto"/>
          <w:sz w:val="24"/>
          <w:szCs w:val="24"/>
          <w:highlight w:val="none"/>
        </w:rPr>
        <w:t xml:space="preserve">、本合同应按照中华人民共和国的现行法律进行解释。</w:t>
      </w:r>
      <w:r/>
    </w:p>
    <w:p>
      <w:pPr>
        <w:ind w:firstLine="0"/>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甲方（采购人）：（盖章）                   乙方（供应商）：（盖章）</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代表人：                                  代表人：</w:t>
      </w:r>
      <w:r/>
    </w:p>
    <w:p>
      <w:pPr>
        <w:ind w:firstLine="0"/>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电话：</w:t>
      </w:r>
      <w:r/>
    </w:p>
    <w:p>
      <w:pPr>
        <w:ind w:firstLine="0"/>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w:t>
      </w:r>
      <w:r/>
    </w:p>
    <w:p>
      <w:pPr>
        <w:ind w:firstLine="0"/>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                                    账号：</w:t>
      </w:r>
      <w:r/>
    </w:p>
    <w:p>
      <w:pPr>
        <w:ind w:firstLine="0"/>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                      日期：  年   月   日</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代理机构：</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文件编制：</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响应文件接收及合同签订：</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864"/>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highlight w:val="none"/>
        </w:rPr>
        <w:br w:type="page" w:clear="all"/>
      </w:r>
      <w:r/>
    </w:p>
    <w:p>
      <w:pPr>
        <w:pStyle w:val="846"/>
        <w:ind w:firstLine="0"/>
        <w:jc w:val="center"/>
        <w:pageBreakBefore w:val="0"/>
        <w:spacing w:line="560" w:lineRule="exact"/>
        <w:rPr>
          <w:rFonts w:hint="eastAsia" w:ascii="宋体" w:hAnsi="宋体" w:eastAsia="宋体" w:cs="宋体"/>
          <w:color w:val="auto"/>
          <w:sz w:val="24"/>
          <w:szCs w:val="24"/>
          <w:highlight w:val="none"/>
        </w:rPr>
      </w:pPr>
      <w:r/>
      <w:bookmarkStart w:id="16" w:name="_Toc123027839"/>
      <w:r/>
      <w:bookmarkStart w:id="17" w:name="_Toc18402"/>
      <w:r>
        <w:rPr>
          <w:rFonts w:hint="eastAsia" w:ascii="宋体" w:hAnsi="宋体" w:eastAsia="宋体" w:cs="宋体"/>
          <w:color w:val="auto"/>
          <w:sz w:val="24"/>
          <w:szCs w:val="24"/>
          <w:highlight w:val="none"/>
        </w:rPr>
        <w:t xml:space="preserve">第六章  附件</w:t>
      </w:r>
      <w:bookmarkEnd w:id="16"/>
      <w:r/>
      <w:bookmarkEnd w:id="17"/>
      <w:r/>
      <w:r/>
    </w:p>
    <w:p>
      <w:pPr>
        <w:ind w:firstLine="0"/>
        <w:jc w:val="center"/>
        <w:pageBreakBefore w:val="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南京市博物总馆食堂食材采购及配送 </w:t>
      </w:r>
      <w:r/>
    </w:p>
    <w:p>
      <w:pPr>
        <w:ind w:firstLine="0"/>
        <w:jc w:val="center"/>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center"/>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center"/>
        <w:pageBreakBefore w:val="0"/>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投标人：（加盖单位公章）</w:t>
      </w:r>
      <w:r/>
    </w:p>
    <w:p>
      <w:pPr>
        <w:ind w:firstLine="0"/>
        <w:jc w:val="center"/>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法定代表人或其授权代表：（签字）</w:t>
      </w:r>
      <w:r/>
    </w:p>
    <w:p>
      <w:pPr>
        <w:ind w:firstLine="0"/>
        <w:jc w:val="center"/>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w:t>
      </w:r>
      <w:r/>
    </w:p>
    <w:p>
      <w:pPr>
        <w:ind w:firstLine="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4"/>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4"/>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center"/>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目录</w:t>
      </w:r>
      <w:r/>
    </w:p>
    <w:p>
      <w:pPr>
        <w:ind w:firstLine="0"/>
        <w:jc w:val="center"/>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（注：投标人可根据附件顺序编制投标文件并制作目录（须生成页码））</w:t>
      </w:r>
      <w:r/>
    </w:p>
    <w:p>
      <w:pPr>
        <w:ind w:firstLine="0"/>
        <w:pageBreakBefore w:val="0"/>
        <w:spacing w:before="312" w:after="312" w:line="560" w:lineRule="exact"/>
        <w:rPr>
          <w:rFonts w:hint="eastAsia" w:ascii="宋体" w:hAnsi="宋体" w:eastAsia="宋体" w:cs="宋体"/>
          <w:b/>
          <w:color w:val="auto"/>
          <w:sz w:val="24"/>
          <w:szCs w:val="24"/>
          <w:highlight w:val="none"/>
        </w:rPr>
      </w:pPr>
      <w:r/>
      <w:bookmarkStart w:id="18" w:name="_Toc504044380"/>
      <w:r/>
      <w:bookmarkStart w:id="19" w:name="_Toc490133028"/>
      <w:r/>
      <w:bookmarkStart w:id="20" w:name="_Toc504056868"/>
      <w:r/>
      <w:bookmarkStart w:id="21" w:name="_Toc504573083"/>
      <w:r>
        <w:rPr>
          <w:rFonts w:hint="eastAsia" w:ascii="宋体" w:hAnsi="宋体" w:eastAsia="宋体" w:cs="宋体"/>
          <w:b/>
          <w:bCs/>
          <w:color w:val="auto"/>
          <w:sz w:val="24"/>
          <w:szCs w:val="24"/>
          <w:highlight w:val="none"/>
        </w:rPr>
        <w:br w:type="page" w:clear="all"/>
      </w:r>
      <w:bookmarkStart w:id="22" w:name="_Toc534273677"/>
      <w:r/>
      <w:bookmarkStart w:id="23" w:name="_Toc534273800"/>
      <w:r>
        <w:rPr>
          <w:rFonts w:hint="eastAsia" w:ascii="宋体" w:hAnsi="宋体" w:eastAsia="宋体" w:cs="宋体"/>
          <w:b/>
          <w:color w:val="auto"/>
          <w:sz w:val="24"/>
          <w:szCs w:val="24"/>
          <w:highlight w:val="none"/>
        </w:rPr>
        <w:t xml:space="preserve">附件一、投标申请及声明</w:t>
      </w:r>
      <w:bookmarkEnd w:id="18"/>
      <w:r/>
      <w:bookmarkEnd w:id="19"/>
      <w:r/>
      <w:bookmarkEnd w:id="20"/>
      <w:r/>
      <w:bookmarkEnd w:id="21"/>
      <w:r/>
      <w:bookmarkEnd w:id="22"/>
      <w:r/>
      <w:bookmarkEnd w:id="23"/>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0"/>
        <w:jc w:val="center"/>
        <w:pageBreakBefore w:val="0"/>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投标申请及声明</w:t>
      </w:r>
      <w:r/>
    </w:p>
    <w:p>
      <w:pPr>
        <w:ind w:firstLine="0"/>
        <w:jc w:val="center"/>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致：江苏有点招标代理有限公司</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根据贵方</w:t>
      </w:r>
      <w:r>
        <w:rPr>
          <w:rFonts w:hint="eastAsia" w:ascii="宋体" w:hAnsi="宋体" w:eastAsia="宋体" w:cs="宋体"/>
          <w:color w:val="auto"/>
          <w:sz w:val="24"/>
          <w:szCs w:val="24"/>
          <w:highlight w:val="none"/>
          <w:u w:val="single"/>
          <w:lang w:val="zh-CN"/>
        </w:rPr>
        <w:t xml:space="preserve">南京市博物总馆食堂食材采购及配送 </w:t>
      </w:r>
      <w:r>
        <w:rPr>
          <w:rFonts w:hint="eastAsia" w:ascii="宋体" w:hAnsi="宋体" w:eastAsia="宋体" w:cs="宋体"/>
          <w:color w:val="auto"/>
          <w:sz w:val="24"/>
          <w:szCs w:val="24"/>
          <w:highlight w:val="none"/>
          <w:lang w:val="zh-CN"/>
        </w:rPr>
        <w:t xml:space="preserve">（项目名称）</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（项目编号）公开招标公告，正式授权下述签字人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姓名和职务）代表</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（投标人名称），提交投标文件并参加投标。</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据此函，签字人兹宣布同意如下：</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我们的资格条件完全符合政府采购法和本次采购要求，</w:t>
      </w:r>
      <w:r>
        <w:rPr>
          <w:rFonts w:hint="eastAsia" w:ascii="宋体" w:hAnsi="宋体" w:eastAsia="宋体" w:cs="宋体"/>
          <w:color w:val="auto"/>
          <w:sz w:val="24"/>
          <w:szCs w:val="24"/>
          <w:highlight w:val="none"/>
        </w:rPr>
        <w:t xml:space="preserve">我们</w:t>
      </w:r>
      <w:r>
        <w:rPr>
          <w:rFonts w:hint="eastAsia" w:ascii="宋体" w:hAnsi="宋体" w:eastAsia="宋体" w:cs="宋体"/>
          <w:color w:val="auto"/>
          <w:sz w:val="24"/>
          <w:szCs w:val="24"/>
          <w:highlight w:val="none"/>
          <w:lang w:val="zh-CN"/>
        </w:rPr>
        <w:t xml:space="preserve">同意并向贵方提供了与本次采购活动有关的所有证据和资料</w:t>
      </w:r>
      <w:r>
        <w:rPr>
          <w:rFonts w:hint="eastAsia" w:ascii="宋体" w:hAnsi="宋体" w:eastAsia="宋体" w:cs="宋体"/>
          <w:color w:val="auto"/>
          <w:sz w:val="24"/>
          <w:szCs w:val="24"/>
          <w:highlight w:val="none"/>
        </w:rPr>
        <w:t xml:space="preserve">。</w:t>
      </w:r>
      <w:r/>
    </w:p>
    <w:p>
      <w:pPr>
        <w:ind w:firstLine="0"/>
        <w:pageBreakBefore w:val="0"/>
        <w:spacing w:line="560" w:lineRule="exact"/>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 xml:space="preserve">2、投标报价：</w:t>
      </w:r>
      <w:r>
        <w:rPr>
          <w:rFonts w:hint="eastAsia" w:ascii="宋体" w:hAnsi="宋体" w:eastAsia="宋体" w:cs="宋体"/>
          <w:color w:val="auto"/>
          <w:szCs w:val="21"/>
          <w:highlight w:val="none"/>
        </w:rPr>
        <w:t xml:space="preserve">（下浮率）：</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我们的投标报价中</w:t>
      </w:r>
      <w:r>
        <w:rPr>
          <w:rFonts w:hint="eastAsia" w:ascii="宋体" w:hAnsi="宋体" w:eastAsia="宋体" w:cs="宋体"/>
          <w:b/>
          <w:bCs/>
          <w:color w:val="auto"/>
          <w:sz w:val="24"/>
          <w:szCs w:val="24"/>
          <w:highlight w:val="none"/>
          <w:u w:val="single"/>
          <w:lang w:val="zh-CN"/>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zh-CN"/>
        </w:rPr>
        <w:t xml:space="preserve">   </w:t>
      </w:r>
      <w:r>
        <w:rPr>
          <w:rFonts w:hint="eastAsia" w:ascii="宋体" w:hAnsi="宋体" w:eastAsia="宋体" w:cs="宋体"/>
          <w:b/>
          <w:bCs/>
          <w:color w:val="auto"/>
          <w:sz w:val="24"/>
          <w:szCs w:val="24"/>
          <w:highlight w:val="none"/>
          <w:lang w:val="zh-CN"/>
        </w:rPr>
        <w:t xml:space="preserve">（有或无）进口产品（服务）。</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我们已详细阅读全部公开招标文件及其有效补充文件，我们放弃对公开招标文件任何误解的权利，提交投标文件后，</w:t>
      </w:r>
      <w:r>
        <w:rPr>
          <w:rFonts w:hint="eastAsia" w:ascii="宋体" w:hAnsi="宋体" w:eastAsia="宋体" w:cs="宋体"/>
          <w:b/>
          <w:color w:val="auto"/>
          <w:sz w:val="24"/>
          <w:szCs w:val="24"/>
          <w:highlight w:val="none"/>
          <w:lang w:val="zh-CN"/>
        </w:rPr>
        <w:t xml:space="preserve">不对公开招标文件本身提出质疑</w:t>
      </w:r>
      <w:r>
        <w:rPr>
          <w:rFonts w:hint="eastAsia" w:ascii="宋体" w:hAnsi="宋体" w:eastAsia="宋体" w:cs="宋体"/>
          <w:color w:val="auto"/>
          <w:sz w:val="24"/>
          <w:szCs w:val="24"/>
          <w:highlight w:val="none"/>
          <w:lang w:val="zh-CN"/>
        </w:rPr>
        <w:t xml:space="preserve">。</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5、一旦我方中标，我方将根据</w:t>
      </w:r>
      <w:r>
        <w:rPr>
          <w:rFonts w:hint="eastAsia" w:ascii="宋体" w:hAnsi="宋体" w:eastAsia="宋体" w:cs="宋体"/>
          <w:color w:val="auto"/>
          <w:sz w:val="24"/>
          <w:szCs w:val="24"/>
          <w:highlight w:val="none"/>
          <w:lang w:val="zh-CN"/>
        </w:rPr>
        <w:t xml:space="preserve">公开招标</w:t>
      </w:r>
      <w:r>
        <w:rPr>
          <w:rFonts w:hint="eastAsia" w:ascii="宋体" w:hAnsi="宋体" w:eastAsia="宋体" w:cs="宋体"/>
          <w:color w:val="auto"/>
          <w:sz w:val="24"/>
          <w:szCs w:val="24"/>
          <w:highlight w:val="none"/>
        </w:rPr>
        <w:t xml:space="preserve">文件的规定，严格履行合同，保证于承诺的时间内完成服务的启动、运行等服务，并交付招标人验收、使用。</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方决不提供虚假材料谋取中标、决不采取不正当手段诋毁、排挤其他投标人、决不与招标人、其它投标人或者采购代理机构恶意串通、决不向招标人、采购代理机构工作人员和评标委员会进行商业贿赂、决不拒绝有关部门监督检查或提供虚假情况，如有违反，无条件接受贵方及相关管理部门的处罚。</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7、我方正式通讯方式为：</w:t>
      </w:r>
      <w:r/>
    </w:p>
    <w:p>
      <w:pPr>
        <w:ind w:firstLine="0"/>
        <w:pageBreakBefore w:val="0"/>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p>
    <w:p>
      <w:pPr>
        <w:ind w:firstLine="0"/>
        <w:pageBreakBefore w:val="0"/>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p>
    <w:p>
      <w:pPr>
        <w:ind w:firstLine="0"/>
        <w:pageBreakBefore w:val="0"/>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                       </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8、我方正式开户银行和账号为：</w:t>
      </w:r>
      <w:r/>
    </w:p>
    <w:p>
      <w:pPr>
        <w:ind w:firstLine="0"/>
        <w:pageBreakBefore w:val="0"/>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rPr>
        <w:t xml:space="preserve">                       </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rPr>
        <w:t xml:space="preserve">                       </w:t>
      </w:r>
      <w:r/>
    </w:p>
    <w:p>
      <w:pPr>
        <w:ind w:firstLine="0"/>
        <w:pageBreakBefore w:val="0"/>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投标人授权代表姓名（签字或签章）：</w:t>
      </w:r>
      <w:r>
        <w:rPr>
          <w:rFonts w:hint="eastAsia" w:ascii="宋体" w:hAnsi="宋体" w:eastAsia="宋体" w:cs="宋体"/>
          <w:color w:val="auto"/>
          <w:sz w:val="24"/>
          <w:szCs w:val="24"/>
          <w:highlight w:val="none"/>
          <w:u w:val="single"/>
        </w:rPr>
        <w:t xml:space="preserve">         </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投标人名称（公章）：</w:t>
      </w:r>
      <w:r>
        <w:rPr>
          <w:rFonts w:hint="eastAsia" w:ascii="宋体" w:hAnsi="宋体" w:eastAsia="宋体" w:cs="宋体"/>
          <w:color w:val="auto"/>
          <w:sz w:val="24"/>
          <w:szCs w:val="24"/>
          <w:highlight w:val="none"/>
          <w:u w:val="single"/>
        </w:rPr>
        <w:t xml:space="preserve">                 </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0"/>
        <w:pageBreakBefore w:val="0"/>
        <w:spacing w:before="312" w:after="312" w:line="56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zh-CN"/>
        </w:rPr>
        <w:br w:type="page" w:clear="all"/>
      </w:r>
      <w:bookmarkStart w:id="24" w:name="_Toc504044381"/>
      <w:r/>
      <w:bookmarkStart w:id="25" w:name="_Toc504056869"/>
      <w:r/>
      <w:bookmarkStart w:id="26" w:name="_Toc534273801"/>
      <w:r/>
      <w:bookmarkStart w:id="27" w:name="_Toc534273678"/>
      <w:r/>
      <w:bookmarkStart w:id="28" w:name="_Toc490133029"/>
      <w:r/>
      <w:bookmarkStart w:id="29" w:name="_Toc504573084"/>
      <w:r>
        <w:rPr>
          <w:rFonts w:hint="eastAsia" w:ascii="宋体" w:hAnsi="宋体" w:eastAsia="宋体" w:cs="宋体"/>
          <w:b/>
          <w:color w:val="auto"/>
          <w:sz w:val="24"/>
          <w:szCs w:val="24"/>
          <w:highlight w:val="none"/>
        </w:rPr>
        <w:t xml:space="preserve">附件二、法定代表人授权书格式</w:t>
      </w:r>
      <w:bookmarkEnd w:id="24"/>
      <w:r/>
      <w:bookmarkEnd w:id="25"/>
      <w:r/>
      <w:bookmarkEnd w:id="26"/>
      <w:r/>
      <w:bookmarkEnd w:id="27"/>
      <w:r/>
      <w:bookmarkEnd w:id="28"/>
      <w:r/>
      <w:bookmarkEnd w:id="29"/>
      <w:r/>
      <w:r/>
    </w:p>
    <w:p>
      <w:pPr>
        <w:ind w:firstLine="0"/>
        <w:pageBreakBefore w:val="0"/>
        <w:spacing w:line="560" w:lineRule="exac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ind w:firstLine="0"/>
        <w:jc w:val="center"/>
        <w:pageBreakBefore w:val="0"/>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法定代表人授权书</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江苏有点招标代理有限公司</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本授权书声明：注册于</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（投标人住址）的</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（投标人名称）法定代表人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（法定代表人姓名、职务）代表本公司授权在下面签字的</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（投标人代表姓名、职务）为本公司的合法代理人，就贵方组织的项目名称：</w:t>
      </w:r>
      <w:r>
        <w:rPr>
          <w:rFonts w:hint="eastAsia" w:ascii="宋体" w:hAnsi="宋体" w:eastAsia="宋体" w:cs="宋体"/>
          <w:bCs/>
          <w:color w:val="auto"/>
          <w:sz w:val="24"/>
          <w:szCs w:val="24"/>
          <w:highlight w:val="none"/>
          <w:u w:val="single"/>
          <w:lang w:val="zh-CN"/>
        </w:rPr>
        <w:t xml:space="preserve">南京市博物总馆食堂食材采购及配送  </w:t>
      </w:r>
      <w:r>
        <w:rPr>
          <w:rFonts w:hint="eastAsia" w:ascii="宋体" w:hAnsi="宋体" w:eastAsia="宋体" w:cs="宋体"/>
          <w:color w:val="auto"/>
          <w:sz w:val="24"/>
          <w:szCs w:val="24"/>
          <w:highlight w:val="none"/>
          <w:lang w:val="zh-CN"/>
        </w:rPr>
        <w:t xml:space="preserve">，项目编号：</w:t>
      </w:r>
      <w:r>
        <w:rPr>
          <w:rFonts w:hint="eastAsia" w:ascii="宋体" w:hAnsi="宋体" w:cs="宋体"/>
          <w:color w:val="auto"/>
          <w:sz w:val="24"/>
          <w:szCs w:val="24"/>
          <w:highlight w:val="none"/>
          <w:lang w:eastAsia="zh-CN"/>
        </w:rPr>
        <w:t xml:space="preserve">JSZC-320100-YDZB-G2026-0014</w:t>
      </w:r>
      <w:r>
        <w:rPr>
          <w:rFonts w:hint="eastAsia" w:ascii="宋体" w:hAnsi="宋体" w:eastAsia="宋体" w:cs="宋体"/>
          <w:color w:val="auto"/>
          <w:sz w:val="24"/>
          <w:szCs w:val="24"/>
          <w:highlight w:val="none"/>
          <w:lang w:val="zh-CN"/>
        </w:rPr>
        <w:t xml:space="preserve">公开招标，以本公司名义处理一切与之有关的事务。</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本授权书于        年   月   日签字或签章生效，特此声明。</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法定代表人签字或签章：</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被授权人签字：    </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投标人盖章：</w:t>
      </w:r>
      <w:r>
        <w:rPr>
          <w:rFonts w:hint="eastAsia" w:ascii="宋体" w:hAnsi="宋体" w:eastAsia="宋体" w:cs="宋体"/>
          <w:color w:val="auto"/>
          <w:sz w:val="24"/>
          <w:szCs w:val="24"/>
          <w:highlight w:val="none"/>
          <w:lang w:val="zh-CN"/>
        </w:rPr>
        <w:t xml:space="preserve">                </w:t>
      </w:r>
      <w:r/>
    </w:p>
    <w:p>
      <w:pPr>
        <w:ind w:firstLine="0"/>
        <w:pageBreakBefore w:val="0"/>
        <w:spacing w:line="560" w:lineRule="exact"/>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    月    日</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0"/>
        <w:pageBreakBefore w:val="0"/>
        <w:spacing w:line="560" w:lineRule="exac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 xml:space="preserve">被授权人</w:t>
      </w:r>
      <w:r>
        <w:rPr>
          <w:rFonts w:hint="eastAsia" w:ascii="宋体" w:hAnsi="宋体" w:eastAsia="宋体" w:cs="宋体"/>
          <w:b/>
          <w:color w:val="auto"/>
          <w:sz w:val="24"/>
          <w:szCs w:val="24"/>
          <w:highlight w:val="none"/>
          <w:lang w:val="zh-CN"/>
        </w:rPr>
        <w:t xml:space="preserve">的身份证明文件的复印件：</w:t>
      </w:r>
      <w:r/>
    </w:p>
    <w:p>
      <w:pPr>
        <w:ind w:firstLine="0"/>
        <w:pageBreakBefore w:val="0"/>
        <w:spacing w:before="312" w:after="312" w:line="56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zh-CN"/>
        </w:rPr>
        <w:br w:type="page" w:clear="all"/>
      </w:r>
      <w:bookmarkStart w:id="30" w:name="_Toc504573085"/>
      <w:r/>
      <w:bookmarkStart w:id="31" w:name="_Toc534273679"/>
      <w:r/>
      <w:bookmarkStart w:id="32" w:name="_Toc504044382"/>
      <w:r/>
      <w:bookmarkStart w:id="33" w:name="_Toc534273802"/>
      <w:r/>
      <w:bookmarkStart w:id="34" w:name="_Toc504056870"/>
      <w:r/>
      <w:bookmarkStart w:id="35" w:name="_Toc490133030"/>
      <w:r>
        <w:rPr>
          <w:rFonts w:hint="eastAsia" w:ascii="宋体" w:hAnsi="宋体" w:eastAsia="宋体" w:cs="宋体"/>
          <w:b/>
          <w:color w:val="auto"/>
          <w:sz w:val="24"/>
          <w:szCs w:val="24"/>
          <w:highlight w:val="none"/>
        </w:rPr>
        <w:t xml:space="preserve">附件三、报价表</w:t>
      </w:r>
      <w:bookmarkEnd w:id="30"/>
      <w:r/>
      <w:bookmarkEnd w:id="31"/>
      <w:r/>
      <w:bookmarkEnd w:id="32"/>
      <w:r/>
      <w:bookmarkEnd w:id="33"/>
      <w:r/>
      <w:bookmarkEnd w:id="34"/>
      <w:r/>
      <w:bookmarkEnd w:id="35"/>
      <w:r/>
      <w:r/>
    </w:p>
    <w:p>
      <w:pPr>
        <w:ind w:firstLine="0"/>
        <w:pageBreakBefore w:val="0"/>
        <w:spacing w:line="560" w:lineRule="exac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ind w:firstLine="0"/>
        <w:jc w:val="center"/>
        <w:pageBreakBefore w:val="0"/>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《报  价  表》</w:t>
      </w:r>
      <w:r/>
    </w:p>
    <w:p>
      <w:pPr>
        <w:ind w:firstLine="0"/>
        <w:jc w:val="center"/>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               </w:t>
      </w:r>
      <w:r/>
    </w:p>
    <w:p>
      <w:pPr>
        <w:pStyle w:val="859"/>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南京市博物总馆食堂食材采购及配送 </w:t>
      </w:r>
      <w:r>
        <w:rPr>
          <w:rFonts w:hint="eastAsia" w:ascii="宋体" w:hAnsi="宋体" w:eastAsia="宋体" w:cs="宋体"/>
          <w:color w:val="auto"/>
          <w:sz w:val="24"/>
          <w:szCs w:val="24"/>
          <w:highlight w:val="none"/>
        </w:rPr>
        <w:t xml:space="preserve">                                </w:t>
      </w:r>
      <w:r/>
    </w:p>
    <w:p>
      <w:pPr>
        <w:pStyle w:val="859"/>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JSZC-320100-YDZB-G2026-0014</w:t>
      </w:r>
      <w:r>
        <w:rPr>
          <w:rFonts w:hint="eastAsia" w:ascii="宋体" w:hAnsi="宋体" w:eastAsia="宋体" w:cs="宋体"/>
          <w:color w:val="auto"/>
          <w:sz w:val="24"/>
          <w:szCs w:val="24"/>
          <w:highlight w:val="none"/>
        </w:rPr>
        <w:t xml:space="preserve">      </w:t>
      </w:r>
      <w:r/>
    </w:p>
    <w:tbl>
      <w:tblPr>
        <w:tblStyle w:val="856"/>
        <w:tblW w:w="107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3"/>
        <w:gridCol w:w="6145"/>
        <w:gridCol w:w="2390"/>
      </w:tblGrid>
      <w:tr>
        <w:trPr>
          <w:jc w:val="center"/>
          <w:trHeight w:val="773"/>
        </w:trPr>
        <w:tc>
          <w:tcPr>
            <w:gridSpan w:val="2"/>
            <w:tcW w:w="8378" w:type="dxa"/>
            <w:vAlign w:val="center"/>
            <w:textDirection w:val="lrTb"/>
            <w:noWrap w:val="false"/>
          </w:tcPr>
          <w:p>
            <w:pPr>
              <w:pStyle w:val="859"/>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报价情况</w:t>
            </w:r>
            <w:r/>
          </w:p>
        </w:tc>
        <w:tc>
          <w:tcPr>
            <w:tcW w:w="2390" w:type="dxa"/>
            <w:vAlign w:val="center"/>
            <w:textDirection w:val="lrTb"/>
            <w:noWrap w:val="false"/>
          </w:tcPr>
          <w:p>
            <w:pPr>
              <w:pStyle w:val="859"/>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1117"/>
        </w:trPr>
        <w:tc>
          <w:tcPr>
            <w:tcW w:w="2233" w:type="dxa"/>
            <w:vAlign w:val="center"/>
            <w:textDirection w:val="lrTb"/>
            <w:noWrap w:val="false"/>
          </w:tcPr>
          <w:p>
            <w:pPr>
              <w:pStyle w:val="859"/>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6145" w:type="dxa"/>
            <w:vAlign w:val="center"/>
            <w:textDirection w:val="lrTb"/>
            <w:noWrap w:val="false"/>
          </w:tcPr>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Cs w:val="21"/>
                <w:highlight w:val="none"/>
              </w:rPr>
              <w:t xml:space="preserve">下浮率：</w:t>
            </w:r>
            <w:r>
              <w:rPr>
                <w:rFonts w:hint="eastAsia" w:ascii="宋体" w:hAnsi="宋体" w:eastAsia="宋体" w:cs="宋体"/>
                <w:color w:val="auto"/>
                <w:szCs w:val="21"/>
                <w:highlight w:val="none"/>
                <w:lang w:val="zh-CN"/>
              </w:rPr>
              <w:t xml:space="preserve">（大写）</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w:t>
            </w:r>
            <w:r/>
          </w:p>
        </w:tc>
        <w:tc>
          <w:tcPr>
            <w:tcW w:w="2390" w:type="dxa"/>
            <w:vAlign w:val="center"/>
            <w:vMerge w:val="restart"/>
            <w:textDirection w:val="lrTb"/>
            <w:noWrap w:val="false"/>
          </w:tcPr>
          <w:p>
            <w:pPr>
              <w:pStyle w:val="859"/>
              <w:ind w:firstLine="0"/>
              <w:jc w:val="center"/>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73"/>
        </w:trPr>
        <w:tc>
          <w:tcPr>
            <w:tcW w:w="2233" w:type="dxa"/>
            <w:vAlign w:val="center"/>
            <w:textDirection w:val="lrTb"/>
            <w:noWrap w:val="false"/>
          </w:tcPr>
          <w:p>
            <w:pPr>
              <w:pStyle w:val="859"/>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服务时间/交付使用时间</w:t>
            </w:r>
            <w:r/>
          </w:p>
        </w:tc>
        <w:tc>
          <w:tcPr>
            <w:tcW w:w="6145" w:type="dxa"/>
            <w:vAlign w:val="center"/>
            <w:textDirection w:val="lrTb"/>
            <w:noWrap w:val="false"/>
          </w:tcPr>
          <w:p>
            <w:pPr>
              <w:pStyle w:val="859"/>
              <w:ind w:firstLine="0"/>
              <w:jc w:val="center"/>
              <w:pageBreakBefore w:val="0"/>
              <w:spacing w:line="560" w:lineRule="exact"/>
              <w:tabs>
                <w:tab w:val="left" w:pos="3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满足文件要求</w:t>
            </w:r>
            <w:r/>
          </w:p>
        </w:tc>
        <w:tc>
          <w:tcPr>
            <w:tcW w:w="2390" w:type="dxa"/>
            <w:vAlign w:val="center"/>
            <w:vMerge w:val="continue"/>
            <w:textDirection w:val="lrTb"/>
            <w:noWrap w:val="false"/>
          </w:tcPr>
          <w:p>
            <w:pPr>
              <w:pStyle w:val="859"/>
              <w:ind w:firstLine="0"/>
              <w:jc w:val="center"/>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24"/>
        </w:trPr>
        <w:tc>
          <w:tcPr>
            <w:tcW w:w="2233" w:type="dxa"/>
            <w:vAlign w:val="center"/>
            <w:textDirection w:val="lrTb"/>
            <w:noWrap w:val="false"/>
          </w:tcPr>
          <w:p>
            <w:pPr>
              <w:pStyle w:val="859"/>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投标标的是否全部由小微企业提供</w:t>
            </w:r>
            <w:r/>
          </w:p>
        </w:tc>
        <w:tc>
          <w:tcPr>
            <w:tcW w:w="6145" w:type="dxa"/>
            <w:vAlign w:val="center"/>
            <w:textDirection w:val="lrTb"/>
            <w:noWrap w:val="false"/>
          </w:tcPr>
          <w:p>
            <w:pPr>
              <w:pStyle w:val="859"/>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填写“是”或“否”</w:t>
            </w:r>
            <w:r>
              <w:rPr>
                <w:rFonts w:hint="eastAsia" w:ascii="宋体" w:hAnsi="宋体" w:eastAsia="宋体" w:cs="宋体"/>
                <w:color w:val="auto"/>
                <w:sz w:val="24"/>
                <w:szCs w:val="24"/>
                <w:highlight w:val="none"/>
              </w:rPr>
              <w:t xml:space="preserve">）</w:t>
            </w:r>
            <w:r/>
          </w:p>
        </w:tc>
        <w:tc>
          <w:tcPr>
            <w:tcW w:w="2390" w:type="dxa"/>
            <w:vAlign w:val="center"/>
            <w:vMerge w:val="continue"/>
            <w:textDirection w:val="lrTb"/>
            <w:noWrap w:val="false"/>
          </w:tcPr>
          <w:p>
            <w:pPr>
              <w:pStyle w:val="859"/>
              <w:ind w:firstLine="0"/>
              <w:jc w:val="center"/>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rPr>
          <w:rFonts w:hint="eastAsia" w:ascii="宋体" w:hAnsi="宋体" w:eastAsia="宋体" w:cs="宋体"/>
          <w:color w:val="auto"/>
          <w:sz w:val="24"/>
          <w:szCs w:val="24"/>
          <w:highlight w:val="none"/>
          <w:u w:val="single"/>
        </w:rPr>
        <w:t xml:space="preserve">            </w:t>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法定代表人或其授权代表（签字）：</w:t>
      </w:r>
      <w:r>
        <w:rPr>
          <w:rFonts w:hint="eastAsia" w:ascii="宋体" w:hAnsi="宋体" w:eastAsia="宋体" w:cs="宋体"/>
          <w:color w:val="auto"/>
          <w:sz w:val="24"/>
          <w:szCs w:val="24"/>
          <w:highlight w:val="none"/>
          <w:u w:val="single"/>
        </w:rPr>
        <w:t xml:space="preserve">          </w:t>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年    月    日</w:t>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0"/>
        <w:jc w:val="left"/>
        <w:pageBreakBefore w:val="0"/>
        <w:spacing w:line="560" w:lineRule="exact"/>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1、本项目仅接受一个价格，不得填报有选择性报价方案。若有优惠条款须注明，但不得影响报价，影响产品整体功能。</w:t>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投标标的是否全部由小微企业提供”栏内填写“是”或“否”。如填写“是”，投标人应按公开招标文件要求提供《中小企业声明函》、《残疾人福利性单位声明函》、《属于监狱企业的证明文件》。如未按要求提供、填写，或相关内容表述不清前后矛盾的，不享受价格扣除。</w:t>
      </w:r>
      <w:r/>
    </w:p>
    <w:p>
      <w:pPr>
        <w:ind w:firstLine="0"/>
        <w:pageBreakBefore w:val="0"/>
        <w:spacing w:line="560" w:lineRule="exact"/>
        <w:tabs>
          <w:tab w:val="left" w:pos="1440" w:leader="none"/>
        </w:tabs>
        <w:rPr>
          <w:rFonts w:hint="eastAsia" w:ascii="宋体" w:hAnsi="宋体" w:eastAsia="宋体" w:cs="宋体"/>
          <w:b/>
          <w:color w:val="auto"/>
          <w:sz w:val="24"/>
          <w:szCs w:val="24"/>
          <w:highlight w:val="none"/>
        </w:rPr>
      </w:pPr>
      <w:r/>
      <w:bookmarkStart w:id="36" w:name="_Toc504044383"/>
      <w:r/>
      <w:bookmarkStart w:id="37" w:name="_Toc534273680"/>
      <w:r/>
      <w:bookmarkStart w:id="38" w:name="_Toc490133031"/>
      <w:r/>
      <w:bookmarkStart w:id="39" w:name="_Toc534273803"/>
      <w:r/>
      <w:bookmarkStart w:id="40" w:name="_Toc504573086"/>
      <w:r/>
      <w:bookmarkStart w:id="41" w:name="_Toc504056871"/>
      <w:r/>
      <w:r/>
    </w:p>
    <w:p>
      <w:pPr>
        <w:ind w:firstLine="0"/>
        <w:pageBreakBefore w:val="0"/>
        <w:spacing w:line="560" w:lineRule="exact"/>
        <w:tabs>
          <w:tab w:val="left" w:pos="144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附件四、分项报价表</w:t>
      </w:r>
      <w:bookmarkEnd w:id="36"/>
      <w:r/>
      <w:bookmarkEnd w:id="37"/>
      <w:r/>
      <w:bookmarkEnd w:id="38"/>
      <w:r/>
      <w:bookmarkEnd w:id="39"/>
      <w:r/>
      <w:bookmarkEnd w:id="40"/>
      <w:r/>
      <w:bookmarkEnd w:id="41"/>
      <w:r/>
      <w:r/>
    </w:p>
    <w:p>
      <w:pPr>
        <w:ind w:firstLine="0"/>
        <w:pageBreakBefore w:val="0"/>
        <w:spacing w:line="560" w:lineRule="exac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ind w:firstLine="0"/>
        <w:jc w:val="center"/>
        <w:pageBreakBefore w:val="0"/>
        <w:spacing w:line="560" w:lineRule="exact"/>
        <w:shd w:val="clear" w:color="auto" w:fill="ffffff"/>
        <w:widowControl/>
        <w:rPr>
          <w:rFonts w:hint="eastAsia" w:ascii="宋体" w:hAnsi="宋体" w:eastAsia="宋体" w:cs="宋体"/>
          <w:b/>
          <w:color w:val="auto"/>
          <w:sz w:val="24"/>
          <w:szCs w:val="24"/>
          <w:highlight w:val="none"/>
        </w:rPr>
      </w:pPr>
      <w:r/>
      <w:bookmarkStart w:id="42" w:name="_Toc534273805"/>
      <w:r/>
      <w:bookmarkStart w:id="43" w:name="_Toc504044384"/>
      <w:r/>
      <w:bookmarkStart w:id="44" w:name="_Toc490133032"/>
      <w:r/>
      <w:bookmarkStart w:id="45" w:name="_Toc534273804"/>
      <w:r/>
      <w:bookmarkStart w:id="46" w:name="_Toc504573087"/>
      <w:r/>
      <w:bookmarkStart w:id="47" w:name="_Toc534273682"/>
      <w:r/>
      <w:bookmarkStart w:id="48" w:name="_Toc504056872"/>
      <w:r/>
      <w:bookmarkStart w:id="49" w:name="_Toc534273681"/>
      <w:r>
        <w:rPr>
          <w:rFonts w:hint="eastAsia" w:ascii="宋体" w:hAnsi="宋体" w:eastAsia="宋体" w:cs="宋体"/>
          <w:b/>
          <w:color w:val="auto"/>
          <w:sz w:val="24"/>
          <w:szCs w:val="24"/>
          <w:highlight w:val="none"/>
        </w:rPr>
        <w:t xml:space="preserve">分项报价表</w:t>
      </w:r>
      <w:r/>
    </w:p>
    <w:p>
      <w:pPr>
        <w:ind w:firstLine="0"/>
        <w:jc w:val="center"/>
        <w:pageBreakBefore w:val="0"/>
        <w:spacing w:line="560" w:lineRule="exact"/>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rPr>
        <w:t xml:space="preserve">（格式自拟，请投标人予以关注。）</w:t>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1、未注明小微企业的，不享受价格扣除。</w:t>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2、投标人符合“第二章 投标人须知3.1条”所述情形的，须在《分项报价》中注明。</w:t>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rPr>
          <w:rFonts w:hint="eastAsia" w:ascii="宋体" w:hAnsi="宋体" w:eastAsia="宋体" w:cs="宋体"/>
          <w:color w:val="auto"/>
          <w:sz w:val="24"/>
          <w:szCs w:val="24"/>
          <w:highlight w:val="none"/>
          <w:u w:val="single"/>
        </w:rPr>
        <w:t xml:space="preserve">            </w:t>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法定代表人或其授权代表（签字）：</w:t>
      </w:r>
      <w:r>
        <w:rPr>
          <w:rFonts w:hint="eastAsia" w:ascii="宋体" w:hAnsi="宋体" w:eastAsia="宋体" w:cs="宋体"/>
          <w:color w:val="auto"/>
          <w:sz w:val="24"/>
          <w:szCs w:val="24"/>
          <w:highlight w:val="none"/>
          <w:u w:val="single"/>
        </w:rPr>
        <w:t xml:space="preserve">          </w:t>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年    月    日</w:t>
      </w:r>
      <w:r/>
    </w:p>
    <w:p>
      <w:pPr>
        <w:ind w:firstLine="0"/>
        <w:pageBreakBefore w:val="0"/>
        <w:spacing w:before="312" w:after="312" w:line="56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4"/>
          <w:szCs w:val="24"/>
          <w:highlight w:val="none"/>
        </w:rPr>
        <w:t xml:space="preserve">附件五、商务条款偏离表格式</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0"/>
        <w:jc w:val="center"/>
        <w:pageBreakBefore w:val="0"/>
        <w:spacing w:before="312" w:line="560" w:lineRule="exact"/>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商务条款偏离表</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bl>
      <w:tblPr>
        <w:tblStyle w:val="856"/>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2729"/>
        <w:gridCol w:w="3119"/>
        <w:gridCol w:w="1861"/>
        <w:gridCol w:w="1038"/>
      </w:tblGrid>
      <w:tr>
        <w:trPr>
          <w:jc w:val="center"/>
          <w:trHeight w:val="284"/>
        </w:trPr>
        <w:tc>
          <w:tcPr>
            <w:gridSpan w:val="5"/>
            <w:tcBorders>
              <w:bottom w:val="single" w:color="auto" w:sz="6" w:space="0"/>
            </w:tcBorders>
            <w:tcW w:w="9412" w:type="dxa"/>
            <w:vAlign w:val="center"/>
            <w:textDirection w:val="lrTb"/>
            <w:noWrap w:val="false"/>
          </w:tcPr>
          <w:p>
            <w:pPr>
              <w:ind w:firstLine="0"/>
              <w:jc w:val="left"/>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项目名称：南京市博物总馆食堂食材采购及配送 </w:t>
            </w:r>
            <w:r/>
          </w:p>
          <w:p>
            <w:pPr>
              <w:ind w:firstLine="0"/>
              <w:jc w:val="left"/>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项目编号：</w:t>
            </w:r>
            <w:r>
              <w:rPr>
                <w:rFonts w:hint="eastAsia" w:ascii="宋体" w:hAnsi="宋体" w:cs="宋体"/>
                <w:color w:val="auto"/>
                <w:sz w:val="24"/>
                <w:szCs w:val="24"/>
                <w:highlight w:val="none"/>
                <w:lang w:val="zh-CN"/>
              </w:rPr>
              <w:t xml:space="preserve">JSZC-320100-YDZB-G2026-0014</w:t>
            </w:r>
            <w:r>
              <w:rPr>
                <w:rFonts w:hint="eastAsia" w:ascii="宋体" w:hAnsi="宋体" w:eastAsia="宋体" w:cs="宋体"/>
                <w:color w:val="auto"/>
                <w:sz w:val="24"/>
                <w:szCs w:val="24"/>
                <w:highlight w:val="none"/>
                <w:lang w:val="zh-CN"/>
              </w:rPr>
              <w:t xml:space="preserve">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公开招标文件条目号</w:t>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公开招标文件要求的商务条款</w:t>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bl>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注：根据自己的商务水平对采购文件提出的要求和条件逐条标明是否响应。</w:t>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rPr>
          <w:rFonts w:hint="eastAsia" w:ascii="宋体" w:hAnsi="宋体" w:eastAsia="宋体" w:cs="宋体"/>
          <w:color w:val="auto"/>
          <w:sz w:val="24"/>
          <w:szCs w:val="24"/>
          <w:highlight w:val="none"/>
          <w:u w:val="single"/>
        </w:rPr>
        <w:t xml:space="preserve">            </w:t>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法定代表人或其授权代表（签字）：</w:t>
      </w:r>
      <w:r>
        <w:rPr>
          <w:rFonts w:hint="eastAsia" w:ascii="宋体" w:hAnsi="宋体" w:eastAsia="宋体" w:cs="宋体"/>
          <w:color w:val="auto"/>
          <w:sz w:val="24"/>
          <w:szCs w:val="24"/>
          <w:highlight w:val="none"/>
          <w:u w:val="single"/>
        </w:rPr>
        <w:t xml:space="preserve">          </w:t>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年    月    日</w:t>
      </w:r>
      <w:r/>
    </w:p>
    <w:p>
      <w:pPr>
        <w:ind w:firstLine="0"/>
        <w:jc w:val="left"/>
        <w:pageBreakBefore w:val="0"/>
        <w:spacing w:line="560" w:lineRule="exact"/>
        <w:shd w:val="clear" w:color="auto" w:fill="ffffff"/>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r>
      <w:r/>
    </w:p>
    <w:p>
      <w:pPr>
        <w:ind w:firstLine="0"/>
        <w:jc w:val="left"/>
        <w:pageBreakBefore w:val="0"/>
        <w:spacing w:line="560" w:lineRule="exact"/>
        <w:shd w:val="clear" w:color="auto" w:fill="ffffff"/>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r>
      <w:r/>
    </w:p>
    <w:p>
      <w:pPr>
        <w:ind w:firstLine="0"/>
        <w:jc w:val="left"/>
        <w:pageBreakBefore w:val="0"/>
        <w:spacing w:line="560" w:lineRule="exact"/>
        <w:shd w:val="clear" w:color="auto" w:fill="ffffff"/>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r>
      <w:r/>
    </w:p>
    <w:p>
      <w:pPr>
        <w:ind w:firstLine="0"/>
        <w:jc w:val="left"/>
        <w:pageBreakBefore w:val="0"/>
        <w:spacing w:line="560" w:lineRule="exact"/>
        <w:shd w:val="clear" w:color="auto" w:fill="ffffff"/>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r>
      <w:r/>
    </w:p>
    <w:p>
      <w:pPr>
        <w:ind w:firstLine="0"/>
        <w:jc w:val="left"/>
        <w:pageBreakBefore w:val="0"/>
        <w:spacing w:line="560" w:lineRule="exact"/>
        <w:shd w:val="clear" w:color="auto" w:fill="ffffff"/>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r>
      <w:r/>
    </w:p>
    <w:p>
      <w:pPr>
        <w:ind w:firstLine="0"/>
        <w:pageBreakBefore w:val="0"/>
        <w:spacing w:before="312" w:after="312" w:line="56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color w:val="auto"/>
          <w:sz w:val="24"/>
          <w:szCs w:val="24"/>
          <w:highlight w:val="none"/>
        </w:rPr>
        <w:t xml:space="preserve">附件六</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采购需求条款偏离表（技术条款偏离表）格式</w:t>
      </w:r>
      <w:bookmarkEnd w:id="42"/>
      <w:r/>
      <w:bookmarkEnd w:id="43"/>
      <w:r/>
      <w:bookmarkEnd w:id="44"/>
      <w:r/>
      <w:bookmarkEnd w:id="45"/>
      <w:r/>
      <w:bookmarkEnd w:id="46"/>
      <w:r/>
      <w:bookmarkEnd w:id="47"/>
      <w:r/>
      <w:bookmarkEnd w:id="48"/>
      <w:r/>
      <w:bookmarkEnd w:id="49"/>
      <w:r/>
      <w:r/>
    </w:p>
    <w:p>
      <w:pPr>
        <w:ind w:firstLine="0"/>
        <w:pageBreakBefore w:val="0"/>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0"/>
        <w:jc w:val="center"/>
        <w:pageBreakBefore w:val="0"/>
        <w:spacing w:before="312" w:line="560" w:lineRule="exact"/>
        <w:shd w:val="clear" w:color="auto" w:fill="ffffff"/>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采购需求条款偏离表</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技术条款偏离表</w:t>
      </w:r>
      <w:r>
        <w:rPr>
          <w:rFonts w:hint="eastAsia" w:ascii="宋体" w:hAnsi="宋体" w:eastAsia="宋体" w:cs="宋体"/>
          <w:b/>
          <w:color w:val="auto"/>
          <w:sz w:val="24"/>
          <w:szCs w:val="24"/>
          <w:highlight w:val="none"/>
          <w:lang w:eastAsia="zh-CN"/>
        </w:rPr>
        <w:t xml:space="preserve">）</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bl>
      <w:tblPr>
        <w:tblStyle w:val="856"/>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3299"/>
        <w:gridCol w:w="1861"/>
        <w:gridCol w:w="1038"/>
      </w:tblGrid>
      <w:tr>
        <w:trPr>
          <w:jc w:val="center"/>
          <w:trHeight w:val="284"/>
        </w:trPr>
        <w:tc>
          <w:tcPr>
            <w:gridSpan w:val="5"/>
            <w:tcBorders>
              <w:bottom w:val="single" w:color="auto" w:sz="6" w:space="0"/>
            </w:tcBorders>
            <w:tcW w:w="9412" w:type="dxa"/>
            <w:vAlign w:val="center"/>
            <w:textDirection w:val="lrTb"/>
            <w:noWrap w:val="false"/>
          </w:tcPr>
          <w:p>
            <w:pPr>
              <w:ind w:firstLine="0"/>
              <w:jc w:val="left"/>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项目名称：南京市博物总馆食堂食材采购及配送 </w:t>
            </w:r>
            <w:r/>
          </w:p>
          <w:p>
            <w:pPr>
              <w:pStyle w:val="859"/>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项目编号：</w:t>
            </w:r>
            <w:r>
              <w:rPr>
                <w:rFonts w:hint="eastAsia" w:ascii="宋体" w:hAnsi="宋体" w:cs="宋体"/>
                <w:color w:val="auto"/>
                <w:sz w:val="24"/>
                <w:szCs w:val="24"/>
                <w:highlight w:val="none"/>
                <w:lang w:val="zh-CN"/>
              </w:rPr>
              <w:t xml:space="preserve">JSZC-320100-YDZB-G2026-0014</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公开招标文件条目号</w:t>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公开招标文件要求的</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zh-CN"/>
              </w:rPr>
              <w:t xml:space="preserve">条款</w:t>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ind w:firstLine="0"/>
              <w:jc w:val="center"/>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bl>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注：根据自己的技术水平对采购文件提出的要求和条件逐条标明是否响应。</w:t>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rPr>
          <w:rFonts w:hint="eastAsia" w:ascii="宋体" w:hAnsi="宋体" w:eastAsia="宋体" w:cs="宋体"/>
          <w:color w:val="auto"/>
          <w:sz w:val="24"/>
          <w:szCs w:val="24"/>
          <w:highlight w:val="none"/>
          <w:u w:val="single"/>
        </w:rPr>
        <w:t xml:space="preserve">            </w:t>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法定代表人或其授权代表（签字）：</w:t>
      </w:r>
      <w:r>
        <w:rPr>
          <w:rFonts w:hint="eastAsia" w:ascii="宋体" w:hAnsi="宋体" w:eastAsia="宋体" w:cs="宋体"/>
          <w:color w:val="auto"/>
          <w:sz w:val="24"/>
          <w:szCs w:val="24"/>
          <w:highlight w:val="none"/>
          <w:u w:val="single"/>
        </w:rPr>
        <w:t xml:space="preserve">          </w:t>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年    月    日</w:t>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0"/>
        <w:pageBreakBefore w:val="0"/>
        <w:spacing w:before="312" w:after="312" w:line="560" w:lineRule="exact"/>
        <w:rPr>
          <w:rFonts w:hint="eastAsia" w:ascii="宋体" w:hAnsi="宋体" w:eastAsia="宋体" w:cs="宋体"/>
          <w:b/>
          <w:color w:val="auto"/>
          <w:sz w:val="24"/>
          <w:szCs w:val="24"/>
          <w:highlight w:val="none"/>
        </w:rPr>
      </w:pPr>
      <w:r/>
      <w:bookmarkStart w:id="50" w:name="_Toc504044385"/>
      <w:r/>
      <w:bookmarkStart w:id="51" w:name="_Toc504056873"/>
      <w:r/>
      <w:bookmarkStart w:id="52" w:name="_Toc490133033"/>
      <w:r/>
      <w:bookmarkStart w:id="53" w:name="_Toc504573088"/>
      <w:r>
        <w:rPr>
          <w:rFonts w:hint="eastAsia" w:ascii="宋体" w:hAnsi="宋体" w:eastAsia="宋体" w:cs="宋体"/>
          <w:color w:val="auto"/>
          <w:sz w:val="24"/>
          <w:szCs w:val="24"/>
          <w:highlight w:val="none"/>
        </w:rPr>
        <w:br w:type="page" w:clear="all"/>
      </w:r>
      <w:bookmarkEnd w:id="50"/>
      <w:r/>
      <w:bookmarkEnd w:id="51"/>
      <w:r/>
      <w:bookmarkEnd w:id="52"/>
      <w:r/>
      <w:bookmarkEnd w:id="53"/>
      <w:r/>
      <w:bookmarkStart w:id="54" w:name="_Toc504056874"/>
      <w:r/>
      <w:bookmarkStart w:id="55" w:name="_Toc534273683"/>
      <w:r/>
      <w:bookmarkStart w:id="56" w:name="_Toc504044386"/>
      <w:r/>
      <w:bookmarkStart w:id="57" w:name="_Toc534273806"/>
      <w:r/>
      <w:bookmarkStart w:id="58" w:name="_Toc490133034"/>
      <w:r/>
      <w:bookmarkStart w:id="59" w:name="_Toc504573089"/>
      <w:r>
        <w:rPr>
          <w:rFonts w:hint="eastAsia" w:ascii="宋体" w:hAnsi="宋体" w:eastAsia="宋体" w:cs="宋体"/>
          <w:b/>
          <w:color w:val="auto"/>
          <w:sz w:val="24"/>
          <w:szCs w:val="24"/>
          <w:highlight w:val="none"/>
        </w:rPr>
        <w:t xml:space="preserve">附件七、拟参与本项目人员一览表</w:t>
      </w:r>
      <w:bookmarkEnd w:id="54"/>
      <w:r/>
      <w:bookmarkEnd w:id="55"/>
      <w:r/>
      <w:bookmarkEnd w:id="56"/>
      <w:r/>
      <w:bookmarkEnd w:id="57"/>
      <w:r/>
      <w:bookmarkEnd w:id="58"/>
      <w:r/>
      <w:bookmarkEnd w:id="59"/>
      <w:r/>
      <w:r/>
    </w:p>
    <w:p>
      <w:pPr>
        <w:ind w:firstLine="0"/>
        <w:pageBreakBefore w:val="0"/>
        <w:spacing w:line="5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left="420" w:firstLine="0"/>
        <w:jc w:val="center"/>
        <w:pageBreakBefore w:val="0"/>
        <w:spacing w:line="560" w:lineRule="exact"/>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拟参与本项目服务人员一览表</w:t>
      </w:r>
      <w:r/>
    </w:p>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南京市博物总馆食堂食材采购及配送 </w:t>
      </w:r>
      <w:r>
        <w:rPr>
          <w:rFonts w:hint="eastAsia" w:ascii="宋体" w:hAnsi="宋体" w:eastAsia="宋体" w:cs="宋体"/>
          <w:color w:val="auto"/>
          <w:sz w:val="24"/>
          <w:szCs w:val="24"/>
          <w:highlight w:val="none"/>
        </w:rPr>
        <w:t xml:space="preserve">                                 </w:t>
      </w:r>
      <w:r/>
    </w:p>
    <w:p>
      <w:pPr>
        <w:pStyle w:val="859"/>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JSZC-320100-YDZB-G2026-0014</w:t>
      </w:r>
      <w:r>
        <w:rPr>
          <w:rFonts w:hint="eastAsia" w:ascii="宋体" w:hAnsi="宋体" w:eastAsia="宋体" w:cs="宋体"/>
          <w:color w:val="auto"/>
          <w:sz w:val="24"/>
          <w:szCs w:val="24"/>
          <w:highlight w:val="none"/>
        </w:rPr>
        <w:t xml:space="preserve">    </w:t>
      </w:r>
      <w:r/>
    </w:p>
    <w:tbl>
      <w:tblPr>
        <w:tblStyle w:val="856"/>
        <w:tblW w:w="11277" w:type="dxa"/>
        <w:jc w:val="center"/>
        <w:tblLayout w:type="fixed"/>
        <w:tblCellMar>
          <w:left w:w="108" w:type="dxa"/>
          <w:top w:w="0" w:type="dxa"/>
          <w:right w:w="108" w:type="dxa"/>
          <w:bottom w:w="0" w:type="dxa"/>
        </w:tblCellMar>
        <w:tblLook w:val="04A0" w:firstRow="1" w:lastRow="0" w:firstColumn="1" w:lastColumn="0" w:noHBand="0" w:noVBand="1"/>
      </w:tblPr>
      <w:tblGrid>
        <w:gridCol w:w="617"/>
        <w:gridCol w:w="2047"/>
        <w:gridCol w:w="850"/>
        <w:gridCol w:w="709"/>
        <w:gridCol w:w="992"/>
        <w:gridCol w:w="851"/>
        <w:gridCol w:w="1134"/>
        <w:gridCol w:w="992"/>
        <w:gridCol w:w="1109"/>
        <w:gridCol w:w="983"/>
        <w:gridCol w:w="993"/>
      </w:tblGrid>
      <w:tr>
        <w:trPr>
          <w:jc w:val="center"/>
          <w:trHeight w:val="10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ind w:firstLine="0"/>
              <w:jc w:val="center"/>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2047" w:type="dxa"/>
            <w:vAlign w:val="center"/>
            <w:textDirection w:val="lrTb"/>
            <w:noWrap w:val="false"/>
          </w:tcPr>
          <w:p>
            <w:pPr>
              <w:ind w:firstLine="0"/>
              <w:jc w:val="center"/>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姓名</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firstLine="0"/>
              <w:jc w:val="center"/>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firstLine="0"/>
              <w:jc w:val="center"/>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年龄</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0"/>
              <w:jc w:val="center"/>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ind w:firstLine="0"/>
              <w:jc w:val="center"/>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学历</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ind w:firstLine="0"/>
              <w:jc w:val="center"/>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执业资格</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0"/>
              <w:jc w:val="center"/>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1109" w:type="dxa"/>
            <w:vAlign w:val="center"/>
            <w:textDirection w:val="lrTb"/>
            <w:noWrap w:val="false"/>
          </w:tcPr>
          <w:p>
            <w:pPr>
              <w:ind w:firstLine="0"/>
              <w:jc w:val="center"/>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ind w:firstLine="0"/>
              <w:jc w:val="center"/>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ind w:firstLine="0"/>
              <w:jc w:val="center"/>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主要管理人员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专业技术人员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ind w:firstLine="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注：1、按</w:t>
      </w:r>
      <w:r>
        <w:rPr>
          <w:rFonts w:hint="eastAsia" w:ascii="宋体" w:hAnsi="宋体" w:eastAsia="宋体" w:cs="宋体"/>
          <w:color w:val="auto"/>
          <w:sz w:val="24"/>
          <w:szCs w:val="24"/>
          <w:highlight w:val="none"/>
          <w:lang w:val="zh-CN"/>
        </w:rPr>
        <w:t xml:space="preserve">公开招标</w:t>
      </w:r>
      <w:r>
        <w:rPr>
          <w:rFonts w:hint="eastAsia" w:ascii="宋体" w:hAnsi="宋体" w:eastAsia="宋体" w:cs="宋体"/>
          <w:color w:val="auto"/>
          <w:sz w:val="24"/>
          <w:szCs w:val="24"/>
          <w:highlight w:val="none"/>
        </w:rPr>
        <w:t xml:space="preserve">文件要求及</w:t>
      </w:r>
      <w:r>
        <w:rPr>
          <w:rFonts w:hint="eastAsia" w:ascii="宋体" w:hAnsi="宋体" w:eastAsia="宋体" w:cs="宋体"/>
          <w:color w:val="auto"/>
          <w:sz w:val="24"/>
          <w:szCs w:val="24"/>
          <w:highlight w:val="none"/>
        </w:rPr>
        <w:t xml:space="preserve">评标标准的要求，提供人员证书等，附后。</w:t>
      </w:r>
      <w:r/>
    </w:p>
    <w:p>
      <w:pPr>
        <w:pStyle w:val="1087"/>
        <w:ind w:firstLine="0"/>
        <w:pageBreakBefore w:val="0"/>
        <w:spacing w:line="56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2、“备注”栏，可填写该人员擅长的工程（或工作）种类；</w:t>
      </w:r>
      <w:r/>
    </w:p>
    <w:p>
      <w:pPr>
        <w:pStyle w:val="1087"/>
        <w:ind w:firstLine="0"/>
        <w:pageBreakBefore w:val="0"/>
        <w:spacing w:line="56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3、如果行数不够，请自行增加。</w:t>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rPr>
          <w:rFonts w:hint="eastAsia" w:ascii="宋体" w:hAnsi="宋体" w:eastAsia="宋体" w:cs="宋体"/>
          <w:color w:val="auto"/>
          <w:sz w:val="24"/>
          <w:szCs w:val="24"/>
          <w:highlight w:val="none"/>
          <w:u w:val="single"/>
        </w:rPr>
        <w:t xml:space="preserve">            </w:t>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法定代表人或其授权代表（签字）：</w:t>
      </w:r>
      <w:r>
        <w:rPr>
          <w:rFonts w:hint="eastAsia" w:ascii="宋体" w:hAnsi="宋体" w:eastAsia="宋体" w:cs="宋体"/>
          <w:color w:val="auto"/>
          <w:sz w:val="24"/>
          <w:szCs w:val="24"/>
          <w:highlight w:val="none"/>
          <w:u w:val="single"/>
        </w:rPr>
        <w:t xml:space="preserve">          </w:t>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年    月    日</w:t>
      </w:r>
      <w:r/>
    </w:p>
    <w:p>
      <w:pPr>
        <w:ind w:firstLine="0"/>
        <w:pageBreakBefore w:val="0"/>
        <w:spacing w:before="312" w:after="312" w:line="560" w:lineRule="exact"/>
        <w:rPr>
          <w:rFonts w:hint="eastAsia" w:ascii="宋体" w:hAnsi="宋体" w:eastAsia="宋体" w:cs="宋体"/>
          <w:b/>
          <w:color w:val="auto"/>
          <w:sz w:val="24"/>
          <w:szCs w:val="24"/>
          <w:highlight w:val="none"/>
        </w:rPr>
      </w:pPr>
      <w:r/>
      <w:bookmarkStart w:id="60" w:name="_Toc534273684"/>
      <w:r/>
      <w:bookmarkStart w:id="61" w:name="_Toc504573090"/>
      <w:r/>
      <w:bookmarkStart w:id="62" w:name="_Toc504044387"/>
      <w:r/>
      <w:bookmarkStart w:id="63" w:name="_Toc490133035"/>
      <w:r/>
      <w:bookmarkStart w:id="64" w:name="_Toc504056875"/>
      <w:r/>
      <w:bookmarkStart w:id="65" w:name="_Toc534273807"/>
      <w:r>
        <w:rPr>
          <w:rFonts w:hint="eastAsia" w:ascii="宋体" w:hAnsi="宋体" w:eastAsia="宋体" w:cs="宋体"/>
          <w:b/>
          <w:color w:val="auto"/>
          <w:sz w:val="24"/>
          <w:szCs w:val="24"/>
          <w:highlight w:val="none"/>
        </w:rPr>
        <w:t xml:space="preserve">附件八、投标人业绩情况表</w:t>
      </w:r>
      <w:bookmarkEnd w:id="60"/>
      <w:r/>
      <w:bookmarkEnd w:id="61"/>
      <w:r/>
      <w:bookmarkEnd w:id="62"/>
      <w:r/>
      <w:bookmarkEnd w:id="63"/>
      <w:r/>
      <w:bookmarkEnd w:id="64"/>
      <w:r/>
      <w:bookmarkEnd w:id="65"/>
      <w:r>
        <w:rPr>
          <w:rFonts w:hint="eastAsia" w:ascii="宋体" w:hAnsi="宋体" w:eastAsia="宋体" w:cs="宋体"/>
          <w:b/>
          <w:bCs/>
          <w:color w:val="auto"/>
          <w:sz w:val="24"/>
          <w:szCs w:val="24"/>
          <w:highlight w:val="none"/>
        </w:rPr>
        <w:t xml:space="preserve">（及证明材料）</w:t>
      </w:r>
      <w:r/>
    </w:p>
    <w:p>
      <w:pPr>
        <w:ind w:firstLine="0"/>
        <w:jc w:val="center"/>
        <w:pageBreakBefore w:val="0"/>
        <w:spacing w:before="312" w:line="560" w:lineRule="exact"/>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业绩情况表</w:t>
      </w:r>
      <w:r/>
    </w:p>
    <w:tbl>
      <w:tblPr>
        <w:tblStyle w:val="856"/>
        <w:tblW w:w="10244" w:type="dxa"/>
        <w:jc w:val="center"/>
        <w:tblLayout w:type="fixed"/>
        <w:tblCellMar>
          <w:left w:w="108" w:type="dxa"/>
          <w:top w:w="0" w:type="dxa"/>
          <w:right w:w="108" w:type="dxa"/>
          <w:bottom w:w="0" w:type="dxa"/>
        </w:tblCellMar>
        <w:tblLook w:val="04A0" w:firstRow="1" w:lastRow="0" w:firstColumn="1" w:lastColumn="0" w:noHBand="0" w:noVBand="1"/>
      </w:tblPr>
      <w:tblGrid>
        <w:gridCol w:w="818"/>
        <w:gridCol w:w="1903"/>
        <w:gridCol w:w="1722"/>
        <w:gridCol w:w="1205"/>
        <w:gridCol w:w="1842"/>
        <w:gridCol w:w="1602"/>
        <w:gridCol w:w="1152"/>
      </w:tblGrid>
      <w:tr>
        <w:trPr>
          <w:jc w:val="center"/>
          <w:trHeight w:val="7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项目规模</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签约及服务时间</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注：按</w:t>
      </w:r>
      <w:r>
        <w:rPr>
          <w:rFonts w:hint="eastAsia" w:ascii="宋体" w:hAnsi="宋体" w:eastAsia="宋体" w:cs="宋体"/>
          <w:color w:val="auto"/>
          <w:sz w:val="24"/>
          <w:szCs w:val="24"/>
          <w:highlight w:val="none"/>
          <w:lang w:val="zh-CN"/>
        </w:rPr>
        <w:t xml:space="preserve">公开招标</w:t>
      </w:r>
      <w:r>
        <w:rPr>
          <w:rFonts w:hint="eastAsia" w:ascii="宋体" w:hAnsi="宋体" w:eastAsia="宋体" w:cs="宋体"/>
          <w:color w:val="auto"/>
          <w:sz w:val="24"/>
          <w:szCs w:val="24"/>
          <w:highlight w:val="none"/>
        </w:rPr>
        <w:t xml:space="preserve">文件要求及</w:t>
      </w:r>
      <w:r>
        <w:rPr>
          <w:rFonts w:hint="eastAsia" w:ascii="宋体" w:hAnsi="宋体" w:eastAsia="宋体" w:cs="宋体"/>
          <w:color w:val="auto"/>
          <w:sz w:val="24"/>
          <w:szCs w:val="24"/>
          <w:highlight w:val="none"/>
        </w:rPr>
        <w:t xml:space="preserve">评标标准的要求，提供业绩证明材料等，附后。</w:t>
      </w:r>
      <w:r/>
    </w:p>
    <w:p>
      <w:pPr>
        <w:pStyle w:val="1089"/>
        <w:ind w:firstLine="0"/>
        <w:pageBreakBefore w:val="0"/>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投标单位（盖章）：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授权代表（签字）：</w:t>
      </w:r>
      <w:r>
        <w:rPr>
          <w:rFonts w:hint="eastAsia" w:ascii="宋体" w:hAnsi="宋体" w:eastAsia="宋体" w:cs="宋体"/>
          <w:color w:val="auto"/>
          <w:sz w:val="24"/>
          <w:szCs w:val="24"/>
          <w:highlight w:val="none"/>
          <w:u w:val="single"/>
        </w:rPr>
        <w:t xml:space="preserve">                              </w:t>
      </w:r>
      <w:r/>
    </w:p>
    <w:p>
      <w:pPr>
        <w:ind w:firstLine="0"/>
        <w:jc w:val="center"/>
        <w:pageBreakBefore w:val="0"/>
        <w:spacing w:before="312"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center"/>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pageBreakBefore w:val="0"/>
        <w:spacing w:before="312" w:after="312" w:line="560" w:lineRule="exact"/>
        <w:rPr>
          <w:rFonts w:hint="eastAsia" w:ascii="宋体" w:hAnsi="宋体" w:eastAsia="宋体" w:cs="宋体"/>
          <w:b/>
          <w:color w:val="auto"/>
          <w:sz w:val="24"/>
          <w:szCs w:val="24"/>
          <w:highlight w:val="none"/>
        </w:rPr>
      </w:pPr>
      <w:r>
        <w:rPr>
          <w:rStyle w:val="899"/>
          <w:rFonts w:hint="eastAsia" w:ascii="宋体" w:hAnsi="宋体" w:eastAsia="宋体" w:cs="宋体"/>
          <w:color w:val="auto"/>
          <w:sz w:val="24"/>
          <w:szCs w:val="24"/>
          <w:highlight w:val="none"/>
        </w:rPr>
        <w:br w:type="page" w:clear="all"/>
      </w:r>
      <w:bookmarkStart w:id="66" w:name="_Toc504573091"/>
      <w:r/>
      <w:bookmarkStart w:id="67" w:name="_Toc534273685"/>
      <w:r/>
      <w:bookmarkStart w:id="68" w:name="_Toc490133036"/>
      <w:r/>
      <w:bookmarkStart w:id="69" w:name="_Toc504044388"/>
      <w:r/>
      <w:bookmarkStart w:id="70" w:name="_Toc504056876"/>
      <w:r/>
      <w:bookmarkStart w:id="71" w:name="_Toc534273808"/>
      <w:r>
        <w:rPr>
          <w:rFonts w:hint="eastAsia" w:ascii="宋体" w:hAnsi="宋体" w:eastAsia="宋体" w:cs="宋体"/>
          <w:b/>
          <w:color w:val="auto"/>
          <w:sz w:val="24"/>
          <w:szCs w:val="24"/>
          <w:highlight w:val="none"/>
        </w:rPr>
        <w:t xml:space="preserve">附件九、企业声明函格式</w:t>
      </w:r>
      <w:bookmarkEnd w:id="66"/>
      <w:r/>
      <w:bookmarkEnd w:id="67"/>
      <w:r/>
      <w:bookmarkEnd w:id="68"/>
      <w:r/>
      <w:bookmarkEnd w:id="69"/>
      <w:r/>
      <w:bookmarkEnd w:id="70"/>
      <w:r/>
      <w:bookmarkEnd w:id="71"/>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center"/>
        <w:pageBreakBefore w:val="0"/>
        <w:spacing w:before="312" w:line="560" w:lineRule="exact"/>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中小企业声明函</w:t>
      </w:r>
      <w:r/>
    </w:p>
    <w:p>
      <w:pPr>
        <w:ind w:firstLine="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lang w:eastAsia="zh-CN"/>
        </w:rPr>
        <w:t xml:space="preserve">南京市博物总馆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lang w:eastAsia="zh-CN"/>
        </w:rPr>
        <w:t xml:space="preserve">南京市博物总馆食堂食材采购及配送 </w:t>
      </w:r>
      <w:r>
        <w:rPr>
          <w:rFonts w:hint="eastAsia" w:ascii="宋体" w:hAnsi="宋体" w:eastAsia="宋体" w:cs="宋体"/>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lang w:eastAsia="zh-CN"/>
        </w:rPr>
        <w:t xml:space="preserve">南京市博物总馆食堂食材采购及配送 </w:t>
      </w:r>
      <w:r>
        <w:rPr>
          <w:rFonts w:hint="eastAsia" w:ascii="宋体" w:hAnsi="宋体" w:eastAsia="宋体" w:cs="宋体"/>
          <w:color w:val="auto"/>
          <w:sz w:val="24"/>
          <w:szCs w:val="24"/>
          <w:highlight w:val="none"/>
        </w:rPr>
        <w:t xml:space="preserve"> ，属于</w:t>
      </w:r>
      <w:r>
        <w:rPr>
          <w:rFonts w:hint="eastAsia" w:ascii="宋体" w:hAnsi="宋体" w:eastAsia="宋体" w:cs="宋体"/>
          <w:color w:val="auto"/>
          <w:sz w:val="24"/>
          <w:szCs w:val="24"/>
          <w:highlight w:val="none"/>
          <w:u w:val="single"/>
          <w:lang w:val="en-US" w:eastAsia="zh-CN"/>
        </w:rPr>
        <w:t xml:space="preserve">批发业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0"/>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0"/>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w:t>
      </w:r>
      <w:r/>
    </w:p>
    <w:p>
      <w:pPr>
        <w:ind w:firstLine="0"/>
        <w:jc w:val="center"/>
        <w:pageBreakBefore w:val="0"/>
        <w:spacing w:before="312" w:line="560" w:lineRule="exact"/>
        <w:shd w:val="clear" w:color="auto" w:fill="ffffff"/>
        <w:widowControl/>
        <w:rPr>
          <w:rFonts w:hint="eastAsia" w:ascii="宋体" w:hAnsi="宋体" w:eastAsia="宋体" w:cs="宋体"/>
          <w:b/>
          <w:color w:val="auto"/>
          <w:sz w:val="24"/>
          <w:szCs w:val="24"/>
          <w:highlight w:val="none"/>
        </w:rPr>
      </w:pPr>
      <w:r/>
      <w:bookmarkStart w:id="72" w:name="OLE_LINK13"/>
      <w:r/>
      <w:bookmarkStart w:id="73" w:name="OLE_LINK14"/>
      <w:r/>
      <w:r/>
    </w:p>
    <w:p>
      <w:pPr>
        <w:ind w:firstLine="0"/>
        <w:jc w:val="center"/>
        <w:pageBreakBefore w:val="0"/>
        <w:spacing w:before="312" w:line="560" w:lineRule="exact"/>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64"/>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center"/>
        <w:pageBreakBefore w:val="0"/>
        <w:spacing w:before="312" w:line="560" w:lineRule="exact"/>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残疾人福利性单位声明函</w:t>
      </w:r>
      <w:bookmarkEnd w:id="72"/>
      <w:r/>
      <w:bookmarkEnd w:id="73"/>
      <w:r/>
      <w:r/>
    </w:p>
    <w:p>
      <w:pPr>
        <w:ind w:firstLine="0"/>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0"/>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0"/>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left"/>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rPr>
          <w:rFonts w:hint="eastAsia" w:ascii="宋体" w:hAnsi="宋体" w:eastAsia="宋体" w:cs="宋体"/>
          <w:color w:val="auto"/>
          <w:sz w:val="24"/>
          <w:szCs w:val="24"/>
          <w:highlight w:val="none"/>
          <w:u w:val="single"/>
        </w:rPr>
        <w:t xml:space="preserve">            </w:t>
      </w:r>
      <w:r/>
    </w:p>
    <w:p>
      <w:pPr>
        <w:ind w:firstLine="0"/>
        <w:jc w:val="left"/>
        <w:pageBreakBefore w:val="0"/>
        <w:spacing w:line="560" w:lineRule="exact"/>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日    期：   年    月    日</w:t>
      </w:r>
      <w:r/>
    </w:p>
    <w:p>
      <w:pPr>
        <w:ind w:firstLine="0"/>
        <w:jc w:val="center"/>
        <w:pageBreakBefore w:val="0"/>
        <w:spacing w:before="312" w:line="560" w:lineRule="exact"/>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属于监狱企业的证明文件</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（提供由省级以上监狱管理局、戒毒管理局（含新疆生产建设兵团）出具的属于监狱企业的证明文件）</w:t>
      </w:r>
      <w:r/>
    </w:p>
    <w:p>
      <w:pPr>
        <w:ind w:firstLine="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pageBreakBefore w:val="0"/>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节能产品认证证书</w:t>
      </w:r>
      <w:r/>
    </w:p>
    <w:p>
      <w:pPr>
        <w:ind w:firstLine="0"/>
        <w:pageBreakBefore w:val="0"/>
        <w:spacing w:before="312" w:line="560" w:lineRule="exact"/>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（提供国家确定的认证机构出具的、处于有效期之内的产品认证证书）</w:t>
      </w:r>
      <w:r/>
    </w:p>
    <w:p>
      <w:pPr>
        <w:ind w:firstLine="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环境标志产品认证证书</w:t>
      </w:r>
      <w:r/>
    </w:p>
    <w:p>
      <w:pPr>
        <w:ind w:firstLine="0"/>
        <w:pageBreakBefore w:val="0"/>
        <w:spacing w:before="312"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（提供国家确定的认证机构出具的、处于有效期之内的产品认证证书）</w:t>
      </w:r>
      <w:r/>
    </w:p>
    <w:p>
      <w:pPr>
        <w:ind w:firstLine="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pageBreakBefore w:val="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pageBreakBefore w:val="0"/>
        <w:spacing w:before="312" w:line="560" w:lineRule="exact"/>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进口产品转让技术、消化吸收再创新方案</w:t>
      </w:r>
      <w:r/>
    </w:p>
    <w:p>
      <w:pPr>
        <w:ind w:firstLine="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（对于允许进口产品参加的项目）</w:t>
      </w:r>
      <w:r/>
    </w:p>
    <w:p>
      <w:pPr>
        <w:ind w:firstLine="0"/>
        <w:pageBreakBefore w:val="0"/>
        <w:spacing w:before="312" w:after="312" w:line="56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zh-CN"/>
        </w:rPr>
        <w:br w:type="page" w:clear="all"/>
      </w:r>
      <w:bookmarkStart w:id="74" w:name="_Toc8704"/>
      <w:r/>
      <w:bookmarkStart w:id="75" w:name="_Toc504056877"/>
      <w:r/>
      <w:bookmarkStart w:id="76" w:name="_Toc534273686"/>
      <w:r/>
      <w:bookmarkStart w:id="77" w:name="_Toc504044389"/>
      <w:r/>
      <w:bookmarkStart w:id="78" w:name="_Toc490133037"/>
      <w:r/>
      <w:bookmarkStart w:id="79" w:name="_Toc504573092"/>
      <w:r/>
      <w:bookmarkStart w:id="80" w:name="_Toc534273809"/>
      <w:r>
        <w:rPr>
          <w:rFonts w:hint="eastAsia" w:ascii="宋体" w:hAnsi="宋体" w:eastAsia="宋体" w:cs="宋体"/>
          <w:b/>
          <w:color w:val="auto"/>
          <w:sz w:val="24"/>
          <w:szCs w:val="24"/>
          <w:highlight w:val="none"/>
        </w:rPr>
        <w:t xml:space="preserve">附件十、无重大违法记录声明格式</w:t>
      </w:r>
      <w:r/>
    </w:p>
    <w:p>
      <w:pPr>
        <w:ind w:firstLine="0"/>
        <w:jc w:val="center"/>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center"/>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无重大违法记录声明</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江苏有点招标代理有限公司：</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pageBreakBefore w:val="0"/>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（投标人名称）宣布声明和承诺如下：</w:t>
      </w:r>
      <w:r/>
    </w:p>
    <w:p>
      <w:pPr>
        <w:ind w:firstLine="0"/>
        <w:pageBreakBefore w:val="0"/>
        <w:spacing w:line="560" w:lineRule="exact"/>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我单位参加本次采购活动前3年内在经营活动中</w:t>
      </w:r>
      <w:r>
        <w:rPr>
          <w:rFonts w:hint="eastAsia" w:ascii="宋体" w:hAnsi="宋体" w:eastAsia="宋体" w:cs="宋体"/>
          <w:color w:val="auto"/>
          <w:sz w:val="24"/>
          <w:szCs w:val="24"/>
          <w:highlight w:val="none"/>
        </w:rPr>
        <w:t xml:space="preserve">（</w:t>
      </w:r>
      <w:r>
        <w:rPr>
          <w:rFonts w:hint="eastAsia" w:ascii="宋体" w:hAnsi="宋体" w:eastAsia="宋体" w:cs="宋体"/>
          <w:b/>
          <w:i/>
          <w:color w:val="auto"/>
          <w:sz w:val="24"/>
          <w:szCs w:val="24"/>
          <w:highlight w:val="none"/>
          <w:u w:val="single"/>
        </w:rPr>
        <w:t xml:space="preserve">在下划线上如实填写：有或没有</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重大违法记录</w:t>
      </w:r>
      <w:r>
        <w:rPr>
          <w:rFonts w:hint="eastAsia" w:ascii="宋体" w:hAnsi="宋体" w:eastAsia="宋体" w:cs="宋体"/>
          <w:b/>
          <w:color w:val="auto"/>
          <w:sz w:val="24"/>
          <w:szCs w:val="24"/>
          <w:highlight w:val="none"/>
        </w:rPr>
        <w:t xml:space="preserve">，且不是失信被执行人、重大税收违法案件当事人名单、政府采购严重违法失信行为记录名单的投标人。</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（说明：政府采购法第二十二条第一款第五项所称重大违法记录，是指投标人因违法经营受到刑事处罚或者责令停产停业、吊销许可证或者执照、较大数额罚款等行政处罚。）</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声明人：（公章）</w:t>
      </w:r>
      <w:r/>
    </w:p>
    <w:p>
      <w:pPr>
        <w:ind w:right="840" w:firstLine="0"/>
        <w:pageBreakBefore w:val="0"/>
        <w:spacing w:line="56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    年   月</w:t>
      </w:r>
      <w:r>
        <w:rPr>
          <w:rFonts w:hint="eastAsia" w:ascii="宋体" w:hAnsi="宋体" w:eastAsia="宋体" w:cs="宋体"/>
          <w:color w:val="auto"/>
          <w:sz w:val="24"/>
          <w:szCs w:val="24"/>
          <w:highlight w:val="none"/>
          <w:lang w:val="en-US" w:eastAsia="zh-CN"/>
        </w:rPr>
        <w:t xml:space="preserve">  日</w:t>
      </w:r>
      <w:r>
        <w:rPr>
          <w:rFonts w:hint="eastAsia" w:ascii="宋体" w:hAnsi="宋体" w:eastAsia="宋体" w:cs="宋体"/>
          <w:color w:val="auto"/>
          <w:sz w:val="24"/>
          <w:szCs w:val="24"/>
          <w:highlight w:val="none"/>
        </w:rPr>
        <w:br w:type="page" w:clear="all"/>
      </w:r>
      <w:bookmarkEnd w:id="74"/>
      <w:r/>
      <w:bookmarkEnd w:id="75"/>
      <w:r/>
      <w:bookmarkEnd w:id="76"/>
      <w:r/>
      <w:bookmarkEnd w:id="77"/>
      <w:r/>
      <w:bookmarkEnd w:id="78"/>
      <w:r/>
      <w:bookmarkEnd w:id="79"/>
      <w:r/>
      <w:bookmarkEnd w:id="80"/>
      <w:r>
        <w:rPr>
          <w:rFonts w:hint="eastAsia" w:ascii="宋体" w:hAnsi="宋体" w:eastAsia="宋体" w:cs="宋体"/>
          <w:b/>
          <w:color w:val="auto"/>
          <w:sz w:val="24"/>
          <w:szCs w:val="24"/>
          <w:highlight w:val="none"/>
        </w:rPr>
        <w:t xml:space="preserve">附件十一、 资格资信证明文件</w:t>
      </w:r>
      <w:r/>
    </w:p>
    <w:p>
      <w:pPr>
        <w:ind w:firstLine="0"/>
        <w:pageBreakBefore w:val="0"/>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0"/>
        <w:pageBreakBefore w:val="0"/>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0"/>
        <w:pageBreakBefore w:val="0"/>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0"/>
        <w:pageBreakBefore w:val="0"/>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0"/>
        <w:pageBreakBefore w:val="0"/>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0"/>
        <w:jc w:val="left"/>
        <w:pageBreakBefore w:val="0"/>
        <w:spacing w:line="560" w:lineRule="exact"/>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附件十二、</w:t>
      </w:r>
      <w:r>
        <w:rPr>
          <w:rFonts w:hint="eastAsia" w:ascii="宋体" w:hAnsi="宋体" w:eastAsia="宋体" w:cs="宋体"/>
          <w:b/>
          <w:color w:val="auto"/>
          <w:sz w:val="24"/>
          <w:szCs w:val="24"/>
          <w:highlight w:val="none"/>
          <w:lang w:val="zh-CN"/>
        </w:rPr>
        <w:t xml:space="preserve">技术说明或服务方案（根据文件要求自行编制）</w:t>
      </w:r>
      <w:r/>
    </w:p>
    <w:p>
      <w:pPr>
        <w:ind w:firstLine="0"/>
        <w:jc w:val="left"/>
        <w:pageBreakBefore w:val="0"/>
        <w:spacing w:line="560" w:lineRule="exact"/>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left"/>
        <w:pageBreakBefore w:val="0"/>
        <w:spacing w:line="560" w:lineRule="exact"/>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left"/>
        <w:pageBreakBefore w:val="0"/>
        <w:spacing w:line="560" w:lineRule="exact"/>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left"/>
        <w:pageBreakBefore w:val="0"/>
        <w:spacing w:line="560" w:lineRule="exact"/>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left"/>
        <w:pageBreakBefore w:val="0"/>
        <w:spacing w:line="560" w:lineRule="exact"/>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left"/>
        <w:pageBreakBefore w:val="0"/>
        <w:spacing w:line="560" w:lineRule="exact"/>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left"/>
        <w:pageBreakBefore w:val="0"/>
        <w:spacing w:line="560" w:lineRule="exact"/>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left"/>
        <w:pageBreakBefore w:val="0"/>
        <w:spacing w:line="560" w:lineRule="exact"/>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left"/>
        <w:pageBreakBefore w:val="0"/>
        <w:spacing w:line="560" w:lineRule="exact"/>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left"/>
        <w:pageBreakBefore w:val="0"/>
        <w:spacing w:line="560" w:lineRule="exact"/>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left"/>
        <w:pageBreakBefore w:val="0"/>
        <w:spacing w:line="560" w:lineRule="exact"/>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left"/>
        <w:pageBreakBefore w:val="0"/>
        <w:spacing w:line="560" w:lineRule="exact"/>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left"/>
        <w:pageBreakBefore w:val="0"/>
        <w:spacing w:line="560" w:lineRule="exact"/>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left"/>
        <w:pageBreakBefore w:val="0"/>
        <w:spacing w:line="560" w:lineRule="exact"/>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left"/>
        <w:pageBreakBefore w:val="0"/>
        <w:spacing w:line="560" w:lineRule="exact"/>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left"/>
        <w:pageBreakBefore w:val="0"/>
        <w:spacing w:line="560" w:lineRule="exact"/>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left"/>
        <w:pageBreakBefore w:val="0"/>
        <w:spacing w:line="560" w:lineRule="exact"/>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left"/>
        <w:pageBreakBefore w:val="0"/>
        <w:spacing w:line="560" w:lineRule="exact"/>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附件十三：关于符合本国产品标准的声明函</w:t>
      </w:r>
      <w:r/>
    </w:p>
    <w:p>
      <w:pPr>
        <w:ind w:firstLine="0"/>
        <w:jc w:val="center"/>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center"/>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关于符合本国产品标准的声明函</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产品名称1），生产厂为（厂名），厂址为（生产厂址）。（产品名称1）的中国境内生产的组件成本占比≥（规定比例）。（产品名称1）的（关键组件）在中国境内生产。（产品名称1）的（关键工序）在中国境内完成。</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本公司（单位）对上述声明内容的真实性负责。如有虚假，愿承担相应法律责任。</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公司（单位）名称（盖章）：　        </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  日         </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1.产品如有型号，请在“产品名称”栏一并填写。</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2.生产厂名与厂址应与生产厂营业执照载明的相关信息保持一致。</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3.该产品的中国境内生产的组件成本占比相关要求实施前，“规定比例”栏可不填，下同。</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4.该产品的关键组件要求实施前，“关键组件”栏可不填，下同。</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5.该产品的关键工序要求实施前，“关键工序”栏可不填，下同。</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附件十四、</w:t>
      </w:r>
      <w:r>
        <w:rPr>
          <w:rFonts w:hint="eastAsia" w:ascii="宋体" w:hAnsi="宋体" w:eastAsia="宋体" w:cs="宋体"/>
          <w:b/>
          <w:bCs/>
          <w:color w:val="auto"/>
          <w:sz w:val="24"/>
          <w:szCs w:val="24"/>
          <w:highlight w:val="none"/>
        </w:rPr>
        <w:t xml:space="preserve">供货一览表</w:t>
      </w:r>
      <w:r/>
    </w:p>
    <w:p>
      <w:pPr>
        <w:jc w:val="center"/>
        <w:spacing w:line="360" w:lineRule="auto"/>
        <w:widowControl/>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r>
      <w:r/>
    </w:p>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（含配件、备品、消耗材料）</w:t>
      </w:r>
      <w:r/>
    </w:p>
    <w:tbl>
      <w:tblPr>
        <w:tblStyle w:val="856"/>
        <w:tblW w:w="93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4"/>
        <w:gridCol w:w="1181"/>
        <w:gridCol w:w="900"/>
        <w:gridCol w:w="709"/>
        <w:gridCol w:w="2268"/>
        <w:gridCol w:w="3240"/>
      </w:tblGrid>
      <w:tr>
        <w:trPr>
          <w:trHeight w:val="284"/>
        </w:trPr>
        <w:tc>
          <w:tcPr>
            <w:gridSpan w:val="5"/>
            <w:tcBorders>
              <w:top w:val="none" w:color="000000" w:sz="4" w:space="0"/>
              <w:left w:val="none" w:color="000000" w:sz="4" w:space="0"/>
              <w:bottom w:val="single" w:color="auto" w:sz="4" w:space="0"/>
              <w:right w:val="none" w:color="000000" w:sz="4" w:space="0"/>
            </w:tcBorders>
            <w:tcW w:w="6062"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none" w:color="000000" w:sz="4" w:space="0"/>
              <w:left w:val="none" w:color="000000" w:sz="4" w:space="0"/>
              <w:bottom w:val="single" w:color="auto" w:sz="4" w:space="0"/>
              <w:right w:val="none" w:color="000000" w:sz="4" w:space="0"/>
            </w:tcBorders>
            <w:tcW w:w="324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采购编号：</w:t>
            </w:r>
            <w:r/>
          </w:p>
        </w:tc>
      </w:tr>
      <w:tr>
        <w:trPr>
          <w:trHeight w:val="284"/>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货物名称</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gridSpan w:val="2"/>
            <w:tcBorders>
              <w:top w:val="single" w:color="auto" w:sz="4" w:space="0"/>
              <w:left w:val="single" w:color="auto" w:sz="4" w:space="0"/>
              <w:bottom w:val="single" w:color="auto" w:sz="4" w:space="0"/>
              <w:right w:val="single" w:color="auto" w:sz="4" w:space="0"/>
            </w:tcBorders>
            <w:tcW w:w="550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产品信息</w:t>
            </w:r>
            <w:r/>
          </w:p>
        </w:tc>
      </w:tr>
      <w:tr>
        <w:trPr>
          <w:trHeight w:val="284"/>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5508"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1、品牌、规格或型号：</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2、生产企业名称及地址：</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3、主要技术参数：</w:t>
            </w:r>
            <w:r/>
          </w:p>
        </w:tc>
      </w:tr>
      <w:tr>
        <w:trPr>
          <w:trHeight w:val="284"/>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5508"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1、品牌、规格或型号：</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2、生产企业名称及地址：</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3、主要技术参数：</w:t>
            </w:r>
            <w:r/>
          </w:p>
        </w:tc>
      </w:tr>
      <w:tr>
        <w:trPr>
          <w:trHeight w:val="284"/>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5508"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1、品牌、规格或型号：</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2、生产企业名称及地址：</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3、主要技术参数：</w:t>
            </w:r>
            <w:r/>
          </w:p>
        </w:tc>
      </w:tr>
      <w:tr>
        <w:trPr>
          <w:trHeight w:val="284"/>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550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说明：如果行数不够，请自行增加。</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（加盖公章扫描上传或电子签章）</w:t>
      </w:r>
      <w:r/>
    </w:p>
    <w:p>
      <w:pPr>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5"/>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5"/>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5"/>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5"/>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5"/>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5"/>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5"/>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5"/>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5"/>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5"/>
        <w:ind w:firstLine="0"/>
        <w:pageBreakBefore w:val="0"/>
        <w:spacing w:line="5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附件十五、</w:t>
      </w:r>
      <w:r/>
    </w:p>
    <w:p>
      <w:pPr>
        <w:pStyle w:val="865"/>
        <w:ind w:firstLine="0"/>
        <w:pageBreakBefore w:val="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65"/>
        <w:ind w:firstLine="0"/>
        <w:pageBreakBefore w:val="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rPr>
          <w:rFonts w:hint="eastAsia" w:ascii="宋体" w:hAnsi="宋体" w:eastAsia="宋体" w:cs="宋体"/>
          <w:b/>
          <w:i w:val="0"/>
          <w:color w:val="auto"/>
          <w:sz w:val="44"/>
          <w:szCs w:val="44"/>
          <w:highlight w:val="none"/>
        </w:rPr>
      </w:pPr>
      <w:r>
        <w:rPr>
          <w:rFonts w:hint="eastAsia" w:ascii="宋体" w:hAnsi="宋体" w:eastAsia="宋体" w:cs="宋体"/>
          <w:b/>
          <w:i w:val="0"/>
          <w:color w:val="auto"/>
          <w:sz w:val="44"/>
          <w:szCs w:val="44"/>
          <w:highlight w:val="none"/>
        </w:rPr>
        <w:t xml:space="preserve">食堂食材采购及食品安全协议</w:t>
      </w:r>
      <w:r/>
    </w:p>
    <w:p>
      <w:pPr>
        <w:jc w:val="both"/>
        <w:rPr>
          <w:rFonts w:hint="eastAsia" w:ascii="宋体" w:hAnsi="宋体" w:eastAsia="宋体" w:cs="宋体"/>
          <w:b w:val="0"/>
          <w:bCs/>
          <w:i w:val="0"/>
          <w:color w:val="auto"/>
          <w:sz w:val="28"/>
          <w:szCs w:val="28"/>
          <w:highlight w:val="none"/>
        </w:rPr>
      </w:pPr>
      <w:r>
        <w:rPr>
          <w:rFonts w:hint="eastAsia" w:ascii="宋体" w:hAnsi="宋体" w:eastAsia="宋体" w:cs="宋体"/>
          <w:b w:val="0"/>
          <w:bCs/>
          <w:i w:val="0"/>
          <w:color w:val="auto"/>
          <w:sz w:val="28"/>
          <w:szCs w:val="28"/>
          <w:highlight w:val="none"/>
        </w:rPr>
      </w:r>
      <w:r/>
    </w:p>
    <w:p>
      <w:pPr>
        <w:ind w:firstLine="560"/>
        <w:jc w:val="both"/>
        <w:keepLines w:val="0"/>
        <w:keepNext w:val="0"/>
        <w:pageBreakBefore w:val="0"/>
        <w:widowControl w:val="off"/>
        <w:rPr>
          <w:rFonts w:hint="default" w:ascii="宋体" w:hAnsi="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rPr>
        <w:t xml:space="preserve">甲方（采购</w:t>
      </w:r>
      <w:r>
        <w:rPr>
          <w:rFonts w:hint="eastAsia" w:ascii="宋体" w:hAnsi="宋体" w:eastAsia="宋体" w:cs="宋体"/>
          <w:b w:val="0"/>
          <w:bCs/>
          <w:i w:val="0"/>
          <w:color w:val="auto"/>
          <w:sz w:val="28"/>
          <w:szCs w:val="28"/>
          <w:highlight w:val="none"/>
          <w:lang w:val="en-US" w:eastAsia="zh-CN"/>
        </w:rPr>
        <w:t xml:space="preserve">人</w:t>
      </w:r>
      <w:r>
        <w:rPr>
          <w:rFonts w:hint="eastAsia" w:ascii="宋体" w:hAnsi="宋体" w:eastAsia="宋体" w:cs="宋体"/>
          <w:b w:val="0"/>
          <w:bCs/>
          <w:i w:val="0"/>
          <w:color w:val="auto"/>
          <w:sz w:val="28"/>
          <w:szCs w:val="28"/>
          <w:highlight w:val="none"/>
        </w:rPr>
        <w:t xml:space="preserve">）</w:t>
      </w:r>
      <w:r>
        <w:rPr>
          <w:rFonts w:hint="eastAsia" w:ascii="宋体" w:hAnsi="宋体" w:eastAsia="宋体" w:cs="宋体"/>
          <w:b w:val="0"/>
          <w:bCs/>
          <w:i w:val="0"/>
          <w:color w:val="auto"/>
          <w:sz w:val="28"/>
          <w:szCs w:val="28"/>
          <w:highlight w:val="none"/>
          <w:lang w:eastAsia="zh-CN"/>
        </w:rPr>
        <w:t xml:space="preserve">：</w:t>
      </w:r>
      <w:r>
        <w:rPr>
          <w:rFonts w:hint="eastAsia" w:ascii="宋体" w:hAnsi="宋体" w:cs="宋体"/>
          <w:b w:val="0"/>
          <w:bCs/>
          <w:i w:val="0"/>
          <w:color w:val="auto"/>
          <w:sz w:val="28"/>
          <w:szCs w:val="28"/>
          <w:highlight w:val="none"/>
          <w:lang w:val="en-US" w:eastAsia="zh-CN"/>
        </w:rPr>
        <w:t xml:space="preserve">南京市博物总馆</w:t>
      </w:r>
      <w:r/>
    </w:p>
    <w:p>
      <w:pPr>
        <w:ind w:firstLine="560"/>
        <w:jc w:val="both"/>
        <w:keepLines w:val="0"/>
        <w:keepNext w:val="0"/>
        <w:pageBreakBefore w:val="0"/>
        <w:widowControl w:val="off"/>
        <w:rPr>
          <w:rFonts w:hint="default"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住所地：</w:t>
      </w:r>
      <w:r>
        <w:rPr>
          <w:rFonts w:hint="eastAsia" w:ascii="宋体" w:hAnsi="宋体" w:cs="宋体"/>
          <w:b w:val="0"/>
          <w:bCs/>
          <w:i w:val="0"/>
          <w:color w:val="auto"/>
          <w:sz w:val="28"/>
          <w:szCs w:val="28"/>
          <w:highlight w:val="none"/>
          <w:lang w:val="en-US" w:eastAsia="zh-CN"/>
        </w:rPr>
        <w:t xml:space="preserve">南京市秦淮区中华路257号</w:t>
      </w:r>
      <w:r/>
    </w:p>
    <w:p>
      <w:pPr>
        <w:ind w:firstLine="560"/>
        <w:jc w:val="both"/>
        <w:keepLines w:val="0"/>
        <w:keepNext w:val="0"/>
        <w:pageBreakBefore w:val="0"/>
        <w:widowControl w:val="off"/>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乙方（供应商）：</w:t>
      </w:r>
      <w:r/>
    </w:p>
    <w:p>
      <w:pPr>
        <w:ind w:firstLine="560"/>
        <w:jc w:val="both"/>
        <w:keepLines w:val="0"/>
        <w:keepNext w:val="0"/>
        <w:pageBreakBefore w:val="0"/>
        <w:widowControl w:val="off"/>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住所地：</w:t>
      </w:r>
      <w:r/>
    </w:p>
    <w:p>
      <w:pPr>
        <w:ind w:firstLine="560"/>
        <w:jc w:val="both"/>
        <w:keepLines w:val="0"/>
        <w:keepNext w:val="0"/>
        <w:pageBreakBefore w:val="0"/>
        <w:widowControl w:val="off"/>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甲方为保障单位食堂食材供应，向乙方采购相关食材，为明确食材采购及供应过程中的食品安全责任，保障甲方食堂用餐人员的食品安全，双方经平等自愿协商，根据《中华人民共和国民法典》《中华人民共和国食品安全法》及相关法规，签订本协议以共同遵守。</w:t>
      </w:r>
      <w:r/>
    </w:p>
    <w:p>
      <w:pPr>
        <w:ind w:firstLine="562"/>
        <w:jc w:val="both"/>
        <w:keepLines w:val="0"/>
        <w:keepNext w:val="0"/>
        <w:pageBreakBefore w:val="0"/>
        <w:widowControl w:val="off"/>
        <w:rPr>
          <w:rFonts w:hint="eastAsia" w:ascii="宋体" w:hAnsi="宋体" w:eastAsia="宋体" w:cs="宋体"/>
          <w:b/>
          <w:bCs w:val="0"/>
          <w:i w:val="0"/>
          <w:color w:val="auto"/>
          <w:sz w:val="28"/>
          <w:szCs w:val="28"/>
          <w:highlight w:val="none"/>
          <w:lang w:val="en-US" w:eastAsia="zh-CN"/>
        </w:rPr>
      </w:pPr>
      <w:r>
        <w:rPr>
          <w:rFonts w:hint="eastAsia" w:ascii="宋体" w:hAnsi="宋体" w:eastAsia="宋体" w:cs="宋体"/>
          <w:b/>
          <w:bCs w:val="0"/>
          <w:i w:val="0"/>
          <w:color w:val="auto"/>
          <w:sz w:val="28"/>
          <w:szCs w:val="28"/>
          <w:highlight w:val="none"/>
          <w:lang w:val="en-US" w:eastAsia="zh-CN"/>
        </w:rPr>
        <w:t xml:space="preserve">第一条 食品安全责任</w:t>
      </w:r>
      <w:r/>
    </w:p>
    <w:p>
      <w:pPr>
        <w:ind w:firstLine="560"/>
        <w:jc w:val="both"/>
        <w:keepLines w:val="0"/>
        <w:keepNext w:val="0"/>
        <w:pageBreakBefore w:val="0"/>
        <w:widowControl w:val="off"/>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第1.1条 乙方应遵守《中华人民共和国食品安全法》及其实施条例等现行有效的法律法规，确保供应的食材符合国家食品安全标准。</w:t>
      </w:r>
      <w:r/>
    </w:p>
    <w:p>
      <w:pPr>
        <w:ind w:firstLine="560"/>
        <w:jc w:val="both"/>
        <w:keepLines w:val="0"/>
        <w:keepNext w:val="0"/>
        <w:pageBreakBefore w:val="0"/>
        <w:widowControl w:val="off"/>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第1.2条 乙方对其供应的食材质量安全承担全部责任，保证提供的食材符合以下要求：</w:t>
      </w:r>
      <w:r/>
    </w:p>
    <w:p>
      <w:pPr>
        <w:ind w:firstLine="560"/>
        <w:jc w:val="both"/>
        <w:keepLines w:val="0"/>
        <w:keepNext w:val="0"/>
        <w:pageBreakBefore w:val="0"/>
        <w:widowControl w:val="off"/>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（一）无毒、无害，符合应当有的营养要求；</w:t>
      </w:r>
      <w:r/>
    </w:p>
    <w:p>
      <w:pPr>
        <w:ind w:firstLine="560"/>
        <w:jc w:val="both"/>
        <w:keepLines w:val="0"/>
        <w:keepNext w:val="0"/>
        <w:pageBreakBefore w:val="0"/>
        <w:widowControl w:val="off"/>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（二）具有相应的色、香、味等感官性状；</w:t>
      </w:r>
      <w:r/>
    </w:p>
    <w:p>
      <w:pPr>
        <w:ind w:firstLine="560"/>
        <w:jc w:val="both"/>
        <w:keepLines w:val="0"/>
        <w:keepNext w:val="0"/>
        <w:pageBreakBefore w:val="0"/>
        <w:widowControl w:val="off"/>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（三）符合国家食品安全标准及双方约定的质量规格；</w:t>
      </w:r>
      <w:r/>
    </w:p>
    <w:p>
      <w:pPr>
        <w:ind w:firstLine="560"/>
        <w:jc w:val="both"/>
        <w:keepLines w:val="0"/>
        <w:keepNext w:val="0"/>
        <w:pageBreakBefore w:val="0"/>
        <w:widowControl w:val="off"/>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（四）预包装食品包装上应当有标签，标签应标明产品名称、规格、净含量、生产日期、成分或者配料表、生产者的名称、地址、联系方式、保质期、产品标准代号、贮存条件、生产许可证编号等事项。</w:t>
      </w:r>
      <w:r/>
    </w:p>
    <w:p>
      <w:pPr>
        <w:ind w:firstLine="560"/>
        <w:jc w:val="both"/>
        <w:keepLines w:val="0"/>
        <w:keepNext w:val="0"/>
        <w:pageBreakBefore w:val="0"/>
        <w:widowControl w:val="off"/>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第1.3条 乙方应建立并执行进货查验记录制度，如实记录食材的名称、规格、数量、生产日期或者生产批号、保质期、进货日期以及供货者名称、地址、联系方式等内容，并保存相关凭证。记录和凭证保存期限不得少于产品保质期满后六个月；没有明确保质期的，保存期限不得少于二年。</w:t>
      </w:r>
      <w:r/>
    </w:p>
    <w:p>
      <w:pPr>
        <w:ind w:firstLine="560"/>
        <w:jc w:val="both"/>
        <w:keepLines w:val="0"/>
        <w:keepNext w:val="0"/>
        <w:pageBreakBefore w:val="0"/>
        <w:widowControl w:val="off"/>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第1.4条 乙方供应的食材应符合国家有关农药残留、兽药残留、重金属、致病性微生物等污染物质以及其他危害人体健康物质限量标准的规定。</w:t>
      </w:r>
      <w:r/>
    </w:p>
    <w:p>
      <w:pPr>
        <w:ind w:firstLine="562"/>
        <w:jc w:val="both"/>
        <w:keepLines w:val="0"/>
        <w:keepNext w:val="0"/>
        <w:pageBreakBefore w:val="0"/>
        <w:widowControl w:val="off"/>
        <w:rPr>
          <w:rFonts w:hint="eastAsia" w:ascii="宋体" w:hAnsi="宋体" w:eastAsia="宋体" w:cs="宋体"/>
          <w:b/>
          <w:bCs w:val="0"/>
          <w:i w:val="0"/>
          <w:color w:val="auto"/>
          <w:sz w:val="28"/>
          <w:szCs w:val="28"/>
          <w:highlight w:val="none"/>
          <w:lang w:val="en-US" w:eastAsia="zh-CN"/>
        </w:rPr>
      </w:pPr>
      <w:r>
        <w:rPr>
          <w:rFonts w:hint="eastAsia" w:ascii="宋体" w:hAnsi="宋体" w:eastAsia="宋体" w:cs="宋体"/>
          <w:b/>
          <w:bCs w:val="0"/>
          <w:i w:val="0"/>
          <w:color w:val="auto"/>
          <w:sz w:val="28"/>
          <w:szCs w:val="28"/>
          <w:highlight w:val="none"/>
          <w:lang w:val="en-US" w:eastAsia="zh-CN"/>
        </w:rPr>
        <w:t xml:space="preserve">第二条 运输与交付安全责任</w:t>
      </w:r>
      <w:r/>
    </w:p>
    <w:p>
      <w:pPr>
        <w:ind w:firstLine="560"/>
        <w:jc w:val="both"/>
        <w:keepLines w:val="0"/>
        <w:keepNext w:val="0"/>
        <w:pageBreakBefore w:val="0"/>
        <w:widowControl w:val="off"/>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第2.1条 乙方负责将食材安全运输至甲方指定地点。运输工具和运输条件应符合食材的贮存要求，保持清洁、干燥，防止食材在运输过程中受到污染、损坏或变质。</w:t>
      </w:r>
      <w:r/>
    </w:p>
    <w:p>
      <w:pPr>
        <w:ind w:firstLine="560"/>
        <w:jc w:val="both"/>
        <w:keepLines w:val="0"/>
        <w:keepNext w:val="0"/>
        <w:pageBreakBefore w:val="0"/>
        <w:widowControl w:val="off"/>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第2.2条 需冷链运输的食材，乙方应使用符合要求的冷藏、冷冻车辆或设备，并全程记录运输过程中的温度数据，确保食材在运输环节始终处于规定的温度环境。相关温度记录应随货提供给甲方查验。</w:t>
      </w:r>
      <w:r/>
    </w:p>
    <w:p>
      <w:pPr>
        <w:ind w:firstLine="560"/>
        <w:jc w:val="both"/>
        <w:keepLines w:val="0"/>
        <w:keepNext w:val="0"/>
        <w:pageBreakBefore w:val="0"/>
        <w:widowControl w:val="off"/>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第2.3条 食材交付时，甲乙双方应共同进行验收。验收内容包括但不限于食材的品种、数量、外观、包装、标签、生产日期、保质期以及运输温度记录等。验收合格的，双方签字确认；验收不合格的，甲方有权拒收，并由乙方承担由此产生的一切责任和费用。</w:t>
      </w:r>
      <w:r/>
    </w:p>
    <w:p>
      <w:pPr>
        <w:ind w:firstLine="562"/>
        <w:jc w:val="both"/>
        <w:keepLines w:val="0"/>
        <w:keepNext w:val="0"/>
        <w:pageBreakBefore w:val="0"/>
        <w:widowControl w:val="off"/>
        <w:rPr>
          <w:rFonts w:hint="eastAsia" w:ascii="宋体" w:hAnsi="宋体" w:eastAsia="宋体" w:cs="宋体"/>
          <w:b/>
          <w:bCs w:val="0"/>
          <w:i w:val="0"/>
          <w:color w:val="auto"/>
          <w:sz w:val="28"/>
          <w:szCs w:val="28"/>
          <w:highlight w:val="none"/>
          <w:lang w:val="en-US" w:eastAsia="zh-CN"/>
        </w:rPr>
      </w:pPr>
      <w:r>
        <w:rPr>
          <w:rFonts w:hint="eastAsia" w:ascii="宋体" w:hAnsi="宋体" w:eastAsia="宋体" w:cs="宋体"/>
          <w:b/>
          <w:bCs w:val="0"/>
          <w:i w:val="0"/>
          <w:color w:val="auto"/>
          <w:sz w:val="28"/>
          <w:szCs w:val="28"/>
          <w:highlight w:val="none"/>
          <w:lang w:val="en-US" w:eastAsia="zh-CN"/>
        </w:rPr>
        <w:t xml:space="preserve">第三条 安全事故处理与责任划分</w:t>
      </w:r>
      <w:r/>
    </w:p>
    <w:p>
      <w:pPr>
        <w:ind w:firstLine="560"/>
        <w:jc w:val="both"/>
        <w:keepLines w:val="0"/>
        <w:keepNext w:val="0"/>
        <w:pageBreakBefore w:val="0"/>
        <w:widowControl w:val="off"/>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第3.1条 发生食品安全事故时，甲乙双方应立即采取有效措施防止事态扩大，并按照国家有关规定及时向所在地市场监督管理、卫生健康等部门报告。</w:t>
      </w:r>
      <w:r/>
    </w:p>
    <w:p>
      <w:pPr>
        <w:ind w:firstLine="560"/>
        <w:jc w:val="both"/>
        <w:keepLines w:val="0"/>
        <w:keepNext w:val="0"/>
        <w:pageBreakBefore w:val="0"/>
        <w:widowControl w:val="off"/>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第3.2条 经法定检验机构检验或监管部门认定，因乙方供应的食材存在质量问题导致食品安全事故的，由乙方承担全部责任，包括但不限于：</w:t>
      </w:r>
      <w:r/>
    </w:p>
    <w:p>
      <w:pPr>
        <w:ind w:firstLine="560"/>
        <w:jc w:val="both"/>
        <w:keepLines w:val="0"/>
        <w:keepNext w:val="0"/>
        <w:pageBreakBefore w:val="0"/>
        <w:widowControl w:val="off"/>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（一）甲方因此遭受的直接经济损失；</w:t>
      </w:r>
      <w:r/>
    </w:p>
    <w:p>
      <w:pPr>
        <w:ind w:firstLine="560"/>
        <w:jc w:val="both"/>
        <w:keepLines w:val="0"/>
        <w:keepNext w:val="0"/>
        <w:pageBreakBefore w:val="0"/>
        <w:widowControl w:val="off"/>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（二）甲方为处理事故支付的检测费、医疗费、交通费等合理费用；</w:t>
      </w:r>
      <w:r/>
    </w:p>
    <w:p>
      <w:pPr>
        <w:ind w:firstLine="560"/>
        <w:jc w:val="both"/>
        <w:keepLines w:val="0"/>
        <w:keepNext w:val="0"/>
        <w:pageBreakBefore w:val="0"/>
        <w:widowControl w:val="off"/>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（三）甲方因行政处罚产生的罚款；</w:t>
      </w:r>
      <w:r/>
    </w:p>
    <w:p>
      <w:pPr>
        <w:ind w:firstLine="560"/>
        <w:jc w:val="both"/>
        <w:keepLines w:val="0"/>
        <w:keepNext w:val="0"/>
        <w:pageBreakBefore w:val="0"/>
        <w:widowControl w:val="off"/>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（四）甲方因处理事故产生的其他合理费用。</w:t>
      </w:r>
      <w:r/>
    </w:p>
    <w:p>
      <w:pPr>
        <w:ind w:firstLine="560"/>
        <w:jc w:val="both"/>
        <w:keepLines w:val="0"/>
        <w:keepNext w:val="0"/>
        <w:pageBreakBefore w:val="0"/>
        <w:widowControl w:val="off"/>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第3.3条 因食材质量安全问题引发第三方索赔的，由乙方承担全部赔偿责任。</w:t>
      </w:r>
      <w:r/>
    </w:p>
    <w:p>
      <w:pPr>
        <w:ind w:firstLine="562"/>
        <w:jc w:val="both"/>
        <w:keepLines w:val="0"/>
        <w:keepNext w:val="0"/>
        <w:pageBreakBefore w:val="0"/>
        <w:widowControl w:val="off"/>
        <w:rPr>
          <w:rFonts w:hint="eastAsia" w:ascii="宋体" w:hAnsi="宋体" w:eastAsia="宋体" w:cs="宋体"/>
          <w:b/>
          <w:bCs w:val="0"/>
          <w:i w:val="0"/>
          <w:color w:val="auto"/>
          <w:sz w:val="28"/>
          <w:szCs w:val="28"/>
          <w:highlight w:val="none"/>
          <w:lang w:val="en-US" w:eastAsia="zh-CN"/>
        </w:rPr>
      </w:pPr>
      <w:r>
        <w:rPr>
          <w:rFonts w:hint="eastAsia" w:ascii="宋体" w:hAnsi="宋体" w:eastAsia="宋体" w:cs="宋体"/>
          <w:b/>
          <w:bCs w:val="0"/>
          <w:i w:val="0"/>
          <w:color w:val="auto"/>
          <w:sz w:val="28"/>
          <w:szCs w:val="28"/>
          <w:highlight w:val="none"/>
          <w:lang w:val="en-US" w:eastAsia="zh-CN"/>
        </w:rPr>
        <w:t xml:space="preserve">第四条 人员健康管理责任</w:t>
      </w:r>
      <w:r/>
    </w:p>
    <w:p>
      <w:pPr>
        <w:ind w:firstLine="560"/>
        <w:jc w:val="both"/>
        <w:keepLines w:val="0"/>
        <w:keepNext w:val="0"/>
        <w:pageBreakBefore w:val="0"/>
        <w:widowControl w:val="off"/>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第4.1条 乙方应确保从事食材生产、加工、运输的工作人员持有有效的健康证明，并建立人员健康管理档案。患有国务院卫生行政部门规定的有碍食品安全疾病的人员，不得从事接触直接入口食材的工作。</w:t>
      </w:r>
      <w:r/>
    </w:p>
    <w:p>
      <w:pPr>
        <w:ind w:firstLine="560"/>
        <w:jc w:val="both"/>
        <w:keepLines w:val="0"/>
        <w:keepNext w:val="0"/>
        <w:pageBreakBefore w:val="0"/>
        <w:widowControl w:val="off"/>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第4.2条 乙方工作人员进入甲方场所进行配送、搬运等作业时，应遵守甲方的卫生管理规定，穿戴清洁的工作衣帽，保持个人卫生。</w:t>
      </w:r>
      <w:r/>
    </w:p>
    <w:p>
      <w:pPr>
        <w:ind w:firstLine="562"/>
        <w:jc w:val="both"/>
        <w:keepLines w:val="0"/>
        <w:keepNext w:val="0"/>
        <w:pageBreakBefore w:val="0"/>
        <w:widowControl w:val="off"/>
        <w:rPr>
          <w:rFonts w:hint="eastAsia" w:ascii="宋体" w:hAnsi="宋体" w:eastAsia="宋体" w:cs="宋体"/>
          <w:b/>
          <w:bCs w:val="0"/>
          <w:i w:val="0"/>
          <w:color w:val="auto"/>
          <w:sz w:val="28"/>
          <w:szCs w:val="28"/>
          <w:highlight w:val="none"/>
          <w:lang w:val="en-US" w:eastAsia="zh-CN"/>
        </w:rPr>
      </w:pPr>
      <w:r>
        <w:rPr>
          <w:rFonts w:hint="eastAsia" w:ascii="宋体" w:hAnsi="宋体" w:eastAsia="宋体" w:cs="宋体"/>
          <w:b/>
          <w:bCs w:val="0"/>
          <w:i w:val="0"/>
          <w:color w:val="auto"/>
          <w:sz w:val="28"/>
          <w:szCs w:val="28"/>
          <w:highlight w:val="none"/>
          <w:lang w:val="en-US" w:eastAsia="zh-CN"/>
        </w:rPr>
        <w:t xml:space="preserve">第五条 溯源与召回责任</w:t>
      </w:r>
      <w:r/>
    </w:p>
    <w:p>
      <w:pPr>
        <w:ind w:firstLine="560"/>
        <w:jc w:val="both"/>
        <w:keepLines w:val="0"/>
        <w:keepNext w:val="0"/>
        <w:pageBreakBefore w:val="0"/>
        <w:widowControl w:val="off"/>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第5.1条 乙方应建立完善的食品安全追溯体系，确保供应的食材来源可追溯、去向可查证、责任可追究。</w:t>
      </w:r>
      <w:r/>
    </w:p>
    <w:p>
      <w:pPr>
        <w:ind w:firstLine="560"/>
        <w:jc w:val="both"/>
        <w:keepLines w:val="0"/>
        <w:keepNext w:val="0"/>
        <w:pageBreakBefore w:val="0"/>
        <w:widowControl w:val="off"/>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第5.2条 乙方发现其供应的食材存在安全隐患，可能对人体健康和生命安全造成损害的，应立即通知甲方停止使用，并主动召回已经供应的食材。召回和处理情况应及时向甲方通报。</w:t>
      </w:r>
      <w:r/>
    </w:p>
    <w:p>
      <w:pPr>
        <w:ind w:firstLine="560"/>
        <w:jc w:val="both"/>
        <w:keepLines w:val="0"/>
        <w:keepNext w:val="0"/>
        <w:pageBreakBefore w:val="0"/>
        <w:widowControl w:val="off"/>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第5.3条 甲方发现食材存在安全隐患的，应立即停止使用，封存相关食材，并通知乙方。乙方应在接到通知后2小时内到达现场进行处理。</w:t>
      </w:r>
      <w:r/>
    </w:p>
    <w:p>
      <w:pPr>
        <w:ind w:firstLine="562"/>
        <w:jc w:val="both"/>
        <w:keepLines w:val="0"/>
        <w:keepNext w:val="0"/>
        <w:pageBreakBefore w:val="0"/>
        <w:widowControl w:val="off"/>
        <w:rPr>
          <w:rFonts w:hint="eastAsia" w:ascii="宋体" w:hAnsi="宋体" w:eastAsia="宋体" w:cs="宋体"/>
          <w:b/>
          <w:bCs w:val="0"/>
          <w:i w:val="0"/>
          <w:color w:val="auto"/>
          <w:sz w:val="28"/>
          <w:szCs w:val="28"/>
          <w:highlight w:val="none"/>
          <w:lang w:val="en-US" w:eastAsia="zh-CN"/>
        </w:rPr>
      </w:pPr>
      <w:r>
        <w:rPr>
          <w:rFonts w:hint="eastAsia" w:ascii="宋体" w:hAnsi="宋体" w:eastAsia="宋体" w:cs="宋体"/>
          <w:b/>
          <w:bCs w:val="0"/>
          <w:i w:val="0"/>
          <w:color w:val="auto"/>
          <w:sz w:val="28"/>
          <w:szCs w:val="28"/>
          <w:highlight w:val="none"/>
          <w:lang w:val="en-US" w:eastAsia="zh-CN"/>
        </w:rPr>
        <w:t xml:space="preserve">第六条 违约责任</w:t>
      </w:r>
      <w:r/>
    </w:p>
    <w:p>
      <w:pPr>
        <w:ind w:firstLine="560"/>
        <w:jc w:val="both"/>
        <w:keepLines w:val="0"/>
        <w:keepNext w:val="0"/>
        <w:pageBreakBefore w:val="0"/>
        <w:widowControl w:val="off"/>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第6.1条 乙方违反本协议约定，供应不符合食品安全标准的食材，甲方有权要求乙方更换、退货，并按照该批次食材货值金额的三倍向甲方支付违约金。</w:t>
      </w:r>
      <w:r/>
    </w:p>
    <w:p>
      <w:pPr>
        <w:ind w:firstLine="560"/>
        <w:jc w:val="both"/>
        <w:keepLines w:val="0"/>
        <w:keepNext w:val="0"/>
        <w:pageBreakBefore w:val="0"/>
        <w:widowControl w:val="off"/>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第6.2条 因乙方原因导致甲方发生食品安全事故的，乙方除按本协议第三条承担赔偿责任外，还应向甲方支付违约金人民币10000元。</w:t>
      </w:r>
      <w:r/>
    </w:p>
    <w:p>
      <w:pPr>
        <w:ind w:firstLine="560"/>
        <w:jc w:val="both"/>
        <w:keepLines w:val="0"/>
        <w:keepNext w:val="0"/>
        <w:pageBreakBefore w:val="0"/>
        <w:widowControl w:val="off"/>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第6.3条 乙方违反本协议第六条溯源与召回义务的，每次应向甲方支付违约金人民币1000元。</w:t>
      </w:r>
      <w:r/>
    </w:p>
    <w:p>
      <w:pPr>
        <w:ind w:firstLine="562"/>
        <w:jc w:val="both"/>
        <w:keepLines w:val="0"/>
        <w:keepNext w:val="0"/>
        <w:pageBreakBefore w:val="0"/>
        <w:widowControl w:val="off"/>
        <w:rPr>
          <w:rFonts w:hint="eastAsia" w:ascii="宋体" w:hAnsi="宋体" w:eastAsia="宋体" w:cs="宋体"/>
          <w:b/>
          <w:bCs w:val="0"/>
          <w:i w:val="0"/>
          <w:color w:val="auto"/>
          <w:sz w:val="28"/>
          <w:szCs w:val="28"/>
          <w:highlight w:val="none"/>
          <w:lang w:val="en-US" w:eastAsia="zh-CN"/>
        </w:rPr>
      </w:pPr>
      <w:r>
        <w:rPr>
          <w:rFonts w:hint="eastAsia" w:ascii="宋体" w:hAnsi="宋体" w:eastAsia="宋体" w:cs="宋体"/>
          <w:b/>
          <w:bCs w:val="0"/>
          <w:i w:val="0"/>
          <w:color w:val="auto"/>
          <w:sz w:val="28"/>
          <w:szCs w:val="28"/>
          <w:highlight w:val="none"/>
          <w:lang w:val="en-US" w:eastAsia="zh-CN"/>
        </w:rPr>
        <w:t xml:space="preserve">第七条 其他</w:t>
      </w:r>
      <w:r/>
    </w:p>
    <w:p>
      <w:pPr>
        <w:ind w:firstLine="560"/>
        <w:jc w:val="both"/>
        <w:keepLines w:val="0"/>
        <w:keepNext w:val="0"/>
        <w:pageBreakBefore w:val="0"/>
        <w:widowControl w:val="off"/>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第7.1条 本协议未尽事宜，由双方协商解决。</w:t>
      </w:r>
      <w:r/>
    </w:p>
    <w:p>
      <w:pPr>
        <w:ind w:firstLine="560"/>
        <w:jc w:val="both"/>
        <w:keepLines w:val="0"/>
        <w:keepNext w:val="0"/>
        <w:pageBreakBefore w:val="0"/>
        <w:widowControl w:val="off"/>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第7.2条 本协议作为双方签订的《食材采购合同》的组成部分，与主合同具有同等法律效力。本协议约定与主合同不一致的，以本协议为准。</w:t>
      </w:r>
      <w:r/>
    </w:p>
    <w:p>
      <w:pPr>
        <w:ind w:firstLine="560"/>
        <w:jc w:val="both"/>
        <w:keepLines w:val="0"/>
        <w:keepNext w:val="0"/>
        <w:pageBreakBefore w:val="0"/>
        <w:widowControl w:val="off"/>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第7.3条 本协议自双方签字盖章之日起生效，有效期与《食材采购合同》一致。</w:t>
      </w:r>
      <w:r/>
    </w:p>
    <w:p>
      <w:pPr>
        <w:jc w:val="both"/>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甲方（采购人）：               乙方（供应商）：</w:t>
      </w:r>
      <w:r/>
    </w:p>
    <w:p>
      <w:pPr>
        <w:jc w:val="both"/>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法定代表人或授权代表：         法定代表人或授权代表：</w:t>
      </w:r>
      <w:r/>
    </w:p>
    <w:p>
      <w:pPr>
        <w:jc w:val="both"/>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t xml:space="preserve">     年   月   日                   年  月   日</w:t>
      </w:r>
      <w:r/>
    </w:p>
    <w:p>
      <w:pPr>
        <w:jc w:val="both"/>
        <w:rPr>
          <w:rFonts w:hint="eastAsia" w:ascii="宋体" w:hAnsi="宋体" w:eastAsia="宋体" w:cs="宋体"/>
          <w:b w:val="0"/>
          <w:bCs/>
          <w:i w:val="0"/>
          <w:color w:val="auto"/>
          <w:sz w:val="28"/>
          <w:szCs w:val="28"/>
          <w:highlight w:val="none"/>
          <w:lang w:val="en-US" w:eastAsia="zh-CN"/>
        </w:rPr>
      </w:pPr>
      <w:r>
        <w:rPr>
          <w:rFonts w:hint="eastAsia" w:ascii="宋体" w:hAnsi="宋体" w:eastAsia="宋体" w:cs="宋体"/>
          <w:b w:val="0"/>
          <w:bCs/>
          <w:i w:val="0"/>
          <w:color w:val="auto"/>
          <w:sz w:val="28"/>
          <w:szCs w:val="28"/>
          <w:highlight w:val="none"/>
          <w:lang w:val="en-US" w:eastAsia="zh-CN"/>
        </w:rPr>
      </w:r>
      <w:r/>
    </w:p>
    <w:p>
      <w:pPr>
        <w:pStyle w:val="865"/>
        <w:ind w:firstLine="0"/>
        <w:pageBreakBefore w:val="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65"/>
        <w:ind w:firstLine="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footerReference w:type="default" r:id="rId9"/>
      <w:footnotePr/>
      <w:endnotePr/>
      <w:type w:val="nextPage"/>
      <w:pgSz w:w="11906" w:h="16838" w:orient="portrait"/>
      <w:pgMar w:top="1440" w:right="1080" w:bottom="1440" w:left="108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Arial Unicode MS">
    <w:panose1 w:val="020B0604020202020204"/>
  </w:font>
  <w:font w:name="方正仿宋_GBK">
    <w:panose1 w:val="020B0503020202020204"/>
  </w:font>
  <w:font w:name="方正黑体_GBK">
    <w:panose1 w:val="020B0503020202020204"/>
  </w:font>
  <w:font w:name="华文细黑">
    <w:panose1 w:val="02010600040101010101"/>
  </w:font>
  <w:font w:name="font-weight : 400">
    <w:panose1 w:val="020B0503020202020204"/>
  </w:font>
  <w:font w:name="ˎ̥">
    <w:panose1 w:val="020B0503020202020204"/>
  </w:font>
  <w:font w:name="楷体_GB2312">
    <w:panose1 w:val="02010609060101010101"/>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Georgia">
    <w:panose1 w:val="02040502050405020303"/>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2"/>
                          </w:pPr>
                          <w:r>
                            <w:fldChar w:fldCharType="begin"/>
                          </w:r>
                          <w:r>
                            <w:instrText xml:space="preserve"> PAGE  \* MERGEFORMAT </w:instrText>
                          </w:r>
                          <w:r>
                            <w:fldChar w:fldCharType="separate"/>
                          </w:r>
                          <w:r>
                            <w:t xml:space="preserve">10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2"/>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pStyle w:val="986"/>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2421" w:hanging="720"/>
        <w:tabs>
          <w:tab w:val="left" w:pos="2421" w:leader="none"/>
        </w:tabs>
      </w:pPr>
      <w:rPr>
        <w:rFonts w:hint="eastAsia"/>
      </w:rPr>
    </w:lvl>
    <w:lvl w:ilvl="1">
      <w:start w:val="1"/>
      <w:numFmt w:val="lowerLetter"/>
      <w:isLgl w:val="false"/>
      <w:suff w:val="tab"/>
      <w:lvlText w:val="%2)"/>
      <w:lvlJc w:val="left"/>
      <w:pPr>
        <w:ind w:left="2541" w:hanging="420"/>
        <w:tabs>
          <w:tab w:val="left" w:pos="2541" w:leader="none"/>
        </w:tabs>
      </w:pPr>
    </w:lvl>
    <w:lvl w:ilvl="2">
      <w:start w:val="1"/>
      <w:numFmt w:val="lowerRoman"/>
      <w:isLgl w:val="false"/>
      <w:suff w:val="tab"/>
      <w:lvlText w:val="%3."/>
      <w:lvlJc w:val="right"/>
      <w:pPr>
        <w:ind w:left="2961" w:hanging="420"/>
        <w:tabs>
          <w:tab w:val="left" w:pos="2961" w:leader="none"/>
        </w:tabs>
      </w:pPr>
    </w:lvl>
    <w:lvl w:ilvl="3">
      <w:start w:val="1"/>
      <w:numFmt w:val="decimal"/>
      <w:isLgl w:val="false"/>
      <w:suff w:val="tab"/>
      <w:lvlText w:val="%4."/>
      <w:lvlJc w:val="left"/>
      <w:pPr>
        <w:ind w:left="3381" w:hanging="420"/>
        <w:tabs>
          <w:tab w:val="left" w:pos="3381" w:leader="none"/>
        </w:tabs>
      </w:pPr>
    </w:lvl>
    <w:lvl w:ilvl="4">
      <w:start w:val="1"/>
      <w:numFmt w:val="lowerLetter"/>
      <w:pStyle w:val="1075"/>
      <w:isLgl w:val="false"/>
      <w:suff w:val="tab"/>
      <w:lvlText w:val="%5)"/>
      <w:lvlJc w:val="left"/>
      <w:pPr>
        <w:ind w:left="3801" w:hanging="420"/>
        <w:tabs>
          <w:tab w:val="left" w:pos="3801" w:leader="none"/>
        </w:tabs>
      </w:pPr>
    </w:lvl>
    <w:lvl w:ilvl="5">
      <w:start w:val="1"/>
      <w:numFmt w:val="lowerRoman"/>
      <w:isLgl w:val="false"/>
      <w:suff w:val="tab"/>
      <w:lvlText w:val="%6."/>
      <w:lvlJc w:val="right"/>
      <w:pPr>
        <w:ind w:left="4221" w:hanging="420"/>
        <w:tabs>
          <w:tab w:val="left" w:pos="4221" w:leader="none"/>
        </w:tabs>
      </w:pPr>
    </w:lvl>
    <w:lvl w:ilvl="6">
      <w:start w:val="1"/>
      <w:numFmt w:val="decimal"/>
      <w:isLgl w:val="false"/>
      <w:suff w:val="tab"/>
      <w:lvlText w:val="%7."/>
      <w:lvlJc w:val="left"/>
      <w:pPr>
        <w:ind w:left="4641" w:hanging="420"/>
        <w:tabs>
          <w:tab w:val="left" w:pos="4641" w:leader="none"/>
        </w:tabs>
      </w:pPr>
    </w:lvl>
    <w:lvl w:ilvl="7">
      <w:start w:val="1"/>
      <w:numFmt w:val="lowerLetter"/>
      <w:isLgl w:val="false"/>
      <w:suff w:val="tab"/>
      <w:lvlText w:val="%8)"/>
      <w:lvlJc w:val="left"/>
      <w:pPr>
        <w:ind w:left="5061" w:hanging="420"/>
        <w:tabs>
          <w:tab w:val="left" w:pos="5061" w:leader="none"/>
        </w:tabs>
      </w:pPr>
    </w:lvl>
    <w:lvl w:ilvl="8">
      <w:start w:val="1"/>
      <w:numFmt w:val="lowerRoman"/>
      <w:isLgl w:val="false"/>
      <w:suff w:val="tab"/>
      <w:lvlText w:val="%9."/>
      <w:lvlJc w:val="right"/>
      <w:pPr>
        <w:ind w:left="5481" w:hanging="420"/>
        <w:tabs>
          <w:tab w:val="left" w:pos="5481" w:leader="none"/>
        </w:tabs>
      </w:pPr>
    </w:lvl>
  </w:abstractNum>
  <w:abstractNum w:abstractNumId="6">
    <w:multiLevelType w:val="hybridMultilevel"/>
    <w:lvl w:ilvl="0">
      <w:start w:val="1"/>
      <w:numFmt w:val="bullet"/>
      <w:pStyle w:val="1024"/>
      <w:isLgl w:val="false"/>
      <w:suff w:val="tab"/>
      <w:lvlText w:val="•"/>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7">
    <w:multiLevelType w:val="hybridMultilevel"/>
    <w:lvl w:ilvl="0">
      <w:start w:val="1"/>
      <w:numFmt w:val="japaneseCounting"/>
      <w:isLgl w:val="false"/>
      <w:suff w:val="tab"/>
      <w:lvlText w:val="第%1条"/>
      <w:lvlJc w:val="left"/>
      <w:pPr>
        <w:ind w:left="1536" w:hanging="975"/>
      </w:pPr>
      <w:rPr>
        <w:rFonts w:hint="default"/>
      </w:rPr>
    </w:lvl>
    <w:lvl w:ilvl="1">
      <w:start w:val="1"/>
      <w:numFmt w:val="lowerLetter"/>
      <w:isLgl w:val="false"/>
      <w:suff w:val="tab"/>
      <w:lvlText w:val="%2)"/>
      <w:lvlJc w:val="left"/>
      <w:pPr>
        <w:ind w:left="1401" w:hanging="420"/>
      </w:pPr>
    </w:lvl>
    <w:lvl w:ilvl="2">
      <w:start w:val="1"/>
      <w:numFmt w:val="lowerRoman"/>
      <w:isLgl w:val="false"/>
      <w:suff w:val="tab"/>
      <w:lvlText w:val="%3."/>
      <w:lvlJc w:val="right"/>
      <w:pPr>
        <w:ind w:left="1821" w:hanging="420"/>
      </w:pPr>
    </w:lvl>
    <w:lvl w:ilvl="3">
      <w:start w:val="1"/>
      <w:numFmt w:val="decimal"/>
      <w:isLgl w:val="false"/>
      <w:suff w:val="tab"/>
      <w:lvlText w:val="%4."/>
      <w:lvlJc w:val="left"/>
      <w:pPr>
        <w:ind w:left="2241" w:hanging="420"/>
      </w:pPr>
    </w:lvl>
    <w:lvl w:ilvl="4">
      <w:start w:val="1"/>
      <w:numFmt w:val="lowerLetter"/>
      <w:isLgl w:val="false"/>
      <w:suff w:val="tab"/>
      <w:lvlText w:val="%5)"/>
      <w:lvlJc w:val="left"/>
      <w:pPr>
        <w:ind w:left="2661" w:hanging="420"/>
      </w:pPr>
    </w:lvl>
    <w:lvl w:ilvl="5">
      <w:start w:val="1"/>
      <w:numFmt w:val="lowerRoman"/>
      <w:isLgl w:val="false"/>
      <w:suff w:val="tab"/>
      <w:lvlText w:val="%6."/>
      <w:lvlJc w:val="right"/>
      <w:pPr>
        <w:ind w:left="3081" w:hanging="420"/>
      </w:pPr>
    </w:lvl>
    <w:lvl w:ilvl="6">
      <w:start w:val="1"/>
      <w:numFmt w:val="decimal"/>
      <w:isLgl w:val="false"/>
      <w:suff w:val="tab"/>
      <w:lvlText w:val="%7."/>
      <w:lvlJc w:val="left"/>
      <w:pPr>
        <w:ind w:left="3501" w:hanging="420"/>
      </w:pPr>
    </w:lvl>
    <w:lvl w:ilvl="7">
      <w:start w:val="1"/>
      <w:numFmt w:val="lowerLetter"/>
      <w:isLgl w:val="false"/>
      <w:suff w:val="tab"/>
      <w:lvlText w:val="%8)"/>
      <w:lvlJc w:val="left"/>
      <w:pPr>
        <w:ind w:left="3921" w:hanging="420"/>
      </w:pPr>
    </w:lvl>
    <w:lvl w:ilvl="8">
      <w:start w:val="1"/>
      <w:numFmt w:val="lowerRoman"/>
      <w:isLgl w:val="false"/>
      <w:suff w:val="tab"/>
      <w:lvlText w:val="%9."/>
      <w:lvlJc w:val="right"/>
      <w:pPr>
        <w:ind w:left="4341" w:hanging="42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6"/>
  </w:num>
  <w:num w:numId="3">
    <w:abstractNumId w:val="5"/>
  </w:num>
  <w:num w:numId="4">
    <w:abstractNumId w:val="3"/>
  </w:num>
  <w:num w:numId="5">
    <w:abstractNumId w:val="1"/>
  </w:num>
  <w:num w:numId="6">
    <w:abstractNumId w:val="2"/>
  </w:num>
  <w:num w:numId="7">
    <w:abstractNumId w:val="4"/>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7">
    <w:name w:val="Heading 1 Char"/>
    <w:basedOn w:val="855"/>
    <w:link w:val="846"/>
    <w:uiPriority w:val="9"/>
    <w:rPr>
      <w:rFonts w:ascii="Arial" w:hAnsi="Arial" w:eastAsia="Arial" w:cs="Arial"/>
      <w:sz w:val="40"/>
      <w:szCs w:val="40"/>
    </w:rPr>
  </w:style>
  <w:style w:type="character" w:styleId="688">
    <w:name w:val="Heading 2 Char"/>
    <w:basedOn w:val="855"/>
    <w:link w:val="847"/>
    <w:uiPriority w:val="9"/>
    <w:rPr>
      <w:rFonts w:ascii="Arial" w:hAnsi="Arial" w:eastAsia="Arial" w:cs="Arial"/>
      <w:sz w:val="34"/>
    </w:rPr>
  </w:style>
  <w:style w:type="character" w:styleId="689">
    <w:name w:val="Heading 3 Char"/>
    <w:basedOn w:val="855"/>
    <w:link w:val="848"/>
    <w:uiPriority w:val="9"/>
    <w:rPr>
      <w:rFonts w:ascii="Arial" w:hAnsi="Arial" w:eastAsia="Arial" w:cs="Arial"/>
      <w:sz w:val="30"/>
      <w:szCs w:val="30"/>
    </w:rPr>
  </w:style>
  <w:style w:type="character" w:styleId="690">
    <w:name w:val="Heading 4 Char"/>
    <w:basedOn w:val="855"/>
    <w:link w:val="849"/>
    <w:uiPriority w:val="9"/>
    <w:rPr>
      <w:rFonts w:ascii="Arial" w:hAnsi="Arial" w:eastAsia="Arial" w:cs="Arial"/>
      <w:b/>
      <w:bCs/>
      <w:sz w:val="26"/>
      <w:szCs w:val="26"/>
    </w:rPr>
  </w:style>
  <w:style w:type="character" w:styleId="691">
    <w:name w:val="Heading 5 Char"/>
    <w:basedOn w:val="855"/>
    <w:link w:val="850"/>
    <w:uiPriority w:val="9"/>
    <w:rPr>
      <w:rFonts w:ascii="Arial" w:hAnsi="Arial" w:eastAsia="Arial" w:cs="Arial"/>
      <w:b/>
      <w:bCs/>
      <w:sz w:val="24"/>
      <w:szCs w:val="24"/>
    </w:rPr>
  </w:style>
  <w:style w:type="character" w:styleId="692">
    <w:name w:val="Heading 6 Char"/>
    <w:basedOn w:val="855"/>
    <w:link w:val="851"/>
    <w:uiPriority w:val="9"/>
    <w:rPr>
      <w:rFonts w:ascii="Arial" w:hAnsi="Arial" w:eastAsia="Arial" w:cs="Arial"/>
      <w:b/>
      <w:bCs/>
      <w:sz w:val="22"/>
      <w:szCs w:val="22"/>
    </w:rPr>
  </w:style>
  <w:style w:type="character" w:styleId="693">
    <w:name w:val="Heading 7 Char"/>
    <w:basedOn w:val="855"/>
    <w:link w:val="852"/>
    <w:uiPriority w:val="9"/>
    <w:rPr>
      <w:rFonts w:ascii="Arial" w:hAnsi="Arial" w:eastAsia="Arial" w:cs="Arial"/>
      <w:b/>
      <w:bCs/>
      <w:i/>
      <w:iCs/>
      <w:sz w:val="22"/>
      <w:szCs w:val="22"/>
    </w:rPr>
  </w:style>
  <w:style w:type="character" w:styleId="694">
    <w:name w:val="Heading 8 Char"/>
    <w:basedOn w:val="855"/>
    <w:link w:val="853"/>
    <w:uiPriority w:val="9"/>
    <w:rPr>
      <w:rFonts w:ascii="Arial" w:hAnsi="Arial" w:eastAsia="Arial" w:cs="Arial"/>
      <w:i/>
      <w:iCs/>
      <w:sz w:val="22"/>
      <w:szCs w:val="22"/>
    </w:rPr>
  </w:style>
  <w:style w:type="character" w:styleId="695">
    <w:name w:val="Heading 9 Char"/>
    <w:basedOn w:val="855"/>
    <w:link w:val="854"/>
    <w:uiPriority w:val="9"/>
    <w:rPr>
      <w:rFonts w:ascii="Arial" w:hAnsi="Arial" w:eastAsia="Arial" w:cs="Arial"/>
      <w:i/>
      <w:iCs/>
      <w:sz w:val="21"/>
      <w:szCs w:val="21"/>
    </w:rPr>
  </w:style>
  <w:style w:type="paragraph" w:styleId="696">
    <w:name w:val="No Spacing"/>
    <w:uiPriority w:val="1"/>
    <w:qFormat/>
    <w:pPr>
      <w:spacing w:before="0" w:after="0" w:line="240" w:lineRule="auto"/>
    </w:pPr>
  </w:style>
  <w:style w:type="character" w:styleId="697">
    <w:name w:val="Title Char"/>
    <w:basedOn w:val="855"/>
    <w:link w:val="884"/>
    <w:uiPriority w:val="10"/>
    <w:rPr>
      <w:sz w:val="48"/>
      <w:szCs w:val="48"/>
    </w:rPr>
  </w:style>
  <w:style w:type="paragraph" w:styleId="698">
    <w:name w:val="Subtitle"/>
    <w:basedOn w:val="845"/>
    <w:next w:val="845"/>
    <w:link w:val="699"/>
    <w:uiPriority w:val="11"/>
    <w:qFormat/>
    <w:pPr>
      <w:spacing w:before="200" w:after="200"/>
    </w:pPr>
    <w:rPr>
      <w:sz w:val="24"/>
      <w:szCs w:val="24"/>
    </w:rPr>
  </w:style>
  <w:style w:type="character" w:styleId="699">
    <w:name w:val="Subtitle Char"/>
    <w:basedOn w:val="855"/>
    <w:link w:val="698"/>
    <w:uiPriority w:val="11"/>
    <w:rPr>
      <w:sz w:val="24"/>
      <w:szCs w:val="24"/>
    </w:rPr>
  </w:style>
  <w:style w:type="paragraph" w:styleId="700">
    <w:name w:val="Quote"/>
    <w:basedOn w:val="845"/>
    <w:next w:val="845"/>
    <w:link w:val="701"/>
    <w:uiPriority w:val="29"/>
    <w:qFormat/>
    <w:pPr>
      <w:ind w:left="720" w:right="720"/>
    </w:pPr>
    <w:rPr>
      <w:i/>
    </w:rPr>
  </w:style>
  <w:style w:type="character" w:styleId="701">
    <w:name w:val="Quote Char"/>
    <w:link w:val="700"/>
    <w:uiPriority w:val="29"/>
    <w:rPr>
      <w:i/>
    </w:rPr>
  </w:style>
  <w:style w:type="paragraph" w:styleId="702">
    <w:name w:val="Intense Quote"/>
    <w:basedOn w:val="845"/>
    <w:next w:val="845"/>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name w:val="Intense Quote Char"/>
    <w:link w:val="702"/>
    <w:uiPriority w:val="30"/>
    <w:rPr>
      <w:i/>
    </w:rPr>
  </w:style>
  <w:style w:type="character" w:styleId="704">
    <w:name w:val="Header Char"/>
    <w:basedOn w:val="855"/>
    <w:link w:val="873"/>
    <w:uiPriority w:val="99"/>
  </w:style>
  <w:style w:type="character" w:styleId="705">
    <w:name w:val="Footer Char"/>
    <w:basedOn w:val="855"/>
    <w:link w:val="872"/>
    <w:uiPriority w:val="99"/>
  </w:style>
  <w:style w:type="paragraph" w:styleId="706">
    <w:name w:val="Caption"/>
    <w:basedOn w:val="845"/>
    <w:next w:val="845"/>
    <w:uiPriority w:val="35"/>
    <w:semiHidden/>
    <w:unhideWhenUsed/>
    <w:qFormat/>
    <w:pPr>
      <w:spacing w:line="276" w:lineRule="auto"/>
    </w:pPr>
    <w:rPr>
      <w:b/>
      <w:bCs/>
      <w:color w:val="4f81bd" w:themeColor="accent1"/>
      <w:sz w:val="18"/>
      <w:szCs w:val="18"/>
    </w:rPr>
  </w:style>
  <w:style w:type="character" w:styleId="707">
    <w:name w:val="Caption Char"/>
    <w:basedOn w:val="706"/>
    <w:link w:val="872"/>
    <w:uiPriority w:val="99"/>
  </w:style>
  <w:style w:type="table" w:styleId="708">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9">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6">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7">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8">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9">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0">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1">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3">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2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7">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8">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e6f5d8" w:themeFill="accent1" w:themeFillTint="32"/>
      </w:tcPr>
    </w:tblStylePr>
    <w:tblStylePr w:type="band1Vert">
      <w:rPr>
        <w:rFonts w:ascii="Arial" w:hAnsi="Arial"/>
        <w:color w:val="404040"/>
        <w:sz w:val="22"/>
      </w:rPr>
      <w:tcPr>
        <w:shd w:val="clear" w:color="ffffff" w:themeColor="accent1" w:themeTint="32" w:fill="e6f5d8"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8bd44b"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7">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8">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db60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9">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0">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738ac8"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1">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1ab39f"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2">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e5f5d6" w:themeFill="accent1" w:themeFillTint="34"/>
    </w:tblPr>
    <w:tblStylePr w:type="band1Horz">
      <w:tcPr>
        <w:shd w:val="clear" w:color="ffffff" w:themeColor="accent1" w:themeTint="75" w:fill="c4e9a4" w:themeFill="accent1" w:themeFillTint="75"/>
      </w:tcPr>
    </w:tblStylePr>
    <w:tblStylePr w:type="band1Vert">
      <w:tcPr>
        <w:shd w:val="clear" w:color="ffffff" w:themeColor="accent1" w:themeTint="75" w:fill="c4e9a4" w:themeFill="accent1" w:themeFillTint="75"/>
      </w:tcPr>
    </w:tblStylePr>
    <w:tblStylePr w:type="firstCol">
      <w:rPr>
        <w:rFonts w:ascii="Arial" w:hAnsi="Arial"/>
        <w:b/>
        <w:color w:val="ffffff"/>
        <w:sz w:val="22"/>
      </w:rPr>
      <w:tcPr>
        <w:shd w:val="clear" w:color="ffffff" w:themeColor="accent1" w:fill="7fd13b" w:themeFill="accent1"/>
      </w:tcPr>
    </w:tblStylePr>
    <w:tblStylePr w:type="firstRow">
      <w:rPr>
        <w:rFonts w:ascii="Arial" w:hAnsi="Arial"/>
        <w:b/>
        <w:color w:val="ffffff"/>
        <w:sz w:val="22"/>
      </w:rPr>
      <w:tcPr>
        <w:shd w:val="clear" w:color="ffffff" w:themeColor="accent1" w:fill="7fd13b" w:themeFill="accent1"/>
      </w:tcPr>
    </w:tblStylePr>
    <w:tblStylePr w:type="lastCol">
      <w:rPr>
        <w:rFonts w:ascii="Arial" w:hAnsi="Arial"/>
        <w:b/>
        <w:color w:val="ffffff"/>
        <w:sz w:val="22"/>
      </w:rPr>
      <w:tcPr>
        <w:shd w:val="clear" w:color="ffffff" w:themeColor="accent1" w:fill="7fd13b" w:themeFill="accent1"/>
      </w:tcPr>
    </w:tblStylePr>
    <w:tblStylePr w:type="lastRow">
      <w:rPr>
        <w:rFonts w:ascii="Arial" w:hAnsi="Arial"/>
        <w:b/>
        <w:color w:val="ffffff"/>
        <w:sz w:val="22"/>
      </w:rPr>
      <w:tcPr>
        <w:shd w:val="clear" w:color="ffffff" w:themeColor="accent1" w:fill="7fd13b" w:themeFill="accent1"/>
        <w:tcBorders>
          <w:top w:val="single" w:color="000000" w:themeColor="light1" w:sz="4" w:space="0"/>
        </w:tcBorders>
      </w:tcPr>
    </w:tblStylePr>
  </w:style>
  <w:style w:type="table" w:styleId="744">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d1e5" w:themeFill="accent2" w:themeFillTint="32"/>
    </w:tblPr>
    <w:tblStylePr w:type="band1Horz">
      <w:tcPr>
        <w:shd w:val="clear" w:color="ffffff" w:themeColor="accent2" w:themeTint="75" w:fill="f592c3" w:themeFill="accent2" w:themeFillTint="75"/>
      </w:tcPr>
    </w:tblStylePr>
    <w:tblStylePr w:type="band1Vert">
      <w:tcPr>
        <w:shd w:val="clear" w:color="ffffff" w:themeColor="accent2" w:themeTint="75" w:fill="f592c3" w:themeFill="accent2" w:themeFillTint="75"/>
      </w:tcPr>
    </w:tblStylePr>
    <w:tblStylePr w:type="firstCol">
      <w:rPr>
        <w:rFonts w:ascii="Arial" w:hAnsi="Arial"/>
        <w:b/>
        <w:color w:val="ffffff"/>
        <w:sz w:val="22"/>
      </w:rPr>
      <w:tcPr>
        <w:shd w:val="clear" w:color="ffffff" w:themeColor="accent2" w:fill="ea157a" w:themeFill="accent2"/>
      </w:tcPr>
    </w:tblStylePr>
    <w:tblStylePr w:type="firstRow">
      <w:rPr>
        <w:rFonts w:ascii="Arial" w:hAnsi="Arial"/>
        <w:b/>
        <w:color w:val="ffffff"/>
        <w:sz w:val="22"/>
      </w:rPr>
      <w:tcPr>
        <w:shd w:val="clear" w:color="ffffff" w:themeColor="accent2" w:fill="ea157a" w:themeFill="accent2"/>
      </w:tcPr>
    </w:tblStylePr>
    <w:tblStylePr w:type="lastCol">
      <w:rPr>
        <w:rFonts w:ascii="Arial" w:hAnsi="Arial"/>
        <w:b/>
        <w:color w:val="ffffff"/>
        <w:sz w:val="22"/>
      </w:rPr>
      <w:tcPr>
        <w:shd w:val="clear" w:color="ffffff" w:themeColor="accent2" w:fill="ea157a" w:themeFill="accent2"/>
      </w:tcPr>
    </w:tblStylePr>
    <w:tblStylePr w:type="lastRow">
      <w:rPr>
        <w:rFonts w:ascii="Arial" w:hAnsi="Arial"/>
        <w:b/>
        <w:color w:val="ffffff"/>
        <w:sz w:val="22"/>
      </w:rPr>
      <w:tcPr>
        <w:shd w:val="clear" w:color="ffffff" w:themeColor="accent2" w:fill="ea157a" w:themeFill="accent2"/>
        <w:tcBorders>
          <w:top w:val="single" w:color="000000" w:themeColor="light1" w:sz="4" w:space="0"/>
        </w:tcBorders>
      </w:tcPr>
    </w:tblStylePr>
  </w:style>
  <w:style w:type="table" w:styleId="745">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0cd" w:themeFill="accent3" w:themeFillTint="34"/>
    </w:tblPr>
    <w:tblStylePr w:type="band1Horz">
      <w:tcPr>
        <w:shd w:val="clear" w:color="ffffff" w:themeColor="accent3" w:themeTint="75" w:fill="fedd8f" w:themeFill="accent3" w:themeFillTint="75"/>
      </w:tcPr>
    </w:tblStylePr>
    <w:tblStylePr w:type="band1Vert">
      <w:tcPr>
        <w:shd w:val="clear" w:color="ffffff" w:themeColor="accent3" w:themeTint="75" w:fill="fedd8f" w:themeFill="accent3" w:themeFillTint="75"/>
      </w:tcPr>
    </w:tblStylePr>
    <w:tblStylePr w:type="firstCol">
      <w:rPr>
        <w:rFonts w:ascii="Arial" w:hAnsi="Arial"/>
        <w:b/>
        <w:color w:val="ffffff"/>
        <w:sz w:val="22"/>
      </w:rPr>
      <w:tcPr>
        <w:shd w:val="clear" w:color="ffffff" w:themeColor="accent3" w:fill="feb80a" w:themeFill="accent3"/>
      </w:tcPr>
    </w:tblStylePr>
    <w:tblStylePr w:type="firstRow">
      <w:rPr>
        <w:rFonts w:ascii="Arial" w:hAnsi="Arial"/>
        <w:b/>
        <w:color w:val="ffffff"/>
        <w:sz w:val="22"/>
      </w:rPr>
      <w:tcPr>
        <w:shd w:val="clear" w:color="ffffff" w:themeColor="accent3" w:fill="feb80a" w:themeFill="accent3"/>
      </w:tcPr>
    </w:tblStylePr>
    <w:tblStylePr w:type="lastCol">
      <w:rPr>
        <w:rFonts w:ascii="Arial" w:hAnsi="Arial"/>
        <w:b/>
        <w:color w:val="ffffff"/>
        <w:sz w:val="22"/>
      </w:rPr>
      <w:tcPr>
        <w:shd w:val="clear" w:color="ffffff" w:themeColor="accent3" w:fill="feb80a" w:themeFill="accent3"/>
      </w:tcPr>
    </w:tblStylePr>
    <w:tblStylePr w:type="lastRow">
      <w:rPr>
        <w:rFonts w:ascii="Arial" w:hAnsi="Arial"/>
        <w:b/>
        <w:color w:val="ffffff"/>
        <w:sz w:val="22"/>
      </w:rPr>
      <w:tcPr>
        <w:shd w:val="clear" w:color="ffffff" w:themeColor="accent3" w:fill="feb80a" w:themeFill="accent3"/>
        <w:tcBorders>
          <w:top w:val="single" w:color="000000" w:themeColor="light1" w:sz="4" w:space="0"/>
        </w:tcBorders>
      </w:tcPr>
    </w:tblStylePr>
  </w:style>
  <w:style w:type="table" w:styleId="746">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3f3ff" w:themeFill="accent4" w:themeFillTint="34"/>
    </w:tblPr>
    <w:tblStylePr w:type="band1Horz">
      <w:tcPr>
        <w:shd w:val="clear" w:color="ffffff" w:themeColor="accent4" w:themeTint="75" w:fill="79e4ff" w:themeFill="accent4" w:themeFillTint="75"/>
      </w:tcPr>
    </w:tblStylePr>
    <w:tblStylePr w:type="band1Vert">
      <w:tcPr>
        <w:shd w:val="clear" w:color="ffffff" w:themeColor="accent4" w:themeTint="75" w:fill="79e4ff" w:themeFill="accent4" w:themeFillTint="75"/>
      </w:tcPr>
    </w:tblStylePr>
    <w:tblStylePr w:type="firstCol">
      <w:rPr>
        <w:rFonts w:ascii="Arial" w:hAnsi="Arial"/>
        <w:b/>
        <w:color w:val="ffffff"/>
        <w:sz w:val="22"/>
      </w:rPr>
      <w:tcPr>
        <w:shd w:val="clear" w:color="ffffff" w:themeColor="accent4" w:fill="00addc" w:themeFill="accent4"/>
      </w:tcPr>
    </w:tblStylePr>
    <w:tblStylePr w:type="firstRow">
      <w:rPr>
        <w:rFonts w:ascii="Arial" w:hAnsi="Arial"/>
        <w:b/>
        <w:color w:val="ffffff"/>
        <w:sz w:val="22"/>
      </w:rPr>
      <w:tcPr>
        <w:shd w:val="clear" w:color="ffffff" w:themeColor="accent4" w:fill="00addc" w:themeFill="accent4"/>
      </w:tcPr>
    </w:tblStylePr>
    <w:tblStylePr w:type="lastCol">
      <w:rPr>
        <w:rFonts w:ascii="Arial" w:hAnsi="Arial"/>
        <w:b/>
        <w:color w:val="ffffff"/>
        <w:sz w:val="22"/>
      </w:rPr>
      <w:tcPr>
        <w:shd w:val="clear" w:color="ffffff" w:themeColor="accent4" w:fill="00addc" w:themeFill="accent4"/>
      </w:tcPr>
    </w:tblStylePr>
    <w:tblStylePr w:type="lastRow">
      <w:rPr>
        <w:rFonts w:ascii="Arial" w:hAnsi="Arial"/>
        <w:b/>
        <w:color w:val="ffffff"/>
        <w:sz w:val="22"/>
      </w:rPr>
      <w:tcPr>
        <w:shd w:val="clear" w:color="ffffff" w:themeColor="accent4" w:fill="00addc" w:themeFill="accent4"/>
        <w:tcBorders>
          <w:top w:val="single" w:color="000000" w:themeColor="light1" w:sz="4" w:space="0"/>
        </w:tcBorders>
      </w:tcPr>
    </w:tblStylePr>
  </w:style>
  <w:style w:type="table" w:styleId="747">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e2e7f3" w:themeFill="accent5" w:themeFillTint="34"/>
    </w:tblPr>
    <w:tblStylePr w:type="band1Horz">
      <w:tcPr>
        <w:shd w:val="clear" w:color="ffffff" w:themeColor="accent5" w:themeTint="75" w:fill="bec9e5" w:themeFill="accent5" w:themeFillTint="75"/>
      </w:tcPr>
    </w:tblStylePr>
    <w:tblStylePr w:type="band1Vert">
      <w:tcPr>
        <w:shd w:val="clear" w:color="ffffff" w:themeColor="accent5" w:themeTint="75" w:fill="bec9e5" w:themeFill="accent5" w:themeFillTint="75"/>
      </w:tcPr>
    </w:tblStylePr>
    <w:tblStylePr w:type="firstCol">
      <w:rPr>
        <w:rFonts w:ascii="Arial" w:hAnsi="Arial"/>
        <w:b/>
        <w:color w:val="ffffff"/>
        <w:sz w:val="22"/>
      </w:rPr>
      <w:tcPr>
        <w:shd w:val="clear" w:color="ffffff" w:themeColor="accent5" w:fill="738ac8" w:themeFill="accent5"/>
      </w:tcPr>
    </w:tblStylePr>
    <w:tblStylePr w:type="firstRow">
      <w:rPr>
        <w:rFonts w:ascii="Arial" w:hAnsi="Arial"/>
        <w:b/>
        <w:color w:val="ffffff"/>
        <w:sz w:val="22"/>
      </w:rPr>
      <w:tcPr>
        <w:shd w:val="clear" w:color="ffffff" w:themeColor="accent5" w:fill="738ac8" w:themeFill="accent5"/>
      </w:tcPr>
    </w:tblStylePr>
    <w:tblStylePr w:type="lastCol">
      <w:rPr>
        <w:rFonts w:ascii="Arial" w:hAnsi="Arial"/>
        <w:b/>
        <w:color w:val="ffffff"/>
        <w:sz w:val="22"/>
      </w:rPr>
      <w:tcPr>
        <w:shd w:val="clear" w:color="ffffff" w:themeColor="accent5" w:fill="738ac8" w:themeFill="accent5"/>
      </w:tcPr>
    </w:tblStylePr>
    <w:tblStylePr w:type="lastRow">
      <w:rPr>
        <w:rFonts w:ascii="Arial" w:hAnsi="Arial"/>
        <w:b/>
        <w:color w:val="ffffff"/>
        <w:sz w:val="22"/>
      </w:rPr>
      <w:tcPr>
        <w:shd w:val="clear" w:color="ffffff" w:themeColor="accent5" w:fill="738ac8" w:themeFill="accent5"/>
        <w:tcBorders>
          <w:top w:val="single" w:color="000000" w:themeColor="light1" w:sz="4" w:space="0"/>
        </w:tcBorders>
      </w:tcPr>
    </w:tblStylePr>
  </w:style>
  <w:style w:type="table" w:styleId="748">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c8f7f0" w:themeFill="accent6" w:themeFillTint="34"/>
    </w:tblPr>
    <w:tblStylePr w:type="band1Horz">
      <w:tcPr>
        <w:shd w:val="clear" w:color="ffffff" w:themeColor="accent6" w:themeTint="75" w:fill="84eddd" w:themeFill="accent6" w:themeFillTint="75"/>
      </w:tcPr>
    </w:tblStylePr>
    <w:tblStylePr w:type="band1Vert">
      <w:tcPr>
        <w:shd w:val="clear" w:color="ffffff" w:themeColor="accent6" w:themeTint="75" w:fill="84eddd" w:themeFill="accent6" w:themeFillTint="75"/>
      </w:tcPr>
    </w:tblStylePr>
    <w:tblStylePr w:type="firstCol">
      <w:rPr>
        <w:rFonts w:ascii="Arial" w:hAnsi="Arial"/>
        <w:b/>
        <w:color w:val="ffffff"/>
        <w:sz w:val="22"/>
      </w:rPr>
      <w:tcPr>
        <w:shd w:val="clear" w:color="ffffff" w:themeColor="accent6" w:fill="1ab39f" w:themeFill="accent6"/>
      </w:tcPr>
    </w:tblStylePr>
    <w:tblStylePr w:type="firstRow">
      <w:rPr>
        <w:rFonts w:ascii="Arial" w:hAnsi="Arial"/>
        <w:b/>
        <w:color w:val="ffffff"/>
        <w:sz w:val="22"/>
      </w:rPr>
      <w:tcPr>
        <w:shd w:val="clear" w:color="ffffff" w:themeColor="accent6" w:fill="1ab39f" w:themeFill="accent6"/>
      </w:tcPr>
    </w:tblStylePr>
    <w:tblStylePr w:type="lastCol">
      <w:rPr>
        <w:rFonts w:ascii="Arial" w:hAnsi="Arial"/>
        <w:b/>
        <w:color w:val="ffffff"/>
        <w:sz w:val="22"/>
      </w:rPr>
      <w:tcPr>
        <w:shd w:val="clear" w:color="ffffff" w:themeColor="accent6" w:fill="1ab39f" w:themeFill="accent6"/>
      </w:tcPr>
    </w:tblStylePr>
    <w:tblStylePr w:type="lastRow">
      <w:rPr>
        <w:rFonts w:ascii="Arial" w:hAnsi="Arial"/>
        <w:b/>
        <w:color w:val="ffffff"/>
        <w:sz w:val="22"/>
      </w:rPr>
      <w:tcPr>
        <w:shd w:val="clear" w:color="ffffff" w:themeColor="accent6" w:fill="1ab39f" w:themeFill="accent6"/>
        <w:tcBorders>
          <w:top w:val="single" w:color="000000" w:themeColor="light1" w:sz="4" w:space="0"/>
        </w:tcBorders>
      </w:tcPr>
    </w:tblStylePr>
  </w:style>
  <w:style w:type="table" w:styleId="749">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404040" w:themeColor="accent1" w:themeTint="80" w:themeShade="95"/>
        <w:sz w:val="22"/>
      </w:rPr>
    </w:tblStylePr>
    <w:tblStylePr w:type="firstCol">
      <w:rPr>
        <w:b/>
        <w:color w:val="6cb52c" w:themeColor="accent1" w:themeTint="80" w:themeShade="95"/>
      </w:rPr>
    </w:tblStylePr>
    <w:tblStylePr w:type="firstRow">
      <w:rPr>
        <w:b/>
        <w:color w:val="6cb52c" w:themeColor="accent1" w:themeTint="80" w:themeShade="95"/>
      </w:rPr>
      <w:tcPr>
        <w:tcBorders>
          <w:bottom w:val="single" w:color="000000" w:themeColor="accent1" w:themeTint="80" w:sz="12" w:space="0"/>
        </w:tcBorders>
      </w:tcPr>
    </w:tblStylePr>
    <w:tblStylePr w:type="lastCol">
      <w:rPr>
        <w:b/>
        <w:color w:val="6cb52c" w:themeColor="accent1" w:themeTint="80" w:themeShade="95"/>
      </w:rPr>
    </w:tblStylePr>
    <w:tblStylePr w:type="lastRow">
      <w:rPr>
        <w:b/>
        <w:color w:val="6cb52c" w:themeColor="accent1" w:themeTint="80" w:themeShade="95"/>
      </w:rPr>
    </w:tblStylePr>
    <w:tblStylePr w:type="wholeTable">
      <w:rPr>
        <w:rFonts w:ascii="Arial" w:hAnsi="Arial"/>
        <w:color w:val="404040" w:themeColor="accent1" w:themeTint="80" w:themeShade="95"/>
        <w:sz w:val="22"/>
      </w:rPr>
    </w:tblStylePr>
  </w:style>
  <w:style w:type="table" w:styleId="751">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12" w:space="0"/>
        </w:tcBorders>
      </w:tcPr>
    </w:tblStylePr>
    <w:tblStylePr w:type="lastCol">
      <w:rPr>
        <w:b/>
        <w:color w:val="be116b" w:themeColor="accent2" w:themeTint="97" w:themeShade="95"/>
      </w:rPr>
    </w:tblStylePr>
    <w:tblStylePr w:type="lastRow">
      <w:rPr>
        <w:b/>
        <w:color w:val="be116b" w:themeColor="accent2" w:themeTint="97" w:themeShade="95"/>
      </w:rPr>
    </w:tblStylePr>
    <w:tblStylePr w:type="wholeTable">
      <w:rPr>
        <w:rFonts w:ascii="Arial" w:hAnsi="Arial"/>
        <w:color w:val="404040" w:themeColor="accent2" w:themeTint="97" w:themeShade="95"/>
        <w:sz w:val="22"/>
      </w:rPr>
    </w:tblStylePr>
  </w:style>
  <w:style w:type="table" w:styleId="752">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404040" w:themeColor="accent3" w:themeTint="FE" w:themeShade="95"/>
        <w:sz w:val="22"/>
      </w:rPr>
    </w:tblStylePr>
    <w:tblStylePr w:type="firstCol">
      <w:rPr>
        <w:b/>
        <w:color w:val="986c01" w:themeColor="accent3" w:themeTint="FE" w:themeShade="95"/>
      </w:rPr>
    </w:tblStylePr>
    <w:tblStylePr w:type="firstRow">
      <w:rPr>
        <w:b/>
        <w:color w:val="986c01" w:themeColor="accent3" w:themeTint="FE" w:themeShade="95"/>
      </w:rPr>
      <w:tcPr>
        <w:tcBorders>
          <w:bottom w:val="single" w:color="000000" w:themeColor="accent3" w:themeTint="FE" w:sz="12" w:space="0"/>
        </w:tcBorders>
      </w:tcPr>
    </w:tblStylePr>
    <w:tblStylePr w:type="lastCol">
      <w:rPr>
        <w:b/>
        <w:color w:val="986c01" w:themeColor="accent3" w:themeTint="FE" w:themeShade="95"/>
      </w:rPr>
    </w:tblStylePr>
    <w:tblStylePr w:type="lastRow">
      <w:rPr>
        <w:b/>
        <w:color w:val="986c01" w:themeColor="accent3" w:themeTint="FE" w:themeShade="95"/>
      </w:rPr>
    </w:tblStylePr>
    <w:tblStylePr w:type="wholeTable">
      <w:rPr>
        <w:rFonts w:ascii="Arial" w:hAnsi="Arial"/>
        <w:color w:val="404040" w:themeColor="accent3" w:themeTint="FE" w:themeShade="95"/>
        <w:sz w:val="22"/>
      </w:rPr>
    </w:tblStylePr>
  </w:style>
  <w:style w:type="table" w:styleId="753">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12" w:space="0"/>
        </w:tcBorders>
      </w:tcPr>
    </w:tblStylePr>
    <w:tblStylePr w:type="lastCol">
      <w:rPr>
        <w:b/>
        <w:color w:val="019ac0" w:themeColor="accent4" w:themeTint="9A" w:themeShade="95"/>
      </w:rPr>
    </w:tblStylePr>
    <w:tblStylePr w:type="lastRow">
      <w:rPr>
        <w:b/>
        <w:color w:val="019ac0" w:themeColor="accent4" w:themeTint="9A" w:themeShade="95"/>
      </w:rPr>
    </w:tblStylePr>
    <w:tblStylePr w:type="wholeTable">
      <w:rPr>
        <w:rFonts w:ascii="Arial" w:hAnsi="Arial"/>
        <w:color w:val="404040" w:themeColor="accent4" w:themeTint="9A" w:themeShade="95"/>
        <w:sz w:val="22"/>
      </w:rPr>
    </w:tblStylePr>
  </w:style>
  <w:style w:type="table" w:styleId="754">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5"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755">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6"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756">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6cb52c"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6cb52c" w:themeColor="accent1" w:themeTint="80" w:themeShade="95"/>
        <w:sz w:val="22"/>
      </w:rPr>
    </w:tblStylePr>
    <w:tblStylePr w:type="firstCol">
      <w:rPr>
        <w:rFonts w:ascii="Arial" w:hAnsi="Arial"/>
        <w:i/>
        <w:color w:val="6cb52c"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6cb52c"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6cb52c"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6cb52c"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8">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be116b"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be116b"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be116b"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986c01"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986c01" w:themeColor="accent3" w:themeTint="FE" w:themeShade="95"/>
        <w:sz w:val="22"/>
      </w:rPr>
    </w:tblStylePr>
    <w:tblStylePr w:type="firstCol">
      <w:rPr>
        <w:rFonts w:ascii="Arial" w:hAnsi="Arial"/>
        <w:i/>
        <w:color w:val="986c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986c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986c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986c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19ac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19ac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19ac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334a84"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334a84" w:themeColor="accent5" w:themeShade="95"/>
        <w:sz w:val="22"/>
      </w:rPr>
    </w:tblStylePr>
    <w:tblStylePr w:type="firstCol">
      <w:rPr>
        <w:rFonts w:ascii="Arial" w:hAnsi="Arial"/>
        <w:i/>
        <w:color w:val="334a8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334a8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334a8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334a8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2">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0f685b" w:themeColor="accent6"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0f685b" w:themeColor="accent6" w:themeShade="95"/>
        <w:sz w:val="22"/>
      </w:rPr>
    </w:tblStylePr>
    <w:tblStylePr w:type="firstCol">
      <w:rPr>
        <w:rFonts w:ascii="Arial" w:hAnsi="Arial"/>
        <w:i/>
        <w:color w:val="0f685b"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0f685b"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0f685b"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0f685b"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3">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5">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6">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7">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8">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9">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0">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2">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3">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4">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5">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6">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7">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779">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Pr>
    </w:tblStylePr>
    <w:tblStylePr w:type="lastCol">
      <w:rPr>
        <w:b/>
        <w:color w:val="404040"/>
      </w:rPr>
    </w:tblStylePr>
    <w:tblStylePr w:type="lastRow">
      <w:rPr>
        <w:b/>
        <w:color w:val="404040"/>
      </w:rPr>
    </w:tblStylePr>
  </w:style>
  <w:style w:type="table" w:styleId="780">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ed36d" w:themeFill="accent3" w:themeFillTint="98"/>
      </w:tcPr>
    </w:tblStylePr>
    <w:tblStylePr w:type="lastCol">
      <w:rPr>
        <w:b/>
        <w:color w:val="404040"/>
      </w:rPr>
    </w:tblStylePr>
    <w:tblStylePr w:type="lastRow">
      <w:rPr>
        <w:b/>
        <w:color w:val="404040"/>
      </w:rPr>
    </w:tblStylePr>
  </w:style>
  <w:style w:type="table" w:styleId="781">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Pr>
    </w:tblStylePr>
    <w:tblStylePr w:type="lastCol">
      <w:rPr>
        <w:b/>
        <w:color w:val="404040"/>
      </w:rPr>
    </w:tblStylePr>
    <w:tblStylePr w:type="lastRow">
      <w:rPr>
        <w:b/>
        <w:color w:val="404040"/>
      </w:rPr>
    </w:tblStylePr>
  </w:style>
  <w:style w:type="table" w:styleId="782">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aab8dd" w:themeFill="accent5" w:themeFillTint="9A"/>
      </w:tcPr>
    </w:tblStylePr>
    <w:tblStylePr w:type="lastCol">
      <w:rPr>
        <w:b/>
        <w:color w:val="404040"/>
      </w:rPr>
    </w:tblStylePr>
    <w:tblStylePr w:type="lastRow">
      <w:rPr>
        <w:b/>
        <w:color w:val="404040"/>
      </w:rPr>
    </w:tblStylePr>
  </w:style>
  <w:style w:type="table" w:styleId="783">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60e7d3" w:themeFill="accent6" w:themeFillTint="98"/>
      </w:tcPr>
    </w:tblStylePr>
    <w:tblStylePr w:type="lastCol">
      <w:rPr>
        <w:b/>
        <w:color w:val="404040"/>
      </w:rPr>
    </w:tblStylePr>
    <w:tblStylePr w:type="lastRow">
      <w:rPr>
        <w:b/>
        <w:color w:val="404040"/>
      </w:rPr>
    </w:tblStylePr>
  </w:style>
  <w:style w:type="table" w:styleId="784">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786">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a157a" w:themeFill="accent2"/>
      </w:tcPr>
    </w:tblStylePr>
    <w:tblStylePr w:type="lastCol">
      <w:rPr>
        <w:b/>
        <w:color w:val="404040"/>
      </w:rPr>
    </w:tblStylePr>
    <w:tblStylePr w:type="lastRow">
      <w:rPr>
        <w:b/>
        <w:color w:val="404040"/>
      </w:rPr>
    </w:tblStylePr>
  </w:style>
  <w:style w:type="table" w:styleId="787">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eb80a" w:themeFill="accent3"/>
      </w:tcPr>
    </w:tblStylePr>
    <w:tblStylePr w:type="lastCol">
      <w:rPr>
        <w:b/>
        <w:color w:val="404040"/>
      </w:rPr>
    </w:tblStylePr>
    <w:tblStylePr w:type="lastRow">
      <w:rPr>
        <w:b/>
        <w:color w:val="404040"/>
      </w:rPr>
    </w:tblStylePr>
  </w:style>
  <w:style w:type="table" w:styleId="788">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0addc" w:themeFill="accent4"/>
      </w:tcPr>
    </w:tblStylePr>
    <w:tblStylePr w:type="lastCol">
      <w:rPr>
        <w:b/>
        <w:color w:val="404040"/>
      </w:rPr>
    </w:tblStylePr>
    <w:tblStylePr w:type="lastRow">
      <w:rPr>
        <w:b/>
        <w:color w:val="404040"/>
      </w:rPr>
    </w:tblStylePr>
  </w:style>
  <w:style w:type="table" w:styleId="789">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738ac8" w:themeFill="accent5"/>
      </w:tcPr>
    </w:tblStylePr>
    <w:tblStylePr w:type="lastCol">
      <w:rPr>
        <w:b/>
        <w:color w:val="404040"/>
      </w:rPr>
    </w:tblStylePr>
    <w:tblStylePr w:type="lastRow">
      <w:rPr>
        <w:b/>
        <w:color w:val="404040"/>
      </w:rPr>
    </w:tblStylePr>
  </w:style>
  <w:style w:type="table" w:styleId="790">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1ab39f" w:themeFill="accent6"/>
      </w:tcPr>
    </w:tblStylePr>
    <w:tblStylePr w:type="lastCol">
      <w:rPr>
        <w:b/>
        <w:color w:val="404040"/>
      </w:rPr>
    </w:tblStylePr>
    <w:tblStylePr w:type="lastRow">
      <w:rPr>
        <w:b/>
        <w:color w:val="404040"/>
      </w:rPr>
    </w:tblStylePr>
  </w:style>
  <w:style w:type="table" w:styleId="791">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7fd13b" w:themeFill="accent1"/>
    </w:tblPr>
    <w:tblStylePr w:type="band1Horz">
      <w:tcPr>
        <w:shd w:val="clear" w:color="ffffff" w:themeColor="accent1" w:fill="7fd13b" w:themeFill="accent1"/>
        <w:tcBorders>
          <w:top w:val="single" w:color="000000" w:themeColor="light1" w:sz="4" w:space="0"/>
          <w:bottom w:val="single" w:color="000000" w:themeColor="light1" w:sz="4" w:space="0"/>
        </w:tcBorders>
      </w:tcPr>
    </w:tblStylePr>
    <w:tblStylePr w:type="band1Vert">
      <w:tcPr>
        <w:shd w:val="clear" w:color="ffffff" w:themeColor="accent1" w:fill="7fd13b" w:themeFill="accent1"/>
        <w:tcBorders>
          <w:left w:val="single" w:color="000000" w:themeColor="light1" w:sz="4" w:space="0"/>
          <w:right w:val="single" w:color="000000" w:themeColor="light1" w:sz="4" w:space="0"/>
        </w:tcBorders>
      </w:tcPr>
    </w:tblStylePr>
    <w:tblStylePr w:type="band2Horz">
      <w:tcPr>
        <w:shd w:val="clear" w:color="ffffff" w:themeColor="accent1" w:fill="7fd13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7fd13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273b2" w:themeFill="accent2" w:themeFillTint="97"/>
    </w:tblPr>
    <w:tblStylePr w:type="band1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273b2"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273b2"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ed36d" w:themeFill="accent3" w:themeFillTint="98"/>
    </w:tblPr>
    <w:tblStylePr w:type="band1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ed36d"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ed36d"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4fdbfe" w:themeFill="accent4" w:themeFillTint="9A"/>
    </w:tblPr>
    <w:tblStylePr w:type="band1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4fdbfe"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4fdbfe"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aab8dd" w:themeFill="accent5" w:themeFillTint="9A"/>
    </w:tblPr>
    <w:tblStylePr w:type="band1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aab8dd"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aab8dd"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60e7d3" w:themeFill="accent6" w:themeFillTint="98"/>
    </w:tblPr>
    <w:tblStylePr w:type="band1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60e7d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60e7d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04040" w:themeColor="accent1" w:themeShade="95"/>
        <w:sz w:val="22"/>
      </w:rPr>
    </w:tblStylePr>
    <w:tblStylePr w:type="firstCol">
      <w:rPr>
        <w:b/>
        <w:color w:val="4b7e1d" w:themeColor="accent1" w:themeShade="95"/>
      </w:rPr>
    </w:tblStylePr>
    <w:tblStylePr w:type="firstRow">
      <w:rPr>
        <w:b/>
        <w:color w:val="4b7e1d" w:themeColor="accent1" w:themeShade="95"/>
      </w:rPr>
      <w:tcPr>
        <w:tcBorders>
          <w:bottom w:val="single" w:color="000000" w:themeColor="accent1" w:sz="4" w:space="0"/>
        </w:tcBorders>
      </w:tcPr>
    </w:tblStylePr>
    <w:tblStylePr w:type="lastCol">
      <w:rPr>
        <w:b/>
        <w:color w:val="4b7e1d" w:themeColor="accent1" w:themeShade="95"/>
      </w:rPr>
    </w:tblStylePr>
    <w:tblStylePr w:type="lastRow">
      <w:rPr>
        <w:b/>
        <w:color w:val="4b7e1d" w:themeColor="accent1" w:themeShade="95"/>
      </w:rPr>
      <w:tcPr>
        <w:tcBorders>
          <w:top w:val="single" w:color="000000" w:themeColor="accent1" w:sz="4" w:space="0"/>
        </w:tcBorders>
      </w:tcPr>
    </w:tblStylePr>
  </w:style>
  <w:style w:type="table" w:styleId="800">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4" w:space="0"/>
        </w:tcBorders>
      </w:tcPr>
    </w:tblStylePr>
    <w:tblStylePr w:type="lastCol">
      <w:rPr>
        <w:b/>
        <w:color w:val="be116b" w:themeColor="accent2" w:themeTint="97" w:themeShade="95"/>
      </w:rPr>
    </w:tblStylePr>
    <w:tblStylePr w:type="lastRow">
      <w:rPr>
        <w:b/>
        <w:color w:val="be116b" w:themeColor="accent2" w:themeTint="97" w:themeShade="95"/>
      </w:rPr>
      <w:tcPr>
        <w:tcBorders>
          <w:top w:val="single" w:color="000000" w:themeColor="accent2" w:themeTint="97" w:sz="4" w:space="0"/>
        </w:tcBorders>
      </w:tcPr>
    </w:tblStylePr>
  </w:style>
  <w:style w:type="table" w:styleId="801">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404040" w:themeColor="accent3" w:themeTint="98" w:themeShade="95"/>
        <w:sz w:val="22"/>
      </w:rPr>
    </w:tblStylePr>
    <w:tblStylePr w:type="firstCol">
      <w:rPr>
        <w:b/>
        <w:color w:val="d29001" w:themeColor="accent3" w:themeTint="98" w:themeShade="95"/>
      </w:rPr>
    </w:tblStylePr>
    <w:tblStylePr w:type="firstRow">
      <w:rPr>
        <w:b/>
        <w:color w:val="d29001" w:themeColor="accent3" w:themeTint="98" w:themeShade="95"/>
      </w:rPr>
      <w:tcPr>
        <w:tcBorders>
          <w:bottom w:val="single" w:color="000000" w:themeColor="accent3" w:themeTint="98" w:sz="4" w:space="0"/>
        </w:tcBorders>
      </w:tcPr>
    </w:tblStylePr>
    <w:tblStylePr w:type="lastCol">
      <w:rPr>
        <w:b/>
        <w:color w:val="d29001" w:themeColor="accent3" w:themeTint="98" w:themeShade="95"/>
      </w:rPr>
    </w:tblStylePr>
    <w:tblStylePr w:type="lastRow">
      <w:rPr>
        <w:b/>
        <w:color w:val="d29001" w:themeColor="accent3" w:themeTint="98" w:themeShade="95"/>
      </w:rPr>
      <w:tcPr>
        <w:tcBorders>
          <w:top w:val="single" w:color="000000" w:themeColor="accent3" w:themeTint="98" w:sz="4" w:space="0"/>
        </w:tcBorders>
      </w:tcPr>
    </w:tblStylePr>
  </w:style>
  <w:style w:type="table" w:styleId="802">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4" w:space="0"/>
        </w:tcBorders>
      </w:tcPr>
    </w:tblStylePr>
    <w:tblStylePr w:type="lastCol">
      <w:rPr>
        <w:b/>
        <w:color w:val="019ac0" w:themeColor="accent4" w:themeTint="9A" w:themeShade="95"/>
      </w:rPr>
    </w:tblStylePr>
    <w:tblStylePr w:type="lastRow">
      <w:rPr>
        <w:b/>
        <w:color w:val="019ac0" w:themeColor="accent4" w:themeTint="9A" w:themeShade="95"/>
      </w:rPr>
      <w:tcPr>
        <w:tcBorders>
          <w:top w:val="single" w:color="000000" w:themeColor="accent4" w:themeTint="9A" w:sz="4" w:space="0"/>
        </w:tcBorders>
      </w:tcPr>
    </w:tblStylePr>
  </w:style>
  <w:style w:type="table" w:styleId="803">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04040" w:themeColor="accent5" w:themeTint="9A" w:themeShade="95"/>
        <w:sz w:val="22"/>
      </w:rPr>
    </w:tblStylePr>
    <w:tblStylePr w:type="firstCol">
      <w:rPr>
        <w:b/>
        <w:color w:val="415ca2" w:themeColor="accent5" w:themeTint="9A" w:themeShade="95"/>
      </w:rPr>
    </w:tblStylePr>
    <w:tblStylePr w:type="firstRow">
      <w:rPr>
        <w:b/>
        <w:color w:val="415ca2" w:themeColor="accent5" w:themeTint="9A" w:themeShade="95"/>
      </w:rPr>
      <w:tcPr>
        <w:tcBorders>
          <w:bottom w:val="single" w:color="000000" w:themeColor="accent5" w:themeTint="9A" w:sz="4" w:space="0"/>
        </w:tcBorders>
      </w:tcPr>
    </w:tblStylePr>
    <w:tblStylePr w:type="lastCol">
      <w:rPr>
        <w:b/>
        <w:color w:val="415ca2" w:themeColor="accent5" w:themeTint="9A" w:themeShade="95"/>
      </w:rPr>
    </w:tblStylePr>
    <w:tblStylePr w:type="lastRow">
      <w:rPr>
        <w:b/>
        <w:color w:val="415ca2" w:themeColor="accent5" w:themeTint="9A" w:themeShade="95"/>
      </w:rPr>
      <w:tcPr>
        <w:tcBorders>
          <w:top w:val="single" w:color="000000" w:themeColor="accent5" w:themeTint="9A" w:sz="4" w:space="0"/>
        </w:tcBorders>
      </w:tcPr>
    </w:tblStylePr>
  </w:style>
  <w:style w:type="table" w:styleId="804">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404040" w:themeColor="accent6" w:themeTint="98" w:themeShade="95"/>
        <w:sz w:val="22"/>
      </w:rPr>
    </w:tblStylePr>
    <w:tblStylePr w:type="firstCol">
      <w:rPr>
        <w:b/>
        <w:color w:val="18a58f" w:themeColor="accent6" w:themeTint="98" w:themeShade="95"/>
      </w:rPr>
    </w:tblStylePr>
    <w:tblStylePr w:type="firstRow">
      <w:rPr>
        <w:b/>
        <w:color w:val="18a58f" w:themeColor="accent6" w:themeTint="98" w:themeShade="95"/>
      </w:rPr>
      <w:tcPr>
        <w:tcBorders>
          <w:bottom w:val="single" w:color="000000" w:themeColor="accent6" w:themeTint="98" w:sz="4" w:space="0"/>
        </w:tcBorders>
      </w:tcPr>
    </w:tblStylePr>
    <w:tblStylePr w:type="lastCol">
      <w:rPr>
        <w:b/>
        <w:color w:val="18a58f" w:themeColor="accent6" w:themeTint="98" w:themeShade="95"/>
      </w:rPr>
    </w:tblStylePr>
    <w:tblStylePr w:type="lastRow">
      <w:rPr>
        <w:b/>
        <w:color w:val="18a58f" w:themeColor="accent6" w:themeTint="98" w:themeShade="95"/>
      </w:rPr>
      <w:tcPr>
        <w:tcBorders>
          <w:top w:val="single" w:color="000000" w:themeColor="accent6" w:themeTint="98" w:sz="4" w:space="0"/>
        </w:tcBorders>
      </w:tcPr>
    </w:tblStylePr>
  </w:style>
  <w:style w:type="table" w:styleId="805">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6">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4b7e1d"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b7e1d" w:themeColor="accent1" w:themeShade="95"/>
        <w:sz w:val="22"/>
      </w:rPr>
    </w:tblStylePr>
    <w:tblStylePr w:type="firstCol">
      <w:rPr>
        <w:rFonts w:ascii="Arial" w:hAnsi="Arial"/>
        <w:i/>
        <w:color w:val="4b7e1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4b7e1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4b7e1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4b7e1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4b7e1d" w:themeColor="accent1" w:themeShade="95"/>
        <w:sz w:val="22"/>
      </w:rPr>
    </w:tblStylePr>
  </w:style>
  <w:style w:type="table" w:styleId="807">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be116b"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be116b"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be116b"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be116b" w:themeColor="accent2" w:themeTint="97" w:themeShade="95"/>
        <w:sz w:val="22"/>
      </w:rPr>
    </w:tblStylePr>
  </w:style>
  <w:style w:type="table" w:styleId="808">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d29001"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d29001" w:themeColor="accent3" w:themeTint="98" w:themeShade="95"/>
        <w:sz w:val="22"/>
      </w:rPr>
    </w:tblStylePr>
    <w:tblStylePr w:type="firstCol">
      <w:rPr>
        <w:rFonts w:ascii="Arial" w:hAnsi="Arial"/>
        <w:i/>
        <w:color w:val="d29001"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d29001"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d29001"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d29001"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d29001" w:themeColor="accent3" w:themeTint="98" w:themeShade="95"/>
        <w:sz w:val="22"/>
      </w:rPr>
    </w:tblStylePr>
  </w:style>
  <w:style w:type="table" w:styleId="809">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19ac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19ac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19ac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19ac0" w:themeColor="accent4" w:themeTint="9A" w:themeShade="95"/>
        <w:sz w:val="22"/>
      </w:rPr>
    </w:tblStylePr>
  </w:style>
  <w:style w:type="table" w:styleId="810">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415ca2"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15ca2" w:themeColor="accent5" w:themeTint="9A" w:themeShade="95"/>
        <w:sz w:val="22"/>
      </w:rPr>
    </w:tblStylePr>
    <w:tblStylePr w:type="firstCol">
      <w:rPr>
        <w:rFonts w:ascii="Arial" w:hAnsi="Arial"/>
        <w:i/>
        <w:color w:val="415ca2"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415ca2"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415ca2"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415ca2"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415ca2" w:themeColor="accent5" w:themeTint="9A" w:themeShade="95"/>
        <w:sz w:val="22"/>
      </w:rPr>
    </w:tblStylePr>
  </w:style>
  <w:style w:type="table" w:styleId="811">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18a58f"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18a58f" w:themeColor="accent6" w:themeTint="98" w:themeShade="95"/>
        <w:sz w:val="22"/>
      </w:rPr>
    </w:tblStylePr>
    <w:tblStylePr w:type="firstCol">
      <w:rPr>
        <w:rFonts w:ascii="Arial" w:hAnsi="Arial"/>
        <w:i/>
        <w:color w:val="18a58f"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18a58f"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18a58f"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18a58f"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18a58f" w:themeColor="accent6" w:themeTint="98" w:themeShade="95"/>
        <w:sz w:val="22"/>
      </w:rPr>
    </w:tblStylePr>
  </w:style>
  <w:style w:type="table" w:styleId="812">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814">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815">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816">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817">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818">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819">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821">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822">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823">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824">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825">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826">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7">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8">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9">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0">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1">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2">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3">
    <w:name w:val="Footnote Text Char"/>
    <w:link w:val="878"/>
    <w:uiPriority w:val="99"/>
    <w:rPr>
      <w:sz w:val="18"/>
    </w:rPr>
  </w:style>
  <w:style w:type="paragraph" w:styleId="834">
    <w:name w:val="endnote text"/>
    <w:basedOn w:val="845"/>
    <w:link w:val="835"/>
    <w:uiPriority w:val="99"/>
    <w:semiHidden/>
    <w:unhideWhenUsed/>
    <w:pPr>
      <w:spacing w:after="0" w:line="240" w:lineRule="auto"/>
    </w:pPr>
    <w:rPr>
      <w:sz w:val="20"/>
    </w:rPr>
  </w:style>
  <w:style w:type="character" w:styleId="835">
    <w:name w:val="Endnote Text Char"/>
    <w:link w:val="834"/>
    <w:uiPriority w:val="99"/>
    <w:rPr>
      <w:sz w:val="20"/>
    </w:rPr>
  </w:style>
  <w:style w:type="character" w:styleId="836">
    <w:name w:val="endnote reference"/>
    <w:basedOn w:val="855"/>
    <w:uiPriority w:val="99"/>
    <w:semiHidden/>
    <w:unhideWhenUsed/>
    <w:rPr>
      <w:vertAlign w:val="superscript"/>
    </w:rPr>
  </w:style>
  <w:style w:type="paragraph" w:styleId="837">
    <w:name w:val="toc 4"/>
    <w:basedOn w:val="845"/>
    <w:next w:val="845"/>
    <w:uiPriority w:val="39"/>
    <w:unhideWhenUsed/>
    <w:pPr>
      <w:ind w:left="850" w:right="0" w:firstLine="0"/>
      <w:spacing w:after="57"/>
    </w:pPr>
  </w:style>
  <w:style w:type="paragraph" w:styleId="838">
    <w:name w:val="toc 5"/>
    <w:basedOn w:val="845"/>
    <w:next w:val="845"/>
    <w:uiPriority w:val="39"/>
    <w:unhideWhenUsed/>
    <w:pPr>
      <w:ind w:left="1134" w:right="0" w:firstLine="0"/>
      <w:spacing w:after="57"/>
    </w:pPr>
  </w:style>
  <w:style w:type="paragraph" w:styleId="839">
    <w:name w:val="toc 6"/>
    <w:basedOn w:val="845"/>
    <w:next w:val="845"/>
    <w:uiPriority w:val="39"/>
    <w:unhideWhenUsed/>
    <w:pPr>
      <w:ind w:left="1417" w:right="0" w:firstLine="0"/>
      <w:spacing w:after="57"/>
    </w:pPr>
  </w:style>
  <w:style w:type="paragraph" w:styleId="840">
    <w:name w:val="toc 7"/>
    <w:basedOn w:val="845"/>
    <w:next w:val="845"/>
    <w:uiPriority w:val="39"/>
    <w:unhideWhenUsed/>
    <w:pPr>
      <w:ind w:left="1701" w:right="0" w:firstLine="0"/>
      <w:spacing w:after="57"/>
    </w:pPr>
  </w:style>
  <w:style w:type="paragraph" w:styleId="841">
    <w:name w:val="toc 8"/>
    <w:basedOn w:val="845"/>
    <w:next w:val="845"/>
    <w:uiPriority w:val="39"/>
    <w:unhideWhenUsed/>
    <w:pPr>
      <w:ind w:left="1984" w:right="0" w:firstLine="0"/>
      <w:spacing w:after="57"/>
    </w:pPr>
  </w:style>
  <w:style w:type="paragraph" w:styleId="842">
    <w:name w:val="toc 9"/>
    <w:basedOn w:val="845"/>
    <w:next w:val="845"/>
    <w:uiPriority w:val="39"/>
    <w:unhideWhenUsed/>
    <w:pPr>
      <w:ind w:left="2268" w:right="0" w:firstLine="0"/>
      <w:spacing w:after="57"/>
    </w:pPr>
  </w:style>
  <w:style w:type="paragraph" w:styleId="843">
    <w:name w:val="TOC Heading"/>
    <w:uiPriority w:val="39"/>
    <w:unhideWhenUsed/>
  </w:style>
  <w:style w:type="paragraph" w:styleId="844">
    <w:name w:val="table of figures"/>
    <w:basedOn w:val="845"/>
    <w:next w:val="845"/>
    <w:uiPriority w:val="99"/>
    <w:unhideWhenUsed/>
    <w:pPr>
      <w:spacing w:after="0" w:afterAutospacing="0"/>
    </w:pPr>
  </w:style>
  <w:style w:type="paragraph" w:styleId="845" w:default="1">
    <w:name w:val="Normal"/>
    <w:uiPriority w:val="0"/>
    <w:qFormat/>
    <w:pPr>
      <w:jc w:val="both"/>
      <w:widowControl w:val="off"/>
    </w:pPr>
    <w:rPr>
      <w:rFonts w:ascii="Calibri" w:hAnsi="Calibri" w:eastAsia="宋体" w:cs="宋体"/>
      <w:sz w:val="21"/>
      <w:szCs w:val="22"/>
      <w:lang w:val="en-US" w:eastAsia="zh-CN" w:bidi="ar-SA"/>
    </w:rPr>
  </w:style>
  <w:style w:type="paragraph" w:styleId="846">
    <w:name w:val="Heading 1"/>
    <w:basedOn w:val="845"/>
    <w:next w:val="845"/>
    <w:link w:val="898"/>
    <w:uiPriority w:val="0"/>
    <w:qFormat/>
    <w:pPr>
      <w:keepLines/>
      <w:keepNext/>
      <w:spacing w:before="340" w:after="330" w:line="578" w:lineRule="auto"/>
      <w:outlineLvl w:val="0"/>
    </w:pPr>
    <w:rPr>
      <w:b/>
      <w:bCs/>
      <w:sz w:val="44"/>
      <w:szCs w:val="44"/>
    </w:rPr>
  </w:style>
  <w:style w:type="paragraph" w:styleId="847">
    <w:name w:val="Heading 2"/>
    <w:basedOn w:val="845"/>
    <w:next w:val="845"/>
    <w:link w:val="899"/>
    <w:uiPriority w:val="0"/>
    <w:qFormat/>
    <w:pPr>
      <w:keepLines/>
      <w:keepNext/>
      <w:spacing w:before="260" w:after="260" w:line="413" w:lineRule="auto"/>
      <w:outlineLvl w:val="1"/>
    </w:pPr>
    <w:rPr>
      <w:rFonts w:ascii="Arial" w:hAnsi="Arial" w:eastAsia="黑体" w:cs="Times New Roman"/>
      <w:b/>
      <w:bCs/>
      <w:sz w:val="32"/>
      <w:szCs w:val="32"/>
    </w:rPr>
  </w:style>
  <w:style w:type="paragraph" w:styleId="848">
    <w:name w:val="Heading 3"/>
    <w:basedOn w:val="845"/>
    <w:next w:val="845"/>
    <w:link w:val="900"/>
    <w:uiPriority w:val="0"/>
    <w:unhideWhenUsed/>
    <w:qFormat/>
    <w:pPr>
      <w:keepLines/>
      <w:keepNext/>
      <w:spacing w:before="260" w:after="260" w:line="416" w:lineRule="auto"/>
      <w:outlineLvl w:val="2"/>
    </w:pPr>
    <w:rPr>
      <w:b/>
      <w:bCs/>
      <w:sz w:val="32"/>
      <w:szCs w:val="32"/>
    </w:rPr>
  </w:style>
  <w:style w:type="paragraph" w:styleId="849">
    <w:name w:val="Heading 4"/>
    <w:basedOn w:val="845"/>
    <w:next w:val="845"/>
    <w:link w:val="901"/>
    <w:uiPriority w:val="9"/>
    <w:qFormat/>
    <w:pPr>
      <w:keepLines/>
      <w:keepNext/>
      <w:spacing w:before="120" w:after="120"/>
      <w:outlineLvl w:val="3"/>
    </w:pPr>
    <w:rPr>
      <w:rFonts w:ascii="Arial" w:hAnsi="Arial" w:eastAsia="黑体" w:cs="Times New Roman"/>
      <w:b/>
      <w:sz w:val="28"/>
      <w:szCs w:val="20"/>
    </w:rPr>
  </w:style>
  <w:style w:type="paragraph" w:styleId="850">
    <w:name w:val="Heading 5"/>
    <w:basedOn w:val="845"/>
    <w:next w:val="845"/>
    <w:link w:val="902"/>
    <w:uiPriority w:val="0"/>
    <w:qFormat/>
    <w:pPr>
      <w:ind w:left="1008" w:hanging="1008"/>
      <w:keepLines/>
      <w:keepNext/>
      <w:spacing w:before="280" w:after="290" w:line="372" w:lineRule="auto"/>
      <w:tabs>
        <w:tab w:val="left" w:pos="1008" w:leader="none"/>
      </w:tabs>
      <w:outlineLvl w:val="4"/>
    </w:pPr>
    <w:rPr>
      <w:rFonts w:cs="Times New Roman"/>
      <w:b/>
      <w:bCs/>
      <w:sz w:val="28"/>
      <w:szCs w:val="28"/>
    </w:rPr>
  </w:style>
  <w:style w:type="paragraph" w:styleId="851">
    <w:name w:val="Heading 6"/>
    <w:basedOn w:val="845"/>
    <w:next w:val="845"/>
    <w:link w:val="903"/>
    <w:uiPriority w:val="0"/>
    <w:qFormat/>
    <w:pPr>
      <w:ind w:left="1152" w:hanging="1152"/>
      <w:keepLines/>
      <w:keepNext/>
      <w:spacing w:before="240" w:after="64" w:line="317" w:lineRule="auto"/>
      <w:tabs>
        <w:tab w:val="left" w:pos="1152" w:leader="none"/>
      </w:tabs>
      <w:outlineLvl w:val="5"/>
    </w:pPr>
    <w:rPr>
      <w:rFonts w:ascii="Arial" w:hAnsi="Arial" w:eastAsia="黑体" w:cs="Times New Roman"/>
      <w:b/>
      <w:bCs/>
      <w:sz w:val="24"/>
      <w:szCs w:val="24"/>
    </w:rPr>
  </w:style>
  <w:style w:type="paragraph" w:styleId="852">
    <w:name w:val="Heading 7"/>
    <w:basedOn w:val="845"/>
    <w:next w:val="845"/>
    <w:link w:val="904"/>
    <w:uiPriority w:val="0"/>
    <w:qFormat/>
    <w:pPr>
      <w:ind w:left="1296" w:hanging="1296"/>
      <w:keepLines/>
      <w:keepNext/>
      <w:spacing w:before="240" w:after="64" w:line="317" w:lineRule="auto"/>
      <w:tabs>
        <w:tab w:val="left" w:pos="1296" w:leader="none"/>
      </w:tabs>
      <w:outlineLvl w:val="6"/>
    </w:pPr>
    <w:rPr>
      <w:rFonts w:cs="Times New Roman"/>
      <w:b/>
      <w:bCs/>
      <w:sz w:val="24"/>
      <w:szCs w:val="24"/>
    </w:rPr>
  </w:style>
  <w:style w:type="paragraph" w:styleId="853">
    <w:name w:val="Heading 8"/>
    <w:basedOn w:val="845"/>
    <w:next w:val="845"/>
    <w:link w:val="905"/>
    <w:uiPriority w:val="0"/>
    <w:qFormat/>
    <w:pPr>
      <w:ind w:left="1440" w:hanging="1440"/>
      <w:keepLines/>
      <w:keepNext/>
      <w:spacing w:before="240" w:after="64" w:line="317" w:lineRule="auto"/>
      <w:tabs>
        <w:tab w:val="left" w:pos="1440" w:leader="none"/>
      </w:tabs>
      <w:outlineLvl w:val="7"/>
    </w:pPr>
    <w:rPr>
      <w:rFonts w:ascii="Arial" w:hAnsi="Arial" w:eastAsia="黑体" w:cs="Times New Roman"/>
      <w:sz w:val="24"/>
      <w:szCs w:val="24"/>
    </w:rPr>
  </w:style>
  <w:style w:type="paragraph" w:styleId="854">
    <w:name w:val="Heading 9"/>
    <w:basedOn w:val="845"/>
    <w:next w:val="845"/>
    <w:link w:val="906"/>
    <w:uiPriority w:val="0"/>
    <w:qFormat/>
    <w:pPr>
      <w:ind w:left="1584" w:hanging="1584"/>
      <w:keepLines/>
      <w:keepNext/>
      <w:spacing w:before="240" w:after="64" w:line="317" w:lineRule="auto"/>
      <w:tabs>
        <w:tab w:val="left" w:pos="1584" w:leader="none"/>
      </w:tabs>
      <w:outlineLvl w:val="8"/>
    </w:pPr>
    <w:rPr>
      <w:rFonts w:ascii="Arial" w:hAnsi="Arial" w:eastAsia="黑体" w:cs="Times New Roman"/>
      <w:szCs w:val="21"/>
    </w:rPr>
  </w:style>
  <w:style w:type="character" w:styleId="855" w:default="1">
    <w:name w:val="Default Paragraph Font"/>
    <w:uiPriority w:val="1"/>
    <w:semiHidden/>
    <w:unhideWhenUsed/>
    <w:qFormat/>
  </w:style>
  <w:style w:type="table" w:styleId="856" w:default="1">
    <w:name w:val="Normal Table"/>
    <w:uiPriority w:val="99"/>
    <w:semiHidden/>
    <w:unhideWhenUsed/>
    <w:qFormat/>
    <w:tblPr>
      <w:tblCellMar>
        <w:left w:w="108" w:type="dxa"/>
        <w:top w:w="0" w:type="dxa"/>
        <w:right w:w="108" w:type="dxa"/>
        <w:bottom w:w="0" w:type="dxa"/>
      </w:tblCellMar>
    </w:tblPr>
  </w:style>
  <w:style w:type="paragraph" w:styleId="857">
    <w:name w:val="List Number 2"/>
    <w:basedOn w:val="845"/>
    <w:uiPriority w:val="0"/>
    <w:qFormat/>
    <w:pPr>
      <w:ind w:left="1440" w:hanging="1440"/>
      <w:spacing w:line="360" w:lineRule="auto"/>
      <w:tabs>
        <w:tab w:val="left" w:pos="1440" w:leader="none"/>
      </w:tabs>
    </w:pPr>
    <w:rPr>
      <w:rFonts w:cs="Times New Roman"/>
      <w:sz w:val="24"/>
      <w:szCs w:val="24"/>
    </w:rPr>
  </w:style>
  <w:style w:type="paragraph" w:styleId="858">
    <w:name w:val="List Number"/>
    <w:basedOn w:val="845"/>
    <w:uiPriority w:val="0"/>
    <w:qFormat/>
    <w:pPr>
      <w:ind w:left="2952" w:hanging="432"/>
      <w:tabs>
        <w:tab w:val="left" w:pos="2952" w:leader="none"/>
      </w:tabs>
    </w:pPr>
    <w:rPr>
      <w:rFonts w:cs="Times New Roman"/>
      <w:szCs w:val="24"/>
    </w:rPr>
  </w:style>
  <w:style w:type="paragraph" w:styleId="859">
    <w:name w:val="Normal Indent"/>
    <w:basedOn w:val="845"/>
    <w:link w:val="1088"/>
    <w:uiPriority w:val="0"/>
    <w:qFormat/>
    <w:pPr>
      <w:ind w:firstLine="420"/>
    </w:pPr>
    <w:rPr>
      <w:rFonts w:cs="Times New Roman"/>
      <w:szCs w:val="20"/>
    </w:rPr>
  </w:style>
  <w:style w:type="paragraph" w:styleId="860">
    <w:name w:val="Document Map"/>
    <w:basedOn w:val="845"/>
    <w:link w:val="907"/>
    <w:uiPriority w:val="0"/>
    <w:qFormat/>
    <w:rPr>
      <w:rFonts w:ascii="宋体"/>
      <w:sz w:val="18"/>
      <w:szCs w:val="18"/>
    </w:rPr>
  </w:style>
  <w:style w:type="paragraph" w:styleId="861">
    <w:name w:val="annotation text"/>
    <w:basedOn w:val="845"/>
    <w:link w:val="908"/>
    <w:uiPriority w:val="99"/>
    <w:qFormat/>
    <w:pPr>
      <w:jc w:val="left"/>
    </w:pPr>
    <w:rPr>
      <w:rFonts w:ascii="Times New Roman" w:hAnsi="Times New Roman" w:cs="Times New Roman"/>
      <w:szCs w:val="20"/>
    </w:rPr>
  </w:style>
  <w:style w:type="paragraph" w:styleId="862">
    <w:name w:val="Salutation"/>
    <w:basedOn w:val="845"/>
    <w:next w:val="845"/>
    <w:link w:val="909"/>
    <w:uiPriority w:val="0"/>
    <w:qFormat/>
    <w:rPr>
      <w:rFonts w:ascii="仿宋_GB2312" w:hAnsi="Times New Roman" w:eastAsia="仿宋_GB2312" w:cs="Times New Roman"/>
      <w:sz w:val="28"/>
      <w:szCs w:val="20"/>
    </w:rPr>
  </w:style>
  <w:style w:type="paragraph" w:styleId="863">
    <w:name w:val="Body Text 3"/>
    <w:basedOn w:val="845"/>
    <w:link w:val="910"/>
    <w:uiPriority w:val="0"/>
    <w:qFormat/>
    <w:pPr>
      <w:spacing w:after="120"/>
    </w:pPr>
    <w:rPr>
      <w:rFonts w:ascii="Times New Roman" w:hAnsi="Times New Roman" w:cs="Times New Roman"/>
      <w:sz w:val="16"/>
      <w:szCs w:val="16"/>
    </w:rPr>
  </w:style>
  <w:style w:type="paragraph" w:styleId="864">
    <w:name w:val="Body Text"/>
    <w:basedOn w:val="845"/>
    <w:link w:val="911"/>
    <w:uiPriority w:val="0"/>
    <w:unhideWhenUsed/>
    <w:qFormat/>
    <w:pPr>
      <w:spacing w:after="120"/>
    </w:pPr>
  </w:style>
  <w:style w:type="paragraph" w:styleId="865">
    <w:name w:val="Body Text Indent"/>
    <w:basedOn w:val="845"/>
    <w:link w:val="897"/>
    <w:uiPriority w:val="99"/>
    <w:qFormat/>
    <w:pPr>
      <w:ind w:firstLine="574"/>
      <w:spacing w:line="312" w:lineRule="atLeast"/>
    </w:pPr>
    <w:rPr>
      <w:rFonts w:ascii="宋体"/>
      <w:sz w:val="28"/>
    </w:rPr>
  </w:style>
  <w:style w:type="paragraph" w:styleId="866">
    <w:name w:val="toc 3"/>
    <w:basedOn w:val="845"/>
    <w:next w:val="845"/>
    <w:uiPriority w:val="39"/>
    <w:qFormat/>
    <w:pPr>
      <w:ind w:left="840"/>
    </w:pPr>
    <w:rPr>
      <w:rFonts w:cs="Times New Roman"/>
      <w:szCs w:val="24"/>
    </w:rPr>
  </w:style>
  <w:style w:type="paragraph" w:styleId="867">
    <w:name w:val="Plain Text"/>
    <w:basedOn w:val="845"/>
    <w:link w:val="912"/>
    <w:uiPriority w:val="0"/>
    <w:qFormat/>
    <w:rPr>
      <w:rFonts w:ascii="宋体" w:hAnsi="Courier New" w:cs="Times New Roman"/>
      <w:sz w:val="20"/>
      <w:szCs w:val="21"/>
    </w:rPr>
  </w:style>
  <w:style w:type="paragraph" w:styleId="868">
    <w:name w:val="index 3"/>
    <w:basedOn w:val="845"/>
    <w:next w:val="845"/>
    <w:uiPriority w:val="0"/>
    <w:qFormat/>
    <w:pPr>
      <w:ind w:left="840"/>
    </w:pPr>
    <w:rPr>
      <w:rFonts w:cs="Times New Roman"/>
      <w:szCs w:val="20"/>
    </w:rPr>
  </w:style>
  <w:style w:type="paragraph" w:styleId="869">
    <w:name w:val="Date"/>
    <w:basedOn w:val="845"/>
    <w:next w:val="845"/>
    <w:link w:val="913"/>
    <w:uiPriority w:val="0"/>
    <w:qFormat/>
    <w:pPr>
      <w:ind w:left="100"/>
    </w:pPr>
    <w:rPr>
      <w:rFonts w:ascii="Times New Roman" w:hAnsi="Times New Roman" w:cs="Times New Roman"/>
      <w:sz w:val="28"/>
      <w:szCs w:val="20"/>
    </w:rPr>
  </w:style>
  <w:style w:type="paragraph" w:styleId="870">
    <w:name w:val="Body Text Indent 2"/>
    <w:basedOn w:val="845"/>
    <w:link w:val="914"/>
    <w:uiPriority w:val="0"/>
    <w:qFormat/>
    <w:pPr>
      <w:ind w:firstLine="480"/>
      <w:spacing w:line="400" w:lineRule="exact"/>
    </w:pPr>
    <w:rPr>
      <w:rFonts w:ascii="宋体" w:hAnsi="宋体" w:cs="Times New Roman"/>
      <w:sz w:val="24"/>
      <w:szCs w:val="24"/>
    </w:rPr>
  </w:style>
  <w:style w:type="paragraph" w:styleId="871">
    <w:name w:val="Balloon Text"/>
    <w:basedOn w:val="845"/>
    <w:link w:val="915"/>
    <w:uiPriority w:val="0"/>
    <w:qFormat/>
    <w:rPr>
      <w:sz w:val="18"/>
      <w:szCs w:val="18"/>
    </w:rPr>
  </w:style>
  <w:style w:type="paragraph" w:styleId="872">
    <w:name w:val="Footer"/>
    <w:basedOn w:val="845"/>
    <w:link w:val="916"/>
    <w:uiPriority w:val="99"/>
    <w:qFormat/>
    <w:pPr>
      <w:jc w:val="left"/>
      <w:tabs>
        <w:tab w:val="center" w:pos="4153" w:leader="none"/>
        <w:tab w:val="right" w:pos="8306" w:leader="none"/>
      </w:tabs>
    </w:pPr>
    <w:rPr>
      <w:sz w:val="18"/>
      <w:szCs w:val="18"/>
    </w:rPr>
  </w:style>
  <w:style w:type="paragraph" w:styleId="873">
    <w:name w:val="Header"/>
    <w:basedOn w:val="845"/>
    <w:link w:val="917"/>
    <w:uiPriority w:val="99"/>
    <w:qFormat/>
    <w:pPr>
      <w:jc w:val="center"/>
      <w:tabs>
        <w:tab w:val="center" w:pos="4153" w:leader="none"/>
        <w:tab w:val="right" w:pos="8306" w:leader="none"/>
      </w:tabs>
      <w:pBdr>
        <w:bottom w:val="single" w:color="auto" w:sz="6" w:space="1"/>
      </w:pBdr>
    </w:pPr>
    <w:rPr>
      <w:sz w:val="18"/>
      <w:szCs w:val="18"/>
    </w:rPr>
  </w:style>
  <w:style w:type="paragraph" w:styleId="874">
    <w:name w:val="Signature"/>
    <w:basedOn w:val="845"/>
    <w:link w:val="918"/>
    <w:uiPriority w:val="0"/>
    <w:qFormat/>
    <w:pPr>
      <w:jc w:val="center"/>
      <w:spacing w:after="600" w:line="312" w:lineRule="atLeast"/>
    </w:pPr>
    <w:rPr>
      <w:rFonts w:ascii="Times New Roman" w:hAnsi="Times New Roman" w:eastAsia="仿宋_GB2312" w:cs="Times New Roman"/>
      <w:sz w:val="24"/>
      <w:szCs w:val="20"/>
    </w:rPr>
  </w:style>
  <w:style w:type="paragraph" w:styleId="875">
    <w:name w:val="toc 1"/>
    <w:basedOn w:val="845"/>
    <w:next w:val="845"/>
    <w:uiPriority w:val="39"/>
    <w:qFormat/>
  </w:style>
  <w:style w:type="paragraph" w:styleId="876">
    <w:name w:val="index heading"/>
    <w:basedOn w:val="845"/>
    <w:next w:val="877"/>
    <w:uiPriority w:val="0"/>
    <w:qFormat/>
    <w:rPr>
      <w:rFonts w:cs="Times New Roman"/>
      <w:szCs w:val="20"/>
    </w:rPr>
  </w:style>
  <w:style w:type="paragraph" w:styleId="877">
    <w:name w:val="index 1"/>
    <w:basedOn w:val="845"/>
    <w:next w:val="845"/>
    <w:uiPriority w:val="0"/>
    <w:semiHidden/>
    <w:qFormat/>
    <w:rPr>
      <w:rFonts w:cs="Times New Roman"/>
      <w:szCs w:val="24"/>
    </w:rPr>
  </w:style>
  <w:style w:type="paragraph" w:styleId="878">
    <w:name w:val="footnote text"/>
    <w:basedOn w:val="845"/>
    <w:link w:val="919"/>
    <w:uiPriority w:val="0"/>
    <w:qFormat/>
    <w:pPr>
      <w:jc w:val="left"/>
    </w:pPr>
    <w:rPr>
      <w:rFonts w:ascii="Times New Roman" w:hAnsi="Times New Roman" w:cs="Times New Roman"/>
      <w:sz w:val="18"/>
      <w:szCs w:val="18"/>
    </w:rPr>
  </w:style>
  <w:style w:type="paragraph" w:styleId="879">
    <w:name w:val="Body Text Indent 3"/>
    <w:basedOn w:val="845"/>
    <w:link w:val="920"/>
    <w:uiPriority w:val="0"/>
    <w:qFormat/>
    <w:pPr>
      <w:ind w:left="480"/>
      <w:spacing w:before="120" w:after="120" w:line="264" w:lineRule="auto"/>
    </w:pPr>
    <w:rPr>
      <w:rFonts w:ascii="Times New Roman" w:hAnsi="Times New Roman" w:cs="Times New Roman"/>
      <w:b/>
      <w:bCs/>
      <w:sz w:val="24"/>
      <w:szCs w:val="20"/>
    </w:rPr>
  </w:style>
  <w:style w:type="paragraph" w:styleId="880">
    <w:name w:val="toc 2"/>
    <w:basedOn w:val="845"/>
    <w:next w:val="845"/>
    <w:uiPriority w:val="0"/>
    <w:qFormat/>
    <w:pPr>
      <w:ind w:left="420"/>
    </w:pPr>
    <w:rPr>
      <w:rFonts w:cs="Times New Roman"/>
      <w:szCs w:val="24"/>
    </w:rPr>
  </w:style>
  <w:style w:type="paragraph" w:styleId="881">
    <w:name w:val="Body Text 2"/>
    <w:basedOn w:val="845"/>
    <w:link w:val="921"/>
    <w:uiPriority w:val="0"/>
    <w:qFormat/>
    <w:pPr>
      <w:jc w:val="center"/>
    </w:pPr>
    <w:rPr>
      <w:rFonts w:ascii="Times New Roman" w:hAnsi="Times New Roman" w:cs="Times New Roman"/>
      <w:b/>
      <w:bCs/>
      <w:sz w:val="72"/>
      <w:szCs w:val="20"/>
    </w:rPr>
  </w:style>
  <w:style w:type="paragraph" w:styleId="882">
    <w:name w:val="HTML Preformatted"/>
    <w:basedOn w:val="845"/>
    <w:link w:val="92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83">
    <w:name w:val="Normal (Web)"/>
    <w:basedOn w:val="845"/>
    <w:uiPriority w:val="99"/>
    <w:qFormat/>
    <w:pPr>
      <w:jc w:val="left"/>
      <w:spacing w:before="100" w:beforeAutospacing="1" w:after="100" w:afterAutospacing="1"/>
      <w:widowControl/>
    </w:pPr>
    <w:rPr>
      <w:rFonts w:ascii="宋体" w:hAnsi="宋体"/>
      <w:sz w:val="24"/>
      <w:szCs w:val="24"/>
    </w:rPr>
  </w:style>
  <w:style w:type="paragraph" w:styleId="884">
    <w:name w:val="Title"/>
    <w:basedOn w:val="845"/>
    <w:link w:val="923"/>
    <w:uiPriority w:val="10"/>
    <w:qFormat/>
    <w:pPr>
      <w:jc w:val="center"/>
      <w:spacing w:line="420" w:lineRule="exact"/>
      <w:widowControl/>
    </w:pPr>
    <w:rPr>
      <w:rFonts w:ascii="Times New Roman" w:hAnsi="Times New Roman" w:eastAsia="黑体" w:cs="Times New Roman"/>
      <w:b/>
      <w:sz w:val="28"/>
      <w:szCs w:val="20"/>
      <w:lang w:val="en-GB"/>
    </w:rPr>
  </w:style>
  <w:style w:type="paragraph" w:styleId="885">
    <w:name w:val="annotation subject"/>
    <w:basedOn w:val="861"/>
    <w:next w:val="861"/>
    <w:link w:val="924"/>
    <w:uiPriority w:val="0"/>
    <w:unhideWhenUsed/>
    <w:qFormat/>
    <w:rPr>
      <w:rFonts w:ascii="Calibri" w:hAnsi="Calibri" w:cs="宋体"/>
      <w:b/>
      <w:bCs/>
      <w:szCs w:val="22"/>
    </w:rPr>
  </w:style>
  <w:style w:type="paragraph" w:styleId="886">
    <w:name w:val="Body Text First Indent"/>
    <w:basedOn w:val="864"/>
    <w:link w:val="925"/>
    <w:uiPriority w:val="0"/>
    <w:qFormat/>
    <w:pPr>
      <w:ind w:firstLine="420"/>
    </w:pPr>
    <w:rPr>
      <w:rFonts w:ascii="Times New Roman" w:hAnsi="Times New Roman" w:cs="Times New Roman"/>
      <w:sz w:val="20"/>
      <w:szCs w:val="24"/>
    </w:rPr>
  </w:style>
  <w:style w:type="paragraph" w:styleId="887">
    <w:name w:val="Body Text First Indent 2"/>
    <w:basedOn w:val="865"/>
    <w:next w:val="845"/>
    <w:link w:val="927"/>
    <w:uiPriority w:val="99"/>
    <w:qFormat/>
    <w:pPr>
      <w:ind w:firstLine="420"/>
    </w:pPr>
    <w:rPr>
      <w:rFonts w:ascii="Times New Roman" w:hAnsi="Times New Roman" w:eastAsiaTheme="minorEastAsia" w:cstheme="minorBidi"/>
      <w:szCs w:val="24"/>
    </w:rPr>
  </w:style>
  <w:style w:type="table" w:styleId="888">
    <w:name w:val="Table Grid"/>
    <w:basedOn w:val="85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9">
    <w:name w:val="Strong"/>
    <w:uiPriority w:val="0"/>
    <w:qFormat/>
    <w:rPr>
      <w:b/>
      <w:bCs/>
    </w:rPr>
  </w:style>
  <w:style w:type="character" w:styleId="890">
    <w:name w:val="page number"/>
    <w:uiPriority w:val="0"/>
    <w:qFormat/>
    <w:rPr>
      <w:rFonts w:ascii="Tahoma" w:hAnsi="Tahoma"/>
      <w:sz w:val="24"/>
      <w:szCs w:val="20"/>
    </w:rPr>
  </w:style>
  <w:style w:type="character" w:styleId="891">
    <w:name w:val="FollowedHyperlink"/>
    <w:uiPriority w:val="0"/>
    <w:qFormat/>
    <w:rPr>
      <w:color w:val="800080"/>
      <w:u w:val="single"/>
    </w:rPr>
  </w:style>
  <w:style w:type="character" w:styleId="892">
    <w:name w:val="line number"/>
    <w:uiPriority w:val="0"/>
    <w:qFormat/>
    <w:rPr>
      <w:rFonts w:ascii="Tahoma" w:hAnsi="Tahoma"/>
      <w:sz w:val="24"/>
      <w:szCs w:val="20"/>
    </w:rPr>
  </w:style>
  <w:style w:type="character" w:styleId="893">
    <w:name w:val="Hyperlink"/>
    <w:basedOn w:val="855"/>
    <w:uiPriority w:val="99"/>
    <w:qFormat/>
    <w:rPr>
      <w:color w:val="0000ff"/>
      <w:u w:val="single"/>
    </w:rPr>
  </w:style>
  <w:style w:type="character" w:styleId="894">
    <w:name w:val="annotation reference"/>
    <w:uiPriority w:val="0"/>
    <w:qFormat/>
    <w:rPr>
      <w:sz w:val="21"/>
    </w:rPr>
  </w:style>
  <w:style w:type="character" w:styleId="895">
    <w:name w:val="footnote reference"/>
    <w:uiPriority w:val="0"/>
    <w:qFormat/>
    <w:rPr>
      <w:vertAlign w:val="superscript"/>
    </w:rPr>
  </w:style>
  <w:style w:type="paragraph" w:styleId="896" w:customStyle="1">
    <w:name w:val="大标题"/>
    <w:basedOn w:val="845"/>
    <w:next w:val="845"/>
    <w:uiPriority w:val="0"/>
    <w:qFormat/>
    <w:pPr>
      <w:ind w:hanging="420"/>
      <w:pageBreakBefore/>
      <w:spacing w:line="360" w:lineRule="auto"/>
      <w:tabs>
        <w:tab w:val="left" w:pos="420" w:leader="none"/>
      </w:tabs>
      <w:outlineLvl w:val="0"/>
    </w:pPr>
    <w:rPr>
      <w:rFonts w:cs="Times New Roman"/>
      <w:b/>
      <w:iCs/>
      <w:sz w:val="44"/>
      <w:szCs w:val="24"/>
    </w:rPr>
  </w:style>
  <w:style w:type="character" w:styleId="897" w:customStyle="1">
    <w:name w:val="正文文本缩进 Char1"/>
    <w:link w:val="865"/>
    <w:uiPriority w:val="99"/>
    <w:qFormat/>
    <w:rPr>
      <w:rFonts w:ascii="宋体" w:hAnsi="Calibri" w:cs="宋体"/>
      <w:sz w:val="28"/>
      <w:szCs w:val="22"/>
    </w:rPr>
  </w:style>
  <w:style w:type="character" w:styleId="898" w:customStyle="1">
    <w:name w:val="标题 1 Char"/>
    <w:basedOn w:val="855"/>
    <w:link w:val="846"/>
    <w:uiPriority w:val="0"/>
    <w:qFormat/>
    <w:rPr>
      <w:b/>
      <w:bCs/>
      <w:sz w:val="44"/>
      <w:szCs w:val="44"/>
    </w:rPr>
  </w:style>
  <w:style w:type="character" w:styleId="899" w:customStyle="1">
    <w:name w:val="标题 2 Char"/>
    <w:basedOn w:val="855"/>
    <w:link w:val="847"/>
    <w:uiPriority w:val="99"/>
    <w:qFormat/>
    <w:rPr>
      <w:rFonts w:ascii="Arial" w:hAnsi="Arial" w:eastAsia="黑体"/>
      <w:b/>
      <w:bCs/>
      <w:sz w:val="32"/>
      <w:szCs w:val="32"/>
    </w:rPr>
  </w:style>
  <w:style w:type="character" w:styleId="900" w:customStyle="1">
    <w:name w:val="标题 3 Char"/>
    <w:basedOn w:val="855"/>
    <w:link w:val="848"/>
    <w:uiPriority w:val="0"/>
    <w:qFormat/>
    <w:rPr>
      <w:rFonts w:ascii="Calibri" w:hAnsi="Calibri" w:cs="宋体"/>
      <w:b/>
      <w:bCs/>
      <w:sz w:val="32"/>
      <w:szCs w:val="32"/>
    </w:rPr>
  </w:style>
  <w:style w:type="character" w:styleId="901" w:customStyle="1">
    <w:name w:val="标题 4 Char"/>
    <w:basedOn w:val="855"/>
    <w:link w:val="849"/>
    <w:uiPriority w:val="9"/>
    <w:qFormat/>
    <w:rPr>
      <w:rFonts w:ascii="Arial" w:hAnsi="Arial" w:eastAsia="黑体"/>
      <w:b/>
      <w:sz w:val="28"/>
    </w:rPr>
  </w:style>
  <w:style w:type="character" w:styleId="902" w:customStyle="1">
    <w:name w:val="标题 5 Char"/>
    <w:basedOn w:val="855"/>
    <w:link w:val="850"/>
    <w:uiPriority w:val="0"/>
    <w:qFormat/>
    <w:rPr>
      <w:rFonts w:ascii="Calibri" w:hAnsi="Calibri"/>
      <w:b/>
      <w:bCs/>
      <w:sz w:val="28"/>
      <w:szCs w:val="28"/>
    </w:rPr>
  </w:style>
  <w:style w:type="character" w:styleId="903" w:customStyle="1">
    <w:name w:val="标题 6 Char"/>
    <w:basedOn w:val="855"/>
    <w:link w:val="851"/>
    <w:uiPriority w:val="0"/>
    <w:qFormat/>
    <w:rPr>
      <w:rFonts w:ascii="Arial" w:hAnsi="Arial" w:eastAsia="黑体"/>
      <w:b/>
      <w:bCs/>
      <w:sz w:val="24"/>
      <w:szCs w:val="24"/>
    </w:rPr>
  </w:style>
  <w:style w:type="character" w:styleId="904" w:customStyle="1">
    <w:name w:val="标题 7 Char"/>
    <w:basedOn w:val="855"/>
    <w:link w:val="852"/>
    <w:uiPriority w:val="0"/>
    <w:qFormat/>
    <w:rPr>
      <w:rFonts w:ascii="Calibri" w:hAnsi="Calibri"/>
      <w:b/>
      <w:bCs/>
      <w:sz w:val="24"/>
      <w:szCs w:val="24"/>
    </w:rPr>
  </w:style>
  <w:style w:type="character" w:styleId="905" w:customStyle="1">
    <w:name w:val="标题 8 Char"/>
    <w:basedOn w:val="855"/>
    <w:link w:val="853"/>
    <w:uiPriority w:val="0"/>
    <w:qFormat/>
    <w:rPr>
      <w:rFonts w:ascii="Arial" w:hAnsi="Arial" w:eastAsia="黑体"/>
      <w:sz w:val="24"/>
      <w:szCs w:val="24"/>
    </w:rPr>
  </w:style>
  <w:style w:type="character" w:styleId="906" w:customStyle="1">
    <w:name w:val="标题 9 Char"/>
    <w:basedOn w:val="855"/>
    <w:link w:val="854"/>
    <w:uiPriority w:val="0"/>
    <w:qFormat/>
    <w:rPr>
      <w:rFonts w:ascii="Arial" w:hAnsi="Arial" w:eastAsia="黑体"/>
      <w:sz w:val="21"/>
      <w:szCs w:val="21"/>
    </w:rPr>
  </w:style>
  <w:style w:type="character" w:styleId="907" w:customStyle="1">
    <w:name w:val="文档结构图 Char"/>
    <w:basedOn w:val="855"/>
    <w:link w:val="860"/>
    <w:uiPriority w:val="0"/>
    <w:qFormat/>
    <w:rPr>
      <w:rFonts w:ascii="宋体" w:eastAsia="宋体"/>
      <w:sz w:val="18"/>
      <w:szCs w:val="18"/>
    </w:rPr>
  </w:style>
  <w:style w:type="character" w:styleId="908" w:customStyle="1">
    <w:name w:val="批注文字 Char"/>
    <w:basedOn w:val="855"/>
    <w:link w:val="861"/>
    <w:uiPriority w:val="99"/>
    <w:qFormat/>
    <w:rPr>
      <w:sz w:val="21"/>
    </w:rPr>
  </w:style>
  <w:style w:type="character" w:styleId="909" w:customStyle="1">
    <w:name w:val="称呼 Char"/>
    <w:link w:val="862"/>
    <w:uiPriority w:val="0"/>
    <w:qFormat/>
    <w:rPr>
      <w:rFonts w:ascii="仿宋_GB2312" w:eastAsia="仿宋_GB2312"/>
      <w:sz w:val="28"/>
    </w:rPr>
  </w:style>
  <w:style w:type="character" w:styleId="910" w:customStyle="1">
    <w:name w:val="正文文本 3 Char"/>
    <w:link w:val="863"/>
    <w:uiPriority w:val="0"/>
    <w:qFormat/>
    <w:rPr>
      <w:sz w:val="16"/>
      <w:szCs w:val="16"/>
    </w:rPr>
  </w:style>
  <w:style w:type="character" w:styleId="911" w:customStyle="1">
    <w:name w:val="正文文本 Char1"/>
    <w:basedOn w:val="855"/>
    <w:link w:val="864"/>
    <w:uiPriority w:val="99"/>
    <w:semiHidden/>
    <w:qFormat/>
    <w:rPr>
      <w:rFonts w:ascii="Calibri" w:hAnsi="Calibri" w:cs="宋体"/>
      <w:sz w:val="21"/>
      <w:szCs w:val="22"/>
    </w:rPr>
  </w:style>
  <w:style w:type="character" w:styleId="912" w:customStyle="1">
    <w:name w:val="纯文本 Char"/>
    <w:link w:val="867"/>
    <w:uiPriority w:val="0"/>
    <w:qFormat/>
    <w:rPr>
      <w:rFonts w:ascii="宋体" w:hAnsi="Courier New"/>
      <w:szCs w:val="21"/>
    </w:rPr>
  </w:style>
  <w:style w:type="character" w:styleId="913" w:customStyle="1">
    <w:name w:val="日期 Char"/>
    <w:link w:val="869"/>
    <w:uiPriority w:val="0"/>
    <w:qFormat/>
    <w:rPr>
      <w:sz w:val="28"/>
    </w:rPr>
  </w:style>
  <w:style w:type="character" w:styleId="914" w:customStyle="1">
    <w:name w:val="正文文本缩进 2 Char"/>
    <w:link w:val="870"/>
    <w:uiPriority w:val="0"/>
    <w:qFormat/>
    <w:rPr>
      <w:rFonts w:ascii="宋体" w:hAnsi="宋体"/>
      <w:sz w:val="24"/>
      <w:szCs w:val="24"/>
    </w:rPr>
  </w:style>
  <w:style w:type="character" w:styleId="915" w:customStyle="1">
    <w:name w:val="批注框文本 Char"/>
    <w:basedOn w:val="855"/>
    <w:link w:val="871"/>
    <w:uiPriority w:val="0"/>
    <w:qFormat/>
    <w:rPr>
      <w:sz w:val="18"/>
      <w:szCs w:val="18"/>
    </w:rPr>
  </w:style>
  <w:style w:type="character" w:styleId="916" w:customStyle="1">
    <w:name w:val="页脚 Char"/>
    <w:basedOn w:val="855"/>
    <w:link w:val="872"/>
    <w:uiPriority w:val="99"/>
    <w:qFormat/>
    <w:rPr>
      <w:sz w:val="18"/>
      <w:szCs w:val="18"/>
    </w:rPr>
  </w:style>
  <w:style w:type="character" w:styleId="917" w:customStyle="1">
    <w:name w:val="页眉 Char"/>
    <w:basedOn w:val="855"/>
    <w:link w:val="873"/>
    <w:uiPriority w:val="99"/>
    <w:qFormat/>
    <w:rPr>
      <w:sz w:val="18"/>
      <w:szCs w:val="18"/>
    </w:rPr>
  </w:style>
  <w:style w:type="character" w:styleId="918" w:customStyle="1">
    <w:name w:val="签名 Char"/>
    <w:link w:val="874"/>
    <w:uiPriority w:val="0"/>
    <w:qFormat/>
    <w:rPr>
      <w:rFonts w:eastAsia="仿宋_GB2312"/>
      <w:sz w:val="24"/>
    </w:rPr>
  </w:style>
  <w:style w:type="character" w:styleId="919" w:customStyle="1">
    <w:name w:val="脚注文本 Char"/>
    <w:link w:val="878"/>
    <w:uiPriority w:val="0"/>
    <w:qFormat/>
    <w:rPr>
      <w:sz w:val="18"/>
      <w:szCs w:val="18"/>
    </w:rPr>
  </w:style>
  <w:style w:type="character" w:styleId="920" w:customStyle="1">
    <w:name w:val="正文文本缩进 3 Char"/>
    <w:link w:val="879"/>
    <w:uiPriority w:val="0"/>
    <w:qFormat/>
    <w:rPr>
      <w:b/>
      <w:bCs/>
      <w:sz w:val="24"/>
    </w:rPr>
  </w:style>
  <w:style w:type="character" w:styleId="921" w:customStyle="1">
    <w:name w:val="正文文本 2 Char"/>
    <w:link w:val="881"/>
    <w:uiPriority w:val="0"/>
    <w:qFormat/>
    <w:rPr>
      <w:b/>
      <w:bCs/>
      <w:sz w:val="72"/>
    </w:rPr>
  </w:style>
  <w:style w:type="character" w:styleId="922" w:customStyle="1">
    <w:name w:val="HTML 预设格式 Char"/>
    <w:link w:val="882"/>
    <w:uiPriority w:val="0"/>
    <w:qFormat/>
    <w:rPr>
      <w:rFonts w:ascii="宋体" w:hAnsi="宋体" w:cs="宋体"/>
      <w:sz w:val="24"/>
      <w:szCs w:val="24"/>
    </w:rPr>
  </w:style>
  <w:style w:type="character" w:styleId="923" w:customStyle="1">
    <w:name w:val="标题 Char"/>
    <w:link w:val="884"/>
    <w:uiPriority w:val="10"/>
    <w:qFormat/>
    <w:rPr>
      <w:rFonts w:eastAsia="黑体"/>
      <w:b/>
      <w:sz w:val="28"/>
      <w:lang w:val="en-GB"/>
    </w:rPr>
  </w:style>
  <w:style w:type="character" w:styleId="924" w:customStyle="1">
    <w:name w:val="批注主题 Char"/>
    <w:basedOn w:val="908"/>
    <w:link w:val="885"/>
    <w:uiPriority w:val="0"/>
    <w:qFormat/>
    <w:rPr>
      <w:rFonts w:ascii="Calibri" w:hAnsi="Calibri" w:cs="宋体"/>
      <w:b/>
      <w:bCs/>
      <w:sz w:val="21"/>
      <w:szCs w:val="22"/>
    </w:rPr>
  </w:style>
  <w:style w:type="character" w:styleId="925" w:customStyle="1">
    <w:name w:val="正文首行缩进 Char"/>
    <w:basedOn w:val="926"/>
    <w:link w:val="886"/>
    <w:uiPriority w:val="0"/>
    <w:qFormat/>
    <w:rPr>
      <w:rFonts w:ascii="Times New Roman" w:hAnsi="Times New Roman" w:eastAsia="宋体" w:cs="Times New Roman"/>
      <w:szCs w:val="24"/>
    </w:rPr>
  </w:style>
  <w:style w:type="character" w:styleId="926" w:customStyle="1">
    <w:name w:val="正文文本 Char"/>
    <w:uiPriority w:val="99"/>
    <w:semiHidden/>
    <w:qFormat/>
    <w:rPr>
      <w:rFonts w:ascii="Times New Roman" w:hAnsi="Times New Roman" w:eastAsia="宋体" w:cs="Times New Roman"/>
      <w:szCs w:val="24"/>
    </w:rPr>
  </w:style>
  <w:style w:type="character" w:styleId="927" w:customStyle="1">
    <w:name w:val="正文首行缩进 2 Char"/>
    <w:basedOn w:val="897"/>
    <w:link w:val="887"/>
    <w:uiPriority w:val="99"/>
    <w:qFormat/>
    <w:rPr>
      <w:rFonts w:ascii="宋体" w:hAnsi="Calibri" w:eastAsiaTheme="minorEastAsia" w:cstheme="minorBidi"/>
      <w:sz w:val="28"/>
      <w:szCs w:val="24"/>
    </w:rPr>
  </w:style>
  <w:style w:type="character" w:styleId="928" w:customStyle="1">
    <w:name w:val="apple-converted-space"/>
    <w:uiPriority w:val="0"/>
    <w:qFormat/>
    <w:rPr>
      <w:rFonts w:cs="Times New Roman"/>
    </w:rPr>
  </w:style>
  <w:style w:type="paragraph" w:styleId="929" w:customStyle="1">
    <w:name w:val="列出段落1"/>
    <w:basedOn w:val="845"/>
    <w:uiPriority w:val="34"/>
    <w:qFormat/>
    <w:pPr>
      <w:ind w:firstLine="420"/>
    </w:pPr>
    <w:rPr>
      <w:rFonts w:cs="Times New Roman"/>
    </w:rPr>
  </w:style>
  <w:style w:type="paragraph" w:styleId="930" w:customStyle="1">
    <w:name w:val="列出段落4"/>
    <w:basedOn w:val="845"/>
    <w:uiPriority w:val="0"/>
    <w:qFormat/>
    <w:pPr>
      <w:ind w:firstLine="420"/>
    </w:pPr>
    <w:rPr>
      <w:rFonts w:cs="Times New Roman"/>
      <w:sz w:val="20"/>
      <w:szCs w:val="20"/>
    </w:rPr>
  </w:style>
  <w:style w:type="character" w:styleId="931" w:customStyle="1">
    <w:name w:val="normalfont1"/>
    <w:uiPriority w:val="0"/>
    <w:qFormat/>
    <w:rPr>
      <w:rFonts w:hint="default" w:ascii="ˎ̥" w:hAnsi="ˎ̥"/>
      <w:sz w:val="18"/>
      <w:szCs w:val="18"/>
      <w:u w:val="none"/>
    </w:rPr>
  </w:style>
  <w:style w:type="character" w:styleId="932" w:customStyle="1">
    <w:name w:val="小四 段落 宋体 Char Char Char Char1"/>
    <w:uiPriority w:val="0"/>
    <w:qFormat/>
    <w:rPr>
      <w:rFonts w:eastAsia="宋体"/>
      <w:sz w:val="24"/>
      <w:szCs w:val="24"/>
      <w:lang w:val="en-US" w:eastAsia="zh-CN" w:bidi="ar-SA"/>
    </w:rPr>
  </w:style>
  <w:style w:type="character" w:styleId="933" w:customStyle="1">
    <w:name w:val="Title1 Char"/>
    <w:uiPriority w:val="0"/>
    <w:qFormat/>
    <w:rPr>
      <w:rFonts w:eastAsia="宋体"/>
      <w:b/>
      <w:bCs/>
      <w:sz w:val="44"/>
      <w:szCs w:val="44"/>
      <w:lang w:val="en-US" w:eastAsia="zh-CN" w:bidi="ar-SA"/>
    </w:rPr>
  </w:style>
  <w:style w:type="character" w:styleId="934" w:customStyle="1">
    <w:name w:val="font31"/>
    <w:uiPriority w:val="0"/>
    <w:qFormat/>
    <w:rPr>
      <w:rFonts w:ascii="font-weight : 400" w:hAnsi="font-weight : 400" w:eastAsia="font-weight : 400" w:cs="font-weight : 400"/>
      <w:color w:val="000000"/>
      <w:sz w:val="22"/>
      <w:szCs w:val="22"/>
      <w:u w:val="none"/>
    </w:rPr>
  </w:style>
  <w:style w:type="character" w:styleId="935" w:customStyle="1">
    <w:name w:val="标准小四 Char Char"/>
    <w:uiPriority w:val="0"/>
    <w:qFormat/>
    <w:rPr>
      <w:rFonts w:ascii="Arial" w:hAnsi="Arial" w:eastAsia="宋体"/>
      <w:sz w:val="24"/>
      <w:szCs w:val="21"/>
      <w:lang w:val="en-US" w:eastAsia="zh-CN" w:bidi="ar-SA"/>
    </w:rPr>
  </w:style>
  <w:style w:type="character" w:styleId="936" w:customStyle="1">
    <w:name w:val="1page sec3 Char"/>
    <w:uiPriority w:val="0"/>
    <w:qFormat/>
    <w:rPr>
      <w:rFonts w:eastAsia="宋体"/>
      <w:sz w:val="18"/>
      <w:lang w:val="en-US" w:eastAsia="zh-CN"/>
    </w:rPr>
  </w:style>
  <w:style w:type="character" w:styleId="937" w:customStyle="1">
    <w:name w:val="华宇段落1 Char Char Char"/>
    <w:uiPriority w:val="0"/>
    <w:qFormat/>
    <w:rPr>
      <w:rFonts w:eastAsia="宋体"/>
      <w:bCs/>
      <w:sz w:val="24"/>
      <w:szCs w:val="24"/>
      <w:lang w:val="en-US" w:eastAsia="zh-CN" w:bidi="ar-SA"/>
    </w:rPr>
  </w:style>
  <w:style w:type="character" w:styleId="938" w:customStyle="1">
    <w:name w:val="小四 段落 宋体 Char Char Char Char Char Char Char Char"/>
    <w:uiPriority w:val="0"/>
    <w:qFormat/>
    <w:rPr>
      <w:rFonts w:eastAsia="宋体"/>
      <w:sz w:val="24"/>
      <w:szCs w:val="24"/>
      <w:lang w:val="en-US" w:eastAsia="zh-CN" w:bidi="ar-SA"/>
    </w:rPr>
  </w:style>
  <w:style w:type="character" w:styleId="939" w:customStyle="1">
    <w:name w:val="subtitle1"/>
    <w:uiPriority w:val="0"/>
    <w:qFormat/>
    <w:rPr>
      <w:rFonts w:hint="default" w:ascii="Georgia" w:hAnsi="Georgia"/>
      <w:b/>
      <w:bCs/>
      <w:color w:val="666666"/>
      <w:sz w:val="18"/>
      <w:szCs w:val="18"/>
    </w:rPr>
  </w:style>
  <w:style w:type="character" w:styleId="940" w:customStyle="1">
    <w:name w:val="缺省文本 Char"/>
    <w:link w:val="941"/>
    <w:uiPriority w:val="0"/>
    <w:qFormat/>
    <w:rPr>
      <w:rFonts w:ascii="Tahoma" w:hAnsi="Tahoma"/>
      <w:sz w:val="24"/>
      <w:szCs w:val="24"/>
    </w:rPr>
  </w:style>
  <w:style w:type="paragraph" w:styleId="941" w:customStyle="1">
    <w:name w:val="缺省文本"/>
    <w:basedOn w:val="845"/>
    <w:link w:val="940"/>
    <w:uiPriority w:val="0"/>
    <w:qFormat/>
    <w:pPr>
      <w:jc w:val="left"/>
    </w:pPr>
    <w:rPr>
      <w:rFonts w:ascii="Tahoma" w:hAnsi="Tahoma" w:cs="Times New Roman"/>
      <w:sz w:val="24"/>
      <w:szCs w:val="24"/>
    </w:rPr>
  </w:style>
  <w:style w:type="character" w:styleId="942" w:customStyle="1">
    <w:name w:val="style131"/>
    <w:uiPriority w:val="0"/>
    <w:qFormat/>
    <w:rPr>
      <w:rFonts w:cs="Times New Roman"/>
      <w:sz w:val="18"/>
      <w:szCs w:val="18"/>
    </w:rPr>
  </w:style>
  <w:style w:type="character" w:styleId="943" w:customStyle="1">
    <w:name w:val="font01"/>
    <w:uiPriority w:val="0"/>
    <w:qFormat/>
    <w:rPr>
      <w:rFonts w:hint="eastAsia" w:ascii="宋体" w:hAnsi="宋体" w:eastAsia="宋体" w:cs="宋体"/>
      <w:color w:val="000000"/>
      <w:sz w:val="20"/>
      <w:szCs w:val="20"/>
      <w:u w:val="none"/>
    </w:rPr>
  </w:style>
  <w:style w:type="character" w:styleId="944" w:customStyle="1">
    <w:name w:val="textcontents"/>
    <w:uiPriority w:val="0"/>
    <w:qFormat/>
    <w:rPr>
      <w:rFonts w:ascii="Tahoma" w:hAnsi="Tahoma"/>
      <w:sz w:val="24"/>
      <w:szCs w:val="20"/>
    </w:rPr>
  </w:style>
  <w:style w:type="character" w:styleId="945" w:customStyle="1">
    <w:name w:val="标准文本 Char Char"/>
    <w:uiPriority w:val="0"/>
    <w:qFormat/>
    <w:rPr>
      <w:rFonts w:eastAsia="宋体" w:cs="宋体"/>
      <w:sz w:val="24"/>
      <w:szCs w:val="24"/>
      <w:lang w:val="en-US" w:eastAsia="zh-CN" w:bidi="ar-SA"/>
    </w:rPr>
  </w:style>
  <w:style w:type="character" w:styleId="946" w:customStyle="1">
    <w:name w:val="小四 段落 宋体 Char1"/>
    <w:uiPriority w:val="0"/>
    <w:qFormat/>
    <w:rPr>
      <w:rFonts w:eastAsia="宋体"/>
      <w:sz w:val="24"/>
      <w:szCs w:val="24"/>
      <w:lang w:val="en-US" w:eastAsia="zh-CN" w:bidi="ar-SA"/>
    </w:rPr>
  </w:style>
  <w:style w:type="character" w:styleId="947" w:customStyle="1">
    <w:name w:val="标题 3 Char1"/>
    <w:uiPriority w:val="0"/>
    <w:qFormat/>
    <w:rPr>
      <w:rFonts w:eastAsia="宋体"/>
      <w:b/>
      <w:bCs/>
      <w:sz w:val="32"/>
      <w:szCs w:val="32"/>
      <w:lang w:val="en-US" w:eastAsia="zh-CN" w:bidi="ar-SA"/>
    </w:rPr>
  </w:style>
  <w:style w:type="character" w:styleId="94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49" w:customStyle="1">
    <w:name w:val="特点 Char1"/>
    <w:uiPriority w:val="0"/>
    <w:qFormat/>
    <w:rPr>
      <w:rFonts w:eastAsia="宋体"/>
      <w:sz w:val="21"/>
      <w:lang w:val="en-US" w:eastAsia="zh-CN" w:bidi="ar-SA"/>
    </w:rPr>
  </w:style>
  <w:style w:type="character" w:styleId="950" w:customStyle="1">
    <w:name w:val="小四 段落 宋体 Char Char Char1"/>
    <w:uiPriority w:val="0"/>
    <w:qFormat/>
    <w:rPr>
      <w:rFonts w:ascii="宋体" w:hAnsi="宋体" w:eastAsia="宋体"/>
      <w:sz w:val="24"/>
      <w:szCs w:val="24"/>
      <w:lang w:val="en-US" w:eastAsia="zh-CN" w:bidi="ar-SA"/>
    </w:rPr>
  </w:style>
  <w:style w:type="character" w:styleId="951" w:customStyle="1">
    <w:name w:val="content_lineheight1"/>
    <w:uiPriority w:val="0"/>
    <w:qFormat/>
    <w:rPr>
      <w:rFonts w:ascii="Tahoma" w:hAnsi="Tahoma"/>
      <w:sz w:val="24"/>
      <w:szCs w:val="20"/>
    </w:rPr>
  </w:style>
  <w:style w:type="character" w:styleId="952" w:customStyle="1">
    <w:name w:val="font11"/>
    <w:uiPriority w:val="0"/>
    <w:qFormat/>
    <w:rPr>
      <w:rFonts w:hint="eastAsia" w:ascii="宋体" w:hAnsi="宋体" w:eastAsia="宋体" w:cs="宋体"/>
      <w:color w:val="000000"/>
      <w:sz w:val="22"/>
      <w:szCs w:val="22"/>
      <w:u w:val="none"/>
    </w:rPr>
  </w:style>
  <w:style w:type="character" w:styleId="953" w:customStyle="1">
    <w:name w:val="样式 宋体 小四"/>
    <w:uiPriority w:val="0"/>
    <w:qFormat/>
    <w:rPr>
      <w:rFonts w:ascii="宋体" w:hAnsi="宋体"/>
      <w:sz w:val="24"/>
    </w:rPr>
  </w:style>
  <w:style w:type="character" w:styleId="954" w:customStyle="1">
    <w:name w:val="标题 3 Char Char"/>
    <w:uiPriority w:val="0"/>
    <w:qFormat/>
    <w:rPr>
      <w:rFonts w:eastAsia="仿宋_GB2312"/>
      <w:b/>
      <w:bCs/>
      <w:sz w:val="28"/>
      <w:szCs w:val="32"/>
      <w:lang w:val="en-US" w:eastAsia="zh-CN" w:bidi="ar-SA"/>
    </w:rPr>
  </w:style>
  <w:style w:type="character" w:styleId="955" w:customStyle="1">
    <w:name w:val="2nd level Char"/>
    <w:uiPriority w:val="0"/>
    <w:qFormat/>
    <w:rPr>
      <w:rFonts w:ascii="Arial" w:hAnsi="Arial" w:eastAsia="黑体"/>
      <w:b/>
      <w:bCs/>
      <w:sz w:val="32"/>
      <w:szCs w:val="32"/>
      <w:lang w:val="en-US" w:eastAsia="zh-CN" w:bidi="ar-SA"/>
    </w:rPr>
  </w:style>
  <w:style w:type="character" w:styleId="956" w:customStyle="1">
    <w:name w:val="ih151"/>
    <w:uiPriority w:val="0"/>
    <w:qFormat/>
    <w:rPr>
      <w:color w:val="666666"/>
      <w:sz w:val="18"/>
      <w:szCs w:val="18"/>
      <w:u w:val="none"/>
    </w:rPr>
  </w:style>
  <w:style w:type="character" w:styleId="957" w:customStyle="1">
    <w:name w:val="正文 + 宋体 Char"/>
    <w:uiPriority w:val="0"/>
    <w:qFormat/>
    <w:rPr>
      <w:rFonts w:eastAsia="宋体"/>
      <w:sz w:val="21"/>
      <w:szCs w:val="24"/>
      <w:lang w:val="en-US" w:eastAsia="zh-CN" w:bidi="ar-SA"/>
    </w:rPr>
  </w:style>
  <w:style w:type="character" w:styleId="958" w:customStyle="1">
    <w:name w:val="3zw"/>
    <w:uiPriority w:val="0"/>
    <w:qFormat/>
    <w:rPr>
      <w:rFonts w:ascii="Tahoma" w:hAnsi="Tahoma"/>
      <w:sz w:val="24"/>
      <w:szCs w:val="20"/>
    </w:rPr>
  </w:style>
  <w:style w:type="character" w:styleId="959" w:customStyle="1">
    <w:name w:val="纯文本 Char1"/>
    <w:uiPriority w:val="99"/>
    <w:semiHidden/>
    <w:qFormat/>
    <w:rPr>
      <w:rFonts w:ascii="宋体" w:hAnsi="Courier New" w:eastAsia="宋体" w:cs="Courier New"/>
      <w:szCs w:val="21"/>
    </w:rPr>
  </w:style>
  <w:style w:type="paragraph" w:styleId="960" w:customStyle="1">
    <w:name w:val="部分1"/>
    <w:basedOn w:val="845"/>
    <w:uiPriority w:val="0"/>
    <w:qFormat/>
    <w:pPr>
      <w:jc w:val="center"/>
      <w:keepNext/>
      <w:pageBreakBefore/>
      <w:spacing w:line="360" w:lineRule="auto"/>
      <w:tabs>
        <w:tab w:val="left" w:pos="360" w:leader="none"/>
      </w:tabs>
      <w:outlineLvl w:val="0"/>
    </w:pPr>
    <w:rPr>
      <w:rFonts w:eastAsia="黑体" w:cs="Times New Roman"/>
      <w:b/>
      <w:sz w:val="36"/>
      <w:szCs w:val="20"/>
    </w:rPr>
  </w:style>
  <w:style w:type="paragraph" w:styleId="961" w:customStyle="1">
    <w:name w:val="默认段落字体 Para Char"/>
    <w:basedOn w:val="845"/>
    <w:uiPriority w:val="0"/>
    <w:qFormat/>
    <w:pPr>
      <w:spacing w:line="360" w:lineRule="auto"/>
    </w:pPr>
    <w:rPr>
      <w:rFonts w:cs="Times New Roman"/>
      <w:sz w:val="24"/>
      <w:szCs w:val="24"/>
    </w:rPr>
  </w:style>
  <w:style w:type="paragraph" w:styleId="962" w:customStyle="1">
    <w:name w:val="默认段落字体 Para Char Char Char Char Char Char Char"/>
    <w:basedOn w:val="845"/>
    <w:uiPriority w:val="0"/>
    <w:qFormat/>
    <w:rPr>
      <w:rFonts w:ascii="Tahoma" w:hAnsi="Tahoma" w:cs="Times New Roman"/>
      <w:sz w:val="24"/>
      <w:szCs w:val="20"/>
    </w:rPr>
  </w:style>
  <w:style w:type="paragraph" w:styleId="963" w:customStyle="1">
    <w:name w:val="正文格式"/>
    <w:basedOn w:val="845"/>
    <w:uiPriority w:val="0"/>
    <w:qFormat/>
    <w:pPr>
      <w:ind w:left="178" w:right="44" w:hanging="178"/>
      <w:jc w:val="left"/>
      <w:spacing w:line="360" w:lineRule="auto"/>
      <w:widowControl/>
    </w:pPr>
    <w:rPr>
      <w:rFonts w:ascii="宋体" w:hAnsi="宋体" w:cs="Times New Roman"/>
      <w:bCs/>
      <w:szCs w:val="21"/>
    </w:rPr>
  </w:style>
  <w:style w:type="paragraph" w:styleId="964" w:customStyle="1">
    <w:name w:val="Char1"/>
    <w:basedOn w:val="845"/>
    <w:uiPriority w:val="0"/>
    <w:qFormat/>
    <w:rPr>
      <w:rFonts w:ascii="仿宋_GB2312" w:eastAsia="仿宋_GB2312" w:cs="Times New Roman"/>
      <w:b/>
      <w:sz w:val="32"/>
      <w:szCs w:val="32"/>
    </w:rPr>
  </w:style>
  <w:style w:type="paragraph" w:styleId="965" w:customStyle="1">
    <w:name w:val="正文lzq"/>
    <w:basedOn w:val="845"/>
    <w:uiPriority w:val="0"/>
    <w:qFormat/>
    <w:pPr>
      <w:ind w:firstLine="480"/>
      <w:spacing w:line="360" w:lineRule="auto"/>
    </w:pPr>
    <w:rPr>
      <w:rFonts w:cs="Times New Roman"/>
      <w:sz w:val="24"/>
      <w:szCs w:val="20"/>
    </w:rPr>
  </w:style>
  <w:style w:type="paragraph" w:styleId="966" w:customStyle="1">
    <w:name w:val="方案正文"/>
    <w:basedOn w:val="845"/>
    <w:uiPriority w:val="0"/>
    <w:qFormat/>
    <w:pPr>
      <w:ind w:firstLine="359"/>
      <w:jc w:val="left"/>
      <w:spacing w:before="156" w:line="360" w:lineRule="auto"/>
    </w:pPr>
    <w:rPr>
      <w:rFonts w:ascii="Arial" w:hAnsi="Arial"/>
      <w:sz w:val="24"/>
      <w:szCs w:val="21"/>
    </w:rPr>
  </w:style>
  <w:style w:type="paragraph" w:styleId="967" w:customStyle="1">
    <w:name w:val="tableau"/>
    <w:basedOn w:val="845"/>
    <w:uiPriority w:val="0"/>
    <w:qFormat/>
    <w:pPr>
      <w:jc w:val="center"/>
      <w:spacing w:before="20" w:after="20"/>
      <w:widowControl/>
    </w:pPr>
    <w:rPr>
      <w:rFonts w:ascii="Arial" w:hAnsi="Arial" w:cs="Times New Roman"/>
      <w:sz w:val="16"/>
      <w:szCs w:val="20"/>
      <w:lang w:val="en-GB" w:eastAsia="en-US"/>
    </w:rPr>
  </w:style>
  <w:style w:type="paragraph" w:styleId="968" w:customStyle="1">
    <w:name w:val="公文正文"/>
    <w:basedOn w:val="865"/>
    <w:uiPriority w:val="0"/>
    <w:qFormat/>
    <w:pPr>
      <w:ind w:firstLine="200"/>
      <w:spacing w:line="240" w:lineRule="auto"/>
    </w:pPr>
    <w:rPr>
      <w:rFonts w:ascii="仿宋_GB2312" w:hAnsi="宋体" w:eastAsia="仿宋_GB2312" w:cs="Times New Roman"/>
      <w:szCs w:val="24"/>
    </w:rPr>
  </w:style>
  <w:style w:type="paragraph" w:styleId="969" w:customStyle="1">
    <w:name w:val="正文--表格内正文"/>
    <w:basedOn w:val="845"/>
    <w:uiPriority w:val="0"/>
    <w:qFormat/>
    <w:pPr>
      <w:jc w:val="center"/>
      <w:spacing w:line="0" w:lineRule="atLeast"/>
    </w:pPr>
    <w:rPr>
      <w:rFonts w:ascii="宋体" w:hAnsi="宋体" w:cs="Times New Roman"/>
      <w:color w:val="000000"/>
      <w:sz w:val="24"/>
      <w:szCs w:val="24"/>
    </w:rPr>
  </w:style>
  <w:style w:type="paragraph" w:styleId="970" w:customStyle="1">
    <w:name w:val="样式 标题 2第一章 标题 2Heading 2 HiddenHeading 2 CCBSheading 2H2h2..."/>
    <w:basedOn w:val="847"/>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971" w:customStyle="1">
    <w:name w:val="丁华正文"/>
    <w:basedOn w:val="879"/>
    <w:uiPriority w:val="0"/>
    <w:qFormat/>
    <w:pPr>
      <w:ind w:left="0" w:firstLine="510"/>
      <w:spacing w:before="0" w:after="0" w:line="360" w:lineRule="auto"/>
    </w:pPr>
    <w:rPr>
      <w:rFonts w:ascii="宋体" w:hAnsi="Arial"/>
      <w:bCs w:val="0"/>
      <w:color w:val="000000"/>
      <w:szCs w:val="16"/>
    </w:rPr>
  </w:style>
  <w:style w:type="character" w:styleId="972" w:customStyle="1">
    <w:name w:val="脚注文本 Char1"/>
    <w:basedOn w:val="855"/>
    <w:uiPriority w:val="99"/>
    <w:semiHidden/>
    <w:qFormat/>
    <w:rPr>
      <w:rFonts w:ascii="Calibri" w:hAnsi="Calibri" w:cs="宋体"/>
      <w:sz w:val="18"/>
      <w:szCs w:val="18"/>
    </w:rPr>
  </w:style>
  <w:style w:type="character" w:styleId="973" w:customStyle="1">
    <w:name w:val="正文首行缩进 Char1"/>
    <w:basedOn w:val="911"/>
    <w:uiPriority w:val="99"/>
    <w:semiHidden/>
    <w:qFormat/>
    <w:rPr>
      <w:rFonts w:ascii="Calibri" w:hAnsi="Calibri" w:cs="宋体"/>
      <w:sz w:val="21"/>
      <w:szCs w:val="22"/>
    </w:rPr>
  </w:style>
  <w:style w:type="paragraph" w:styleId="974" w:customStyle="1">
    <w:name w:val="小四 段落 宋体 Char"/>
    <w:basedOn w:val="858"/>
    <w:uiPriority w:val="0"/>
    <w:qFormat/>
    <w:pPr>
      <w:ind w:left="0" w:right="-33" w:firstLine="600"/>
      <w:jc w:val="left"/>
      <w:tabs>
        <w:tab w:val="clear" w:pos="2952" w:leader="none"/>
      </w:tabs>
    </w:pPr>
    <w:rPr>
      <w:rFonts w:ascii="仿宋_GB2312" w:eastAsia="仿宋_GB2312"/>
      <w:sz w:val="30"/>
      <w:szCs w:val="30"/>
    </w:rPr>
  </w:style>
  <w:style w:type="paragraph" w:styleId="975" w:customStyle="1">
    <w:name w:val="样式 小四 段前: 5 磅 段后: 5 磅 首行缩进:  2 字符"/>
    <w:basedOn w:val="845"/>
    <w:uiPriority w:val="0"/>
    <w:qFormat/>
    <w:pPr>
      <w:spacing w:line="360" w:lineRule="auto"/>
    </w:pPr>
    <w:rPr>
      <w:rFonts w:ascii="宋体" w:hAnsi="宋体" w:cs="Times New Roman"/>
      <w:szCs w:val="21"/>
    </w:rPr>
  </w:style>
  <w:style w:type="character" w:styleId="976" w:customStyle="1">
    <w:name w:val="称呼 Char1"/>
    <w:basedOn w:val="855"/>
    <w:uiPriority w:val="99"/>
    <w:semiHidden/>
    <w:qFormat/>
    <w:rPr>
      <w:rFonts w:ascii="Calibri" w:hAnsi="Calibri" w:cs="宋体"/>
      <w:sz w:val="21"/>
      <w:szCs w:val="22"/>
    </w:rPr>
  </w:style>
  <w:style w:type="paragraph" w:styleId="977" w:customStyle="1">
    <w:name w:val="样式 标题 2节标题 1.11.1标题2b2标题 2 Char Char + 黑体 小三 段前: 6 磅 段后: ..."/>
    <w:basedOn w:val="847"/>
    <w:uiPriority w:val="99"/>
    <w:qFormat/>
    <w:pPr>
      <w:spacing w:before="120" w:after="120" w:line="360" w:lineRule="auto"/>
    </w:pPr>
    <w:rPr>
      <w:rFonts w:ascii="黑体" w:hAnsi="宋体" w:cs="宋体"/>
      <w:sz w:val="30"/>
      <w:szCs w:val="20"/>
    </w:rPr>
  </w:style>
  <w:style w:type="paragraph" w:styleId="978" w:customStyle="1">
    <w:name w:val="二级条标题"/>
    <w:basedOn w:val="845"/>
    <w:next w:val="979"/>
    <w:uiPriority w:val="0"/>
    <w:qFormat/>
    <w:pPr>
      <w:ind w:hanging="420"/>
      <w:widowControl/>
      <w:tabs>
        <w:tab w:val="left" w:pos="2240" w:leader="none"/>
      </w:tabs>
      <w:outlineLvl w:val="3"/>
    </w:pPr>
    <w:rPr>
      <w:rFonts w:eastAsia="黑体" w:cs="Times New Roman"/>
      <w:szCs w:val="20"/>
    </w:rPr>
  </w:style>
  <w:style w:type="paragraph" w:styleId="979" w:customStyle="1">
    <w:name w:val="段"/>
    <w:uiPriority w:val="0"/>
    <w:qFormat/>
    <w:pPr>
      <w:ind w:firstLine="200"/>
      <w:jc w:val="both"/>
    </w:pPr>
    <w:rPr>
      <w:rFonts w:ascii="宋体" w:hAnsi="Calibri" w:eastAsia="宋体" w:cs="Times New Roman"/>
      <w:sz w:val="21"/>
      <w:lang w:val="en-US" w:eastAsia="zh-CN" w:bidi="ar-SA"/>
    </w:rPr>
  </w:style>
  <w:style w:type="paragraph" w:styleId="980" w:customStyle="1">
    <w:name w:val="Char Char Char Char Char Char Char Char Char Char Char Char Char Char Char Char Char Char Char Char Char Char Char"/>
    <w:basedOn w:val="845"/>
    <w:uiPriority w:val="0"/>
    <w:qFormat/>
    <w:rPr>
      <w:rFonts w:ascii="Tahoma" w:hAnsi="Tahoma" w:cs="Times New Roman"/>
      <w:sz w:val="24"/>
      <w:szCs w:val="20"/>
    </w:rPr>
  </w:style>
  <w:style w:type="paragraph" w:styleId="981" w:customStyle="1">
    <w:name w:val="样式 样式 首行缩进:  2 字符 + 行距: 1.5 倍行距"/>
    <w:basedOn w:val="845"/>
    <w:uiPriority w:val="0"/>
    <w:qFormat/>
    <w:pPr>
      <w:ind w:firstLine="470"/>
      <w:spacing w:line="360" w:lineRule="auto"/>
    </w:pPr>
    <w:rPr>
      <w:rFonts w:cs="Times New Roman"/>
      <w:sz w:val="24"/>
      <w:szCs w:val="20"/>
    </w:rPr>
  </w:style>
  <w:style w:type="paragraph" w:styleId="982" w:customStyle="1">
    <w:name w:val="丁华标题2"/>
    <w:basedOn w:val="847"/>
    <w:next w:val="971"/>
    <w:uiPriority w:val="0"/>
    <w:qFormat/>
    <w:pPr>
      <w:ind w:left="567" w:hanging="567"/>
      <w:jc w:val="left"/>
      <w:spacing w:before="120" w:after="120"/>
      <w:tabs>
        <w:tab w:val="left" w:pos="567" w:leader="none"/>
      </w:tabs>
    </w:pPr>
    <w:rPr>
      <w:color w:val="000000"/>
      <w:sz w:val="28"/>
      <w:szCs w:val="20"/>
    </w:rPr>
  </w:style>
  <w:style w:type="paragraph" w:styleId="983" w:customStyle="1">
    <w:name w:val="标题 4宋体"/>
    <w:basedOn w:val="849"/>
    <w:uiPriority w:val="0"/>
    <w:qFormat/>
    <w:pPr>
      <w:jc w:val="left"/>
      <w:keepLines w:val="0"/>
      <w:spacing w:before="0" w:after="0" w:line="360" w:lineRule="auto"/>
    </w:pPr>
    <w:rPr>
      <w:rFonts w:ascii="宋体" w:hAnsi="宋体" w:eastAsia="宋体"/>
      <w:bCs/>
      <w:color w:val="000000"/>
      <w:sz w:val="24"/>
    </w:rPr>
  </w:style>
  <w:style w:type="paragraph" w:styleId="984" w:customStyle="1">
    <w:name w:val="7"/>
    <w:basedOn w:val="845"/>
    <w:next w:val="883"/>
    <w:uiPriority w:val="0"/>
    <w:qFormat/>
    <w:pPr>
      <w:jc w:val="left"/>
      <w:spacing w:before="100" w:beforeAutospacing="1" w:after="100" w:afterAutospacing="1"/>
      <w:widowControl/>
    </w:pPr>
    <w:rPr>
      <w:rFonts w:ascii="宋体" w:hAnsi="宋体" w:cs="Times New Roman"/>
      <w:sz w:val="24"/>
      <w:szCs w:val="20"/>
    </w:rPr>
  </w:style>
  <w:style w:type="paragraph" w:styleId="985" w:customStyle="1">
    <w:name w:val="段落"/>
    <w:uiPriority w:val="0"/>
    <w:qFormat/>
    <w:pPr>
      <w:ind w:firstLine="480"/>
      <w:jc w:val="both"/>
      <w:spacing w:before="120" w:after="120" w:line="360" w:lineRule="auto"/>
    </w:pPr>
    <w:rPr>
      <w:rFonts w:ascii="Calibri" w:hAnsi="Calibri" w:eastAsia="仿宋_GB2312" w:cs="Times New Roman"/>
      <w:sz w:val="24"/>
      <w:szCs w:val="24"/>
      <w:lang w:val="en-US" w:eastAsia="zh-CN" w:bidi="ar-SA"/>
    </w:rPr>
  </w:style>
  <w:style w:type="paragraph" w:styleId="986" w:customStyle="1">
    <w:name w:val="样式 加点正文 + 段前: 0.5 行 段后: 0.5 行1"/>
    <w:basedOn w:val="845"/>
    <w:uiPriority w:val="0"/>
    <w:qFormat/>
    <w:pPr>
      <w:numPr>
        <w:ilvl w:val="0"/>
        <w:numId w:val="1"/>
      </w:numPr>
      <w:ind w:left="1268"/>
      <w:spacing w:line="300" w:lineRule="auto"/>
      <w:tabs>
        <w:tab w:val="left" w:pos="1268" w:leader="none"/>
      </w:tabs>
    </w:pPr>
    <w:rPr>
      <w:rFonts w:cs="Times New Roman"/>
      <w:sz w:val="24"/>
      <w:szCs w:val="20"/>
    </w:rPr>
  </w:style>
  <w:style w:type="paragraph" w:styleId="987" w:customStyle="1">
    <w:name w:val="content_lineheight"/>
    <w:basedOn w:val="845"/>
    <w:uiPriority w:val="0"/>
    <w:qFormat/>
    <w:pPr>
      <w:jc w:val="left"/>
      <w:spacing w:before="100" w:beforeAutospacing="1" w:after="100" w:afterAutospacing="1"/>
      <w:widowControl/>
    </w:pPr>
    <w:rPr>
      <w:rFonts w:ascii="宋体" w:hAnsi="宋体" w:cs="Times New Roman"/>
      <w:sz w:val="24"/>
      <w:szCs w:val="24"/>
    </w:rPr>
  </w:style>
  <w:style w:type="paragraph" w:styleId="988" w:customStyle="1">
    <w:name w:val="样式"/>
    <w:basedOn w:val="845"/>
    <w:uiPriority w:val="0"/>
    <w:qFormat/>
    <w:pPr>
      <w:spacing w:before="120" w:after="120" w:line="360" w:lineRule="auto"/>
    </w:pPr>
    <w:rPr>
      <w:rFonts w:ascii="宋体" w:cs="Times New Roman"/>
      <w:sz w:val="24"/>
      <w:szCs w:val="20"/>
    </w:rPr>
  </w:style>
  <w:style w:type="character" w:styleId="989" w:customStyle="1">
    <w:name w:val="正文文本缩进 2 Char1"/>
    <w:basedOn w:val="855"/>
    <w:uiPriority w:val="99"/>
    <w:semiHidden/>
    <w:qFormat/>
    <w:rPr>
      <w:rFonts w:ascii="Calibri" w:hAnsi="Calibri" w:cs="宋体"/>
      <w:sz w:val="21"/>
      <w:szCs w:val="22"/>
    </w:rPr>
  </w:style>
  <w:style w:type="paragraph" w:styleId="990" w:customStyle="1">
    <w:name w:val="小四 段落 宋体 Char Char Char"/>
    <w:basedOn w:val="858"/>
    <w:uiPriority w:val="0"/>
    <w:qFormat/>
    <w:pPr>
      <w:ind w:left="0" w:right="-33" w:firstLine="545"/>
      <w:jc w:val="left"/>
      <w:spacing w:line="360" w:lineRule="auto"/>
      <w:tabs>
        <w:tab w:val="clear" w:pos="2952" w:leader="none"/>
      </w:tabs>
    </w:pPr>
    <w:rPr>
      <w:sz w:val="24"/>
    </w:rPr>
  </w:style>
  <w:style w:type="paragraph" w:styleId="991" w:customStyle="1">
    <w:name w:val="正文 New New New New New"/>
    <w:uiPriority w:val="0"/>
    <w:qFormat/>
    <w:pPr>
      <w:jc w:val="both"/>
      <w:widowControl w:val="off"/>
    </w:pPr>
    <w:rPr>
      <w:rFonts w:ascii="Calibri" w:hAnsi="Calibri" w:eastAsia="宋体" w:cs="Times New Roman"/>
      <w:sz w:val="21"/>
      <w:szCs w:val="24"/>
      <w:lang w:val="en-US" w:eastAsia="zh-CN" w:bidi="ar-SA"/>
    </w:rPr>
  </w:style>
  <w:style w:type="character" w:styleId="992" w:customStyle="1">
    <w:name w:val="标题 Char1"/>
    <w:basedOn w:val="855"/>
    <w:uiPriority w:val="10"/>
    <w:qFormat/>
    <w:rPr>
      <w:rFonts w:asciiTheme="majorHAnsi" w:hAnsiTheme="majorHAnsi" w:cstheme="majorBidi"/>
      <w:b/>
      <w:bCs/>
      <w:sz w:val="32"/>
      <w:szCs w:val="32"/>
    </w:rPr>
  </w:style>
  <w:style w:type="paragraph" w:styleId="993" w:customStyle="1">
    <w:name w:val="Char Char Char Char Char Char Char Char Char Char Char1 Char Char Char1"/>
    <w:basedOn w:val="845"/>
    <w:uiPriority w:val="0"/>
    <w:qFormat/>
    <w:pPr>
      <w:ind w:firstLine="200"/>
      <w:jc w:val="left"/>
    </w:pPr>
    <w:rPr>
      <w:rFonts w:ascii="Tahoma" w:hAnsi="Tahoma" w:cs="Times New Roman"/>
      <w:sz w:val="24"/>
      <w:szCs w:val="24"/>
    </w:rPr>
  </w:style>
  <w:style w:type="paragraph" w:styleId="994" w:customStyle="1">
    <w:name w:val="a"/>
    <w:basedOn w:val="845"/>
    <w:uiPriority w:val="0"/>
    <w:qFormat/>
    <w:pPr>
      <w:spacing w:before="100" w:beforeAutospacing="1" w:after="100" w:afterAutospacing="1"/>
      <w:widowControl/>
    </w:pPr>
    <w:rPr>
      <w:rFonts w:ascii="宋体" w:hAnsi="宋体"/>
      <w:sz w:val="24"/>
      <w:szCs w:val="24"/>
    </w:rPr>
  </w:style>
  <w:style w:type="paragraph" w:styleId="995" w:customStyle="1">
    <w:name w:val="Char Char1 Char"/>
    <w:basedOn w:val="845"/>
    <w:uiPriority w:val="0"/>
    <w:qFormat/>
    <w:pPr>
      <w:jc w:val="left"/>
      <w:spacing w:after="160" w:line="240" w:lineRule="exact"/>
      <w:widowControl/>
    </w:pPr>
    <w:rPr>
      <w:rFonts w:ascii="Verdana" w:hAnsi="Verdana" w:cs="Times New Roman"/>
      <w:sz w:val="20"/>
      <w:szCs w:val="20"/>
      <w:lang w:eastAsia="en-US"/>
    </w:rPr>
  </w:style>
  <w:style w:type="paragraph" w:styleId="996" w:customStyle="1">
    <w:name w:val="标题1，章节第一层"/>
    <w:basedOn w:val="963"/>
    <w:next w:val="963"/>
    <w:uiPriority w:val="0"/>
    <w:qFormat/>
    <w:pPr>
      <w:ind w:left="482"/>
      <w:tabs>
        <w:tab w:val="left" w:pos="693" w:leader="none"/>
      </w:tabs>
      <w:outlineLvl w:val="0"/>
    </w:pPr>
    <w:rPr>
      <w:color w:val="000000"/>
      <w:sz w:val="24"/>
      <w:szCs w:val="24"/>
    </w:rPr>
  </w:style>
  <w:style w:type="paragraph" w:styleId="997" w:customStyle="1">
    <w:name w:val="符号与编号 Char Char"/>
    <w:basedOn w:val="845"/>
    <w:uiPriority w:val="0"/>
    <w:qFormat/>
    <w:pPr>
      <w:ind w:left="839" w:hanging="419"/>
      <w:spacing w:line="400" w:lineRule="atLeast"/>
      <w:tabs>
        <w:tab w:val="left" w:pos="840" w:leader="none"/>
      </w:tabs>
    </w:pPr>
    <w:rPr>
      <w:rFonts w:cs="Times New Roman"/>
      <w:sz w:val="24"/>
      <w:szCs w:val="24"/>
    </w:rPr>
  </w:style>
  <w:style w:type="paragraph" w:styleId="998" w:customStyle="1">
    <w:name w:val="符号与编号"/>
    <w:basedOn w:val="845"/>
    <w:uiPriority w:val="0"/>
    <w:qFormat/>
    <w:pPr>
      <w:ind w:left="900" w:hanging="420"/>
      <w:spacing w:line="400" w:lineRule="atLeast"/>
      <w:tabs>
        <w:tab w:val="left" w:pos="900" w:leader="none"/>
      </w:tabs>
    </w:pPr>
    <w:rPr>
      <w:rFonts w:cs="Times New Roman"/>
      <w:sz w:val="24"/>
      <w:szCs w:val="24"/>
    </w:rPr>
  </w:style>
  <w:style w:type="paragraph" w:styleId="999" w:customStyle="1">
    <w:name w:val="flName"/>
    <w:basedOn w:val="1000"/>
    <w:uiPriority w:val="0"/>
    <w:qFormat/>
    <w:pPr>
      <w:spacing w:before="0" w:line="113" w:lineRule="atLeast"/>
    </w:pPr>
  </w:style>
  <w:style w:type="paragraph" w:styleId="1000" w:customStyle="1">
    <w:name w:val="flNote"/>
    <w:basedOn w:val="845"/>
    <w:uiPriority w:val="0"/>
    <w:qFormat/>
    <w:pPr>
      <w:jc w:val="center"/>
      <w:spacing w:before="567" w:line="360" w:lineRule="atLeast"/>
    </w:pPr>
    <w:rPr>
      <w:rFonts w:eastAsia="黑体" w:cs="Times New Roman"/>
      <w:b/>
      <w:sz w:val="24"/>
      <w:szCs w:val="20"/>
    </w:rPr>
  </w:style>
  <w:style w:type="paragraph" w:styleId="1001" w:customStyle="1">
    <w:name w:val="马刚标题3"/>
    <w:basedOn w:val="845"/>
    <w:next w:val="845"/>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rPr>
  </w:style>
  <w:style w:type="paragraph" w:styleId="1002" w:customStyle="1">
    <w:name w:val="Char Char Char Char Char Char Char Char Char Char Char Char Char Char Char Char Char Char Char Char Char"/>
    <w:basedOn w:val="845"/>
    <w:uiPriority w:val="0"/>
    <w:qFormat/>
    <w:rPr>
      <w:rFonts w:ascii="Tahoma" w:hAnsi="Tahoma" w:cs="Times New Roman"/>
      <w:sz w:val="24"/>
      <w:szCs w:val="20"/>
    </w:rPr>
  </w:style>
  <w:style w:type="paragraph" w:styleId="1003" w:customStyle="1">
    <w:name w:val="样式3"/>
    <w:basedOn w:val="845"/>
    <w:next w:val="845"/>
    <w:uiPriority w:val="0"/>
    <w:qFormat/>
    <w:pPr>
      <w:spacing w:line="360" w:lineRule="auto"/>
    </w:pPr>
    <w:rPr>
      <w:rFonts w:cs="Times New Roman"/>
      <w:szCs w:val="20"/>
    </w:rPr>
  </w:style>
  <w:style w:type="paragraph" w:styleId="1004" w:customStyle="1">
    <w:name w:val="公文标题 2"/>
    <w:basedOn w:val="845"/>
    <w:next w:val="968"/>
    <w:uiPriority w:val="0"/>
    <w:qFormat/>
    <w:pPr>
      <w:outlineLvl w:val="1"/>
    </w:pPr>
    <w:rPr>
      <w:rFonts w:ascii="仿宋_GB2312" w:hAnsi="宋体" w:eastAsia="仿宋_GB2312" w:cs="Times New Roman"/>
      <w:sz w:val="28"/>
      <w:szCs w:val="24"/>
    </w:rPr>
  </w:style>
  <w:style w:type="paragraph" w:styleId="1005" w:customStyle="1">
    <w:name w:val="表格内容"/>
    <w:basedOn w:val="845"/>
    <w:uiPriority w:val="0"/>
    <w:qFormat/>
    <w:pPr>
      <w:jc w:val="center"/>
      <w:spacing w:before="60" w:line="300" w:lineRule="auto"/>
      <w:widowControl/>
    </w:pPr>
    <w:rPr>
      <w:rFonts w:cs="Times New Roman"/>
      <w:szCs w:val="20"/>
    </w:rPr>
  </w:style>
  <w:style w:type="paragraph" w:styleId="1006" w:customStyle="1">
    <w:name w:val="插图"/>
    <w:basedOn w:val="845"/>
    <w:uiPriority w:val="0"/>
    <w:qFormat/>
    <w:pPr>
      <w:jc w:val="center"/>
      <w:tabs>
        <w:tab w:val="left" w:pos="1620" w:leader="none"/>
      </w:tabs>
    </w:pPr>
    <w:rPr>
      <w:rFonts w:cs="Times New Roman"/>
      <w:bCs/>
      <w:color w:val="000000"/>
    </w:rPr>
  </w:style>
  <w:style w:type="character" w:styleId="1007" w:customStyle="1">
    <w:name w:val="签名 Char1"/>
    <w:basedOn w:val="855"/>
    <w:uiPriority w:val="99"/>
    <w:semiHidden/>
    <w:qFormat/>
    <w:rPr>
      <w:rFonts w:ascii="Calibri" w:hAnsi="Calibri" w:cs="宋体"/>
      <w:sz w:val="21"/>
      <w:szCs w:val="22"/>
    </w:rPr>
  </w:style>
  <w:style w:type="paragraph" w:styleId="1008" w:customStyle="1">
    <w:name w:val="小四 段落 宋体"/>
    <w:basedOn w:val="858"/>
    <w:uiPriority w:val="0"/>
    <w:qFormat/>
    <w:pPr>
      <w:ind w:left="113" w:right="113" w:firstLine="425"/>
      <w:jc w:val="left"/>
      <w:spacing w:line="360" w:lineRule="auto"/>
      <w:tabs>
        <w:tab w:val="clear" w:pos="2952" w:leader="none"/>
      </w:tabs>
    </w:pPr>
    <w:rPr>
      <w:sz w:val="24"/>
    </w:rPr>
  </w:style>
  <w:style w:type="paragraph" w:styleId="1009" w:customStyle="1">
    <w:name w:val="正文 + 宋体"/>
    <w:basedOn w:val="845"/>
    <w:uiPriority w:val="0"/>
    <w:qFormat/>
    <w:pPr>
      <w:ind w:firstLine="420"/>
      <w:spacing w:line="360" w:lineRule="auto"/>
    </w:pPr>
    <w:rPr>
      <w:rFonts w:cs="Times New Roman"/>
      <w:szCs w:val="24"/>
    </w:rPr>
  </w:style>
  <w:style w:type="paragraph" w:styleId="1010" w:customStyle="1">
    <w:name w:val="正文 首行缩进:  2 字符 Char"/>
    <w:basedOn w:val="845"/>
    <w:uiPriority w:val="0"/>
    <w:qFormat/>
    <w:pPr>
      <w:ind w:firstLine="480"/>
      <w:spacing w:line="360" w:lineRule="auto"/>
    </w:pPr>
    <w:rPr>
      <w:sz w:val="24"/>
      <w:szCs w:val="20"/>
    </w:rPr>
  </w:style>
  <w:style w:type="paragraph" w:styleId="1011" w:customStyle="1">
    <w:name w:val="标题5，章节第五层"/>
    <w:basedOn w:val="845"/>
    <w:next w:val="845"/>
    <w:uiPriority w:val="0"/>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character" w:styleId="1012" w:customStyle="1">
    <w:name w:val="纯文本 Char2"/>
    <w:basedOn w:val="855"/>
    <w:uiPriority w:val="99"/>
    <w:semiHidden/>
    <w:qFormat/>
    <w:rPr>
      <w:rFonts w:ascii="宋体" w:hAnsi="Courier New" w:cs="Courier New"/>
      <w:sz w:val="21"/>
      <w:szCs w:val="21"/>
    </w:rPr>
  </w:style>
  <w:style w:type="paragraph" w:styleId="1013" w:customStyle="1">
    <w:name w:val="样式1"/>
    <w:basedOn w:val="845"/>
    <w:uiPriority w:val="0"/>
    <w:qFormat/>
    <w:pPr>
      <w:ind w:firstLine="480"/>
      <w:spacing w:line="300" w:lineRule="auto"/>
    </w:pPr>
    <w:rPr>
      <w:rFonts w:cs="Times New Roman"/>
      <w:sz w:val="24"/>
      <w:szCs w:val="24"/>
    </w:rPr>
  </w:style>
  <w:style w:type="character" w:styleId="1014" w:customStyle="1">
    <w:name w:val="日期 Char1"/>
    <w:basedOn w:val="855"/>
    <w:uiPriority w:val="99"/>
    <w:semiHidden/>
    <w:qFormat/>
    <w:rPr>
      <w:rFonts w:ascii="Calibri" w:hAnsi="Calibri" w:cs="宋体"/>
      <w:sz w:val="21"/>
      <w:szCs w:val="22"/>
    </w:rPr>
  </w:style>
  <w:style w:type="paragraph" w:styleId="1015" w:customStyle="1">
    <w:name w:val="a0"/>
    <w:basedOn w:val="845"/>
    <w:uiPriority w:val="0"/>
    <w:qFormat/>
    <w:pPr>
      <w:spacing w:before="100" w:beforeAutospacing="1" w:after="100" w:afterAutospacing="1"/>
      <w:widowControl/>
    </w:pPr>
    <w:rPr>
      <w:rFonts w:ascii="宋体" w:hAnsi="宋体"/>
      <w:sz w:val="24"/>
      <w:szCs w:val="24"/>
    </w:rPr>
  </w:style>
  <w:style w:type="paragraph" w:styleId="1016" w:customStyle="1">
    <w:name w:val="修订1"/>
    <w:uiPriority w:val="99"/>
    <w:unhideWhenUsed/>
    <w:qFormat/>
    <w:rPr>
      <w:rFonts w:ascii="Calibri" w:hAnsi="Calibri" w:eastAsia="宋体" w:cs="Times New Roman"/>
      <w:sz w:val="21"/>
      <w:szCs w:val="24"/>
      <w:lang w:val="en-US" w:eastAsia="zh-CN" w:bidi="ar-SA"/>
    </w:rPr>
  </w:style>
  <w:style w:type="paragraph" w:styleId="1017" w:customStyle="1">
    <w:name w:val="标题4，章节第四层"/>
    <w:basedOn w:val="845"/>
    <w:next w:val="845"/>
    <w:uiPriority w:val="0"/>
    <w:qFormat/>
    <w:pPr>
      <w:spacing w:line="360" w:lineRule="auto"/>
      <w:tabs>
        <w:tab w:val="left" w:pos="0" w:leader="none"/>
      </w:tabs>
      <w:outlineLvl w:val="3"/>
    </w:pPr>
    <w:rPr>
      <w:rFonts w:ascii="宋体" w:hAnsi="宋体" w:cs="Times New Roman"/>
      <w:b/>
      <w:sz w:val="24"/>
      <w:szCs w:val="24"/>
    </w:rPr>
  </w:style>
  <w:style w:type="paragraph" w:styleId="1018"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019" w:customStyle="1">
    <w:name w:val="华宇段落1 Char"/>
    <w:basedOn w:val="845"/>
    <w:uiPriority w:val="0"/>
    <w:qFormat/>
    <w:pPr>
      <w:ind w:firstLine="200"/>
      <w:spacing w:line="360" w:lineRule="auto"/>
    </w:pPr>
    <w:rPr>
      <w:rFonts w:cs="Times New Roman"/>
      <w:bCs/>
      <w:sz w:val="24"/>
      <w:szCs w:val="24"/>
    </w:rPr>
  </w:style>
  <w:style w:type="character" w:styleId="1020" w:customStyle="1">
    <w:name w:val="正文文本缩进 3 Char1"/>
    <w:basedOn w:val="855"/>
    <w:uiPriority w:val="99"/>
    <w:semiHidden/>
    <w:qFormat/>
    <w:rPr>
      <w:rFonts w:ascii="Calibri" w:hAnsi="Calibri" w:cs="宋体"/>
      <w:sz w:val="16"/>
      <w:szCs w:val="16"/>
    </w:rPr>
  </w:style>
  <w:style w:type="paragraph" w:styleId="1021" w:customStyle="1">
    <w:name w:val="Char2"/>
    <w:basedOn w:val="845"/>
    <w:uiPriority w:val="0"/>
    <w:qFormat/>
    <w:pPr>
      <w:spacing w:line="360" w:lineRule="auto"/>
    </w:pPr>
    <w:rPr>
      <w:rFonts w:ascii="Tahoma" w:hAnsi="Tahoma" w:cs="Times New Roman"/>
      <w:sz w:val="24"/>
      <w:szCs w:val="20"/>
    </w:rPr>
  </w:style>
  <w:style w:type="paragraph" w:styleId="1022" w:customStyle="1">
    <w:name w:val="马刚标题1"/>
    <w:basedOn w:val="846"/>
    <w:next w:val="845"/>
    <w:uiPriority w:val="0"/>
    <w:qFormat/>
    <w:pPr>
      <w:ind w:left="567" w:hanging="567"/>
      <w:jc w:val="left"/>
      <w:spacing w:before="400" w:after="120" w:line="576" w:lineRule="auto"/>
      <w:tabs>
        <w:tab w:val="left" w:pos="315" w:leader="none"/>
        <w:tab w:val="left" w:pos="567" w:leader="none"/>
      </w:tabs>
    </w:pPr>
    <w:rPr>
      <w:rFonts w:eastAsia="黑体" w:cs="Times New Roman"/>
      <w:b w:val="0"/>
      <w:bCs w:val="0"/>
      <w:sz w:val="32"/>
      <w:szCs w:val="20"/>
    </w:rPr>
  </w:style>
  <w:style w:type="paragraph" w:styleId="1023" w:customStyle="1">
    <w:name w:val="正文缩进2字符"/>
    <w:basedOn w:val="845"/>
    <w:uiPriority w:val="0"/>
    <w:qFormat/>
    <w:pPr>
      <w:ind w:firstLine="200"/>
      <w:spacing w:line="300" w:lineRule="auto"/>
    </w:pPr>
    <w:rPr>
      <w:rFonts w:ascii="仿宋_GB2312" w:eastAsia="仿宋_GB2312" w:cs="Times New Roman"/>
      <w:sz w:val="32"/>
      <w:szCs w:val="32"/>
    </w:rPr>
  </w:style>
  <w:style w:type="paragraph" w:styleId="1024" w:customStyle="1">
    <w:name w:val="项目符号，二级"/>
    <w:basedOn w:val="963"/>
    <w:next w:val="963"/>
    <w:uiPriority w:val="0"/>
    <w:qFormat/>
    <w:pPr>
      <w:numPr>
        <w:ilvl w:val="0"/>
        <w:numId w:val="2"/>
      </w:numPr>
      <w:ind w:left="1337" w:right="-27" w:firstLine="480"/>
      <w:tabs>
        <w:tab w:val="left" w:pos="1211" w:leader="none"/>
        <w:tab w:val="left" w:pos="1337" w:leader="none"/>
      </w:tabs>
    </w:pPr>
    <w:rPr>
      <w:bCs w:val="0"/>
      <w:color w:val="000000"/>
      <w:sz w:val="24"/>
      <w:szCs w:val="24"/>
    </w:rPr>
  </w:style>
  <w:style w:type="paragraph" w:styleId="1025" w:customStyle="1">
    <w:name w:val="马刚标题4"/>
    <w:basedOn w:val="1001"/>
    <w:next w:val="845"/>
    <w:uiPriority w:val="0"/>
    <w:qFormat/>
    <w:pPr>
      <w:spacing w:before="100" w:after="40"/>
      <w:tabs>
        <w:tab w:val="clear" w:pos="567" w:leader="none"/>
        <w:tab w:val="clear" w:pos="735" w:leader="none"/>
        <w:tab w:val="left" w:pos="1050" w:leader="none"/>
      </w:tabs>
      <w:outlineLvl w:val="3"/>
    </w:pPr>
    <w:rPr>
      <w:b w:val="0"/>
    </w:rPr>
  </w:style>
  <w:style w:type="paragraph" w:styleId="1026" w:customStyle="1">
    <w:name w:val="章标题"/>
    <w:next w:val="979"/>
    <w:uiPriority w:val="0"/>
    <w:qFormat/>
    <w:pPr>
      <w:jc w:val="both"/>
      <w:outlineLvl w:val="1"/>
    </w:pPr>
    <w:rPr>
      <w:rFonts w:ascii="Calibri" w:hAnsi="Calibri" w:eastAsia="黑体" w:cs="Times New Roman"/>
      <w:sz w:val="21"/>
      <w:lang w:val="en-US" w:eastAsia="zh-CN" w:bidi="ar-SA"/>
    </w:rPr>
  </w:style>
  <w:style w:type="paragraph" w:styleId="1027" w:customStyle="1">
    <w:name w:val="项目符号，一级"/>
    <w:basedOn w:val="963"/>
    <w:next w:val="963"/>
    <w:uiPriority w:val="0"/>
    <w:qFormat/>
    <w:pPr>
      <w:ind w:left="376" w:firstLine="0"/>
      <w:spacing w:line="240" w:lineRule="atLeast"/>
      <w:tabs>
        <w:tab w:val="left" w:pos="1320" w:leader="none"/>
      </w:tabs>
    </w:pPr>
    <w:rPr>
      <w:bCs w:val="0"/>
      <w:color w:val="000000"/>
      <w:szCs w:val="24"/>
    </w:rPr>
  </w:style>
  <w:style w:type="paragraph" w:styleId="1028"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029" w:customStyle="1">
    <w:name w:val="Char Char Char Char Char Char Char"/>
    <w:basedOn w:val="845"/>
    <w:uiPriority w:val="0"/>
    <w:qFormat/>
    <w:pPr>
      <w:jc w:val="left"/>
    </w:pPr>
    <w:rPr>
      <w:rFonts w:ascii="Tahoma" w:hAnsi="Tahoma" w:cs="Times New Roman"/>
      <w:sz w:val="24"/>
      <w:szCs w:val="20"/>
    </w:rPr>
  </w:style>
  <w:style w:type="paragraph" w:styleId="1030" w:customStyle="1">
    <w:name w:val="列出段落11"/>
    <w:basedOn w:val="845"/>
    <w:uiPriority w:val="0"/>
    <w:qFormat/>
    <w:pPr>
      <w:contextualSpacing/>
      <w:ind w:left="720"/>
      <w:jc w:val="left"/>
      <w:widowControl/>
    </w:pPr>
    <w:rPr>
      <w:rFonts w:ascii="Arial" w:hAnsi="Arial" w:eastAsia="黑体" w:cs="Times New Roman"/>
      <w:sz w:val="24"/>
      <w:szCs w:val="24"/>
      <w:lang w:eastAsia="en-US"/>
    </w:rPr>
  </w:style>
  <w:style w:type="paragraph" w:styleId="1031" w:customStyle="1">
    <w:name w:val="正文 New"/>
    <w:uiPriority w:val="0"/>
    <w:qFormat/>
    <w:pPr>
      <w:jc w:val="both"/>
      <w:widowControl w:val="off"/>
    </w:pPr>
    <w:rPr>
      <w:rFonts w:ascii="Calibri" w:hAnsi="Calibri" w:eastAsia="宋体" w:cs="Times New Roman"/>
      <w:sz w:val="21"/>
      <w:lang w:val="en-US" w:eastAsia="zh-CN" w:bidi="ar-SA"/>
    </w:rPr>
  </w:style>
  <w:style w:type="paragraph" w:styleId="1032" w:customStyle="1">
    <w:name w:val="Test2"/>
    <w:basedOn w:val="847"/>
    <w:uiPriority w:val="0"/>
    <w:qFormat/>
    <w:pPr>
      <w:jc w:val="center"/>
      <w:spacing w:line="480" w:lineRule="exact"/>
      <w:widowControl/>
    </w:pPr>
    <w:rPr>
      <w:rFonts w:ascii="黑体"/>
      <w:sz w:val="24"/>
      <w:szCs w:val="24"/>
    </w:rPr>
  </w:style>
  <w:style w:type="character" w:styleId="1033" w:customStyle="1">
    <w:name w:val="正文文本 2 Char1"/>
    <w:basedOn w:val="855"/>
    <w:uiPriority w:val="99"/>
    <w:semiHidden/>
    <w:qFormat/>
    <w:rPr>
      <w:rFonts w:ascii="Calibri" w:hAnsi="Calibri" w:cs="宋体"/>
      <w:sz w:val="21"/>
      <w:szCs w:val="22"/>
    </w:rPr>
  </w:style>
  <w:style w:type="paragraph" w:styleId="1034" w:customStyle="1">
    <w:name w:val="正文 居中"/>
    <w:basedOn w:val="845"/>
    <w:uiPriority w:val="0"/>
    <w:qFormat/>
    <w:pPr>
      <w:jc w:val="center"/>
      <w:spacing w:line="360" w:lineRule="auto"/>
    </w:pPr>
    <w:rPr>
      <w:rFonts w:cs="Times New Roman"/>
      <w:sz w:val="24"/>
      <w:szCs w:val="20"/>
    </w:rPr>
  </w:style>
  <w:style w:type="paragraph" w:styleId="1035" w:customStyle="1">
    <w:name w:val="样式2"/>
    <w:basedOn w:val="845"/>
    <w:uiPriority w:val="0"/>
    <w:qFormat/>
    <w:pPr>
      <w:ind w:left="200"/>
      <w:spacing w:line="360" w:lineRule="auto"/>
    </w:pPr>
    <w:rPr>
      <w:rFonts w:ascii="宋体" w:hAnsi="宋体" w:cs="Times New Roman"/>
      <w:b/>
      <w:sz w:val="24"/>
      <w:szCs w:val="24"/>
    </w:rPr>
  </w:style>
  <w:style w:type="paragraph" w:styleId="1036"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037" w:customStyle="1">
    <w:name w:val="正文文本 21"/>
    <w:basedOn w:val="845"/>
    <w:uiPriority w:val="0"/>
    <w:qFormat/>
    <w:pPr>
      <w:ind w:left="720" w:hanging="720"/>
      <w:widowControl/>
    </w:pPr>
    <w:rPr>
      <w:rFonts w:cs="Times New Roman"/>
      <w:sz w:val="24"/>
      <w:szCs w:val="20"/>
      <w:lang w:val="en-GB"/>
    </w:rPr>
  </w:style>
  <w:style w:type="paragraph" w:styleId="1038" w:customStyle="1">
    <w:name w:val="zw"/>
    <w:basedOn w:val="845"/>
    <w:uiPriority w:val="0"/>
    <w:qFormat/>
    <w:pPr>
      <w:ind w:firstLine="480"/>
      <w:jc w:val="left"/>
      <w:spacing w:line="360" w:lineRule="auto"/>
      <w:widowControl/>
    </w:pPr>
    <w:rPr>
      <w:rFonts w:ascii="宋体" w:hAnsi="宋体" w:cs="Times New Roman"/>
      <w:bCs/>
      <w:sz w:val="24"/>
      <w:szCs w:val="20"/>
    </w:rPr>
  </w:style>
  <w:style w:type="paragraph" w:styleId="1039" w:customStyle="1">
    <w:name w:val="标题3，章节第三层"/>
    <w:basedOn w:val="845"/>
    <w:next w:val="963"/>
    <w:uiPriority w:val="0"/>
    <w:qFormat/>
    <w:pPr>
      <w:spacing w:before="78" w:line="300" w:lineRule="auto"/>
      <w:outlineLvl w:val="2"/>
    </w:pPr>
    <w:rPr>
      <w:rFonts w:ascii="Arial" w:hAnsi="Arial" w:eastAsia="华文细黑" w:cs="Times New Roman"/>
      <w:sz w:val="30"/>
      <w:szCs w:val="24"/>
    </w:rPr>
  </w:style>
  <w:style w:type="character" w:styleId="1040" w:customStyle="1">
    <w:name w:val="正文文本 3 Char1"/>
    <w:basedOn w:val="855"/>
    <w:uiPriority w:val="99"/>
    <w:semiHidden/>
    <w:qFormat/>
    <w:rPr>
      <w:rFonts w:ascii="Calibri" w:hAnsi="Calibri" w:cs="宋体"/>
      <w:sz w:val="16"/>
      <w:szCs w:val="16"/>
    </w:rPr>
  </w:style>
  <w:style w:type="character" w:styleId="1041" w:customStyle="1">
    <w:name w:val="HTML 预设格式 Char1"/>
    <w:basedOn w:val="855"/>
    <w:uiPriority w:val="99"/>
    <w:semiHidden/>
    <w:qFormat/>
    <w:rPr>
      <w:rFonts w:ascii="Courier New" w:hAnsi="Courier New" w:cs="Courier New"/>
    </w:rPr>
  </w:style>
  <w:style w:type="paragraph" w:styleId="1042" w:customStyle="1">
    <w:name w:val="标准文本"/>
    <w:basedOn w:val="845"/>
    <w:uiPriority w:val="0"/>
    <w:qFormat/>
    <w:pPr>
      <w:ind w:firstLine="480"/>
      <w:spacing w:line="360" w:lineRule="auto"/>
    </w:pPr>
    <w:rPr>
      <w:sz w:val="24"/>
      <w:szCs w:val="24"/>
    </w:rPr>
  </w:style>
  <w:style w:type="paragraph" w:styleId="1043" w:customStyle="1">
    <w:name w:val="Char Char Char Char Char Char Char1"/>
    <w:basedOn w:val="845"/>
    <w:uiPriority w:val="0"/>
    <w:qFormat/>
    <w:rPr>
      <w:rFonts w:ascii="Tahoma" w:hAnsi="Tahoma" w:cs="Times New Roman"/>
      <w:sz w:val="24"/>
      <w:szCs w:val="20"/>
    </w:rPr>
  </w:style>
  <w:style w:type="paragraph" w:styleId="1044" w:customStyle="1">
    <w:name w:val="标准小四"/>
    <w:basedOn w:val="845"/>
    <w:uiPriority w:val="0"/>
    <w:qFormat/>
    <w:pPr>
      <w:ind w:firstLine="480"/>
      <w:spacing w:line="360" w:lineRule="auto"/>
    </w:pPr>
    <w:rPr>
      <w:rFonts w:ascii="Arial" w:hAnsi="Arial" w:cs="Times New Roman"/>
      <w:sz w:val="24"/>
      <w:szCs w:val="21"/>
    </w:rPr>
  </w:style>
  <w:style w:type="paragraph" w:styleId="1045" w:customStyle="1">
    <w:name w:val="正文2"/>
    <w:basedOn w:val="845"/>
    <w:uiPriority w:val="0"/>
    <w:qFormat/>
    <w:pPr>
      <w:ind w:firstLine="510"/>
      <w:spacing w:before="156" w:line="360" w:lineRule="auto"/>
    </w:pPr>
    <w:rPr>
      <w:rFonts w:cs="Times New Roman"/>
      <w:sz w:val="24"/>
      <w:szCs w:val="20"/>
    </w:rPr>
  </w:style>
  <w:style w:type="paragraph" w:styleId="1046" w:customStyle="1">
    <w:name w:val="Char Char Char Char"/>
    <w:basedOn w:val="845"/>
    <w:uiPriority w:val="0"/>
    <w:qFormat/>
    <w:pPr>
      <w:jc w:val="center"/>
      <w:spacing w:after="160" w:line="240" w:lineRule="exact"/>
      <w:widowControl/>
    </w:pPr>
    <w:rPr>
      <w:rFonts w:ascii="黑体" w:hAnsi="Verdana" w:eastAsia="黑体" w:cs="Times New Roman"/>
      <w:sz w:val="32"/>
      <w:szCs w:val="32"/>
      <w:lang w:eastAsia="en-US"/>
    </w:rPr>
  </w:style>
  <w:style w:type="paragraph" w:styleId="1047" w:customStyle="1">
    <w:name w:val="正文表标题"/>
    <w:next w:val="979"/>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048" w:customStyle="1">
    <w:name w:val="Char Char2 Char"/>
    <w:basedOn w:val="845"/>
    <w:uiPriority w:val="0"/>
    <w:qFormat/>
    <w:pPr>
      <w:ind w:left="390" w:hanging="390"/>
      <w:keepLines/>
      <w:keepNext/>
      <w:pageBreakBefore/>
      <w:tabs>
        <w:tab w:val="left" w:pos="390" w:leader="none"/>
      </w:tabs>
    </w:pPr>
    <w:rPr>
      <w:rFonts w:ascii="Tahoma" w:hAnsi="Tahoma" w:cs="Times New Roman"/>
      <w:sz w:val="24"/>
      <w:szCs w:val="20"/>
    </w:rPr>
  </w:style>
  <w:style w:type="paragraph" w:styleId="1049" w:customStyle="1">
    <w:name w:val="样式 样式 首行缩进:  0.74 厘米 行距: 1.5 倍行距 + 段后: 0.5 行"/>
    <w:basedOn w:val="845"/>
    <w:uiPriority w:val="0"/>
    <w:qFormat/>
    <w:pPr>
      <w:ind w:firstLine="420"/>
      <w:spacing w:line="360" w:lineRule="auto"/>
    </w:pPr>
    <w:rPr>
      <w:rFonts w:ascii="楷体_GB2312" w:eastAsia="楷体_GB2312" w:cs="Times New Roman"/>
      <w:bCs/>
      <w:sz w:val="24"/>
      <w:szCs w:val="20"/>
    </w:rPr>
  </w:style>
  <w:style w:type="paragraph" w:styleId="1050" w:customStyle="1">
    <w:name w:val="样式 样式 标题 3H3sect1.2.3BOD 0Heading 3 - oldh3l3CTLevel 3 Head... +..."/>
    <w:basedOn w:val="845"/>
    <w:uiPriority w:val="0"/>
    <w:qFormat/>
    <w:pPr>
      <w:jc w:val="left"/>
      <w:keepLines/>
      <w:keepNext/>
      <w:outlineLvl w:val="2"/>
    </w:pPr>
    <w:rPr>
      <w:b/>
      <w:bCs/>
      <w:sz w:val="24"/>
      <w:szCs w:val="20"/>
    </w:rPr>
  </w:style>
  <w:style w:type="paragraph" w:styleId="1051" w:customStyle="1">
    <w:name w:val="Char Char Char Char Char Char Char Char Char Char Char Char Char Char"/>
    <w:basedOn w:val="845"/>
    <w:uiPriority w:val="0"/>
    <w:qFormat/>
    <w:rPr>
      <w:rFonts w:ascii="Tahoma" w:hAnsi="Tahoma" w:cs="Times New Roman"/>
      <w:sz w:val="24"/>
      <w:szCs w:val="20"/>
    </w:rPr>
  </w:style>
  <w:style w:type="paragraph" w:styleId="1052" w:customStyle="1">
    <w:name w:val="样式4 Char"/>
    <w:basedOn w:val="845"/>
    <w:uiPriority w:val="0"/>
    <w:qFormat/>
    <w:pPr>
      <w:ind w:firstLine="480"/>
      <w:jc w:val="left"/>
      <w:spacing w:line="360" w:lineRule="auto"/>
      <w:widowControl/>
    </w:pPr>
    <w:rPr>
      <w:color w:val="000000"/>
      <w:sz w:val="24"/>
      <w:szCs w:val="24"/>
    </w:rPr>
  </w:style>
  <w:style w:type="paragraph" w:styleId="1053" w:customStyle="1">
    <w:name w:val="表格内文字"/>
    <w:basedOn w:val="845"/>
    <w:uiPriority w:val="0"/>
    <w:qFormat/>
    <w:pPr>
      <w:spacing w:line="300" w:lineRule="atLeast"/>
    </w:pPr>
    <w:rPr>
      <w:rFonts w:cs="Times New Roman"/>
      <w:sz w:val="18"/>
      <w:szCs w:val="24"/>
    </w:rPr>
  </w:style>
  <w:style w:type="paragraph" w:styleId="1054" w:customStyle="1">
    <w:name w:val="retrait3"/>
    <w:basedOn w:val="845"/>
    <w:uiPriority w:val="0"/>
    <w:qFormat/>
    <w:pPr>
      <w:ind w:left="851"/>
      <w:jc w:val="left"/>
      <w:spacing w:before="20" w:after="20"/>
      <w:widowControl/>
    </w:pPr>
    <w:rPr>
      <w:rFonts w:ascii="Arial" w:hAnsi="Arial" w:cs="Times New Roman"/>
      <w:sz w:val="24"/>
      <w:szCs w:val="20"/>
      <w:lang w:val="en-GB"/>
    </w:rPr>
  </w:style>
  <w:style w:type="paragraph" w:styleId="1055" w:customStyle="1">
    <w:name w:val="Char Char1"/>
    <w:basedOn w:val="845"/>
    <w:uiPriority w:val="0"/>
    <w:qFormat/>
    <w:rPr>
      <w:rFonts w:ascii="Tahoma" w:hAnsi="Tahoma" w:cs="Times New Roman"/>
      <w:sz w:val="24"/>
      <w:szCs w:val="20"/>
    </w:rPr>
  </w:style>
  <w:style w:type="paragraph" w:styleId="1056" w:customStyle="1">
    <w:name w:val="flType"/>
    <w:basedOn w:val="999"/>
    <w:uiPriority w:val="0"/>
    <w:qFormat/>
    <w:pPr>
      <w:spacing w:after="284"/>
    </w:pPr>
    <w:rPr>
      <w:rFonts w:eastAsia="宋体"/>
      <w:b w:val="0"/>
    </w:rPr>
  </w:style>
  <w:style w:type="paragraph" w:styleId="1057" w:customStyle="1">
    <w:name w:val="项目符号：一级"/>
    <w:basedOn w:val="963"/>
    <w:next w:val="963"/>
    <w:uiPriority w:val="0"/>
    <w:qFormat/>
    <w:pPr>
      <w:ind w:right="-134"/>
    </w:pPr>
    <w:rPr>
      <w:bCs w:val="0"/>
    </w:rPr>
  </w:style>
  <w:style w:type="paragraph" w:styleId="1058" w:customStyle="1">
    <w:name w:val="文档正文"/>
    <w:basedOn w:val="845"/>
    <w:uiPriority w:val="0"/>
    <w:qFormat/>
    <w:pPr>
      <w:spacing w:line="360" w:lineRule="auto"/>
    </w:pPr>
    <w:rPr>
      <w:rFonts w:ascii="宋体" w:hAnsi="宋体" w:cs="Times New Roman"/>
      <w:b/>
      <w:bCs/>
      <w:szCs w:val="24"/>
    </w:rPr>
  </w:style>
  <w:style w:type="paragraph" w:styleId="1059" w:customStyle="1">
    <w:name w:val="Char Char1 Char1"/>
    <w:basedOn w:val="845"/>
    <w:uiPriority w:val="0"/>
    <w:qFormat/>
    <w:pPr>
      <w:jc w:val="left"/>
      <w:spacing w:after="160" w:line="240" w:lineRule="exact"/>
      <w:widowControl/>
    </w:pPr>
    <w:rPr>
      <w:rFonts w:ascii="Verdana" w:hAnsi="Verdana" w:cs="Times New Roman"/>
      <w:sz w:val="20"/>
      <w:szCs w:val="20"/>
      <w:lang w:eastAsia="en-US"/>
    </w:rPr>
  </w:style>
  <w:style w:type="paragraph" w:styleId="1060" w:customStyle="1">
    <w:name w:val="1"/>
    <w:basedOn w:val="845"/>
    <w:next w:val="881"/>
    <w:uiPriority w:val="0"/>
    <w:qFormat/>
    <w:pPr>
      <w:spacing w:line="360" w:lineRule="auto"/>
    </w:pPr>
    <w:rPr>
      <w:rFonts w:eastAsia="仿宋_GB2312" w:cs="Times New Roman"/>
      <w:sz w:val="24"/>
      <w:szCs w:val="24"/>
    </w:rPr>
  </w:style>
  <w:style w:type="paragraph" w:styleId="1061" w:customStyle="1">
    <w:name w:val="默认段落字体 Para Char Char Char Char Char Char Char Char Char1 Char Char Char Char Char Char Char"/>
    <w:basedOn w:val="860"/>
    <w:uiPriority w:val="0"/>
    <w:qFormat/>
    <w:pPr>
      <w:shd w:val="clear" w:color="auto" w:fill="000080"/>
    </w:pPr>
    <w:rPr>
      <w:rFonts w:ascii="Calibri" w:cs="Times New Roman"/>
      <w:sz w:val="21"/>
      <w:szCs w:val="20"/>
    </w:rPr>
  </w:style>
  <w:style w:type="paragraph" w:styleId="1062" w:customStyle="1">
    <w:name w:val="font7"/>
    <w:basedOn w:val="845"/>
    <w:uiPriority w:val="0"/>
    <w:qFormat/>
    <w:pPr>
      <w:jc w:val="left"/>
      <w:spacing w:before="100" w:beforeAutospacing="1" w:after="100" w:afterAutospacing="1"/>
      <w:widowControl/>
    </w:pPr>
    <w:rPr>
      <w:rFonts w:hint="eastAsia" w:ascii="宋体" w:hAnsi="宋体" w:cs="Times New Roman"/>
      <w:b/>
      <w:bCs/>
      <w:sz w:val="24"/>
      <w:szCs w:val="24"/>
    </w:rPr>
  </w:style>
  <w:style w:type="paragraph" w:styleId="1063" w:customStyle="1">
    <w:name w:val="Char Char Char"/>
    <w:basedOn w:val="845"/>
    <w:uiPriority w:val="0"/>
    <w:qFormat/>
    <w:rPr>
      <w:rFonts w:ascii="Tahoma" w:hAnsi="Tahoma" w:cs="Times New Roman"/>
      <w:sz w:val="24"/>
      <w:szCs w:val="20"/>
    </w:rPr>
  </w:style>
  <w:style w:type="paragraph" w:styleId="1064" w:customStyle="1">
    <w:name w:val="Char Char Char Char Char"/>
    <w:basedOn w:val="845"/>
    <w:uiPriority w:val="0"/>
    <w:qFormat/>
    <w:rPr>
      <w:rFonts w:ascii="Tahoma" w:hAnsi="Tahoma" w:cs="Times New Roman"/>
      <w:sz w:val="24"/>
      <w:szCs w:val="20"/>
    </w:rPr>
  </w:style>
  <w:style w:type="paragraph" w:styleId="1065" w:customStyle="1">
    <w:name w:val="Char"/>
    <w:basedOn w:val="860"/>
    <w:uiPriority w:val="0"/>
    <w:qFormat/>
    <w:pPr>
      <w:shd w:val="clear" w:color="auto" w:fill="000080"/>
    </w:pPr>
    <w:rPr>
      <w:rFonts w:ascii="Tahoma" w:hAnsi="Tahoma" w:cs="Times New Roman"/>
      <w:sz w:val="24"/>
      <w:szCs w:val="24"/>
    </w:rPr>
  </w:style>
  <w:style w:type="paragraph" w:styleId="1066" w:customStyle="1">
    <w:name w:val="样式 标题 3H3sect1.2.3BOD 0Heading 3 - oldh3l3CTLevel 3 Head..."/>
    <w:basedOn w:val="848"/>
    <w:uiPriority w:val="0"/>
    <w:qFormat/>
    <w:pPr>
      <w:jc w:val="left"/>
      <w:spacing w:line="240" w:lineRule="auto"/>
    </w:pPr>
    <w:rPr>
      <w:sz w:val="30"/>
      <w:szCs w:val="20"/>
    </w:rPr>
  </w:style>
  <w:style w:type="paragraph" w:styleId="1067" w:customStyle="1">
    <w:name w:val="Char Char Char Char Char Char Char Char Char Char Char"/>
    <w:basedOn w:val="845"/>
    <w:uiPriority w:val="0"/>
    <w:qFormat/>
    <w:rPr>
      <w:rFonts w:ascii="Tahoma" w:hAnsi="Tahoma" w:cs="Times New Roman"/>
      <w:sz w:val="24"/>
      <w:szCs w:val="20"/>
    </w:rPr>
  </w:style>
  <w:style w:type="paragraph" w:styleId="1068" w:customStyle="1">
    <w:name w:val="表蕊"/>
    <w:basedOn w:val="845"/>
    <w:uiPriority w:val="0"/>
    <w:qFormat/>
    <w:pPr>
      <w:jc w:val="left"/>
      <w:spacing w:line="320" w:lineRule="atLeast"/>
    </w:pPr>
    <w:rPr>
      <w:rFonts w:eastAsia="楷体_GB2312" w:cs="Times New Roman"/>
      <w:spacing w:val="-10"/>
      <w:szCs w:val="20"/>
    </w:rPr>
  </w:style>
  <w:style w:type="paragraph" w:styleId="1069" w:customStyle="1">
    <w:name w:val="条1"/>
    <w:basedOn w:val="845"/>
    <w:uiPriority w:val="0"/>
    <w:qFormat/>
    <w:pPr>
      <w:ind w:left="780" w:hanging="360"/>
      <w:spacing w:before="156" w:line="360" w:lineRule="auto"/>
      <w:tabs>
        <w:tab w:val="left" w:pos="780" w:leader="none"/>
      </w:tabs>
    </w:pPr>
    <w:rPr>
      <w:rFonts w:eastAsia="黑体" w:cs="Times New Roman"/>
      <w:sz w:val="24"/>
      <w:szCs w:val="20"/>
    </w:rPr>
  </w:style>
  <w:style w:type="paragraph" w:styleId="1070" w:customStyle="1">
    <w:name w:val="Char1 Char Char Char"/>
    <w:basedOn w:val="845"/>
    <w:uiPriority w:val="0"/>
    <w:qFormat/>
    <w:rPr>
      <w:rFonts w:ascii="Tahoma" w:hAnsi="Tahoma" w:cs="Times New Roman"/>
      <w:sz w:val="24"/>
      <w:szCs w:val="20"/>
    </w:rPr>
  </w:style>
  <w:style w:type="paragraph" w:styleId="1071" w:customStyle="1">
    <w:name w:val="正文1"/>
    <w:basedOn w:val="845"/>
    <w:next w:val="845"/>
    <w:uiPriority w:val="0"/>
    <w:qFormat/>
    <w:pPr>
      <w:ind w:firstLine="510"/>
      <w:spacing w:before="156" w:line="360" w:lineRule="auto"/>
    </w:pPr>
    <w:rPr>
      <w:rFonts w:cs="Times New Roman"/>
      <w:sz w:val="24"/>
      <w:szCs w:val="20"/>
    </w:rPr>
  </w:style>
  <w:style w:type="paragraph" w:styleId="1072" w:customStyle="1">
    <w:name w:val="表头_5"/>
    <w:basedOn w:val="845"/>
    <w:uiPriority w:val="0"/>
    <w:qFormat/>
    <w:pPr>
      <w:spacing w:line="360" w:lineRule="auto"/>
    </w:pPr>
    <w:rPr>
      <w:rFonts w:cs="Times New Roman"/>
      <w:b/>
      <w:bCs/>
      <w:sz w:val="28"/>
      <w:szCs w:val="21"/>
    </w:rPr>
  </w:style>
  <w:style w:type="paragraph" w:styleId="1073" w:customStyle="1">
    <w:name w:val="_Style 56"/>
    <w:basedOn w:val="860"/>
    <w:uiPriority w:val="0"/>
    <w:qFormat/>
    <w:pPr>
      <w:spacing w:line="436" w:lineRule="exact"/>
      <w:shd w:val="clear" w:color="auto" w:fill="000080"/>
    </w:pPr>
    <w:rPr>
      <w:rFonts w:ascii="Calibri" w:cs="Times New Roman"/>
      <w:sz w:val="21"/>
      <w:szCs w:val="20"/>
    </w:rPr>
  </w:style>
  <w:style w:type="paragraph" w:styleId="1074" w:customStyle="1">
    <w:name w:val="Char Char Char Char Char Char Char Char Char"/>
    <w:basedOn w:val="845"/>
    <w:uiPriority w:val="0"/>
    <w:qFormat/>
    <w:pPr>
      <w:ind w:left="360" w:hanging="360"/>
      <w:tabs>
        <w:tab w:val="left" w:pos="360" w:leader="none"/>
      </w:tabs>
    </w:pPr>
    <w:rPr>
      <w:rFonts w:cs="Times New Roman"/>
      <w:sz w:val="24"/>
      <w:szCs w:val="24"/>
    </w:rPr>
  </w:style>
  <w:style w:type="paragraph" w:styleId="1075" w:customStyle="1">
    <w:name w:val="标题2，章节第二层"/>
    <w:basedOn w:val="845"/>
    <w:next w:val="963"/>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cs="Times New Roman"/>
      <w:sz w:val="32"/>
      <w:szCs w:val="24"/>
    </w:rPr>
  </w:style>
  <w:style w:type="character" w:styleId="1076" w:customStyle="1">
    <w:name w:val="font71"/>
    <w:basedOn w:val="855"/>
    <w:uiPriority w:val="0"/>
    <w:qFormat/>
    <w:rPr>
      <w:rFonts w:hint="eastAsia" w:ascii="方正仿宋_GBK" w:hAnsi="方正仿宋_GBK" w:eastAsia="方正仿宋_GBK" w:cs="方正仿宋_GBK"/>
      <w:b/>
      <w:color w:val="000000"/>
      <w:sz w:val="28"/>
      <w:szCs w:val="28"/>
      <w:u w:val="none"/>
    </w:rPr>
  </w:style>
  <w:style w:type="character" w:styleId="1077" w:customStyle="1">
    <w:name w:val="font21"/>
    <w:basedOn w:val="855"/>
    <w:uiPriority w:val="0"/>
    <w:qFormat/>
    <w:rPr>
      <w:rFonts w:hint="default" w:ascii="Times New Roman" w:hAnsi="Times New Roman" w:cs="Times New Roman"/>
      <w:color w:val="000000"/>
      <w:sz w:val="28"/>
      <w:szCs w:val="28"/>
      <w:u w:val="none"/>
    </w:rPr>
  </w:style>
  <w:style w:type="character" w:styleId="1078" w:customStyle="1">
    <w:name w:val="font51"/>
    <w:basedOn w:val="855"/>
    <w:uiPriority w:val="0"/>
    <w:qFormat/>
    <w:rPr>
      <w:rFonts w:ascii="方正仿宋_GBK" w:hAnsi="方正仿宋_GBK" w:eastAsia="方正仿宋_GBK" w:cs="方正仿宋_GBK"/>
      <w:color w:val="000000"/>
      <w:sz w:val="28"/>
      <w:szCs w:val="28"/>
      <w:u w:val="none"/>
    </w:rPr>
  </w:style>
  <w:style w:type="character" w:styleId="1079" w:customStyle="1">
    <w:name w:val="font112"/>
    <w:basedOn w:val="855"/>
    <w:uiPriority w:val="0"/>
    <w:qFormat/>
    <w:rPr>
      <w:rFonts w:hint="eastAsia" w:ascii="方正黑体_GBK" w:hAnsi="方正黑体_GBK" w:eastAsia="方正黑体_GBK" w:cs="方正黑体_GBK"/>
      <w:color w:val="000000"/>
      <w:sz w:val="28"/>
      <w:szCs w:val="28"/>
      <w:u w:val="none"/>
    </w:rPr>
  </w:style>
  <w:style w:type="paragraph" w:styleId="1080" w:customStyle="1">
    <w:name w:val="Table Paragraph"/>
    <w:basedOn w:val="845"/>
    <w:uiPriority w:val="1"/>
    <w:qFormat/>
    <w:rPr>
      <w:rFonts w:ascii="Times New Roman" w:hAnsi="Times New Roman" w:cs="Times New Roman"/>
      <w:szCs w:val="24"/>
    </w:rPr>
  </w:style>
  <w:style w:type="character" w:styleId="1081" w:customStyle="1">
    <w:name w:val="Char Char22"/>
    <w:uiPriority w:val="0"/>
    <w:qFormat/>
    <w:rPr>
      <w:b/>
      <w:bCs/>
      <w:sz w:val="24"/>
      <w:szCs w:val="24"/>
    </w:rPr>
  </w:style>
  <w:style w:type="character" w:styleId="1082" w:customStyle="1">
    <w:name w:val="style13"/>
    <w:uiPriority w:val="0"/>
    <w:qFormat/>
    <w:rPr>
      <w:sz w:val="18"/>
      <w:szCs w:val="18"/>
    </w:rPr>
  </w:style>
  <w:style w:type="paragraph" w:styleId="1083" w:customStyle="1">
    <w:name w:val="列表段落1"/>
    <w:basedOn w:val="845"/>
    <w:uiPriority w:val="34"/>
    <w:qFormat/>
    <w:pPr>
      <w:ind w:firstLine="420"/>
    </w:pPr>
  </w:style>
  <w:style w:type="character" w:styleId="1084" w:customStyle="1">
    <w:name w:val="font81"/>
    <w:basedOn w:val="855"/>
    <w:uiPriority w:val="0"/>
    <w:qFormat/>
    <w:rPr>
      <w:rFonts w:hint="default" w:ascii="Times New Roman" w:hAnsi="Times New Roman" w:cs="Times New Roman"/>
      <w:color w:val="000000"/>
      <w:sz w:val="18"/>
      <w:szCs w:val="18"/>
      <w:u w:val="none"/>
    </w:rPr>
  </w:style>
  <w:style w:type="paragraph" w:styleId="1085" w:customStyle="1">
    <w:name w:val="正文 A"/>
    <w:next w:val="979"/>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86" w:customStyle="1">
    <w:name w:val="Other|1"/>
    <w:basedOn w:val="845"/>
    <w:uiPriority w:val="0"/>
    <w:qFormat/>
    <w:pPr>
      <w:ind w:firstLine="400"/>
      <w:spacing w:line="377" w:lineRule="auto"/>
    </w:pPr>
    <w:rPr>
      <w:rFonts w:ascii="宋体" w:hAnsi="宋体"/>
      <w:sz w:val="22"/>
      <w:lang w:val="zh-TW" w:eastAsia="zh-TW" w:bidi="zh-TW"/>
    </w:rPr>
  </w:style>
  <w:style w:type="paragraph" w:styleId="1087" w:customStyle="1">
    <w:name w:val="首行缩进"/>
    <w:basedOn w:val="845"/>
    <w:uiPriority w:val="99"/>
    <w:qFormat/>
    <w:pPr>
      <w:ind w:firstLine="480"/>
      <w:jc w:val="left"/>
      <w:spacing w:line="360" w:lineRule="auto"/>
    </w:pPr>
    <w:rPr>
      <w:rFonts w:ascii="宋体" w:hAnsi="宋体" w:cs="Times New Roman"/>
      <w:sz w:val="24"/>
      <w:szCs w:val="20"/>
    </w:rPr>
  </w:style>
  <w:style w:type="character" w:styleId="1088" w:customStyle="1">
    <w:name w:val="正文缩进 Char"/>
    <w:link w:val="859"/>
    <w:uiPriority w:val="0"/>
    <w:qFormat/>
    <w:rPr>
      <w:rFonts w:ascii="Calibri" w:hAnsi="Calibri"/>
      <w:sz w:val="21"/>
    </w:rPr>
  </w:style>
  <w:style w:type="paragraph" w:styleId="1089" w:customStyle="1">
    <w:name w:val="普通正文"/>
    <w:basedOn w:val="845"/>
    <w:uiPriority w:val="99"/>
    <w:qFormat/>
    <w:pPr>
      <w:ind w:firstLine="480"/>
      <w:jc w:val="left"/>
      <w:spacing w:before="120" w:after="120" w:line="360" w:lineRule="auto"/>
    </w:pPr>
    <w:rPr>
      <w:rFonts w:ascii="Arial" w:hAnsi="Arial" w:cs="Arial"/>
      <w:sz w:val="24"/>
      <w:szCs w:val="24"/>
    </w:rPr>
  </w:style>
  <w:style w:type="character" w:styleId="1090" w:customStyle="1">
    <w:name w:val="未处理的提及1"/>
    <w:basedOn w:val="855"/>
    <w:uiPriority w:val="99"/>
    <w:unhideWhenUsed/>
    <w:qFormat/>
    <w:rPr>
      <w:color w:val="605e5c"/>
      <w:shd w:val="clear" w:color="auto" w:fill="e1dfdd"/>
    </w:rPr>
  </w:style>
  <w:style w:type="paragraph" w:styleId="1091" w:customStyle="1">
    <w:name w:val="修订2"/>
    <w:hidden/>
    <w:uiPriority w:val="99"/>
    <w:semiHidden/>
    <w:qFormat/>
    <w:rPr>
      <w:rFonts w:ascii="Calibri" w:hAnsi="Calibri" w:eastAsia="宋体" w:cs="宋体"/>
      <w:sz w:val="21"/>
      <w:szCs w:val="22"/>
      <w:lang w:val="en-US" w:eastAsia="zh-CN" w:bidi="ar-SA"/>
    </w:rPr>
  </w:style>
  <w:style w:type="table" w:styleId="1092" w:customStyle="1">
    <w:name w:val="网格型1"/>
    <w:basedOn w:val="856"/>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93" w:customStyle="1">
    <w:name w:val="_Style 413"/>
    <w:basedOn w:val="864"/>
    <w:next w:val="886"/>
    <w:uiPriority w:val="0"/>
    <w:qFormat/>
    <w:pPr>
      <w:ind w:firstLine="420"/>
    </w:pPr>
    <w:rPr>
      <w:rFonts w:ascii="Times New Roman" w:hAnsi="Times New Roman" w:cs="Times New Roman"/>
      <w:szCs w:val="24"/>
    </w:rPr>
  </w:style>
  <w:style w:type="character" w:styleId="1094" w:customStyle="1">
    <w:name w:val="纯文本 字符1"/>
    <w:uiPriority w:val="0"/>
    <w:qFormat/>
    <w:rPr>
      <w:rFonts w:ascii="宋体" w:hAnsi="Courier New"/>
      <w:sz w:val="21"/>
    </w:rPr>
  </w:style>
  <w:style w:type="paragraph" w:styleId="1095" w:customStyle="1">
    <w:name w:val="样式 首行缩进:  2 字符"/>
    <w:basedOn w:val="845"/>
    <w:link w:val="1096"/>
    <w:uiPriority w:val="0"/>
    <w:qFormat/>
    <w:pPr>
      <w:ind w:firstLine="480"/>
      <w:spacing w:line="360" w:lineRule="auto"/>
    </w:pPr>
    <w:rPr>
      <w:rFonts w:ascii="Times New Roman" w:hAnsi="Times New Roman"/>
      <w:sz w:val="24"/>
      <w:szCs w:val="20"/>
    </w:rPr>
  </w:style>
  <w:style w:type="character" w:styleId="1096" w:customStyle="1">
    <w:name w:val="样式 首行缩进:  2 字符 Char Char"/>
    <w:link w:val="1095"/>
    <w:uiPriority w:val="0"/>
    <w:qFormat/>
    <w:rPr>
      <w:rFonts w:cs="宋体"/>
      <w:sz w:val="24"/>
    </w:rPr>
  </w:style>
  <w:style w:type="table" w:styleId="1097" w:customStyle="1">
    <w:name w:val="Table Normal"/>
    <w:uiPriority w:val="0"/>
    <w:unhideWhenUsed/>
    <w:qFormat/>
    <w:tblPr>
      <w:tblCellMar>
        <w:left w:w="0" w:type="dxa"/>
        <w:top w:w="0" w:type="dxa"/>
        <w:right w:w="0" w:type="dxa"/>
        <w:bottom w:w="0" w:type="dxa"/>
      </w:tblCellMar>
    </w:tblPr>
  </w:style>
  <w:style w:type="paragraph" w:styleId="1098" w:customStyle="1">
    <w:name w:val="Table Text"/>
    <w:basedOn w:val="845"/>
    <w:uiPriority w:val="0"/>
    <w:semiHidden/>
    <w:qFormat/>
    <w:rPr>
      <w:rFonts w:ascii="Arial" w:hAnsi="Arial" w:eastAsia="Arial" w:cs="Arial"/>
      <w:szCs w:val="21"/>
      <w:lang w:eastAsia="en-US"/>
    </w:rPr>
  </w:style>
  <w:style w:type="paragraph" w:styleId="1099" w:customStyle="1">
    <w:name w:val="修订3"/>
    <w:hidden/>
    <w:uiPriority w:val="99"/>
    <w:unhideWhenUsed/>
    <w:qFormat/>
    <w:rPr>
      <w:rFonts w:ascii="Calibri" w:hAnsi="Calibri" w:eastAsia="宋体" w:cs="宋体"/>
      <w:sz w:val="21"/>
      <w:szCs w:val="22"/>
      <w:lang w:val="en-US" w:eastAsia="zh-CN" w:bidi="ar-SA"/>
    </w:rPr>
  </w:style>
  <w:style w:type="paragraph" w:styleId="1100" w:customStyle="1">
    <w:name w:val="修订4"/>
    <w:hidden/>
    <w:uiPriority w:val="99"/>
    <w:unhideWhenUsed/>
    <w:qFormat/>
    <w:rPr>
      <w:rFonts w:ascii="Calibri" w:hAnsi="Calibri" w:eastAsia="宋体" w:cs="宋体"/>
      <w:sz w:val="21"/>
      <w:szCs w:val="22"/>
      <w:lang w:val="en-US" w:eastAsia="zh-CN" w:bidi="ar-SA"/>
    </w:rPr>
  </w:style>
  <w:style w:type="character" w:styleId="1101" w:customStyle="1">
    <w:name w:val="正文文本缩进 Char"/>
    <w:uiPriority w:val="99"/>
    <w:qFormat/>
    <w:rPr>
      <w:rFonts w:ascii="宋体" w:hAnsi="Calibri" w:eastAsia="宋体" w:cs="宋体"/>
      <w:sz w:val="28"/>
      <w14:ligatures w14:val="none"/>
    </w:rPr>
  </w:style>
  <w:style w:type="paragraph" w:styleId="1102" w:customStyle="1">
    <w:name w:val="_Style 257"/>
    <w:basedOn w:val="845"/>
    <w:next w:val="1103"/>
    <w:uiPriority w:val="99"/>
    <w:qFormat/>
    <w:pPr>
      <w:ind w:firstLine="420"/>
    </w:pPr>
  </w:style>
  <w:style w:type="paragraph" w:styleId="1103">
    <w:name w:val="List Paragraph"/>
    <w:basedOn w:val="845"/>
    <w:uiPriority w:val="99"/>
    <w:unhideWhenUsed/>
    <w:qFormat/>
    <w:pPr>
      <w:ind w:firstLine="420"/>
    </w:pPr>
  </w:style>
  <w:style w:type="paragraph" w:styleId="1104" w:customStyle="1">
    <w:name w:val="_Style 259"/>
    <w:basedOn w:val="845"/>
    <w:next w:val="1103"/>
    <w:uiPriority w:val="99"/>
    <w:qFormat/>
    <w:pPr>
      <w:ind w:firstLine="420"/>
    </w:pPr>
  </w:style>
  <w:style w:type="paragraph" w:styleId="1105" w:customStyle="1">
    <w:name w:val="修订5"/>
    <w:hidden/>
    <w:uiPriority w:val="99"/>
    <w:unhideWhenUsed/>
    <w:qFormat/>
    <w:rPr>
      <w:rFonts w:ascii="Calibri" w:hAnsi="Calibri" w:eastAsia="宋体" w:cs="宋体"/>
      <w:sz w:val="21"/>
      <w:szCs w:val="22"/>
      <w:lang w:val="en-US" w:eastAsia="zh-CN" w:bidi="ar-SA"/>
    </w:rPr>
  </w:style>
  <w:style w:type="paragraph" w:styleId="1106" w:customStyle="1">
    <w:name w:val="正文首行缩进 21"/>
    <w:basedOn w:val="1107"/>
    <w:next w:val="845"/>
    <w:uiPriority w:val="0"/>
    <w:qFormat/>
    <w:pPr>
      <w:ind w:left="0" w:firstLine="420"/>
      <w:spacing w:after="0" w:line="360" w:lineRule="auto"/>
    </w:pPr>
    <w:rPr>
      <w:rFonts w:ascii="宋体" w:hAnsi="宋体" w:eastAsia="宋体" w:cs="Times New Roman"/>
      <w:szCs w:val="20"/>
    </w:rPr>
  </w:style>
  <w:style w:type="paragraph" w:styleId="1107" w:customStyle="1">
    <w:name w:val="正文文本缩进11"/>
    <w:basedOn w:val="1108"/>
    <w:next w:val="1110"/>
    <w:uiPriority w:val="0"/>
    <w:qFormat/>
    <w:pPr>
      <w:ind w:firstLine="480"/>
    </w:pPr>
    <w:rPr>
      <w:rFonts w:ascii="仿宋_GB2312" w:eastAsia="仿宋_GB2312"/>
      <w:sz w:val="24"/>
    </w:rPr>
  </w:style>
  <w:style w:type="paragraph" w:styleId="1108" w:customStyle="1">
    <w:name w:val="正文111"/>
    <w:next w:val="1109"/>
    <w:uiPriority w:val="0"/>
    <w:qFormat/>
    <w:pPr>
      <w:jc w:val="both"/>
      <w:widowControl w:val="off"/>
    </w:pPr>
    <w:rPr>
      <w:rFonts w:ascii="Times New Roman" w:hAnsi="Times New Roman" w:eastAsia="宋体" w:cs="Times New Roman"/>
      <w:sz w:val="21"/>
      <w:szCs w:val="24"/>
      <w:lang w:val="en-US" w:eastAsia="zh-CN" w:bidi="ar-SA"/>
    </w:rPr>
  </w:style>
  <w:style w:type="paragraph" w:styleId="1109" w:customStyle="1">
    <w:name w:val="正文首行缩进 211"/>
    <w:basedOn w:val="845"/>
    <w:next w:val="1108"/>
    <w:uiPriority w:val="0"/>
    <w:qFormat/>
    <w:pPr>
      <w:ind w:firstLine="420"/>
      <w:tabs>
        <w:tab w:val="left" w:pos="0" w:leader="none"/>
        <w:tab w:val="left" w:pos="993" w:leader="none"/>
        <w:tab w:val="left" w:pos="1134" w:leader="none"/>
      </w:tabs>
    </w:pPr>
    <w:rPr>
      <w:rFonts w:ascii="仿宋_GB2312" w:eastAsia="仿宋_GB2312"/>
      <w:sz w:val="24"/>
      <w:szCs w:val="24"/>
      <w:lang w:val="en-US"/>
    </w:rPr>
  </w:style>
  <w:style w:type="paragraph" w:styleId="1110" w:customStyle="1">
    <w:name w:val="寄信人地址1"/>
    <w:basedOn w:val="845"/>
    <w:uiPriority w:val="0"/>
    <w:qFormat/>
    <w:rPr>
      <w:rFonts w:ascii="Arial" w:hAnsi="Arial" w:eastAsia="宋体" w:cs="宋体"/>
    </w:rPr>
  </w:style>
  <w:style w:type="paragraph" w:styleId="1111" w:customStyle="1">
    <w:name w:val="列表段落2"/>
    <w:basedOn w:val="845"/>
    <w:uiPriority w:val="34"/>
    <w:qFormat/>
    <w:pPr>
      <w:contextualSpacing/>
      <w:ind w:left="720"/>
      <w:jc w:val="left"/>
      <w:widowControl/>
    </w:pPr>
    <w:rPr>
      <w:rFonts w:ascii="Arial" w:hAnsi="Arial" w:eastAsia="黑体" w:cs="宋体"/>
      <w:sz w:val="24"/>
      <w:szCs w:val="24"/>
      <w:lang w:eastAsia="en-US"/>
    </w:rPr>
  </w:style>
  <w:style w:type="numbering" w:styleId="11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穿越">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刘工</cp:lastModifiedBy>
  <cp:revision>5</cp:revision>
  <dcterms:created xsi:type="dcterms:W3CDTF">2026-05-18T00:51:00Z</dcterms:created>
  <dcterms:modified xsi:type="dcterms:W3CDTF">2026-07-10T10:04:30Z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A6B64C720E534484AE89166C1734E0EC_13</vt:lpwstr>
  </property>
  <property fmtid="{D5CDD505-2E9C-101B-9397-08002B2CF9AE}" pid="4" name="KSOTemplateDocerSaveRecord">
    <vt:lpwstr>eyJoZGlkIjoiZDUzZjM2YzM5YzY0Y2I2YjhmYWI1YzRkYmU4MDg1M2IiLCJ1c2VySWQiOiIyNzAxMDAxMTIifQ==</vt:lpwstr>
  </property>
</Properties>
</file>