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ind w:firstLine="0"/>
        <w:rPr>
          <w:rFonts w:hint="eastAsia" w:eastAsia="黑体"/>
          <w:b/>
          <w:bCs/>
          <w:sz w:val="84"/>
          <w:shd w:val="clear" w:color="ffffff" w:fill="d9d9d9"/>
        </w:rPr>
      </w:pPr>
      <w:r>
        <w:rPr>
          <w:rFonts w:hint="eastAsia" w:eastAsia="黑体"/>
          <w:b/>
          <w:bCs/>
          <w:sz w:val="84"/>
          <w:shd w:val="clear" w:color="ffffff" w:fill="d9d9d9"/>
        </w:rPr>
      </w:r>
      <w:r/>
    </w:p>
    <w:p>
      <w:pPr>
        <w:pStyle w:val="75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5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5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5"/>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JSZC-320214-JZCG-G2026-0060</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无锡经济开发区消防特勤指挥中心投勤配套接出警、视频会议和点调等设备采购项目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无锡市新吴区机关事务服务中心</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5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5"/>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55"/>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七</w:t>
      </w:r>
      <w:r>
        <w:rPr>
          <w:rFonts w:hint="eastAsia" w:ascii="黑体" w:hAnsi="华文中宋" w:eastAsia="黑体"/>
          <w:bCs/>
          <w:color w:val="auto"/>
          <w:sz w:val="32"/>
          <w:szCs w:val="32"/>
          <w:highlight w:val="none"/>
        </w:rPr>
        <w:t xml:space="preserve">月</w:t>
      </w:r>
      <w:r/>
    </w:p>
    <w:p>
      <w:pPr>
        <w:pStyle w:val="75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81</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91</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无锡市新吴区机关事务服务中心</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无锡经济开发区消防特勤指挥中心投勤配套接出警、视频会议和点调等设备采购项目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JSZC-320214-JZCG-G2026-0060</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无锡经济开发区消防特勤指挥中心投勤配套接出警、视频会议和点调等设备采购项目</w:t>
      </w:r>
      <w:r>
        <w:rPr>
          <w:rFonts w:hint="eastAsia" w:ascii="宋体" w:hAnsi="宋体"/>
          <w:color w:val="auto"/>
          <w:sz w:val="24"/>
          <w:szCs w:val="24"/>
        </w:rPr>
        <w:t xml:space="preserve">采购项目的潜在投标人应在“江苏政府采购</w:t>
      </w:r>
      <w:r>
        <w:rPr>
          <w:rFonts w:hint="eastAsia" w:ascii="宋体" w:hAnsi="宋体"/>
          <w:sz w:val="24"/>
          <w:szCs w:val="24"/>
        </w:rPr>
        <w:t xml:space="preserve">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auto"/>
          <w:sz w:val="24"/>
          <w:szCs w:val="24"/>
          <w:highlight w:val="none"/>
        </w:rPr>
        <w:t xml:space="preserve">，并于202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06</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669"/>
        <w:ind w:firstLine="452"/>
        <w:keepLines w:val="0"/>
        <w:keepNext w:val="0"/>
        <w:spacing w:before="0" w:after="0" w:line="500" w:lineRule="exact"/>
        <w:rPr>
          <w:sz w:val="30"/>
          <w:szCs w:val="30"/>
        </w:rPr>
      </w:pPr>
      <w:r/>
      <w:bookmarkStart w:id="6" w:name="_Toc28359079"/>
      <w:r/>
      <w:bookmarkStart w:id="7" w:name="_Toc38985263"/>
      <w:r/>
      <w:bookmarkStart w:id="8" w:name="_Toc35393790"/>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lang w:eastAsia="zh-CN"/>
        </w:rPr>
      </w:pPr>
      <w:r>
        <w:rPr>
          <w:rFonts w:hint="eastAsia" w:ascii="宋体" w:hAnsi="宋体"/>
          <w:color w:val="auto"/>
          <w:sz w:val="24"/>
          <w:szCs w:val="24"/>
        </w:rPr>
        <w:t xml:space="preserve">1.项目编号：</w:t>
      </w:r>
      <w:r>
        <w:rPr>
          <w:rFonts w:hint="eastAsia" w:ascii="宋体" w:hAnsi="宋体"/>
          <w:color w:val="auto"/>
          <w:sz w:val="24"/>
          <w:szCs w:val="24"/>
          <w:lang w:eastAsia="zh-CN"/>
        </w:rPr>
        <w:t xml:space="preserve">JSZC-320214-JZCG-G2026-0060</w:t>
      </w:r>
      <w:r/>
    </w:p>
    <w:p>
      <w:pPr>
        <w:ind w:firstLine="480"/>
        <w:spacing w:line="500" w:lineRule="exact"/>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无锡经济开发区消防特勤指挥中心投勤配套接出警、视频会议和点调等设备采购项目</w:t>
      </w:r>
      <w:bookmarkEnd w:id="11"/>
      <w:r/>
    </w:p>
    <w:p>
      <w:pPr>
        <w:ind w:firstLine="480"/>
        <w:spacing w:line="500" w:lineRule="exact"/>
        <w:rPr>
          <w:rFonts w:ascii="宋体" w:hAnsi="宋体"/>
          <w:color w:val="auto"/>
          <w:sz w:val="24"/>
          <w:szCs w:val="24"/>
        </w:rPr>
      </w:pPr>
      <w:r>
        <w:rPr>
          <w:rFonts w:hint="eastAsia" w:ascii="宋体" w:hAnsi="宋体"/>
          <w:color w:val="auto"/>
          <w:sz w:val="24"/>
          <w:szCs w:val="24"/>
        </w:rPr>
        <w:t xml:space="preserve">3.项目预算金额：</w:t>
      </w:r>
      <w:r>
        <w:rPr>
          <w:rFonts w:hint="eastAsia" w:ascii="宋体" w:hAnsi="宋体"/>
          <w:color w:val="auto"/>
          <w:sz w:val="24"/>
          <w:szCs w:val="24"/>
          <w:lang w:val="en-US" w:eastAsia="zh-CN"/>
        </w:rPr>
        <w:t xml:space="preserve">186.00</w:t>
      </w:r>
      <w:r>
        <w:rPr>
          <w:rFonts w:hint="eastAsia" w:ascii="宋体" w:hAnsi="宋体"/>
          <w:color w:val="auto"/>
          <w:sz w:val="24"/>
          <w:szCs w:val="24"/>
        </w:rPr>
        <w:t xml:space="preserve">万元</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4.项目最高限价：</w:t>
      </w:r>
      <w:r>
        <w:rPr>
          <w:rFonts w:hint="eastAsia" w:ascii="宋体" w:hAnsi="宋体"/>
          <w:color w:val="auto"/>
          <w:sz w:val="24"/>
          <w:szCs w:val="24"/>
          <w:lang w:val="en-US" w:eastAsia="zh-CN"/>
        </w:rPr>
        <w:t xml:space="preserve">186.00</w:t>
      </w:r>
      <w:r>
        <w:rPr>
          <w:rFonts w:hint="eastAsia" w:ascii="宋体" w:hAnsi="宋体"/>
          <w:color w:val="auto"/>
          <w:sz w:val="24"/>
          <w:szCs w:val="24"/>
        </w:rPr>
        <w:t xml:space="preserve">万元</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5.采购方式：公开招标</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6.采购需求：</w:t>
      </w:r>
      <w:r>
        <w:rPr>
          <w:rFonts w:hint="eastAsia" w:ascii="宋体" w:hAnsi="宋体" w:cs="宋体"/>
          <w:color w:val="auto"/>
          <w:sz w:val="24"/>
          <w:szCs w:val="24"/>
        </w:rPr>
        <w:t xml:space="preserve">详见招标文件第四章《采购需求》</w:t>
      </w:r>
      <w:r/>
    </w:p>
    <w:p>
      <w:pPr>
        <w:ind w:firstLine="480"/>
        <w:spacing w:line="500" w:lineRule="exact"/>
        <w:rPr>
          <w:rFonts w:hint="eastAsia" w:ascii="宋体" w:hAnsi="宋体" w:eastAsia="宋体" w:cs="Times New Roman"/>
          <w:sz w:val="24"/>
          <w:szCs w:val="24"/>
        </w:rPr>
      </w:pPr>
      <w:r>
        <w:rPr>
          <w:rFonts w:hint="eastAsia" w:ascii="宋体" w:hAnsi="宋体"/>
          <w:color w:val="auto"/>
          <w:sz w:val="24"/>
          <w:szCs w:val="24"/>
        </w:rPr>
        <w:t xml:space="preserve">7.合同履</w:t>
      </w:r>
      <w:r>
        <w:rPr>
          <w:rFonts w:hint="eastAsia" w:ascii="宋体" w:hAnsi="宋体" w:eastAsia="宋体" w:cs="Times New Roman"/>
          <w:sz w:val="24"/>
          <w:szCs w:val="24"/>
        </w:rPr>
        <w:t xml:space="preserve">行期限：详见招标文件第四章《采购需求》</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8.本项目不接受联合体投标。</w:t>
      </w:r>
      <w:r/>
    </w:p>
    <w:p>
      <w:pPr>
        <w:ind w:firstLine="480"/>
        <w:spacing w:line="500" w:lineRule="exact"/>
        <w:rPr>
          <w:rFonts w:hint="eastAsia" w:ascii="宋体" w:hAnsi="宋体" w:eastAsia="宋体" w:cs="Times New Roman"/>
          <w:sz w:val="24"/>
          <w:szCs w:val="24"/>
        </w:rPr>
      </w:pPr>
      <w:r/>
      <w:bookmarkStart w:id="12" w:name="_Toc28359080"/>
      <w:r/>
      <w:bookmarkStart w:id="13" w:name="_Toc38985264"/>
      <w:r/>
      <w:bookmarkStart w:id="14" w:name="_Toc28359003"/>
      <w:r/>
      <w:bookmarkStart w:id="15" w:name="_Toc35393622"/>
      <w:r/>
      <w:bookmarkStart w:id="16" w:name="_Toc35393791"/>
      <w:r>
        <w:rPr>
          <w:rFonts w:hint="eastAsia" w:ascii="宋体" w:hAnsi="宋体" w:eastAsia="宋体" w:cs="Times New Roman"/>
          <w:sz w:val="24"/>
          <w:szCs w:val="24"/>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eastAsia="宋体" w:cs="Times New Roman"/>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eastAsia="宋体" w:cs="Times New Roman"/>
          <w:sz w:val="24"/>
          <w:szCs w:val="24"/>
        </w:rPr>
        <w:t xml:space="preserve">1.满足《中华人民共和国政府采购法》第二十二条规定；</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2.落实政府采购政策需满足的资格要求：</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2.1中小企业政策：本项目专门面向中小企业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w:t>
      </w:r>
      <w:r>
        <w:rPr>
          <w:rFonts w:hint="eastAsia" w:ascii="宋体" w:hAnsi="宋体"/>
          <w:color w:val="auto"/>
          <w:sz w:val="24"/>
          <w:szCs w:val="24"/>
        </w:rPr>
        <w:t xml:space="preserve">定条件的信用记录；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66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17"/>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69"/>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06</w:t>
      </w:r>
      <w:r>
        <w:rPr>
          <w:rFonts w:hint="eastAsia" w:ascii="宋体" w:hAnsi="宋体"/>
          <w:bCs/>
          <w:color w:val="auto"/>
          <w:sz w:val="24"/>
          <w:szCs w:val="24"/>
          <w:highlight w:val="none"/>
        </w:rPr>
        <w:t xml:space="preserve">日09点30分（</w:t>
      </w:r>
      <w:r>
        <w:rPr>
          <w:rFonts w:hint="eastAsia" w:ascii="宋体" w:hAnsi="宋体"/>
          <w:bCs/>
          <w:sz w:val="24"/>
          <w:szCs w:val="24"/>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669"/>
        <w:ind w:firstLine="452"/>
        <w:keepLines w:val="0"/>
        <w:keepNext w:val="0"/>
        <w:spacing w:before="0" w:after="0" w:line="500" w:lineRule="exact"/>
        <w:rPr>
          <w:sz w:val="30"/>
          <w:szCs w:val="30"/>
        </w:rPr>
      </w:pPr>
      <w:r/>
      <w:bookmarkStart w:id="27" w:name="_Toc28359084"/>
      <w:r/>
      <w:bookmarkStart w:id="28" w:name="_Toc35393794"/>
      <w:r/>
      <w:bookmarkStart w:id="29" w:name="_Toc35393625"/>
      <w:r/>
      <w:bookmarkStart w:id="30" w:name="_Toc38985267"/>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w:t>
      </w:r>
      <w:bookmarkStart w:id="213" w:name="_GoBack"/>
      <w:r/>
      <w:bookmarkEnd w:id="213"/>
      <w:r>
        <w:rPr>
          <w:rFonts w:hint="eastAsia" w:ascii="宋体" w:hAnsi="宋体" w:cs="宋体"/>
          <w:sz w:val="24"/>
          <w:szCs w:val="24"/>
        </w:rPr>
        <w:t xml:space="preserve">公告发布之日起5个工作日。</w:t>
      </w:r>
      <w:r/>
    </w:p>
    <w:p>
      <w:pPr>
        <w:pStyle w:val="66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69"/>
        <w:ind w:firstLine="452"/>
        <w:keepLines w:val="0"/>
        <w:keepNext w:val="0"/>
        <w:spacing w:before="0" w:after="0" w:line="500" w:lineRule="exact"/>
        <w:rPr>
          <w:sz w:val="30"/>
          <w:szCs w:val="30"/>
        </w:rPr>
      </w:pPr>
      <w:r/>
      <w:bookmarkStart w:id="35" w:name="_Toc35393796"/>
      <w:r/>
      <w:bookmarkStart w:id="36" w:name="_Toc28359085"/>
      <w:r/>
      <w:bookmarkStart w:id="37" w:name="_Toc28359008"/>
      <w:r/>
      <w:bookmarkStart w:id="38" w:name="_Toc38985269"/>
      <w:r/>
      <w:bookmarkStart w:id="39" w:name="_Toc35393627"/>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无锡市新吴区机关事务服务中心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址：无锡市和风路28号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采购人项目咨询</w:t>
      </w:r>
      <w:r>
        <w:rPr>
          <w:rFonts w:hint="eastAsia" w:ascii="宋体" w:hAnsi="宋体" w:eastAsia="宋体" w:cs="宋体"/>
          <w:sz w:val="24"/>
          <w:szCs w:val="24"/>
          <w:lang w:eastAsia="zh-CN"/>
        </w:rPr>
        <w:t xml:space="preserve">联系人：田大伟；电话：0510-81890109 18951586886</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采购人质疑受理联系人：田大伟；电话：0510-81890109 18951586886</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黑体" w:eastAsia="黑体"/>
          <w:sz w:val="36"/>
          <w:szCs w:val="36"/>
        </w:rPr>
        <w:t xml:space="preserve">投标人须知</w:t>
      </w:r>
      <w:bookmarkEnd w:id="43"/>
      <w:r/>
      <w:bookmarkEnd w:id="44"/>
      <w:r/>
      <w:bookmarkEnd w:id="45"/>
      <w:r/>
      <w:bookmarkEnd w:id="46"/>
      <w:r/>
      <w:r/>
    </w:p>
    <w:p>
      <w:pPr>
        <w:pStyle w:val="669"/>
        <w:ind w:firstLine="452"/>
        <w:keepLines w:val="0"/>
        <w:keepNext w:val="0"/>
        <w:spacing w:before="0" w:after="0" w:line="500" w:lineRule="exact"/>
        <w:rPr>
          <w:rFonts w:hint="eastAsia"/>
          <w:sz w:val="30"/>
          <w:szCs w:val="30"/>
        </w:rPr>
      </w:pPr>
      <w:r/>
      <w:bookmarkStart w:id="47" w:name="_Toc513029203"/>
      <w:r/>
      <w:bookmarkStart w:id="48" w:name="_Toc20823275"/>
      <w:r/>
      <w:bookmarkStart w:id="49" w:name="_Toc16938519"/>
      <w:r/>
      <w:bookmarkStart w:id="50" w:name="_Toc120614214"/>
      <w:r>
        <w:rPr>
          <w:rFonts w:hint="eastAsia"/>
          <w:sz w:val="30"/>
          <w:szCs w:val="30"/>
        </w:rPr>
        <w:t xml:space="preserve">一、总则</w:t>
      </w:r>
      <w:bookmarkEnd w:id="47"/>
      <w:r/>
      <w:bookmarkEnd w:id="48"/>
      <w:r/>
      <w:bookmarkEnd w:id="49"/>
      <w:r/>
      <w:bookmarkEnd w:id="50"/>
      <w:r/>
      <w:r/>
    </w:p>
    <w:p>
      <w:pPr>
        <w:pStyle w:val="67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70"/>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0"/>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70"/>
        <w:ind w:firstLine="422"/>
        <w:keepLines w:val="0"/>
        <w:keepNext w:val="0"/>
        <w:spacing w:before="0" w:after="0" w:line="500" w:lineRule="exact"/>
        <w:rPr>
          <w:rFonts w:hint="eastAsia" w:ascii="宋体" w:hAnsi="宋体" w:eastAsia="宋体"/>
          <w:bCs w:val="0"/>
        </w:rPr>
      </w:pPr>
      <w:r/>
      <w:bookmarkStart w:id="61" w:name="_Toc462564067"/>
      <w:r/>
      <w:bookmarkStart w:id="62" w:name="_Toc16938523"/>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69"/>
        <w:ind w:firstLine="452"/>
        <w:keepLines w:val="0"/>
        <w:keepNext w:val="0"/>
        <w:spacing w:before="0" w:after="0" w:line="500" w:lineRule="exact"/>
        <w:rPr>
          <w:rFonts w:hint="eastAsia"/>
          <w:sz w:val="30"/>
          <w:szCs w:val="30"/>
        </w:rPr>
      </w:pPr>
      <w:r/>
      <w:bookmarkStart w:id="65" w:name="_Toc120614215"/>
      <w:r/>
      <w:bookmarkStart w:id="66" w:name="_Toc513029209"/>
      <w:r/>
      <w:bookmarkStart w:id="67" w:name="_Toc20823281"/>
      <w:r/>
      <w:bookmarkStart w:id="68" w:name="_Toc16938525"/>
      <w:r>
        <w:rPr>
          <w:rFonts w:hint="eastAsia"/>
          <w:sz w:val="30"/>
          <w:szCs w:val="30"/>
        </w:rPr>
        <w:t xml:space="preserve">二、招标文件</w:t>
      </w:r>
      <w:bookmarkEnd w:id="65"/>
      <w:r/>
      <w:bookmarkEnd w:id="66"/>
      <w:r/>
      <w:bookmarkEnd w:id="67"/>
      <w:r/>
      <w:bookmarkEnd w:id="68"/>
      <w:r/>
      <w:r/>
    </w:p>
    <w:p>
      <w:pPr>
        <w:pStyle w:val="670"/>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0"/>
        <w:ind w:firstLine="422"/>
        <w:keepLines w:val="0"/>
        <w:keepNext w:val="0"/>
        <w:spacing w:before="0" w:after="0" w:line="500" w:lineRule="exact"/>
        <w:rPr>
          <w:rFonts w:hint="eastAsia" w:ascii="宋体" w:hAnsi="宋体" w:eastAsia="宋体"/>
          <w:bCs w:val="0"/>
          <w:color w:val="auto"/>
        </w:rPr>
      </w:pPr>
      <w:r/>
      <w:bookmarkStart w:id="72" w:name="_Toc20823283"/>
      <w:r/>
      <w:bookmarkStart w:id="73" w:name="_Toc513029211"/>
      <w:r/>
      <w:bookmarkStart w:id="74" w:name="_Toc16938527"/>
      <w:r/>
      <w:bookmarkStart w:id="75" w:name="_Toc462564070"/>
      <w:r>
        <w:rPr>
          <w:rFonts w:hint="eastAsia" w:ascii="宋体" w:hAnsi="宋体" w:eastAsia="宋体"/>
          <w:bCs w:val="0"/>
          <w:color w:val="auto"/>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0"/>
        <w:ind w:firstLine="422"/>
        <w:keepLines w:val="0"/>
        <w:keepNext w:val="0"/>
        <w:spacing w:before="0" w:after="0" w:line="500" w:lineRule="exact"/>
        <w:rPr>
          <w:rFonts w:hint="eastAsia" w:ascii="宋体" w:hAnsi="宋体" w:eastAsia="宋体"/>
          <w:bCs w:val="0"/>
          <w:color w:val="auto"/>
        </w:rPr>
      </w:pPr>
      <w:r/>
      <w:bookmarkStart w:id="76" w:name="_Toc513029212"/>
      <w:r/>
      <w:bookmarkStart w:id="77" w:name="_Toc462564071"/>
      <w:r/>
      <w:bookmarkStart w:id="78" w:name="_Toc16938528"/>
      <w:r/>
      <w:bookmarkStart w:id="79" w:name="_Toc20823284"/>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69"/>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513029213"/>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670"/>
        <w:ind w:firstLine="422"/>
        <w:keepLines w:val="0"/>
        <w:keepNext w:val="0"/>
        <w:spacing w:before="0" w:after="0" w:line="500" w:lineRule="exact"/>
        <w:rPr>
          <w:rFonts w:hint="eastAsia" w:ascii="宋体" w:hAnsi="宋体" w:eastAsia="宋体"/>
          <w:bCs w:val="0"/>
        </w:rPr>
      </w:pPr>
      <w:r/>
      <w:bookmarkStart w:id="85" w:name="_Toc513029214"/>
      <w:r/>
      <w:bookmarkStart w:id="86" w:name="_Toc20823286"/>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0"/>
        <w:ind w:firstLine="422"/>
        <w:keepLines w:val="0"/>
        <w:keepNext w:val="0"/>
        <w:spacing w:before="0" w:after="0" w:line="500" w:lineRule="exact"/>
        <w:rPr>
          <w:rFonts w:hint="eastAsia" w:ascii="宋体" w:hAnsi="宋体" w:eastAsia="宋体"/>
          <w:bCs w:val="0"/>
        </w:rPr>
      </w:pPr>
      <w:r/>
      <w:bookmarkStart w:id="89" w:name="_Toc513029215"/>
      <w:r/>
      <w:bookmarkStart w:id="90" w:name="_Toc462564074"/>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70"/>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14577357"/>
      <w:r/>
      <w:bookmarkStart w:id="97" w:name="_Toc513029219"/>
      <w:r/>
      <w:bookmarkStart w:id="98" w:name="_Toc49090509"/>
      <w:r/>
      <w:bookmarkStart w:id="99" w:name="_Toc513029216"/>
      <w:r/>
      <w:bookmarkStart w:id="100" w:name="_Toc14577354"/>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0"/>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0"/>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670425"/>
      <w:r/>
      <w:bookmarkEnd w:id="109"/>
      <w:r/>
      <w:bookmarkStart w:id="110" w:name="_Hlt26670486"/>
      <w:r/>
      <w:bookmarkEnd w:id="110"/>
      <w:r/>
      <w:bookmarkStart w:id="111" w:name="_Hlt26668983"/>
      <w:r/>
      <w:bookmarkEnd w:id="111"/>
      <w:r/>
      <w:bookmarkStart w:id="112" w:name="_Hlt26670403"/>
      <w:r/>
      <w:bookmarkEnd w:id="112"/>
      <w:r/>
      <w:bookmarkStart w:id="113" w:name="_Hlt26670482"/>
      <w:r/>
      <w:bookmarkEnd w:id="113"/>
      <w:r/>
      <w:bookmarkStart w:id="114" w:name="_Hlt26954844"/>
      <w:r/>
      <w:bookmarkEnd w:id="114"/>
      <w:r/>
      <w:bookmarkStart w:id="115" w:name="_Hlt26954846"/>
      <w:r/>
      <w:bookmarkEnd w:id="115"/>
      <w:r/>
      <w:bookmarkStart w:id="116" w:name="_Hlt26954731"/>
      <w:r/>
      <w:bookmarkEnd w:id="116"/>
      <w:r/>
      <w:bookmarkStart w:id="117" w:name="_Hlt26954848"/>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70"/>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69"/>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20823296"/>
      <w:r/>
      <w:bookmarkStart w:id="127" w:name="_Toc513029224"/>
      <w:r/>
      <w:bookmarkStart w:id="128" w:name="_Toc120614217"/>
      <w:r>
        <w:rPr>
          <w:rFonts w:hint="eastAsia"/>
          <w:sz w:val="30"/>
          <w:szCs w:val="30"/>
        </w:rPr>
        <w:t xml:space="preserve">四、投标文件的递交</w:t>
      </w:r>
      <w:bookmarkEnd w:id="125"/>
      <w:r/>
      <w:bookmarkEnd w:id="126"/>
      <w:r/>
      <w:bookmarkEnd w:id="127"/>
      <w:r/>
      <w:bookmarkEnd w:id="128"/>
      <w:r/>
      <w:r/>
    </w:p>
    <w:p>
      <w:pPr>
        <w:pStyle w:val="670"/>
        <w:ind w:firstLine="422"/>
        <w:keepLines w:val="0"/>
        <w:keepNext w:val="0"/>
        <w:spacing w:before="0" w:after="0" w:line="500" w:lineRule="exact"/>
        <w:rPr>
          <w:rFonts w:hint="eastAsia" w:ascii="宋体" w:hAnsi="宋体" w:eastAsia="宋体"/>
          <w:bCs w:val="0"/>
        </w:rPr>
      </w:pPr>
      <w:r/>
      <w:bookmarkStart w:id="129" w:name="_Toc462564084"/>
      <w:r/>
      <w:bookmarkStart w:id="130" w:name="_Toc16938541"/>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0"/>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0"/>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69"/>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
    </w:p>
    <w:p>
      <w:pPr>
        <w:pStyle w:val="670"/>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70"/>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0"/>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0"/>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16938550"/>
      <w:r/>
      <w:bookmarkStart w:id="159" w:name="_Toc20823306"/>
      <w:r/>
      <w:bookmarkStart w:id="160" w:name="_Toc513029234"/>
      <w:r>
        <w:rPr>
          <w:rFonts w:hint="eastAsia" w:ascii="宋体" w:hAnsi="宋体"/>
          <w:sz w:val="24"/>
        </w:rPr>
        <w:t xml:space="preserve">25.6投标人在开、</w:t>
      </w:r>
      <w:r>
        <w:rPr>
          <w:rFonts w:hint="eastAsia" w:ascii="宋体" w:hAnsi="宋体"/>
          <w:sz w:val="24"/>
          <w:highlight w:val="none"/>
        </w:rPr>
        <w:t xml:space="preserve">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4"/>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7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16938551"/>
      <w:r/>
      <w:bookmarkStart w:id="162" w:name="_Toc513029235"/>
      <w:r/>
      <w:bookmarkStart w:id="163" w:name="_Toc20823307"/>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highlight w:val="none"/>
        </w:rPr>
        <w:t xml:space="preserve">26.1.5投标人的被授权代表无授权委托书或授权委托日期晚于投标截止日</w:t>
      </w:r>
      <w:r>
        <w:rPr>
          <w:rFonts w:hint="eastAsia" w:ascii="宋体" w:hAnsi="宋体"/>
          <w:bCs/>
          <w:sz w:val="24"/>
          <w:szCs w:val="24"/>
        </w:rPr>
        <w:t xml:space="preserve">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rPr>
        <w:t xml:space="preserve">26.1.19不同投标</w:t>
      </w:r>
      <w:r>
        <w:rPr>
          <w:rFonts w:hint="eastAsia" w:ascii="宋体" w:hAnsi="宋体"/>
          <w:bCs/>
          <w:sz w:val="24"/>
          <w:highlight w:val="none"/>
        </w:rPr>
        <w:t xml:space="preserve">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6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70"/>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69"/>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670"/>
        <w:ind w:firstLine="422"/>
        <w:keepLines w:val="0"/>
        <w:keepNext w:val="0"/>
        <w:spacing w:before="0" w:after="0" w:line="500" w:lineRule="exact"/>
        <w:rPr>
          <w:rFonts w:hint="eastAsia" w:ascii="宋体" w:hAnsi="宋体" w:eastAsia="宋体"/>
          <w:bCs w:val="0"/>
        </w:rPr>
      </w:pPr>
      <w:r/>
      <w:bookmarkStart w:id="173" w:name="_Toc20823309"/>
      <w:r/>
      <w:bookmarkStart w:id="174" w:name="_Toc513029237"/>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20823314"/>
      <w:r/>
      <w:bookmarkStart w:id="177" w:name="_Toc16938558"/>
      <w:r/>
      <w:bookmarkStart w:id="178" w:name="_Toc513029242"/>
      <w:r/>
      <w:bookmarkStart w:id="179" w:name="_Toc120614221"/>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color w:val="auto"/>
          <w:sz w:val="24"/>
        </w:rPr>
      </w:pPr>
      <w:r/>
      <w:bookmarkStart w:id="181" w:name="_Toc513029243"/>
      <w:r/>
      <w:bookmarkStart w:id="182" w:name="_Toc20823315"/>
      <w:r/>
      <w:bookmarkStart w:id="183" w:name="_Toc16938559"/>
      <w:r>
        <w:rPr>
          <w:rFonts w:hint="eastAsia" w:ascii="宋体" w:hAnsi="宋体"/>
          <w:bCs/>
          <w:color w:val="auto"/>
          <w:sz w:val="24"/>
        </w:rPr>
        <w:t xml:space="preserve">以下为中标后签订本项目合同的通用条款，中标人不得提出实质性的修改。</w:t>
      </w:r>
      <w:r/>
    </w:p>
    <w:p>
      <w:pPr>
        <w:ind w:firstLine="602"/>
        <w:jc w:val="center"/>
        <w:spacing w:line="400" w:lineRule="exact"/>
        <w:rPr>
          <w:rFonts w:ascii="宋体" w:hAnsi="宋体"/>
          <w:b/>
          <w:bCs/>
          <w:color w:val="auto"/>
          <w:sz w:val="30"/>
          <w:szCs w:val="20"/>
        </w:rPr>
      </w:pPr>
      <w:r>
        <w:rPr>
          <w:rFonts w:hint="eastAsia" w:ascii="宋体" w:hAnsi="宋体"/>
          <w:b/>
          <w:color w:val="auto"/>
          <w:sz w:val="30"/>
        </w:rPr>
        <w:t xml:space="preserve">江苏省政府采购合同（货物）（合同编号）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p>
    <w:p>
      <w:pPr>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宋体" w:hAnsi="宋体" w:eastAsia="宋体" w:cs="Times New Roman"/>
          <w:color w:val="000000"/>
          <w:sz w:val="24"/>
          <w:szCs w:val="24"/>
        </w:rPr>
      </w:pPr>
      <w:r/>
      <w:bookmarkStart w:id="191" w:name="_Toc49090575"/>
      <w:r/>
      <w:bookmarkStart w:id="192" w:name="_Toc26554093"/>
      <w:r>
        <w:rPr>
          <w:rFonts w:hint="eastAsia" w:ascii="黑体" w:hAnsi="黑体" w:eastAsia="黑体"/>
          <w:sz w:val="30"/>
          <w:szCs w:val="30"/>
        </w:rPr>
        <w:t xml:space="preserve">本项目属</w:t>
      </w:r>
      <w:r>
        <w:rPr>
          <w:rFonts w:hint="eastAsia" w:ascii="宋体" w:hAnsi="宋体" w:eastAsia="宋体" w:cs="Times New Roman"/>
          <w:color w:val="000000"/>
          <w:sz w:val="24"/>
          <w:szCs w:val="24"/>
        </w:rPr>
        <w:t xml:space="preserve">性：货物类项目</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投标人所投内容必须满足以下要求，不得有负偏离。</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本项目标的物所属行业：详见项目技术要求</w:t>
      </w:r>
      <w:r/>
    </w:p>
    <w:p>
      <w:p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本项目中的P1.2全彩LED为核心产品。</w:t>
      </w:r>
      <w:r/>
    </w:p>
    <w:p>
      <w:pPr>
        <w:ind w:firstLine="480"/>
        <w:spacing w:line="360" w:lineRule="auto"/>
        <w:rPr>
          <w:rFonts w:ascii="宋体" w:hAnsi="宋体"/>
          <w:bCs/>
          <w:color w:val="000000"/>
          <w:sz w:val="24"/>
          <w:szCs w:val="24"/>
          <w:highlight w:val="none"/>
        </w:rPr>
      </w:pPr>
      <w:r>
        <w:rPr>
          <w:rFonts w:hint="eastAsia" w:ascii="宋体"/>
          <w:bCs/>
          <w:color w:val="000000"/>
          <w:sz w:val="24"/>
          <w:szCs w:val="24"/>
          <w:highlight w:val="none"/>
        </w:rPr>
        <w:t xml:space="preserve">本项目</w:t>
      </w:r>
      <w:r>
        <w:rPr>
          <w:rFonts w:hint="eastAsia" w:ascii="宋体"/>
          <w:bCs/>
          <w:color w:val="000000"/>
          <w:sz w:val="24"/>
          <w:szCs w:val="24"/>
          <w:highlight w:val="none"/>
          <w:lang w:val="en-US" w:eastAsia="zh-CN"/>
        </w:rPr>
        <w:t xml:space="preserve">不</w:t>
      </w:r>
      <w:r>
        <w:rPr>
          <w:rFonts w:hint="eastAsia" w:ascii="宋体"/>
          <w:bCs/>
          <w:color w:val="000000"/>
          <w:sz w:val="24"/>
          <w:szCs w:val="24"/>
          <w:highlight w:val="none"/>
        </w:rPr>
        <w:t xml:space="preserve">接受进口产品参与投标。</w:t>
      </w:r>
      <w:r/>
    </w:p>
    <w:p>
      <w:pPr>
        <w:pStyle w:val="744"/>
      </w:pPr>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一、建设背景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城市化进程加速与安全风险增加：随着城市化进程的加快，城市人口密集，建筑物增多，尤其是高楼大厦和地下空间的建设，带来了新的火灾风险。大型火灾事故的救援难度和复杂性也大大增加，因此，建立专门的指挥中心以提高应急响应能力，成为保障公众安全的迫切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信息高效传递需求：消防工作涉及大量信息的实时传递与共享，包括灾害预警、救援指令、培训资料等。传统信息传递方式效率低、易出错，难以满足消防应急响应的及时性要求。通过信息发布系统，可快速将关键信息精准推送至指定区域；多媒体会议系统则支持远程会商、跨部门协作，提升指挥调度和决策效率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会议与培训模式升级：消防大队日常会议、培训、演练等活动频繁，传统会议设备功能单一、灵活性差，难以适应多样化场景需求。多媒体会议系统具备高清音视频、智能控制等功能，能实现沉浸式培训、远程调度指挥作战及演练等新型模式，助力提升消防队伍专业能力和协同作战水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安全管理形势严峻：消防特勤指挥中心承担着重要的公共安全职责，对安防管理要求较高。构建智能化安防系统，可实现对办公楼全方位、无死角的实时监控与智能预警、出入口管控，保障人员、物资和信息安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二、建设目标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信息化的建设，是利用先进的信息技术，构建"高效互联、智能协同、实战导向"的现代化消防指挥办公体系，通过网络系统升级、智能信息展示、数字化会议协同等三大核心建设，打造安全可靠的基础网络环境、构建可视化指挥调度平台、实现智能会议联动，全面提升消防业务数字化管理水平和应急指挥效率，提升消防大队的应急响应能力、日常办公效率和管理水平。</w:t>
      </w:r>
      <w:r/>
    </w:p>
    <w:p>
      <w:pPr>
        <w:ind w:firstLine="48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1、提升应急指挥效能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应急通信保障：在突发事件和紧急情况下，能够迅速建立应急通信链路，保障指挥指令的及时下达和现场信息的实时反馈，确保应急救援工作的通信需求得到满足。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高效通信调度：确保与现场救援人员、各消防站及相关部门间的语音、数据、视频通信畅通，实现远程实时指挥调度。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通信设备管理与维护：对通信设备进行集中管理和实时监控，及时发现设备故障并进行维护维修，确保设备始终处于良好的运行状态，提高通信设备的可靠性和使用寿命。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2、提高日常办公效率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高质量音视频体验：配备先进的音频和视频设备，确保会议过程中声音清晰、视频流畅，提供高质量的会议体验，无论是本地会议还是远程视频会议，都能让参会人员准确传达和接收信息。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智能便捷控制：实现会议系统的智能化控制，通过集中控制系统，可方便地对音响、视频播放等设备进行统一操作，简化会议准备和操作流程，提高会议效率。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会议功能丰富：支持多种会议功能，如多方视频会议、屏幕共享、文件传输、电子白板等，满足消防大队日常工作会议、业务培训、远程协作等不同场景的需求。</w:t>
      </w:r>
      <w:r/>
    </w:p>
    <w:p>
      <w:pPr>
        <w:ind w:firstLine="48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3、加强安全防范能力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智能安防监控：部署视频监控等安防设施，实现对办公楼的全方位、实时安全监控和预警。</w:t>
      </w:r>
      <w:r/>
    </w:p>
    <w:p>
      <w:pPr>
        <w:ind w:firstLine="48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4、加强宣传教育</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信息展示多样化：能够实时展示各类消防相关信息，包括火灾预警信息、救援现场动态、消防知识科普、通知公告等，以多样化的形式呈现给消防大队人员和来访人员。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提升单位形象：用于展示消防大队的工作成果、文化建设、荣誉奖项等内容，提升单位的整体形象和社会影响力，增强消防大队的凝聚力和自豪感。</w:t>
      </w:r>
      <w:r/>
    </w:p>
    <w:p>
      <w:pPr>
        <w:ind w:firstLine="48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5、高速稳定通信</w:t>
      </w:r>
      <w:r/>
    </w:p>
    <w:p>
      <w:pPr>
        <w:ind w:firstLine="48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构建高速、稳定的网络基础设施，确保消防大队与上级政务部门、其他相关单位之间数据传输的高效性和可靠性，实现信息的即时共享与交互。</w:t>
      </w:r>
      <w:r/>
    </w:p>
    <w:p>
      <w:pPr>
        <w:ind w:firstLine="48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6、提升队伍管理水平</w:t>
      </w:r>
      <w:r/>
    </w:p>
    <w:p>
      <w:pPr>
        <w:ind w:firstLine="48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强化基层治理能力建设。</w:t>
      </w:r>
      <w:r/>
    </w:p>
    <w:p>
      <w:pPr>
        <w:ind w:firstLine="48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完善规章制度，加强纪律作风和安全管理。</w:t>
      </w:r>
      <w:r/>
    </w:p>
    <w:p>
      <w:pPr>
        <w:ind w:firstLine="48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这些建设目标评价有助于消防特勤指挥中心全面提升综合素质和应急处置能力，更好地保障人民生命财产安全。同时，通过定期的检查和评估，可以及时发现并解决存在的问题，不断优化和提升消防工作水平。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三、技术清单</w:t>
      </w:r>
      <w:r/>
    </w:p>
    <w:tbl>
      <w:tblPr>
        <w:tblStyle w:val="677"/>
        <w:tblW w:w="935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155"/>
        <w:gridCol w:w="3007"/>
        <w:gridCol w:w="1050"/>
        <w:gridCol w:w="735"/>
        <w:gridCol w:w="1161"/>
        <w:gridCol w:w="1418"/>
      </w:tblGrid>
      <w:tr>
        <w:trPr>
          <w:trHeight w:val="76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分项名称</w:t>
            </w:r>
            <w:r/>
          </w:p>
        </w:tc>
        <w:tc>
          <w:tcPr>
            <w:tcW w:w="3007"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性能指标</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所属系统及部署位置</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数量</w:t>
            </w:r>
            <w:r/>
          </w:p>
        </w:tc>
        <w:tc>
          <w:tcPr>
            <w:tcW w:w="1161"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所属行业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备注(用途)</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接处警指挥调度专用计算机网络系统</w:t>
            </w:r>
            <w:r/>
          </w:p>
        </w:tc>
        <w:tc>
          <w:tcPr>
            <w:tcW w:w="3007"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1.1</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政务网</w:t>
            </w:r>
            <w:r/>
          </w:p>
        </w:tc>
        <w:tc>
          <w:tcPr>
            <w:tcW w:w="300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核心交换机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支持48个10/100/1000Base-X光口和4个1G/10GE光口；整机交换容量：858Gbps；包转发率：442Mpps；MAC地址32K；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网络系统/中心机房</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用于指挥室、办公室、会议室政务网</w:t>
            </w:r>
            <w:r/>
          </w:p>
        </w:tc>
      </w:tr>
      <w:tr>
        <w:trPr>
          <w:trHeight w:val="10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汇聚交换机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支持16个1000Base-X SFP光口、8个Combo口和4个10GE SFP+光口，交换容量598G，包转发率160Mpps，16K MAC，支持用户管理，支持系统管理，支持DDM光模，支持环网冗余技术 (自愈时间＜20ms)</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网络系统/弱电间</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用于指挥室、办公室、会议室政务网</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48口千兆交换机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支持48个10/100/1000Base-T电口和4个1G/10GE光口，整机交换容量：598Gbps；包转发率：160Mpps；MAC地址32K；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用于指挥室、办公室、会议室政务网</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48口千兆交换机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支持48个10/100/1000Base-T电口和4个1G/10GE光口，整机交换容量：598Gbps；包转发率：160Mpps；MAC地址32K；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用于新增加的网络信息点</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24口千兆交换机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支持24个10/100/1000Base-T电口和4个1G/10GE光口，整机交换容量：480Gbps；包转发率：150Mpps；</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用于新增加的网络信息点</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24口配线架（满配模块）</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24口，非屏蔽，含模块</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网络系统/弱电间</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配线理线架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19英寸机架安装，单理线架容纳24根六类跳线</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网络系统/弱电间</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网络双口插座</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双口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网络系统/2#大队办公室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网络双口地座</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双口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网络系统/2#大队指挥中心</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网络单口地座</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单口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网络系统/2#大队指挥中心</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网络模块</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六类</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网络系统/2#大队</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6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安全网关及服务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硬件规格：1U，8个千兆电口，2个千兆光口，内置单交流电源；性能规格：吞吐量2Gbps，并发连接数100万，新建连接数1.1万。支持访问控制、DoS/DDoS攻击防护、暴力破解防护等多种安全防护策略，提供IPsec、SSL、GRE多种VPN Overlay，可支持HA、VRRP冗余组网，可同时支持IPv4/IPv6网络。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支持扩展入侵检测防护功能，可针对目录遍历、蠕虫病毒、木马后门、跨站攻击、SQL注入、漏洞扫描等多种类型攻击行为进行检测防护；支持扩展病毒检测防护功能，针对主流网络协议、主流文件类型进行恶意代码检测防护；支持扩展七层应用识别和WEB站点分类识别，提供应用流量分析、网络访问审计、智能流量控制、网络行为管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包含五年APP、IPS、AV、URL升级和维护服务。</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网络系统/中心机房</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用于指挥室、办公室、会议室政务网</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单模模块</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万兆光模块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网络系统/弱电间</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用于指挥室、办公室、会议室政务网</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单模模块</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千兆光模块</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网络系统/弱电间</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用于指挥室、办公室、会议室政务网</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网络机柜</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尺寸：600*600*2000mm,前玻璃后钢板</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网络系统/指挥室、通信室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指挥室、通信室各1台</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PDU</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网络系统/指挥室、通信室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1.2</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设备网（人行闸机使用）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8口交换机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支持8个10/100/1000Base-T电口和2个100/1000Base-X SC光口，交换容量50G，MAC地址4k；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网络系统/门卫弱电箱</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9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单模千兆模块</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千兆光模块</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网络系统/门卫弱电箱</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1.3</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指挥网</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核心交换机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支持16个10/100/1000Base-X电口、8个Combo口和4个10GSFP光口，交换容量192G，全线速转发，MAC地址16K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网络系统/中心机房</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用于会议室、指挥室的指挥网接入</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16口交换机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支持至少16个10/100/1000Base-X自适应电口和2个1000Base-X SFP光口，交换容量192G，包转发率42Mpps，全线速转发，MAC地址8K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网络系统/机柜</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用于会议室、指挥室的指挥网接入</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8口POE交换机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支持8个10/100/1000Base-T电口（8个电口均支持poe）,2个10/100/1000Base-T电口和1个100/1000Base-X SFP光口，交换容量50G，MAC地址4k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网络系统/机柜</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用于指挥网前端摄像机等设备接入</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光纤收发器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支持4个10/100Base-X电口和1个100Base-X光口(单模单纤20kmSC)，交换容量2G</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网络系统/机柜</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岗亭、训练塔各1对</w:t>
            </w:r>
            <w:r/>
          </w:p>
        </w:tc>
      </w:tr>
      <w:tr>
        <w:trPr>
          <w:trHeight w:val="61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单模千兆模块</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千兆光模块</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网络系统/机柜</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二</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接处警营区安全与值守监控系统</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2.1</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室外监控</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26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球型摄像机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1、采用400万像素1/1.8英寸CMOS 传感器，支持33倍光学变倍，16倍数字变倍；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2、内置GPU芯片，支持机动车、非机动车、人体检测；支持跟踪；支持优选；支持抓拍；支持上报最优的机动车属性抓图；</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3、支持1路音频输入和1路音频输出、内置2路报警输入和1路报警输出，支持报警联动功能；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4、支持IP67防护等级，支持DC24V±30%宽电压输入，支持GB35114A级；</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安防系统/1#中队</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照射消防车库，接入消防总队指挥网，监控球机需支持语音对讲功能，支持语音转接板接入，可以将350M手持电台数字语音转码成模拟信号，通过球机Audio输入，Audio输出接功放或调音台传输至营区喇叭、扩音器或音柱</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网络硬盘录像机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32路H.265/H.264混合接入实时录像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支持12MP/8MP/6MP/5MP/3MP/1080P/720P像素设备接入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4盘位存储，单盘最大10TB</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安防系统/1#中队</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6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硬盘</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6TB</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安防系统/1#中队</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壁装支架定制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根据现场条件定制制作</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安防系统/1#中队</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电源</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24V</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安防系统/1#中队</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3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监控及对讲管理软件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监控及对讲管理</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安防系统/1#中队</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须全权负责完成与采购人现有平台的互通对接；现有原平台厂商不得以未付费、授权、保密、技术限制等任何理由拒绝开放标准API 接口和国标GB28281协议等；</w:t>
            </w:r>
            <w:r/>
          </w:p>
        </w:tc>
      </w:tr>
      <w:tr>
        <w:trPr>
          <w:trHeight w:val="52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2.2</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出入口人行闸机系统</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8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单机芯人行通道闸</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尺寸：1200×200×980；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材质：304不锈钢/喷塑；</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道宽：600-850；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具有故障自检和报警提示功能，方便维护及使用；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通过主控板上的内置小按盘，可编程设备的运行状态；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机械结构防夹、防碰伤功能，在摆臂复位的过程中遇阻时，在规定的时间内电机自动停止工作，默认延时后再次复位（直到复位为止），且力度很小（≤2Kg）；</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防冲功能，在没有接收到开闸信号时，摆臂自动锁死；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摆臂同步可调（针对双摆情况）；</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具有自动复位功能，开闸后，在规定的时间内未通行时，系统将自动取消此次通行的权限；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可调节常开或常闭，以满足不同场地的要求；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可与多种读卡设备相挂接，接收继电器开关信号工作；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单向、双向摆功能，可单向或双向控制人员进出；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可直接通过管理计算机实现远程控制与管理；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延时自动复位，标准为开启后5秒自动复位；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断电摆臂自动摆开、上电自动闭合，符合消防要求；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声（光）报警功能，含非法闯入报警、(反向闯入关闸)；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计数功能（可选配）；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防夹功能(4对红外)；</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语音输出，人性化提示正确通行（可选配）。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技术参数：</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结构：框架结构/304不锈钢外壳；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生产工艺：全电脑数控激光切割机生产；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摆臂传动角度：180度；</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工作电压： AC220 ±10% V/50 ±10% 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驱动电机： 直流无刷电机（24V）；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输入接口： 干接点信号或12V电平信号或脉宽≥100ms的12V脉冲信号，驱动电流≥10mA；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通信接口： RS485标准 距离≤1200米；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LED指示灯：2个，读卡窗：2个；</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通行速度：40人/分钟（常开），25-30人/分钟（常闭）；</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闸门开、关时间：1-2秒；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上电后进入通行状态所需时间：3秒；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出现故障后的自动复位时间：10秒；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工作环境：室内、室外（阴棚）；</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温度：-10℃— 50℃，相对湿度：≤90%，不凝露；</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安防系统/出入口</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69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双机芯人行通道闸</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尺寸：1200×200×980；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材质：304不锈钢/喷塑；</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道宽： 600-850；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具有故障自检和报警提示功能，方便用户维护及使用；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通过主控板上的内置小按盘，可编程设备的运行状态；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机械结构防夹、防碰伤功能，在摆臂复位的过程中遇阻时，在规定的时间内电机自动停止工作，默认延时后再次复位（直到复位为止），且力度很小（≤2Kg）；</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防冲功能，在没有接收到开闸信号时，摆臂自动锁死；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摆臂同步可调（针对双摆情况）；</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具有自动复位功能，开闸后，在规定的时间内未通行时，系统将自动取消此次通行的权限；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可调节常开或常闭，以满足不同场地的要求；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可与多种读卡设备相挂接，接收继电器开关信号工作；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单向、双向摆功能，可单向或双向控制人员进出；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可直接通过管理计算机实现远程控制与管理；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延时自动复位，标准为开启后5秒自动复位；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断电摆臂自动摆开、上电自动闭合，符合消防要求；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声（光）报警功能，含非法闯入报警、(反向闯入关闸)；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计数功能（可选配）；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防夹功能(4对红外)；</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语音输出，人性化提示正确通行（可选配）。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技术参数：</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结构：框架结构/304不锈钢外壳；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生产工艺：全电脑数控激光切割机生产；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摆臂传动角度：180度；</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工作电压：AC220 ±10% V/50 ±10% 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驱动电机：直流无刷电机（24V）；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输入接口：干接点信号或12V电平信号或脉宽≥100ms的12V脉冲信号，驱动电流≥10mA；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通信接口：RS485标准 距离≤1200米；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LED指示灯：2个，读卡窗：2个；</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通行速度：40人/分钟（常开），25-30人/分钟（常闭）；</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闸门开、关时间：1-2秒；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上电后进入通行状态所需时间：3秒；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出现故障后的自动复位时间：10秒；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工作环境：室内、室外（阴棚）；</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温度：-10℃— 50℃，相对湿度：≤90%，不凝露；</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安防系统/出入口</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3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设备基础定制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现场定制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安防系统/出入口</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5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三</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信息发布系统</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3.1</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2#一层大厅LED（3840*2080）mm</w:t>
            </w:r>
            <w:r/>
          </w:p>
        </w:tc>
        <w:tc>
          <w:tcPr>
            <w:tcW w:w="3007"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装饰预留尺寸：（3920*2160）mm</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8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P1.8全彩LED</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1、净显示尺寸：(3840*2080)mm=7.9872㎡，</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像素点间距≤1.87mm，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单元板像素点：172*86，</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像素密度≥280000点/㎡；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2、平整度：≤0.05mm；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3、对比度≥10000∶1，</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亮度均匀性≥98%，</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亮度≥800cd/㎡，</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色度均与性≤±0.002之内，</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发光点距中心距偏差≤1%，</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像素失控率≤0.000001；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4、色温≥1000k至20000k，色温为6500K时，100%、75%、50%、25%四挡电平白场调节色温误差≤200K；</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5、视角：水平、垂直≥170°；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6、亮度衰减率≤5%/Y；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7、支持热插拔，具有暗亮线修复功能，支持暗线亮线校正功能，支持数据存储功能，具备毛毛虫消除功能；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8、画面延时≤1ms；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9、支持逐点校正，远程监控，支持动态节能45%以上；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10、刷新频率≥3840Hz；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11、换帧频率：≥50Hz；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12、产品最大功率≤670W/㎡，平均功率≤150W/㎡；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13、寿命典型值≥100000 小时。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信息发布/2#一层大厅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7.98</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分辨率：2236*1204</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LED室内支架现场定制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尺寸：（3920*2160）mm=8.4672㎡</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框架采用40×40矩形钢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含不锈钢包边及装饰</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信息发布/2#一层大厅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8.4</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23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LED视频处理器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1、1路DP1.4、1路HDMI2.0输入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2路HDMI1.4和2路DVI输入；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2、最大带载524万像素，宽16384像素，或高8192像素；</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3、最大输入分辨率4096×2160@60Hz，支持自定义分辨率设置；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4、8路千兆网口输出；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5、对视频信号任意切换，裁剪，拼接，缩放；</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6、6画面显示，位置，大小可自由调节。</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信息发布/2#一层大厅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15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HDMI视频线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1、HDMI2.0有源光纤；</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2、长度：20米；                                                                                                             3、支持HDMI 1.4和2.0标准，最高支持4K@60Hz超高清显示；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4、支持HDCP 2.2；                                                                  5、标准HDMI插件，即插即用。</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信息发布/2#一层大厅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0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LED配电柜</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LED显示屏PLC智能配电柜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输入电压：380V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输出电压：220V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额定功率：10KW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输出回路：3个单相回路（AC220V）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每路输出最大带载功率：≤3.33KW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回路状态监测：单回路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远程控制：有</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信息发布/2#一层大厅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5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音箱</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1.音箱类型为音柱，阻抗≤6Ω，额定功率≥200W，≥6×3"全频喇叭单元；覆盖角度：等同或宽于100°(H)×90°(V)。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2.频率响应：等同或宽于80Hz-20kHz。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3.指定频带内的声压级：≥115dB±2dB。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4.总谐波失真≤0.293%/265Hz。</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信息发布/2#一层大厅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6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音箱支架定制制作</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信息发布/2#一层大厅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多媒体功放机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1.音源具备光纤，同轴，USB，蓝牙，路线，麦克风等多路输入；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2.内置DSP音效处理，具备延时、混响、混音、防啸叫（7级移频）、变调（10级），人声激励，消原唱等功能。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3.控制可以通过红外遥控、编码开关、按键实现其功能；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4.面板LCD显示屏,实现直观显示各种功能及工作状态；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5.提供≥3路RCA线路输入，≥3路平衡麦带幻象电源输入；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6.采用DSP处理器，预置多种场景模式；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7.每路话筒音量独立可调，效果可调，音乐音量独立可调，高中低音调节；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8.支持USB播放，支持MP3、WAV、APE、FLAC等主流音乐格式。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9.具有开关机软启动保护功能，具有功放有压限、短路、过载、过热保护。</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10.面板：铝合金材质；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11.内置≥48V幻象开关控制功能。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12.支持蓝牙功能，可以手机，电脑等设备连接；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13.每个话筒输入有增益调节功能，话筒能最佳匹配功放输入状态。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14.额定输出功率：≥2x500W@4R；≥2x350W@8R</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信息发布/2#一层大厅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3.2</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食堂部分</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9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终端</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≥55英寸；分辨率：3840*2160；★</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采购的终端</w:t>
            </w:r>
            <w:r>
              <w:rPr>
                <w:rFonts w:hint="eastAsia" w:ascii="宋体" w:hAnsi="宋体" w:eastAsia="宋体" w:cs="宋体"/>
                <w:b/>
                <w:bCs/>
                <w:color w:val="000000"/>
                <w:sz w:val="20"/>
                <w:szCs w:val="20"/>
              </w:rPr>
              <w:t xml:space="preserve">为政府强制采购节能产品，投标人只能选择具有节能产品认证证书的产品进行报价;投标时须提供所投</w:t>
            </w:r>
            <w:r>
              <w:rPr>
                <w:rFonts w:hint="eastAsia" w:ascii="宋体" w:hAnsi="宋体" w:eastAsia="宋体" w:cs="宋体"/>
                <w:b/>
                <w:bCs/>
                <w:color w:val="000000"/>
                <w:sz w:val="20"/>
                <w:szCs w:val="20"/>
                <w:lang w:eastAsia="zh-CN"/>
              </w:rPr>
              <w:t xml:space="preserve">终端</w:t>
            </w:r>
            <w:r>
              <w:rPr>
                <w:rFonts w:hint="eastAsia" w:ascii="宋体" w:hAnsi="宋体" w:eastAsia="宋体" w:cs="宋体"/>
                <w:b/>
                <w:bCs/>
                <w:color w:val="000000"/>
                <w:sz w:val="20"/>
                <w:szCs w:val="20"/>
              </w:rPr>
              <w:t xml:space="preserve">由国家确定的认证机构出具的处于有效期之内的节能产品认证证书扫描件。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信息发布/食堂</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含播放终端</w:t>
            </w:r>
            <w:r/>
          </w:p>
        </w:tc>
      </w:tr>
      <w:tr>
        <w:trPr>
          <w:trHeight w:val="69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配套定制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信息发布/食堂</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3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四</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接处警通信室专用设备</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6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接处警处理服务器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信息化设备/通信室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0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接处警文档输出设备</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支持A4黑白；★</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w:t>
            </w:r>
            <w:r>
              <w:rPr>
                <w:rFonts w:hint="eastAsia" w:ascii="宋体" w:hAnsi="宋体" w:eastAsia="宋体" w:cs="宋体"/>
                <w:b/>
                <w:bCs/>
                <w:color w:val="000000"/>
                <w:sz w:val="20"/>
                <w:szCs w:val="20"/>
              </w:rPr>
              <w:t xml:space="preserve">接处警文档输出设备为政府强制采购节能产品，投标人只能选择具有节能产品认证证书的产品进行报价;投标时须提供所投接处警文档输出设备由国家确定的认证机构出具的处于有效期之内的节能产品认证证书扫描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信息化设备/通信室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1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接处警350M基地台</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350M基地台</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信息化设备/通信室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接处警接处警应急备用电源及电池</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2000VA，不低于6小时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信息化设备/通信室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工具箱组</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包含（巡线测线一体、网线钳、网络水晶头、电话水晶头、螺丝刀，剥线钳）</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信息化设备/通信室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通信班</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火警调度电话</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国产</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信息化设备/通信室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五</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指挥调度音视频设备</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55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5.1</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宣泄室保障子系统</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61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终端</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≥55英寸；分辨率：3840*2160；★</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采购的终端</w:t>
            </w:r>
            <w:r>
              <w:rPr>
                <w:rFonts w:hint="eastAsia" w:ascii="宋体" w:hAnsi="宋体" w:eastAsia="宋体" w:cs="宋体"/>
                <w:b/>
                <w:bCs/>
                <w:color w:val="000000"/>
                <w:sz w:val="20"/>
                <w:szCs w:val="20"/>
              </w:rPr>
              <w:t xml:space="preserve">为政府强制采购节能产品，投标人只能选择具有节能产品认证证书的产品进行报价;投标时须提供所投</w:t>
            </w:r>
            <w:r>
              <w:rPr>
                <w:rFonts w:hint="eastAsia" w:ascii="宋体" w:hAnsi="宋体" w:eastAsia="宋体" w:cs="宋体"/>
                <w:b/>
                <w:bCs/>
                <w:color w:val="000000"/>
                <w:sz w:val="20"/>
                <w:szCs w:val="20"/>
                <w:lang w:eastAsia="zh-CN"/>
              </w:rPr>
              <w:t xml:space="preserve">终端</w:t>
            </w:r>
            <w:r>
              <w:rPr>
                <w:rFonts w:hint="eastAsia" w:ascii="宋体" w:hAnsi="宋体" w:eastAsia="宋体" w:cs="宋体"/>
                <w:b/>
                <w:bCs/>
                <w:color w:val="000000"/>
                <w:sz w:val="20"/>
                <w:szCs w:val="20"/>
              </w:rPr>
              <w:t xml:space="preserve">由国家确定的认证机构出具的处于有效期之内的节能产品认证证书扫描件。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4F宣泄室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3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支架定制安装</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4F宣泄室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主扩扬声器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1、系统类型: 10英寸，3分频，低频反射式;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2、额定阻抗: 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3、频率范围(-10dB): 48Hz-18KHz;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4、频率响应(+3dB): 65HZ-16KHz;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5、低音单元: 1x10英寸;</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6、中音单元: 2x3英寸中音;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7、高音单元: 2x3英寸高音单元;</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8、灵敏度(1w/1m): 89dB;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9、较大声压级输出: 111dB(较大: 117d8)@1m;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10、覆盖角: 150°x 120x(HxV);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11、额定输出功率150W。</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4F宣泄室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10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主扩扬声器双通道功率放大器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1、输出功率8Ω：≥300W；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立体声功率4Ω：≥450W；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桥接模式8Ω：≥700W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2、频响：20Hz-20kHz</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4F宣泄室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49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扩声扬声器专用吊挂架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扬声器专用吊架，含转换配件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4F宣泄室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23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数字效果处理器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1、拥有基本的音量、滤波、压限、延时、回声、混响等音效调节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2、拥有48KHz/s或以上音频采样率，数据传输位深24Bits 或以上</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3、数模/模数信噪比(SNR)100dB(48KHz/s SR) 或以上</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4、模拟输入输出时间间隔低于4.0ms</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5、低输出静噪，可自动调节的噪声门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6、拥有灵活可调节的音频控制平台</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7、高精准低纹波的模拟供电系统</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4F宣泄室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43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无线手持麦克风</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娱乐演出话筒</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4F宣泄室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49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19英寸标准木质机柜</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600×600×600</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4F宣泄室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含线缆配件</w:t>
            </w:r>
            <w:r/>
          </w:p>
        </w:tc>
      </w:tr>
      <w:tr>
        <w:trPr>
          <w:trHeight w:val="18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执勤文化保障点播设备</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1、Android 系统</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2、多唱K歌娱乐系统</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3、内置应用市场，支持Android电视应用。针对KTV娱乐全新设计，拥有海量高清正版歌曲，资源丰富。</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4、提供CDN服务集群云曲库，极速下载。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5、支持无线投屏、移动播控、语音点歌等功能。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6、匠心设计，带来专业级K歌娱乐体验</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4F宣泄室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5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21.5寸触控屏</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21.5寸</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4F宣泄室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58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5.2</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大队培训室会议设备</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智能终端</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≥98英寸，智能终端；★</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采购的智能终端</w:t>
            </w:r>
            <w:r>
              <w:rPr>
                <w:rFonts w:hint="eastAsia" w:ascii="宋体" w:hAnsi="宋体" w:eastAsia="宋体" w:cs="宋体"/>
                <w:b/>
                <w:bCs/>
                <w:color w:val="000000"/>
                <w:sz w:val="20"/>
                <w:szCs w:val="20"/>
              </w:rPr>
              <w:t xml:space="preserve">为政府强制采购节能产品，投标人只能选择具有节能产品认证证书的产品进行报价;投标时须提供所投</w:t>
            </w:r>
            <w:r>
              <w:rPr>
                <w:rFonts w:hint="eastAsia" w:ascii="宋体" w:hAnsi="宋体" w:eastAsia="宋体" w:cs="宋体"/>
                <w:b/>
                <w:bCs/>
                <w:color w:val="000000"/>
                <w:sz w:val="20"/>
                <w:szCs w:val="20"/>
                <w:lang w:eastAsia="zh-CN"/>
              </w:rPr>
              <w:t xml:space="preserve">智能终端</w:t>
            </w:r>
            <w:r>
              <w:rPr>
                <w:rFonts w:hint="eastAsia" w:ascii="宋体" w:hAnsi="宋体" w:eastAsia="宋体" w:cs="宋体"/>
                <w:b/>
                <w:bCs/>
                <w:color w:val="000000"/>
                <w:sz w:val="20"/>
                <w:szCs w:val="20"/>
              </w:rPr>
              <w:t xml:space="preserve">由国家确定的认证机构出具的处于有效期之内的节能产品认证证书扫描件。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音视频系统/大队培训室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智能终端</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≥98英寸，智能终端；★</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采购的智能终端</w:t>
            </w:r>
            <w:r>
              <w:rPr>
                <w:rFonts w:hint="eastAsia" w:ascii="宋体" w:hAnsi="宋体" w:eastAsia="宋体" w:cs="宋体"/>
                <w:b/>
                <w:bCs/>
                <w:color w:val="000000"/>
                <w:sz w:val="20"/>
                <w:szCs w:val="20"/>
              </w:rPr>
              <w:t xml:space="preserve">为政府强制采购节能产品，投标人只能选择具有节能产品认证证书的产品进行报价;投标时须提供所投</w:t>
            </w:r>
            <w:r>
              <w:rPr>
                <w:rFonts w:hint="eastAsia" w:ascii="宋体" w:hAnsi="宋体" w:eastAsia="宋体" w:cs="宋体"/>
                <w:b/>
                <w:bCs/>
                <w:color w:val="000000"/>
                <w:sz w:val="20"/>
                <w:szCs w:val="20"/>
                <w:lang w:eastAsia="zh-CN"/>
              </w:rPr>
              <w:t xml:space="preserve">智能终端</w:t>
            </w:r>
            <w:r>
              <w:rPr>
                <w:rFonts w:hint="eastAsia" w:ascii="宋体" w:hAnsi="宋体" w:eastAsia="宋体" w:cs="宋体"/>
                <w:b/>
                <w:bCs/>
                <w:color w:val="000000"/>
                <w:sz w:val="20"/>
                <w:szCs w:val="20"/>
              </w:rPr>
              <w:t xml:space="preserve">由国家确定的认证机构出具的处于有效期之内的节能产品认证证书扫描件。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音视频系统/党委会议室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支架定制安装</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音视频系统/大队培训室、党委会议室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无线投屏器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4K高清</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音视频系统/大队培训室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5.3</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1#三层火焰蓝报告厅</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A、投影系统（现场已预留孔洞尺寸为3.852*2.4）</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3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高清激光投影</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1、投影技术：DLP投影系统，芯片尺寸：≥0.65"DMD/S600；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2、亮度：≥4200lm；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3、分辨率：≥1920×1080，兼容4K信号输入；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4、光源类型：MCL激光二极管模组；</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5、光源寿命：≥20,000 小时（标准模式），≥30,000小时（节能模式）；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6、对比度：≥6,000,000:1；</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7、镜头：投射比1.12-1.47:1。</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透声影院电影幕（根据现场定制）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超窄边，宽度3840，高度2160，比例16：9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全铝合金结构</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投影机安装吊架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根据现场定制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15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4K HDMI光纤</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机柜至投影</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1、HDMI2.0有源光纤；</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2、长度：20米；                                                                                                             3、支持HDMI 1.4和2.0标准，最高支持4K@60Hz超高清显示；4、支持HDCP 2.2；                                                                  5、标准HDMI插件，即插即用。</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55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B、信号接入</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4K 高清投屏器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输出分辨率：3840x2160</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多功能信息接口</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含HDMI、电源、网络、卡侬模块</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9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C、火焰蓝报告厅扩声系统</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左右声道主扩扬声器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1、频率范围：55-20kHz；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2、灵敏度(2.83v/1m)：≥97dB；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3、最大声压级@1m：≥129dB；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4、系统额定阻抗：8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5、低音单元：1×12"；</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6、高音单元：1×2"钛膜钛膜压缩高音单元；</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7、功率：持续功率：≥400W；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节目功率：≥800w；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峰值功率：≥1600w。</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35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中置声道主扩扬声器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1、频率范围：55-20kHz；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2、灵敏度(2.83v/1m)：≥97dB；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3、最大声压级@1m：≥129dB；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4、系统额定阻抗：8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5、低音单元：1×12"；</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6、高音单元：1×2"钛膜钛膜压缩高音单元；</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7、功率：持续功率：≥400W；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节目功率：≥800w；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峰值功率：≥1600w。</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35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超低频扬声器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1、频率范围：不窄于38-150Hz；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2、灵敏度(2.83v/1m)：≥98dB；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3、最大声压级@1m：≥132dB；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4、系统额定阻抗：8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5、低音单元：不少于1*18"；</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6、功率：</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持续功率：≥700w；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节目功率：≥1400w；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峰值功率：≥2800w；</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1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左右声道环绕声扬声器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1、频率响应（±3dB）：60Hz-20KHz；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2、灵敏度(1W@1M)：90dB；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3、指向性（H×V）：60×60°；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4、功率：</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持续≥150W，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峰值≥600W；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5、最大声压级：118dB；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6、额定阻抗：8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7、低音单元：1个8”；</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8、高音单元：1”钛膜。</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59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左右声道主扩扬声器双通道功率放大器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1、输出功率8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：≥450W；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立体声功率4</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：≥650W；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桥接模式8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：≥1200W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2、频响：20Hz-20kHz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3、提供3C国家强制性产品认证证书复印件并加盖原厂商公章</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59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中置声道主扩、超低频扬声器双通道功率放大器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1、输出功率8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：≥1400W；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立体声功率4</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：≥2250W；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桥接模式8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：≥3300W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2、频响：20Hz-20kHz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3、提供3C国家强制性产品认证证书复印件并加盖原厂商公章</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2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左右声道环绕声扬声器双通道功率放大器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1、立体声功率8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：≥260W，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立体声功率4</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：≥400W，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桥接模式8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：≥700W；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2、频率响应(1W)：20Hz-20kHz；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3、总谐波失真：&lt;0.5%；</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4、互调失真(IMD)：≤0.35%；</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5、转换速率：&gt;10V/us；</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6、电压增益：29dB；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7、阻尼系数(8</w:t>
            </w:r>
            <w:r>
              <w:rPr>
                <w:rFonts w:ascii="Calibri" w:hAnsi="Calibri" w:eastAsia="宋体" w:cs="Calibri"/>
                <w:color w:val="000000"/>
                <w:sz w:val="20"/>
                <w:szCs w:val="20"/>
              </w:rPr>
              <w:t xml:space="preserve">Ω</w:t>
            </w:r>
            <w:r>
              <w:rPr>
                <w:rFonts w:hint="eastAsia" w:ascii="宋体" w:hAnsi="宋体" w:eastAsia="宋体" w:cs="宋体"/>
                <w:color w:val="000000"/>
                <w:sz w:val="20"/>
                <w:szCs w:val="20"/>
              </w:rPr>
              <w:t xml:space="preserve">),10Hz-400Hz：&gt;200；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8、信噪比：&gt;100dB；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9、串扰：-75dB（1kHz），-59dB（20kHz）；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10、保护：防止短路、空载、开/关机噪音、无线电干扰保护电路；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11、通风：由前往后的空气对流机制；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12、冷却：内部空气强排散热，风扇冷却，快速调节，温度保护。</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扩声扬声器专用吊挂架（现场定制）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扬声器专用吊架，含转换配件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D、音频处理部分</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39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7.1声道数字影K解码器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1、4进2出HDMI音视频接口，支持光纤、同轴两种音频数字输入；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2、全面支持DOLBY，DTS 7.1声道影院解码功能，7.1声道平衡输出；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3、音乐16段参量均衡，麦克风AB路独立16段参量均衡；</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4、专业级KTV混响效果，回声与混响独立3段均衡调节，麦克风4级反馈抑制控制，防啸叫无忧；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5、主输出，中置，低音，环绕，后置通道分别设5段参量均衡(PEQ)，电子分频，输入选择及混合比例，极性，延时，限幅，增益功能；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6、采用ADI DSP芯片，400MHz主频，48KHz采样频率32-bit浮点运算</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7、24bit A/D及D/A高性能芯片，音质表现绝佳；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8、10组模式保存和调用功能。</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1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数字音频处理器</w:t>
            </w:r>
            <w:r/>
          </w:p>
        </w:tc>
        <w:tc>
          <w:tcPr>
            <w:tcW w:w="3007" w:type="dxa"/>
            <w:vAlign w:val="center"/>
            <w:textDirection w:val="lrTb"/>
            <w:noWrap w:val="false"/>
          </w:tcPr>
          <w:p>
            <w:pPr>
              <w:pStyle w:val="682"/>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1、每个输入通道都有13 段均衡的滤波器；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2、每个输出通道都有7 段均衡的滤波器；</w:t>
            </w:r>
            <w:r>
              <w:rPr>
                <w:rFonts w:hint="eastAsia" w:ascii="宋体" w:hAnsi="宋体" w:eastAsia="宋体" w:cs="宋体"/>
                <w:color w:val="000000"/>
                <w:sz w:val="20"/>
                <w:szCs w:val="20"/>
              </w:rPr>
              <w:br/>
            </w:r>
            <w:r>
              <w:rPr>
                <w:rFonts w:hint="eastAsia" w:ascii="宋体" w:hAnsi="宋体" w:cs="宋体"/>
                <w:color w:val="000000"/>
                <w:szCs w:val="20"/>
              </w:rPr>
              <w:t xml:space="preserve">3、每个输入和输出滤波器可选择为带通滤波、陷波滤波和全通滤波；</w:t>
            </w:r>
            <w:r>
              <w:rPr>
                <w:rFonts w:hint="eastAsia" w:ascii="宋体" w:hAnsi="宋体" w:eastAsia="宋体" w:cs="宋体"/>
                <w:color w:val="000000"/>
                <w:sz w:val="20"/>
                <w:szCs w:val="20"/>
              </w:rPr>
              <w:br/>
            </w:r>
            <w:r>
              <w:rPr>
                <w:rFonts w:hint="eastAsia" w:ascii="宋体" w:hAnsi="宋体" w:cs="宋体"/>
                <w:color w:val="000000"/>
                <w:szCs w:val="20"/>
              </w:rPr>
              <w:t xml:space="preserve">4、IIR分频滤波器：斜率在6dB/Oct 到48dB/Oct范围内可选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5、FIR分频滤波器：Taps 范围在256 到512 之间可选，可衰减以及有可选的时间窗类型；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6、3 个输入通道都有1024 Taps 的非对称性FIR 分频滤波器用于矫正相位；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7、滤波器频率：20Hz~20kHz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每个输入跟输出通道都配有一个RMS 压限；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8、输出通道还配有峰值限制；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9、每个输入通道可调延迟时间高达480ms，每个输出通道可调延时高达340ms；</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19英寸标准机架式机柜</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(600*800*1200)mm</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含线缆配件</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支持8个10/100Base-X自适应电口(均支持POE供电)和1个100Base-X光口，交换容量1.8G，全线速转发，MAC地址2K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音视频系统/1#三层火焰蓝报告厅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5.4</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1#三层电视电话会议室</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智能终端</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≥98英寸，智能终端；★</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采购的智能终端</w:t>
            </w:r>
            <w:r>
              <w:rPr>
                <w:rFonts w:hint="eastAsia" w:ascii="宋体" w:hAnsi="宋体" w:eastAsia="宋体" w:cs="宋体"/>
                <w:b/>
                <w:bCs/>
                <w:color w:val="000000"/>
                <w:sz w:val="20"/>
                <w:szCs w:val="20"/>
              </w:rPr>
              <w:t xml:space="preserve">为政府强制采购节能产品，投标人只能选择具有节能产品认证证书的产品进行报价;投标时须提供所投</w:t>
            </w:r>
            <w:r>
              <w:rPr>
                <w:rFonts w:hint="eastAsia" w:ascii="宋体" w:hAnsi="宋体" w:eastAsia="宋体" w:cs="宋体"/>
                <w:b/>
                <w:bCs/>
                <w:color w:val="000000"/>
                <w:sz w:val="20"/>
                <w:szCs w:val="20"/>
                <w:lang w:eastAsia="zh-CN"/>
              </w:rPr>
              <w:t xml:space="preserve">智能终端</w:t>
            </w:r>
            <w:r>
              <w:rPr>
                <w:rFonts w:hint="eastAsia" w:ascii="宋体" w:hAnsi="宋体" w:eastAsia="宋体" w:cs="宋体"/>
                <w:b/>
                <w:bCs/>
                <w:color w:val="000000"/>
                <w:sz w:val="20"/>
                <w:szCs w:val="20"/>
              </w:rPr>
              <w:t xml:space="preserve">由国家确定的认证机构出具的处于有效期之内的节能产品认证证书扫描件。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音视频系统/党委会议室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支架定制安装</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音视频系统/大队培训室、党委会议室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无线投屏器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4K高清</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音视频系统/大队培训室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5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专业音箱</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1.阻抗≤8Ω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2.频响等同或优于65Hz~20KHz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3.额定功率≥150W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4.水平覆盖角≥80°，垂直覆盖角≥60°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5.高音≥3"锥形高音单元×1</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6.低音≥8"低音×1</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31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专业功放</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1.标准≤1U机箱设计，采用D类数字功放设计方案。</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2.内置智能削峰限幅器，过流压限控制功率器，让扬声器系统在安全范围内工作。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3.内置保护电路模块，具有过压保护、欠压保护、过流保护、直流保护、输出短路保护、温控风扇功能。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4.具有≥2个LINE平衡XLR输入通道，≥2个LINE平衡XLR级联输出通道，≥2个四芯SPEAKON音响插座输出通道。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5.具有MONO/STEREO/BRIDGE三种模式，可选择切换。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6.输出功率：立体声8Ω ≥200W×2；立体声4Ω≥400W×2；桥接16Ω≥400W；桥接8Ω≥750W。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7.信噪比（A计权）:≥105dB；具有输入灵敏度1V和2V切换功能。</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31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调音台</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1.支持≥8路麦克风输入兼容6路线路输入接口，CH1-CH6线路输入接口带48V幻象开关独立控制；≥2路立体声输入接口，≥4路RCA输入接口。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3.内置≥24位DSP效果器，提供≥100种预设效果。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4.具备≥13个60mm行程的高精密碳膜推子。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5.内置USB声卡模块，支持连接电脑进行音乐播放和声音录音；内置MP3播放器，支持≥1个USB接口接U盘播放音乐。</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7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音频处理器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1.处理器≥4核，主频≥2.0GHz。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3.具有矩阵增益调节功能，每个输入通道参与混音的增益可调，增益调节范围等同或优于-72dB到12dB。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4.产品具有PC客户端、手机移动端、安卓平板端、IOS手机移动端、IOS平板端不同控制方式，可以同时登入APP软件、PC客户端同时连接设备，并实现多端数据的同步。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5.设备具有编码旋钮和IPS屏幕，可用于控制和配置设备静音，增益，场景；IPS屏幕能够显示IP地址，输入和输出通道的实时电平。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6.具有设备定位功能，客户端一键定位局域网内同类设备，被定位的设备会显示定位信息。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7.设备具有统一集中控制功能，支持≥65535台设备通过软件集中控制。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8.支持双机热备份；当主机出现故障时，备用主机自动承担服务，切换时间≤2s。</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3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电源管理器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2.当远程控制有效时同时控制后板ALARM（报警）端口导通以起到级联控制ALARM（报警）功能。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3.单个通道最大负载功率≥2200W，所有通道负载总功率≥6000W。输出连接器：多用途电源插座。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4.具有≥1路USB接口。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4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无线话筒</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2.具有≥1台接收主机、≥2只手持发射机；频率范围等同或优于470MHz-510MHz、540MHz-590MHz、640MHz-690MHz、807MHz-830MHz四个频段使用。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3.具有多频段均衡调节功能，均衡调节≥2197种，麦克风均衡器调节功能，具有高、中、低音三种调节档位，每种效果支持≥13档调节。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4.具有长时间续航，发射机使用时长≥10小时。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5.具有ID码防串扰功能，采用32位唯一ID码，用于接收和发射配对，收发ID码必须相同才能对码，能够有效防止相同频率的信号相互串台。</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6.接收机具有≥2个2.2英寸的TFT-LCD显示屏；发射机具有≥0.96英寸OLED显示屏，能够显示频率信息、音频加密状态、功率挡位、静音状态、电量格数信息。</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话筒呼叫控制嵌入软件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1.软件内嵌于无线话筒系统设备，话筒呼叫控制功能。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2.采用UHF超高频段双真分集接收，并采用PLL锁相环多信道频率合成技术。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3.支持自动选讯接收方式。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4.支持信道选择、频率可调、可设置主机与话筒配对。</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1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无线话筒（一拖四）</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1.基于数字U段的传输技术，pi/4-DQPSK调制方式，采用国产主控芯片，传输距离≥80米，接收机具有≥4路平衡输出、≥1路非平衡混音输出；具有混响、均衡、智能静音、音频加密、功率调节功能。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2.具有≥1台接收主机、≥4台桌面式鹅颈咪杆发射机；频率范围等同或优于470MHz-510MHz、540MHz-590MHz、640MHz-690MHz、807MHz-830MHz四个频段使用。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3.具有多频段均衡调节功能，均衡调节≥2197种，麦克风均衡器调节功能，具有高、中、低音三种调节档位，每种效果支持≥13档调节。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4.具有ID码防串扰功能，采用32位唯一ID码，用于接收和发射配对，收发ID码必须相同才能对码，能够有效防止相同频率的信号相互串台。</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5.接收机具有≥4个2.2英寸的TFT-LCD显示屏；发射机具有≥0.96英寸LCD显示屏，能够显示频率信息、音频加密状态、功率挡位、静音状态、电量格数信息。</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音视频系统/1#二层活动室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一拖四</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话筒呼叫控制嵌入软件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1.软件内嵌于无线话筒系统设备，话筒呼叫控制功能。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2.采用UHF超高频段双真分集接收，并采用PLL锁相环多信道频率合成技术。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3.支持自动选讯接收方式。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4.支持信道选择、频率可调、可设置主机与话筒配对。</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音视频系统/1#二层活动室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音箱支架定制制作</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35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无线话筒</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无线鹅颈话筒</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通信室</w:t>
            </w:r>
            <w:r/>
          </w:p>
        </w:tc>
      </w:tr>
      <w:tr>
        <w:trPr>
          <w:trHeight w:val="2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音箱</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音箱不低于30W</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功放</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1200W以上，含前置放大器</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调音台</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8路以上 (带AUX2路辅助输出)</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音视频系统/通信室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通信室</w:t>
            </w:r>
            <w:r/>
          </w:p>
        </w:tc>
      </w:tr>
      <w:tr>
        <w:trPr>
          <w:trHeight w:val="2795"/>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无缝高清矩阵切换器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1.矩阵采用纯硬件标准化机箱设计，支持配置≥8×8路信号切换，支持HDMI、DVI、VGA、SDI、HDBaseT、光纤的任意输入/输出信号卡，其中DVI输入卡兼容CVBS，YUV,VGA信号，VGA输入/输出卡均兼容CVBS，YUV,VGA信号。</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2.采用板卡模块化设计，支持接入≥2块输入卡、≥2块输出卡、≥1块控制卡；通过定制配置各类相同或不同的输入输出卡可以组成单一接口类型或多接口类型的矩阵，如HDMI矩阵，DVI矩阵，VGA矩阵，YUV矩阵。</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3.支持无缝切换功能，切换过程无黑屏信号。</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4.输入输出分辨率支持≥4K@60Hz；支持断电记忆功能；系统内可存储多组预切换指令，调用时可以一键切换。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5.支持模拟音频与HDMI内嵌音频选择输入、支持模拟音频与HDMI内嵌音频同时输出。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6.采用多线程通信技术，支持接入≥1块控制板卡，具有≥1路RS-232接口,≥1路RS-485接口,≥1路TCP/IP端口，支持扩展延长触控屏控制。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7.HDBaseT输入输出信号支持双向RS-232和双向IR 信号传输，可对RS-232和IR信号选择随视频信号切换，或分离切换模式。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机箱前面板内置≥7英寸全彩触摸屏，可通过前面板触控屏进行通道切换、场景调用、切换、保存操作，具备自定义设置场景名称功能，可查看设备IP地址、通道信息、切换状态，可进行IP地址设置、重置，具备通道切换状态显示，支持输出分辨率显示，支持板卡接入状态显示，具备中英文双语切换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9.采用无极缩放算法与视频编解码处理技术，支持画面色度、亮度、对比度、色温、伽马值等调节，支持HDR画质增强功能。</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8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HDMI无缝高清输入卡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1.具有≥4路HDMI-A母接口和≥4路3.5mm音频座，支持模拟音频与HDMI内嵌音频选择输入。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2.支持快速无缝切换，无闪烁，无黑屏。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3.支持断电现场切换记忆保护功能，特有ESD静电保护功能。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4.兼容HDMI1.3a的标准，DVI1.0协议；支持分辨率≥1920×1200P@60。</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8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HDMI无缝高清输出卡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1.具有≥4路HDMI-A母接口和≥4路3.5mm音频座，支持模拟音频与HDMI内嵌音频同时输出。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2.支持快速无缝切换，无闪烁，无黑屏。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3.支持断电现场切换记忆保护功能，特有ESD静电保护功能。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4.兼容HDMI1.3a的标准，DVI1.0协议；支持倍线功能，支持分辨率≥1920×1200P@60。</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机柜</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42U</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支持8个10/100Base-X自适应电口(均支持POE供电)和1个100Base-X光口，交换容量1.8G，全线速转发，MAC地址2K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视频会议终端套装</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含摄像头、全向麦及遥控器套装</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1080P/60帧双显许可</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7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HDCI专用延长线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四代镜头线，长度20米</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9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摄像机立架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摄像机三脚架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电话会议室视频会议设备线缆、插件及管材附件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电话会议室视频会议设备连接所需的摄像机电源线、控制线、高清线及敷设线缆所需的一切配件。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5.5</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2#一层大会议室（原二层）约150m2</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智能终端</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≥98英寸，智能终端；★</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采购的智能终端</w:t>
            </w:r>
            <w:r>
              <w:rPr>
                <w:rFonts w:hint="eastAsia" w:ascii="宋体" w:hAnsi="宋体" w:eastAsia="宋体" w:cs="宋体"/>
                <w:b/>
                <w:bCs/>
                <w:color w:val="000000"/>
                <w:sz w:val="20"/>
                <w:szCs w:val="20"/>
              </w:rPr>
              <w:t xml:space="preserve">为政府强制采购节能产品，投标人只能选择具有节能产品认证证书的产品进行报价;投标时须提供所投</w:t>
            </w:r>
            <w:r>
              <w:rPr>
                <w:rFonts w:hint="eastAsia" w:ascii="宋体" w:hAnsi="宋体" w:eastAsia="宋体" w:cs="宋体"/>
                <w:b/>
                <w:bCs/>
                <w:color w:val="000000"/>
                <w:sz w:val="20"/>
                <w:szCs w:val="20"/>
                <w:lang w:eastAsia="zh-CN"/>
              </w:rPr>
              <w:t xml:space="preserve">智能终端</w:t>
            </w:r>
            <w:r>
              <w:rPr>
                <w:rFonts w:hint="eastAsia" w:ascii="宋体" w:hAnsi="宋体" w:eastAsia="宋体" w:cs="宋体"/>
                <w:b/>
                <w:bCs/>
                <w:color w:val="000000"/>
                <w:sz w:val="20"/>
                <w:szCs w:val="20"/>
              </w:rPr>
              <w:t xml:space="preserve">由国家确定的认证机构出具的处于有效期之内的节能产品认证证书扫描件。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音视频系统/2#一层大会议室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支架定制安装</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音视频系统/2#一层大会议室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无线投屏器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4K高清</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音视频系统/2#一层大会议室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0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天花喇叭</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1.额定功率≥100W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2.阻抗：≤8Ω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3.频率响应(-10dB)等同或优于50Hz-20KHz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4.喇叭单元：≥8" ×1  1.5" ×1</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音视频系统/2#一层大会议室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31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专业功放</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1.标准≤1U机箱设计，采用D类数字功放设计方案。</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2.内置智能削峰限幅器，过流压限控制功率器，让扬声器系统在安全范围内工作。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3.内置保护电路模块，具有过压保护、欠压保护、过流保护、直流保护、输出短路保护、温控风扇功能。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4.具有≥2个LINE平衡XLR输入通道，≥2个LINE平衡XLR级联输出通道，≥2个四芯SPEAKON音响插座输出通道。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5.具有MONO/STEREO/BRIDGE三种模式，可选择切换。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6.输出功率：立体声8Ω ≥200W×2；立体声4Ω≥400W×2；桥接16Ω≥400W；桥接8Ω≥750W。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7.信噪比（A计权）:≥105dB；具有输入灵敏度1V和2V切换功能。</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音视频系统/2#一层大会议室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31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调音台</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1.支持≥8路麦克风输入兼容6路线路输入接口，CH1-CH6线路输入接口带48V幻象开关独立控制；≥2路立体声输入接口，≥4路RCA输入接口。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3.内置≥24位DSP效果器，提供≥100种预设效果。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4.具备≥13个60mm行程的高精密碳膜推子。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5.内置USB声卡模块，支持连接电脑进行音乐播放和声音录音；内置MP3播放器，支持≥1个USB接口接U盘播放音乐。</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音视频系统/2#一层大会议室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7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音频处理器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1.处理器≥4核，主频≥2.0GHz。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3.具有矩阵增益调节功能，每个输入通道参与混音的增益可调，增益调节范围等同或优于-72dB到12dB。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4.产品具有PC客户端、手机移动端、安卓平板端、IOS手机移动端、IOS平板端不同控制方式，可以同时登入APP软件、PC客户端同时连接设备，并实现多端数据的同步。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5.设备具有编码旋钮和IPS屏幕，可用于控制和配置设备静音，增益，场景；IPS屏幕能够显示IP地址，输入和输出通道的实时电平。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6.具有设备定位功能，客户端一键定位局域网内同类设备，被定位的设备会显示定位信息。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7.设备具有统一集中控制功能，支持≥65535台设备通过软件集中控制。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8.支持双机热备份；当主机出现故障时，备用主机自动承担服务，切换时间≤2s。</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音视频系统/2#一层大会议室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3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电源管理器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2.当远程控制有效时同时控制后板ALARM（报警）端口导通以起到级联控制ALARM（报警）功能。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3.单个通道最大负载功率≥2200W，所有通道负载总功率≥6000W。输出连接器：多用途电源插座。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4.具有≥1路USB接口。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音视频系统/2#一层大会议室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1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无线话筒（一拖四）</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1.基于数字U段的传输技术，pi/4-DQPSK调制方式，采用国产主控芯片，传输距离≥80米，接收机具有≥4路平衡输出、≥1路非平衡混音输出；具有混响、均衡、智能静音、音频加密、功率调节功能。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2.具有≥1台接收主机、≥4台桌面式鹅颈咪杆发射机；频率范围等同或优于470MHz-510MHz、540MHz-590MHz、640MHz-690MHz、807MHz-830MHz四个频段使用。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3.具有多频段均衡调节功能，均衡调节≥2197种，麦克风均衡器调节功能，具有高、中、低音三种调节档位，每种效果支持≥13档调节。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4.具有ID码防串扰功能，采用32位唯一ID码，用于接收和发射配对，收发ID码必须相同才能对码，能够有效防止相同频率的信号相互串台。</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5.接收机具有≥4个2.2英寸的TFT-LCD显示屏；发射机具有≥0.96英寸LCD显示屏，能够显示频率信息、音频加密状态、功率挡位、静音状态、电量格数信息。</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音视频系统/1#二层活动室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一拖四</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话筒呼叫控制嵌入软件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1.软件内嵌于无线话筒系统设备，话筒呼叫控制功能。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2.采用UHF超高频段双真分集接收，并采用PLL锁相环多信道频率合成技术。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3.支持自动选讯接收方式。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4.支持信道选择、频率可调、可设置主机与话筒配对。</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音视频系统/1#二层活动室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音箱支架定制制作</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音视频系统/2#一层大会议室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机柜</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42U</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音视频系统/2#一层大会议室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支持8个10/100Base-X自适应电口(均支持POE供电)和1个100Base-X光口，交换容量1.8G，全线速转发，MAC地址2K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音视频系统/2#一层大会议室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1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无缝高清矩阵切换器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1.矩阵采用纯硬件标准化机箱设计，支持配置≥8×8路信号切换，支持HDMI、DVI、VGA、SDI、HDBaseT、光纤的任意输入/输出信号卡，其中DVI输入卡兼容CVBS，YUV,VGA信号，VGA输入/输出卡均兼容CVBS，YUV,VGA信号。</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2.采用板卡模块化设计，支持接入≥2块输入卡、≥2块输出卡、≥1块控制卡；通过定制配置各类相同或不同的输入输出卡可以组成单一接口类型或多接口类型的矩阵，如HDMI矩阵，DVI矩阵，VGA矩阵，YUV矩阵。</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3.支持无缝切换功能，切换过程无黑屏信号。</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4.输入输出分辨率支持≥4K@60Hz；支持断电记忆功能；系统内可存储多组预切换指令，调用时可以一键切换。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5.支持模拟音频与HDMI内嵌音频选择输入、支持模拟音频与HDMI内嵌音频同时输出。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6.采用多线程通信技术，支持接入≥1块控制板卡，具有≥1路RS-232接口,≥1路RS-485接口,≥1路TCP/IP端口，支持扩展延长触控屏控制。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7.HDBaseT输入输出信号支持双向RS-232和双向IR 信号传输，可对RS-232和IR信号选择随视频信号切换，或分离切换模式。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机箱前面板内置≥7英寸全彩触摸屏，可通过前面板触控屏进行通道切换、场景调用、切换、保存操作，具备自定义设置场景名称功能，可查看设备IP地址、通道信息、切换状态，可进行IP地址设置、重置，具备通道切换状态显示，支持输出分辨率显示，支持板卡接入状态显示，具备中英文双语切换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9.采用无极缩放算法与视频编解码处理技术，支持画面色度、亮度、对比度、色温、伽马值等调节，支持HDR画质增强功能。</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8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HDMI无缝高清输入卡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1.具有≥4路HDMI-A母接口和≥4路3.5mm音频座，支持模拟音频与HDMI内嵌音频选择输入。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2.支持快速无缝切换，无闪烁，无黑屏。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3.支持断电现场切换记忆保护功能，特有ESD静电保护功能。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4.兼容HDMI1.3a的标准，DVI1.0协议；支持分辨率≥1920×1200P@60。</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8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HDMI无缝高清输出卡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1.具有≥4路HDMI-A母接口和≥4路3.5mm音频座，支持模拟音频与HDMI内嵌音频同时输出。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2.支持快速无缝切换，无闪烁，无黑屏。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3.支持断电现场切换记忆保护功能，特有ESD静电保护功能。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4.兼容HDMI1.3a的标准，DVI1.0协议；支持倍线功能，支持分辨率≥1920×1200P@60。</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机柜</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42U</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支持8个10/100Base-X自适应电口(均支持POE供电)和1个100Base-X光口，交换容量1.8G，全线速转发，MAC地址2K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音视频系统/1#三层电视电话会议室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视频会议终端套装</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含摄像头、全向麦及遥控器套装</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1080P/60帧双显许可</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HDCI专用延长线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四代镜头线，长度20米</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67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摄像机立架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摄像机三脚架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电话会议室视频会议设备线缆、插件及管材附件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电话会议室视频会议设备连接所需的摄像机电源线、控制线、高清线及敷设线缆所需的一切配件。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5.6</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2#四层指挥室</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A、LED系统（6.72*1.92）</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62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P1.2全彩LED</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1、净显示尺寸：(6720*1920)mm=12.9024㎡，</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全铸铝箱体结构，</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箱体尺寸：（640*480）mm;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像素点间距≤1.25mm，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单元板像素点：256*128，</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像素密度≥640000点/㎡；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2、平整度：≤0.05mm；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3、对比度≥10000∶1，</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亮度均匀性≥98%，</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亮度≥800cd/㎡，</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色度均与性≤±0.002之内，</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发光点距中心距偏差≤1%，</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像素失控率≤0.000001；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4、色温≥1000k至20000k，色温为6500K时，100%、75%、50%、25%四挡电平白场调节色温误差≤200K；</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5、视角：水平、垂直≥170°；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6、亮度衰减率≤5%/Y；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7、支持热插拔，具有暗亮线修复功能，支持暗线亮线校正功能，支持数据存储功能，具备毛毛虫消除功能；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8、画面延时≤1ms； ；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9、支持逐点校正，远程监控，支持动态节能45%以上；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10、刷新频率≥3840Hz；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11、换帧频率：≥50Hz；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12、寿命典型值≥100000 小时。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12.9</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分辨率：5376*1536</w:t>
            </w:r>
            <w:r/>
          </w:p>
        </w:tc>
      </w:tr>
      <w:tr>
        <w:trPr>
          <w:trHeight w:val="10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LED室内支架现场定制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尺寸：</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(6720*1920)mm=12.9024㎡</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框架采用40×40矩形钢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含不锈钢包边及装饰</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12.9</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16网口LED拼接输出卡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1、单卡带载1040W，单网口带载65W（宽2560，高3000以内）；</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2、单卡开窗24窗口，支持网口输出分组，坐标位移。</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5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HDMI视频线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1、HDMI2.0有源光纤；</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2、长度：20米；                                                                                                             3、支持HDMI 1.4和2.0标准，最高支持4K@60Hz超高清显示；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4、支持HDCP 2.2；                                                                  5、标准HDMI插件，即插即用。</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0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LED配电柜</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LED显示屏PLC智能配电柜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输入电压：380V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输出电压：220V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额定功率：20KW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输出回路：6个单相回路（AC220V）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每路输出最大带载功率：≤3.33KW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回路状态监测：单回路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远程控制：有</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1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无线投屏器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1、支持多用户内容共享，双HDMI 输出，最多实现4 画面显示；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2、支持数字/模拟音频输出；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3、支持集控部署，便于集中远程管理；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4、支持定时待机与唤醒；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5、采用RK3399芯片,6核CPU,内置Android9.0操作系统，存储容量16G ROM，系统内存4G RAM；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6、工作频率：2.4G/5GHz；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7、整机具有非常高的兼容性，支持MAC OS、Windows、Android、I0S和Linux五种系统的投屏；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8、输出分辨率：支持单画面分辨率为4K并且帧率最高达60Hz的视频输出；同时也支持双屏异显，一路画面分辨率为4K，一路画面为 1080p的视频输出；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9、HDMI输出信号提供两种方式输出，可选择总是输出和传屏时输出；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10、含一支投屏发射棒。</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63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拼接处理器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1、7U标准机箱，专业拼接处理器；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2、8路信号输入，18路信号输出；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3、输入输出支持HDMI, DVI, VGA, HDBaseT, IP, SDI,AV,Ypbpr，光纤信号；</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4、支持在输出通道打开一个或多个窗口,显示图像内容,单屏最多开8窗；</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5、支持多个窗口以互相叠加的形式显示；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6、支持窗口在多个输出通道的任意位置移动显示(漫游)；</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7、支持窗口大小更改,支持任意长宽比缩放；</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8、支持在输入通道上叠加任意字符；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9、支持窗</w:t>
            </w:r>
            <w:r>
              <w:rPr>
                <w:rFonts w:ascii="Segoe UI Symbol" w:hAnsi="Segoe UI Symbol" w:eastAsia="宋体" w:cs="宋体"/>
                <w:color w:val="000000"/>
                <w:sz w:val="20"/>
                <w:szCs w:val="20"/>
              </w:rPr>
              <w:t xml:space="preserve">☐</w:t>
            </w:r>
            <w:r>
              <w:rPr>
                <w:rFonts w:hint="eastAsia" w:ascii="宋体" w:hAnsi="宋体" w:eastAsia="宋体" w:cs="宋体"/>
                <w:color w:val="000000"/>
                <w:sz w:val="20"/>
                <w:szCs w:val="20"/>
              </w:rPr>
              <w:t xml:space="preserve">布局保存至设备；</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10、支持调取预存的窗</w:t>
            </w:r>
            <w:r>
              <w:rPr>
                <w:rFonts w:ascii="Segoe UI Symbol" w:hAnsi="Segoe UI Symbol" w:eastAsia="宋体" w:cs="宋体"/>
                <w:color w:val="000000"/>
                <w:sz w:val="20"/>
                <w:szCs w:val="20"/>
              </w:rPr>
              <w:t xml:space="preserve">☐</w:t>
            </w:r>
            <w:r>
              <w:rPr>
                <w:rFonts w:hint="eastAsia" w:ascii="宋体" w:hAnsi="宋体" w:eastAsia="宋体" w:cs="宋体"/>
                <w:color w:val="000000"/>
                <w:sz w:val="20"/>
                <w:szCs w:val="20"/>
              </w:rPr>
              <w:t xml:space="preserve">布局；</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11、支持截取输入图像的局部进行显示；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12、输入板卡支持音频解嵌,满足AV系统对AUDI0需求；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13、支持画中画显示；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14、信号实时处理功能：对各个输入通道采用纯硬件处理技术,切换过程中对其他信号无影响, 实现了对输入通道的实时处理功能；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15、图像信号无压缩、无失真实时传输；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16、支持整面多行拼接屏的画面同步功能；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17、支持浏览所有输入信号的实时预览画面；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18、支持HDMI2.0信号输入：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信号最大支持:3840×2160@60Hz。</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HDMI输入板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1、4路HDMI输入板卡,输入支持HDMI1.4, 输入分辨率4K30Hz;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2、输入信号对输出任意开窗;</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3、支EDID编辑功能;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4、支持状态自检。</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HDMI输入板 4K</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1、2路HDMI输入板卡,输入支持HDMI2.0, 输入分辨率4K60Hz;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2、输入信号对输出任意开窗;</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3、支EDID编辑功能;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4、支持状态自检。</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HDMI输出板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1、4路HDMI输出板卡，输出支持HDMI2.0, 输入分辨率4K60Hz;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2、输出信号对输出任意开窗;</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3、支EDID编辑功能;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4、支持状态自检。</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24口千兆交换机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支持24个10/100/1000Base-X自适应电口和2个1000Base-X SFP光口，交换容量192G，包转发率42Mpps，全线速转发，MAC地址8K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B、扩声系统</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音箱</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1.阻抗≤8Ω，额定功率≥300W，高频≥1.4"×1压缩单元，低频≥10"×1低音单元；覆盖角度：等同或宽于80°(H)×60°(V)。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2.频率响应：等同或宽于50Hz-20kHz。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3.指定频带内的声压级：≥120dB±2dB。</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专业音箱</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1.阻抗≤8Ω，额定功率≥300W，高频≥1.4"×1压缩单元，低频≥10"×1低音单元；覆盖角度：等同或宽于80°(H)×60°(V)。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2.频率响应：等同或宽于50Hz-20kHz。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3.指定频带内的声压级：≥120dB±2dB。</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7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专业功放</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1.标准≤1U机柜式设计；采用PFC+开关电源+D类数字功放设计方案；输出功率：立体声@8Ω：≥500W×2；立体声@4Ω：≥850W×2；桥接@16Ω：≥1000W ；桥接@8Ω：≥1700W。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2.开关电源采用LLC谐振电源短路保护电路和D类数字功放一体模块化设计，保证半桥LLC开关电源稳定性和可靠性。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3.支持开机软启动功能，软启动过程中电源需求缓慢上升，减少对电网和其他电子设备的电流冲击。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4.开关电源内置EMI电路，有效的抑制电源谐波。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5.数字功放核心的调制和匹配电路技术，让功放还原真实原声。</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6.整机转换效率达到85%以上。</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7.数字功放电源自适应音频调整节能功能，实现智能削峰限幅器，控制功率模块及扬声器系统在安全范围内工作。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8.MONO/STEREO/BRIDGE三种模式可选择切换。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9.开机软启动，防止开机时向电网吸收大电流，干扰其它用电设备。</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10.内置≥6大保护电路模块，为功放的可靠性保驾护航，具有：过压保护，欠压保护，过流保护，直流保护，输出短路保护，温控风扇功能。</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7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专业功放</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1.标准≤1U机柜式设计；采用PFC+开关电源+D类数字功放设计方案；输出功率：立体声@8Ω：≥500W×2；立体声@4Ω：≥850W×2；桥接@16Ω：≥1000W ；桥接@8Ω：≥1700W。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2.开关电源采用LLC谐振电源短路保护电路和D类数字功放一体模块化设计，保证半桥LLC开关电源稳定性和可靠性。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3.支持开机软启动功能，软启动过程中电源需求缓慢上升，减少对电网和其他电子设备的电流冲击。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4.开关电源内置EMI电路，有效的抑制电源谐波。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5.数字功放核心的调制和匹配电路技术，让功放还原真实原声。</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6.整机转换效率达到85%以上。</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7.数字功放电源自适应音频调整节能功能，实现智能削峰限幅器，控制功率模块及扬声器系统在安全范围内工作。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8.MONO/STEREO/BRIDGE三种模式可选择切换。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9.开机软启动，防止开机时向电网吸收大电流，干扰其它用电设备。</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10.内置≥6大保护电路模块，为功放的可靠性保驾护航，具有：过压保护，欠压保护，过流保护，直流保护，输出短路保护，温控风扇功能。</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4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数字调音台</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1.具有≥14路平衡XLR输入接口、≥16路TRS输入接口、≥1路OPTICAL接口、≥1路S/PDIF接口、≥1路USB2.0输入声卡。</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2.具有≥100组场景预设功能，可导出、导入USB存储器，便于数据备份；≥32个PEQ模式存储。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3.具有≥8个推子编组、≥3个快速静音组按键。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4.具有≥2个内置效果器，设备自带有经典混响、大房间混响等效果模块。</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5.具有≥1个10.1英寸高清触摸屏，支持≥1280×800分辨率。</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6.具有≥13个100mm电动推子，电动推子可操控所有的通道和主输出:≥1个LR主声道推子、≥12个通道推子以及≥2个推子层。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7.具有面板锁定按键，防止误操作。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8.支持中英文界面切换，且无需重启。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9.输入带有独立的反馈抑制器，支持增益共享型自动混音，带有≥2个DCA编组。</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9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音频处理器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1.处理器≥4核，主频≥2.0GHz。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后面板具有≥8路线路音频凤凰端子平衡输入接口（具有48V幻象供电）、≥8路线路音频凤凰端子平衡输出接口、≥1个拨码开关、≥1个RJ45接口、≥1个RS232接口、≥1个RS485接口、≥8个可编程GPIO控制接口、≥1个接地柱；前面板具有≥2.0英寸 IPS 真彩显示屏、≥1个编码旋钮、≥1个USB存储设备接口VN.YT36338Z。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3.具有矩阵增益调节功能，每个输入通道参与混音的增益可调，增益调节范围等同或优于-72dB到12dB。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4.产品具有PC客户端、手机移动端、安卓平板端、IOS手机移动端、IOS平板端不同控制方式，可以同时登入APP软件、PC客户端同时连接设备，并实现多端数据的同步。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5.设备具有编码旋钮和IPS屏幕，可用于控制和配置设备静音，增益，场景；IPS屏幕能够显示IP地址，输入和输出通道的实时电平。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6.具有设备定位功能，客户端一键定位局域网内同类设备，被定位的设备会显示定位信息。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7.设备具有统一集中控制功能，支持≥65535台设备通过软件集中控制。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8.支持双机热备份；当主机出现故障时，备用主机自动承担服务，切换时间≤2s。</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3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电源管理器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2.当远程控制有效时同时控制后板ALARM（报警）端口导通以起到级联控制ALARM（报警）功能。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3.单个通道最大负载功率≥2200W，所有通道负载总功率≥6000W。输出连接器：多用途电源插座。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4.具有≥1路USB接口。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支架现场定制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音箱支架定制制作</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9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C、数字会议系统</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819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全数字会议系统主机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1.支持≥4096台有线会议单元和≥300台无线会议单元同时接入管理使用；支持≥4396台会议单元同时参与会议议程（签到、表决、服务）以及发言控制。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2.主机兼容同时连接有线与无线会议单元，二者可并行使用；采用跨域音频同步技术，有线与无线会议单元音频的音频无缝混音输出。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3.设备采用分段压缩混音处理技术和时钟同步传输技术，会议单元拾音到主机输出延时≤5ms。</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设备具有≥1个USB接口；后面板具有≥2路RS-232接口、≥1路RS-485接口、≥4路RJ45通讯接口；具有≥1路RCA输入、≥1路卡侬输入、≥2路凤凰端子输入接口；≥1路RCA输出、≥1路卡侬输出、≥16路凤凰端子输出接口；≥1个拨码开关、≥1个接地柱。</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7.主机具有≥16通道音频分组输出接口；采用会议分区相控技术，可拆分≥16个独立的会议系统使用，也可以组成一个大型的会议系统使用，实现多种方式的会议室合并/拆分。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8.支持主机U盘和客户端软件两种录音方式；搭配会议话筒和录音盒可以录制单个会议单元发言音频和录制所有会议单元混音发言音频。</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9.WEB管理端具有切换个性化主题风格功能，可切换≥4种风格，可选简约主题、政务主题、时尚主题、活力主题，不同主题提供不同UI界面背景颜色。</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超大数据处理能力：系统支持≥24台会议单元同时发言，其中支持≥16台有线会议单元和≥8台无线会议单元同时发言；具有自定义会议单元发言人数功能，有线会议单元发言人数范围可设置为等同或优于1至16之间的任意数量；无线会议单元发言人数范围可设置为等同或优于1至8之间的任意数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12.采用会议系统多环路检测及网络补给技术，实现会议单元手拉手链路出现故障时快速恢复，环路恢复时间≤5ms。</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13.支持搭配会议话筒处理器使用，主机与话筒处理器之间通过网线连接方式传输音频，可以同时传输≥16路有线会议单元和≥8路无线会议单元发言的音频信号，并提供反馈抑制、智能混音以及自动增益音频调节处理功能。</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3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数字会议系统</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1.软件内嵌于会议系统主机设备，应用于对传音会议系统音频传输软件的管理或控制。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2.支持同声传译功能。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3.内置DSP音频处理技术，支持EQ均衡调节音频处理能力。</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4.支持话筒管理能力，通过不同的模式限制话筒发言数量。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5.软件支持根据话筒ID提供不同的代码编号给中控系统，与中控系统对接后，可实现摄像自动跟踪功能。</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会议话筒处理器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2.可对接摄像机实现摄像跟踪功能；内置≥64个话筒预置位，满足大型会议室摄像跟踪需求。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3.采用啸叫检测门限更新法，移频+陷波组合反馈抑制方式，具有≥24个可编程陷波点，可自由分配动态/静态点，自动/手动切换。</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音频隔离器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1.一款双通道音频隔离器。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2.低底噪、无50Hz交流“嗡”声、无高频“嗞啦”干扰。</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3.点对点平衡传输音频，可以选择前面板2个接口中的任意一个COMBO接口输入，从后面板对应COMBO接口输出。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4.即插即用，支持热插拨。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5.隔离滤波音频传输最远传输信号等同或优于450－600米。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6.内置瞬态、浪涌抑制、抗静电保护电路。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7.具有≥2路XLR输入；具有≥2路XLR输出</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31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会议话筒</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1.采用心型指向性驻极体麦克风，要求内部具有DSP音频处理；内部具有反馈抑制功能。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2.采用≥128位AES加密技术，支持 WPA/WPA2 无线安全技术，防止窃听和非授权访问。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3.支持触摸按键签到功能。具备优先权功能，可关闭正在发言的所有代表话筒。具有声控功能。具有发言计时和定时发言功能。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4.具备TYPE-C口，可进行升级程序和在线充电，内置容量锂电池，电池容量≥5100 mAh，可持续≥15小时发言。</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5.支持后台≥5段EQ调节功能。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6.咪杆长度：≤190mm</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全数字会议系统音频传输内嵌软件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1.软件内嵌于会议单元设备，应用于对全数字会议系统音频传输软件的管理或控制。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2.支持中英文语言管理界面。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3.支持≥48KHz采样率音频处理能力。</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4.支持电池管理功能，可显示电量/信号等信息</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会议话筒</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1.采用心型指向性驻极体麦克风，要求内部具有DSP音频处理；内部具有反馈抑制功能。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2.采用≥128位AES加密技术，支持 WPA/WPA2 无线安全技术，防止窃听和非授权访问。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3.支持触摸按键签到功能。具有声控功能。具有发言计时和定时发言功能。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4.具备TYPE-C口，可进行升级程序和在线充电，内置容量锂电池，电池容量≥5100 mAh，可持续≥15小时发言。</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5.支持后台≥5段EQ调节功能。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6.咪杆长度：≤190mm</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全数字会议系统音频传输内嵌软件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1.软件内嵌于会议单元设备，应用于对全数字会议系统音频传输软件的管理或控制。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2.支持中英文语言管理界面。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3.支持≥48KHz采样率音频处理能力。</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4.支持电池管理功能，可显示电量/信号等信息</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3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发射器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1.遵从Wi-Fi 6协议标准（IEEE 802.11ax），向下兼容802.11a/b/g/n/ac/Wave2，支持MU-MIMO，允许AP同时接收多个终端发送数据，整机最大传输速率可达1.601Gbps</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2.支持OFDMA空间复用技术和1024QAM调制解调算法。</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3.支持中文SSID，可指定最长包含≥31个字符的SSID，也可以使用中英文混合的SSID</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4.支持WPA3安全协议。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5.支持等同或优于80/160MHz的高带宽频段。</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8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充电箱</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1.充电箱具有≥10个USB接口，支持使用USB线充电，提供5V/9V供电。一端连接充电器一端连接会议单元,支持≥18W快充。支持同时插满所有USB接口。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2.根据设备的耐受电流大小充电器会自动匹配合适的电流大小给设备充电，同时有过流保护功能。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3.智能自动电路保护，所有USB插口均具有短路保护功能和自恢复功能。</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交换机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支持8个10/100Base-X自适应电口(均支持POE供电)和1个100Base-X光口，交换容量1.8G，全线速转发，MAC地址2K</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服务器机柜</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42U，600*1000*2000</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PDU</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音视频系统性能检测及优化</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包括显示系统管理部署与优化、扩声系统音质检测与失真优化、信号管理等整体系统兼容性优化配置</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音视频系统/2#四层指挥室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视频会议终端套装</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含摄像头、全向麦及遥控器套装</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1080P/60帧双显许可</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HDCI专用延长线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四代镜头线，长度20米</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摄像机立架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摄像机三脚架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电话会议室视频会议设备线缆、插件及管材附件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电话会议室视频会议设备连接所需的摄像机电源线、控制线、高清线及敷设线缆所需的一切配件。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内置MCU多方通话许可（license）</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六方通话许可</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大队电视电话会议室</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6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六</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智能出警联动系统服务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0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消防智能联动主机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适合目前智能接处警平台</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1：可通过部局统一开发的火警受理软件的控制接口进行控制和管理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2：基于嵌入式硬件平台设计，采用工业级高性能处理器，内带实时较强的嵌入式操作系统</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3：标准2U机箱</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4：前面板设置220V电源开关机按键及警铃、警灯、车库门单独启动按键和一键启动。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5：后面接口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5.1：安全提示接口输出220V，接警启动软件设置关闭时间</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5.2：警灯、车库门接口开关量输出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5.3：警铃220V输出接口，按警情等级分五类输出方式：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一级、长通</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二级、通 4秒间歇 0.5 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三级、通3秒间歇 0.5 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四级、通 2秒间歇 0.5 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五级、通 1秒间歇 0.5 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6：USB上位机通讯接口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7：主机220V电源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8：主机支持以太网、串口通讯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9：主机主板开关量接口耐高压设计，输入输出电压支持5V -380V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10：接警第一时间打开所有设置好的联动相关联设备。平时支持一键开启警铃、警灯、车库门及分别按键开启以上三项。</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智能出警联动系统/通信班</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44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智能联动控制主机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（含定制运行软件）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1：接入指挥网采集警情数据，分析调取显示下单具体警情</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2：接到联动设备启动命令启动倒计时语音播报功能。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3：系统设定倒计时结束2分钟恢复中队学习宣传页面。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 支持MP4图像播放</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5：支持PNG图片播放</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6：支持以太网、串口、USB通讯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7：支持联动辅机扩展控制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8：工作电压12V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  设备尺寸12.4*11.2*4.3CM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  平时中队宣传，接警第一时间打开倒计时显示警情内容及倒计时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11：3.5音频输出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12：支持DP、HDMI输出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13：软件系统支持文字、图片、视频的轮询播放。支持轮询速度调节</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智能出警联动系统/通信班</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0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警情等级五色警灯</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1：五种警情等级爆闪灯，白色一级、绿色二级、蓝色三级、橙色四级、红色五级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2：内置30W全频扩音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3：支持以太网，485通讯控制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4：工作电压12V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5：设备尺寸：680*242*103CM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6：接警第一时间打开相应爆闪警灯提示队员案件警情等级。</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智能出警联动系统/车库</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宣传倒计时终端</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55”倒计时及宣传终端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1：接警后显示具体警情信息及倒计时显示播报。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2:平时播放中队学习宣传材料</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智能出警联动系统/中队车库</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智能出警联动系统/中队车库</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终端安装架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配套定制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智能出警联动系统/中队车库</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6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消防智能联动辅机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1：采用2U机架式设计，可安装于19英寸机架内；</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2：基于嵌入式硬件平台设计，采用工业级高性能处理器，内带实时较强的嵌入式操作系统；</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3：支持以太网、485及开关量通信；</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4：提供15路控制输出口（可按用户需求扩容更多智能可控调节接口）。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5：12V三色警灯。按警情类型开启12v输出接警启动软件设置关闭时间</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6：装备架开关量按警情类型输出，开关量启动时间两软件设置。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7：备用开关量1-6软件可编辑设置应用端口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智能出警联动系统/车库</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宿舍及过道灯集控主机</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1.接警时自动打开照明，软件可设置开启时间长短，计时结束自动退出控制。不影响平时使用。支持20路接入</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智能出警联动系统/通信班</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17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滑杆区安全门联动控制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1.接警时自动打开安全门，软件可设置开启时间长短，计时结束自动退出控制，自动关闭。不影响平时使用。</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智能出警联动系统/通信班</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11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中队出警车辆出动大门联动控制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1.接警时自动打开安全门，软件可设置开启时间长短，计时结束自动退出控制，自动关闭。不影响平时使用。</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智能出警联动系统/1#</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0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室内警铃</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1.尺寸：6寸</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2.工作电源：220V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3.红色</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4.线包式</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智能出警联动系统/1#室内</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0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室外警铃</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1.尺寸：12寸</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2.工作电源：220V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3.黑色</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4.线包式</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智能出警联动系统/室外部分（训练塔）</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30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智能出警联动系统多协议融合联动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基于消防智能联动主机-辅机冗余架构，部署多协议栈，定制边缘触发脚本，实现警情等级五色警灯、三色警灯、倒计时显示器、出警道路声光电安全提示、车位引导投影、宿舍过道灯集控、滑杆区安全门、车辆出动大门、室内外警铃及音柱功放的全链路系统管理。</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智能出警联动系统/1#</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软件和信息技术服务业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室外音柱及功放</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定制，含音频管线</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智能出警联动系统/室外部分（训练塔）</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七</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营区专用设备</w:t>
            </w:r>
            <w:r/>
          </w:p>
        </w:tc>
        <w:tc>
          <w:tcPr>
            <w:tcW w:w="300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消防车库专用终端</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≥55英寸；分辨率：3840*2160；★</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w:t>
            </w:r>
            <w:r>
              <w:rPr>
                <w:rFonts w:hint="eastAsia" w:ascii="宋体" w:hAnsi="宋体" w:eastAsia="宋体" w:cs="宋体"/>
                <w:b/>
                <w:bCs/>
                <w:color w:val="000000"/>
                <w:sz w:val="20"/>
                <w:szCs w:val="20"/>
              </w:rPr>
              <w:t xml:space="preserve">消防车库专用终端为政府强制采购节能产品，投标人只能选择具有节能产品认证证书的产品进行报价;投标时须提供所投消防车库专用终端由国家确定的认证机构出具的处于有效期之内的节能产品认证证书扫描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消防车库旁1台、中队二楼走廊电梯墙上1台</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消防车库旁1台、中队二楼走廊电梯墙上1台</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备勤室、家属宿舍专用终端</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≥55英寸；分辨率：3840*2160；★</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w:t>
            </w:r>
            <w:r>
              <w:rPr>
                <w:rFonts w:hint="eastAsia" w:ascii="宋体" w:hAnsi="宋体" w:eastAsia="宋体" w:cs="宋体"/>
                <w:b/>
                <w:bCs/>
                <w:color w:val="000000"/>
                <w:sz w:val="20"/>
                <w:szCs w:val="20"/>
              </w:rPr>
              <w:t xml:space="preserve">备勤室、家属宿舍专用终端为政府强制采购节能产品，投标人只能选择具有节能产品认证证书的产品进行报价;投标时须提供所投备勤室、家属宿舍专用终端由国家确定的认证机构出具的处于有效期之内的节能产品认证证书扫描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备勤室、家属宿舍、宿舍</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备勤室、家属宿舍、宿舍</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终端安装架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配套定制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备勤室、家属宿舍、宿舍</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八</w:t>
            </w:r>
            <w:r/>
          </w:p>
        </w:tc>
        <w:tc>
          <w:tcPr>
            <w:tcW w:w="115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消防接处警配套布线装备</w:t>
            </w:r>
            <w:r/>
          </w:p>
        </w:tc>
        <w:tc>
          <w:tcPr>
            <w:tcW w:w="3007"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0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735"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W w:w="1161"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方正仿宋_GBK" w:hAnsi="宋体" w:eastAsia="方正仿宋_GBK" w:cs="宋体"/>
                <w:b/>
                <w:bCs/>
                <w:color w:val="000000"/>
                <w:sz w:val="20"/>
                <w:szCs w:val="20"/>
              </w:rPr>
            </w:pPr>
            <w:r>
              <w:rPr>
                <w:rFonts w:hint="eastAsia" w:ascii="方正仿宋_GBK" w:hAnsi="宋体" w:eastAsia="方正仿宋_GBK" w:cs="宋体"/>
                <w:b/>
                <w:bCs/>
                <w:color w:val="000000"/>
                <w:sz w:val="20"/>
                <w:szCs w:val="20"/>
              </w:rPr>
              <w:t xml:space="preserve">序号</w:t>
            </w:r>
            <w:r/>
          </w:p>
        </w:tc>
        <w:tc>
          <w:tcPr>
            <w:tcW w:w="1155" w:type="dxa"/>
            <w:vAlign w:val="center"/>
            <w:textDirection w:val="lrTb"/>
            <w:noWrap w:val="false"/>
          </w:tcPr>
          <w:p>
            <w:pPr>
              <w:jc w:val="center"/>
              <w:widowControl/>
              <w:rPr>
                <w:rFonts w:hint="eastAsia" w:ascii="方正仿宋_GBK" w:hAnsi="宋体" w:eastAsia="方正仿宋_GBK" w:cs="宋体"/>
                <w:b/>
                <w:bCs/>
                <w:color w:val="000000"/>
                <w:sz w:val="20"/>
                <w:szCs w:val="20"/>
              </w:rPr>
            </w:pPr>
            <w:r>
              <w:rPr>
                <w:rFonts w:hint="eastAsia" w:ascii="方正仿宋_GBK" w:hAnsi="宋体" w:eastAsia="方正仿宋_GBK" w:cs="宋体"/>
                <w:b/>
                <w:bCs/>
                <w:color w:val="000000"/>
                <w:sz w:val="20"/>
                <w:szCs w:val="20"/>
              </w:rPr>
              <w:t xml:space="preserve">名称</w:t>
            </w:r>
            <w:r/>
          </w:p>
        </w:tc>
        <w:tc>
          <w:tcPr>
            <w:tcW w:w="3007" w:type="dxa"/>
            <w:vAlign w:val="center"/>
            <w:textDirection w:val="lrTb"/>
            <w:noWrap w:val="false"/>
          </w:tcPr>
          <w:p>
            <w:pPr>
              <w:jc w:val="center"/>
              <w:widowControl/>
              <w:rPr>
                <w:rFonts w:hint="eastAsia" w:ascii="方正仿宋_GBK" w:hAnsi="宋体" w:eastAsia="方正仿宋_GBK" w:cs="宋体"/>
                <w:b/>
                <w:bCs/>
                <w:color w:val="000000"/>
                <w:sz w:val="20"/>
                <w:szCs w:val="20"/>
              </w:rPr>
            </w:pPr>
            <w:r>
              <w:rPr>
                <w:rFonts w:hint="eastAsia" w:ascii="方正仿宋_GBK" w:hAnsi="宋体" w:eastAsia="方正仿宋_GBK" w:cs="宋体"/>
                <w:b/>
                <w:bCs/>
                <w:color w:val="000000"/>
                <w:sz w:val="20"/>
                <w:szCs w:val="20"/>
              </w:rPr>
              <w:t xml:space="preserve">规格及型号</w:t>
            </w:r>
            <w:r/>
          </w:p>
        </w:tc>
        <w:tc>
          <w:tcPr>
            <w:tcW w:w="1050" w:type="dxa"/>
            <w:vAlign w:val="center"/>
            <w:textDirection w:val="lrTb"/>
            <w:noWrap w:val="false"/>
          </w:tcPr>
          <w:p>
            <w:pPr>
              <w:jc w:val="center"/>
              <w:widowControl/>
              <w:rPr>
                <w:rFonts w:hint="eastAsia" w:ascii="方正仿宋_GBK" w:hAnsi="宋体" w:eastAsia="方正仿宋_GBK" w:cs="宋体"/>
                <w:b/>
                <w:bCs/>
                <w:color w:val="000000"/>
                <w:sz w:val="20"/>
                <w:szCs w:val="20"/>
              </w:rPr>
            </w:pPr>
            <w:r>
              <w:rPr>
                <w:rFonts w:hint="eastAsia" w:ascii="方正仿宋_GBK" w:hAnsi="宋体" w:eastAsia="方正仿宋_GBK" w:cs="宋体"/>
                <w:b/>
                <w:bCs/>
                <w:color w:val="000000"/>
                <w:sz w:val="20"/>
                <w:szCs w:val="20"/>
              </w:rPr>
              <w:t xml:space="preserve">单位</w:t>
            </w:r>
            <w:r/>
          </w:p>
        </w:tc>
        <w:tc>
          <w:tcPr>
            <w:tcW w:w="735" w:type="dxa"/>
            <w:vAlign w:val="center"/>
            <w:textDirection w:val="lrTb"/>
            <w:noWrap w:val="false"/>
          </w:tcPr>
          <w:p>
            <w:pPr>
              <w:jc w:val="center"/>
              <w:widowControl/>
              <w:rPr>
                <w:rFonts w:hint="eastAsia" w:ascii="方正仿宋_GBK" w:hAnsi="宋体" w:eastAsia="方正仿宋_GBK" w:cs="宋体"/>
                <w:b/>
                <w:bCs/>
                <w:color w:val="000000"/>
                <w:sz w:val="20"/>
                <w:szCs w:val="20"/>
              </w:rPr>
            </w:pPr>
            <w:r>
              <w:rPr>
                <w:rFonts w:hint="eastAsia" w:ascii="方正仿宋_GBK" w:hAnsi="宋体" w:eastAsia="方正仿宋_GBK" w:cs="宋体"/>
                <w:b/>
                <w:bCs/>
                <w:color w:val="000000"/>
                <w:sz w:val="20"/>
                <w:szCs w:val="20"/>
              </w:rPr>
              <w:t xml:space="preserve">数量</w:t>
            </w:r>
            <w:r/>
          </w:p>
        </w:tc>
        <w:tc>
          <w:tcPr>
            <w:tcW w:w="1161"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　</w:t>
            </w:r>
            <w:r/>
          </w:p>
        </w:tc>
        <w:tc>
          <w:tcPr>
            <w:tcW w:w="1418"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备注(用途)</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六类非屏蔽网线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六类,非屏蔽,低烟无卤,符合ANSI/TIA/EIA-568-C.2 和ISO/IEC 11801:2008标准</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9075</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光纤</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12芯光缆</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光纤</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24芯光缆</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光纤</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6芯光缆</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578</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光纤配线架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光纤配线架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光纤终端盒</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6口</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耦合器</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国产配套定制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尾纤</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1.5m</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光纤跳线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2m</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光纤熔接及测试</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芯</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电源线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RVV3*1.5</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323</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信号线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RVV2*1.0</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1565</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信号线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RVV2*0.5</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990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镀锌管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JDG20，含开槽，暗配</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1812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镀锌管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32，含开槽，暗配</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627</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镀锌管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JDG25，含开槽，暗配</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55</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钢管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SC32</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95</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室外管</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PVC20，暗配/明配，不含开挖回填</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128</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弱电箱</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300*400,含电源接口、含防雷接地</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无氧铜扬声器线缆</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无氧铜丝，灰色弹性聚氯乙烯护套；                                                               2芯绞合加护套；</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导体截面积：1.5mm²；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7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工程音频安装线缆</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无氧铜丝，灰色弹性聚氯乙烯护套；                                                               2芯绞合加护套；</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导体截面积：2.5mm²；      </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工程音频安装线缆</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4芯音频安装线缆，高纯度无氧铜</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93</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104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成品跳线（XLR平衡线）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卡侬公头-卡侬母头2米成品线</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线材：NCRVPE2×0.3</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卡侬公头：甬声</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卡侬母头：甬声</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音频连接线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1.8米音频连接线：卡侬头（母）-卡侬头（公）</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条</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58</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音频连接线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1.8米音频连接线：3.5（耳机插头）-双6.35话筒插头</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条</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27</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音频扩声系统插件</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含音箱插、卡侬音频插</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28</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大屏旁装饰面小门安装</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现场定制</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29</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检修孔</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根据现场</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52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多媒体插座</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配置接口：≥1个多功能电源接口、≥2个RJ45网络、≥1个3.5音频、≥1个HDMI高清视频接口、≥1个功能按键</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31</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HDMI</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15米</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HDMI</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33</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音频线</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RVPE2×0.5</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50</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34</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其它附材</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接插件、专用插座等</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35</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实施调试</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实施调试</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r>
        <w:trPr>
          <w:trHeight w:val="280"/>
        </w:trPr>
        <w:tc>
          <w:tcPr>
            <w:tcW w:w="82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36</w:t>
            </w:r>
            <w:r/>
          </w:p>
        </w:tc>
        <w:tc>
          <w:tcPr>
            <w:tcW w:w="11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辅材</w:t>
            </w:r>
            <w:r/>
          </w:p>
        </w:tc>
        <w:tc>
          <w:tcPr>
            <w:tcW w:w="300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国产</w:t>
            </w:r>
            <w:r/>
          </w:p>
        </w:tc>
        <w:tc>
          <w:tcPr>
            <w:tcW w:w="10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73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1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工业</w:t>
            </w:r>
            <w:r/>
          </w:p>
        </w:tc>
        <w:tc>
          <w:tcPr>
            <w:tcW w:w="1418"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　</w:t>
            </w:r>
            <w:r/>
          </w:p>
        </w:tc>
      </w:tr>
    </w:tbl>
    <w:p>
      <w:pPr>
        <w:spacing w:line="360" w:lineRule="auto"/>
        <w:rPr>
          <w:rFonts w:hint="eastAsia" w:ascii="仿宋" w:hAnsi="仿宋" w:eastAsia="仿宋"/>
          <w:sz w:val="28"/>
          <w:szCs w:val="28"/>
        </w:rPr>
      </w:pPr>
      <w:r>
        <w:rPr>
          <w:rFonts w:hint="eastAsia" w:ascii="仿宋" w:hAnsi="仿宋" w:eastAsia="仿宋"/>
          <w:sz w:val="28"/>
          <w:szCs w:val="28"/>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四、设备采购、安装调试要求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须在按照本招标文件及合同约定要求时限内完成软硬件到采购人指定地点的供货及所有安装服务并投入运行。中标人须确保产品的数量、产品的完整性、实用性，确保全部系统及时投入正常运行。若出现因中标人提供的产品的数量不足、性能不满足要求、不合理，或者其所提供的技术支持和服务不全面，而导致系统无法实现或不能完全实现用户需求的状况，采购人有权解除合同，不予退还设备，并追究中标人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须根据合同约定，在规定的时间内，保证质量完成软硬件的安装、调试及投入运行。软硬件安装、调试所需的工具、仪表及安装材料应由中标人自行解决。中标人提供所供设备连接所需的各种模块、线缆（电源线、网线、光纤等），完成设备上架、安装、设备与线缆标签制作粘贴、理线。中标人必须在对其所提供的软硬件进行安装、测试、验收过程中提供和准备的技术文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五、项目实施要求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中标人需提供完整的货物产品部署方案、系统兼容性要求，确保货物产品在指定的软硬件环境及网络环境中稳定运行。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中标人需提供产品及系统部署后的使用操作培训，以及常见问题解答和缺陷修复。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项目组所有成员必须经过甲方审查，期间未经过甲方同意，不得随意更换项目成员。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项目建设过程中及建设完成后，必须按照相关标准及规范进行验收，验收通过后，同时提交验收项目文档，提交验收的主要文件及内容符合相关文档规范。文档不合格的，不得通过验收。详细验收方案如下：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验收主体：需求方组织人员进行验收；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验收时间：硬件及系统软件交付后；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验收方式：需求方内部组织召开验收会，听取汇报、查阅资料、质询答辩、现场演示，形成验收意见；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验收程序：项目实施完成，硬件全部到货后，由投标人准备项目资料，向需求方提交正式验收申请，需求方组织验收；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验收内容：以项目招标内容为准；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质量要求：产品合格，满足采购文件要求；</w:t>
      </w:r>
      <w:r/>
    </w:p>
    <w:p>
      <w:pPr>
        <w:ind w:firstLine="480"/>
        <w:spacing w:line="360" w:lineRule="auto"/>
        <w:rPr>
          <w:rFonts w:hint="eastAsia" w:ascii="宋体" w:hAnsi="宋体" w:eastAsia="宋体" w:cs="宋体"/>
          <w:sz w:val="24"/>
          <w:szCs w:val="24"/>
        </w:rPr>
      </w:pPr>
      <w:r/>
      <w:bookmarkStart w:id="193" w:name="_Toc31886"/>
      <w:r/>
      <w:bookmarkStart w:id="194" w:name="_Toc110261454"/>
      <w:r>
        <w:rPr>
          <w:rFonts w:hint="eastAsia" w:ascii="宋体" w:hAnsi="宋体" w:eastAsia="宋体" w:cs="宋体"/>
          <w:sz w:val="24"/>
          <w:szCs w:val="24"/>
        </w:rPr>
        <w:t xml:space="preserve">项目培训要求</w:t>
      </w:r>
      <w:bookmarkEnd w:id="193"/>
      <w:r/>
      <w:bookmarkEnd w:id="194"/>
      <w:r>
        <w:rPr>
          <w:rFonts w:hint="eastAsia" w:ascii="宋体" w:hAnsi="宋体" w:eastAsia="宋体" w:cs="宋体"/>
          <w:sz w:val="24"/>
          <w:szCs w:val="24"/>
        </w:rPr>
        <w:t xml:space="preserve">：中标人应对采购人进行所供产品及系统全面的技术培训，使采购人使用人员能够达到独立进行使用、维护和简单故障处理等工作。培训内容需包括：应用系统维护、使用等方面的培训，具体的培训时间、培训地点、培训方式、培训内容、培训人数由采购人根据实际需求确定，投标人不得再收取任何费用。</w:t>
      </w:r>
      <w:bookmarkStart w:id="195" w:name="_Toc1716"/>
      <w:r/>
      <w:bookmarkStart w:id="196" w:name="_Toc110261455"/>
      <w:r/>
      <w:r/>
    </w:p>
    <w:p>
      <w:pPr>
        <w:ind w:firstLine="480"/>
        <w:spacing w:line="360" w:lineRule="auto"/>
        <w:rPr>
          <w:rFonts w:hint="eastAsia" w:ascii="宋体" w:hAnsi="宋体" w:eastAsia="宋体" w:cs="宋体"/>
          <w:bCs/>
          <w:sz w:val="24"/>
          <w:szCs w:val="24"/>
          <w:highlight w:val="yellow"/>
        </w:rPr>
      </w:pPr>
      <w:r>
        <w:rPr>
          <w:rFonts w:hint="eastAsia" w:ascii="宋体" w:hAnsi="宋体" w:eastAsia="宋体" w:cs="宋体"/>
          <w:sz w:val="24"/>
          <w:szCs w:val="24"/>
        </w:rPr>
        <w:t xml:space="preserve">项目质保及售后技术服务要求</w:t>
      </w:r>
      <w:bookmarkEnd w:id="195"/>
      <w:r/>
      <w:bookmarkEnd w:id="196"/>
      <w:r>
        <w:rPr>
          <w:rFonts w:hint="eastAsia" w:ascii="宋体" w:hAnsi="宋体" w:eastAsia="宋体" w:cs="宋体"/>
          <w:sz w:val="24"/>
          <w:szCs w:val="24"/>
        </w:rPr>
        <w:t xml:space="preserve">：项目终验后质保服务期内，中标人应当为本项目配置专门的技术服务团队，解决采购人在使用中遇到的问题。</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000000"/>
          <w:sz w:val="30"/>
          <w:szCs w:val="30"/>
          <w:u w:val="none"/>
        </w:rPr>
        <w:t xml:space="preserve">第二部分  有关说明</w:t>
      </w:r>
      <w:r/>
    </w:p>
    <w:p>
      <w:pPr>
        <w:numPr>
          <w:ilvl w:val="1"/>
          <w:numId w:val="5"/>
        </w:numPr>
        <w:ind w:left="0" w:firstLine="480"/>
        <w:spacing w:line="360" w:lineRule="auto"/>
        <w:tabs>
          <w:tab w:val="left" w:pos="525" w:leader="none"/>
          <w:tab w:val="clear" w:pos="780" w:leader="none"/>
          <w:tab w:val="left" w:pos="945" w:leader="none"/>
        </w:tabs>
        <w:rPr>
          <w:rFonts w:hint="eastAsia" w:ascii="宋体" w:eastAsia="宋体" w:cs="Times New Roman"/>
          <w:bCs/>
          <w:sz w:val="24"/>
          <w:szCs w:val="24"/>
        </w:rPr>
      </w:pPr>
      <w:r>
        <w:rPr>
          <w:rFonts w:hint="eastAsia" w:ascii="宋体" w:eastAsia="宋体" w:cs="Times New Roman"/>
          <w:bCs/>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5"/>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eastAsia="宋体" w:cs="Times New Roman"/>
          <w:bCs/>
          <w:sz w:val="24"/>
          <w:szCs w:val="24"/>
        </w:rPr>
        <w:t xml:space="preserve">通过中国海关报关验放进入中国境内且产自中国境外的产品不</w:t>
      </w:r>
      <w:r>
        <w:rPr>
          <w:rFonts w:hint="eastAsia" w:ascii="宋体" w:hAnsi="宋体"/>
          <w:bCs/>
          <w:color w:val="000000"/>
          <w:sz w:val="24"/>
          <w:szCs w:val="24"/>
        </w:rPr>
        <w:t xml:space="preserve">在本项目的报价范围。</w:t>
      </w:r>
      <w:r/>
    </w:p>
    <w:p>
      <w:pPr>
        <w:numPr>
          <w:ilvl w:val="1"/>
          <w:numId w:val="5"/>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clear" w:pos="780" w:leader="none"/>
          <w:tab w:val="left" w:pos="945" w:leader="none"/>
        </w:tabs>
        <w:rPr>
          <w:rFonts w:hint="eastAsia" w:ascii="宋体" w:eastAsia="宋体" w:cs="Times New Roman"/>
          <w:bCs/>
          <w:sz w:val="24"/>
          <w:szCs w:val="24"/>
        </w:rPr>
      </w:pPr>
      <w:r>
        <w:rPr>
          <w:rFonts w:hint="eastAsia" w:ascii="宋体" w:hAnsi="宋体"/>
          <w:bCs/>
          <w:color w:val="000000"/>
          <w:sz w:val="24"/>
          <w:szCs w:val="24"/>
        </w:rPr>
        <w:t xml:space="preserve">投标</w:t>
      </w:r>
      <w:r>
        <w:rPr>
          <w:rFonts w:hint="eastAsia" w:ascii="宋体" w:eastAsia="宋体" w:cs="Times New Roman"/>
          <w:bCs/>
          <w:sz w:val="24"/>
          <w:szCs w:val="24"/>
        </w:rPr>
        <w:t xml:space="preserve">人必须在满足招标文件要求的基础上进行报价，如有技术偏离请于投标偏离表中说明。</w:t>
      </w:r>
      <w:r/>
    </w:p>
    <w:p>
      <w:pPr>
        <w:numPr>
          <w:ilvl w:val="1"/>
          <w:numId w:val="5"/>
        </w:numPr>
        <w:ind w:left="0" w:firstLine="480"/>
        <w:spacing w:line="360" w:lineRule="auto"/>
        <w:tabs>
          <w:tab w:val="left" w:pos="525" w:leader="none"/>
          <w:tab w:val="clear" w:pos="780" w:leader="none"/>
          <w:tab w:val="left" w:pos="945" w:leader="none"/>
        </w:tabs>
        <w:rPr>
          <w:rFonts w:hint="eastAsia" w:ascii="宋体" w:eastAsia="宋体" w:cs="Times New Roman"/>
          <w:bCs/>
          <w:sz w:val="24"/>
          <w:szCs w:val="24"/>
        </w:rPr>
      </w:pPr>
      <w:r>
        <w:rPr>
          <w:rFonts w:hint="eastAsia" w:ascii="宋体" w:eastAsia="宋体" w:cs="Times New Roman"/>
          <w:bCs/>
          <w:sz w:val="24"/>
          <w:szCs w:val="24"/>
        </w:rPr>
        <w:t xml:space="preserve">完工期：合同签订后</w:t>
      </w:r>
      <w:r>
        <w:rPr>
          <w:rFonts w:hint="eastAsia" w:ascii="宋体" w:cs="Times New Roman"/>
          <w:bCs/>
          <w:sz w:val="24"/>
          <w:szCs w:val="24"/>
          <w:lang w:eastAsia="zh-CN"/>
        </w:rPr>
        <w:t xml:space="preserve">一</w:t>
      </w:r>
      <w:r>
        <w:rPr>
          <w:rFonts w:hint="eastAsia" w:ascii="宋体" w:eastAsia="宋体" w:cs="Times New Roman"/>
          <w:bCs/>
          <w:sz w:val="24"/>
          <w:szCs w:val="24"/>
        </w:rPr>
        <w:t xml:space="preserve">个月内</w:t>
      </w:r>
      <w:r>
        <w:rPr>
          <w:rFonts w:hint="eastAsia" w:ascii="宋体" w:eastAsia="宋体" w:cs="Times New Roman"/>
          <w:bCs/>
          <w:sz w:val="24"/>
          <w:szCs w:val="24"/>
          <w:lang w:eastAsia="zh-CN"/>
        </w:rPr>
        <w:t xml:space="preserve">。</w:t>
      </w:r>
      <w:r/>
    </w:p>
    <w:p>
      <w:pPr>
        <w:numPr>
          <w:ilvl w:val="1"/>
          <w:numId w:val="5"/>
        </w:numPr>
        <w:ind w:left="0" w:firstLine="480"/>
        <w:spacing w:line="360" w:lineRule="auto"/>
        <w:tabs>
          <w:tab w:val="left" w:pos="525" w:leader="none"/>
          <w:tab w:val="clear" w:pos="780" w:leader="none"/>
          <w:tab w:val="left" w:pos="945" w:leader="none"/>
        </w:tabs>
        <w:rPr>
          <w:rFonts w:hint="eastAsia" w:ascii="宋体" w:eastAsia="宋体" w:cs="Times New Roman"/>
          <w:bCs/>
          <w:sz w:val="24"/>
          <w:szCs w:val="24"/>
        </w:rPr>
      </w:pPr>
      <w:r>
        <w:rPr>
          <w:rFonts w:hint="eastAsia" w:ascii="宋体" w:eastAsia="宋体" w:cs="Times New Roman"/>
          <w:bCs/>
          <w:sz w:val="24"/>
          <w:szCs w:val="24"/>
        </w:rPr>
        <w:t xml:space="preserve">项目整体质保期：项目完成终验后中标人需提供质保服务，项目整体质保五年</w:t>
      </w:r>
      <w:r>
        <w:rPr>
          <w:rFonts w:hint="eastAsia" w:ascii="宋体" w:eastAsia="宋体" w:cs="Times New Roman"/>
          <w:bCs/>
          <w:sz w:val="24"/>
          <w:szCs w:val="24"/>
          <w:lang w:eastAsia="zh-CN"/>
        </w:rPr>
        <w:t xml:space="preserve">。</w:t>
      </w:r>
      <w:r/>
    </w:p>
    <w:p>
      <w:pPr>
        <w:numPr>
          <w:ilvl w:val="1"/>
          <w:numId w:val="5"/>
        </w:numPr>
        <w:ind w:left="0" w:firstLine="480"/>
        <w:spacing w:line="360" w:lineRule="auto"/>
        <w:tabs>
          <w:tab w:val="left" w:pos="525" w:leader="none"/>
          <w:tab w:val="clear" w:pos="780" w:leader="none"/>
          <w:tab w:val="left" w:pos="945" w:leader="none"/>
        </w:tabs>
        <w:rPr>
          <w:rFonts w:hint="eastAsia" w:ascii="宋体" w:eastAsia="宋体" w:cs="Times New Roman"/>
          <w:bCs/>
          <w:sz w:val="24"/>
          <w:szCs w:val="24"/>
        </w:rPr>
      </w:pPr>
      <w:r>
        <w:rPr>
          <w:rFonts w:hint="eastAsia" w:ascii="宋体" w:eastAsia="宋体" w:cs="Times New Roman"/>
          <w:bCs/>
          <w:sz w:val="24"/>
          <w:szCs w:val="24"/>
        </w:rPr>
        <w:t xml:space="preserve">付款方式：</w:t>
      </w:r>
      <w:r>
        <w:rPr>
          <w:rFonts w:ascii="宋体" w:hAnsi="宋体" w:eastAsia="宋体" w:cs="宋体"/>
          <w:sz w:val="24"/>
          <w:szCs w:val="24"/>
        </w:rPr>
        <w:t xml:space="preserve">签订合同后支付合同价的30%，安装、调试验收合格后付至合同价的50%，第二年审计结束后付至审定金额的75%，余款三年后付清</w:t>
      </w:r>
      <w:r>
        <w:rPr>
          <w:rFonts w:hint="eastAsia" w:ascii="宋体" w:eastAsia="宋体" w:cs="Times New Roman"/>
          <w:bCs/>
          <w:sz w:val="24"/>
          <w:szCs w:val="24"/>
        </w:rPr>
        <w:t xml:space="preserve">。</w:t>
      </w:r>
      <w:r/>
    </w:p>
    <w:p>
      <w:pPr>
        <w:numPr>
          <w:ilvl w:val="1"/>
          <w:numId w:val="5"/>
        </w:numPr>
        <w:ind w:left="0" w:firstLine="480"/>
        <w:spacing w:line="360" w:lineRule="auto"/>
        <w:tabs>
          <w:tab w:val="left" w:pos="525" w:leader="none"/>
          <w:tab w:val="clear" w:pos="780" w:leader="none"/>
          <w:tab w:val="left" w:pos="945" w:leader="none"/>
        </w:tabs>
        <w:rPr>
          <w:rFonts w:hint="eastAsia" w:ascii="宋体" w:eastAsia="宋体" w:cs="Times New Roman"/>
          <w:bCs/>
          <w:sz w:val="24"/>
          <w:szCs w:val="24"/>
        </w:rPr>
      </w:pPr>
      <w:r>
        <w:rPr>
          <w:rFonts w:hint="eastAsia" w:ascii="宋体" w:eastAsia="宋体" w:cs="Times New Roman"/>
          <w:bCs/>
          <w:sz w:val="24"/>
          <w:szCs w:val="24"/>
        </w:rPr>
        <w:t xml:space="preserve">中标（成交）供应商以履约保函（保险）形式按签约合同价的</w:t>
      </w:r>
      <w:r>
        <w:rPr>
          <w:rFonts w:hint="eastAsia" w:ascii="宋体" w:eastAsia="宋体" w:cs="Times New Roman"/>
          <w:bCs/>
          <w:sz w:val="24"/>
          <w:szCs w:val="24"/>
          <w:lang w:val="en-US" w:eastAsia="zh-CN"/>
        </w:rPr>
        <w:t xml:space="preserve">5</w:t>
      </w:r>
      <w:r>
        <w:rPr>
          <w:rFonts w:hint="eastAsia" w:ascii="宋体" w:eastAsia="宋体" w:cs="Times New Roman"/>
          <w:bCs/>
          <w:sz w:val="24"/>
          <w:szCs w:val="24"/>
        </w:rPr>
        <w:t xml:space="preserve">%提供履约担保。中标（成交）供应商可采用电子履约保函（保险）形式,具体操作可登录江苏政府采购网的保险保函模块进行办理。</w:t>
      </w:r>
      <w:r/>
    </w:p>
    <w:p>
      <w:pPr>
        <w:numPr>
          <w:ilvl w:val="1"/>
          <w:numId w:val="5"/>
        </w:numPr>
        <w:ind w:left="0" w:firstLine="480"/>
        <w:spacing w:line="360" w:lineRule="auto"/>
        <w:tabs>
          <w:tab w:val="left" w:pos="525" w:leader="none"/>
          <w:tab w:val="clear" w:pos="780" w:leader="none"/>
          <w:tab w:val="left" w:pos="945" w:leader="none"/>
        </w:tabs>
        <w:rPr>
          <w:rFonts w:hint="eastAsia" w:ascii="宋体" w:eastAsia="宋体" w:cs="Times New Roman"/>
          <w:bCs/>
          <w:sz w:val="24"/>
          <w:szCs w:val="24"/>
        </w:rPr>
      </w:pPr>
      <w:r>
        <w:rPr>
          <w:rFonts w:hint="eastAsia" w:ascii="宋体" w:eastAsia="宋体" w:cs="Times New Roman"/>
          <w:bCs/>
          <w:sz w:val="24"/>
          <w:szCs w:val="24"/>
        </w:rPr>
        <w:t xml:space="preserve">本项目合同履行地点：以甲方指定地点为准，具体地点以合同书约定为准。中标方必须按采购人要求将本项目中货物送到指定地点(包括可能的分布范围)，并分地实施安装调试。</w:t>
      </w:r>
      <w:r/>
    </w:p>
    <w:p>
      <w:pPr>
        <w:numPr>
          <w:ilvl w:val="1"/>
          <w:numId w:val="5"/>
        </w:numPr>
        <w:ind w:left="0" w:firstLine="480"/>
        <w:spacing w:line="360" w:lineRule="auto"/>
        <w:tabs>
          <w:tab w:val="left" w:pos="525" w:leader="none"/>
          <w:tab w:val="clear" w:pos="780" w:leader="none"/>
          <w:tab w:val="left" w:pos="945" w:leader="none"/>
        </w:tabs>
        <w:rPr>
          <w:color w:val="000000"/>
          <w:highlight w:val="none"/>
        </w:rPr>
      </w:pPr>
      <w:r>
        <w:rPr>
          <w:rFonts w:hint="eastAsia" w:ascii="宋体" w:eastAsia="宋体" w:cs="Times New Roman"/>
          <w:bCs/>
          <w:sz w:val="24"/>
          <w:szCs w:val="24"/>
        </w:rPr>
        <w:t xml:space="preserve">质量及验收：采购人根据国家有关规定、招标文件、中标方的投标文件以及合同约定的内容和验收标准进行验收。验收情况作为支付货款的依据</w:t>
      </w:r>
      <w:r>
        <w:rPr>
          <w:rFonts w:hint="eastAsia" w:ascii="宋体" w:hAnsi="宋体"/>
          <w:bCs/>
          <w:color w:val="000000"/>
          <w:sz w:val="24"/>
          <w:szCs w:val="24"/>
        </w:rPr>
        <w:t xml:space="preserve">。如有质疑，以相关质量技术检验检测机构的检验结果为准，如产生检验费用，则该费用由过失方承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w:t>
      </w:r>
      <w:r>
        <w:rPr>
          <w:rFonts w:hint="eastAsia"/>
          <w:sz w:val="24"/>
          <w:szCs w:val="24"/>
          <w:highlight w:val="none"/>
        </w:rPr>
        <w:t xml:space="preserve">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7" w:name="OLE_LINK2"/>
      <w:r/>
      <w:bookmarkStart w:id="198" w:name="OLE_LINK1"/>
      <w:r>
        <w:rPr>
          <w:rFonts w:hint="eastAsia" w:ascii="宋体"/>
          <w:bCs/>
          <w:sz w:val="24"/>
          <w:szCs w:val="24"/>
        </w:rPr>
        <w:t xml:space="preserve">《保障中小企业款项支付条例》（中华人民共和国国务院令第802号）</w:t>
      </w:r>
      <w:bookmarkEnd w:id="197"/>
      <w:r/>
      <w:bookmarkEnd w:id="198"/>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中小企业应当依</w:t>
      </w:r>
      <w:r>
        <w:rPr>
          <w:rFonts w:hint="eastAsia" w:ascii="宋体"/>
          <w:bCs/>
          <w:sz w:val="24"/>
          <w:szCs w:val="24"/>
          <w:highlight w:val="none"/>
          <w:lang w:val="en"/>
        </w:rPr>
        <w:t xml:space="preserve">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9" w:name="_Toc120614281"/>
      <w:r>
        <w:rPr>
          <w:rFonts w:hint="eastAsia" w:ascii="黑体" w:hAnsi="黑体" w:eastAsia="黑体"/>
          <w:sz w:val="36"/>
          <w:szCs w:val="36"/>
        </w:rPr>
        <w:t xml:space="preserve">第五章  评标方法与评标标准</w:t>
      </w:r>
      <w:r/>
    </w:p>
    <w:p>
      <w:pPr>
        <w:pStyle w:val="75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55"/>
        <w:spacing w:before="0" w:after="0" w:line="500" w:lineRule="exact"/>
        <w:rPr>
          <w:rFonts w:hint="eastAsia" w:cs="Arial"/>
        </w:rPr>
      </w:pPr>
      <w:r>
        <w:rPr>
          <w:rFonts w:hint="eastAsia" w:cs="Arial"/>
        </w:rPr>
        <w:t xml:space="preserve">投标人通过初审的，方可进入比较与评价程序。</w:t>
      </w:r>
      <w:r/>
    </w:p>
    <w:p>
      <w:pPr>
        <w:pStyle w:val="755"/>
        <w:spacing w:before="0" w:after="0" w:line="500" w:lineRule="exact"/>
        <w:rPr>
          <w:rFonts w:hint="eastAsia" w:cs="Arial"/>
        </w:rPr>
      </w:pPr>
      <w:r>
        <w:rPr>
          <w:rFonts w:hint="eastAsia" w:cs="Arial"/>
        </w:rPr>
        <w:t xml:space="preserve">比较与评价采用综合评分法。</w:t>
      </w:r>
      <w:r/>
    </w:p>
    <w:p>
      <w:pPr>
        <w:pStyle w:val="755"/>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5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5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55"/>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w:t>
      </w:r>
      <w:r>
        <w:rPr>
          <w:rFonts w:hint="eastAsia" w:ascii="宋体" w:hAnsi="宋体"/>
          <w:bCs/>
          <w:sz w:val="24"/>
          <w:szCs w:val="24"/>
        </w:rPr>
        <w:t xml:space="preserve">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20"/>
        <w:jc w:val="left"/>
        <w:spacing w:line="500" w:lineRule="exact"/>
        <w:rPr>
          <w:rFonts w:hint="eastAsia" w:ascii="宋体" w:hAnsi="宋体"/>
          <w:b/>
          <w:bCs/>
          <w:color w:val="000000"/>
          <w:sz w:val="24"/>
          <w:szCs w:val="24"/>
          <w:highlight w:val="none"/>
        </w:rPr>
      </w:pPr>
      <w:r>
        <w:rPr>
          <w:rFonts w:ascii="宋体" w:hAnsi="宋体"/>
          <w:shd w:val="clear" w:color="ffffff" w:fill="d9d9d9"/>
        </w:rPr>
        <w:br w:type="page" w:clear="all"/>
      </w:r>
      <w:r>
        <w:rPr>
          <w:rFonts w:hint="eastAsia" w:ascii="宋体" w:hAnsi="宋体"/>
          <w:b/>
          <w:bCs/>
          <w:color w:val="000000"/>
          <w:sz w:val="24"/>
          <w:szCs w:val="24"/>
          <w:highlight w:val="none"/>
        </w:rPr>
        <w:t xml:space="preserve">2.对本国产品的支持政策（仅适用于采购包1）：根据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w:t>
      </w:r>
      <w:r>
        <w:rPr>
          <w:rFonts w:hint="eastAsia" w:ascii="宋体" w:hAnsi="宋体"/>
          <w:b/>
          <w:bCs/>
          <w:color w:val="000000"/>
          <w:sz w:val="24"/>
          <w:szCs w:val="24"/>
          <w:highlight w:val="none"/>
          <w:lang w:val="en-US" w:eastAsia="zh-CN"/>
        </w:rPr>
        <w:t xml:space="preserve">予</w:t>
      </w:r>
      <w:r>
        <w:rPr>
          <w:rFonts w:hint="eastAsia" w:ascii="宋体" w:hAnsi="宋体"/>
          <w:b/>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p>
    <w:p>
      <w:pPr>
        <w:pStyle w:val="755"/>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rPr>
      </w:pPr>
      <w:r>
        <w:rPr>
          <w:rFonts w:hint="eastAsia" w:ascii="宋体" w:hAnsi="宋体"/>
          <w:bCs/>
          <w:color w:val="000000"/>
          <w:sz w:val="24"/>
          <w:szCs w:val="24"/>
        </w:rPr>
        <w:t xml:space="preserve">投</w:t>
      </w:r>
      <w:r>
        <w:rPr>
          <w:rFonts w:hint="eastAsia" w:ascii="宋体" w:hAnsi="宋体" w:eastAsia="宋体" w:cs="宋体"/>
          <w:bCs/>
          <w:color w:val="000000"/>
          <w:sz w:val="24"/>
          <w:szCs w:val="24"/>
        </w:rPr>
        <w:t xml:space="preserve">标报价得分=(评标基准价／投标报价)×价格权值×100。</w:t>
      </w:r>
      <w:r/>
    </w:p>
    <w:p>
      <w:pPr>
        <w:ind w:firstLine="480"/>
        <w:jc w:val="left"/>
        <w:spacing w:line="500" w:lineRule="exact"/>
        <w:rPr>
          <w:rFonts w:hint="eastAsia" w:ascii="宋体" w:hAnsi="宋体" w:eastAsia="宋体" w:cs="宋体"/>
          <w:bCs/>
          <w:color w:val="000000"/>
          <w:sz w:val="24"/>
          <w:szCs w:val="24"/>
        </w:rPr>
      </w:pPr>
      <w:r>
        <w:rPr>
          <w:rFonts w:hint="eastAsia" w:ascii="宋体" w:hAnsi="宋体" w:eastAsia="宋体" w:cs="宋体"/>
          <w:bCs/>
          <w:sz w:val="24"/>
          <w:szCs w:val="24"/>
        </w:rPr>
        <w:t xml:space="preserve">关于价格扣除详见本章第二部分“一、落实政府采购政策的价格调整”。</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sz w:val="24"/>
          <w:szCs w:val="24"/>
        </w:rPr>
      </w:pPr>
      <w:r>
        <w:rPr>
          <w:rFonts w:hint="eastAsia" w:ascii="宋体" w:hAnsi="宋体" w:eastAsia="宋体" w:cs="宋体"/>
          <w:b/>
          <w:bCs/>
          <w:sz w:val="24"/>
          <w:szCs w:val="24"/>
        </w:rPr>
        <w:t xml:space="preserve">投标人综合情况（7分）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投标人综合情况（3分）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投标人具有有效期内的质量管理体系认证证书、职业健康安全管理体系认证证书、环境管理体系认证证书，每提供一个证书得1分，本项最高得3分（提供有效期内证书扫描件放入投标文件中，未提供不得分）。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项目人员配置情况（2分）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考察投标人为本项目配备的人员专业性，人员以《项目人员配置清单》为准（需投标人近一年中任意一个月（不含投标当月）为其缴纳社保的缴费证明资料扫描件放入投标文件中，未按要求提供不得分）。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项目负责人（2分）：投标人为本项目配备1名项目负责人，该项目负责人具有二级建造师（机电工程）</w:t>
      </w:r>
      <w:r>
        <w:rPr>
          <w:rFonts w:hint="eastAsia" w:ascii="宋体" w:hAnsi="宋体" w:eastAsia="宋体" w:cs="宋体"/>
          <w:sz w:val="24"/>
          <w:szCs w:val="24"/>
          <w:lang w:eastAsia="zh-CN"/>
        </w:rPr>
        <w:t xml:space="preserve">及以上</w:t>
      </w:r>
      <w:r>
        <w:rPr>
          <w:rFonts w:hint="eastAsia" w:ascii="宋体" w:hAnsi="宋体" w:eastAsia="宋体" w:cs="宋体"/>
          <w:sz w:val="24"/>
          <w:szCs w:val="24"/>
        </w:rPr>
        <w:t xml:space="preserve">证书、安全员B证，每提供一个证书得1分，本项最高得2分。</w:t>
      </w:r>
      <w:r/>
    </w:p>
    <w:p>
      <w:pPr>
        <w:ind w:firstLine="480"/>
        <w:spacing w:line="360" w:lineRule="auto"/>
        <w:rPr>
          <w:rFonts w:hint="eastAsia" w:ascii="宋体" w:hAnsi="宋体" w:eastAsia="宋体" w:cs="宋体"/>
          <w:sz w:val="24"/>
          <w:szCs w:val="24"/>
        </w:rPr>
      </w:pPr>
      <w:r/>
      <w:bookmarkStart w:id="200" w:name="_Hlk79237266"/>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业绩（2分）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投标供应商自2023年1月1日起承担的同类型项目案例，每提供一个业绩得1分，最多得2分</w:t>
      </w:r>
      <w:bookmarkEnd w:id="200"/>
      <w:r>
        <w:rPr>
          <w:rFonts w:hint="eastAsia" w:ascii="宋体" w:hAnsi="宋体" w:eastAsia="宋体" w:cs="宋体"/>
          <w:sz w:val="24"/>
          <w:szCs w:val="24"/>
        </w:rPr>
        <w:t xml:space="preserve">（提供相关业绩合同扫描件加盖公章，不提供不得分）。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sz w:val="24"/>
          <w:szCs w:val="24"/>
        </w:rPr>
      </w:pPr>
      <w:r>
        <w:rPr>
          <w:rFonts w:hint="eastAsia" w:ascii="宋体" w:hAnsi="宋体" w:eastAsia="宋体" w:cs="宋体"/>
          <w:b/>
          <w:bCs/>
          <w:sz w:val="24"/>
          <w:szCs w:val="24"/>
        </w:rPr>
        <w:t xml:space="preserve">产品技术能力（</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5分</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投标人所投“P1.8全彩LED”（1分）：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显示屏支持抑制摩尔纹功能，减轻摩尔纹视觉主管效果80%；盐雾等级10级，抗紫外线UV辐射≥5级，IP等级符合IP68。</w:t>
      </w:r>
      <w:r>
        <w:rPr>
          <w:rFonts w:hint="eastAsia" w:ascii="宋体" w:hAnsi="宋体" w:eastAsia="宋体" w:cs="宋体"/>
          <w:b/>
          <w:bCs/>
          <w:sz w:val="24"/>
          <w:szCs w:val="24"/>
        </w:rPr>
        <w:t xml:space="preserve">（可提供第三方检测机构出具的有CMA或CNAS标志的检测报告扫描件并加盖原厂公章得1分，不提供不得分）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投标人所投“多媒体功放机”（1分）：</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具备≥1路RS485接口，支持RS485通讯中控集成控制。</w:t>
      </w:r>
      <w:r>
        <w:rPr>
          <w:rFonts w:hint="eastAsia" w:ascii="宋体" w:hAnsi="宋体" w:eastAsia="宋体" w:cs="宋体"/>
          <w:b/>
          <w:bCs/>
          <w:sz w:val="24"/>
          <w:szCs w:val="24"/>
        </w:rPr>
        <w:t xml:space="preserve">（可提供设备接口图佐证并加盖原厂公章扫描件得1分，不提供不得分）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投标人所投“中置声道主扩、超低频扬声器双通道功率放大器”（1分）：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具备“远程控制端口，支持有线和无线远程控制该功放，内置有6路电源时序输出开关机”；具备“无线电干扰保护电路等保护功能”。</w:t>
      </w:r>
      <w:r>
        <w:rPr>
          <w:rFonts w:hint="eastAsia" w:ascii="宋体" w:hAnsi="宋体" w:eastAsia="宋体" w:cs="宋体"/>
          <w:b/>
          <w:bCs/>
          <w:sz w:val="24"/>
          <w:szCs w:val="24"/>
        </w:rPr>
        <w:t xml:space="preserve">（可提供第三方检测机构出具的有CMA或CNAS标志的检测报告扫描件并加盖原厂公章得1分，不提供不得分）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投标人所投“音频处理器”（4分）：</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1）输入通道支持前级放大、信号发生</w:t>
      </w:r>
      <w:r>
        <w:rPr>
          <w:rFonts w:hint="eastAsia" w:ascii="宋体" w:hAnsi="宋体" w:eastAsia="宋体" w:cs="宋体"/>
          <w:sz w:val="24"/>
          <w:szCs w:val="24"/>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b/>
          <w:bCs/>
          <w:sz w:val="24"/>
          <w:szCs w:val="24"/>
        </w:rPr>
        <w:t xml:space="preserve">（可提供功能截图佐证或第三方检测机构出具的有CMA或CNAS标志的检测报告扫描件并加盖原厂公章，可提供得1分，不提供不得分）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跨平台软件，可运行于windows操作系统或国产操作系统或macOS系统或Ubuntu桌面版操作系统；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b/>
          <w:bCs/>
          <w:sz w:val="24"/>
          <w:szCs w:val="24"/>
        </w:rPr>
        <w:t xml:space="preserve">（可提供功能截图佐证或第三方检测机构出具的有CMA或CNAS标志的检测报告扫描件并加盖原厂公章，可提供得1分，不提供不得分）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rPr>
          <w:rFonts w:hint="eastAsia" w:ascii="宋体" w:hAnsi="宋体" w:eastAsia="宋体" w:cs="宋体"/>
          <w:b/>
          <w:bCs/>
          <w:sz w:val="24"/>
          <w:szCs w:val="24"/>
        </w:rPr>
        <w:t xml:space="preserve">（可提供第三方检测机构出具的有CMA或CNAS标志的检测报告扫描件并加盖原厂公章，可提供得1分，不提供不得分）</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4）管理软件具有AI助手，联网后支持通过智能问答与快捷指令协助用户操作，能够基于语义理解识别用户意图，并完成平台内子软件的打开、关闭、下载、跳转等指令执行；内置产品知识库，可通过AI助手查询产品功能、修改IP地址指引、音频处理功能说明、设备应用解答等信息；支持上下文理解与多轮对话，内置可扩展的常用操作指令模板，并支持生成系统运行报告；平台可对接大模型，为用户提供实时智能问答，用户在交互界面输入问题后，AI助手生成的结果将显示在专用回答框内。</w:t>
      </w:r>
      <w:r>
        <w:rPr>
          <w:rFonts w:hint="eastAsia" w:ascii="宋体" w:hAnsi="宋体" w:eastAsia="宋体" w:cs="宋体"/>
          <w:b/>
          <w:bCs/>
          <w:sz w:val="24"/>
          <w:szCs w:val="24"/>
        </w:rPr>
        <w:t xml:space="preserve">（可提供功能界面截图佐证并加盖原厂公章得1分，不提供不得分）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投标人所投“无线话筒（一拖四）”（1分）：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多档位混响调节功能，混响效果≥15625个，效果占比、回响延时、混响幅度调节，三种音效各具有≥25档调节方式；桌面式发射机配置≥1颗锂电池，使用时长≥15小时；设备电池孔位≥4个，支持拓展电池数量，通过拓展连续使用时长≥60小时。</w:t>
      </w:r>
      <w:r>
        <w:rPr>
          <w:rFonts w:hint="eastAsia" w:ascii="宋体" w:hAnsi="宋体" w:eastAsia="宋体" w:cs="宋体"/>
          <w:b/>
          <w:bCs/>
          <w:sz w:val="24"/>
          <w:szCs w:val="24"/>
        </w:rPr>
        <w:t xml:space="preserve">（可提供第三方检测机构出具的有CMA或CNAS标志的检测报告扫描件并加盖原厂公章得1分，不提供不得分）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投标人所投“P1.2全彩LED”（1分）：</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设备在正常工作条件下，连续工作168h，不出现电、机械或操作系统的故障；具有信号加密传输功能，支持控制器与屏体之间信号加密传输功能，防止网络恶意入侵。</w:t>
      </w:r>
      <w:r>
        <w:rPr>
          <w:rFonts w:hint="eastAsia" w:ascii="宋体" w:hAnsi="宋体" w:eastAsia="宋体" w:cs="宋体"/>
          <w:b/>
          <w:bCs/>
          <w:sz w:val="24"/>
          <w:szCs w:val="24"/>
        </w:rPr>
        <w:t xml:space="preserve">（可提供第三方检测机构出具的有CMA或CNAS标志的检测报告扫描件并加盖原厂公章得1分，不提供不得分）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投标人所投“拼接处理器”（1分）：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具有“输出图像可进行亮度调节，实现对不同环境应用的友好交互”功能;具有“点对点LED拼接：支持输出分辨率自定义,输出匹配LED显示屏的点对点画面”功能；具有“支持屏幕坐标自动计算”。</w:t>
      </w:r>
      <w:r>
        <w:rPr>
          <w:rFonts w:hint="eastAsia" w:ascii="宋体" w:hAnsi="宋体" w:eastAsia="宋体" w:cs="宋体"/>
          <w:b/>
          <w:bCs/>
          <w:sz w:val="24"/>
          <w:szCs w:val="24"/>
        </w:rPr>
        <w:t xml:space="preserve">（可提供第三方检测机构出具的有CMA或CNAS标志的检测报告扫描件并加盖原厂公章得1分，不提供不得分）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投标人所投“数字调音台”（1分）：</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每个输入通道具有≥4段参数均衡、噪声门、高低通、压缩、反相；每个输出通道具有≥8段参数均衡、高低通、压缩、反相、1800亳秒延时器。</w:t>
      </w:r>
      <w:r>
        <w:rPr>
          <w:rFonts w:hint="eastAsia" w:ascii="宋体" w:hAnsi="宋体" w:eastAsia="宋体" w:cs="宋体"/>
          <w:b/>
          <w:bCs/>
          <w:sz w:val="24"/>
          <w:szCs w:val="24"/>
        </w:rPr>
        <w:t xml:space="preserve">（可提供功能界面截图佐证并加盖原厂公章得1分，不提供不得分）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投标人所投“全数字会议系统主机”（3分）：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1）具有C/S、B/S管控架构，包括客户</w:t>
      </w:r>
      <w:r>
        <w:rPr>
          <w:rFonts w:hint="eastAsia" w:ascii="宋体" w:hAnsi="宋体" w:eastAsia="宋体" w:cs="宋体"/>
          <w:sz w:val="24"/>
          <w:szCs w:val="24"/>
        </w:rPr>
        <w:t xml:space="preserve">端、WEB端、本机全彩触摸屏、安卓手机/平板控制方式；通过客户端、WEB端可调节音频矩阵参数（包括EQ、音量、延时器、会议单元灵敏度）、≥16通道输出模式切换、开关会议单元、中英俄法四种语言切换、控制角色分离主机功能；使用本机全彩触摸屏可调节会议模式、有线/无线会议单元开麦数量、编ID、主机/从机设置、中英俄法四种语言切换、显示亮度/输出音量调节、显示剩余使用天数、输入注册码进行主机注册功能；使用安卓手机/平板可控制会议单元开关、开启签到、投票、表决、接收会议服务信息、一键关闭无线会议单元功能，免PC操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客户端、WEB端软件可运行于windows操作系统或国产操作系统或macOS系统或Ubuntu桌面版操作系统；会议主机软件融入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功能和一键还原配置信息功能。</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上述可提供第三方检测机构出具的有CMA或CNAS标志的检测报告扫描件并加盖原厂公章，每符合响应一项得1分，共计2分，不提供不得分。</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3）系统软件可实现通过移动端扫描二维码方式与数字会议系统管理电脑进行连接；通过移动端（手机或平板）查看投票表决，监视投票结果状态。</w:t>
      </w:r>
      <w:r>
        <w:rPr>
          <w:rFonts w:hint="eastAsia" w:ascii="宋体" w:hAnsi="宋体" w:eastAsia="宋体" w:cs="宋体"/>
          <w:b/>
          <w:bCs/>
          <w:sz w:val="24"/>
          <w:szCs w:val="24"/>
        </w:rPr>
        <w:t xml:space="preserve">（可提供扫码、投票表决功能界面截图佐证并加盖原厂公章得1分，不提供不得分）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投标人所投“会议话筒处理器”（1分）：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处理器与数字会议主机</w:t>
      </w:r>
      <w:r>
        <w:rPr>
          <w:rFonts w:hint="eastAsia" w:ascii="宋体" w:hAnsi="宋体" w:eastAsia="宋体" w:cs="宋体"/>
          <w:sz w:val="24"/>
          <w:szCs w:val="24"/>
        </w:rPr>
        <w:t xml:space="preserve">通过网络传输链路传输会议单元音频信号，只需要通过网线即可以接收数字会议单元音频信号，并提供自动增益、自动混音、AFC反馈抑制（≥24个可编程陷波点）、EQ调节（≥31段图示均衡器调节）音频处理功能；处理器软件与数字会议主机软件集成，可以实现使用同一软件配置数字会议主机和会议话筒处理器；支持搭配音频综合管理平台集中管控各种音频设备，包含数字会议系统软件模块、电子桌牌软件模块、反馈抑制器软件模块、智能混音器软件模块、数字音频处理器软件模块、智控数字专业功放软件模块，各模块打开呈现在状态栏窗口，可快速管理和调用。</w:t>
      </w:r>
      <w:r>
        <w:rPr>
          <w:rFonts w:hint="eastAsia" w:ascii="宋体" w:hAnsi="宋体" w:eastAsia="宋体" w:cs="宋体"/>
          <w:b/>
          <w:bCs/>
          <w:sz w:val="24"/>
          <w:szCs w:val="24"/>
        </w:rPr>
        <w:t xml:space="preserve">（可提供第三方检测机构出具的有CMA或CNAS标志的检测报告扫描件并加盖原厂公章得1分，不提供不得分）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sz w:val="24"/>
          <w:szCs w:val="24"/>
        </w:rPr>
      </w:pPr>
      <w:r>
        <w:rPr>
          <w:rFonts w:hint="eastAsia" w:ascii="宋体" w:hAnsi="宋体" w:eastAsia="宋体" w:cs="宋体"/>
          <w:b/>
          <w:bCs/>
          <w:sz w:val="24"/>
          <w:szCs w:val="24"/>
        </w:rPr>
        <w:t xml:space="preserve">系统对接保障承诺（2分）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投标人承诺：所投智能出警联动系统，需配合按甲方需求无缝接入江苏省智能消防调度网，实现警情数据、调度指令双向实时互通、平台联动，确保完成联网对接调试。</w:t>
      </w:r>
      <w:r>
        <w:rPr>
          <w:rFonts w:hint="eastAsia" w:ascii="宋体" w:hAnsi="宋体" w:eastAsia="宋体" w:cs="宋体"/>
          <w:b/>
          <w:bCs/>
          <w:sz w:val="24"/>
          <w:szCs w:val="24"/>
        </w:rPr>
        <w:t xml:space="preserve">可提供投标人承诺函得2分，提供不全或不提供的不得分。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sz w:val="24"/>
          <w:szCs w:val="24"/>
        </w:rPr>
      </w:pPr>
      <w:r/>
      <w:bookmarkStart w:id="201" w:name="_Hlk232433930"/>
      <w:r>
        <w:rPr>
          <w:rFonts w:hint="eastAsia" w:ascii="宋体" w:hAnsi="宋体" w:eastAsia="宋体" w:cs="宋体"/>
          <w:b/>
          <w:bCs/>
          <w:sz w:val="24"/>
          <w:szCs w:val="24"/>
        </w:rPr>
        <w:t xml:space="preserve">技术方案（24分）</w:t>
      </w:r>
      <w:bookmarkEnd w:id="201"/>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考察投标人所投技术方案对本项目需求的匹配度，需体现科学性、可行性、针对性，无方案不得分。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需求及业务分析（5分），内容包括：</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1）业务目标分析、业务功能分析</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2）业务流程、业务量分析</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3）系统功能与需求分析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方案完整、科学合理，设计清晰详细，完全符合本项目需求，且能够提供上述3项全部方案的，得5分；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方案较完整，科学合理性较强，设计较清晰详细，能够符合本项目需求，能够提供上述2-3项方案的，得3分；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方案完整性一般，科学合理性一般，设计清晰详细程度一般，能够符合本项目需求，能够提供上述1-3项方案的，得1分；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提供方案不足1项或无方案的，不得分。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项目建设实施方案（12分），内容包括：</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1）项目建设目标和实施内容</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2）整体架构设计</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3）设备送货及部署实施方案</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4）组织实施方案</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5）故障的应急预案和处理方案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方案完整、科学合理，设计清晰详细，完全符合本项目需求，且能够提供上述5项全部方案的，得12分；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方案较完整、科学合理性较强，设计较清晰详细，符合本项目需求，且提供上述4-5项方案的，得9分；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方案较完整性尚可、科学合理性尚可，设计清晰详细程度尚可，符合本项目需求，且提供上述3-5项方案的，得6分；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方案完整性一般，科学合理性一般，设计清晰详细程度一般，符合本项目需求，且提供上述2-5项方案的，得3分；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提供方案不足2项或无方案的，不得分。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售后服务方案（7分），内容包括：</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1）整体服务体系</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2）售后服务响应时间</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3）售后服务方式</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4）售后服务内容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方案完整、科学合理，设计清晰详细，完全符合本项目需求，且能够提供上述4项全部方案的，得7分；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方案较完整，科学合理性较强，设计较清晰详细，能够符合本项目需求，能够提供上述3-4项方案的，得5分；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方案完整性一般，科学合理性一般，设计清晰详细程度一般，能够符合本项目需求，能够提供上述2-3项方案的，得3分；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提供方案不足2项或无方案的，不得分。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w:t>
      </w:r>
      <w:r>
        <w:rPr>
          <w:rFonts w:hint="eastAsia" w:ascii="宋体" w:hAnsi="宋体"/>
          <w:color w:val="000000"/>
          <w:sz w:val="24"/>
          <w:lang w:eastAsia="zh-CN"/>
        </w:rPr>
        <w:t xml:space="preserve">扫描</w:t>
      </w:r>
      <w:r>
        <w:rPr>
          <w:rFonts w:hint="eastAsia" w:ascii="宋体" w:hAnsi="宋体"/>
          <w:color w:val="000000"/>
          <w:sz w:val="24"/>
        </w:rPr>
        <w:t xml:space="preserve">件、环境标志产品认证证书</w:t>
      </w:r>
      <w:r>
        <w:rPr>
          <w:rFonts w:hint="eastAsia" w:ascii="宋体" w:hAnsi="宋体"/>
          <w:color w:val="000000"/>
          <w:sz w:val="24"/>
          <w:lang w:eastAsia="zh-CN"/>
        </w:rPr>
        <w:t xml:space="preserve">扫描</w:t>
      </w:r>
      <w:r>
        <w:rPr>
          <w:rFonts w:hint="eastAsia" w:ascii="宋体" w:hAnsi="宋体"/>
          <w:color w:val="000000"/>
          <w:sz w:val="24"/>
        </w:rPr>
        <w:t xml:space="preserve">件，否则不得分</w:t>
      </w:r>
      <w:r>
        <w:rPr>
          <w:rFonts w:ascii="宋体" w:hAnsi="宋体"/>
          <w:color w:val="000000"/>
          <w:sz w:val="24"/>
        </w:rPr>
        <w:t xml:space="preserve">）</w:t>
      </w:r>
      <w:r>
        <w:rPr>
          <w:rFonts w:hint="eastAsia" w:ascii="宋体" w:hAnsi="宋体"/>
          <w:color w:val="000000"/>
          <w:sz w:val="24"/>
        </w:rPr>
        <w:t xml:space="preserve">。</w:t>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pStyle w:val="744"/>
        <w:rPr>
          <w:rFonts w:hint="eastAsia" w:ascii="黑体" w:hAnsi="黑体" w:eastAsia="黑体"/>
          <w:sz w:val="36"/>
          <w:szCs w:val="36"/>
        </w:rPr>
      </w:pPr>
      <w:r>
        <w:rPr>
          <w:rFonts w:hint="eastAsia" w:ascii="黑体" w:hAnsi="黑体" w:eastAsia="黑体"/>
          <w:sz w:val="36"/>
          <w:szCs w:val="36"/>
        </w:rPr>
      </w:r>
      <w:r/>
    </w:p>
    <w:p>
      <w:pPr>
        <w:pStyle w:val="744"/>
        <w:rPr>
          <w:rFonts w:hint="eastAsia" w:ascii="黑体" w:hAnsi="黑体" w:eastAsia="黑体"/>
          <w:sz w:val="36"/>
          <w:szCs w:val="36"/>
        </w:rPr>
      </w:pPr>
      <w:r>
        <w:rPr>
          <w:rFonts w:hint="eastAsia" w:ascii="黑体" w:hAnsi="黑体" w:eastAsia="黑体"/>
          <w:sz w:val="36"/>
          <w:szCs w:val="36"/>
        </w:rPr>
      </w:r>
      <w:r/>
    </w:p>
    <w:p>
      <w:pPr>
        <w:pStyle w:val="744"/>
        <w:rPr>
          <w:rFonts w:hint="eastAsia" w:ascii="黑体" w:hAnsi="黑体" w:eastAsia="黑体"/>
          <w:sz w:val="36"/>
          <w:szCs w:val="36"/>
        </w:rPr>
      </w:pPr>
      <w:r>
        <w:rPr>
          <w:rFonts w:hint="eastAsia" w:ascii="黑体" w:hAnsi="黑体" w:eastAsia="黑体"/>
          <w:sz w:val="36"/>
          <w:szCs w:val="36"/>
        </w:rPr>
      </w:r>
      <w:r/>
    </w:p>
    <w:p>
      <w:pPr>
        <w:pStyle w:val="744"/>
        <w:rPr>
          <w:rFonts w:hint="eastAsia" w:ascii="黑体" w:hAnsi="黑体" w:eastAsia="黑体"/>
          <w:sz w:val="36"/>
          <w:szCs w:val="36"/>
        </w:rPr>
      </w:pPr>
      <w:r>
        <w:rPr>
          <w:rFonts w:hint="eastAsia" w:ascii="黑体" w:hAnsi="黑体" w:eastAsia="黑体"/>
          <w:sz w:val="36"/>
          <w:szCs w:val="36"/>
        </w:rPr>
      </w:r>
      <w:r/>
    </w:p>
    <w:p>
      <w:pPr>
        <w:pStyle w:val="744"/>
        <w:rPr>
          <w:rFonts w:hint="eastAsia" w:ascii="黑体" w:hAnsi="黑体" w:eastAsia="黑体"/>
          <w:sz w:val="36"/>
          <w:szCs w:val="36"/>
        </w:rPr>
      </w:pPr>
      <w:r>
        <w:rPr>
          <w:rFonts w:hint="eastAsia" w:ascii="黑体" w:hAnsi="黑体" w:eastAsia="黑体"/>
          <w:sz w:val="36"/>
          <w:szCs w:val="36"/>
        </w:rPr>
      </w:r>
      <w:r/>
    </w:p>
    <w:p>
      <w:pPr>
        <w:pStyle w:val="744"/>
        <w:rPr>
          <w:rFonts w:hint="eastAsia" w:ascii="黑体" w:hAnsi="黑体" w:eastAsia="黑体"/>
          <w:sz w:val="36"/>
          <w:szCs w:val="36"/>
        </w:rPr>
      </w:pPr>
      <w:r>
        <w:rPr>
          <w:rFonts w:hint="eastAsia" w:ascii="黑体" w:hAnsi="黑体" w:eastAsia="黑体"/>
          <w:sz w:val="36"/>
          <w:szCs w:val="36"/>
        </w:rPr>
      </w:r>
      <w:r/>
    </w:p>
    <w:p>
      <w:pPr>
        <w:pStyle w:val="744"/>
        <w:rPr>
          <w:rFonts w:hint="eastAsia" w:ascii="黑体" w:hAnsi="黑体" w:eastAsia="黑体"/>
          <w:sz w:val="36"/>
          <w:szCs w:val="36"/>
        </w:rPr>
      </w:pPr>
      <w:r>
        <w:rPr>
          <w:rFonts w:hint="eastAsia" w:ascii="黑体" w:hAnsi="黑体" w:eastAsia="黑体"/>
          <w:sz w:val="36"/>
          <w:szCs w:val="36"/>
        </w:rPr>
      </w:r>
      <w:r/>
    </w:p>
    <w:p>
      <w:pPr>
        <w:pStyle w:val="744"/>
        <w:rPr>
          <w:rFonts w:hint="eastAsia" w:ascii="黑体" w:hAnsi="黑体" w:eastAsia="黑体"/>
          <w:sz w:val="36"/>
          <w:szCs w:val="36"/>
        </w:rPr>
      </w:pPr>
      <w:r>
        <w:rPr>
          <w:rFonts w:hint="eastAsia" w:ascii="黑体" w:hAnsi="黑体" w:eastAsia="黑体"/>
          <w:sz w:val="36"/>
          <w:szCs w:val="36"/>
        </w:rPr>
      </w:r>
      <w:r/>
    </w:p>
    <w:p>
      <w:pPr>
        <w:pStyle w:val="744"/>
        <w:rPr>
          <w:rFonts w:hint="eastAsia" w:ascii="黑体" w:hAnsi="黑体" w:eastAsia="黑体"/>
          <w:sz w:val="36"/>
          <w:szCs w:val="36"/>
        </w:rPr>
      </w:pPr>
      <w:r>
        <w:rPr>
          <w:rFonts w:hint="eastAsia" w:ascii="黑体" w:hAnsi="黑体" w:eastAsia="黑体"/>
          <w:sz w:val="36"/>
          <w:szCs w:val="36"/>
        </w:rPr>
      </w:r>
      <w:r/>
    </w:p>
    <w:p>
      <w:pPr>
        <w:jc w:val="both"/>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9"/>
      <w:r>
        <w:rPr>
          <w:rFonts w:hint="eastAsia" w:ascii="黑体" w:hAnsi="黑体" w:eastAsia="黑体"/>
          <w:sz w:val="36"/>
          <w:szCs w:val="36"/>
        </w:rPr>
        <w:t xml:space="preserve">投标文件内容与格式</w:t>
      </w:r>
      <w:r/>
    </w:p>
    <w:p>
      <w:pPr>
        <w:pStyle w:val="755"/>
        <w:ind w:firstLine="602"/>
        <w:spacing w:before="0" w:after="0" w:line="500" w:lineRule="exact"/>
        <w:rPr>
          <w:rFonts w:hint="eastAsia" w:cs="Arial"/>
          <w:b/>
          <w:sz w:val="30"/>
          <w:szCs w:val="30"/>
        </w:rPr>
      </w:pPr>
      <w:r/>
      <w:bookmarkStart w:id="202" w:name="_Hlt26955039"/>
      <w:r/>
      <w:bookmarkEnd w:id="202"/>
      <w:r/>
      <w:bookmarkStart w:id="203" w:name="_Hlt26671244"/>
      <w:r/>
      <w:bookmarkEnd w:id="203"/>
      <w:r/>
      <w:bookmarkStart w:id="204" w:name="_Toc26554094"/>
      <w:r/>
      <w:bookmarkStart w:id="205" w:name="_Toc49090576"/>
      <w:r/>
      <w:bookmarkStart w:id="206" w:name="_Toc120614282"/>
      <w:r>
        <w:rPr>
          <w:rFonts w:hint="eastAsia" w:cs="Arial"/>
          <w:b/>
          <w:sz w:val="30"/>
          <w:szCs w:val="30"/>
        </w:rPr>
        <w:t xml:space="preserve">第一部分  投标文件内容</w:t>
      </w:r>
      <w:r/>
    </w:p>
    <w:p>
      <w:pPr>
        <w:pStyle w:val="75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7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5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5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5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17"/>
                <w:rFonts w:hint="eastAsia" w:ascii="宋体" w:hAnsi="宋体" w:cs="宋体"/>
                <w:sz w:val="24"/>
                <w:szCs w:val="24"/>
              </w:rPr>
              <w:t xml:space="preserve">。</w:t>
            </w:r>
            <w:r/>
          </w:p>
        </w:tc>
        <w:tc>
          <w:tcPr>
            <w:tcW w:w="2449" w:type="dxa"/>
            <w:vAlign w:val="center"/>
            <w:vMerge w:val="continue"/>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5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5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5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5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55"/>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55"/>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55"/>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5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55"/>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5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55"/>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5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55"/>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55"/>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55"/>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55"/>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55"/>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5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55"/>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55"/>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JSZC-320214-JZCG-G2026-0060</w:t>
      </w:r>
      <w:r/>
    </w:p>
    <w:p>
      <w:pPr>
        <w:ind w:left="3300"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无锡经济开发区消防特勤指挥中心投勤配套接出警、视频会议和点调等设备采购项目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53"/>
        <w:ind w:firstLine="480"/>
        <w:rPr>
          <w:rFonts w:hint="eastAsia"/>
          <w:color w:val="auto"/>
          <w:sz w:val="24"/>
          <w:szCs w:val="24"/>
        </w:rPr>
      </w:pPr>
      <w:r>
        <w:rPr>
          <w:rFonts w:hint="eastAsia"/>
          <w:sz w:val="24"/>
          <w:szCs w:val="24"/>
        </w:rPr>
        <w:t xml:space="preserve">我</w:t>
      </w:r>
      <w:r>
        <w:rPr>
          <w:rFonts w:hint="eastAsia"/>
          <w:color w:val="auto"/>
          <w:sz w:val="24"/>
          <w:szCs w:val="24"/>
        </w:rPr>
        <w:t xml:space="preserve">公司（单位、联合体）针对</w:t>
      </w:r>
      <w:r>
        <w:rPr>
          <w:rFonts w:hint="eastAsia" w:ascii="宋体" w:hAnsi="宋体"/>
          <w:bCs/>
          <w:color w:val="auto"/>
          <w:sz w:val="24"/>
          <w:szCs w:val="24"/>
          <w:lang w:eastAsia="zh-CN"/>
        </w:rPr>
        <w:t xml:space="preserve">JSZC-320214-JZCG-G2026-0060</w:t>
      </w:r>
      <w:r>
        <w:rPr>
          <w:rFonts w:hint="eastAsia" w:ascii="宋体" w:hAnsi="宋体"/>
          <w:bCs/>
          <w:color w:val="auto"/>
          <w:sz w:val="24"/>
          <w:szCs w:val="24"/>
        </w:rPr>
        <w:t xml:space="preserve">项目，兹授权：</w:t>
      </w:r>
      <w:r/>
    </w:p>
    <w:p>
      <w:pPr>
        <w:pStyle w:val="753"/>
        <w:ind w:firstLine="480"/>
        <w:rPr>
          <w:rFonts w:hint="eastAsia"/>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sz w:val="24"/>
          <w:szCs w:val="24"/>
          <w:u w:val="single"/>
        </w:rPr>
        <w:t xml:space="preserve">    </w:t>
      </w:r>
      <w:r>
        <w:rPr>
          <w:rFonts w:hint="eastAsia"/>
          <w:sz w:val="24"/>
          <w:szCs w:val="24"/>
        </w:rPr>
        <w:t xml:space="preserve">；</w:t>
      </w:r>
      <w:r/>
    </w:p>
    <w:p>
      <w:pPr>
        <w:pStyle w:val="753"/>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53"/>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53"/>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53"/>
        <w:ind w:firstLine="480"/>
        <w:rPr>
          <w:rFonts w:hint="eastAsia"/>
          <w:sz w:val="24"/>
          <w:szCs w:val="24"/>
        </w:rPr>
      </w:pPr>
      <w:r>
        <w:rPr>
          <w:rFonts w:hint="eastAsia"/>
          <w:sz w:val="24"/>
          <w:szCs w:val="24"/>
        </w:rPr>
        <w:t xml:space="preserve">特此授权委托。</w:t>
      </w:r>
      <w:r/>
    </w:p>
    <w:p>
      <w:pPr>
        <w:pStyle w:val="753"/>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53"/>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53"/>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53"/>
        <w:ind w:firstLine="0"/>
        <w:rPr>
          <w:rFonts w:hint="eastAsia"/>
          <w:sz w:val="21"/>
          <w:szCs w:val="21"/>
        </w:rPr>
      </w:pPr>
      <w:r>
        <w:rPr>
          <w:rFonts w:hint="eastAsia"/>
          <w:sz w:val="21"/>
          <w:szCs w:val="21"/>
        </w:rPr>
      </w:r>
      <w:r/>
    </w:p>
    <w:p>
      <w:pPr>
        <w:pStyle w:val="753"/>
        <w:ind w:firstLine="0"/>
        <w:spacing w:line="360" w:lineRule="auto"/>
        <w:rPr>
          <w:rFonts w:hint="eastAsia"/>
          <w:sz w:val="21"/>
          <w:szCs w:val="21"/>
        </w:rPr>
      </w:pPr>
      <w:r>
        <w:rPr>
          <w:rFonts w:hint="eastAsia"/>
          <w:sz w:val="21"/>
          <w:szCs w:val="21"/>
        </w:rPr>
        <w:t xml:space="preserve">说明：</w:t>
      </w:r>
      <w:r/>
    </w:p>
    <w:p>
      <w:pPr>
        <w:pStyle w:val="753"/>
        <w:numPr>
          <w:ilvl w:val="0"/>
          <w:numId w:val="10"/>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53"/>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53"/>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53"/>
        <w:numPr>
          <w:ilvl w:val="0"/>
          <w:numId w:val="10"/>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53"/>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7" w:name="报价方关于资格的声明函（格式）"/>
      <w:r/>
      <w:bookmarkEnd w:id="207"/>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auto"/>
          <w:sz w:val="24"/>
          <w:szCs w:val="24"/>
        </w:rPr>
      </w:pPr>
      <w:r>
        <w:rPr>
          <w:rFonts w:hint="eastAsia" w:ascii="宋体" w:hAnsi="宋体"/>
          <w:bCs/>
          <w:color w:val="000000"/>
          <w:sz w:val="24"/>
          <w:szCs w:val="24"/>
          <w:lang w:eastAsia="zh-CN"/>
        </w:rPr>
        <w:t xml:space="preserve">无锡市公共资源交易中心新吴分</w:t>
      </w:r>
      <w:r>
        <w:rPr>
          <w:rFonts w:hint="eastAsia" w:ascii="宋体" w:hAnsi="宋体"/>
          <w:bCs/>
          <w:color w:val="auto"/>
          <w:sz w:val="24"/>
          <w:szCs w:val="24"/>
          <w:lang w:eastAsia="zh-CN"/>
        </w:rPr>
        <w:t xml:space="preserve">中心</w:t>
      </w:r>
      <w:r>
        <w:rPr>
          <w:rFonts w:hint="eastAsia" w:ascii="宋体" w:hAnsi="宋体"/>
          <w:bCs/>
          <w:color w:val="auto"/>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JSZC-320214-JZCG-G2026-0060</w:t>
      </w:r>
      <w:r>
        <w:rPr>
          <w:rFonts w:hint="eastAsia" w:ascii="宋体" w:hAnsi="宋体"/>
          <w:bCs/>
          <w:color w:val="auto"/>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spacing w:line="360" w:lineRule="auto"/>
        <w:rPr>
          <w:rFonts w:ascii="宋体" w:hAnsi="宋体"/>
          <w:bCs/>
          <w:sz w:val="24"/>
          <w:szCs w:val="24"/>
        </w:rPr>
      </w:pPr>
      <w:r>
        <w:rPr>
          <w:rFonts w:ascii="宋体" w:hAnsi="宋体"/>
          <w:bCs/>
          <w:sz w:val="24"/>
          <w:szCs w:val="24"/>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82"/>
        <w:jc w:val="center"/>
        <w:rPr>
          <w:rFonts w:hint="eastAsia" w:ascii="黑体" w:eastAsia="黑体"/>
          <w:bCs/>
          <w:color w:val="000000"/>
          <w:sz w:val="28"/>
          <w:szCs w:val="28"/>
          <w:highlight w:val="none"/>
          <w:lang w:eastAsia="zh-CN"/>
        </w:rPr>
      </w:pPr>
      <w:r>
        <w:br w:type="page" w:clear="all"/>
      </w:r>
      <w:r>
        <w:rPr>
          <w:rFonts w:hint="eastAsia" w:ascii="黑体" w:eastAsia="黑体" w:cs="Times New Roman"/>
          <w:bCs/>
          <w:color w:val="000000"/>
          <w:sz w:val="28"/>
          <w:szCs w:val="28"/>
          <w:highlight w:val="none"/>
        </w:rPr>
        <w:t xml:space="preserve">关于符合本国产品标准的声明函</w:t>
      </w:r>
      <w:r>
        <w:rPr>
          <w:rFonts w:hint="eastAsia" w:ascii="黑体" w:eastAsia="黑体" w:cs="Times New Roman"/>
          <w:bCs/>
          <w:color w:val="000000"/>
          <w:sz w:val="28"/>
          <w:szCs w:val="28"/>
          <w:highlight w:val="none"/>
          <w:lang w:eastAsia="zh-CN"/>
        </w:rPr>
        <w:t xml:space="preserve">（</w:t>
      </w:r>
      <w:r>
        <w:rPr>
          <w:rFonts w:hint="eastAsia" w:ascii="黑体" w:eastAsia="黑体" w:cs="Times New Roman"/>
          <w:bCs/>
          <w:color w:val="000000"/>
          <w:sz w:val="28"/>
          <w:szCs w:val="28"/>
          <w:highlight w:val="none"/>
          <w:lang w:val="en-US" w:eastAsia="zh-CN"/>
        </w:rPr>
        <w:t xml:space="preserve">纯服务项目不用放</w:t>
      </w:r>
      <w:r>
        <w:rPr>
          <w:rFonts w:hint="eastAsia" w:ascii="黑体" w:eastAsia="黑体" w:cs="Times New Roman"/>
          <w:bCs/>
          <w:color w:val="000000"/>
          <w:sz w:val="28"/>
          <w:szCs w:val="28"/>
          <w:highlight w:val="none"/>
          <w:lang w:eastAsia="zh-CN"/>
        </w:rPr>
        <w:t xml:space="preserve">）</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p>
    <w:p>
      <w:pPr>
        <w:spacing w:line="360" w:lineRule="auto"/>
        <w:rPr>
          <w:color w:val="00b050"/>
        </w:rPr>
      </w:pPr>
      <w:r>
        <w:rPr>
          <w:color w:val="00b050"/>
        </w:rPr>
      </w:r>
      <w:r/>
    </w:p>
    <w:p>
      <w:pPr>
        <w:pStyle w:val="744"/>
        <w:rPr>
          <w:color w:val="00b050"/>
        </w:rPr>
      </w:pPr>
      <w:r>
        <w:rPr>
          <w:color w:val="00b050"/>
        </w:rPr>
      </w:r>
      <w:r/>
    </w:p>
    <w:p>
      <w:pPr>
        <w:pStyle w:val="744"/>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auto"/>
          <w:sz w:val="24"/>
          <w:szCs w:val="24"/>
        </w:rPr>
      </w:pPr>
      <w:r>
        <w:rPr>
          <w:rFonts w:hint="eastAsia" w:ascii="宋体" w:hAnsi="宋体"/>
          <w:bCs/>
          <w:color w:val="000000"/>
          <w:sz w:val="24"/>
          <w:szCs w:val="24"/>
        </w:rPr>
        <w:t xml:space="preserve">我方</w:t>
      </w:r>
      <w:r>
        <w:rPr>
          <w:rFonts w:hint="eastAsia" w:ascii="宋体" w:hAnsi="宋体"/>
          <w:bCs/>
          <w:color w:val="auto"/>
          <w:sz w:val="24"/>
          <w:szCs w:val="24"/>
        </w:rPr>
        <w:t xml:space="preserve">收到贵方</w:t>
      </w:r>
      <w:r>
        <w:rPr>
          <w:rFonts w:hint="eastAsia" w:ascii="宋体" w:hAnsi="宋体"/>
          <w:bCs/>
          <w:color w:val="auto"/>
          <w:sz w:val="24"/>
          <w:szCs w:val="24"/>
          <w:lang w:eastAsia="zh-CN"/>
        </w:rPr>
        <w:t xml:space="preserve">JSZC-320214-JZCG-G2026-0060</w:t>
      </w:r>
      <w:r>
        <w:rPr>
          <w:rFonts w:hint="eastAsia" w:ascii="宋体" w:hAnsi="宋体"/>
          <w:bCs/>
          <w:color w:val="auto"/>
          <w:sz w:val="24"/>
          <w:szCs w:val="24"/>
        </w:rPr>
        <w:t xml:space="preserve">招标文件，经仔细阅读和研究，我方决定参加此项目的投标。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15"/>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auto"/>
          <w:sz w:val="24"/>
          <w:szCs w:val="24"/>
        </w:rPr>
      </w:pPr>
      <w:r>
        <w:rPr>
          <w:rFonts w:hint="eastAsia" w:ascii="宋体" w:hAnsi="宋体"/>
          <w:color w:val="auto"/>
          <w:sz w:val="24"/>
          <w:szCs w:val="24"/>
          <w:u w:val="single"/>
        </w:rPr>
        <w:t xml:space="preserve">                              </w:t>
      </w:r>
      <w:r>
        <w:rPr>
          <w:rFonts w:hint="eastAsia" w:ascii="宋体" w:hAnsi="宋体"/>
          <w:color w:val="auto"/>
          <w:sz w:val="24"/>
          <w:szCs w:val="24"/>
        </w:rPr>
        <w:t xml:space="preserve">（</w:t>
      </w:r>
      <w:r>
        <w:rPr>
          <w:rFonts w:hint="eastAsia" w:ascii="宋体" w:hAnsi="宋体"/>
          <w:color w:val="auto"/>
          <w:sz w:val="24"/>
        </w:rPr>
        <w:t xml:space="preserve">投标人</w:t>
      </w:r>
      <w:r>
        <w:rPr>
          <w:rFonts w:hint="eastAsia" w:ascii="宋体" w:hAnsi="宋体"/>
          <w:color w:val="auto"/>
          <w:sz w:val="24"/>
          <w:szCs w:val="24"/>
        </w:rPr>
        <w:t xml:space="preserve">名称）针对本项目</w:t>
      </w:r>
      <w:r>
        <w:rPr>
          <w:rFonts w:hint="eastAsia" w:ascii="宋体" w:hAnsi="宋体"/>
          <w:bCs/>
          <w:color w:val="auto"/>
          <w:sz w:val="24"/>
          <w:szCs w:val="24"/>
          <w:lang w:eastAsia="zh-CN"/>
        </w:rPr>
        <w:t xml:space="preserve">JSZC-320214-JZCG-G2026-0060</w:t>
      </w:r>
      <w:r>
        <w:rPr>
          <w:rFonts w:hint="eastAsia" w:ascii="宋体" w:hAnsi="宋体"/>
          <w:color w:val="auto"/>
          <w:sz w:val="24"/>
          <w:szCs w:val="24"/>
        </w:rPr>
        <w:t xml:space="preserve">在此承诺：</w:t>
      </w:r>
      <w:r/>
    </w:p>
    <w:p>
      <w:pPr>
        <w:ind w:firstLine="480"/>
        <w:spacing w:line="480" w:lineRule="auto"/>
        <w:rPr>
          <w:rFonts w:ascii="宋体" w:hAnsi="宋体"/>
          <w:bCs/>
          <w:color w:val="auto"/>
          <w:sz w:val="24"/>
          <w:szCs w:val="24"/>
        </w:rPr>
      </w:pPr>
      <w:r>
        <w:rPr>
          <w:rFonts w:hint="eastAsia" w:ascii="宋体" w:hAnsi="宋体"/>
          <w:color w:val="auto"/>
          <w:sz w:val="24"/>
          <w:szCs w:val="24"/>
        </w:rPr>
        <w:t xml:space="preserve">1.本公司（单位</w:t>
      </w:r>
      <w:r>
        <w:rPr>
          <w:rFonts w:hint="eastAsia" w:ascii="宋体" w:hAnsi="宋体"/>
          <w:bCs/>
          <w:color w:val="auto"/>
          <w:sz w:val="24"/>
          <w:szCs w:val="24"/>
        </w:rPr>
        <w:t xml:space="preserve">、联合体</w:t>
      </w:r>
      <w:r>
        <w:rPr>
          <w:rFonts w:hint="eastAsia" w:ascii="宋体" w:hAnsi="宋体"/>
          <w:color w:val="auto"/>
          <w:sz w:val="24"/>
          <w:szCs w:val="24"/>
        </w:rPr>
        <w:t xml:space="preserve">）</w:t>
      </w:r>
      <w:r>
        <w:rPr>
          <w:rFonts w:hint="eastAsia" w:ascii="宋体" w:hAnsi="宋体"/>
          <w:bCs/>
          <w:color w:val="auto"/>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color w:val="auto"/>
          <w:sz w:val="24"/>
          <w:szCs w:val="24"/>
        </w:rPr>
        <w:t xml:space="preserve">2.本项目中如有涉及商品包装、快递包装要求的，本公司（单位</w:t>
      </w:r>
      <w:r>
        <w:rPr>
          <w:rFonts w:hint="eastAsia" w:ascii="宋体" w:hAnsi="宋体"/>
          <w:bCs/>
          <w:color w:val="auto"/>
          <w:sz w:val="24"/>
          <w:szCs w:val="24"/>
        </w:rPr>
        <w:t xml:space="preserve">、联合体</w:t>
      </w:r>
      <w:r>
        <w:rPr>
          <w:rFonts w:hint="eastAsia" w:ascii="宋体"/>
          <w:bCs/>
          <w:color w:val="auto"/>
          <w:sz w:val="24"/>
          <w:szCs w:val="24"/>
        </w:rPr>
        <w:t xml:space="preserve">）对于中标产品的包装将严格按《关于印发</w:t>
      </w:r>
      <w:r>
        <w:rPr>
          <w:rFonts w:hint="eastAsia" w:ascii="宋体"/>
          <w:bCs/>
          <w:sz w:val="24"/>
          <w:szCs w:val="24"/>
        </w:rPr>
        <w:t xml:space="preserve">〈商品包装政府采购需求标准（试行）〉、〈快递包装政府采购需求标准（试行）〉的通知》（财办库〔2020〕123号）文件执行。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000000"/>
          <w:sz w:val="24"/>
          <w:szCs w:val="24"/>
        </w:rPr>
        <w:t xml:space="preserve">项目编号：</w:t>
      </w:r>
      <w:r>
        <w:rPr>
          <w:rFonts w:hint="eastAsia" w:ascii="黑体" w:eastAsia="黑体"/>
          <w:bCs/>
          <w:color w:val="auto"/>
          <w:sz w:val="24"/>
          <w:szCs w:val="24"/>
          <w:lang w:eastAsia="zh-CN"/>
        </w:rPr>
        <w:t xml:space="preserve">JSZC-320214-JZCG-G2026-0060</w:t>
      </w:r>
      <w:r/>
    </w:p>
    <w:tbl>
      <w:tblPr>
        <w:tblStyle w:val="67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hint="eastAsia" w:ascii="宋体" w:eastAsia="宋体"/>
                <w:b/>
                <w:bCs/>
                <w:color w:val="auto"/>
                <w:sz w:val="24"/>
                <w:szCs w:val="24"/>
                <w:lang w:eastAsia="zh-CN"/>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81"/>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无锡经济开发区消防特勤指挥中心投勤配套接出警、视频会议和点调等设备采购项目</w:t>
            </w:r>
            <w:r/>
          </w:p>
        </w:tc>
        <w:tc>
          <w:tcPr>
            <w:tcW w:w="3188" w:type="dxa"/>
            <w:vAlign w:val="center"/>
            <w:textDirection w:val="lrTb"/>
            <w:noWrap w:val="false"/>
          </w:tcPr>
          <w:p>
            <w:pPr>
              <w:pStyle w:val="781"/>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u w:val="none"/>
              </w:rPr>
              <w:t xml:space="preserve">：</w:t>
            </w:r>
            <w:r>
              <w:rPr>
                <w:rFonts w:ascii="宋体"/>
                <w:bCs/>
                <w:color w:val="auto"/>
                <w:sz w:val="24"/>
                <w:szCs w:val="24"/>
              </w:rPr>
              <w:t xml:space="preserve"> </w:t>
            </w:r>
            <w:r/>
          </w:p>
        </w:tc>
      </w:tr>
    </w:tbl>
    <w:p>
      <w:pPr>
        <w:spacing w:line="400" w:lineRule="exact"/>
        <w:rPr>
          <w:rFonts w:hint="eastAsia" w:ascii="黑体" w:eastAsia="黑体"/>
          <w:bCs/>
          <w:color w:val="auto"/>
          <w:sz w:val="24"/>
          <w:szCs w:val="24"/>
        </w:rPr>
      </w:pPr>
      <w:r>
        <w:rPr>
          <w:rFonts w:hint="eastAsia" w:ascii="黑体" w:eastAsia="黑体"/>
          <w:bCs/>
          <w:color w:val="auto"/>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color w:val="auto"/>
          <w:sz w:val="30"/>
          <w:szCs w:val="30"/>
        </w:rPr>
      </w:pPr>
      <w:r>
        <w:rPr>
          <w:rFonts w:hint="eastAsia"/>
          <w:b/>
          <w:color w:val="auto"/>
          <w:sz w:val="30"/>
          <w:szCs w:val="30"/>
        </w:rPr>
      </w:r>
      <w:r/>
    </w:p>
    <w:p>
      <w:pPr>
        <w:jc w:val="center"/>
        <w:spacing w:line="400" w:lineRule="exact"/>
        <w:rPr>
          <w:rFonts w:ascii="黑体" w:eastAsia="黑体"/>
          <w:bCs/>
          <w:color w:val="auto"/>
          <w:sz w:val="28"/>
          <w:szCs w:val="28"/>
        </w:rPr>
        <w:outlineLvl w:val="0"/>
      </w:pPr>
      <w:r>
        <w:rPr>
          <w:rFonts w:hint="eastAsia" w:ascii="黑体" w:eastAsia="黑体"/>
          <w:bCs/>
          <w:color w:val="auto"/>
          <w:sz w:val="28"/>
          <w:szCs w:val="28"/>
        </w:rPr>
        <w:t xml:space="preserve">分项报价表</w:t>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JSZC-320214-JZCG-G2026-0060</w:t>
      </w:r>
      <w:r/>
    </w:p>
    <w:tbl>
      <w:tblPr>
        <w:tblStyle w:val="677"/>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rPr>
            </w:pPr>
            <w:r>
              <w:rPr>
                <w:rFonts w:hint="eastAsia"/>
                <w:color w:val="auto"/>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u w:val="none"/>
              </w:rPr>
            </w:pPr>
            <w:r>
              <w:rPr>
                <w:rFonts w:hint="eastAsia"/>
                <w:color w:val="auto"/>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u w:val="none"/>
              </w:rPr>
            </w:pPr>
            <w:r>
              <w:rPr>
                <w:rFonts w:hint="eastAsia"/>
                <w:color w:val="auto"/>
                <w:sz w:val="18"/>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rPr>
            </w:pPr>
            <w:r>
              <w:rPr>
                <w:rFonts w:hint="eastAsia"/>
                <w:color w:val="auto"/>
                <w:sz w:val="18"/>
                <w:u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rPr>
            </w:pPr>
            <w:r>
              <w:rPr>
                <w:rFonts w:hint="eastAsia"/>
                <w:color w:val="auto"/>
                <w:sz w:val="18"/>
              </w:rPr>
              <w:t xml:space="preserve">数量</w:t>
            </w:r>
            <w:r/>
          </w:p>
        </w:tc>
        <w:tc>
          <w:tcPr>
            <w:tcW w:w="1276" w:type="dxa"/>
            <w:vAlign w:val="center"/>
            <w:textDirection w:val="lrTb"/>
            <w:noWrap w:val="false"/>
          </w:tcPr>
          <w:p>
            <w:pPr>
              <w:jc w:val="center"/>
              <w:spacing w:before="5"/>
              <w:rPr>
                <w:color w:val="auto"/>
                <w:sz w:val="18"/>
              </w:rPr>
            </w:pPr>
            <w:r>
              <w:rPr>
                <w:rFonts w:hint="eastAsia"/>
                <w:color w:val="auto"/>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rPr>
            </w:pPr>
            <w:r>
              <w:rPr>
                <w:rFonts w:hint="eastAsia"/>
                <w:color w:val="auto"/>
                <w:sz w:val="18"/>
              </w:rPr>
              <w:t xml:space="preserve">质保期</w:t>
            </w:r>
            <w:r/>
          </w:p>
        </w:tc>
        <w:tc>
          <w:tcPr>
            <w:tcW w:w="709" w:type="dxa"/>
            <w:vAlign w:val="center"/>
            <w:textDirection w:val="lrTb"/>
            <w:noWrap w:val="false"/>
          </w:tcPr>
          <w:p>
            <w:pPr>
              <w:jc w:val="center"/>
              <w:spacing w:before="5"/>
              <w:rPr>
                <w:color w:val="auto"/>
                <w:sz w:val="18"/>
              </w:rPr>
            </w:pPr>
            <w:r>
              <w:rPr>
                <w:rFonts w:hint="eastAsia"/>
                <w:color w:val="auto"/>
                <w:sz w:val="18"/>
              </w:rPr>
              <w:t xml:space="preserve">单报价</w:t>
            </w:r>
            <w:r/>
          </w:p>
        </w:tc>
        <w:tc>
          <w:tcPr>
            <w:tcW w:w="939" w:type="dxa"/>
            <w:vAlign w:val="center"/>
            <w:textDirection w:val="lrTb"/>
            <w:noWrap w:val="false"/>
          </w:tcPr>
          <w:p>
            <w:pPr>
              <w:jc w:val="center"/>
              <w:spacing w:before="5"/>
              <w:rPr>
                <w:color w:val="auto"/>
                <w:sz w:val="18"/>
              </w:rPr>
            </w:pPr>
            <w:r>
              <w:rPr>
                <w:rFonts w:hint="eastAsia"/>
                <w:color w:val="auto"/>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96"/>
              <w:spacing w:before="5"/>
              <w:tabs>
                <w:tab w:val="clear" w:pos="4153" w:leader="none"/>
                <w:tab w:val="clear" w:pos="8306" w:leader="none"/>
              </w:tabs>
              <w:rPr>
                <w:rFonts w:ascii="宋体"/>
                <w:color w:val="auto"/>
                <w:lang w:val="en-US" w:eastAsia="zh-CN"/>
              </w:rPr>
              <w:pBdr>
                <w:bottom w:val="none" w:color="auto" w:sz="0" w:space="0"/>
              </w:pBdr>
            </w:pPr>
            <w:r>
              <w:rPr>
                <w:rFonts w:hint="eastAsia" w:ascii="宋体"/>
                <w:color w:val="auto"/>
                <w:lang w:val="en-US" w:eastAsia="zh-CN"/>
              </w:rPr>
              <w:t xml:space="preserve">1</w:t>
            </w:r>
            <w:r/>
          </w:p>
        </w:tc>
        <w:tc>
          <w:tcPr>
            <w:tcMar>
              <w:left w:w="15" w:type="dxa"/>
              <w:top w:w="15" w:type="dxa"/>
              <w:right w:w="15" w:type="dxa"/>
              <w:bottom w:w="0" w:type="dxa"/>
            </w:tcMar>
            <w:tcW w:w="1050" w:type="dxa"/>
            <w:vAlign w:val="center"/>
            <w:textDirection w:val="lrTb"/>
            <w:noWrap/>
          </w:tcPr>
          <w:p>
            <w:pPr>
              <w:pStyle w:val="696"/>
              <w:tabs>
                <w:tab w:val="clear" w:pos="4153" w:leader="none"/>
                <w:tab w:val="clear" w:pos="8306" w:leader="none"/>
              </w:tabs>
              <w:rPr>
                <w:rFonts w:ascii="宋体"/>
                <w:bCs/>
                <w:color w:val="auto"/>
                <w:lang w:val="en-US" w:eastAsia="zh-CN"/>
              </w:rPr>
              <w:pBdr>
                <w:bottom w:val="none" w:color="auto" w:sz="0" w:space="0"/>
              </w:pBdr>
            </w:pPr>
            <w:r>
              <w:rPr>
                <w:rFonts w:ascii="宋体"/>
                <w:bCs/>
                <w:color w:val="auto"/>
                <w:lang w:val="en-US" w:eastAsia="zh-CN"/>
              </w:rPr>
            </w:r>
            <w:r/>
          </w:p>
        </w:tc>
        <w:tc>
          <w:tcPr>
            <w:tcMar>
              <w:left w:w="15" w:type="dxa"/>
              <w:top w:w="15" w:type="dxa"/>
              <w:right w:w="15" w:type="dxa"/>
              <w:bottom w:w="0" w:type="dxa"/>
            </w:tcMar>
            <w:tcW w:w="945" w:type="dxa"/>
            <w:vAlign w:val="center"/>
            <w:textDirection w:val="lrTb"/>
            <w:noWrap w:val="false"/>
          </w:tcPr>
          <w:p>
            <w:pPr>
              <w:pStyle w:val="696"/>
              <w:tabs>
                <w:tab w:val="clear" w:pos="4153" w:leader="none"/>
                <w:tab w:val="clear" w:pos="8306" w:leader="none"/>
              </w:tabs>
              <w:rPr>
                <w:rFonts w:ascii="宋体"/>
                <w:bCs/>
                <w:color w:val="auto"/>
                <w:lang w:val="en-US" w:eastAsia="zh-CN"/>
              </w:rPr>
              <w:pBdr>
                <w:bottom w:val="none" w:color="auto" w:sz="0" w:space="0"/>
              </w:pBdr>
            </w:pPr>
            <w:r>
              <w:rPr>
                <w:rFonts w:ascii="宋体"/>
                <w:bCs/>
                <w:color w:val="auto"/>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rPr>
            </w:pPr>
            <w:r>
              <w:rPr>
                <w:rFonts w:ascii="宋体"/>
                <w:bCs/>
                <w:color w:val="auto"/>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70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93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696"/>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696"/>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p>
          <w:p>
            <w:pPr>
              <w:jc w:val="left"/>
              <w:rPr>
                <w:rFonts w:ascii="黑体" w:hAnsi="宋体" w:eastAsia="黑体"/>
                <w:b/>
                <w:bCs/>
                <w:color w:val="000000"/>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highlight w:val="none"/>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w:t>
      </w:r>
      <w:r>
        <w:rPr>
          <w:rFonts w:hint="eastAsia" w:ascii="宋体"/>
          <w:bCs/>
          <w:highlight w:val="none"/>
        </w:rPr>
        <w:t xml:space="preserve">述不清的，不得享受价格扣除。投标人对所报相关数据的真实性负责，</w:t>
      </w:r>
      <w:r>
        <w:rPr>
          <w:rFonts w:hint="eastAsia" w:ascii="宋体"/>
          <w:bCs/>
          <w:highlight w:val="none"/>
          <w:lang w:eastAsia="zh-CN"/>
        </w:rPr>
        <w:t xml:space="preserve">无锡市公共资源交易中心新吴分中心</w:t>
      </w:r>
      <w:r>
        <w:rPr>
          <w:rFonts w:hint="eastAsia" w:ascii="宋体"/>
          <w:bCs/>
          <w:highlight w:val="none"/>
        </w:rPr>
        <w:t xml:space="preserve">有权将相关内容进行公示；</w:t>
      </w:r>
      <w:r/>
    </w:p>
    <w:p>
      <w:pPr>
        <w:ind w:firstLine="315"/>
        <w:spacing w:line="400" w:lineRule="exact"/>
        <w:rPr>
          <w:rFonts w:ascii="宋体"/>
          <w:bCs/>
          <w:highlight w:val="none"/>
        </w:rPr>
        <w:outlineLvl w:val="0"/>
      </w:pPr>
      <w:r>
        <w:rPr>
          <w:rFonts w:hint="eastAsia" w:ascii="宋体" w:hAnsi="宋体"/>
          <w:bCs/>
          <w:highlight w:val="none"/>
        </w:rPr>
        <w:t xml:space="preserve">（</w:t>
      </w:r>
      <w:r>
        <w:rPr>
          <w:rFonts w:ascii="宋体" w:hAnsi="宋体"/>
          <w:bCs/>
          <w:highlight w:val="none"/>
        </w:rPr>
        <w:t xml:space="preserve">2</w:t>
      </w:r>
      <w:r>
        <w:rPr>
          <w:rFonts w:hint="eastAsia" w:ascii="宋体" w:hAnsi="宋体"/>
          <w:bCs/>
          <w:highlight w:val="none"/>
        </w:rPr>
        <w:t xml:space="preserve">）投标人应当根据“采购需求”的内容在上表中详细填写；</w:t>
      </w:r>
      <w:r/>
    </w:p>
    <w:p>
      <w:pPr>
        <w:ind w:firstLine="315"/>
        <w:spacing w:line="400" w:lineRule="exact"/>
        <w:rPr>
          <w:rFonts w:hint="eastAsia" w:ascii="宋体" w:hAnsi="宋体"/>
          <w:bCs/>
          <w:highlight w:val="none"/>
        </w:rPr>
        <w:outlineLvl w:val="0"/>
      </w:pPr>
      <w:r>
        <w:rPr>
          <w:rFonts w:hint="eastAsia" w:ascii="宋体" w:hAnsi="宋体"/>
          <w:bCs/>
          <w:highlight w:val="none"/>
        </w:rPr>
        <w:t xml:space="preserve">（</w:t>
      </w:r>
      <w:r>
        <w:rPr>
          <w:rFonts w:ascii="宋体" w:hAnsi="宋体"/>
          <w:bCs/>
          <w:highlight w:val="none"/>
        </w:rPr>
        <w:t xml:space="preserve">3</w:t>
      </w:r>
      <w:r>
        <w:rPr>
          <w:rFonts w:hint="eastAsia" w:ascii="宋体" w:hAnsi="宋体"/>
          <w:bCs/>
          <w:highlight w:val="none"/>
        </w:rPr>
        <w:t xml:space="preserve">）表格不够可自行延长。</w:t>
      </w:r>
      <w:bookmarkEnd w:id="204"/>
      <w:r/>
      <w:bookmarkEnd w:id="205"/>
      <w:r/>
      <w:bookmarkEnd w:id="206"/>
      <w:r/>
      <w:bookmarkStart w:id="208" w:name="_Toc120614284"/>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JSZC-320214-JZCG-G2026-0060</w:t>
      </w:r>
      <w:r/>
    </w:p>
    <w:tbl>
      <w:tblPr>
        <w:tblStyle w:val="67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8"/>
      <w:r/>
      <w:bookmarkStart w:id="209" w:name="_格式2__法定代表人授权书"/>
      <w:r/>
      <w:bookmarkEnd w:id="209"/>
      <w:r/>
      <w:bookmarkStart w:id="210" w:name="_Hlt26609389"/>
      <w:r/>
      <w:bookmarkEnd w:id="210"/>
      <w:r/>
      <w:bookmarkStart w:id="211" w:name="_Hlt26955066"/>
      <w:r/>
      <w:bookmarkEnd w:id="211"/>
      <w:r/>
      <w:bookmarkStart w:id="212" w:name="_Hlt26671374"/>
      <w:r/>
      <w:bookmarkEnd w:id="212"/>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spacing w:line="360" w:lineRule="auto"/>
        <w:rPr>
          <w:b/>
          <w:color w:val="auto"/>
          <w:sz w:val="28"/>
          <w:szCs w:val="28"/>
        </w:rPr>
      </w:pPr>
      <w:r>
        <w:rPr>
          <w:rFonts w:ascii="宋体" w:hAnsi="宋体"/>
          <w:bCs/>
          <w:color w:val="000000"/>
          <w:sz w:val="24"/>
          <w:szCs w:val="24"/>
        </w:rPr>
        <w:br w:type="page" w:clear="all"/>
      </w:r>
      <w:r>
        <w:rPr>
          <w:rFonts w:hint="eastAsia"/>
          <w:b/>
          <w:color w:val="auto"/>
          <w:sz w:val="28"/>
          <w:szCs w:val="28"/>
        </w:rPr>
        <w:t xml:space="preserve">十一、项目人员配置清单（格式）</w:t>
      </w:r>
      <w:r/>
    </w:p>
    <w:p>
      <w:pPr>
        <w:spacing w:line="400" w:lineRule="exact"/>
        <w:rPr>
          <w:rFonts w:ascii="黑体" w:eastAsia="黑体"/>
          <w:bCs/>
          <w:color w:val="auto"/>
          <w:sz w:val="28"/>
          <w:szCs w:val="28"/>
        </w:rPr>
      </w:pPr>
      <w:r>
        <w:rPr>
          <w:rFonts w:ascii="黑体" w:eastAsia="黑体"/>
          <w:bCs/>
          <w:color w:val="auto"/>
          <w:sz w:val="28"/>
          <w:szCs w:val="28"/>
        </w:rPr>
      </w:r>
      <w:r/>
    </w:p>
    <w:p>
      <w:pPr>
        <w:jc w:val="center"/>
        <w:spacing w:line="400" w:lineRule="exact"/>
        <w:rPr>
          <w:rFonts w:hint="eastAsia" w:ascii="黑体" w:eastAsia="黑体"/>
          <w:bCs/>
          <w:color w:val="auto"/>
          <w:sz w:val="28"/>
          <w:szCs w:val="28"/>
        </w:rPr>
      </w:pPr>
      <w:r>
        <w:rPr>
          <w:rFonts w:hint="eastAsia" w:ascii="黑体" w:eastAsia="黑体"/>
          <w:bCs/>
          <w:color w:val="auto"/>
          <w:sz w:val="28"/>
          <w:szCs w:val="28"/>
        </w:rPr>
        <w:t xml:space="preserve">项目人员配置清单</w:t>
      </w:r>
      <w:r/>
    </w:p>
    <w:p>
      <w:pPr>
        <w:jc w:val="center"/>
        <w:spacing w:line="400" w:lineRule="exact"/>
        <w:rPr>
          <w:rFonts w:ascii="黑体" w:eastAsia="黑体"/>
          <w:bCs/>
          <w:color w:val="auto"/>
          <w:sz w:val="28"/>
          <w:szCs w:val="28"/>
        </w:rPr>
      </w:pPr>
      <w:r>
        <w:rPr>
          <w:rFonts w:ascii="黑体" w:eastAsia="黑体"/>
          <w:bCs/>
          <w:color w:val="auto"/>
          <w:sz w:val="28"/>
          <w:szCs w:val="28"/>
        </w:rPr>
      </w:r>
      <w:r/>
    </w:p>
    <w:p>
      <w:pPr>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JSZC-320214-JZCG-G2026-0060</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rPr>
            </w:pPr>
            <w:r>
              <w:rPr>
                <w:rFonts w:hint="eastAsia"/>
                <w:b/>
                <w:color w:val="auto"/>
                <w:sz w:val="24"/>
              </w:rPr>
              <w:t xml:space="preserve">序号</w:t>
            </w:r>
            <w:r/>
          </w:p>
        </w:tc>
        <w:tc>
          <w:tcPr>
            <w:tcW w:w="1476" w:type="dxa"/>
            <w:vAlign w:val="center"/>
            <w:textDirection w:val="lrTb"/>
            <w:noWrap w:val="false"/>
          </w:tcPr>
          <w:p>
            <w:pPr>
              <w:jc w:val="center"/>
              <w:rPr>
                <w:b/>
                <w:color w:val="auto"/>
                <w:sz w:val="24"/>
              </w:rPr>
            </w:pPr>
            <w:r>
              <w:rPr>
                <w:rFonts w:hint="eastAsia"/>
                <w:b/>
                <w:color w:val="auto"/>
                <w:sz w:val="24"/>
              </w:rPr>
              <w:t xml:space="preserve">姓名</w:t>
            </w:r>
            <w:r/>
          </w:p>
        </w:tc>
        <w:tc>
          <w:tcPr>
            <w:tcW w:w="720" w:type="dxa"/>
            <w:vAlign w:val="center"/>
            <w:textDirection w:val="lrTb"/>
            <w:noWrap w:val="false"/>
          </w:tcPr>
          <w:p>
            <w:pPr>
              <w:jc w:val="center"/>
              <w:rPr>
                <w:b/>
                <w:color w:val="auto"/>
                <w:sz w:val="24"/>
              </w:rPr>
            </w:pPr>
            <w:r>
              <w:rPr>
                <w:rFonts w:hint="eastAsia"/>
                <w:b/>
                <w:color w:val="auto"/>
                <w:sz w:val="24"/>
              </w:rPr>
              <w:t xml:space="preserve">年龄</w:t>
            </w:r>
            <w:r/>
          </w:p>
        </w:tc>
        <w:tc>
          <w:tcPr>
            <w:tcW w:w="2520" w:type="dxa"/>
            <w:vAlign w:val="center"/>
            <w:textDirection w:val="lrTb"/>
            <w:noWrap w:val="false"/>
          </w:tcPr>
          <w:p>
            <w:pPr>
              <w:jc w:val="center"/>
              <w:rPr>
                <w:b/>
                <w:color w:val="auto"/>
                <w:sz w:val="24"/>
              </w:rPr>
            </w:pPr>
            <w:r>
              <w:rPr>
                <w:rFonts w:hint="eastAsia"/>
                <w:b/>
                <w:color w:val="auto"/>
                <w:sz w:val="24"/>
              </w:rPr>
              <w:t xml:space="preserve">本项目职责</w:t>
            </w:r>
            <w:r/>
          </w:p>
        </w:tc>
        <w:tc>
          <w:tcPr>
            <w:tcW w:w="3274" w:type="dxa"/>
            <w:vAlign w:val="center"/>
            <w:textDirection w:val="lrTb"/>
            <w:noWrap w:val="false"/>
          </w:tcPr>
          <w:p>
            <w:pPr>
              <w:jc w:val="center"/>
              <w:rPr>
                <w:b/>
                <w:color w:val="auto"/>
                <w:sz w:val="24"/>
              </w:rPr>
            </w:pPr>
            <w:r>
              <w:rPr>
                <w:rFonts w:hint="eastAsia"/>
                <w:b/>
                <w:color w:val="auto"/>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rPr>
      </w:pPr>
      <w:r>
        <w:rPr>
          <w:rFonts w:hint="eastAsia" w:ascii="宋体" w:hAnsi="宋体"/>
          <w:bCs/>
        </w:rPr>
      </w:r>
      <w:r/>
    </w:p>
    <w:p>
      <w:pPr>
        <w:rPr>
          <w:rFonts w:hint="eastAsia" w:ascii="宋体" w:hAnsi="宋体"/>
          <w:bCs/>
          <w:color w:val="000000"/>
          <w:sz w:val="24"/>
          <w:szCs w:val="24"/>
        </w:rPr>
      </w:pPr>
      <w:r>
        <w:rPr>
          <w:rFonts w:hint="eastAsia" w:ascii="宋体" w:hAnsi="宋体"/>
          <w:bCs/>
          <w:color w:val="000000"/>
          <w:sz w:val="24"/>
          <w:szCs w:val="24"/>
        </w:rPr>
      </w:r>
      <w:r/>
    </w:p>
    <w:p>
      <w:pPr>
        <w:pStyle w:val="744"/>
        <w:rPr>
          <w:rFonts w:hint="eastAsia" w:ascii="宋体" w:hAnsi="宋体"/>
          <w:bCs/>
          <w:color w:val="000000"/>
          <w:sz w:val="24"/>
          <w:szCs w:val="24"/>
        </w:rPr>
      </w:pPr>
      <w:r>
        <w:rPr>
          <w:rFonts w:hint="eastAsia" w:ascii="宋体" w:hAnsi="宋体"/>
          <w:bCs/>
          <w:color w:val="000000"/>
          <w:sz w:val="24"/>
          <w:szCs w:val="24"/>
        </w:rPr>
      </w:r>
      <w:r/>
    </w:p>
    <w:p>
      <w:pPr>
        <w:pStyle w:val="744"/>
        <w:rPr>
          <w:rFonts w:hint="eastAsia" w:ascii="宋体" w:hAnsi="宋体"/>
          <w:bCs/>
          <w:color w:val="000000"/>
          <w:sz w:val="24"/>
          <w:szCs w:val="24"/>
        </w:rPr>
      </w:pPr>
      <w:r>
        <w:rPr>
          <w:rFonts w:hint="eastAsia" w:ascii="宋体" w:hAnsi="宋体"/>
          <w:bCs/>
          <w:color w:val="000000"/>
          <w:sz w:val="24"/>
          <w:szCs w:val="24"/>
        </w:rPr>
      </w:r>
      <w:r/>
    </w:p>
    <w:p>
      <w:pPr>
        <w:pStyle w:val="744"/>
        <w:rPr>
          <w:rFonts w:hint="eastAsia" w:ascii="宋体" w:hAnsi="宋体"/>
          <w:bCs/>
          <w:color w:val="000000"/>
          <w:sz w:val="24"/>
          <w:szCs w:val="24"/>
        </w:rPr>
      </w:pPr>
      <w:r>
        <w:rPr>
          <w:rFonts w:hint="eastAsia" w:ascii="宋体" w:hAnsi="宋体"/>
          <w:bCs/>
          <w:color w:val="000000"/>
          <w:sz w:val="24"/>
          <w:szCs w:val="24"/>
        </w:rPr>
      </w:r>
      <w:r/>
    </w:p>
    <w:p>
      <w:pPr>
        <w:pStyle w:val="744"/>
        <w:rPr>
          <w:rFonts w:hint="eastAsia" w:ascii="宋体" w:hAnsi="宋体"/>
          <w:bCs/>
          <w:color w:val="000000"/>
          <w:sz w:val="24"/>
          <w:szCs w:val="24"/>
        </w:rPr>
      </w:pPr>
      <w:r>
        <w:rPr>
          <w:rFonts w:hint="eastAsia" w:ascii="宋体" w:hAnsi="宋体"/>
          <w:bCs/>
          <w:color w:val="000000"/>
          <w:sz w:val="24"/>
          <w:szCs w:val="24"/>
        </w:rPr>
      </w:r>
      <w:r/>
    </w:p>
    <w:p>
      <w:pPr>
        <w:pStyle w:val="744"/>
        <w:rPr>
          <w:rFonts w:hint="eastAsia" w:ascii="宋体" w:hAnsi="宋体"/>
          <w:bCs/>
          <w:color w:val="000000"/>
          <w:sz w:val="24"/>
          <w:szCs w:val="24"/>
        </w:rPr>
      </w:pPr>
      <w:r>
        <w:rPr>
          <w:rFonts w:hint="eastAsia" w:ascii="宋体" w:hAnsi="宋体"/>
          <w:bCs/>
          <w:color w:val="000000"/>
          <w:sz w:val="24"/>
          <w:szCs w:val="24"/>
        </w:rPr>
      </w:r>
      <w:r/>
    </w:p>
    <w:p>
      <w:pPr>
        <w:pStyle w:val="744"/>
        <w:rPr>
          <w:rFonts w:hint="eastAsia" w:ascii="宋体" w:hAnsi="宋体"/>
          <w:bCs/>
          <w:color w:val="000000"/>
          <w:sz w:val="24"/>
          <w:szCs w:val="24"/>
        </w:rPr>
      </w:pPr>
      <w:r>
        <w:rPr>
          <w:rFonts w:hint="eastAsia" w:ascii="宋体" w:hAnsi="宋体"/>
          <w:bCs/>
          <w:color w:val="000000"/>
          <w:sz w:val="24"/>
          <w:szCs w:val="24"/>
        </w:rPr>
      </w:r>
      <w:r/>
    </w:p>
    <w:p>
      <w:pPr>
        <w:pStyle w:val="744"/>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eastAsia="宋体" w:cs="Times New Roman"/>
          <w:b/>
          <w:color w:val="auto"/>
          <w:sz w:val="28"/>
          <w:szCs w:val="28"/>
        </w:rPr>
      </w:pPr>
      <w:r>
        <w:rPr>
          <w:rFonts w:hint="eastAsia" w:eastAsia="宋体" w:cs="Times New Roman"/>
          <w:b/>
          <w:color w:val="auto"/>
          <w:sz w:val="28"/>
          <w:szCs w:val="28"/>
          <w:lang w:val="en-US" w:eastAsia="zh-CN"/>
        </w:rPr>
        <w:t xml:space="preserve">十二、</w:t>
      </w:r>
      <w:r>
        <w:rPr>
          <w:rFonts w:hint="eastAsia" w:eastAsia="宋体" w:cs="Times New Roman"/>
          <w:b/>
          <w:color w:val="auto"/>
          <w:sz w:val="28"/>
          <w:szCs w:val="28"/>
        </w:rPr>
        <w:t xml:space="preserve">证明材料（格式）：</w:t>
      </w:r>
      <w:r/>
    </w:p>
    <w:p>
      <w:pPr>
        <w:ind w:firstLine="490"/>
        <w:jc w:val="center"/>
        <w:rPr>
          <w:rFonts w:ascii="黑体" w:eastAsia="黑体"/>
          <w:bCs/>
          <w:sz w:val="28"/>
          <w:szCs w:val="28"/>
        </w:rPr>
        <w:outlineLvl w:val="0"/>
      </w:pPr>
      <w:r>
        <w:rPr>
          <w:rFonts w:hint="eastAsia" w:ascii="黑体" w:eastAsia="黑体"/>
          <w:bCs/>
          <w:sz w:val="28"/>
          <w:szCs w:val="28"/>
        </w:rPr>
        <w:t xml:space="preserve">证明材料汇总表</w:t>
      </w:r>
      <w:r/>
    </w:p>
    <w:p>
      <w:pPr>
        <w:spacing w:line="360" w:lineRule="auto"/>
        <w:rPr>
          <w:rFonts w:ascii="等线" w:hAnsi="等线" w:eastAsia="等线" w:cs="宋体"/>
          <w:b/>
          <w:bCs/>
          <w:sz w:val="18"/>
          <w:szCs w:val="18"/>
        </w:rPr>
      </w:pPr>
      <w:r>
        <w:rPr>
          <w:rFonts w:hint="eastAsia" w:ascii="黑体" w:eastAsia="黑体"/>
          <w:bCs/>
          <w:sz w:val="24"/>
          <w:szCs w:val="24"/>
        </w:rPr>
        <w:t xml:space="preserve">投标人名称（盖章）                                     采购项目编号：</w:t>
      </w:r>
      <w:r/>
    </w:p>
    <w:tbl>
      <w:tblPr>
        <w:tblStyle w:val="677"/>
        <w:tblW w:w="103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3885"/>
        <w:gridCol w:w="2951"/>
        <w:gridCol w:w="1000"/>
        <w:gridCol w:w="1034"/>
      </w:tblGrid>
      <w:tr>
        <w:trPr>
          <w:trHeight w:val="270"/>
        </w:trPr>
        <w:tc>
          <w:tcPr>
            <w:shd w:val="clear" w:color="000000" w:fill="d9d9d9"/>
            <w:tcW w:w="1471" w:type="dxa"/>
            <w:vAlign w:val="center"/>
            <w:textDirection w:val="lrTb"/>
            <w:noWrap w:val="false"/>
          </w:tcPr>
          <w:p>
            <w:pPr>
              <w:widowControl/>
              <w:rPr>
                <w:rFonts w:ascii="等线" w:hAnsi="等线" w:eastAsia="等线" w:cs="宋体"/>
                <w:b/>
                <w:bCs/>
                <w:sz w:val="18"/>
                <w:szCs w:val="18"/>
              </w:rPr>
            </w:pPr>
            <w:r>
              <w:rPr>
                <w:rFonts w:hint="eastAsia" w:ascii="等线" w:hAnsi="等线" w:eastAsia="等线" w:cs="宋体"/>
                <w:b/>
                <w:bCs/>
                <w:sz w:val="18"/>
                <w:szCs w:val="18"/>
              </w:rPr>
              <w:t xml:space="preserve">设备名称</w:t>
            </w:r>
            <w:r/>
          </w:p>
        </w:tc>
        <w:tc>
          <w:tcPr>
            <w:shd w:val="clear" w:color="000000" w:fill="d9d9d9"/>
            <w:tcW w:w="3885" w:type="dxa"/>
            <w:vAlign w:val="center"/>
            <w:textDirection w:val="lrTb"/>
            <w:noWrap w:val="false"/>
          </w:tcPr>
          <w:p>
            <w:pPr>
              <w:jc w:val="center"/>
              <w:widowControl/>
              <w:rPr>
                <w:rFonts w:ascii="等线" w:hAnsi="等线" w:eastAsia="等线" w:cs="宋体"/>
                <w:b/>
                <w:bCs/>
                <w:sz w:val="18"/>
                <w:szCs w:val="18"/>
              </w:rPr>
            </w:pPr>
            <w:r>
              <w:rPr>
                <w:rFonts w:hint="eastAsia" w:ascii="等线" w:hAnsi="等线" w:eastAsia="等线" w:cs="宋体"/>
                <w:b/>
                <w:bCs/>
                <w:sz w:val="18"/>
                <w:szCs w:val="18"/>
              </w:rPr>
              <w:t xml:space="preserve">参数要求</w:t>
            </w:r>
            <w:r/>
          </w:p>
        </w:tc>
        <w:tc>
          <w:tcPr>
            <w:shd w:val="clear" w:color="000000" w:fill="d9d9d9"/>
            <w:tcW w:w="2951" w:type="dxa"/>
            <w:vAlign w:val="center"/>
            <w:textDirection w:val="lrTb"/>
            <w:noWrap w:val="false"/>
          </w:tcPr>
          <w:p>
            <w:pPr>
              <w:jc w:val="center"/>
              <w:widowControl/>
              <w:rPr>
                <w:rFonts w:ascii="等线" w:hAnsi="等线" w:eastAsia="等线" w:cs="宋体"/>
                <w:b/>
                <w:bCs/>
                <w:sz w:val="18"/>
                <w:szCs w:val="18"/>
              </w:rPr>
            </w:pPr>
            <w:r>
              <w:rPr>
                <w:rFonts w:hint="eastAsia" w:ascii="等线" w:hAnsi="等线" w:eastAsia="等线" w:cs="宋体"/>
                <w:b/>
                <w:bCs/>
                <w:sz w:val="18"/>
                <w:szCs w:val="18"/>
              </w:rPr>
              <w:t xml:space="preserve">证明材料</w:t>
            </w:r>
            <w:r/>
          </w:p>
        </w:tc>
        <w:tc>
          <w:tcPr>
            <w:shd w:val="clear" w:color="000000" w:fill="d9d9d9"/>
            <w:tcW w:w="1000" w:type="dxa"/>
            <w:vAlign w:val="center"/>
            <w:textDirection w:val="lrTb"/>
            <w:noWrap w:val="false"/>
          </w:tcPr>
          <w:p>
            <w:pPr>
              <w:jc w:val="center"/>
              <w:widowControl/>
              <w:rPr>
                <w:rFonts w:ascii="等线" w:hAnsi="等线" w:eastAsia="等线" w:cs="宋体"/>
                <w:b/>
                <w:bCs/>
                <w:sz w:val="18"/>
                <w:szCs w:val="18"/>
              </w:rPr>
            </w:pPr>
            <w:r>
              <w:rPr>
                <w:rFonts w:hint="eastAsia" w:ascii="等线" w:hAnsi="等线" w:eastAsia="等线" w:cs="宋体"/>
                <w:b/>
                <w:bCs/>
                <w:sz w:val="18"/>
                <w:szCs w:val="18"/>
              </w:rPr>
              <w:t xml:space="preserve">是否提供</w:t>
            </w:r>
            <w:r/>
          </w:p>
        </w:tc>
        <w:tc>
          <w:tcPr>
            <w:shd w:val="clear" w:color="000000" w:fill="d9d9d9"/>
            <w:tcW w:w="1034" w:type="dxa"/>
            <w:vAlign w:val="center"/>
            <w:textDirection w:val="lrTb"/>
            <w:noWrap w:val="false"/>
          </w:tcPr>
          <w:p>
            <w:pPr>
              <w:jc w:val="center"/>
              <w:widowControl/>
              <w:rPr>
                <w:rFonts w:ascii="等线" w:hAnsi="等线" w:eastAsia="等线" w:cs="宋体"/>
                <w:b/>
                <w:bCs/>
                <w:sz w:val="18"/>
                <w:szCs w:val="18"/>
              </w:rPr>
            </w:pPr>
            <w:r>
              <w:rPr>
                <w:rFonts w:hint="eastAsia" w:ascii="等线" w:hAnsi="等线" w:eastAsia="等线" w:cs="宋体"/>
                <w:b/>
                <w:bCs/>
                <w:sz w:val="18"/>
                <w:szCs w:val="18"/>
              </w:rPr>
              <w:t xml:space="preserve">对应页码</w:t>
            </w:r>
            <w:r/>
          </w:p>
        </w:tc>
      </w:tr>
      <w:tr>
        <w:trPr>
          <w:trHeight w:val="547"/>
        </w:trPr>
        <w:tc>
          <w:tcPr>
            <w:tcW w:w="1471" w:type="dxa"/>
            <w:vAlign w:val="center"/>
            <w:textDirection w:val="lrTb"/>
            <w:noWrap w:val="false"/>
          </w:tcPr>
          <w:p>
            <w:pPr>
              <w:jc w:val="left"/>
              <w:widowControl/>
              <w:rPr>
                <w:rFonts w:ascii="等线" w:hAnsi="等线" w:eastAsia="等线" w:cs="宋体"/>
                <w:color w:val="auto"/>
                <w:sz w:val="21"/>
                <w:szCs w:val="21"/>
                <w:highlight w:val="none"/>
              </w:rPr>
            </w:pPr>
            <w:r>
              <w:rPr>
                <w:rFonts w:hint="eastAsia" w:ascii="宋体" w:hAnsi="宋体" w:eastAsia="宋体" w:cs="宋体"/>
                <w:color w:val="000000"/>
                <w:sz w:val="20"/>
                <w:szCs w:val="20"/>
              </w:rPr>
              <w:t xml:space="preserve">终端</w:t>
            </w:r>
            <w:r/>
          </w:p>
        </w:tc>
        <w:tc>
          <w:tcPr>
            <w:tcW w:w="3885" w:type="dxa"/>
            <w:vAlign w:val="center"/>
            <w:textDirection w:val="lrTb"/>
            <w:noWrap w:val="false"/>
          </w:tcPr>
          <w:p>
            <w:pPr>
              <w:pStyle w:val="710"/>
              <w:ind w:firstLine="0"/>
              <w:rPr>
                <w:rFonts w:hint="eastAsia"/>
                <w:color w:val="auto"/>
                <w:sz w:val="21"/>
                <w:szCs w:val="21"/>
                <w:highlight w:val="none"/>
                <w:lang w:val="en-US" w:eastAsia="zh-CN"/>
              </w:rPr>
            </w:pPr>
            <w:r>
              <w:rPr>
                <w:rFonts w:hint="eastAsia" w:ascii="宋体" w:hAnsi="宋体" w:eastAsia="宋体" w:cs="宋体"/>
                <w:color w:val="000000"/>
                <w:sz w:val="20"/>
                <w:szCs w:val="20"/>
              </w:rPr>
              <w:t xml:space="preserve">≥55英寸；分辨率：3840*2160；</w:t>
            </w:r>
            <w:r/>
          </w:p>
        </w:tc>
        <w:tc>
          <w:tcPr>
            <w:tcW w:w="2951" w:type="dxa"/>
            <w:vAlign w:val="center"/>
            <w:textDirection w:val="lrTb"/>
            <w:noWrap w:val="false"/>
          </w:tcPr>
          <w:p>
            <w:pPr>
              <w:pStyle w:val="710"/>
              <w:ind w:firstLine="0"/>
              <w:rPr>
                <w:rFonts w:hint="eastAsia"/>
                <w:b/>
                <w:bCs/>
                <w:color w:val="auto"/>
                <w:sz w:val="21"/>
                <w:szCs w:val="21"/>
                <w:highlight w:val="none"/>
                <w:lang w:val="en-US" w:eastAsia="zh-CN"/>
              </w:rPr>
            </w:pPr>
            <w:r>
              <w:rPr>
                <w:rFonts w:hint="eastAsia" w:ascii="宋体" w:hAnsi="宋体" w:eastAsia="宋体" w:cs="宋体"/>
                <w:color w:val="000000"/>
                <w:sz w:val="20"/>
                <w:szCs w:val="20"/>
              </w:rPr>
              <w:t xml:space="preserve">★</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采购的终端</w:t>
            </w:r>
            <w:r>
              <w:rPr>
                <w:rFonts w:hint="eastAsia" w:ascii="宋体" w:hAnsi="宋体" w:eastAsia="宋体" w:cs="宋体"/>
                <w:b/>
                <w:bCs/>
                <w:color w:val="000000"/>
                <w:sz w:val="20"/>
                <w:szCs w:val="20"/>
              </w:rPr>
              <w:t xml:space="preserve">为政府强制采购节能产品，投标人只能选择具有节能产品认证证书的产品进行报价;投标时须提供所投</w:t>
            </w:r>
            <w:r>
              <w:rPr>
                <w:rFonts w:hint="eastAsia" w:ascii="宋体" w:hAnsi="宋体" w:eastAsia="宋体" w:cs="宋体"/>
                <w:b/>
                <w:bCs/>
                <w:color w:val="000000"/>
                <w:sz w:val="20"/>
                <w:szCs w:val="20"/>
                <w:lang w:eastAsia="zh-CN"/>
              </w:rPr>
              <w:t xml:space="preserve">终端</w:t>
            </w:r>
            <w:r>
              <w:rPr>
                <w:rFonts w:hint="eastAsia" w:ascii="宋体" w:hAnsi="宋体" w:eastAsia="宋体" w:cs="宋体"/>
                <w:b/>
                <w:bCs/>
                <w:color w:val="000000"/>
                <w:sz w:val="20"/>
                <w:szCs w:val="20"/>
              </w:rPr>
              <w:t xml:space="preserve">由国家确定的认证机构出具的处于有效期之内的节能产品认证证书扫描件。</w:t>
            </w:r>
            <w:r/>
          </w:p>
        </w:tc>
        <w:tc>
          <w:tcPr>
            <w:tcW w:w="1000" w:type="dxa"/>
            <w:vAlign w:val="center"/>
            <w:textDirection w:val="lrTb"/>
            <w:noWrap w:val="false"/>
          </w:tcPr>
          <w:p>
            <w:pP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034" w:type="dxa"/>
            <w:vAlign w:val="center"/>
            <w:textDirection w:val="lrTb"/>
            <w:noWrap w:val="false"/>
          </w:tcPr>
          <w:p>
            <w:pPr>
              <w:widowControl/>
              <w:rPr>
                <w:rFonts w:ascii="宋体" w:hAnsi="宋体" w:cs="宋体"/>
                <w:color w:val="auto"/>
                <w:sz w:val="21"/>
                <w:szCs w:val="21"/>
                <w:highlight w:val="none"/>
              </w:rPr>
            </w:pPr>
            <w:r>
              <w:rPr>
                <w:rFonts w:ascii="宋体" w:hAnsi="宋体" w:cs="宋体"/>
                <w:color w:val="auto"/>
                <w:sz w:val="21"/>
                <w:szCs w:val="21"/>
                <w:highlight w:val="none"/>
              </w:rPr>
            </w:r>
            <w:r/>
          </w:p>
        </w:tc>
      </w:tr>
      <w:tr>
        <w:trPr>
          <w:trHeight w:val="547"/>
        </w:trPr>
        <w:tc>
          <w:tcPr>
            <w:tcW w:w="1471" w:type="dxa"/>
            <w:vAlign w:val="center"/>
            <w:textDirection w:val="lrTb"/>
            <w:noWrap w:val="false"/>
          </w:tcPr>
          <w:p>
            <w:pPr>
              <w:jc w:val="left"/>
              <w:widowControl/>
              <w:rPr>
                <w:rFonts w:ascii="宋体" w:hAnsi="宋体" w:cs="宋体"/>
                <w:color w:val="auto"/>
                <w:sz w:val="21"/>
                <w:szCs w:val="21"/>
                <w:lang w:bidi="ar"/>
              </w:rPr>
            </w:pPr>
            <w:r>
              <w:rPr>
                <w:rFonts w:hint="eastAsia" w:ascii="宋体" w:hAnsi="宋体" w:eastAsia="宋体" w:cs="宋体"/>
                <w:color w:val="000000"/>
                <w:sz w:val="20"/>
                <w:szCs w:val="20"/>
              </w:rPr>
              <w:t xml:space="preserve">接处警文档输出设备</w:t>
            </w:r>
            <w:r/>
          </w:p>
        </w:tc>
        <w:tc>
          <w:tcPr>
            <w:tcW w:w="3885" w:type="dxa"/>
            <w:vAlign w:val="center"/>
            <w:textDirection w:val="lrTb"/>
            <w:noWrap w:val="false"/>
          </w:tcPr>
          <w:p>
            <w:pPr>
              <w:pStyle w:val="710"/>
              <w:ind w:firstLine="0"/>
              <w:rPr>
                <w:rFonts w:hint="eastAsia" w:ascii="宋体" w:hAnsi="宋体" w:eastAsia="宋体" w:cs="宋体"/>
                <w:color w:val="auto"/>
                <w:sz w:val="20"/>
                <w:szCs w:val="20"/>
                <w:lang w:bidi="ar"/>
              </w:rPr>
            </w:pPr>
            <w:r>
              <w:rPr>
                <w:rFonts w:hint="eastAsia" w:ascii="宋体" w:hAnsi="宋体" w:eastAsia="宋体" w:cs="宋体"/>
                <w:color w:val="000000"/>
                <w:sz w:val="20"/>
                <w:szCs w:val="20"/>
              </w:rPr>
              <w:t xml:space="preserve">支持A4黑白；</w:t>
            </w:r>
            <w:r/>
          </w:p>
        </w:tc>
        <w:tc>
          <w:tcPr>
            <w:tcW w:w="2951" w:type="dxa"/>
            <w:vAlign w:val="center"/>
            <w:textDirection w:val="lrTb"/>
            <w:noWrap w:val="false"/>
          </w:tcPr>
          <w:p>
            <w:pPr>
              <w:pStyle w:val="710"/>
              <w:ind w:firstLine="0"/>
              <w:rPr>
                <w:rFonts w:hint="eastAsia" w:ascii="宋体" w:hAnsi="宋体" w:eastAsia="宋体" w:cs="宋体"/>
                <w:b/>
                <w:bCs/>
                <w:color w:val="auto"/>
                <w:sz w:val="20"/>
                <w:szCs w:val="20"/>
                <w:lang w:bidi="ar"/>
              </w:rPr>
            </w:pPr>
            <w:r>
              <w:rPr>
                <w:rFonts w:hint="eastAsia" w:ascii="宋体" w:hAnsi="宋体" w:eastAsia="宋体" w:cs="宋体"/>
                <w:color w:val="000000"/>
                <w:sz w:val="20"/>
                <w:szCs w:val="20"/>
              </w:rPr>
              <w:t xml:space="preserve">★</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w:t>
            </w:r>
            <w:r>
              <w:rPr>
                <w:rFonts w:hint="eastAsia" w:ascii="宋体" w:hAnsi="宋体" w:eastAsia="宋体" w:cs="宋体"/>
                <w:b/>
                <w:bCs/>
                <w:color w:val="000000"/>
                <w:sz w:val="20"/>
                <w:szCs w:val="20"/>
              </w:rPr>
              <w:t xml:space="preserve">接处警文档输出设备为政府强制采购节能产品，投标人只能选择具有节能产品认证证书的产品进行报价;投标时须提供所投接处警文档输出设备由国家确定的认证机构出具的处于有效期之内的节能产品认证证书扫描件。</w:t>
            </w:r>
            <w:r/>
          </w:p>
        </w:tc>
        <w:tc>
          <w:tcPr>
            <w:tcW w:w="1000" w:type="dxa"/>
            <w:vAlign w:val="center"/>
            <w:textDirection w:val="lrTb"/>
            <w:noWrap w:val="false"/>
          </w:tcPr>
          <w:p>
            <w:pPr>
              <w:widowControl/>
              <w:rPr>
                <w:rFonts w:ascii="宋体" w:hAnsi="宋体" w:cs="宋体"/>
                <w:color w:val="auto"/>
                <w:sz w:val="21"/>
                <w:szCs w:val="21"/>
              </w:rPr>
            </w:pPr>
            <w:r>
              <w:rPr>
                <w:rFonts w:ascii="宋体" w:hAnsi="宋体" w:cs="宋体"/>
                <w:color w:val="auto"/>
                <w:sz w:val="21"/>
                <w:szCs w:val="21"/>
              </w:rPr>
            </w:r>
            <w:r/>
          </w:p>
        </w:tc>
        <w:tc>
          <w:tcPr>
            <w:tcW w:w="1034" w:type="dxa"/>
            <w:vAlign w:val="center"/>
            <w:textDirection w:val="lrTb"/>
            <w:noWrap w:val="false"/>
          </w:tcPr>
          <w:p>
            <w:pPr>
              <w:widowControl/>
              <w:rPr>
                <w:rFonts w:ascii="宋体" w:hAnsi="宋体" w:cs="宋体"/>
                <w:color w:val="auto"/>
                <w:sz w:val="21"/>
                <w:szCs w:val="21"/>
              </w:rPr>
            </w:pPr>
            <w:r>
              <w:rPr>
                <w:rFonts w:ascii="宋体" w:hAnsi="宋体" w:cs="宋体"/>
                <w:color w:val="auto"/>
                <w:sz w:val="21"/>
                <w:szCs w:val="21"/>
              </w:rPr>
            </w:r>
            <w:r/>
          </w:p>
        </w:tc>
      </w:tr>
      <w:tr>
        <w:trPr>
          <w:trHeight w:val="547"/>
        </w:trPr>
        <w:tc>
          <w:tcPr>
            <w:tcW w:w="1471" w:type="dxa"/>
            <w:vAlign w:val="center"/>
            <w:textDirection w:val="lrTb"/>
            <w:noWrap w:val="false"/>
          </w:tcPr>
          <w:p>
            <w:pPr>
              <w:jc w:val="left"/>
              <w:widowControl/>
              <w:rPr>
                <w:rFonts w:hint="eastAsia" w:ascii="宋体" w:hAnsi="宋体" w:eastAsia="宋体" w:cs="宋体"/>
                <w:color w:val="auto"/>
                <w:sz w:val="20"/>
                <w:szCs w:val="20"/>
                <w:lang w:bidi="ar"/>
              </w:rPr>
            </w:pPr>
            <w:r>
              <w:rPr>
                <w:rFonts w:hint="eastAsia" w:ascii="宋体" w:hAnsi="宋体" w:eastAsia="宋体" w:cs="宋体"/>
                <w:color w:val="000000"/>
                <w:sz w:val="20"/>
                <w:szCs w:val="20"/>
              </w:rPr>
              <w:t xml:space="preserve">智能终端</w:t>
            </w:r>
            <w:r/>
          </w:p>
        </w:tc>
        <w:tc>
          <w:tcPr>
            <w:tcW w:w="3885" w:type="dxa"/>
            <w:vAlign w:val="center"/>
            <w:textDirection w:val="lrTb"/>
            <w:noWrap w:val="false"/>
          </w:tcPr>
          <w:p>
            <w:pPr>
              <w:pStyle w:val="710"/>
              <w:ind w:firstLine="0"/>
              <w:rPr>
                <w:rFonts w:hint="eastAsia" w:ascii="宋体" w:hAnsi="宋体" w:eastAsia="宋体" w:cs="宋体"/>
                <w:color w:val="auto"/>
                <w:sz w:val="20"/>
                <w:szCs w:val="20"/>
                <w:lang w:bidi="ar"/>
              </w:rPr>
            </w:pPr>
            <w:r>
              <w:rPr>
                <w:rFonts w:hint="eastAsia" w:ascii="宋体" w:hAnsi="宋体" w:eastAsia="宋体" w:cs="宋体"/>
                <w:color w:val="000000"/>
                <w:sz w:val="20"/>
                <w:szCs w:val="20"/>
              </w:rPr>
              <w:t xml:space="preserve">≥98英寸，智能终端；</w:t>
            </w:r>
            <w:r/>
          </w:p>
        </w:tc>
        <w:tc>
          <w:tcPr>
            <w:tcW w:w="2951" w:type="dxa"/>
            <w:vAlign w:val="center"/>
            <w:textDirection w:val="lrTb"/>
            <w:noWrap w:val="false"/>
          </w:tcPr>
          <w:p>
            <w:pPr>
              <w:pStyle w:val="710"/>
              <w:ind w:firstLine="0"/>
              <w:rPr>
                <w:rFonts w:hint="eastAsia" w:ascii="宋体" w:hAnsi="宋体" w:eastAsia="宋体" w:cs="宋体"/>
                <w:b/>
                <w:bCs/>
                <w:color w:val="auto"/>
                <w:sz w:val="20"/>
                <w:szCs w:val="20"/>
                <w:lang w:bidi="ar"/>
              </w:rPr>
            </w:pPr>
            <w:r>
              <w:rPr>
                <w:rFonts w:hint="eastAsia" w:ascii="宋体" w:hAnsi="宋体" w:eastAsia="宋体" w:cs="宋体"/>
                <w:color w:val="000000"/>
                <w:sz w:val="20"/>
                <w:szCs w:val="20"/>
              </w:rPr>
              <w:t xml:space="preserve">★</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采购的智能终端</w:t>
            </w:r>
            <w:r>
              <w:rPr>
                <w:rFonts w:hint="eastAsia" w:ascii="宋体" w:hAnsi="宋体" w:eastAsia="宋体" w:cs="宋体"/>
                <w:b/>
                <w:bCs/>
                <w:color w:val="000000"/>
                <w:sz w:val="20"/>
                <w:szCs w:val="20"/>
              </w:rPr>
              <w:t xml:space="preserve">为政府强制采购节能产品，投标人只能选择具有节能产品认证证书的产品进行报价;投标时须提供所投</w:t>
            </w:r>
            <w:r>
              <w:rPr>
                <w:rFonts w:hint="eastAsia" w:ascii="宋体" w:hAnsi="宋体" w:eastAsia="宋体" w:cs="宋体"/>
                <w:b/>
                <w:bCs/>
                <w:color w:val="000000"/>
                <w:sz w:val="20"/>
                <w:szCs w:val="20"/>
                <w:lang w:eastAsia="zh-CN"/>
              </w:rPr>
              <w:t xml:space="preserve">智能终端</w:t>
            </w:r>
            <w:r>
              <w:rPr>
                <w:rFonts w:hint="eastAsia" w:ascii="宋体" w:hAnsi="宋体" w:eastAsia="宋体" w:cs="宋体"/>
                <w:b/>
                <w:bCs/>
                <w:color w:val="000000"/>
                <w:sz w:val="20"/>
                <w:szCs w:val="20"/>
              </w:rPr>
              <w:t xml:space="preserve">由国家确定的认证机构出具的处于有效期之内的节能产品认证证书扫描件。</w:t>
            </w:r>
            <w:r/>
          </w:p>
        </w:tc>
        <w:tc>
          <w:tcPr>
            <w:tcW w:w="1000" w:type="dxa"/>
            <w:vAlign w:val="center"/>
            <w:textDirection w:val="lrTb"/>
            <w:noWrap w:val="false"/>
          </w:tcPr>
          <w:p>
            <w:pPr>
              <w:widowControl/>
              <w:rPr>
                <w:rFonts w:ascii="宋体" w:hAnsi="宋体" w:cs="宋体"/>
                <w:color w:val="auto"/>
                <w:sz w:val="21"/>
                <w:szCs w:val="21"/>
              </w:rPr>
            </w:pPr>
            <w:r>
              <w:rPr>
                <w:rFonts w:ascii="宋体" w:hAnsi="宋体" w:cs="宋体"/>
                <w:color w:val="auto"/>
                <w:sz w:val="21"/>
                <w:szCs w:val="21"/>
              </w:rPr>
            </w:r>
            <w:r/>
          </w:p>
        </w:tc>
        <w:tc>
          <w:tcPr>
            <w:tcW w:w="1034" w:type="dxa"/>
            <w:vAlign w:val="center"/>
            <w:textDirection w:val="lrTb"/>
            <w:noWrap w:val="false"/>
          </w:tcPr>
          <w:p>
            <w:pPr>
              <w:widowControl/>
              <w:rPr>
                <w:rFonts w:ascii="宋体" w:hAnsi="宋体" w:cs="宋体"/>
                <w:color w:val="auto"/>
                <w:sz w:val="21"/>
                <w:szCs w:val="21"/>
              </w:rPr>
            </w:pPr>
            <w:r>
              <w:rPr>
                <w:rFonts w:ascii="宋体" w:hAnsi="宋体" w:cs="宋体"/>
                <w:color w:val="auto"/>
                <w:sz w:val="21"/>
                <w:szCs w:val="21"/>
              </w:rPr>
            </w:r>
            <w:r/>
          </w:p>
        </w:tc>
      </w:tr>
      <w:tr>
        <w:trPr>
          <w:trHeight w:val="547"/>
        </w:trPr>
        <w:tc>
          <w:tcPr>
            <w:tcW w:w="147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消防车库专用终端</w:t>
            </w:r>
            <w:r/>
          </w:p>
        </w:tc>
        <w:tc>
          <w:tcPr>
            <w:tcW w:w="3885" w:type="dxa"/>
            <w:vAlign w:val="center"/>
            <w:textDirection w:val="lrTb"/>
            <w:noWrap w:val="false"/>
          </w:tcPr>
          <w:p>
            <w:pPr>
              <w:pStyle w:val="710"/>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≥55英寸；分辨率：3840*2160；</w:t>
            </w:r>
            <w:r/>
          </w:p>
        </w:tc>
        <w:tc>
          <w:tcPr>
            <w:tcW w:w="2951" w:type="dxa"/>
            <w:vAlign w:val="center"/>
            <w:textDirection w:val="lrTb"/>
            <w:noWrap w:val="false"/>
          </w:tcPr>
          <w:p>
            <w:pPr>
              <w:pStyle w:val="710"/>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w:t>
            </w:r>
            <w:r>
              <w:rPr>
                <w:rFonts w:hint="eastAsia" w:ascii="宋体" w:hAnsi="宋体" w:eastAsia="宋体" w:cs="宋体"/>
                <w:b/>
                <w:bCs/>
                <w:color w:val="000000"/>
                <w:sz w:val="20"/>
                <w:szCs w:val="20"/>
              </w:rPr>
              <w:t xml:space="preserve">消防车库专用终端为政府强制采购节能产品，投标人只能选择具有节能产品认证证书的产品进行报价;投标时须提供所投消防车库专用终端由国家确定的认证机构出具的处于有效期之内的节能产品认证证书扫描件。</w:t>
            </w:r>
            <w:r/>
          </w:p>
        </w:tc>
        <w:tc>
          <w:tcPr>
            <w:tcW w:w="1000" w:type="dxa"/>
            <w:vAlign w:val="center"/>
            <w:textDirection w:val="lrTb"/>
            <w:noWrap w:val="false"/>
          </w:tcPr>
          <w:p>
            <w:pPr>
              <w:widowControl/>
              <w:rPr>
                <w:rFonts w:ascii="宋体" w:hAnsi="宋体" w:cs="宋体"/>
                <w:color w:val="auto"/>
                <w:sz w:val="21"/>
                <w:szCs w:val="21"/>
              </w:rPr>
            </w:pPr>
            <w:r>
              <w:rPr>
                <w:rFonts w:ascii="宋体" w:hAnsi="宋体" w:cs="宋体"/>
                <w:color w:val="auto"/>
                <w:sz w:val="21"/>
                <w:szCs w:val="21"/>
              </w:rPr>
            </w:r>
            <w:r/>
          </w:p>
        </w:tc>
        <w:tc>
          <w:tcPr>
            <w:tcW w:w="1034" w:type="dxa"/>
            <w:vAlign w:val="center"/>
            <w:textDirection w:val="lrTb"/>
            <w:noWrap w:val="false"/>
          </w:tcPr>
          <w:p>
            <w:pPr>
              <w:widowControl/>
              <w:rPr>
                <w:rFonts w:ascii="宋体" w:hAnsi="宋体" w:cs="宋体"/>
                <w:color w:val="auto"/>
                <w:sz w:val="21"/>
                <w:szCs w:val="21"/>
              </w:rPr>
            </w:pPr>
            <w:r>
              <w:rPr>
                <w:rFonts w:ascii="宋体" w:hAnsi="宋体" w:cs="宋体"/>
                <w:color w:val="auto"/>
                <w:sz w:val="21"/>
                <w:szCs w:val="21"/>
              </w:rPr>
            </w:r>
            <w:r/>
          </w:p>
        </w:tc>
      </w:tr>
      <w:tr>
        <w:trPr>
          <w:trHeight w:val="547"/>
        </w:trPr>
        <w:tc>
          <w:tcPr>
            <w:tcW w:w="147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备勤室、家属宿舍专用终端</w:t>
            </w:r>
            <w:r/>
          </w:p>
        </w:tc>
        <w:tc>
          <w:tcPr>
            <w:tcW w:w="3885" w:type="dxa"/>
            <w:vAlign w:val="center"/>
            <w:textDirection w:val="lrTb"/>
            <w:noWrap w:val="false"/>
          </w:tcPr>
          <w:p>
            <w:pPr>
              <w:pStyle w:val="710"/>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≥55英寸；分辨率：3840*2160；</w:t>
            </w:r>
            <w:r/>
          </w:p>
        </w:tc>
        <w:tc>
          <w:tcPr>
            <w:tcW w:w="2951" w:type="dxa"/>
            <w:vAlign w:val="center"/>
            <w:textDirection w:val="lrTb"/>
            <w:noWrap w:val="false"/>
          </w:tcPr>
          <w:p>
            <w:pPr>
              <w:pStyle w:val="710"/>
              <w:ind w:firstLine="0"/>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w:t>
            </w:r>
            <w:r>
              <w:rPr>
                <w:rFonts w:hint="eastAsia" w:ascii="宋体" w:hAnsi="宋体" w:eastAsia="宋体" w:cs="宋体"/>
                <w:b/>
                <w:bCs/>
                <w:color w:val="000000"/>
                <w:sz w:val="20"/>
                <w:szCs w:val="20"/>
              </w:rPr>
              <w:t xml:space="preserve">依据财政部、发展改革委发布的《节能产品政府采购品目清单》，本条目</w:t>
            </w:r>
            <w:r>
              <w:rPr>
                <w:rFonts w:hint="eastAsia" w:ascii="宋体" w:hAnsi="宋体" w:eastAsia="宋体" w:cs="宋体"/>
                <w:b/>
                <w:bCs/>
                <w:color w:val="000000"/>
                <w:sz w:val="20"/>
                <w:szCs w:val="20"/>
                <w:lang w:eastAsia="zh-CN"/>
              </w:rPr>
              <w:t xml:space="preserve">采购的</w:t>
            </w:r>
            <w:r>
              <w:rPr>
                <w:rFonts w:hint="eastAsia" w:ascii="宋体" w:hAnsi="宋体" w:eastAsia="宋体" w:cs="宋体"/>
                <w:b/>
                <w:bCs/>
                <w:color w:val="000000"/>
                <w:sz w:val="20"/>
                <w:szCs w:val="20"/>
              </w:rPr>
              <w:t xml:space="preserve">备勤室、家属宿舍专用终端为政府强制采购节能产品，投标人只能选择具有节能产品认证证书的产品进行报价;投标时须提供所投备勤室、家属宿舍专用终端由国家确定的认证机构出具的处于有效期之内的节能产品认证证书扫描件。</w:t>
            </w:r>
            <w:r/>
          </w:p>
        </w:tc>
        <w:tc>
          <w:tcPr>
            <w:tcW w:w="1000" w:type="dxa"/>
            <w:vAlign w:val="center"/>
            <w:textDirection w:val="lrTb"/>
            <w:noWrap w:val="false"/>
          </w:tcPr>
          <w:p>
            <w:pPr>
              <w:widowControl/>
              <w:rPr>
                <w:rFonts w:ascii="宋体" w:hAnsi="宋体" w:cs="宋体"/>
                <w:color w:val="auto"/>
                <w:sz w:val="21"/>
                <w:szCs w:val="21"/>
              </w:rPr>
            </w:pPr>
            <w:r>
              <w:rPr>
                <w:rFonts w:ascii="宋体" w:hAnsi="宋体" w:cs="宋体"/>
                <w:color w:val="auto"/>
                <w:sz w:val="21"/>
                <w:szCs w:val="21"/>
              </w:rPr>
            </w:r>
            <w:r/>
          </w:p>
        </w:tc>
        <w:tc>
          <w:tcPr>
            <w:tcW w:w="1034" w:type="dxa"/>
            <w:vAlign w:val="center"/>
            <w:textDirection w:val="lrTb"/>
            <w:noWrap w:val="false"/>
          </w:tcPr>
          <w:p>
            <w:pPr>
              <w:widowControl/>
              <w:rPr>
                <w:rFonts w:ascii="宋体" w:hAnsi="宋体" w:cs="宋体"/>
                <w:color w:val="auto"/>
                <w:sz w:val="21"/>
                <w:szCs w:val="21"/>
              </w:rPr>
            </w:pPr>
            <w:r>
              <w:rPr>
                <w:rFonts w:ascii="宋体" w:hAnsi="宋体" w:cs="宋体"/>
                <w:color w:val="auto"/>
                <w:sz w:val="21"/>
                <w:szCs w:val="21"/>
              </w:rPr>
            </w:r>
            <w:r/>
          </w:p>
        </w:tc>
      </w:tr>
    </w:tbl>
    <w:p>
      <w:pPr>
        <w:pStyle w:val="744"/>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egoe UI Symbol">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rPr>
        <w:rStyle w:val="713"/>
        <w:rFonts w:ascii="宋体" w:hAnsi="宋体"/>
      </w:rPr>
      <w:framePr w:wrap="around" w:vAnchor="text" w:hAnchor="margin" w:xAlign="center" w:y="1"/>
    </w:pPr>
    <w:r>
      <w:rPr>
        <w:rFonts w:ascii="宋体" w:hAnsi="宋体"/>
      </w:rPr>
      <w:fldChar w:fldCharType="begin"/>
    </w:r>
    <w:r>
      <w:rPr>
        <w:rStyle w:val="713"/>
        <w:rFonts w:ascii="宋体" w:hAnsi="宋体"/>
      </w:rPr>
      <w:instrText xml:space="preserve">PAGE  </w:instrText>
    </w:r>
    <w:r>
      <w:rPr>
        <w:rFonts w:ascii="宋体" w:hAnsi="宋体"/>
      </w:rPr>
      <w:fldChar w:fldCharType="separate"/>
    </w:r>
    <w:r>
      <w:rPr>
        <w:rStyle w:val="713"/>
        <w:rFonts w:ascii="宋体" w:hAnsi="宋体"/>
      </w:rPr>
      <w:t xml:space="preserve">１５</w:t>
    </w:r>
    <w:r>
      <w:rPr>
        <w:rFonts w:ascii="宋体" w:hAnsi="宋体"/>
      </w:rPr>
      <w:fldChar w:fldCharType="end"/>
    </w:r>
    <w:r/>
  </w:p>
  <w:p>
    <w:pPr>
      <w:pStyle w:val="695"/>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rPr>
        <w:rStyle w:val="713"/>
      </w:rPr>
      <w:framePr w:wrap="around" w:vAnchor="text" w:hAnchor="margin" w:xAlign="center" w:y="1"/>
    </w:pPr>
    <w:r>
      <w:fldChar w:fldCharType="begin"/>
    </w:r>
    <w:r>
      <w:rPr>
        <w:rStyle w:val="713"/>
      </w:rPr>
      <w:instrText xml:space="preserve">PAGE  </w:instrText>
    </w:r>
    <w:r>
      <w:fldChar w:fldCharType="separate"/>
    </w:r>
    <w:r>
      <w:rPr>
        <w:rStyle w:val="713"/>
      </w:rPr>
      <w:t xml:space="preserve">1</w:t>
    </w:r>
    <w:r>
      <w:fldChar w:fldCharType="end"/>
    </w:r>
    <w:r/>
  </w:p>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pStyle w:val="7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2"/>
      <w:isLgl w:val="false"/>
      <w:suff w:val="nothing"/>
      <w:lvlText w:val=""/>
      <w:lvlJc w:val="left"/>
      <w:pPr>
        <w:ind w:left="0" w:firstLine="0"/>
      </w:pPr>
      <w:rPr>
        <w:rFonts w:hint="eastAsia"/>
      </w:rPr>
    </w:lvl>
    <w:lvl w:ilvl="6">
      <w:start w:val="1"/>
      <w:numFmt w:val="none"/>
      <w:pStyle w:val="673"/>
      <w:isLgl w:val="false"/>
      <w:suff w:val="nothing"/>
      <w:lvlText w:val=""/>
      <w:lvlJc w:val="left"/>
      <w:pPr>
        <w:ind w:left="0" w:firstLine="0"/>
      </w:pPr>
      <w:rPr>
        <w:rFonts w:hint="eastAsia"/>
      </w:rPr>
    </w:lvl>
    <w:lvl w:ilvl="7">
      <w:start w:val="1"/>
      <w:numFmt w:val="none"/>
      <w:pStyle w:val="674"/>
      <w:isLgl w:val="false"/>
      <w:suff w:val="nothing"/>
      <w:lvlText w:val=""/>
      <w:lvlJc w:val="left"/>
      <w:pPr>
        <w:ind w:left="0" w:firstLine="0"/>
      </w:pPr>
      <w:rPr>
        <w:rFonts w:hint="eastAsia"/>
      </w:rPr>
    </w:lvl>
    <w:lvl w:ilvl="8">
      <w:start w:val="1"/>
      <w:numFmt w:val="none"/>
      <w:pStyle w:val="675"/>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67"/>
    <w:uiPriority w:val="9"/>
    <w:rPr>
      <w:rFonts w:ascii="Arial" w:hAnsi="Arial" w:eastAsia="Arial" w:cs="Arial"/>
      <w:sz w:val="40"/>
      <w:szCs w:val="40"/>
    </w:rPr>
  </w:style>
  <w:style w:type="character" w:styleId="15">
    <w:name w:val="Heading 2 Char"/>
    <w:basedOn w:val="676"/>
    <w:link w:val="668"/>
    <w:uiPriority w:val="9"/>
    <w:rPr>
      <w:rFonts w:ascii="Arial" w:hAnsi="Arial" w:eastAsia="Arial" w:cs="Arial"/>
      <w:sz w:val="34"/>
    </w:rPr>
  </w:style>
  <w:style w:type="character" w:styleId="17">
    <w:name w:val="Heading 3 Char"/>
    <w:basedOn w:val="676"/>
    <w:link w:val="669"/>
    <w:uiPriority w:val="9"/>
    <w:rPr>
      <w:rFonts w:ascii="Arial" w:hAnsi="Arial" w:eastAsia="Arial" w:cs="Arial"/>
      <w:sz w:val="30"/>
      <w:szCs w:val="30"/>
    </w:rPr>
  </w:style>
  <w:style w:type="character" w:styleId="19">
    <w:name w:val="Heading 4 Char"/>
    <w:basedOn w:val="676"/>
    <w:link w:val="670"/>
    <w:uiPriority w:val="9"/>
    <w:rPr>
      <w:rFonts w:ascii="Arial" w:hAnsi="Arial" w:eastAsia="Arial" w:cs="Arial"/>
      <w:b/>
      <w:bCs/>
      <w:sz w:val="26"/>
      <w:szCs w:val="26"/>
    </w:rPr>
  </w:style>
  <w:style w:type="character" w:styleId="21">
    <w:name w:val="Heading 5 Char"/>
    <w:basedOn w:val="676"/>
    <w:link w:val="671"/>
    <w:uiPriority w:val="9"/>
    <w:rPr>
      <w:rFonts w:ascii="Arial" w:hAnsi="Arial" w:eastAsia="Arial" w:cs="Arial"/>
      <w:b/>
      <w:bCs/>
      <w:sz w:val="24"/>
      <w:szCs w:val="24"/>
    </w:rPr>
  </w:style>
  <w:style w:type="character" w:styleId="23">
    <w:name w:val="Heading 6 Char"/>
    <w:basedOn w:val="676"/>
    <w:link w:val="672"/>
    <w:uiPriority w:val="9"/>
    <w:rPr>
      <w:rFonts w:ascii="Arial" w:hAnsi="Arial" w:eastAsia="Arial" w:cs="Arial"/>
      <w:b/>
      <w:bCs/>
      <w:sz w:val="22"/>
      <w:szCs w:val="22"/>
    </w:rPr>
  </w:style>
  <w:style w:type="character" w:styleId="25">
    <w:name w:val="Heading 7 Char"/>
    <w:basedOn w:val="676"/>
    <w:link w:val="673"/>
    <w:uiPriority w:val="9"/>
    <w:rPr>
      <w:rFonts w:ascii="Arial" w:hAnsi="Arial" w:eastAsia="Arial" w:cs="Arial"/>
      <w:b/>
      <w:bCs/>
      <w:i/>
      <w:iCs/>
      <w:sz w:val="22"/>
      <w:szCs w:val="22"/>
    </w:rPr>
  </w:style>
  <w:style w:type="character" w:styleId="27">
    <w:name w:val="Heading 8 Char"/>
    <w:basedOn w:val="676"/>
    <w:link w:val="674"/>
    <w:uiPriority w:val="9"/>
    <w:rPr>
      <w:rFonts w:ascii="Arial" w:hAnsi="Arial" w:eastAsia="Arial" w:cs="Arial"/>
      <w:i/>
      <w:iCs/>
      <w:sz w:val="22"/>
      <w:szCs w:val="22"/>
    </w:rPr>
  </w:style>
  <w:style w:type="character" w:styleId="29">
    <w:name w:val="Heading 9 Char"/>
    <w:basedOn w:val="676"/>
    <w:link w:val="675"/>
    <w:uiPriority w:val="9"/>
    <w:rPr>
      <w:rFonts w:ascii="Arial" w:hAnsi="Arial" w:eastAsia="Arial" w:cs="Arial"/>
      <w:i/>
      <w:iCs/>
      <w:sz w:val="21"/>
      <w:szCs w:val="21"/>
    </w:rPr>
  </w:style>
  <w:style w:type="paragraph" w:styleId="33">
    <w:name w:val="Title"/>
    <w:basedOn w:val="666"/>
    <w:next w:val="666"/>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66"/>
    <w:next w:val="666"/>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96"/>
    <w:uiPriority w:val="99"/>
  </w:style>
  <w:style w:type="character" w:styleId="44">
    <w:name w:val="Footer Char"/>
    <w:basedOn w:val="676"/>
    <w:link w:val="695"/>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695"/>
    <w:uiPriority w:val="99"/>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9">
    <w:name w:val="TOC Heading"/>
    <w:uiPriority w:val="39"/>
    <w:unhideWhenUsed/>
  </w:style>
  <w:style w:type="paragraph" w:styleId="66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7">
    <w:name w:val="Heading 1"/>
    <w:basedOn w:val="666"/>
    <w:next w:val="666"/>
    <w:link w:val="718"/>
    <w:uiPriority w:val="0"/>
    <w:qFormat/>
    <w:pPr>
      <w:jc w:val="center"/>
      <w:keepNext/>
      <w:outlineLvl w:val="0"/>
    </w:pPr>
    <w:rPr>
      <w:rFonts w:ascii="楷体_GB2312" w:eastAsia="楷体_GB2312"/>
      <w:sz w:val="28"/>
      <w:szCs w:val="28"/>
    </w:rPr>
  </w:style>
  <w:style w:type="paragraph" w:styleId="668">
    <w:name w:val="Heading 2"/>
    <w:basedOn w:val="666"/>
    <w:next w:val="666"/>
    <w:link w:val="719"/>
    <w:uiPriority w:val="0"/>
    <w:qFormat/>
    <w:pPr>
      <w:jc w:val="center"/>
      <w:keepLines/>
      <w:keepNext/>
      <w:spacing w:before="260" w:after="260" w:line="416" w:lineRule="auto"/>
      <w:outlineLvl w:val="1"/>
    </w:pPr>
    <w:rPr>
      <w:rFonts w:ascii="Arial" w:hAnsi="Arial" w:eastAsia="幼圆"/>
      <w:b/>
      <w:bCs/>
      <w:sz w:val="44"/>
      <w:szCs w:val="44"/>
    </w:rPr>
  </w:style>
  <w:style w:type="paragraph" w:styleId="669">
    <w:name w:val="Heading 3"/>
    <w:basedOn w:val="666"/>
    <w:next w:val="678"/>
    <w:link w:val="720"/>
    <w:uiPriority w:val="0"/>
    <w:qFormat/>
    <w:pPr>
      <w:keepLines/>
      <w:keepNext/>
      <w:spacing w:before="260" w:after="260" w:line="416" w:lineRule="auto"/>
      <w:outlineLvl w:val="2"/>
    </w:pPr>
    <w:rPr>
      <w:b/>
      <w:bCs/>
      <w:sz w:val="32"/>
      <w:szCs w:val="32"/>
    </w:rPr>
  </w:style>
  <w:style w:type="paragraph" w:styleId="670">
    <w:name w:val="Heading 4"/>
    <w:basedOn w:val="666"/>
    <w:next w:val="678"/>
    <w:link w:val="722"/>
    <w:uiPriority w:val="0"/>
    <w:qFormat/>
    <w:pPr>
      <w:keepLines/>
      <w:keepNext/>
      <w:spacing w:before="280" w:after="290" w:line="376" w:lineRule="auto"/>
      <w:outlineLvl w:val="3"/>
    </w:pPr>
    <w:rPr>
      <w:rFonts w:ascii="Arial" w:hAnsi="Arial" w:eastAsia="黑体"/>
      <w:b/>
      <w:bCs/>
      <w:sz w:val="28"/>
      <w:szCs w:val="28"/>
    </w:rPr>
  </w:style>
  <w:style w:type="paragraph" w:styleId="671">
    <w:name w:val="Heading 5"/>
    <w:basedOn w:val="666"/>
    <w:next w:val="678"/>
    <w:link w:val="723"/>
    <w:uiPriority w:val="0"/>
    <w:qFormat/>
    <w:pPr>
      <w:keepNext/>
      <w:outlineLvl w:val="4"/>
    </w:pPr>
    <w:rPr>
      <w:rFonts w:ascii="宋体"/>
      <w:color w:val="000000"/>
      <w:sz w:val="28"/>
      <w:szCs w:val="28"/>
    </w:rPr>
  </w:style>
  <w:style w:type="paragraph" w:styleId="672">
    <w:name w:val="Heading 6"/>
    <w:basedOn w:val="666"/>
    <w:next w:val="666"/>
    <w:link w:val="72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3">
    <w:name w:val="Heading 7"/>
    <w:basedOn w:val="666"/>
    <w:next w:val="666"/>
    <w:link w:val="725"/>
    <w:uiPriority w:val="0"/>
    <w:qFormat/>
    <w:pPr>
      <w:numPr>
        <w:ilvl w:val="6"/>
        <w:numId w:val="1"/>
      </w:numPr>
      <w:keepLines/>
      <w:keepNext/>
      <w:spacing w:before="240" w:after="64" w:line="320" w:lineRule="auto"/>
      <w:outlineLvl w:val="6"/>
    </w:pPr>
    <w:rPr>
      <w:b/>
      <w:bCs/>
      <w:sz w:val="24"/>
      <w:szCs w:val="24"/>
    </w:rPr>
  </w:style>
  <w:style w:type="paragraph" w:styleId="674">
    <w:name w:val="Heading 8"/>
    <w:basedOn w:val="666"/>
    <w:next w:val="666"/>
    <w:link w:val="72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5">
    <w:name w:val="Heading 9"/>
    <w:basedOn w:val="666"/>
    <w:next w:val="666"/>
    <w:link w:val="727"/>
    <w:uiPriority w:val="0"/>
    <w:qFormat/>
    <w:pPr>
      <w:numPr>
        <w:ilvl w:val="8"/>
        <w:numId w:val="1"/>
      </w:numPr>
      <w:keepLines/>
      <w:keepNext/>
      <w:spacing w:before="240" w:after="64" w:line="320" w:lineRule="auto"/>
      <w:outlineLvl w:val="8"/>
    </w:pPr>
    <w:rPr>
      <w:rFonts w:ascii="Arial" w:hAnsi="Arial" w:eastAsia="黑体"/>
      <w:sz w:val="20"/>
    </w:rPr>
  </w:style>
  <w:style w:type="character" w:styleId="676" w:default="1">
    <w:name w:val="Default Paragraph Font"/>
    <w:uiPriority w:val="1"/>
    <w:unhideWhenUsed/>
    <w:qFormat/>
  </w:style>
  <w:style w:type="table" w:styleId="677" w:default="1">
    <w:name w:val="Normal Table"/>
    <w:uiPriority w:val="99"/>
    <w:unhideWhenUsed/>
    <w:qFormat/>
    <w:tblPr>
      <w:tblCellMar>
        <w:left w:w="108" w:type="dxa"/>
        <w:top w:w="0" w:type="dxa"/>
        <w:right w:w="108" w:type="dxa"/>
        <w:bottom w:w="0" w:type="dxa"/>
      </w:tblCellMar>
    </w:tblPr>
  </w:style>
  <w:style w:type="paragraph" w:styleId="678">
    <w:name w:val="Normal Indent"/>
    <w:basedOn w:val="666"/>
    <w:link w:val="721"/>
    <w:uiPriority w:val="0"/>
    <w:qFormat/>
    <w:pPr>
      <w:ind w:firstLine="420"/>
    </w:pPr>
    <w:rPr>
      <w:sz w:val="20"/>
    </w:rPr>
  </w:style>
  <w:style w:type="paragraph" w:styleId="679">
    <w:name w:val="List 3"/>
    <w:basedOn w:val="666"/>
    <w:uiPriority w:val="0"/>
    <w:qFormat/>
    <w:pPr>
      <w:ind w:left="100" w:hanging="200"/>
    </w:pPr>
  </w:style>
  <w:style w:type="paragraph" w:styleId="680">
    <w:name w:val="toc 7"/>
    <w:basedOn w:val="666"/>
    <w:next w:val="666"/>
    <w:uiPriority w:val="0"/>
    <w:semiHidden/>
    <w:qFormat/>
    <w:pPr>
      <w:ind w:left="1260"/>
      <w:jc w:val="left"/>
    </w:pPr>
  </w:style>
  <w:style w:type="paragraph" w:styleId="681">
    <w:name w:val="Document Map"/>
    <w:basedOn w:val="666"/>
    <w:link w:val="728"/>
    <w:uiPriority w:val="0"/>
    <w:semiHidden/>
    <w:qFormat/>
    <w:pPr>
      <w:shd w:val="clear" w:color="auto" w:fill="000080"/>
    </w:pPr>
    <w:rPr>
      <w:sz w:val="20"/>
    </w:rPr>
  </w:style>
  <w:style w:type="paragraph" w:styleId="682">
    <w:name w:val="annotation text"/>
    <w:basedOn w:val="666"/>
    <w:link w:val="729"/>
    <w:uiPriority w:val="0"/>
    <w:semiHidden/>
    <w:qFormat/>
    <w:pPr>
      <w:jc w:val="left"/>
    </w:pPr>
    <w:rPr>
      <w:sz w:val="20"/>
    </w:rPr>
  </w:style>
  <w:style w:type="paragraph" w:styleId="683">
    <w:name w:val="Body Text 3"/>
    <w:basedOn w:val="666"/>
    <w:link w:val="730"/>
    <w:uiPriority w:val="0"/>
    <w:qFormat/>
    <w:rPr>
      <w:rFonts w:ascii="仿宋_GB2312" w:hAnsi="Arial" w:eastAsia="仿宋_GB2312"/>
      <w:sz w:val="32"/>
      <w:szCs w:val="32"/>
    </w:rPr>
  </w:style>
  <w:style w:type="paragraph" w:styleId="684">
    <w:name w:val="Body Text"/>
    <w:basedOn w:val="666"/>
    <w:link w:val="731"/>
    <w:uiPriority w:val="0"/>
    <w:qFormat/>
    <w:rPr>
      <w:rFonts w:ascii="楷体_GB2312" w:hAnsi="Arial" w:eastAsia="楷体_GB2312"/>
      <w:sz w:val="28"/>
      <w:szCs w:val="28"/>
    </w:rPr>
  </w:style>
  <w:style w:type="paragraph" w:styleId="685">
    <w:name w:val="Body Text Indent"/>
    <w:basedOn w:val="666"/>
    <w:next w:val="686"/>
    <w:link w:val="732"/>
    <w:uiPriority w:val="0"/>
    <w:qFormat/>
    <w:pPr>
      <w:ind w:firstLine="645"/>
    </w:pPr>
    <w:rPr>
      <w:rFonts w:ascii="楷体_GB2312" w:eastAsia="楷体_GB2312"/>
      <w:sz w:val="32"/>
      <w:szCs w:val="32"/>
    </w:rPr>
  </w:style>
  <w:style w:type="paragraph" w:styleId="686">
    <w:name w:val="envelope return"/>
    <w:basedOn w:val="666"/>
    <w:uiPriority w:val="99"/>
    <w:unhideWhenUsed/>
    <w:qFormat/>
    <w:rPr>
      <w:rFonts w:hint="eastAsia" w:ascii="Arial" w:hAnsi="Arial"/>
      <w:sz w:val="24"/>
    </w:rPr>
  </w:style>
  <w:style w:type="paragraph" w:styleId="687">
    <w:name w:val="List 2"/>
    <w:basedOn w:val="666"/>
    <w:uiPriority w:val="0"/>
    <w:qFormat/>
    <w:pPr>
      <w:ind w:left="100" w:hanging="200"/>
    </w:pPr>
  </w:style>
  <w:style w:type="paragraph" w:styleId="688">
    <w:name w:val="toc 5"/>
    <w:basedOn w:val="666"/>
    <w:next w:val="666"/>
    <w:uiPriority w:val="0"/>
    <w:semiHidden/>
    <w:qFormat/>
    <w:pPr>
      <w:ind w:left="840"/>
      <w:jc w:val="left"/>
    </w:pPr>
  </w:style>
  <w:style w:type="paragraph" w:styleId="689">
    <w:name w:val="toc 3"/>
    <w:basedOn w:val="666"/>
    <w:next w:val="666"/>
    <w:uiPriority w:val="0"/>
    <w:semiHidden/>
    <w:qFormat/>
    <w:pPr>
      <w:ind w:left="420"/>
      <w:jc w:val="left"/>
    </w:pPr>
    <w:rPr>
      <w:i/>
      <w:iCs/>
      <w:szCs w:val="24"/>
    </w:rPr>
  </w:style>
  <w:style w:type="paragraph" w:styleId="690">
    <w:name w:val="Plain Text"/>
    <w:basedOn w:val="666"/>
    <w:link w:val="733"/>
    <w:uiPriority w:val="0"/>
    <w:qFormat/>
    <w:rPr>
      <w:rFonts w:ascii="宋体" w:hAnsi="Courier New"/>
      <w:sz w:val="20"/>
    </w:rPr>
  </w:style>
  <w:style w:type="paragraph" w:styleId="691">
    <w:name w:val="toc 8"/>
    <w:basedOn w:val="666"/>
    <w:next w:val="666"/>
    <w:uiPriority w:val="0"/>
    <w:semiHidden/>
    <w:qFormat/>
    <w:pPr>
      <w:ind w:left="1470"/>
      <w:jc w:val="left"/>
    </w:pPr>
  </w:style>
  <w:style w:type="paragraph" w:styleId="692">
    <w:name w:val="Date"/>
    <w:basedOn w:val="666"/>
    <w:next w:val="666"/>
    <w:link w:val="734"/>
    <w:uiPriority w:val="0"/>
    <w:qFormat/>
    <w:rPr>
      <w:sz w:val="24"/>
      <w:szCs w:val="24"/>
    </w:rPr>
  </w:style>
  <w:style w:type="paragraph" w:styleId="693">
    <w:name w:val="Body Text Indent 2"/>
    <w:basedOn w:val="666"/>
    <w:link w:val="735"/>
    <w:uiPriority w:val="0"/>
    <w:qFormat/>
    <w:pPr>
      <w:ind w:left="630" w:firstLine="645"/>
    </w:pPr>
    <w:rPr>
      <w:rFonts w:ascii="Arial" w:hAnsi="Arial" w:eastAsia="仿宋_GB2312"/>
      <w:sz w:val="32"/>
      <w:szCs w:val="32"/>
    </w:rPr>
  </w:style>
  <w:style w:type="paragraph" w:styleId="694">
    <w:name w:val="Balloon Text"/>
    <w:basedOn w:val="666"/>
    <w:link w:val="736"/>
    <w:uiPriority w:val="0"/>
    <w:semiHidden/>
    <w:qFormat/>
    <w:rPr>
      <w:sz w:val="18"/>
      <w:szCs w:val="18"/>
    </w:rPr>
  </w:style>
  <w:style w:type="paragraph" w:styleId="695">
    <w:name w:val="Footer"/>
    <w:basedOn w:val="666"/>
    <w:link w:val="737"/>
    <w:uiPriority w:val="0"/>
    <w:qFormat/>
    <w:pPr>
      <w:jc w:val="left"/>
      <w:tabs>
        <w:tab w:val="center" w:pos="4153" w:leader="none"/>
        <w:tab w:val="right" w:pos="8306" w:leader="none"/>
      </w:tabs>
    </w:pPr>
    <w:rPr>
      <w:sz w:val="18"/>
      <w:szCs w:val="18"/>
    </w:rPr>
  </w:style>
  <w:style w:type="paragraph" w:styleId="696">
    <w:name w:val="Header"/>
    <w:basedOn w:val="666"/>
    <w:link w:val="738"/>
    <w:uiPriority w:val="99"/>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698">
    <w:name w:val="toc 4"/>
    <w:basedOn w:val="666"/>
    <w:next w:val="666"/>
    <w:uiPriority w:val="0"/>
    <w:semiHidden/>
    <w:qFormat/>
    <w:pPr>
      <w:ind w:left="630"/>
      <w:jc w:val="left"/>
    </w:pPr>
  </w:style>
  <w:style w:type="paragraph" w:styleId="699">
    <w:name w:val="List"/>
    <w:basedOn w:val="666"/>
    <w:uiPriority w:val="0"/>
    <w:qFormat/>
    <w:pPr>
      <w:ind w:left="200" w:hanging="200"/>
    </w:pPr>
  </w:style>
  <w:style w:type="paragraph" w:styleId="700">
    <w:name w:val="toc 6"/>
    <w:basedOn w:val="666"/>
    <w:next w:val="666"/>
    <w:uiPriority w:val="0"/>
    <w:semiHidden/>
    <w:qFormat/>
    <w:pPr>
      <w:ind w:left="1050"/>
      <w:jc w:val="left"/>
    </w:pPr>
  </w:style>
  <w:style w:type="paragraph" w:styleId="701">
    <w:name w:val="Body Text Indent 3"/>
    <w:basedOn w:val="666"/>
    <w:link w:val="739"/>
    <w:uiPriority w:val="0"/>
    <w:qFormat/>
    <w:pPr>
      <w:ind w:left="645" w:firstLine="645"/>
    </w:pPr>
    <w:rPr>
      <w:rFonts w:ascii="Arial" w:hAnsi="Arial" w:eastAsia="仿宋_GB2312"/>
      <w:color w:val="ffff00"/>
      <w:sz w:val="32"/>
      <w:szCs w:val="32"/>
    </w:rPr>
  </w:style>
  <w:style w:type="paragraph" w:styleId="702">
    <w:name w:val="table of figures"/>
    <w:basedOn w:val="666"/>
    <w:next w:val="666"/>
    <w:uiPriority w:val="0"/>
    <w:semiHidden/>
    <w:qFormat/>
    <w:pPr>
      <w:ind w:left="840" w:hanging="420"/>
    </w:pPr>
  </w:style>
  <w:style w:type="paragraph" w:styleId="703">
    <w:name w:val="toc 2"/>
    <w:basedOn w:val="666"/>
    <w:next w:val="666"/>
    <w:uiPriority w:val="0"/>
    <w:semiHidden/>
    <w:qFormat/>
    <w:pPr>
      <w:ind w:left="210"/>
      <w:jc w:val="left"/>
    </w:pPr>
    <w:rPr>
      <w:smallCaps/>
      <w:szCs w:val="24"/>
    </w:rPr>
  </w:style>
  <w:style w:type="paragraph" w:styleId="704">
    <w:name w:val="toc 9"/>
    <w:basedOn w:val="666"/>
    <w:next w:val="666"/>
    <w:uiPriority w:val="0"/>
    <w:semiHidden/>
    <w:qFormat/>
    <w:pPr>
      <w:ind w:left="1680"/>
      <w:jc w:val="left"/>
    </w:pPr>
  </w:style>
  <w:style w:type="paragraph" w:styleId="705">
    <w:name w:val="Body Text 2"/>
    <w:basedOn w:val="666"/>
    <w:link w:val="740"/>
    <w:uiPriority w:val="0"/>
    <w:qFormat/>
    <w:pPr>
      <w:jc w:val="center"/>
      <w:widowControl/>
    </w:pPr>
    <w:rPr>
      <w:rFonts w:ascii="楷体_GB2312" w:eastAsia="楷体_GB2312"/>
      <w:sz w:val="28"/>
      <w:szCs w:val="28"/>
    </w:rPr>
  </w:style>
  <w:style w:type="paragraph" w:styleId="706">
    <w:name w:val="Normal (Web)"/>
    <w:basedOn w:val="666"/>
    <w:uiPriority w:val="99"/>
    <w:qFormat/>
    <w:pPr>
      <w:jc w:val="left"/>
      <w:spacing w:before="100" w:beforeAutospacing="1" w:after="100" w:afterAutospacing="1"/>
      <w:widowControl/>
    </w:pPr>
    <w:rPr>
      <w:rFonts w:ascii="宋体" w:hAnsi="宋体" w:cs="宋体"/>
      <w:sz w:val="24"/>
      <w:szCs w:val="24"/>
    </w:rPr>
  </w:style>
  <w:style w:type="paragraph" w:styleId="707">
    <w:name w:val="index 1"/>
    <w:basedOn w:val="666"/>
    <w:next w:val="666"/>
    <w:uiPriority w:val="0"/>
    <w:semiHidden/>
    <w:qFormat/>
    <w:pPr>
      <w:spacing w:line="240" w:lineRule="atLeast"/>
    </w:pPr>
    <w:rPr>
      <w:b/>
      <w:bCs/>
    </w:rPr>
  </w:style>
  <w:style w:type="paragraph" w:styleId="708">
    <w:name w:val="annotation subject"/>
    <w:basedOn w:val="682"/>
    <w:next w:val="682"/>
    <w:link w:val="741"/>
    <w:uiPriority w:val="0"/>
    <w:semiHidden/>
    <w:qFormat/>
    <w:rPr>
      <w:b/>
      <w:bCs/>
    </w:rPr>
  </w:style>
  <w:style w:type="paragraph" w:styleId="709">
    <w:name w:val="Body Text First Indent"/>
    <w:basedOn w:val="666"/>
    <w:link w:val="742"/>
    <w:uiPriority w:val="0"/>
    <w:qFormat/>
    <w:pPr>
      <w:ind w:firstLine="200"/>
      <w:spacing w:line="360" w:lineRule="auto"/>
    </w:pPr>
    <w:rPr>
      <w:rFonts w:ascii="仿宋_GB2312" w:eastAsia="仿宋_GB2312"/>
      <w:sz w:val="30"/>
      <w:szCs w:val="30"/>
    </w:rPr>
  </w:style>
  <w:style w:type="paragraph" w:styleId="710">
    <w:name w:val="Body Text First Indent 2"/>
    <w:basedOn w:val="685"/>
    <w:link w:val="743"/>
    <w:uiPriority w:val="0"/>
    <w:qFormat/>
    <w:pPr>
      <w:ind w:firstLine="420"/>
      <w:spacing w:line="360" w:lineRule="auto"/>
    </w:pPr>
    <w:rPr>
      <w:rFonts w:ascii="宋体" w:hAnsi="宋体" w:eastAsia="宋体"/>
      <w:szCs w:val="20"/>
    </w:rPr>
  </w:style>
  <w:style w:type="table" w:styleId="711">
    <w:name w:val="Table Grid"/>
    <w:basedOn w:val="67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Strong"/>
    <w:uiPriority w:val="0"/>
    <w:qFormat/>
    <w:rPr>
      <w:b/>
      <w:bCs/>
    </w:rPr>
  </w:style>
  <w:style w:type="character" w:styleId="713">
    <w:name w:val="page number"/>
    <w:uiPriority w:val="0"/>
    <w:qFormat/>
  </w:style>
  <w:style w:type="character" w:styleId="714">
    <w:name w:val="FollowedHyperlink"/>
    <w:uiPriority w:val="0"/>
    <w:qFormat/>
    <w:rPr>
      <w:color w:val="800080"/>
      <w:u w:val="single"/>
    </w:rPr>
  </w:style>
  <w:style w:type="character" w:styleId="715">
    <w:name w:val="HTML Typewriter"/>
    <w:uiPriority w:val="99"/>
    <w:qFormat/>
    <w:rPr>
      <w:rFonts w:ascii="宋体" w:hAnsi="宋体" w:eastAsia="宋体" w:cs="宋体"/>
      <w:sz w:val="24"/>
      <w:szCs w:val="24"/>
    </w:rPr>
  </w:style>
  <w:style w:type="character" w:styleId="716">
    <w:name w:val="Hyperlink"/>
    <w:uiPriority w:val="0"/>
    <w:qFormat/>
    <w:rPr>
      <w:color w:val="0000ff"/>
      <w:u w:val="single"/>
    </w:rPr>
  </w:style>
  <w:style w:type="character" w:styleId="717">
    <w:name w:val="annotation reference"/>
    <w:basedOn w:val="676"/>
    <w:uiPriority w:val="0"/>
    <w:semiHidden/>
    <w:qFormat/>
    <w:rPr>
      <w:sz w:val="21"/>
      <w:szCs w:val="21"/>
    </w:rPr>
  </w:style>
  <w:style w:type="character" w:styleId="718" w:customStyle="1">
    <w:name w:val="标题 1 Char"/>
    <w:link w:val="667"/>
    <w:uiPriority w:val="0"/>
    <w:qFormat/>
    <w:rPr>
      <w:rFonts w:ascii="楷体_GB2312" w:hAnsi="Times New Roman" w:eastAsia="楷体_GB2312" w:cs="Times New Roman"/>
      <w:sz w:val="28"/>
      <w:szCs w:val="28"/>
    </w:rPr>
  </w:style>
  <w:style w:type="character" w:styleId="719" w:customStyle="1">
    <w:name w:val="标题 2 Char"/>
    <w:link w:val="668"/>
    <w:uiPriority w:val="0"/>
    <w:qFormat/>
    <w:rPr>
      <w:rFonts w:ascii="Arial" w:hAnsi="Arial" w:eastAsia="幼圆" w:cs="Arial"/>
      <w:b/>
      <w:bCs/>
      <w:sz w:val="44"/>
      <w:szCs w:val="44"/>
    </w:rPr>
  </w:style>
  <w:style w:type="character" w:styleId="720" w:customStyle="1">
    <w:name w:val="标题 3 Char"/>
    <w:link w:val="669"/>
    <w:uiPriority w:val="0"/>
    <w:qFormat/>
    <w:rPr>
      <w:rFonts w:ascii="Times New Roman" w:hAnsi="Times New Roman" w:eastAsia="宋体" w:cs="Times New Roman"/>
      <w:b/>
      <w:bCs/>
      <w:sz w:val="32"/>
      <w:szCs w:val="32"/>
    </w:rPr>
  </w:style>
  <w:style w:type="character" w:styleId="721" w:customStyle="1">
    <w:name w:val="正文缩进 Char"/>
    <w:link w:val="678"/>
    <w:uiPriority w:val="0"/>
    <w:qFormat/>
    <w:rPr>
      <w:rFonts w:ascii="Times New Roman" w:hAnsi="Times New Roman" w:eastAsia="宋体" w:cs="Times New Roman"/>
      <w:szCs w:val="21"/>
    </w:rPr>
  </w:style>
  <w:style w:type="character" w:styleId="722" w:customStyle="1">
    <w:name w:val="标题 4 Char"/>
    <w:link w:val="670"/>
    <w:uiPriority w:val="0"/>
    <w:qFormat/>
    <w:rPr>
      <w:rFonts w:ascii="Arial" w:hAnsi="Arial" w:eastAsia="黑体" w:cs="Arial"/>
      <w:b/>
      <w:bCs/>
      <w:sz w:val="28"/>
      <w:szCs w:val="28"/>
    </w:rPr>
  </w:style>
  <w:style w:type="character" w:styleId="723" w:customStyle="1">
    <w:name w:val="标题 5 Char"/>
    <w:link w:val="671"/>
    <w:uiPriority w:val="0"/>
    <w:qFormat/>
    <w:rPr>
      <w:rFonts w:ascii="宋体" w:hAnsi="Times New Roman" w:eastAsia="宋体" w:cs="Times New Roman"/>
      <w:color w:val="000000"/>
      <w:sz w:val="28"/>
      <w:szCs w:val="28"/>
    </w:rPr>
  </w:style>
  <w:style w:type="character" w:styleId="724" w:customStyle="1">
    <w:name w:val="标题 6 Char"/>
    <w:link w:val="672"/>
    <w:uiPriority w:val="0"/>
    <w:qFormat/>
    <w:rPr>
      <w:rFonts w:ascii="Arial" w:hAnsi="Arial" w:eastAsia="黑体" w:cs="Times New Roman"/>
      <w:b/>
      <w:bCs/>
      <w:sz w:val="24"/>
      <w:szCs w:val="24"/>
    </w:rPr>
  </w:style>
  <w:style w:type="character" w:styleId="725" w:customStyle="1">
    <w:name w:val="标题 7 Char"/>
    <w:link w:val="673"/>
    <w:uiPriority w:val="0"/>
    <w:qFormat/>
    <w:rPr>
      <w:rFonts w:ascii="Times New Roman" w:hAnsi="Times New Roman" w:eastAsia="宋体" w:cs="Times New Roman"/>
      <w:b/>
      <w:bCs/>
      <w:sz w:val="24"/>
      <w:szCs w:val="24"/>
    </w:rPr>
  </w:style>
  <w:style w:type="character" w:styleId="726" w:customStyle="1">
    <w:name w:val="标题 8 Char"/>
    <w:link w:val="674"/>
    <w:uiPriority w:val="0"/>
    <w:qFormat/>
    <w:rPr>
      <w:rFonts w:ascii="Arial" w:hAnsi="Arial" w:eastAsia="黑体" w:cs="Times New Roman"/>
      <w:sz w:val="24"/>
      <w:szCs w:val="24"/>
    </w:rPr>
  </w:style>
  <w:style w:type="character" w:styleId="727" w:customStyle="1">
    <w:name w:val="标题 9 Char"/>
    <w:link w:val="675"/>
    <w:uiPriority w:val="0"/>
    <w:qFormat/>
    <w:rPr>
      <w:rFonts w:ascii="Arial" w:hAnsi="Arial" w:eastAsia="黑体" w:cs="Times New Roman"/>
      <w:szCs w:val="21"/>
    </w:rPr>
  </w:style>
  <w:style w:type="character" w:styleId="728" w:customStyle="1">
    <w:name w:val="文档结构图 Char"/>
    <w:link w:val="681"/>
    <w:uiPriority w:val="0"/>
    <w:semiHidden/>
    <w:qFormat/>
    <w:rPr>
      <w:rFonts w:ascii="Times New Roman" w:hAnsi="Times New Roman" w:eastAsia="宋体" w:cs="Times New Roman"/>
      <w:szCs w:val="21"/>
      <w:shd w:val="clear" w:color="auto" w:fill="000080"/>
    </w:rPr>
  </w:style>
  <w:style w:type="character" w:styleId="729" w:customStyle="1">
    <w:name w:val="批注文字 Char"/>
    <w:link w:val="682"/>
    <w:uiPriority w:val="0"/>
    <w:semiHidden/>
    <w:qFormat/>
    <w:rPr>
      <w:rFonts w:ascii="Times New Roman" w:hAnsi="Times New Roman" w:eastAsia="宋体" w:cs="Times New Roman"/>
      <w:szCs w:val="21"/>
    </w:rPr>
  </w:style>
  <w:style w:type="character" w:styleId="730" w:customStyle="1">
    <w:name w:val="正文文本 3 Char"/>
    <w:link w:val="683"/>
    <w:uiPriority w:val="0"/>
    <w:qFormat/>
    <w:rPr>
      <w:rFonts w:ascii="仿宋_GB2312" w:hAnsi="Arial" w:eastAsia="仿宋_GB2312" w:cs="Times New Roman"/>
      <w:sz w:val="32"/>
      <w:szCs w:val="32"/>
    </w:rPr>
  </w:style>
  <w:style w:type="character" w:styleId="731" w:customStyle="1">
    <w:name w:val="正文文本 Char"/>
    <w:link w:val="684"/>
    <w:uiPriority w:val="0"/>
    <w:qFormat/>
    <w:rPr>
      <w:rFonts w:ascii="楷体_GB2312" w:hAnsi="Arial" w:eastAsia="楷体_GB2312" w:cs="Times New Roman"/>
      <w:sz w:val="28"/>
      <w:szCs w:val="28"/>
    </w:rPr>
  </w:style>
  <w:style w:type="character" w:styleId="732" w:customStyle="1">
    <w:name w:val="正文文本缩进 Char"/>
    <w:link w:val="685"/>
    <w:uiPriority w:val="0"/>
    <w:qFormat/>
    <w:rPr>
      <w:rFonts w:ascii="楷体_GB2312" w:hAnsi="Times New Roman" w:eastAsia="楷体_GB2312" w:cs="Times New Roman"/>
      <w:sz w:val="32"/>
      <w:szCs w:val="32"/>
    </w:rPr>
  </w:style>
  <w:style w:type="character" w:styleId="733" w:customStyle="1">
    <w:name w:val="纯文本 Char"/>
    <w:link w:val="690"/>
    <w:uiPriority w:val="0"/>
    <w:qFormat/>
    <w:rPr>
      <w:rFonts w:ascii="宋体" w:hAnsi="Courier New" w:eastAsia="宋体" w:cs="Courier New"/>
      <w:szCs w:val="21"/>
    </w:rPr>
  </w:style>
  <w:style w:type="character" w:styleId="734" w:customStyle="1">
    <w:name w:val="日期 Char"/>
    <w:link w:val="692"/>
    <w:uiPriority w:val="0"/>
    <w:qFormat/>
    <w:rPr>
      <w:rFonts w:ascii="Times New Roman" w:hAnsi="Times New Roman" w:eastAsia="宋体" w:cs="Times New Roman"/>
      <w:sz w:val="24"/>
      <w:szCs w:val="24"/>
    </w:rPr>
  </w:style>
  <w:style w:type="character" w:styleId="735" w:customStyle="1">
    <w:name w:val="正文文本缩进 2 Char"/>
    <w:link w:val="693"/>
    <w:uiPriority w:val="0"/>
    <w:qFormat/>
    <w:rPr>
      <w:rFonts w:ascii="Arial" w:hAnsi="Arial" w:eastAsia="仿宋_GB2312" w:cs="Arial"/>
      <w:sz w:val="32"/>
      <w:szCs w:val="32"/>
    </w:rPr>
  </w:style>
  <w:style w:type="character" w:styleId="736" w:customStyle="1">
    <w:name w:val="批注框文本 Char"/>
    <w:link w:val="694"/>
    <w:uiPriority w:val="0"/>
    <w:semiHidden/>
    <w:qFormat/>
    <w:rPr>
      <w:rFonts w:ascii="Times New Roman" w:hAnsi="Times New Roman" w:eastAsia="宋体" w:cs="Times New Roman"/>
      <w:sz w:val="18"/>
      <w:szCs w:val="18"/>
    </w:rPr>
  </w:style>
  <w:style w:type="character" w:styleId="737" w:customStyle="1">
    <w:name w:val="页脚 Char"/>
    <w:link w:val="695"/>
    <w:uiPriority w:val="0"/>
    <w:qFormat/>
    <w:rPr>
      <w:rFonts w:ascii="Times New Roman" w:hAnsi="Times New Roman" w:eastAsia="宋体" w:cs="Times New Roman"/>
      <w:sz w:val="18"/>
      <w:szCs w:val="18"/>
    </w:rPr>
  </w:style>
  <w:style w:type="character" w:styleId="738" w:customStyle="1">
    <w:name w:val="页眉 Char"/>
    <w:link w:val="696"/>
    <w:uiPriority w:val="99"/>
    <w:qFormat/>
    <w:rPr>
      <w:rFonts w:ascii="Times New Roman" w:hAnsi="Times New Roman" w:eastAsia="宋体" w:cs="Times New Roman"/>
      <w:sz w:val="18"/>
      <w:szCs w:val="18"/>
    </w:rPr>
  </w:style>
  <w:style w:type="character" w:styleId="739" w:customStyle="1">
    <w:name w:val="正文文本缩进 3 Char"/>
    <w:link w:val="701"/>
    <w:uiPriority w:val="0"/>
    <w:qFormat/>
    <w:rPr>
      <w:rFonts w:ascii="Arial" w:hAnsi="Arial" w:eastAsia="仿宋_GB2312" w:cs="Arial"/>
      <w:color w:val="ffff00"/>
      <w:sz w:val="32"/>
      <w:szCs w:val="32"/>
    </w:rPr>
  </w:style>
  <w:style w:type="character" w:styleId="740" w:customStyle="1">
    <w:name w:val="正文文本 2 Char"/>
    <w:link w:val="705"/>
    <w:uiPriority w:val="0"/>
    <w:qFormat/>
    <w:rPr>
      <w:rFonts w:ascii="楷体_GB2312" w:hAnsi="Times New Roman" w:eastAsia="楷体_GB2312" w:cs="Times New Roman"/>
      <w:sz w:val="28"/>
      <w:szCs w:val="28"/>
    </w:rPr>
  </w:style>
  <w:style w:type="character" w:styleId="741" w:customStyle="1">
    <w:name w:val="批注主题 Char"/>
    <w:link w:val="708"/>
    <w:uiPriority w:val="0"/>
    <w:semiHidden/>
    <w:qFormat/>
    <w:rPr>
      <w:rFonts w:ascii="Times New Roman" w:hAnsi="Times New Roman" w:eastAsia="宋体" w:cs="Times New Roman"/>
      <w:b/>
      <w:bCs/>
      <w:szCs w:val="21"/>
    </w:rPr>
  </w:style>
  <w:style w:type="character" w:styleId="742" w:customStyle="1">
    <w:name w:val="正文首行缩进 Char"/>
    <w:link w:val="709"/>
    <w:uiPriority w:val="0"/>
    <w:qFormat/>
    <w:rPr>
      <w:rFonts w:ascii="仿宋_GB2312" w:hAnsi="Times New Roman" w:eastAsia="仿宋_GB2312" w:cs="Times New Roman"/>
      <w:sz w:val="30"/>
      <w:szCs w:val="30"/>
    </w:rPr>
  </w:style>
  <w:style w:type="character" w:styleId="743" w:customStyle="1">
    <w:name w:val="正文首行缩进 2 Char"/>
    <w:link w:val="710"/>
    <w:uiPriority w:val="0"/>
    <w:qFormat/>
    <w:rPr>
      <w:rFonts w:ascii="宋体" w:hAnsi="宋体" w:eastAsia="宋体" w:cs="Times New Roman"/>
      <w:sz w:val="32"/>
      <w:szCs w:val="20"/>
    </w:rPr>
  </w:style>
  <w:style w:type="paragraph" w:styleId="744" w:customStyle="1">
    <w:name w:val="正文文本1"/>
    <w:basedOn w:val="666"/>
    <w:uiPriority w:val="0"/>
    <w:qFormat/>
    <w:rPr>
      <w:rFonts w:ascii="楷体_GB2312" w:hAnsi="Arial" w:eastAsia="楷体_GB2312"/>
      <w:sz w:val="28"/>
      <w:szCs w:val="28"/>
    </w:rPr>
  </w:style>
  <w:style w:type="character" w:styleId="745" w:customStyle="1">
    <w:name w:val="font5 Char"/>
    <w:uiPriority w:val="0"/>
    <w:qFormat/>
    <w:rPr>
      <w:rFonts w:ascii="宋体" w:hAnsi="宋体" w:eastAsia="宋体"/>
      <w:sz w:val="28"/>
      <w:szCs w:val="28"/>
      <w:lang w:val="en-US" w:eastAsia="zh-CN" w:bidi="ar-SA"/>
    </w:rPr>
  </w:style>
  <w:style w:type="character" w:styleId="746" w:customStyle="1">
    <w:name w:val="二级目录 Char"/>
    <w:link w:val="747"/>
    <w:uiPriority w:val="0"/>
    <w:qFormat/>
    <w:rPr>
      <w:b/>
      <w:sz w:val="30"/>
      <w:szCs w:val="28"/>
      <w:lang w:val="en-US" w:eastAsia="zh-CN" w:bidi="ar-SA"/>
    </w:rPr>
  </w:style>
  <w:style w:type="paragraph" w:styleId="747" w:customStyle="1">
    <w:name w:val="二级目录"/>
    <w:next w:val="666"/>
    <w:link w:val="74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48" w:customStyle="1">
    <w:name w:val="列出段落 Char"/>
    <w:link w:val="749"/>
    <w:uiPriority w:val="0"/>
    <w:qFormat/>
    <w:rPr>
      <w:rFonts w:ascii="Calibri" w:hAnsi="Calibri"/>
      <w:sz w:val="24"/>
      <w:szCs w:val="24"/>
      <w:lang w:eastAsia="en-US" w:bidi="en-US"/>
    </w:rPr>
  </w:style>
  <w:style w:type="paragraph" w:styleId="749" w:customStyle="1">
    <w:name w:val="列出段落1"/>
    <w:basedOn w:val="666"/>
    <w:link w:val="748"/>
    <w:uiPriority w:val="0"/>
    <w:qFormat/>
    <w:pPr>
      <w:contextualSpacing/>
      <w:ind w:left="720"/>
      <w:jc w:val="left"/>
      <w:widowControl/>
    </w:pPr>
    <w:rPr>
      <w:rFonts w:ascii="Calibri" w:hAnsi="Calibri"/>
      <w:sz w:val="24"/>
      <w:szCs w:val="24"/>
      <w:lang w:eastAsia="en-US" w:bidi="en-US"/>
    </w:rPr>
  </w:style>
  <w:style w:type="paragraph" w:styleId="750" w:customStyle="1">
    <w:name w:val="Body Text(ch)"/>
    <w:basedOn w:val="666"/>
    <w:next w:val="684"/>
    <w:uiPriority w:val="0"/>
    <w:qFormat/>
    <w:pPr>
      <w:spacing w:after="120"/>
    </w:pPr>
    <w:rPr>
      <w:rFonts w:ascii="宋体" w:hAnsi="Arial"/>
      <w:bCs/>
      <w:iCs/>
      <w:szCs w:val="24"/>
    </w:rPr>
  </w:style>
  <w:style w:type="paragraph" w:styleId="751" w:customStyle="1">
    <w:name w:val="xl27"/>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2" w:customStyle="1">
    <w:name w:val="xl26"/>
    <w:basedOn w:val="6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53" w:customStyle="1">
    <w:name w:val="Char"/>
    <w:basedOn w:val="666"/>
    <w:uiPriority w:val="0"/>
    <w:qFormat/>
    <w:pPr>
      <w:ind w:firstLine="200"/>
      <w:tabs>
        <w:tab w:val="left" w:pos="360" w:leader="none"/>
      </w:tabs>
    </w:pPr>
    <w:rPr>
      <w:sz w:val="28"/>
      <w:szCs w:val="30"/>
    </w:rPr>
  </w:style>
  <w:style w:type="paragraph" w:styleId="754" w:customStyle="1">
    <w:name w:val=" Char"/>
    <w:basedOn w:val="681"/>
    <w:uiPriority w:val="0"/>
    <w:qFormat/>
    <w:rPr>
      <w:rFonts w:ascii="Tahoma" w:hAnsi="Tahoma"/>
      <w:sz w:val="24"/>
      <w:szCs w:val="24"/>
    </w:rPr>
  </w:style>
  <w:style w:type="paragraph" w:styleId="755"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756" w:customStyle="1">
    <w:name w:val="table_lines"/>
    <w:basedOn w:val="666"/>
    <w:uiPriority w:val="0"/>
    <w:qFormat/>
    <w:pPr>
      <w:jc w:val="left"/>
      <w:widowControl/>
    </w:pPr>
    <w:rPr>
      <w:sz w:val="20"/>
      <w:szCs w:val="20"/>
      <w:lang w:val="de-DE" w:eastAsia="de-DE"/>
    </w:rPr>
  </w:style>
  <w:style w:type="paragraph" w:styleId="75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58" w:customStyle="1">
    <w:name w:val="font7"/>
    <w:basedOn w:val="666"/>
    <w:uiPriority w:val="0"/>
    <w:qFormat/>
    <w:pPr>
      <w:jc w:val="left"/>
      <w:spacing w:before="100" w:beforeAutospacing="1" w:after="100" w:afterAutospacing="1"/>
      <w:widowControl/>
    </w:pPr>
    <w:rPr>
      <w:rFonts w:hint="eastAsia" w:ascii="宋体" w:hAnsi="宋体"/>
      <w:sz w:val="18"/>
      <w:szCs w:val="18"/>
    </w:rPr>
  </w:style>
  <w:style w:type="paragraph" w:styleId="759" w:customStyle="1">
    <w:name w:val=" Char Char Char Char"/>
    <w:basedOn w:val="681"/>
    <w:uiPriority w:val="0"/>
    <w:qFormat/>
    <w:pPr>
      <w:spacing w:line="360" w:lineRule="auto"/>
    </w:pPr>
    <w:rPr>
      <w:rFonts w:ascii="Tahoma" w:hAnsi="Tahoma"/>
      <w:sz w:val="24"/>
      <w:szCs w:val="24"/>
    </w:rPr>
  </w:style>
  <w:style w:type="paragraph" w:styleId="760">
    <w:name w:val="List Paragraph"/>
    <w:basedOn w:val="666"/>
    <w:uiPriority w:val="99"/>
    <w:qFormat/>
    <w:pPr>
      <w:contextualSpacing/>
      <w:ind w:left="720"/>
      <w:jc w:val="left"/>
      <w:widowControl/>
    </w:pPr>
    <w:rPr>
      <w:rFonts w:ascii="Calibri" w:hAnsi="Calibri"/>
      <w:sz w:val="24"/>
      <w:szCs w:val="24"/>
      <w:lang w:eastAsia="en-US" w:bidi="en-US"/>
    </w:rPr>
  </w:style>
  <w:style w:type="paragraph" w:styleId="761" w:customStyle="1">
    <w:name w:val="4"/>
    <w:basedOn w:val="666"/>
    <w:next w:val="701"/>
    <w:uiPriority w:val="0"/>
    <w:qFormat/>
    <w:pPr>
      <w:ind w:firstLine="420"/>
      <w:spacing w:line="360" w:lineRule="auto"/>
    </w:pPr>
    <w:rPr>
      <w:color w:val="ff0000"/>
      <w:sz w:val="24"/>
      <w:szCs w:val="24"/>
    </w:rPr>
  </w:style>
  <w:style w:type="paragraph" w:styleId="762" w:customStyle="1">
    <w:name w:val="普通 (Web)"/>
    <w:basedOn w:val="666"/>
    <w:uiPriority w:val="0"/>
    <w:qFormat/>
    <w:pPr>
      <w:jc w:val="left"/>
      <w:spacing w:before="100" w:beforeAutospacing="1" w:after="100" w:afterAutospacing="1"/>
      <w:widowControl/>
    </w:pPr>
    <w:rPr>
      <w:rFonts w:ascii="宋体" w:hAnsi="宋体"/>
      <w:sz w:val="24"/>
      <w:szCs w:val="24"/>
    </w:rPr>
  </w:style>
  <w:style w:type="paragraph" w:styleId="763" w:customStyle="1">
    <w:name w:val=" Char Char Char Char Char Char Char Char Char Char"/>
    <w:basedOn w:val="666"/>
    <w:uiPriority w:val="0"/>
    <w:qFormat/>
    <w:pPr>
      <w:spacing w:line="360" w:lineRule="auto"/>
    </w:pPr>
    <w:rPr>
      <w:sz w:val="24"/>
      <w:szCs w:val="20"/>
    </w:rPr>
  </w:style>
  <w:style w:type="paragraph" w:styleId="764" w:customStyle="1">
    <w:name w:val="样式1"/>
    <w:basedOn w:val="666"/>
    <w:uiPriority w:val="0"/>
    <w:qFormat/>
    <w:pPr>
      <w:numPr>
        <w:ilvl w:val="0"/>
        <w:numId w:val="3"/>
      </w:numPr>
    </w:pPr>
    <w:rPr>
      <w:rFonts w:ascii="宋体" w:hAnsi="宋体"/>
    </w:rPr>
  </w:style>
  <w:style w:type="paragraph" w:styleId="765" w:customStyle="1">
    <w:name w:val="font6"/>
    <w:basedOn w:val="666"/>
    <w:uiPriority w:val="0"/>
    <w:qFormat/>
    <w:pPr>
      <w:jc w:val="left"/>
      <w:spacing w:before="100" w:beforeAutospacing="1" w:after="100" w:afterAutospacing="1"/>
      <w:widowControl/>
    </w:pPr>
    <w:rPr>
      <w:rFonts w:hint="eastAsia" w:ascii="宋体" w:hAnsi="宋体"/>
      <w:sz w:val="28"/>
      <w:szCs w:val="28"/>
      <w:u w:val="single"/>
    </w:rPr>
  </w:style>
  <w:style w:type="paragraph" w:styleId="766" w:customStyle="1">
    <w:name w:val="xl25"/>
    <w:basedOn w:val="6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7"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8" w:customStyle="1">
    <w:name w:val="标题3"/>
    <w:basedOn w:val="666"/>
    <w:next w:val="666"/>
    <w:uiPriority w:val="0"/>
    <w:qFormat/>
    <w:pPr>
      <w:ind w:firstLine="624"/>
      <w:spacing w:line="590" w:lineRule="atLeast"/>
    </w:pPr>
    <w:rPr>
      <w:rFonts w:ascii="方正黑体_GBK" w:eastAsia="方正黑体_GBK"/>
      <w:sz w:val="32"/>
      <w:szCs w:val="32"/>
    </w:rPr>
  </w:style>
  <w:style w:type="paragraph" w:styleId="769" w:customStyle="1">
    <w:name w:val="xl24"/>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0" w:customStyle="1">
    <w:name w:val="xl29"/>
    <w:basedOn w:val="66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1" w:customStyle="1">
    <w:name w:val="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772" w:customStyle="1">
    <w:name w:val="xl28"/>
    <w:basedOn w:val="66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73" w:customStyle="1">
    <w:name w:val=" 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774" w:customStyle="1">
    <w:name w:val="xl30"/>
    <w:basedOn w:val="666"/>
    <w:uiPriority w:val="0"/>
    <w:qFormat/>
    <w:pPr>
      <w:jc w:val="center"/>
      <w:spacing w:before="100" w:beforeAutospacing="1" w:after="100" w:afterAutospacing="1"/>
      <w:widowControl/>
    </w:pPr>
    <w:rPr>
      <w:rFonts w:ascii="宋体" w:hAnsi="宋体"/>
      <w:b/>
      <w:bCs/>
      <w:sz w:val="36"/>
      <w:szCs w:val="36"/>
    </w:rPr>
  </w:style>
  <w:style w:type="paragraph" w:styleId="775" w:customStyle="1">
    <w:name w:val="Char Char Char Char"/>
    <w:basedOn w:val="681"/>
    <w:uiPriority w:val="0"/>
    <w:qFormat/>
    <w:pPr>
      <w:spacing w:line="360" w:lineRule="auto"/>
    </w:pPr>
    <w:rPr>
      <w:rFonts w:ascii="Tahoma" w:hAnsi="Tahoma"/>
      <w:sz w:val="24"/>
      <w:szCs w:val="24"/>
    </w:rPr>
  </w:style>
  <w:style w:type="paragraph" w:styleId="776" w:customStyle="1">
    <w:name w:val="table_1stline"/>
    <w:basedOn w:val="666"/>
    <w:uiPriority w:val="0"/>
    <w:qFormat/>
    <w:pPr>
      <w:jc w:val="left"/>
      <w:spacing w:before="120"/>
      <w:widowControl/>
    </w:pPr>
    <w:rPr>
      <w:bCs/>
      <w:sz w:val="20"/>
      <w:szCs w:val="20"/>
      <w:lang w:val="de-DE" w:eastAsia="de-DE"/>
    </w:rPr>
  </w:style>
  <w:style w:type="paragraph" w:styleId="777" w:customStyle="1">
    <w:name w:val="font5"/>
    <w:basedOn w:val="666"/>
    <w:uiPriority w:val="0"/>
    <w:qFormat/>
    <w:pPr>
      <w:jc w:val="left"/>
      <w:spacing w:before="100" w:beforeAutospacing="1" w:after="100" w:afterAutospacing="1"/>
      <w:widowControl/>
    </w:pPr>
    <w:rPr>
      <w:rFonts w:hint="eastAsia" w:ascii="宋体" w:hAnsi="宋体"/>
      <w:sz w:val="28"/>
      <w:szCs w:val="28"/>
    </w:rPr>
  </w:style>
  <w:style w:type="paragraph" w:styleId="778" w:customStyle="1">
    <w:name w:val="标题1"/>
    <w:basedOn w:val="666"/>
    <w:next w:val="6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79" w:customStyle="1">
    <w:name w:val="_Style 113"/>
    <w:uiPriority w:val="99"/>
    <w:semiHidden/>
    <w:qFormat/>
    <w:rPr>
      <w:rFonts w:ascii="Times New Roman" w:hAnsi="Times New Roman" w:eastAsia="宋体" w:cs="Times New Roman"/>
      <w:sz w:val="21"/>
      <w:szCs w:val="21"/>
      <w:lang w:val="en-US" w:eastAsia="zh-CN" w:bidi="ar-SA"/>
    </w:rPr>
  </w:style>
  <w:style w:type="paragraph" w:styleId="78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1" w:customStyle="1">
    <w:name w:val="普通文字"/>
    <w:basedOn w:val="666"/>
    <w:next w:val="666"/>
    <w:uiPriority w:val="99"/>
    <w:qFormat/>
    <w:rPr>
      <w:rFonts w:ascii="宋体" w:hAnsi="Times New Roman" w:eastAsia="宋体" w:cs="Times New Roman"/>
      <w:sz w:val="24"/>
      <w:szCs w:val="20"/>
      <w:u w:val="none"/>
    </w:rPr>
  </w:style>
  <w:style w:type="paragraph" w:styleId="782" w:customStyle="1">
    <w:name w:val="目录 111"/>
    <w:basedOn w:val="666"/>
    <w:next w:val="666"/>
    <w:uiPriority w:val="39"/>
    <w:unhideWhenUsed/>
    <w:qFormat/>
    <w:pPr>
      <w:jc w:val="left"/>
      <w:spacing w:after="100" w:line="259" w:lineRule="auto"/>
      <w:widowControl/>
    </w:pPr>
    <w:rPr>
      <w:rFonts w:ascii="Calibri" w:hAnsi="Calibri" w:eastAsia="宋体"/>
      <w:sz w:val="22"/>
      <w:szCs w:val="22"/>
    </w:rPr>
  </w:style>
  <w:style w:type="numbering" w:styleId="26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2026-07-15T01:56:12Z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D9F51077BC9248D880EC47A7105D40E3_13</vt:lpwstr>
  </property>
  <property fmtid="{D5CDD505-2E9C-101B-9397-08002B2CF9AE}" pid="4" name="KSOTemplateDocerSaveRecord">
    <vt:lpwstr>eyJoZGlkIjoiM2I1OTQ2NDJjNjRhMmE2ZTU5NDcxMWJiZTc3MGMzNzciLCJ1c2VySWQiOiIxMzY2MzQxNDQ3In0=</vt:lpwstr>
  </property>
</Properties>
</file>