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F6B8A6">
      <w:pPr>
        <w:pStyle w:val="36"/>
        <w:widowControl/>
        <w:spacing w:before="120" w:beforeAutospacing="0" w:after="120" w:afterAutospacing="0" w:line="360" w:lineRule="auto"/>
      </w:pPr>
      <w:bookmarkStart w:id="239" w:name="_GoBack"/>
      <w:bookmarkEnd w:id="239"/>
    </w:p>
    <w:p w14:paraId="32B0415A">
      <w:pPr>
        <w:pStyle w:val="36"/>
        <w:widowControl/>
        <w:spacing w:before="120" w:beforeAutospacing="0" w:after="120" w:afterAutospacing="0" w:line="360" w:lineRule="auto"/>
      </w:pPr>
    </w:p>
    <w:p w14:paraId="08814FB4">
      <w:pPr>
        <w:pStyle w:val="36"/>
        <w:widowControl/>
        <w:spacing w:before="120" w:beforeAutospacing="0" w:after="120" w:afterAutospacing="0" w:line="360" w:lineRule="auto"/>
      </w:pPr>
    </w:p>
    <w:p w14:paraId="4B05DBFB">
      <w:pPr>
        <w:pStyle w:val="36"/>
        <w:widowControl/>
        <w:spacing w:line="360" w:lineRule="auto"/>
        <w:jc w:val="center"/>
        <w:rPr>
          <w:rFonts w:asciiTheme="minorEastAsia" w:hAnsiTheme="minorEastAsia" w:cstheme="minorEastAsia"/>
        </w:rPr>
      </w:pPr>
      <w:r>
        <w:rPr>
          <w:rFonts w:hint="eastAsia" w:asciiTheme="minorEastAsia" w:hAnsiTheme="minorEastAsia" w:cstheme="minorEastAsia"/>
          <w:b/>
          <w:sz w:val="84"/>
          <w:szCs w:val="84"/>
        </w:rPr>
        <w:t>招 标 文 件</w:t>
      </w:r>
    </w:p>
    <w:p w14:paraId="262DBB6D">
      <w:pPr>
        <w:pStyle w:val="36"/>
        <w:widowControl/>
        <w:spacing w:before="120" w:beforeAutospacing="0" w:after="120" w:afterAutospacing="0" w:line="360" w:lineRule="auto"/>
        <w:jc w:val="both"/>
        <w:rPr>
          <w:rFonts w:ascii="Arial" w:hAnsi="Arial" w:cs="Arial"/>
          <w:b/>
          <w:sz w:val="84"/>
          <w:szCs w:val="84"/>
        </w:rPr>
      </w:pPr>
    </w:p>
    <w:p w14:paraId="1049A02D">
      <w:pPr>
        <w:pStyle w:val="36"/>
        <w:widowControl/>
        <w:spacing w:before="120" w:beforeAutospacing="0" w:after="120" w:afterAutospacing="0" w:line="360" w:lineRule="auto"/>
        <w:jc w:val="center"/>
        <w:rPr>
          <w:rFonts w:ascii="宋体" w:hAnsi="宋体" w:eastAsia="宋体" w:cs="宋体"/>
          <w:b/>
          <w:sz w:val="32"/>
          <w:szCs w:val="32"/>
        </w:rPr>
      </w:pPr>
      <w:r>
        <w:rPr>
          <w:rFonts w:hint="eastAsia" w:ascii="宋体" w:hAnsi="宋体" w:eastAsia="宋体" w:cs="宋体"/>
          <w:b/>
          <w:sz w:val="32"/>
          <w:szCs w:val="32"/>
        </w:rPr>
        <w:t>项目编号：JSZC-320900-JZCG-G2026-0051</w:t>
      </w:r>
    </w:p>
    <w:p w14:paraId="1F8065AE">
      <w:pPr>
        <w:pStyle w:val="36"/>
        <w:widowControl/>
        <w:spacing w:before="120" w:beforeAutospacing="0" w:after="120" w:afterAutospacing="0" w:line="360" w:lineRule="auto"/>
        <w:jc w:val="both"/>
        <w:rPr>
          <w:rFonts w:ascii="宋体" w:hAnsi="宋体" w:eastAsia="宋体" w:cs="宋体"/>
          <w:b/>
          <w:sz w:val="32"/>
          <w:szCs w:val="32"/>
        </w:rPr>
      </w:pPr>
    </w:p>
    <w:p w14:paraId="144E2C1D">
      <w:pPr>
        <w:pStyle w:val="36"/>
        <w:widowControl/>
        <w:spacing w:before="120" w:beforeAutospacing="0" w:after="120" w:afterAutospacing="0" w:line="360" w:lineRule="auto"/>
        <w:jc w:val="center"/>
        <w:rPr>
          <w:rFonts w:ascii="宋体" w:hAnsi="宋体" w:eastAsia="宋体" w:cs="宋体"/>
          <w:b/>
          <w:sz w:val="32"/>
          <w:szCs w:val="32"/>
        </w:rPr>
      </w:pPr>
      <w:r>
        <w:rPr>
          <w:rFonts w:hint="eastAsia" w:ascii="宋体" w:hAnsi="宋体" w:eastAsia="宋体" w:cs="宋体"/>
          <w:b/>
          <w:sz w:val="32"/>
          <w:szCs w:val="32"/>
        </w:rPr>
        <w:t>项目名称：</w:t>
      </w:r>
      <w:r>
        <w:rPr>
          <w:rFonts w:hint="eastAsia" w:ascii="宋体" w:hAnsi="宋体" w:eastAsia="宋体" w:cs="宋体"/>
          <w:b/>
          <w:color w:val="000000"/>
          <w:sz w:val="32"/>
          <w:szCs w:val="32"/>
        </w:rPr>
        <w:t>盐城市市直部分学校智慧体育设施采购项目</w:t>
      </w:r>
    </w:p>
    <w:p w14:paraId="30D53BB9">
      <w:pPr>
        <w:widowControl/>
      </w:pPr>
    </w:p>
    <w:p w14:paraId="1058CCA8">
      <w:pPr>
        <w:widowControl/>
        <w:rPr>
          <w:rFonts w:ascii="Arial" w:hAnsi="Arial" w:cs="Arial"/>
          <w:b/>
          <w:sz w:val="32"/>
          <w:szCs w:val="32"/>
        </w:rPr>
      </w:pPr>
    </w:p>
    <w:p w14:paraId="3C744BE3">
      <w:pPr>
        <w:widowControl/>
        <w:rPr>
          <w:rFonts w:ascii="Arial" w:hAnsi="Arial" w:cs="Arial"/>
          <w:b/>
          <w:sz w:val="32"/>
          <w:szCs w:val="32"/>
        </w:rPr>
      </w:pPr>
    </w:p>
    <w:p w14:paraId="41A4F305">
      <w:pPr>
        <w:widowControl/>
        <w:rPr>
          <w:rFonts w:ascii="Arial" w:hAnsi="Arial" w:cs="Arial"/>
          <w:b/>
          <w:sz w:val="32"/>
          <w:szCs w:val="32"/>
        </w:rPr>
      </w:pPr>
    </w:p>
    <w:p w14:paraId="63C61589">
      <w:pPr>
        <w:widowControl/>
        <w:rPr>
          <w:rFonts w:ascii="Arial" w:hAnsi="Arial" w:cs="Arial"/>
          <w:b/>
          <w:sz w:val="32"/>
          <w:szCs w:val="32"/>
        </w:rPr>
      </w:pPr>
    </w:p>
    <w:p w14:paraId="470E966C">
      <w:pPr>
        <w:pStyle w:val="16"/>
        <w:widowControl/>
        <w:rPr>
          <w:rFonts w:ascii="Arial" w:cs="Arial"/>
          <w:b/>
          <w:sz w:val="32"/>
          <w:szCs w:val="32"/>
        </w:rPr>
      </w:pPr>
    </w:p>
    <w:p w14:paraId="7768EC92">
      <w:pPr>
        <w:widowControl/>
        <w:rPr>
          <w:rFonts w:ascii="Arial" w:hAnsi="Arial" w:cs="Arial"/>
          <w:bCs/>
          <w:sz w:val="32"/>
          <w:szCs w:val="32"/>
        </w:rPr>
      </w:pPr>
    </w:p>
    <w:p w14:paraId="44B32620">
      <w:pPr>
        <w:pStyle w:val="36"/>
        <w:widowControl/>
        <w:tabs>
          <w:tab w:val="left" w:pos="240"/>
          <w:tab w:val="center" w:pos="4320"/>
        </w:tabs>
        <w:spacing w:before="120" w:beforeAutospacing="0" w:after="120" w:afterAutospacing="0" w:line="420" w:lineRule="exact"/>
        <w:rPr>
          <w:rFonts w:ascii="黑体" w:hAnsi="黑体" w:eastAsia="黑体" w:cs="黑体"/>
          <w:bCs/>
          <w:sz w:val="32"/>
          <w:szCs w:val="32"/>
        </w:rPr>
      </w:pPr>
      <w:r>
        <w:rPr>
          <w:rFonts w:ascii="黑体" w:hAnsi="黑体" w:eastAsia="黑体" w:cs="黑体"/>
          <w:bCs/>
          <w:sz w:val="32"/>
          <w:szCs w:val="32"/>
        </w:rPr>
        <w:tab/>
      </w:r>
      <w:r>
        <w:rPr>
          <w:rFonts w:ascii="黑体" w:hAnsi="黑体" w:eastAsia="黑体" w:cs="黑体"/>
          <w:bCs/>
          <w:sz w:val="32"/>
          <w:szCs w:val="32"/>
        </w:rPr>
        <w:tab/>
      </w:r>
      <w:r>
        <w:rPr>
          <w:rFonts w:hint="eastAsia" w:ascii="黑体" w:hAnsi="黑体" w:eastAsia="黑体" w:cs="黑体"/>
          <w:bCs/>
          <w:sz w:val="32"/>
          <w:szCs w:val="32"/>
        </w:rPr>
        <w:t>盐城市教育局</w:t>
      </w:r>
    </w:p>
    <w:p w14:paraId="620DE7D6">
      <w:pPr>
        <w:pStyle w:val="36"/>
        <w:widowControl/>
        <w:spacing w:before="120" w:beforeAutospacing="0" w:after="120" w:afterAutospacing="0" w:line="420" w:lineRule="exact"/>
        <w:jc w:val="center"/>
        <w:rPr>
          <w:rFonts w:ascii="黑体" w:hAnsi="黑体" w:eastAsia="黑体" w:cs="黑体"/>
          <w:bCs/>
          <w:sz w:val="32"/>
          <w:szCs w:val="32"/>
        </w:rPr>
      </w:pPr>
      <w:r>
        <w:rPr>
          <w:rFonts w:hint="eastAsia" w:ascii="黑体" w:hAnsi="黑体" w:eastAsia="黑体" w:cs="黑体"/>
          <w:bCs/>
          <w:sz w:val="32"/>
          <w:szCs w:val="32"/>
        </w:rPr>
        <w:t>2026年8月</w:t>
      </w:r>
    </w:p>
    <w:p w14:paraId="1ED3560F">
      <w:pPr>
        <w:widowControl/>
        <w:pBdr>
          <w:top w:val="none" w:color="000000" w:sz="0" w:space="0"/>
          <w:left w:val="none" w:color="000000" w:sz="0" w:space="0"/>
          <w:bottom w:val="none" w:color="000000" w:sz="0" w:space="0"/>
          <w:right w:val="none" w:color="000000" w:sz="0" w:space="0"/>
        </w:pBdr>
        <w:spacing w:line="700" w:lineRule="exact"/>
        <w:jc w:val="center"/>
        <w:outlineLvl w:val="0"/>
        <w:rPr>
          <w:rFonts w:ascii="黑体" w:hAnsi="黑体" w:eastAsia="黑体" w:cs="黑体"/>
          <w:bCs/>
          <w:sz w:val="44"/>
          <w:szCs w:val="20"/>
        </w:rPr>
        <w:sectPr>
          <w:headerReference r:id="rId3" w:type="default"/>
          <w:pgSz w:w="11906" w:h="16838"/>
          <w:pgMar w:top="1440" w:right="1633" w:bottom="1440" w:left="1633" w:header="851" w:footer="992" w:gutter="0"/>
          <w:cols w:space="425" w:num="1"/>
          <w:docGrid w:linePitch="360" w:charSpace="0"/>
        </w:sectPr>
      </w:pPr>
      <w:bookmarkStart w:id="0" w:name="_Toc20823272"/>
      <w:bookmarkStart w:id="1" w:name="_Toc16938516"/>
      <w:bookmarkStart w:id="2" w:name="_Toc523127445"/>
      <w:bookmarkStart w:id="3" w:name="_Toc120614210"/>
      <w:bookmarkStart w:id="4" w:name="_Toc513029200"/>
      <w:bookmarkStart w:id="5" w:name="_Toc479757206"/>
    </w:p>
    <w:p w14:paraId="3E8039CA">
      <w:pPr>
        <w:widowControl/>
        <w:pBdr>
          <w:top w:val="none" w:color="000000" w:sz="0" w:space="0"/>
          <w:left w:val="none" w:color="000000" w:sz="0" w:space="0"/>
          <w:bottom w:val="none" w:color="000000" w:sz="0" w:space="0"/>
          <w:right w:val="none" w:color="000000" w:sz="0" w:space="0"/>
        </w:pBdr>
        <w:spacing w:line="700" w:lineRule="exact"/>
        <w:jc w:val="center"/>
        <w:outlineLvl w:val="0"/>
        <w:rPr>
          <w:rFonts w:asciiTheme="majorEastAsia" w:hAnsiTheme="majorEastAsia" w:eastAsiaTheme="majorEastAsia" w:cstheme="majorEastAsia"/>
          <w:sz w:val="44"/>
          <w:szCs w:val="20"/>
        </w:rPr>
      </w:pPr>
    </w:p>
    <w:bookmarkEnd w:id="0"/>
    <w:bookmarkEnd w:id="1"/>
    <w:bookmarkEnd w:id="2"/>
    <w:bookmarkEnd w:id="3"/>
    <w:bookmarkEnd w:id="4"/>
    <w:bookmarkEnd w:id="5"/>
    <w:p w14:paraId="09BECB76">
      <w:pPr>
        <w:jc w:val="center"/>
        <w:rPr>
          <w:rFonts w:ascii="黑体" w:hAnsi="Times New Roman" w:eastAsia="黑体" w:cs="黑体"/>
          <w:bCs/>
          <w:color w:val="000000"/>
          <w:sz w:val="44"/>
        </w:rPr>
      </w:pPr>
      <w:r>
        <w:rPr>
          <w:rFonts w:hint="eastAsia" w:ascii="黑体" w:hAnsi="Times New Roman" w:eastAsia="黑体" w:cs="黑体"/>
          <w:bCs/>
          <w:color w:val="000000"/>
          <w:sz w:val="44"/>
        </w:rPr>
        <w:t>总  目  录</w:t>
      </w:r>
    </w:p>
    <w:p w14:paraId="53C542AF">
      <w:pPr>
        <w:jc w:val="center"/>
        <w:rPr>
          <w:rFonts w:ascii="黑体" w:hAnsi="Times New Roman" w:eastAsia="黑体" w:cs="黑体"/>
          <w:bCs/>
          <w:color w:val="000000"/>
          <w:sz w:val="44"/>
        </w:rPr>
      </w:pPr>
    </w:p>
    <w:p w14:paraId="7F16F24F">
      <w:pPr>
        <w:tabs>
          <w:tab w:val="left" w:pos="0"/>
        </w:tabs>
        <w:spacing w:line="560" w:lineRule="exact"/>
        <w:ind w:left="1856" w:hanging="1018"/>
        <w:outlineLvl w:val="0"/>
        <w:rPr>
          <w:rFonts w:ascii="黑体" w:hAnsi="Times New Roman" w:eastAsia="黑体" w:cs="Times New Roman"/>
          <w:color w:val="000000"/>
          <w:sz w:val="36"/>
        </w:rPr>
      </w:pPr>
      <w:r>
        <w:rPr>
          <w:rFonts w:hint="eastAsia" w:ascii="黑体" w:hAnsi="Times New Roman" w:eastAsia="黑体" w:cs="Times New Roman"/>
          <w:color w:val="000000"/>
          <w:sz w:val="36"/>
        </w:rPr>
        <w:t>第一章  招标公告……………………………1</w:t>
      </w:r>
    </w:p>
    <w:p w14:paraId="54B15B29">
      <w:pPr>
        <w:tabs>
          <w:tab w:val="left" w:pos="0"/>
        </w:tabs>
        <w:spacing w:line="560" w:lineRule="exact"/>
        <w:ind w:left="1856" w:hanging="1018"/>
        <w:outlineLvl w:val="0"/>
        <w:rPr>
          <w:rFonts w:ascii="黑体" w:hAnsi="Times New Roman" w:eastAsia="黑体" w:cs="Times New Roman"/>
          <w:color w:val="000000"/>
          <w:sz w:val="36"/>
        </w:rPr>
      </w:pPr>
      <w:r>
        <w:rPr>
          <w:rFonts w:hint="eastAsia" w:ascii="黑体" w:hAnsi="Times New Roman" w:eastAsia="黑体" w:cs="Times New Roman"/>
          <w:color w:val="000000"/>
          <w:sz w:val="36"/>
        </w:rPr>
        <w:t>第二章  投标人须知…………………………7</w:t>
      </w:r>
    </w:p>
    <w:p w14:paraId="55FD792A">
      <w:pPr>
        <w:tabs>
          <w:tab w:val="left" w:pos="0"/>
        </w:tabs>
        <w:spacing w:line="560" w:lineRule="exact"/>
        <w:ind w:left="1856" w:hanging="1018"/>
        <w:outlineLvl w:val="0"/>
        <w:rPr>
          <w:rFonts w:ascii="黑体" w:hAnsi="Times New Roman" w:eastAsia="黑体" w:cs="Times New Roman"/>
          <w:color w:val="000000"/>
          <w:sz w:val="36"/>
        </w:rPr>
      </w:pPr>
      <w:r>
        <w:rPr>
          <w:rFonts w:hint="eastAsia" w:ascii="黑体" w:hAnsi="Times New Roman" w:eastAsia="黑体" w:cs="Times New Roman"/>
          <w:color w:val="000000"/>
          <w:sz w:val="36"/>
        </w:rPr>
        <w:t>第三章  合同文本……………………………25</w:t>
      </w:r>
    </w:p>
    <w:p w14:paraId="75FEE966">
      <w:pPr>
        <w:spacing w:line="560" w:lineRule="exact"/>
        <w:ind w:left="1856" w:hanging="1018"/>
        <w:outlineLvl w:val="0"/>
        <w:rPr>
          <w:rFonts w:ascii="黑体" w:hAnsi="Times New Roman" w:eastAsia="黑体" w:cs="Times New Roman"/>
          <w:color w:val="000000"/>
          <w:sz w:val="36"/>
        </w:rPr>
      </w:pPr>
      <w:r>
        <w:rPr>
          <w:rFonts w:hint="eastAsia" w:ascii="黑体" w:hAnsi="Times New Roman" w:eastAsia="黑体" w:cs="Times New Roman"/>
          <w:color w:val="000000"/>
          <w:sz w:val="36"/>
        </w:rPr>
        <w:t>第四章  采购需求……………………………57</w:t>
      </w:r>
    </w:p>
    <w:p w14:paraId="02468289">
      <w:pPr>
        <w:spacing w:line="560" w:lineRule="exact"/>
        <w:ind w:left="1856" w:hanging="1018"/>
        <w:outlineLvl w:val="0"/>
        <w:rPr>
          <w:rFonts w:ascii="黑体" w:hAnsi="Times New Roman" w:eastAsia="黑体" w:cs="Times New Roman"/>
          <w:color w:val="000000"/>
          <w:sz w:val="36"/>
        </w:rPr>
      </w:pPr>
      <w:r>
        <w:rPr>
          <w:rFonts w:hint="eastAsia" w:ascii="黑体" w:hAnsi="Times New Roman" w:eastAsia="黑体" w:cs="Times New Roman"/>
          <w:color w:val="000000"/>
          <w:sz w:val="36"/>
        </w:rPr>
        <w:t>第五章  评标方法与评标标准………………75</w:t>
      </w:r>
    </w:p>
    <w:p w14:paraId="047AA0C1">
      <w:pPr>
        <w:spacing w:line="560" w:lineRule="exact"/>
        <w:ind w:left="1856" w:hanging="1018"/>
        <w:outlineLvl w:val="0"/>
        <w:rPr>
          <w:rFonts w:ascii="黑体" w:hAnsi="Times New Roman" w:eastAsia="黑体" w:cs="Times New Roman"/>
          <w:color w:val="000000"/>
          <w:sz w:val="36"/>
        </w:rPr>
      </w:pPr>
      <w:r>
        <w:rPr>
          <w:rFonts w:hint="eastAsia" w:ascii="黑体" w:hAnsi="Times New Roman" w:eastAsia="黑体" w:cs="Times New Roman"/>
          <w:color w:val="000000"/>
          <w:sz w:val="36"/>
        </w:rPr>
        <w:t>第六章  投标文件格式………………………84</w:t>
      </w:r>
    </w:p>
    <w:p w14:paraId="13413752">
      <w:pPr>
        <w:pStyle w:val="36"/>
        <w:keepNext/>
        <w:spacing w:beforeAutospacing="0" w:afterAutospacing="0"/>
        <w:jc w:val="center"/>
        <w:rPr>
          <w:rFonts w:ascii="黑体" w:hAnsi="宋体" w:eastAsia="黑体" w:cs="黑体"/>
          <w:color w:val="000000"/>
          <w:sz w:val="44"/>
          <w:szCs w:val="44"/>
        </w:rPr>
      </w:pPr>
    </w:p>
    <w:sdt>
      <w:sdtPr>
        <w:rPr>
          <w:rFonts w:ascii="宋体" w:hAnsi="宋体" w:eastAsia="宋体"/>
        </w:rPr>
        <w:id w:val="147479957"/>
        <w:showingPlcHdr/>
        <w:docPartObj>
          <w:docPartGallery w:val="Table of Contents"/>
          <w:docPartUnique/>
        </w:docPartObj>
      </w:sdtPr>
      <w:sdtEndPr>
        <w:rPr>
          <w:rFonts w:ascii="宋体" w:hAnsi="宋体" w:eastAsia="宋体"/>
        </w:rPr>
      </w:sdtEndPr>
      <w:sdtContent>
        <w:p w14:paraId="3B0B5F51">
          <w:pPr>
            <w:widowControl/>
            <w:spacing w:line="500" w:lineRule="exact"/>
          </w:pPr>
          <w:r>
            <w:rPr>
              <w:rFonts w:hint="eastAsia" w:ascii="宋体" w:hAnsi="宋体" w:eastAsia="宋体"/>
            </w:rPr>
            <w:t xml:space="preserve">     </w:t>
          </w:r>
        </w:p>
      </w:sdtContent>
    </w:sdt>
    <w:p w14:paraId="1FCC9335">
      <w:pPr>
        <w:pStyle w:val="16"/>
      </w:pPr>
    </w:p>
    <w:p w14:paraId="7893327E">
      <w:pPr>
        <w:pStyle w:val="36"/>
        <w:keepNext/>
        <w:widowControl/>
        <w:spacing w:beforeAutospacing="0" w:afterAutospacing="0"/>
        <w:jc w:val="center"/>
        <w:rPr>
          <w:rFonts w:ascii="黑体" w:hAnsi="宋体" w:eastAsia="黑体" w:cs="黑体"/>
          <w:sz w:val="44"/>
          <w:szCs w:val="44"/>
        </w:rPr>
      </w:pPr>
      <w:bookmarkStart w:id="6" w:name="_Toc28359086"/>
    </w:p>
    <w:p w14:paraId="1AF83AE9">
      <w:pPr>
        <w:widowControl/>
        <w:sectPr>
          <w:footerReference r:id="rId4" w:type="default"/>
          <w:pgSz w:w="11906" w:h="16838"/>
          <w:pgMar w:top="1440" w:right="1633" w:bottom="1440" w:left="1633" w:header="851" w:footer="992" w:gutter="0"/>
          <w:pgNumType w:start="2"/>
          <w:cols w:space="425" w:num="1"/>
          <w:docGrid w:linePitch="360" w:charSpace="0"/>
        </w:sectPr>
      </w:pPr>
    </w:p>
    <w:p w14:paraId="714AB660">
      <w:pPr>
        <w:pStyle w:val="36"/>
        <w:keepNext/>
        <w:widowControl/>
        <w:spacing w:beforeAutospacing="0" w:afterAutospacing="0"/>
        <w:ind w:firstLine="220"/>
        <w:jc w:val="center"/>
        <w:outlineLvl w:val="0"/>
        <w:rPr>
          <w:rFonts w:ascii="黑体" w:hAnsi="宋体" w:eastAsia="黑体" w:cs="黑体"/>
          <w:sz w:val="44"/>
          <w:szCs w:val="44"/>
        </w:rPr>
      </w:pPr>
      <w:bookmarkStart w:id="7" w:name="_Toc30031"/>
      <w:r>
        <w:rPr>
          <w:rFonts w:hint="eastAsia" w:ascii="黑体" w:hAnsi="宋体" w:eastAsia="黑体" w:cs="黑体"/>
          <w:sz w:val="44"/>
          <w:szCs w:val="44"/>
        </w:rPr>
        <w:t>第一章 招标公告</w:t>
      </w:r>
      <w:bookmarkEnd w:id="7"/>
    </w:p>
    <w:p w14:paraId="56673200">
      <w:pPr>
        <w:pStyle w:val="36"/>
        <w:keepNext/>
        <w:widowControl/>
        <w:numPr>
          <w:ilvl w:val="255"/>
          <w:numId w:val="0"/>
        </w:numPr>
        <w:spacing w:beforeAutospacing="0" w:afterAutospacing="0" w:line="200" w:lineRule="exact"/>
        <w:jc w:val="both"/>
        <w:rPr>
          <w:rFonts w:ascii="黑体" w:hAnsi="宋体" w:eastAsia="黑体" w:cs="黑体"/>
          <w:sz w:val="44"/>
          <w:szCs w:val="44"/>
        </w:rPr>
      </w:pPr>
    </w:p>
    <w:p w14:paraId="682768EE">
      <w:pPr>
        <w:widowControl/>
        <w:pBdr>
          <w:top w:val="single" w:color="auto" w:sz="4" w:space="0"/>
          <w:left w:val="single" w:color="auto" w:sz="4" w:space="0"/>
          <w:bottom w:val="single" w:color="auto" w:sz="4" w:space="0"/>
          <w:right w:val="single" w:color="auto" w:sz="4" w:space="0"/>
        </w:pBdr>
        <w:spacing w:line="560" w:lineRule="exact"/>
        <w:ind w:firstLine="482"/>
        <w:jc w:val="left"/>
        <w:rPr>
          <w:rFonts w:ascii="宋体" w:hAnsi="宋体" w:eastAsia="宋体" w:cs="宋体"/>
          <w:sz w:val="24"/>
          <w:szCs w:val="20"/>
        </w:rPr>
      </w:pPr>
      <w:r>
        <w:rPr>
          <w:rFonts w:hint="eastAsia" w:ascii="宋体" w:hAnsi="宋体" w:eastAsia="宋体" w:cs="宋体"/>
          <w:sz w:val="24"/>
          <w:szCs w:val="20"/>
        </w:rPr>
        <w:t>项目概况</w:t>
      </w:r>
    </w:p>
    <w:p w14:paraId="4FFF2279">
      <w:pPr>
        <w:widowControl/>
        <w:pBdr>
          <w:top w:val="single" w:color="auto" w:sz="4" w:space="0"/>
          <w:left w:val="single" w:color="auto" w:sz="4" w:space="0"/>
          <w:bottom w:val="single" w:color="auto" w:sz="4" w:space="0"/>
          <w:right w:val="single" w:color="auto" w:sz="4" w:space="0"/>
        </w:pBdr>
        <w:spacing w:line="560" w:lineRule="exact"/>
        <w:ind w:firstLine="482"/>
        <w:jc w:val="left"/>
        <w:rPr>
          <w:rFonts w:ascii="宋体" w:hAnsi="宋体" w:eastAsia="宋体" w:cs="宋体"/>
          <w:sz w:val="24"/>
          <w:szCs w:val="20"/>
        </w:rPr>
      </w:pPr>
      <w:r>
        <w:rPr>
          <w:rFonts w:hint="eastAsia" w:ascii="宋体" w:hAnsi="宋体" w:eastAsia="宋体" w:cs="宋体"/>
          <w:sz w:val="24"/>
          <w:szCs w:val="20"/>
        </w:rPr>
        <w:t>盐城市市直部分学校智慧体育设施采购项目</w:t>
      </w:r>
      <w:r>
        <w:rPr>
          <w:rFonts w:hint="eastAsia" w:ascii="宋体" w:hAnsi="宋体" w:eastAsia="宋体" w:cs="宋体"/>
          <w:sz w:val="24"/>
        </w:rPr>
        <w:t>JSZC-320900-JZCG-G2026-0051</w:t>
      </w:r>
      <w:r>
        <w:rPr>
          <w:rFonts w:hint="eastAsia" w:ascii="宋体" w:hAnsi="宋体" w:eastAsia="宋体" w:cs="宋体"/>
          <w:sz w:val="24"/>
          <w:szCs w:val="20"/>
        </w:rPr>
        <w:t>的潜在投标人应在“苏采云”系统内免费下载（投标人必须在苏采云系统中获取采购文件，方能参与政府采购项目），并于2026年8月31日9点30分（北京时间）前递交投标文件。</w:t>
      </w:r>
      <w:bookmarkStart w:id="8" w:name="_Toc28359079"/>
      <w:bookmarkStart w:id="9" w:name="_Toc35393790"/>
      <w:bookmarkStart w:id="10" w:name="_Toc28359002"/>
      <w:bookmarkStart w:id="11" w:name="_Hlk24379207"/>
      <w:bookmarkStart w:id="12" w:name="_Toc38985263"/>
      <w:bookmarkStart w:id="13" w:name="_Toc35393621"/>
    </w:p>
    <w:p w14:paraId="04C85542">
      <w:pPr>
        <w:keepNext/>
        <w:keepLines/>
        <w:widowControl/>
        <w:spacing w:line="560" w:lineRule="exact"/>
        <w:ind w:firstLine="482"/>
        <w:jc w:val="left"/>
        <w:rPr>
          <w:rFonts w:ascii="宋体" w:hAnsi="宋体" w:eastAsia="宋体" w:cs="宋体"/>
          <w:b/>
          <w:bCs/>
          <w:sz w:val="24"/>
          <w:szCs w:val="20"/>
        </w:rPr>
      </w:pPr>
      <w:r>
        <w:rPr>
          <w:rFonts w:hint="eastAsia" w:ascii="宋体" w:hAnsi="宋体" w:eastAsia="宋体" w:cs="宋体"/>
          <w:b/>
          <w:bCs/>
          <w:sz w:val="24"/>
          <w:szCs w:val="20"/>
        </w:rPr>
        <w:t>一、项目基本情况</w:t>
      </w:r>
      <w:bookmarkEnd w:id="8"/>
      <w:bookmarkEnd w:id="9"/>
      <w:bookmarkEnd w:id="10"/>
      <w:bookmarkEnd w:id="11"/>
      <w:bookmarkEnd w:id="12"/>
      <w:bookmarkEnd w:id="13"/>
    </w:p>
    <w:p w14:paraId="05E0A859">
      <w:pPr>
        <w:widowControl/>
        <w:spacing w:line="560" w:lineRule="exact"/>
        <w:ind w:firstLine="482"/>
        <w:jc w:val="left"/>
        <w:rPr>
          <w:rFonts w:ascii="宋体" w:hAnsi="宋体" w:eastAsia="宋体" w:cs="宋体"/>
          <w:sz w:val="24"/>
        </w:rPr>
      </w:pPr>
      <w:r>
        <w:rPr>
          <w:rFonts w:hint="eastAsia" w:ascii="宋体" w:hAnsi="宋体" w:eastAsia="宋体" w:cs="宋体"/>
          <w:sz w:val="24"/>
        </w:rPr>
        <w:t>1.项目编号：JSZC-320900-JZCG-G2026-0051</w:t>
      </w:r>
    </w:p>
    <w:p w14:paraId="766E8837">
      <w:pPr>
        <w:widowControl/>
        <w:spacing w:line="560" w:lineRule="exact"/>
        <w:ind w:firstLine="482"/>
        <w:jc w:val="left"/>
        <w:rPr>
          <w:rFonts w:ascii="宋体" w:hAnsi="宋体" w:eastAsia="宋体" w:cs="宋体"/>
          <w:sz w:val="24"/>
        </w:rPr>
      </w:pPr>
      <w:r>
        <w:rPr>
          <w:rFonts w:hint="eastAsia" w:ascii="宋体" w:hAnsi="宋体" w:eastAsia="宋体" w:cs="宋体"/>
          <w:sz w:val="24"/>
        </w:rPr>
        <w:t>2.项目名称：盐城市市直部分学校智慧体育设施采购项目</w:t>
      </w:r>
    </w:p>
    <w:p w14:paraId="7F625381">
      <w:pPr>
        <w:widowControl/>
        <w:spacing w:line="560" w:lineRule="exact"/>
        <w:ind w:firstLine="482"/>
        <w:jc w:val="left"/>
        <w:rPr>
          <w:rFonts w:ascii="宋体" w:hAnsi="宋体" w:eastAsia="宋体" w:cs="宋体"/>
          <w:sz w:val="24"/>
        </w:rPr>
      </w:pPr>
      <w:r>
        <w:rPr>
          <w:rFonts w:hint="eastAsia" w:ascii="宋体" w:hAnsi="宋体" w:eastAsia="宋体" w:cs="宋体"/>
          <w:sz w:val="24"/>
        </w:rPr>
        <w:t>3.采购方式：公开招标</w:t>
      </w:r>
    </w:p>
    <w:p w14:paraId="37F1D8CE">
      <w:pPr>
        <w:widowControl/>
        <w:spacing w:line="560" w:lineRule="exact"/>
        <w:ind w:firstLine="482"/>
        <w:jc w:val="left"/>
        <w:rPr>
          <w:rFonts w:ascii="宋体" w:hAnsi="宋体" w:eastAsia="宋体" w:cs="宋体"/>
          <w:sz w:val="24"/>
        </w:rPr>
      </w:pPr>
      <w:r>
        <w:rPr>
          <w:rFonts w:hint="eastAsia" w:ascii="宋体" w:hAnsi="宋体" w:eastAsia="宋体" w:cs="宋体"/>
          <w:sz w:val="24"/>
        </w:rPr>
        <w:t>4.预算金额：200万元</w:t>
      </w:r>
    </w:p>
    <w:p w14:paraId="25A0317D">
      <w:pPr>
        <w:widowControl/>
        <w:spacing w:line="560" w:lineRule="exact"/>
        <w:ind w:firstLine="482"/>
        <w:jc w:val="left"/>
        <w:rPr>
          <w:rFonts w:ascii="宋体" w:hAnsi="宋体" w:eastAsia="宋体" w:cs="宋体"/>
          <w:sz w:val="24"/>
        </w:rPr>
      </w:pPr>
      <w:r>
        <w:rPr>
          <w:rFonts w:hint="eastAsia" w:ascii="宋体" w:hAnsi="宋体" w:eastAsia="宋体" w:cs="宋体"/>
          <w:sz w:val="24"/>
        </w:rPr>
        <w:t>5.最高限价：200万元</w:t>
      </w:r>
    </w:p>
    <w:p w14:paraId="17EC91A0">
      <w:pPr>
        <w:widowControl/>
        <w:spacing w:line="560" w:lineRule="exact"/>
        <w:ind w:firstLine="482"/>
        <w:jc w:val="left"/>
        <w:rPr>
          <w:rFonts w:ascii="宋体" w:hAnsi="宋体" w:eastAsia="宋体" w:cs="宋体"/>
          <w:sz w:val="24"/>
        </w:rPr>
      </w:pPr>
      <w:r>
        <w:rPr>
          <w:rFonts w:hint="eastAsia" w:ascii="宋体" w:hAnsi="宋体" w:eastAsia="宋体" w:cs="宋体"/>
          <w:sz w:val="24"/>
        </w:rPr>
        <w:t>6.采购需求：盐城市第一小学、串场河小学、新都路实验学校、聚亨路小学、盐渎实验学校、鹿鸣路初级中学、康居路初级中学等8所学校配置</w:t>
      </w:r>
      <w:r>
        <w:rPr>
          <w:rFonts w:hint="eastAsia" w:ascii="宋体" w:hAnsi="宋体" w:eastAsia="宋体" w:cs="宋体"/>
          <w:sz w:val="24"/>
          <w:szCs w:val="20"/>
        </w:rPr>
        <w:t>智慧展示大屏、智慧操场、智慧游戏一体机、智慧体测一体机等</w:t>
      </w:r>
      <w:r>
        <w:rPr>
          <w:rFonts w:hint="eastAsia" w:ascii="宋体" w:hAnsi="宋体" w:eastAsia="Arial" w:cs="宋体"/>
          <w:sz w:val="24"/>
          <w:szCs w:val="20"/>
        </w:rPr>
        <w:t>4</w:t>
      </w:r>
      <w:r>
        <w:rPr>
          <w:rFonts w:hint="eastAsia" w:ascii="宋体" w:hAnsi="宋体" w:eastAsia="宋体" w:cs="宋体"/>
          <w:sz w:val="24"/>
          <w:szCs w:val="20"/>
        </w:rPr>
        <w:t>类设备</w:t>
      </w:r>
      <w:r>
        <w:rPr>
          <w:rFonts w:hint="eastAsia" w:ascii="宋体" w:hAnsi="宋体" w:eastAsia="宋体" w:cs="宋体"/>
          <w:sz w:val="24"/>
        </w:rPr>
        <w:t>。（详细内容见本招标文件第四章）</w:t>
      </w:r>
    </w:p>
    <w:p w14:paraId="4F8F33F7">
      <w:pPr>
        <w:widowControl/>
        <w:spacing w:line="560" w:lineRule="exact"/>
        <w:ind w:firstLine="482"/>
        <w:jc w:val="left"/>
        <w:rPr>
          <w:rFonts w:ascii="宋体" w:hAnsi="宋体" w:eastAsia="宋体" w:cs="宋体"/>
          <w:sz w:val="24"/>
        </w:rPr>
      </w:pPr>
      <w:r>
        <w:rPr>
          <w:rFonts w:hint="eastAsia" w:ascii="宋体" w:hAnsi="宋体" w:eastAsia="宋体" w:cs="宋体"/>
          <w:sz w:val="24"/>
        </w:rPr>
        <w:t>7.合同履行期限：接到采购人通知后25天内供货并验收合格。</w:t>
      </w:r>
    </w:p>
    <w:p w14:paraId="52EE2349">
      <w:pPr>
        <w:widowControl/>
        <w:spacing w:line="560" w:lineRule="exact"/>
        <w:ind w:firstLine="482"/>
        <w:jc w:val="left"/>
        <w:rPr>
          <w:rFonts w:ascii="宋体" w:hAnsi="宋体" w:eastAsia="宋体" w:cs="宋体"/>
          <w:sz w:val="24"/>
        </w:rPr>
      </w:pPr>
      <w:r>
        <w:rPr>
          <w:rFonts w:hint="eastAsia" w:ascii="宋体" w:hAnsi="宋体" w:eastAsia="宋体" w:cs="宋体"/>
          <w:sz w:val="24"/>
        </w:rPr>
        <w:t>8.质保期：硬件3年，软件5年。</w:t>
      </w:r>
    </w:p>
    <w:p w14:paraId="79FDC87E">
      <w:pPr>
        <w:widowControl/>
        <w:spacing w:line="560" w:lineRule="exact"/>
        <w:ind w:firstLine="482"/>
        <w:jc w:val="left"/>
        <w:rPr>
          <w:rFonts w:ascii="宋体" w:hAnsi="宋体" w:eastAsia="宋体" w:cs="宋体"/>
          <w:sz w:val="24"/>
        </w:rPr>
      </w:pPr>
      <w:r>
        <w:rPr>
          <w:rFonts w:hint="eastAsia" w:ascii="宋体" w:hAnsi="宋体" w:eastAsia="宋体" w:cs="宋体"/>
          <w:sz w:val="24"/>
        </w:rPr>
        <w:t>9.本项目（是/否）接受联合体投标：否。</w:t>
      </w:r>
    </w:p>
    <w:p w14:paraId="55073E52">
      <w:pPr>
        <w:widowControl/>
        <w:spacing w:line="560" w:lineRule="exact"/>
        <w:ind w:firstLine="482"/>
        <w:jc w:val="left"/>
        <w:rPr>
          <w:rFonts w:ascii="宋体" w:hAnsi="宋体" w:eastAsia="宋体" w:cs="宋体"/>
          <w:b/>
          <w:bCs/>
          <w:sz w:val="24"/>
          <w:szCs w:val="20"/>
        </w:rPr>
      </w:pPr>
      <w:bookmarkStart w:id="14" w:name="_Toc28359080"/>
      <w:bookmarkStart w:id="15" w:name="_Toc35393622"/>
      <w:bookmarkStart w:id="16" w:name="_Toc35393791"/>
      <w:bookmarkStart w:id="17" w:name="_Toc28359003"/>
      <w:bookmarkStart w:id="18" w:name="_Toc38985264"/>
      <w:r>
        <w:rPr>
          <w:rFonts w:hint="eastAsia" w:ascii="宋体" w:hAnsi="宋体" w:eastAsia="宋体" w:cs="宋体"/>
          <w:b/>
          <w:bCs/>
          <w:sz w:val="24"/>
          <w:szCs w:val="20"/>
        </w:rPr>
        <w:t>二、申请人的资格要求</w:t>
      </w:r>
      <w:bookmarkEnd w:id="14"/>
      <w:bookmarkEnd w:id="15"/>
      <w:bookmarkEnd w:id="16"/>
      <w:bookmarkEnd w:id="17"/>
      <w:bookmarkEnd w:id="18"/>
    </w:p>
    <w:p w14:paraId="7A6CBB81">
      <w:pPr>
        <w:widowControl/>
        <w:spacing w:line="560" w:lineRule="exact"/>
        <w:ind w:firstLine="482"/>
        <w:jc w:val="left"/>
        <w:rPr>
          <w:rFonts w:ascii="宋体" w:hAnsi="宋体" w:eastAsia="宋体" w:cs="宋体"/>
          <w:sz w:val="24"/>
        </w:rPr>
      </w:pPr>
      <w:r>
        <w:rPr>
          <w:rFonts w:hint="eastAsia" w:ascii="宋体" w:hAnsi="宋体" w:eastAsia="宋体" w:cs="宋体"/>
          <w:sz w:val="24"/>
        </w:rPr>
        <w:t>1.满足《中华人民共和国政府采购法》第二十二条规定，并提供下列材料：</w:t>
      </w:r>
    </w:p>
    <w:p w14:paraId="3FA368DB">
      <w:pPr>
        <w:widowControl/>
        <w:spacing w:line="560" w:lineRule="exact"/>
        <w:ind w:firstLine="482"/>
        <w:jc w:val="left"/>
        <w:rPr>
          <w:rFonts w:ascii="宋体" w:hAnsi="宋体" w:eastAsia="宋体" w:cs="宋体"/>
          <w:sz w:val="24"/>
        </w:rPr>
      </w:pPr>
      <w:r>
        <w:rPr>
          <w:rFonts w:hint="eastAsia" w:ascii="宋体" w:hAnsi="宋体" w:eastAsia="宋体" w:cs="宋体"/>
          <w:sz w:val="24"/>
        </w:rPr>
        <w:t>1.1法人或者其他组织的营业执照等证明文件，自然人的身份证明；</w:t>
      </w:r>
    </w:p>
    <w:p w14:paraId="6EEC3F96">
      <w:pPr>
        <w:widowControl/>
        <w:spacing w:line="560" w:lineRule="exact"/>
        <w:ind w:firstLine="482"/>
        <w:jc w:val="left"/>
        <w:rPr>
          <w:rFonts w:ascii="宋体" w:hAnsi="宋体" w:eastAsia="宋体" w:cs="宋体"/>
          <w:sz w:val="24"/>
        </w:rPr>
      </w:pPr>
      <w:r>
        <w:rPr>
          <w:rFonts w:hint="eastAsia" w:ascii="宋体" w:hAnsi="宋体" w:eastAsia="宋体" w:cs="宋体"/>
          <w:sz w:val="24"/>
        </w:rPr>
        <w:t>1.2上一年度的财务状况报告（成立不满一年无需提供）；</w:t>
      </w:r>
    </w:p>
    <w:p w14:paraId="2A9A7F3D">
      <w:pPr>
        <w:widowControl/>
        <w:spacing w:line="560" w:lineRule="exact"/>
        <w:ind w:firstLine="482"/>
        <w:jc w:val="left"/>
        <w:rPr>
          <w:rFonts w:ascii="宋体" w:hAnsi="宋体" w:eastAsia="宋体" w:cs="宋体"/>
          <w:sz w:val="24"/>
        </w:rPr>
      </w:pPr>
      <w:r>
        <w:rPr>
          <w:rFonts w:hint="eastAsia" w:ascii="宋体" w:hAnsi="宋体" w:eastAsia="宋体" w:cs="宋体"/>
          <w:sz w:val="24"/>
        </w:rPr>
        <w:t>1.3具备履行合同所必需的设备和专业技术能力的书面声明；</w:t>
      </w:r>
    </w:p>
    <w:p w14:paraId="776F5C72">
      <w:pPr>
        <w:widowControl/>
        <w:spacing w:line="560" w:lineRule="exact"/>
        <w:ind w:firstLine="482"/>
        <w:jc w:val="left"/>
        <w:rPr>
          <w:rFonts w:ascii="宋体" w:hAnsi="宋体" w:eastAsia="宋体" w:cs="宋体"/>
          <w:sz w:val="24"/>
        </w:rPr>
      </w:pPr>
      <w:r>
        <w:rPr>
          <w:rFonts w:hint="eastAsia" w:ascii="宋体" w:hAnsi="宋体" w:eastAsia="宋体" w:cs="宋体"/>
          <w:sz w:val="24"/>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0227494B">
      <w:pPr>
        <w:widowControl/>
        <w:spacing w:line="560" w:lineRule="exact"/>
        <w:ind w:firstLine="482"/>
        <w:jc w:val="left"/>
        <w:rPr>
          <w:rFonts w:ascii="宋体" w:hAnsi="宋体" w:eastAsia="宋体" w:cs="宋体"/>
          <w:sz w:val="24"/>
        </w:rPr>
      </w:pPr>
      <w:r>
        <w:rPr>
          <w:rFonts w:hint="eastAsia" w:ascii="宋体" w:hAnsi="宋体" w:eastAsia="宋体" w:cs="宋体"/>
          <w:sz w:val="24"/>
        </w:rPr>
        <w:t>1.5参加政府采购活动前3年内在经营活动中没有重大违法记录的书面声明。</w:t>
      </w:r>
    </w:p>
    <w:p w14:paraId="35434D90">
      <w:pPr>
        <w:widowControl/>
        <w:spacing w:line="560" w:lineRule="exact"/>
        <w:ind w:firstLine="482"/>
        <w:jc w:val="left"/>
        <w:rPr>
          <w:rFonts w:ascii="宋体" w:hAnsi="宋体" w:eastAsia="宋体" w:cs="宋体"/>
          <w:sz w:val="24"/>
        </w:rPr>
      </w:pPr>
      <w:r>
        <w:rPr>
          <w:rFonts w:hint="eastAsia" w:ascii="宋体" w:hAnsi="宋体" w:eastAsia="宋体" w:cs="宋体"/>
          <w:sz w:val="24"/>
        </w:rPr>
        <w:t>1.6法律、行政法规规定的其他条件。</w:t>
      </w:r>
    </w:p>
    <w:p w14:paraId="5CDDE318">
      <w:pPr>
        <w:widowControl/>
        <w:spacing w:line="560" w:lineRule="exact"/>
        <w:ind w:firstLine="482"/>
        <w:jc w:val="left"/>
        <w:rPr>
          <w:rFonts w:ascii="宋体" w:hAnsi="宋体" w:eastAsia="宋体" w:cs="宋体"/>
          <w:sz w:val="24"/>
        </w:rPr>
      </w:pPr>
      <w:r>
        <w:rPr>
          <w:rFonts w:hint="eastAsia" w:ascii="宋体" w:hAnsi="宋体" w:eastAsia="宋体" w:cs="宋体"/>
          <w:sz w:val="24"/>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0D18374B">
      <w:pPr>
        <w:widowControl/>
        <w:spacing w:line="560" w:lineRule="exact"/>
        <w:ind w:firstLine="482"/>
        <w:jc w:val="left"/>
        <w:rPr>
          <w:rFonts w:ascii="宋体" w:hAnsi="宋体" w:eastAsia="宋体" w:cs="宋体"/>
          <w:sz w:val="24"/>
        </w:rPr>
      </w:pPr>
      <w:r>
        <w:rPr>
          <w:rFonts w:hint="eastAsia" w:ascii="宋体" w:hAnsi="宋体" w:eastAsia="宋体" w:cs="宋体"/>
          <w:sz w:val="24"/>
        </w:rPr>
        <w:t>1.8单位负责人为同一人或者存在直接控股、管理关系的不同供应商，不得参加同一合同项下的政府采购活动。</w:t>
      </w:r>
    </w:p>
    <w:p w14:paraId="1DE6D364">
      <w:pPr>
        <w:widowControl/>
        <w:spacing w:line="560" w:lineRule="exact"/>
        <w:ind w:firstLine="482"/>
        <w:jc w:val="left"/>
        <w:rPr>
          <w:rFonts w:ascii="宋体" w:hAnsi="宋体" w:eastAsia="宋体" w:cs="宋体"/>
          <w:sz w:val="24"/>
        </w:rPr>
      </w:pPr>
      <w:r>
        <w:rPr>
          <w:rFonts w:hint="eastAsia" w:ascii="宋体" w:hAnsi="宋体" w:eastAsia="宋体" w:cs="宋体"/>
          <w:sz w:val="24"/>
        </w:rPr>
        <w:t>2.落实政府采购政策需满足的资格要求：无</w:t>
      </w:r>
    </w:p>
    <w:p w14:paraId="62555577">
      <w:pPr>
        <w:widowControl/>
        <w:spacing w:line="560" w:lineRule="exact"/>
        <w:ind w:firstLine="482"/>
        <w:jc w:val="left"/>
        <w:rPr>
          <w:rFonts w:ascii="宋体" w:hAnsi="宋体" w:eastAsia="宋体" w:cs="宋体"/>
          <w:sz w:val="24"/>
        </w:rPr>
      </w:pPr>
      <w:r>
        <w:rPr>
          <w:rFonts w:hint="eastAsia" w:ascii="宋体" w:hAnsi="宋体" w:eastAsia="宋体" w:cs="宋体"/>
          <w:sz w:val="24"/>
        </w:rPr>
        <w:t>3.本项目的特定资格要求：无</w:t>
      </w:r>
    </w:p>
    <w:p w14:paraId="5C113C34">
      <w:pPr>
        <w:widowControl/>
        <w:spacing w:line="560" w:lineRule="exact"/>
        <w:ind w:firstLine="482"/>
        <w:jc w:val="left"/>
        <w:rPr>
          <w:rFonts w:ascii="宋体" w:hAnsi="宋体" w:eastAsia="宋体" w:cs="宋体"/>
          <w:b/>
          <w:bCs/>
          <w:sz w:val="24"/>
          <w:szCs w:val="20"/>
        </w:rPr>
      </w:pPr>
      <w:r>
        <w:rPr>
          <w:rFonts w:hint="eastAsia" w:ascii="宋体" w:hAnsi="宋体" w:eastAsia="宋体" w:cs="宋体"/>
          <w:b/>
          <w:bCs/>
          <w:sz w:val="24"/>
          <w:szCs w:val="20"/>
        </w:rPr>
        <w:t>三、获取招标文件</w:t>
      </w:r>
      <w:bookmarkStart w:id="19" w:name="_Toc28359018"/>
    </w:p>
    <w:p w14:paraId="63221DC2">
      <w:pPr>
        <w:widowControl/>
        <w:spacing w:line="560" w:lineRule="exact"/>
        <w:ind w:firstLine="482"/>
        <w:jc w:val="left"/>
        <w:rPr>
          <w:rFonts w:ascii="宋体" w:hAnsi="宋体" w:eastAsia="宋体" w:cs="宋体"/>
          <w:sz w:val="24"/>
        </w:rPr>
      </w:pPr>
      <w:r>
        <w:rPr>
          <w:rFonts w:hint="eastAsia" w:ascii="宋体" w:hAnsi="宋体" w:eastAsia="宋体" w:cs="宋体"/>
          <w:sz w:val="24"/>
        </w:rPr>
        <w:t>时间：自招标文件公告发布之日起5个工作日</w:t>
      </w:r>
    </w:p>
    <w:p w14:paraId="685FF447">
      <w:pPr>
        <w:widowControl/>
        <w:spacing w:line="560" w:lineRule="exact"/>
        <w:ind w:firstLine="482"/>
        <w:jc w:val="left"/>
        <w:rPr>
          <w:rFonts w:ascii="宋体" w:hAnsi="宋体" w:eastAsia="宋体" w:cs="宋体"/>
          <w:sz w:val="24"/>
        </w:rPr>
      </w:pPr>
      <w:r>
        <w:rPr>
          <w:rFonts w:hint="eastAsia" w:ascii="宋体" w:hAnsi="宋体" w:eastAsia="宋体" w:cs="宋体"/>
          <w:sz w:val="24"/>
        </w:rPr>
        <w:t>地点：“苏采云”系统内免费下载（投标人必须在苏采云系统中获取采购文件，方能参与政府采购项目）</w:t>
      </w:r>
    </w:p>
    <w:p w14:paraId="7359CB85">
      <w:pPr>
        <w:widowControl/>
        <w:spacing w:line="560" w:lineRule="exact"/>
        <w:ind w:firstLine="482"/>
        <w:jc w:val="left"/>
        <w:rPr>
          <w:rFonts w:ascii="宋体" w:hAnsi="宋体" w:eastAsia="宋体" w:cs="宋体"/>
          <w:sz w:val="24"/>
        </w:rPr>
      </w:pPr>
      <w:r>
        <w:rPr>
          <w:rFonts w:hint="eastAsia" w:ascii="宋体" w:hAnsi="宋体" w:eastAsia="宋体" w:cs="宋体"/>
          <w:sz w:val="24"/>
        </w:rPr>
        <w:t>方式：本项目采用网上注册登记方式</w:t>
      </w:r>
    </w:p>
    <w:p w14:paraId="530EF680">
      <w:pPr>
        <w:widowControl/>
        <w:spacing w:line="560" w:lineRule="exact"/>
        <w:ind w:firstLine="482"/>
        <w:jc w:val="left"/>
        <w:rPr>
          <w:rFonts w:ascii="宋体" w:hAnsi="宋体" w:eastAsia="宋体" w:cs="宋体"/>
          <w:sz w:val="24"/>
        </w:rPr>
      </w:pPr>
      <w:r>
        <w:rPr>
          <w:rFonts w:hint="eastAsia" w:ascii="宋体" w:hAnsi="宋体" w:eastAsia="宋体" w:cs="宋体"/>
          <w:sz w:val="24"/>
        </w:rPr>
        <w:t>售价：0.00元</w:t>
      </w:r>
    </w:p>
    <w:p w14:paraId="2BB7EFA4">
      <w:pPr>
        <w:widowControl/>
        <w:spacing w:line="560" w:lineRule="exact"/>
        <w:ind w:firstLine="482"/>
        <w:rPr>
          <w:rFonts w:ascii="宋体" w:hAnsi="宋体" w:eastAsia="宋体" w:cs="宋体"/>
          <w:b/>
          <w:bCs/>
          <w:sz w:val="24"/>
          <w:szCs w:val="20"/>
        </w:rPr>
      </w:pPr>
      <w:r>
        <w:rPr>
          <w:rFonts w:hint="eastAsia" w:ascii="宋体" w:hAnsi="宋体" w:eastAsia="宋体" w:cs="宋体"/>
          <w:b/>
          <w:bCs/>
          <w:sz w:val="24"/>
          <w:szCs w:val="20"/>
        </w:rPr>
        <w:t>四、提交投标文件截止时间、开标时间和地点</w:t>
      </w:r>
    </w:p>
    <w:p w14:paraId="23749BB0">
      <w:pPr>
        <w:widowControl/>
        <w:spacing w:line="560" w:lineRule="exact"/>
        <w:ind w:firstLine="482"/>
        <w:jc w:val="left"/>
        <w:rPr>
          <w:rFonts w:ascii="宋体" w:hAnsi="宋体" w:eastAsia="宋体" w:cs="宋体"/>
          <w:sz w:val="24"/>
        </w:rPr>
      </w:pPr>
      <w:r>
        <w:rPr>
          <w:rFonts w:hint="eastAsia" w:ascii="宋体" w:hAnsi="宋体" w:eastAsia="宋体" w:cs="宋体"/>
          <w:sz w:val="24"/>
        </w:rPr>
        <w:t>1.时间：2026年8月31日9点30分（北京时间）</w:t>
      </w:r>
    </w:p>
    <w:p w14:paraId="1111440A">
      <w:pPr>
        <w:widowControl/>
        <w:spacing w:line="560" w:lineRule="exact"/>
        <w:ind w:firstLine="482"/>
        <w:jc w:val="left"/>
        <w:rPr>
          <w:rFonts w:ascii="宋体" w:hAnsi="宋体" w:eastAsia="宋体" w:cs="宋体"/>
          <w:sz w:val="24"/>
        </w:rPr>
      </w:pPr>
      <w:r>
        <w:rPr>
          <w:rFonts w:hint="eastAsia" w:ascii="宋体" w:hAnsi="宋体" w:eastAsia="宋体" w:cs="宋体"/>
          <w:sz w:val="24"/>
        </w:rPr>
        <w:t>2.地点：苏采云“不见面”开标大厅。</w:t>
      </w:r>
    </w:p>
    <w:p w14:paraId="1362E452">
      <w:pPr>
        <w:widowControl/>
        <w:spacing w:line="560" w:lineRule="exact"/>
        <w:ind w:firstLine="482"/>
        <w:jc w:val="left"/>
        <w:rPr>
          <w:rFonts w:ascii="宋体" w:hAnsi="宋体" w:eastAsia="宋体" w:cs="宋体"/>
          <w:b/>
          <w:bCs/>
          <w:sz w:val="24"/>
          <w:szCs w:val="20"/>
        </w:rPr>
      </w:pPr>
      <w:r>
        <w:rPr>
          <w:rFonts w:hint="eastAsia" w:ascii="宋体" w:hAnsi="宋体" w:eastAsia="宋体" w:cs="宋体"/>
          <w:b/>
          <w:bCs/>
          <w:sz w:val="24"/>
          <w:szCs w:val="20"/>
        </w:rPr>
        <w:t>五、公告期限</w:t>
      </w:r>
    </w:p>
    <w:p w14:paraId="1F43FE8B">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自本公告发布之日起5个工作日。</w:t>
      </w:r>
    </w:p>
    <w:p w14:paraId="17B8E6BC">
      <w:pPr>
        <w:widowControl/>
        <w:spacing w:line="560" w:lineRule="exact"/>
        <w:ind w:firstLine="482"/>
        <w:jc w:val="left"/>
        <w:rPr>
          <w:rFonts w:ascii="宋体" w:hAnsi="宋体" w:eastAsia="宋体" w:cs="宋体"/>
          <w:b/>
          <w:bCs/>
          <w:sz w:val="24"/>
          <w:szCs w:val="20"/>
        </w:rPr>
      </w:pPr>
      <w:r>
        <w:rPr>
          <w:rFonts w:hint="eastAsia" w:ascii="宋体" w:hAnsi="宋体" w:eastAsia="宋体" w:cs="宋体"/>
          <w:b/>
          <w:bCs/>
          <w:sz w:val="24"/>
          <w:szCs w:val="20"/>
        </w:rPr>
        <w:t>六、其他补充事宜</w:t>
      </w:r>
    </w:p>
    <w:p w14:paraId="44B7356B">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rPr>
          <w:rFonts w:hint="eastAsia" w:ascii="宋体" w:hAnsi="宋体" w:cs="宋体"/>
          <w:sz w:val="24"/>
          <w:szCs w:val="20"/>
        </w:rPr>
        <w:t>具体办理指南：在盐城市政府采购网点击【办事指南】-【供应商参与政府采购活动相关资料】。</w:t>
      </w:r>
    </w:p>
    <w:p w14:paraId="62807802">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领取CA和办理电子签章（</w:t>
      </w:r>
      <w:r>
        <w:rPr>
          <w:rFonts w:hint="eastAsia" w:ascii="宋体" w:hAnsi="宋体" w:eastAsia="宋体" w:cs="宋体"/>
          <w:b/>
          <w:bCs/>
          <w:color w:val="000000"/>
          <w:sz w:val="24"/>
          <w:szCs w:val="20"/>
        </w:rPr>
        <w:t>请至盐城市府西路1号盐城市公共资源交易中心四楼大厅10号，11号窗口办理</w:t>
      </w:r>
      <w:r>
        <w:rPr>
          <w:rFonts w:hint="eastAsia" w:ascii="宋体" w:hAnsi="宋体" w:eastAsia="宋体" w:cs="宋体"/>
          <w:color w:val="000000"/>
          <w:sz w:val="24"/>
          <w:szCs w:val="20"/>
        </w:rPr>
        <w:t>，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p>
    <w:p w14:paraId="4F960A73">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 xml:space="preserve">2. 潜在供应商访问电子招标响应交易平台的网络地址和方法： </w:t>
      </w:r>
    </w:p>
    <w:p w14:paraId="460F5156">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2501668A">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 xml:space="preserve">2.2 潜在投标人访问“苏采云”系统方法：江苏省政府采购网首页-“苏采云”链接。 </w:t>
      </w:r>
    </w:p>
    <w:p w14:paraId="44CA10B5">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 xml:space="preserve">2.3 采购文件（后缀名为“.kedt”）、供应商操作手册及政府采购客户端 工具可通过“苏采云”系统相应链接进行下载。 </w:t>
      </w:r>
    </w:p>
    <w:p w14:paraId="19545030">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 xml:space="preserve">2.4 采购代理机构将数据电文形式的采购文件加载至“苏采云”系统，供潜在供应商下载或者查阅。 </w:t>
      </w:r>
    </w:p>
    <w:p w14:paraId="3D39933C">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 xml:space="preserve">2.5 请潜在投标单位提前安装相应的控件（详见《“苏采云”系统供应商操作手册》）并使用谷歌浏览器登录“苏采云”系统参与不见面开评标。 </w:t>
      </w:r>
    </w:p>
    <w:p w14:paraId="6FD8B9FD">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如潜在投标人未按上述要求操作，将自行承担所产生的风险。</w:t>
      </w:r>
    </w:p>
    <w:p w14:paraId="3D991B2A">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3.有关本次招标的事项若存在变动或修改，敬请及时关注盐城市政府采购中心在“中国政府采购网”、“江苏政府采购网”、“盐城市政府采购网”发布的更正公告。</w:t>
      </w:r>
    </w:p>
    <w:p w14:paraId="72B362F7">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4.本次招标不收取投标保证金，不收取质量保证金。</w:t>
      </w:r>
    </w:p>
    <w:p w14:paraId="37FA0C31">
      <w:pPr>
        <w:widowControl/>
        <w:shd w:val="clear" w:color="auto" w:fill="FFFFFF"/>
        <w:spacing w:line="560" w:lineRule="exact"/>
        <w:ind w:firstLine="482"/>
        <w:jc w:val="left"/>
        <w:rPr>
          <w:rFonts w:ascii="宋体" w:hAnsi="宋体" w:eastAsia="宋体" w:cs="宋体"/>
          <w:b/>
          <w:bCs/>
          <w:sz w:val="24"/>
          <w:szCs w:val="20"/>
        </w:rPr>
      </w:pPr>
      <w:r>
        <w:rPr>
          <w:rFonts w:hint="eastAsia" w:ascii="宋体" w:hAnsi="宋体" w:eastAsia="宋体" w:cs="宋体"/>
          <w:b/>
          <w:bCs/>
          <w:sz w:val="24"/>
          <w:szCs w:val="20"/>
          <w:shd w:val="clear" w:color="auto" w:fill="FFFFFF"/>
        </w:rPr>
        <w:t>七、对本次招标提出询问，请按以下方式联系。</w:t>
      </w:r>
      <w:bookmarkEnd w:id="19"/>
    </w:p>
    <w:p w14:paraId="6E95DF26">
      <w:pPr>
        <w:widowControl/>
        <w:shd w:val="clear" w:color="auto" w:fill="FFFFFF"/>
        <w:spacing w:line="560" w:lineRule="exact"/>
        <w:ind w:firstLine="482"/>
        <w:jc w:val="left"/>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1.采购人信息</w:t>
      </w:r>
    </w:p>
    <w:p w14:paraId="72F1E7EE">
      <w:pPr>
        <w:widowControl/>
        <w:shd w:val="clear" w:color="auto" w:fill="FFFFFF"/>
        <w:spacing w:line="560" w:lineRule="exact"/>
        <w:ind w:firstLine="482"/>
        <w:jc w:val="left"/>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名    称：盐城市教育局</w:t>
      </w:r>
    </w:p>
    <w:p w14:paraId="11ACDCAF">
      <w:pPr>
        <w:widowControl/>
        <w:shd w:val="clear" w:color="auto" w:fill="FFFFFF"/>
        <w:spacing w:line="560" w:lineRule="exact"/>
        <w:ind w:firstLine="482"/>
        <w:jc w:val="left"/>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地    址：盐城市平安路2号</w:t>
      </w:r>
    </w:p>
    <w:p w14:paraId="2841FFE7">
      <w:pPr>
        <w:widowControl/>
        <w:shd w:val="clear" w:color="auto" w:fill="FFFFFF"/>
        <w:spacing w:line="560" w:lineRule="exact"/>
        <w:ind w:firstLine="482"/>
        <w:jc w:val="left"/>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联 系 人：谷女士     </w:t>
      </w:r>
    </w:p>
    <w:p w14:paraId="749D0B8B">
      <w:pPr>
        <w:widowControl/>
        <w:shd w:val="clear" w:color="auto" w:fill="FFFFFF"/>
        <w:spacing w:line="560" w:lineRule="exact"/>
        <w:ind w:firstLine="482"/>
        <w:jc w:val="left"/>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联系方式：0515-88228690</w:t>
      </w:r>
    </w:p>
    <w:p w14:paraId="32433558">
      <w:pPr>
        <w:widowControl/>
        <w:shd w:val="clear" w:color="auto" w:fill="FFFFFF"/>
        <w:spacing w:line="560" w:lineRule="exact"/>
        <w:ind w:firstLine="482"/>
        <w:jc w:val="left"/>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2.采购代理机构信息</w:t>
      </w:r>
    </w:p>
    <w:p w14:paraId="0710A905">
      <w:pPr>
        <w:widowControl/>
        <w:shd w:val="clear" w:color="auto" w:fill="FFFFFF"/>
        <w:spacing w:line="560" w:lineRule="exact"/>
        <w:ind w:firstLine="482"/>
        <w:jc w:val="left"/>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名    称：盐城市政府采购中心</w:t>
      </w:r>
    </w:p>
    <w:p w14:paraId="194FE013">
      <w:pPr>
        <w:widowControl/>
        <w:shd w:val="clear" w:color="auto" w:fill="FFFFFF"/>
        <w:spacing w:line="560" w:lineRule="exact"/>
        <w:ind w:firstLine="482"/>
        <w:jc w:val="left"/>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地    址：盐城市府西路1号市公共资源交易中心5楼</w:t>
      </w:r>
    </w:p>
    <w:p w14:paraId="1FEC201C">
      <w:pPr>
        <w:widowControl/>
        <w:shd w:val="clear" w:color="auto" w:fill="FFFFFF"/>
        <w:spacing w:line="560" w:lineRule="exact"/>
        <w:ind w:firstLine="482"/>
        <w:jc w:val="left"/>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联 系 人：</w:t>
      </w:r>
      <w:r>
        <w:rPr>
          <w:rFonts w:hint="eastAsia" w:ascii="宋体" w:hAnsi="宋体" w:eastAsia="宋体" w:cs="宋体"/>
          <w:sz w:val="24"/>
        </w:rPr>
        <w:t>顾女士</w:t>
      </w:r>
    </w:p>
    <w:p w14:paraId="7641FCCD">
      <w:pPr>
        <w:widowControl/>
        <w:shd w:val="clear" w:color="auto" w:fill="FFFFFF"/>
        <w:spacing w:line="560" w:lineRule="exact"/>
        <w:ind w:firstLine="482"/>
        <w:jc w:val="left"/>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联系方式：</w:t>
      </w:r>
      <w:r>
        <w:rPr>
          <w:rFonts w:hint="eastAsia" w:ascii="宋体" w:hAnsi="宋体" w:eastAsia="宋体" w:cs="宋体"/>
          <w:sz w:val="24"/>
        </w:rPr>
        <w:t>0515-86665092</w:t>
      </w:r>
    </w:p>
    <w:p w14:paraId="10044224">
      <w:pPr>
        <w:widowControl/>
        <w:shd w:val="clear" w:color="auto" w:fill="FFFFFF"/>
        <w:spacing w:line="560" w:lineRule="exact"/>
        <w:ind w:firstLine="482"/>
        <w:jc w:val="left"/>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3.项目联系方式</w:t>
      </w:r>
    </w:p>
    <w:p w14:paraId="3DE40945">
      <w:pPr>
        <w:widowControl/>
        <w:shd w:val="clear" w:color="auto" w:fill="FFFFFF"/>
        <w:spacing w:line="560" w:lineRule="exact"/>
        <w:ind w:firstLine="482"/>
        <w:jc w:val="left"/>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项目联系人：</w:t>
      </w:r>
      <w:r>
        <w:rPr>
          <w:rFonts w:hint="eastAsia" w:ascii="宋体" w:hAnsi="宋体" w:eastAsia="宋体" w:cs="宋体"/>
          <w:sz w:val="24"/>
        </w:rPr>
        <w:t>顾女士</w:t>
      </w:r>
    </w:p>
    <w:p w14:paraId="598EF82D">
      <w:pPr>
        <w:widowControl/>
        <w:shd w:val="clear" w:color="auto" w:fill="FFFFFF"/>
        <w:spacing w:line="560" w:lineRule="exact"/>
        <w:ind w:firstLine="482"/>
        <w:jc w:val="left"/>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电      话：</w:t>
      </w:r>
      <w:r>
        <w:rPr>
          <w:rFonts w:hint="eastAsia" w:ascii="宋体" w:hAnsi="宋体" w:eastAsia="宋体" w:cs="宋体"/>
          <w:sz w:val="24"/>
        </w:rPr>
        <w:t>0515-86665092</w:t>
      </w:r>
    </w:p>
    <w:p w14:paraId="3C7F483B">
      <w:pPr>
        <w:widowControl/>
      </w:pPr>
    </w:p>
    <w:p w14:paraId="0BC5D57A">
      <w:pPr>
        <w:widowControl/>
        <w:rPr>
          <w:rFonts w:ascii="黑体" w:hAnsi="宋体" w:eastAsia="黑体" w:cs="黑体"/>
          <w:b/>
          <w:sz w:val="44"/>
          <w:szCs w:val="44"/>
        </w:rPr>
      </w:pPr>
      <w:r>
        <w:rPr>
          <w:rFonts w:hint="eastAsia" w:ascii="宋体" w:hAnsi="宋体" w:eastAsia="宋体" w:cs="宋体"/>
        </w:rPr>
        <w:br w:type="page" w:clear="all"/>
      </w:r>
      <w:bookmarkStart w:id="20" w:name="_Toc120614211"/>
    </w:p>
    <w:p w14:paraId="47E8FE8A">
      <w:pPr>
        <w:keepNext/>
        <w:keepLines/>
        <w:widowControl/>
        <w:spacing w:before="260" w:after="260" w:line="560" w:lineRule="exact"/>
        <w:ind w:firstLine="482"/>
        <w:jc w:val="center"/>
        <w:outlineLvl w:val="0"/>
      </w:pPr>
      <w:bookmarkStart w:id="21" w:name="_Toc5488"/>
      <w:r>
        <w:rPr>
          <w:rFonts w:hint="eastAsia" w:ascii="黑体" w:hAnsi="宋体" w:eastAsia="黑体" w:cs="黑体"/>
          <w:bCs/>
          <w:sz w:val="44"/>
          <w:szCs w:val="44"/>
        </w:rPr>
        <w:t>第二章</w:t>
      </w:r>
      <w:bookmarkEnd w:id="20"/>
      <w:bookmarkStart w:id="22" w:name="_Toc20823274"/>
      <w:bookmarkStart w:id="23" w:name="_Toc513029202"/>
      <w:bookmarkStart w:id="24" w:name="_Toc16938518"/>
      <w:bookmarkStart w:id="25" w:name="_Toc120614213"/>
      <w:r>
        <w:rPr>
          <w:rFonts w:hint="eastAsia" w:ascii="黑体" w:hAnsi="宋体" w:eastAsia="黑体" w:cs="黑体"/>
          <w:bCs/>
          <w:sz w:val="44"/>
          <w:szCs w:val="44"/>
        </w:rPr>
        <w:t xml:space="preserve"> 投标人须知</w:t>
      </w:r>
      <w:bookmarkEnd w:id="21"/>
      <w:bookmarkEnd w:id="22"/>
      <w:bookmarkEnd w:id="23"/>
      <w:bookmarkEnd w:id="24"/>
      <w:bookmarkEnd w:id="25"/>
    </w:p>
    <w:p w14:paraId="342171CA">
      <w:pPr>
        <w:pStyle w:val="36"/>
        <w:keepNext/>
        <w:spacing w:beforeAutospacing="0" w:afterAutospacing="0" w:line="480" w:lineRule="exact"/>
        <w:ind w:firstLine="482"/>
        <w:jc w:val="both"/>
        <w:rPr>
          <w:rFonts w:ascii="宋体" w:hAnsi="宋体" w:eastAsia="宋体" w:cs="宋体"/>
        </w:rPr>
      </w:pPr>
      <w:bookmarkStart w:id="26" w:name="_Toc16938519"/>
      <w:bookmarkStart w:id="27" w:name="_Toc120614214"/>
      <w:bookmarkStart w:id="28" w:name="_Toc20823275"/>
      <w:bookmarkStart w:id="29" w:name="_Toc513029203"/>
      <w:bookmarkStart w:id="30" w:name="_Hlt26670486"/>
      <w:bookmarkStart w:id="31" w:name="_Hlt26954852"/>
      <w:bookmarkStart w:id="32" w:name="_Hlt26670482"/>
      <w:bookmarkStart w:id="33" w:name="_Toc513029226"/>
      <w:bookmarkStart w:id="34" w:name="_Hlt26954731"/>
      <w:bookmarkStart w:id="35" w:name="_Hlt26954739"/>
      <w:bookmarkStart w:id="36" w:name="_Hlt26954846"/>
      <w:bookmarkStart w:id="37" w:name="_Hlt16619475"/>
      <w:bookmarkStart w:id="38" w:name="_Hlt26670360"/>
      <w:bookmarkStart w:id="39" w:name="_Hlt26954838"/>
      <w:bookmarkStart w:id="40" w:name="_Hlt26668975"/>
      <w:bookmarkStart w:id="41" w:name="_Hlt26954848"/>
      <w:r>
        <w:rPr>
          <w:rFonts w:hint="eastAsia" w:ascii="宋体" w:hAnsi="宋体" w:eastAsia="宋体" w:cs="宋体"/>
          <w:b/>
        </w:rPr>
        <w:t>一、总则</w:t>
      </w:r>
      <w:bookmarkEnd w:id="26"/>
      <w:bookmarkEnd w:id="27"/>
      <w:bookmarkEnd w:id="28"/>
      <w:bookmarkEnd w:id="29"/>
    </w:p>
    <w:p w14:paraId="43DF9BBC">
      <w:pPr>
        <w:keepNext/>
        <w:spacing w:line="560" w:lineRule="exact"/>
        <w:ind w:firstLine="482"/>
        <w:jc w:val="left"/>
        <w:outlineLvl w:val="2"/>
        <w:rPr>
          <w:rFonts w:ascii="宋体" w:hAnsi="宋体" w:eastAsia="宋体" w:cs="宋体"/>
          <w:b/>
          <w:bCs/>
          <w:sz w:val="24"/>
          <w:szCs w:val="20"/>
        </w:rPr>
      </w:pPr>
      <w:bookmarkStart w:id="42" w:name="_Toc20823276"/>
      <w:bookmarkStart w:id="43" w:name="_Toc16938520"/>
      <w:bookmarkStart w:id="44" w:name="_Toc458694821"/>
      <w:bookmarkStart w:id="45" w:name="_Toc513029204"/>
      <w:r>
        <w:rPr>
          <w:rFonts w:hint="eastAsia" w:ascii="宋体" w:hAnsi="宋体" w:eastAsia="宋体" w:cs="宋体"/>
          <w:b/>
          <w:bCs/>
          <w:sz w:val="24"/>
          <w:szCs w:val="20"/>
        </w:rPr>
        <w:t>1</w:t>
      </w:r>
      <w:bookmarkEnd w:id="42"/>
      <w:r>
        <w:rPr>
          <w:rFonts w:hint="eastAsia" w:ascii="宋体" w:hAnsi="宋体" w:eastAsia="宋体" w:cs="宋体"/>
          <w:b/>
          <w:bCs/>
          <w:sz w:val="24"/>
          <w:szCs w:val="20"/>
        </w:rPr>
        <w:t>、招标方式</w:t>
      </w:r>
      <w:bookmarkEnd w:id="43"/>
      <w:bookmarkEnd w:id="44"/>
      <w:bookmarkEnd w:id="45"/>
    </w:p>
    <w:p w14:paraId="5D521F22">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1.1本次招标采取公开招标方式，本招标文件仅适用于招标公告中所述项目。</w:t>
      </w:r>
    </w:p>
    <w:p w14:paraId="6B68F825">
      <w:pPr>
        <w:keepNext/>
        <w:spacing w:line="560" w:lineRule="exact"/>
        <w:ind w:firstLine="482"/>
        <w:jc w:val="left"/>
        <w:outlineLvl w:val="2"/>
        <w:rPr>
          <w:rFonts w:ascii="宋体" w:hAnsi="宋体" w:eastAsia="宋体" w:cs="宋体"/>
          <w:b/>
          <w:bCs/>
          <w:sz w:val="24"/>
          <w:szCs w:val="20"/>
        </w:rPr>
      </w:pPr>
      <w:bookmarkStart w:id="46" w:name="_Toc16938521"/>
      <w:bookmarkStart w:id="47" w:name="_Toc513029205"/>
      <w:bookmarkStart w:id="48" w:name="_Toc20823277"/>
      <w:r>
        <w:rPr>
          <w:rFonts w:hint="eastAsia" w:ascii="宋体" w:hAnsi="宋体" w:eastAsia="宋体" w:cs="宋体"/>
          <w:b/>
          <w:bCs/>
          <w:sz w:val="24"/>
          <w:szCs w:val="20"/>
        </w:rPr>
        <w:t>2、合格的投标人</w:t>
      </w:r>
      <w:bookmarkEnd w:id="46"/>
      <w:bookmarkEnd w:id="47"/>
      <w:bookmarkEnd w:id="48"/>
    </w:p>
    <w:p w14:paraId="734B1299">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2.1满足招标公告中供应商的资格要求的规定。</w:t>
      </w:r>
    </w:p>
    <w:p w14:paraId="76831E7F">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2.2满足本文件实质性要求和条件的规定。</w:t>
      </w:r>
    </w:p>
    <w:p w14:paraId="757B0F11">
      <w:pPr>
        <w:keepNext/>
        <w:spacing w:line="560" w:lineRule="exact"/>
        <w:ind w:firstLine="482"/>
        <w:jc w:val="left"/>
        <w:outlineLvl w:val="2"/>
        <w:rPr>
          <w:rFonts w:ascii="宋体" w:hAnsi="宋体" w:eastAsia="宋体" w:cs="宋体"/>
          <w:b/>
          <w:bCs/>
          <w:sz w:val="24"/>
          <w:szCs w:val="20"/>
        </w:rPr>
      </w:pPr>
      <w:bookmarkStart w:id="49" w:name="_Toc16938522"/>
      <w:bookmarkStart w:id="50" w:name="_Toc513029206"/>
      <w:bookmarkStart w:id="51" w:name="_Toc20823278"/>
      <w:r>
        <w:rPr>
          <w:rFonts w:hint="eastAsia" w:ascii="宋体" w:hAnsi="宋体" w:eastAsia="宋体" w:cs="宋体"/>
          <w:b/>
          <w:bCs/>
          <w:sz w:val="24"/>
          <w:szCs w:val="20"/>
        </w:rPr>
        <w:t>3、适用法律</w:t>
      </w:r>
      <w:bookmarkEnd w:id="49"/>
      <w:bookmarkEnd w:id="50"/>
      <w:bookmarkEnd w:id="51"/>
    </w:p>
    <w:p w14:paraId="64D26FEA">
      <w:pPr>
        <w:widowControl/>
        <w:spacing w:line="556" w:lineRule="exact"/>
        <w:ind w:firstLine="482"/>
        <w:jc w:val="left"/>
        <w:rPr>
          <w:rFonts w:ascii="宋体" w:hAnsi="宋体" w:eastAsia="宋体" w:cs="宋体"/>
          <w:kern w:val="2"/>
          <w:sz w:val="24"/>
          <w:szCs w:val="20"/>
        </w:rPr>
      </w:pPr>
      <w:bookmarkStart w:id="52" w:name="_Toc16938523"/>
      <w:bookmarkStart w:id="53" w:name="_Toc20823279"/>
      <w:bookmarkStart w:id="54" w:name="_Toc513029207"/>
      <w:bookmarkStart w:id="55" w:name="_Toc462564067"/>
      <w:r>
        <w:rPr>
          <w:rFonts w:hint="eastAsia" w:ascii="宋体" w:hAnsi="宋体" w:eastAsia="宋体" w:cs="宋体"/>
          <w:kern w:val="2"/>
          <w:sz w:val="24"/>
          <w:szCs w:val="20"/>
        </w:rPr>
        <w:t>3.1 本次招标及由此产生的合同受中华人民共和国有关的法律法规制约和保护。</w:t>
      </w:r>
    </w:p>
    <w:p w14:paraId="3406156D">
      <w:pPr>
        <w:widowControl/>
        <w:spacing w:line="556" w:lineRule="exact"/>
        <w:ind w:firstLine="482"/>
        <w:jc w:val="left"/>
        <w:rPr>
          <w:rFonts w:ascii="宋体" w:hAnsi="宋体" w:eastAsia="宋体" w:cs="宋体"/>
          <w:kern w:val="2"/>
          <w:sz w:val="24"/>
          <w:szCs w:val="20"/>
        </w:rPr>
      </w:pPr>
      <w:r>
        <w:rPr>
          <w:rFonts w:hint="eastAsia" w:ascii="宋体" w:hAnsi="宋体" w:eastAsia="宋体" w:cs="宋体"/>
          <w:kern w:val="2"/>
          <w:sz w:val="24"/>
          <w:szCs w:val="20"/>
        </w:rPr>
        <w:t>3.2 在本项目政府采购活动过程中，如果所执行的标准有更新的，按照最新标准执行。</w:t>
      </w:r>
    </w:p>
    <w:p w14:paraId="6193680E">
      <w:pPr>
        <w:keepNext/>
        <w:spacing w:line="560" w:lineRule="exact"/>
        <w:ind w:firstLine="482"/>
        <w:jc w:val="left"/>
        <w:outlineLvl w:val="2"/>
        <w:rPr>
          <w:rFonts w:ascii="宋体" w:hAnsi="宋体" w:eastAsia="宋体" w:cs="宋体"/>
          <w:b/>
          <w:bCs/>
          <w:sz w:val="24"/>
          <w:szCs w:val="20"/>
        </w:rPr>
      </w:pPr>
      <w:r>
        <w:rPr>
          <w:rFonts w:hint="eastAsia" w:ascii="宋体" w:hAnsi="宋体" w:eastAsia="宋体" w:cs="宋体"/>
          <w:b/>
          <w:bCs/>
          <w:sz w:val="24"/>
          <w:szCs w:val="20"/>
        </w:rPr>
        <w:t>4、投标费用</w:t>
      </w:r>
      <w:bookmarkEnd w:id="52"/>
      <w:bookmarkEnd w:id="53"/>
      <w:bookmarkEnd w:id="54"/>
      <w:bookmarkEnd w:id="55"/>
    </w:p>
    <w:p w14:paraId="00E922FB">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4.1投标人应自行承担所有与参加投标有关的费用，无论投标过程中的做法和结果如何，盐城市政府采购中心（以下简称采购中心）在任何情况下均无义务和责任承担这些费用。</w:t>
      </w:r>
    </w:p>
    <w:p w14:paraId="59C5C0C6">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4.2本次招标采购中心和采购人不收取标书工本费与中标服务费。</w:t>
      </w:r>
    </w:p>
    <w:p w14:paraId="282C27CC">
      <w:pPr>
        <w:keepNext/>
        <w:spacing w:line="560" w:lineRule="exact"/>
        <w:ind w:firstLine="482"/>
        <w:jc w:val="left"/>
        <w:rPr>
          <w:rFonts w:ascii="宋体" w:hAnsi="宋体" w:eastAsia="宋体" w:cs="宋体"/>
          <w:b/>
          <w:bCs/>
          <w:sz w:val="24"/>
          <w:szCs w:val="20"/>
        </w:rPr>
      </w:pPr>
      <w:r>
        <w:rPr>
          <w:rFonts w:hint="eastAsia" w:ascii="宋体" w:hAnsi="宋体" w:eastAsia="宋体" w:cs="宋体"/>
          <w:b/>
          <w:bCs/>
          <w:sz w:val="24"/>
          <w:szCs w:val="20"/>
        </w:rPr>
        <w:t>5、招标文件的约束力</w:t>
      </w:r>
    </w:p>
    <w:p w14:paraId="60E40C35">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5.1投标人一旦参加本项目采购活动，即被认为接受了本招标文件的规定和约束。</w:t>
      </w:r>
    </w:p>
    <w:p w14:paraId="2F5FFED4">
      <w:pPr>
        <w:keepNext/>
        <w:spacing w:line="560" w:lineRule="exact"/>
        <w:ind w:firstLine="482"/>
        <w:jc w:val="left"/>
        <w:rPr>
          <w:rFonts w:ascii="宋体" w:hAnsi="宋体" w:eastAsia="宋体" w:cs="宋体"/>
          <w:b/>
          <w:bCs/>
          <w:sz w:val="24"/>
          <w:szCs w:val="20"/>
        </w:rPr>
      </w:pPr>
      <w:bookmarkStart w:id="56" w:name="_Toc120614215"/>
      <w:bookmarkStart w:id="57" w:name="_Toc20823281"/>
      <w:bookmarkStart w:id="58" w:name="_Toc513029209"/>
      <w:bookmarkStart w:id="59" w:name="_Toc16938525"/>
      <w:r>
        <w:rPr>
          <w:rFonts w:hint="eastAsia" w:ascii="宋体" w:hAnsi="宋体" w:eastAsia="宋体" w:cs="宋体"/>
          <w:b/>
          <w:bCs/>
          <w:sz w:val="24"/>
          <w:szCs w:val="20"/>
        </w:rPr>
        <w:t>二、招标文件</w:t>
      </w:r>
      <w:bookmarkEnd w:id="56"/>
      <w:bookmarkEnd w:id="57"/>
      <w:bookmarkEnd w:id="58"/>
      <w:bookmarkEnd w:id="59"/>
    </w:p>
    <w:p w14:paraId="32FBC1D4">
      <w:pPr>
        <w:keepNext/>
        <w:spacing w:line="560" w:lineRule="exact"/>
        <w:ind w:firstLine="482"/>
        <w:jc w:val="left"/>
        <w:rPr>
          <w:rFonts w:ascii="宋体" w:hAnsi="宋体" w:eastAsia="宋体" w:cs="宋体"/>
          <w:b/>
          <w:bCs/>
          <w:sz w:val="24"/>
          <w:szCs w:val="20"/>
        </w:rPr>
      </w:pPr>
      <w:bookmarkStart w:id="60" w:name="_Toc513029210"/>
      <w:bookmarkStart w:id="61" w:name="_Toc20823282"/>
      <w:bookmarkStart w:id="62" w:name="_Toc16938526"/>
      <w:r>
        <w:rPr>
          <w:rFonts w:hint="eastAsia" w:ascii="宋体" w:hAnsi="宋体" w:eastAsia="宋体" w:cs="宋体"/>
          <w:b/>
          <w:bCs/>
          <w:sz w:val="24"/>
          <w:szCs w:val="20"/>
        </w:rPr>
        <w:t>6、招标文件构成</w:t>
      </w:r>
      <w:bookmarkEnd w:id="60"/>
      <w:bookmarkEnd w:id="61"/>
      <w:bookmarkEnd w:id="62"/>
    </w:p>
    <w:p w14:paraId="5E8AB851">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6.1招标文件由以下部分组成：</w:t>
      </w:r>
    </w:p>
    <w:p w14:paraId="0E939F49">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（1）招标公告</w:t>
      </w:r>
    </w:p>
    <w:p w14:paraId="52EA2FDC">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（2）投标人须知</w:t>
      </w:r>
    </w:p>
    <w:p w14:paraId="6DEC1EA0">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（3）合同文本</w:t>
      </w:r>
    </w:p>
    <w:p w14:paraId="33D643A3">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（4）采购需求</w:t>
      </w:r>
    </w:p>
    <w:p w14:paraId="22B4F7C2">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（5）评标方法与评标标准</w:t>
      </w:r>
    </w:p>
    <w:p w14:paraId="634C7274">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（6）投标文件格式</w:t>
      </w:r>
    </w:p>
    <w:p w14:paraId="1A9B38FD">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请仔细检查招标文件是否齐全，如有缺漏请立即与采购中心联系解决。</w:t>
      </w:r>
    </w:p>
    <w:p w14:paraId="6D35FC15">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312EB37">
      <w:pPr>
        <w:keepNext/>
        <w:spacing w:line="560" w:lineRule="exact"/>
        <w:ind w:firstLine="482"/>
        <w:jc w:val="left"/>
        <w:rPr>
          <w:rFonts w:ascii="宋体" w:hAnsi="宋体" w:eastAsia="宋体" w:cs="宋体"/>
          <w:b/>
          <w:bCs/>
          <w:sz w:val="24"/>
          <w:szCs w:val="20"/>
        </w:rPr>
      </w:pPr>
      <w:bookmarkStart w:id="63" w:name="_Toc20823283"/>
      <w:bookmarkStart w:id="64" w:name="_Toc462564070"/>
      <w:bookmarkStart w:id="65" w:name="_Toc513029211"/>
      <w:bookmarkStart w:id="66" w:name="_Toc16938527"/>
      <w:r>
        <w:rPr>
          <w:rFonts w:hint="eastAsia" w:ascii="宋体" w:hAnsi="宋体" w:eastAsia="宋体" w:cs="宋体"/>
          <w:b/>
          <w:bCs/>
          <w:sz w:val="24"/>
          <w:szCs w:val="20"/>
        </w:rPr>
        <w:t>7、招标文件的澄清</w:t>
      </w:r>
      <w:bookmarkEnd w:id="63"/>
      <w:bookmarkEnd w:id="64"/>
      <w:bookmarkEnd w:id="65"/>
      <w:bookmarkEnd w:id="66"/>
    </w:p>
    <w:p w14:paraId="2E821BC2">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7.1任何要求对招标文件进行澄清的投标人，应在投标截止期</w:t>
      </w:r>
      <w:r>
        <w:rPr>
          <w:rFonts w:hint="eastAsia" w:ascii="宋体" w:hAnsi="宋体" w:eastAsia="宋体" w:cs="宋体"/>
          <w:b/>
          <w:bCs/>
          <w:sz w:val="24"/>
          <w:szCs w:val="20"/>
        </w:rPr>
        <w:t>十日</w:t>
      </w:r>
      <w:r>
        <w:rPr>
          <w:rFonts w:hint="eastAsia" w:ascii="宋体" w:hAnsi="宋体" w:eastAsia="宋体" w:cs="宋体"/>
          <w:sz w:val="24"/>
          <w:szCs w:val="20"/>
        </w:rPr>
        <w:t>前按招标公告中的通讯地址，以书面形式通知采购中心。</w:t>
      </w:r>
    </w:p>
    <w:p w14:paraId="7D664197">
      <w:pPr>
        <w:keepNext/>
        <w:spacing w:line="560" w:lineRule="exact"/>
        <w:ind w:firstLine="482"/>
        <w:jc w:val="left"/>
        <w:rPr>
          <w:rFonts w:ascii="宋体" w:hAnsi="宋体" w:eastAsia="宋体" w:cs="宋体"/>
          <w:b/>
          <w:bCs/>
          <w:sz w:val="24"/>
          <w:szCs w:val="20"/>
        </w:rPr>
      </w:pPr>
      <w:bookmarkStart w:id="67" w:name="_Toc513029212"/>
      <w:bookmarkStart w:id="68" w:name="_Toc462564071"/>
      <w:bookmarkStart w:id="69" w:name="_Toc16938528"/>
      <w:bookmarkStart w:id="70" w:name="_Toc20823284"/>
      <w:r>
        <w:rPr>
          <w:rFonts w:hint="eastAsia" w:ascii="宋体" w:hAnsi="宋体" w:eastAsia="宋体" w:cs="宋体"/>
          <w:b/>
          <w:bCs/>
          <w:sz w:val="24"/>
          <w:szCs w:val="20"/>
        </w:rPr>
        <w:t>8、招标文件的修改</w:t>
      </w:r>
      <w:bookmarkEnd w:id="67"/>
      <w:bookmarkEnd w:id="68"/>
      <w:bookmarkEnd w:id="69"/>
      <w:bookmarkEnd w:id="70"/>
    </w:p>
    <w:p w14:paraId="28BB5D88">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8.1在投标截止时间前，采购中心可以对招标文件进行修改。</w:t>
      </w:r>
    </w:p>
    <w:p w14:paraId="6D6DD767">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8.2采购中心有权按照法定的要求推迟投标截止日期和开标日期。</w:t>
      </w:r>
    </w:p>
    <w:p w14:paraId="0949C2E1">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8.3招标文件的修改将在“中国政府采购网”、“江苏政府采购网”、“盐城市政府采购网”公布，补充文件将作为招标文件的组成部分，并对投标人具有约束力。</w:t>
      </w:r>
    </w:p>
    <w:p w14:paraId="6E97062A">
      <w:pPr>
        <w:keepNext/>
        <w:spacing w:line="560" w:lineRule="exact"/>
        <w:ind w:firstLine="482"/>
        <w:jc w:val="left"/>
        <w:rPr>
          <w:rFonts w:ascii="宋体" w:hAnsi="宋体" w:eastAsia="宋体" w:cs="宋体"/>
          <w:b/>
          <w:bCs/>
          <w:sz w:val="24"/>
          <w:szCs w:val="20"/>
        </w:rPr>
      </w:pPr>
      <w:bookmarkStart w:id="71" w:name="_Toc120614216"/>
      <w:bookmarkStart w:id="72" w:name="_Toc16938529"/>
      <w:bookmarkStart w:id="73" w:name="_Toc462564072"/>
      <w:bookmarkStart w:id="74" w:name="_Toc20823285"/>
      <w:bookmarkStart w:id="75" w:name="_Toc513029213"/>
      <w:r>
        <w:rPr>
          <w:rFonts w:hint="eastAsia" w:ascii="宋体" w:hAnsi="宋体" w:eastAsia="宋体" w:cs="宋体"/>
          <w:b/>
          <w:bCs/>
          <w:sz w:val="24"/>
          <w:szCs w:val="20"/>
        </w:rPr>
        <w:t>三、投标文件的编制</w:t>
      </w:r>
      <w:bookmarkEnd w:id="71"/>
      <w:bookmarkEnd w:id="72"/>
      <w:bookmarkEnd w:id="73"/>
      <w:bookmarkEnd w:id="74"/>
      <w:bookmarkEnd w:id="75"/>
    </w:p>
    <w:p w14:paraId="48D05244">
      <w:pPr>
        <w:keepNext/>
        <w:spacing w:line="560" w:lineRule="exact"/>
        <w:ind w:firstLine="482"/>
        <w:jc w:val="left"/>
        <w:rPr>
          <w:rFonts w:ascii="宋体" w:hAnsi="宋体" w:eastAsia="宋体" w:cs="宋体"/>
          <w:b/>
          <w:bCs/>
          <w:sz w:val="24"/>
          <w:szCs w:val="20"/>
        </w:rPr>
      </w:pPr>
      <w:bookmarkStart w:id="76" w:name="_Toc16938530"/>
      <w:bookmarkStart w:id="77" w:name="_Toc513029214"/>
      <w:bookmarkStart w:id="78" w:name="_Toc20823286"/>
      <w:bookmarkStart w:id="79" w:name="_Toc462564073"/>
      <w:r>
        <w:rPr>
          <w:rFonts w:hint="eastAsia" w:ascii="宋体" w:hAnsi="宋体" w:eastAsia="宋体" w:cs="宋体"/>
          <w:b/>
          <w:bCs/>
          <w:sz w:val="24"/>
          <w:szCs w:val="20"/>
        </w:rPr>
        <w:t>9、投标文件的语言及度量衡单位</w:t>
      </w:r>
      <w:bookmarkEnd w:id="76"/>
      <w:bookmarkEnd w:id="77"/>
      <w:bookmarkEnd w:id="78"/>
      <w:bookmarkEnd w:id="79"/>
    </w:p>
    <w:p w14:paraId="3562921C">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9.1投标人提交的投标文件以及投标人与采购中心就有关投标的所有来往通知、函件和文件均应使用</w:t>
      </w:r>
      <w:r>
        <w:rPr>
          <w:rFonts w:hint="eastAsia" w:ascii="宋体" w:hAnsi="宋体" w:eastAsia="宋体" w:cs="宋体"/>
          <w:b/>
          <w:bCs/>
          <w:sz w:val="24"/>
          <w:szCs w:val="20"/>
        </w:rPr>
        <w:t>简体中文</w:t>
      </w:r>
      <w:r>
        <w:rPr>
          <w:rFonts w:hint="eastAsia" w:ascii="宋体" w:hAnsi="宋体" w:eastAsia="宋体" w:cs="宋体"/>
          <w:sz w:val="24"/>
          <w:szCs w:val="20"/>
        </w:rPr>
        <w:t>。</w:t>
      </w:r>
    </w:p>
    <w:p w14:paraId="5E2955FF">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9.2除技术性能另有规定外，投标文件所使用的度量衡单位，均须采用国家法定计量单位。</w:t>
      </w:r>
    </w:p>
    <w:p w14:paraId="3B430E81">
      <w:pPr>
        <w:keepNext/>
        <w:spacing w:line="560" w:lineRule="exact"/>
        <w:ind w:firstLine="482"/>
        <w:jc w:val="left"/>
        <w:rPr>
          <w:rFonts w:ascii="宋体" w:hAnsi="宋体" w:eastAsia="宋体" w:cs="宋体"/>
          <w:b/>
          <w:bCs/>
          <w:sz w:val="24"/>
          <w:szCs w:val="20"/>
        </w:rPr>
      </w:pPr>
      <w:bookmarkStart w:id="80" w:name="_Toc513029215"/>
      <w:bookmarkStart w:id="81" w:name="_Toc462564074"/>
      <w:bookmarkStart w:id="82" w:name="_Toc20823287"/>
      <w:bookmarkStart w:id="83" w:name="_Toc16938531"/>
      <w:r>
        <w:rPr>
          <w:rFonts w:hint="eastAsia" w:ascii="宋体" w:hAnsi="宋体" w:eastAsia="宋体" w:cs="宋体"/>
          <w:b/>
          <w:bCs/>
          <w:sz w:val="24"/>
          <w:szCs w:val="20"/>
        </w:rPr>
        <w:t>10、投标文件构成</w:t>
      </w:r>
      <w:bookmarkEnd w:id="80"/>
      <w:bookmarkEnd w:id="81"/>
      <w:bookmarkEnd w:id="82"/>
      <w:bookmarkEnd w:id="83"/>
    </w:p>
    <w:p w14:paraId="25007A99">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10.1投标人编写的投标文件应包括资格证明文件、符合性证明文件、投标分项报价表、技术要求响应及偏离表、商务要求响应及偏离表、其他证明文件、投标函、开标一览表等部分。</w:t>
      </w:r>
    </w:p>
    <w:p w14:paraId="21FF99B9">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10.2如标书制作工具中格式和内容与“中国政府采购网”、“江苏政府采购网”、“盐城市政府采购网”发布的招标文件不一致，请以“中国政府采购网”、“江苏政府采购网”、“盐城市政府采购网”发布的招标文件为准。</w:t>
      </w:r>
    </w:p>
    <w:p w14:paraId="25B90C1B">
      <w:pPr>
        <w:keepNext/>
        <w:spacing w:line="560" w:lineRule="exact"/>
        <w:ind w:firstLine="482"/>
        <w:jc w:val="left"/>
        <w:rPr>
          <w:rFonts w:ascii="宋体" w:hAnsi="宋体" w:eastAsia="宋体" w:cs="宋体"/>
          <w:b/>
          <w:bCs/>
          <w:sz w:val="24"/>
          <w:szCs w:val="20"/>
        </w:rPr>
      </w:pPr>
      <w:bookmarkStart w:id="84" w:name="_Toc14577357"/>
      <w:bookmarkStart w:id="85" w:name="_Toc49090509"/>
      <w:bookmarkStart w:id="86" w:name="_Toc513029219"/>
      <w:bookmarkStart w:id="87" w:name="_Toc14577355"/>
      <w:bookmarkStart w:id="88" w:name="_Toc14577354"/>
      <w:bookmarkStart w:id="89" w:name="_Toc49090508"/>
      <w:bookmarkStart w:id="90" w:name="_Toc513029216"/>
      <w:bookmarkStart w:id="91" w:name="_Toc49090507"/>
      <w:r>
        <w:rPr>
          <w:rFonts w:hint="eastAsia" w:ascii="宋体" w:hAnsi="宋体" w:eastAsia="宋体" w:cs="宋体"/>
          <w:b/>
          <w:bCs/>
          <w:sz w:val="24"/>
          <w:szCs w:val="20"/>
        </w:rPr>
        <w:t>11、证明投标人及投标标的符合招标文件规定的文件</w:t>
      </w:r>
      <w:bookmarkEnd w:id="84"/>
      <w:bookmarkEnd w:id="85"/>
      <w:bookmarkEnd w:id="86"/>
      <w:bookmarkEnd w:id="87"/>
      <w:bookmarkEnd w:id="88"/>
      <w:bookmarkEnd w:id="89"/>
      <w:bookmarkEnd w:id="90"/>
      <w:bookmarkEnd w:id="91"/>
    </w:p>
    <w:p w14:paraId="602B2B02">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11.1投标人应按照招标文件要求提交证明文件，证明其及投标标的符合招标文件规定。</w:t>
      </w:r>
    </w:p>
    <w:p w14:paraId="3E9E338E">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11.2招标文件对证明文件无明确形式要求的，证明文件可以以文字资料、图纸和数据等形式提交。</w:t>
      </w:r>
    </w:p>
    <w:p w14:paraId="3FFD4399">
      <w:pPr>
        <w:keepNext/>
        <w:spacing w:line="560" w:lineRule="exact"/>
        <w:ind w:firstLine="482"/>
        <w:jc w:val="left"/>
        <w:rPr>
          <w:rFonts w:ascii="宋体" w:hAnsi="宋体" w:eastAsia="宋体" w:cs="宋体"/>
          <w:b/>
          <w:bCs/>
          <w:sz w:val="24"/>
          <w:szCs w:val="20"/>
        </w:rPr>
      </w:pPr>
      <w:r>
        <w:rPr>
          <w:rFonts w:hint="eastAsia" w:ascii="宋体" w:hAnsi="宋体" w:eastAsia="宋体" w:cs="宋体"/>
          <w:b/>
          <w:bCs/>
          <w:sz w:val="24"/>
          <w:szCs w:val="20"/>
        </w:rPr>
        <w:t>12、投标分项报价表</w:t>
      </w:r>
    </w:p>
    <w:p w14:paraId="060D81E2">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12.1投标人应按照招标文件规定格式填报投标分项报价表。</w:t>
      </w:r>
    </w:p>
    <w:p w14:paraId="166B87A6">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12.2投标货币。投标文件中的单价和总价无特殊规定的采用人民币报价，以元为单位标注。招标文件中另有规定的按规定执行。</w:t>
      </w:r>
    </w:p>
    <w:p w14:paraId="404A967D">
      <w:pPr>
        <w:keepNext/>
        <w:spacing w:line="560" w:lineRule="exact"/>
        <w:ind w:firstLine="482"/>
        <w:jc w:val="left"/>
        <w:rPr>
          <w:rFonts w:ascii="宋体" w:hAnsi="宋体" w:eastAsia="宋体" w:cs="宋体"/>
          <w:b/>
          <w:bCs/>
          <w:sz w:val="24"/>
          <w:szCs w:val="20"/>
        </w:rPr>
      </w:pPr>
      <w:r>
        <w:rPr>
          <w:rFonts w:hint="eastAsia" w:ascii="宋体" w:hAnsi="宋体" w:eastAsia="宋体" w:cs="宋体"/>
          <w:b/>
          <w:bCs/>
          <w:sz w:val="24"/>
          <w:szCs w:val="20"/>
        </w:rPr>
        <w:t>13、技术要求响应及偏离表、商务要求响应及偏离表</w:t>
      </w:r>
    </w:p>
    <w:p w14:paraId="3A5FF61F">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13.1投标人需对招标文件中的技术要求与商务要求逐项作出响应或偏离，并说明原因。</w:t>
      </w:r>
    </w:p>
    <w:p w14:paraId="7186DF00">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13.2投标人可在投标文件中提供认为需要的其他技术文件或说明。</w:t>
      </w:r>
    </w:p>
    <w:p w14:paraId="1AD93778">
      <w:pPr>
        <w:keepNext/>
        <w:spacing w:line="560" w:lineRule="exact"/>
        <w:ind w:firstLine="482"/>
        <w:jc w:val="left"/>
        <w:rPr>
          <w:rFonts w:ascii="宋体" w:hAnsi="宋体" w:eastAsia="宋体" w:cs="宋体"/>
          <w:b/>
          <w:bCs/>
          <w:sz w:val="24"/>
          <w:szCs w:val="20"/>
        </w:rPr>
      </w:pPr>
      <w:r>
        <w:rPr>
          <w:rFonts w:hint="eastAsia" w:ascii="宋体" w:hAnsi="宋体" w:eastAsia="宋体" w:cs="宋体"/>
          <w:b/>
          <w:bCs/>
          <w:sz w:val="24"/>
          <w:szCs w:val="20"/>
        </w:rPr>
        <w:t>14、服务承诺、培训计划、人员安排及其他</w:t>
      </w:r>
    </w:p>
    <w:p w14:paraId="62F21A79">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14.1投标人需根据招标文件要求提供有关售后服务的管理制度，售后服务机构的分布情况，售后服务人员的数量、素质、技术水平及售后服务的反应能力等。</w:t>
      </w:r>
    </w:p>
    <w:p w14:paraId="07DC5384">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14.2投标人需根据招标文件要求提供培训计划。</w:t>
      </w:r>
    </w:p>
    <w:p w14:paraId="60E7E5A4">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14.3投标人需根据招标文件要求提供所投标的的主要组成部分、功能设计、实现思路及关键技术等。</w:t>
      </w:r>
    </w:p>
    <w:p w14:paraId="4312EB58">
      <w:pPr>
        <w:keepNext/>
        <w:spacing w:line="560" w:lineRule="exact"/>
        <w:ind w:firstLine="482"/>
        <w:jc w:val="left"/>
        <w:rPr>
          <w:rFonts w:ascii="宋体" w:hAnsi="宋体" w:eastAsia="宋体" w:cs="宋体"/>
          <w:b/>
          <w:bCs/>
          <w:sz w:val="24"/>
          <w:szCs w:val="20"/>
        </w:rPr>
      </w:pPr>
      <w:bookmarkStart w:id="92" w:name="_Toc14577359"/>
      <w:bookmarkStart w:id="93" w:name="_Toc49090510"/>
      <w:r>
        <w:rPr>
          <w:rFonts w:hint="eastAsia" w:ascii="宋体" w:hAnsi="宋体" w:eastAsia="宋体" w:cs="宋体"/>
          <w:b/>
          <w:bCs/>
          <w:sz w:val="24"/>
          <w:szCs w:val="20"/>
        </w:rPr>
        <w:t>15、投标函和开标一览表</w:t>
      </w:r>
      <w:bookmarkEnd w:id="92"/>
      <w:bookmarkEnd w:id="93"/>
    </w:p>
    <w:p w14:paraId="5CB90928">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15.1投标人应按照招标文件中提供的格式完整、正确填写投标函、开标一览表。</w:t>
      </w:r>
    </w:p>
    <w:p w14:paraId="4F147945">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15.2对于采用货币报价的项目，开标一览表中的投标总报价应与投标分项报价表中的投标总报价一致，如不一致，不作为无效投标处理，但评标时按开标一览表中价格为准。</w:t>
      </w:r>
    </w:p>
    <w:p w14:paraId="0AF7BAAE">
      <w:pPr>
        <w:keepNext/>
        <w:spacing w:line="560" w:lineRule="exact"/>
        <w:ind w:firstLine="482"/>
        <w:jc w:val="left"/>
        <w:rPr>
          <w:rFonts w:ascii="宋体" w:hAnsi="宋体" w:eastAsia="宋体" w:cs="宋体"/>
          <w:b/>
          <w:bCs/>
          <w:sz w:val="24"/>
          <w:szCs w:val="20"/>
        </w:rPr>
      </w:pPr>
      <w:bookmarkStart w:id="94" w:name="_Toc14577360"/>
      <w:bookmarkStart w:id="95" w:name="_Toc49090511"/>
      <w:r>
        <w:rPr>
          <w:rFonts w:hint="eastAsia" w:ascii="宋体" w:hAnsi="宋体" w:eastAsia="宋体" w:cs="宋体"/>
          <w:b/>
          <w:bCs/>
          <w:sz w:val="24"/>
          <w:szCs w:val="20"/>
        </w:rPr>
        <w:t>16、投标有效期</w:t>
      </w:r>
      <w:bookmarkEnd w:id="94"/>
      <w:bookmarkEnd w:id="95"/>
    </w:p>
    <w:p w14:paraId="18AE37C7">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16.1投标有效期为采购中心规定的开标之日后</w:t>
      </w:r>
      <w:r>
        <w:rPr>
          <w:rFonts w:hint="eastAsia" w:ascii="宋体" w:hAnsi="宋体" w:eastAsia="宋体" w:cs="宋体"/>
          <w:b/>
          <w:bCs/>
          <w:sz w:val="24"/>
          <w:szCs w:val="20"/>
          <w:u w:val="single"/>
        </w:rPr>
        <w:t>九十（90）天</w:t>
      </w:r>
      <w:r>
        <w:rPr>
          <w:rFonts w:hint="eastAsia" w:ascii="宋体" w:hAnsi="宋体" w:eastAsia="宋体" w:cs="宋体"/>
          <w:sz w:val="24"/>
          <w:szCs w:val="20"/>
        </w:rPr>
        <w:t>。投标有效期比规定短的将被视为未实质性响应招标文件而予以拒绝。</w:t>
      </w:r>
    </w:p>
    <w:p w14:paraId="5BF20BA1">
      <w:pPr>
        <w:keepNext/>
        <w:spacing w:line="560" w:lineRule="exact"/>
        <w:ind w:firstLine="482"/>
        <w:jc w:val="left"/>
        <w:rPr>
          <w:rFonts w:ascii="宋体" w:hAnsi="宋体" w:eastAsia="宋体" w:cs="宋体"/>
          <w:b/>
          <w:bCs/>
          <w:sz w:val="24"/>
          <w:szCs w:val="20"/>
        </w:rPr>
      </w:pPr>
      <w:r>
        <w:rPr>
          <w:rFonts w:hint="eastAsia" w:ascii="宋体" w:hAnsi="宋体" w:eastAsia="宋体" w:cs="宋体"/>
          <w:b/>
          <w:bCs/>
          <w:sz w:val="24"/>
          <w:szCs w:val="20"/>
        </w:rPr>
        <w:t>17、投标有效期的延长</w:t>
      </w:r>
    </w:p>
    <w:p w14:paraId="02AC16B3">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p>
    <w:p w14:paraId="3CA3E68A">
      <w:pPr>
        <w:spacing w:line="560" w:lineRule="exact"/>
        <w:ind w:firstLine="482"/>
        <w:jc w:val="left"/>
        <w:rPr>
          <w:rFonts w:ascii="宋体" w:hAnsi="宋体" w:eastAsia="宋体" w:cs="宋体"/>
          <w:b/>
          <w:bCs/>
          <w:sz w:val="24"/>
          <w:szCs w:val="20"/>
        </w:rPr>
      </w:pPr>
      <w:bookmarkStart w:id="96" w:name="_Toc513029224"/>
      <w:bookmarkStart w:id="97" w:name="_Toc16938540"/>
      <w:bookmarkStart w:id="98" w:name="_Toc20823296"/>
      <w:bookmarkStart w:id="99" w:name="_Toc120614217"/>
      <w:r>
        <w:rPr>
          <w:rFonts w:hint="eastAsia" w:ascii="宋体" w:hAnsi="宋体" w:eastAsia="宋体" w:cs="宋体"/>
          <w:b/>
          <w:bCs/>
          <w:sz w:val="24"/>
          <w:szCs w:val="20"/>
        </w:rPr>
        <w:t>四、投标文件的递交</w:t>
      </w:r>
      <w:bookmarkEnd w:id="96"/>
      <w:bookmarkEnd w:id="97"/>
      <w:bookmarkEnd w:id="98"/>
      <w:bookmarkEnd w:id="99"/>
    </w:p>
    <w:p w14:paraId="28BAA4A2">
      <w:pPr>
        <w:spacing w:line="560" w:lineRule="exact"/>
        <w:ind w:firstLine="482"/>
        <w:jc w:val="left"/>
        <w:rPr>
          <w:rFonts w:ascii="宋体" w:hAnsi="宋体" w:eastAsia="宋体" w:cs="宋体"/>
          <w:b/>
          <w:bCs/>
          <w:sz w:val="24"/>
          <w:szCs w:val="20"/>
        </w:rPr>
      </w:pPr>
      <w:bookmarkStart w:id="100" w:name="_Toc462564084"/>
      <w:bookmarkStart w:id="101" w:name="_Toc20823297"/>
      <w:bookmarkStart w:id="102" w:name="_Toc16938541"/>
      <w:bookmarkStart w:id="103" w:name="_Toc513029225"/>
      <w:r>
        <w:rPr>
          <w:rFonts w:hint="eastAsia" w:ascii="宋体" w:hAnsi="宋体" w:eastAsia="宋体" w:cs="宋体"/>
          <w:b/>
          <w:bCs/>
          <w:sz w:val="24"/>
          <w:szCs w:val="20"/>
        </w:rPr>
        <w:t>18、电子投标文件</w:t>
      </w:r>
      <w:bookmarkEnd w:id="100"/>
      <w:bookmarkEnd w:id="101"/>
      <w:bookmarkEnd w:id="102"/>
      <w:bookmarkEnd w:id="103"/>
      <w:r>
        <w:rPr>
          <w:rFonts w:hint="eastAsia" w:ascii="宋体" w:hAnsi="宋体" w:eastAsia="宋体" w:cs="宋体"/>
          <w:b/>
          <w:bCs/>
          <w:sz w:val="24"/>
          <w:szCs w:val="20"/>
        </w:rPr>
        <w:t>的递交</w:t>
      </w:r>
    </w:p>
    <w:p w14:paraId="71B9435B">
      <w:pPr>
        <w:spacing w:line="560" w:lineRule="exact"/>
        <w:ind w:firstLine="480"/>
        <w:jc w:val="left"/>
        <w:rPr>
          <w:rFonts w:ascii="宋体" w:hAnsi="宋体" w:eastAsia="宋体" w:cs="宋体"/>
          <w:sz w:val="24"/>
          <w:szCs w:val="20"/>
        </w:rPr>
      </w:pPr>
      <w:r>
        <w:rPr>
          <w:rFonts w:hint="eastAsia" w:ascii="宋体" w:hAnsi="宋体" w:eastAsia="宋体" w:cs="宋体"/>
          <w:sz w:val="24"/>
          <w:szCs w:val="20"/>
        </w:rPr>
        <w:t>18.1投标人应当按照《操作手册》规定，在投标截止时间前制作并上传电子投标文件。</w:t>
      </w:r>
      <w:bookmarkStart w:id="104" w:name="_Toc16938542"/>
      <w:bookmarkEnd w:id="104"/>
      <w:bookmarkStart w:id="105" w:name="_Toc20823298"/>
      <w:bookmarkEnd w:id="105"/>
    </w:p>
    <w:p w14:paraId="5896779B">
      <w:pPr>
        <w:spacing w:line="560" w:lineRule="exact"/>
        <w:ind w:firstLine="482"/>
        <w:jc w:val="left"/>
        <w:rPr>
          <w:rFonts w:ascii="宋体" w:hAnsi="宋体" w:eastAsia="宋体" w:cs="宋体"/>
          <w:b/>
          <w:bCs/>
          <w:sz w:val="24"/>
          <w:szCs w:val="20"/>
        </w:rPr>
      </w:pPr>
      <w:r>
        <w:rPr>
          <w:rFonts w:hint="eastAsia" w:ascii="宋体" w:hAnsi="宋体" w:eastAsia="宋体" w:cs="宋体"/>
          <w:b/>
          <w:bCs/>
          <w:sz w:val="24"/>
          <w:szCs w:val="20"/>
        </w:rPr>
        <w:t>19、投标截止日期</w:t>
      </w:r>
    </w:p>
    <w:p w14:paraId="53EF3B54">
      <w:pPr>
        <w:pStyle w:val="36"/>
        <w:spacing w:beforeAutospacing="0" w:afterAutospacing="0" w:line="480" w:lineRule="exact"/>
        <w:ind w:firstLine="480"/>
        <w:jc w:val="both"/>
        <w:rPr>
          <w:rFonts w:ascii="宋体" w:hAnsi="宋体" w:eastAsia="宋体" w:cs="宋体"/>
          <w:szCs w:val="20"/>
        </w:rPr>
      </w:pPr>
      <w:r>
        <w:rPr>
          <w:rFonts w:hint="eastAsia" w:ascii="宋体" w:hAnsi="宋体" w:eastAsia="宋体" w:cs="宋体"/>
          <w:i/>
          <w:u w:val="single"/>
        </w:rPr>
        <w:t>19.1投标人上传电子投标文件的时间不得迟于招标公告中规定的投标截止时间</w:t>
      </w:r>
      <w:r>
        <w:rPr>
          <w:rFonts w:hint="eastAsia" w:ascii="宋体" w:hAnsi="宋体" w:eastAsia="宋体" w:cs="宋体"/>
          <w:i/>
        </w:rPr>
        <w:t>。</w:t>
      </w:r>
    </w:p>
    <w:p w14:paraId="19980F00">
      <w:pPr>
        <w:pStyle w:val="36"/>
        <w:spacing w:beforeAutospacing="0" w:afterAutospacing="0" w:line="480" w:lineRule="exact"/>
        <w:ind w:firstLine="480"/>
        <w:jc w:val="both"/>
        <w:rPr>
          <w:rFonts w:ascii="宋体" w:hAnsi="宋体" w:eastAsia="宋体" w:cs="宋体"/>
          <w:szCs w:val="20"/>
        </w:rPr>
      </w:pPr>
      <w:r>
        <w:rPr>
          <w:rFonts w:hint="eastAsia" w:ascii="宋体" w:hAnsi="宋体" w:eastAsia="宋体" w:cs="宋体"/>
          <w:szCs w:val="20"/>
        </w:rPr>
        <w:t>投标人应充分考虑到网络环境、网络带宽等风险因素，如因投标人自身原因造成的电子投标文件上传不成功的按照本招标文件第二章第27.1.2条规定做无效投标处理。</w:t>
      </w:r>
    </w:p>
    <w:p w14:paraId="1D1CFD38">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19.2采购中心可以按照规定，通过修改招标文件酌情延长投标截止日期，在此情况下，投标人的所有权利和义务以及投标人受制的截止日期均应以延长后新的截止日期为准。</w:t>
      </w:r>
    </w:p>
    <w:p w14:paraId="48F8D297">
      <w:pPr>
        <w:keepNext/>
        <w:spacing w:line="560" w:lineRule="exact"/>
        <w:ind w:firstLine="482"/>
        <w:jc w:val="left"/>
        <w:rPr>
          <w:rFonts w:ascii="宋体" w:hAnsi="宋体" w:eastAsia="宋体" w:cs="宋体"/>
          <w:b/>
          <w:bCs/>
          <w:sz w:val="24"/>
          <w:szCs w:val="20"/>
        </w:rPr>
      </w:pPr>
      <w:bookmarkStart w:id="106" w:name="_Toc513029227"/>
      <w:bookmarkStart w:id="107" w:name="_Toc20823299"/>
      <w:bookmarkStart w:id="108" w:name="_Toc16938543"/>
      <w:r>
        <w:rPr>
          <w:rFonts w:hint="eastAsia" w:ascii="宋体" w:hAnsi="宋体" w:eastAsia="宋体" w:cs="宋体"/>
          <w:b/>
          <w:bCs/>
          <w:sz w:val="24"/>
          <w:szCs w:val="20"/>
        </w:rPr>
        <w:t>20、投标文件</w:t>
      </w:r>
      <w:bookmarkEnd w:id="106"/>
      <w:bookmarkEnd w:id="107"/>
      <w:bookmarkEnd w:id="108"/>
      <w:r>
        <w:rPr>
          <w:rFonts w:hint="eastAsia" w:ascii="宋体" w:hAnsi="宋体" w:eastAsia="宋体" w:cs="宋体"/>
          <w:b/>
          <w:bCs/>
          <w:sz w:val="24"/>
          <w:szCs w:val="20"/>
        </w:rPr>
        <w:t>的拒收</w:t>
      </w:r>
    </w:p>
    <w:p w14:paraId="4A804BC3">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20.1采购中心拒绝接收在其规定的投标截止时间后上传的任何投标文件。</w:t>
      </w:r>
    </w:p>
    <w:p w14:paraId="2CC56155">
      <w:pPr>
        <w:keepNext/>
        <w:spacing w:line="560" w:lineRule="exact"/>
        <w:ind w:firstLine="482"/>
        <w:jc w:val="left"/>
        <w:rPr>
          <w:rFonts w:ascii="宋体" w:hAnsi="宋体" w:eastAsia="宋体" w:cs="宋体"/>
          <w:b/>
          <w:bCs/>
          <w:sz w:val="24"/>
          <w:szCs w:val="20"/>
        </w:rPr>
      </w:pPr>
      <w:bookmarkStart w:id="109" w:name="_Toc20823300"/>
      <w:bookmarkStart w:id="110" w:name="_Toc16938544"/>
      <w:bookmarkStart w:id="111" w:name="_Toc513029228"/>
      <w:r>
        <w:rPr>
          <w:rFonts w:hint="eastAsia" w:ascii="宋体" w:hAnsi="宋体" w:eastAsia="宋体" w:cs="宋体"/>
          <w:b/>
          <w:bCs/>
          <w:sz w:val="24"/>
          <w:szCs w:val="20"/>
        </w:rPr>
        <w:t>21、投标文件的撤回和修改</w:t>
      </w:r>
      <w:bookmarkEnd w:id="109"/>
      <w:bookmarkEnd w:id="110"/>
      <w:bookmarkEnd w:id="111"/>
    </w:p>
    <w:p w14:paraId="3E5ACD41">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21.1投标文件的撤回</w:t>
      </w:r>
    </w:p>
    <w:p w14:paraId="3077E63E">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21.1.1电子投标文件的撤回</w:t>
      </w:r>
    </w:p>
    <w:p w14:paraId="7A662372">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投标人可在投标截止时间前，撤回其电子投标文件，具体操作方法见《操作手册》。</w:t>
      </w:r>
    </w:p>
    <w:p w14:paraId="678BE2DF">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21.1.2投标人撤回电子投标文件，则认为其不再参与本项目投标活动。</w:t>
      </w:r>
    </w:p>
    <w:p w14:paraId="5B3B5CA4">
      <w:pPr>
        <w:spacing w:line="560" w:lineRule="exact"/>
        <w:ind w:firstLine="482"/>
        <w:jc w:val="left"/>
        <w:rPr>
          <w:rFonts w:ascii="宋体" w:hAnsi="宋体" w:eastAsia="宋体" w:cs="宋体"/>
          <w:b/>
          <w:bCs/>
          <w:sz w:val="24"/>
          <w:szCs w:val="20"/>
        </w:rPr>
      </w:pPr>
      <w:r>
        <w:rPr>
          <w:rFonts w:hint="eastAsia" w:ascii="宋体" w:hAnsi="宋体" w:eastAsia="宋体" w:cs="宋体"/>
          <w:b/>
          <w:bCs/>
          <w:sz w:val="24"/>
          <w:szCs w:val="20"/>
        </w:rPr>
        <w:t>21.2投标文件的修改</w:t>
      </w:r>
    </w:p>
    <w:p w14:paraId="776EBE38">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21.2.1投标人可在投标截止时间前，对其电子投标文件进行修改，具体操作方法见《操作手册》。</w:t>
      </w:r>
    </w:p>
    <w:p w14:paraId="45504F41">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21.2.2在投标截止时间之后，投标人不得对其电子投标文件作任何修改。</w:t>
      </w:r>
    </w:p>
    <w:p w14:paraId="20D345F5">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21.3在投标截止时间至招标文件中规定的投标有效期满之间的这段时间内，投标人不得撤回其投标。</w:t>
      </w:r>
    </w:p>
    <w:p w14:paraId="11858833">
      <w:pPr>
        <w:spacing w:line="560" w:lineRule="exact"/>
        <w:ind w:firstLine="482"/>
        <w:jc w:val="left"/>
        <w:rPr>
          <w:rFonts w:ascii="宋体" w:hAnsi="宋体" w:eastAsia="宋体" w:cs="宋体"/>
          <w:b/>
          <w:bCs/>
          <w:sz w:val="24"/>
          <w:szCs w:val="20"/>
        </w:rPr>
      </w:pPr>
      <w:bookmarkStart w:id="112" w:name="_Toc513029229"/>
      <w:bookmarkStart w:id="113" w:name="_Toc20823301"/>
      <w:bookmarkStart w:id="114" w:name="_Toc120614218"/>
      <w:bookmarkStart w:id="115" w:name="_Toc16938545"/>
      <w:r>
        <w:rPr>
          <w:rFonts w:hint="eastAsia" w:ascii="宋体" w:hAnsi="宋体" w:eastAsia="宋体" w:cs="宋体"/>
          <w:b/>
          <w:bCs/>
          <w:sz w:val="24"/>
          <w:szCs w:val="20"/>
        </w:rPr>
        <w:t>五、开标与评标</w:t>
      </w:r>
      <w:bookmarkEnd w:id="112"/>
      <w:bookmarkEnd w:id="113"/>
      <w:bookmarkEnd w:id="114"/>
      <w:bookmarkEnd w:id="115"/>
    </w:p>
    <w:p w14:paraId="232B543C">
      <w:pPr>
        <w:spacing w:line="560" w:lineRule="exact"/>
        <w:ind w:firstLine="482"/>
        <w:jc w:val="left"/>
        <w:rPr>
          <w:rFonts w:ascii="宋体" w:hAnsi="宋体" w:eastAsia="宋体" w:cs="宋体"/>
          <w:b/>
          <w:bCs/>
          <w:sz w:val="24"/>
          <w:szCs w:val="20"/>
        </w:rPr>
      </w:pPr>
      <w:bookmarkStart w:id="116" w:name="_Toc513029230"/>
      <w:bookmarkStart w:id="117" w:name="_Toc20823302"/>
      <w:bookmarkStart w:id="118" w:name="_Toc16938546"/>
      <w:r>
        <w:rPr>
          <w:rFonts w:hint="eastAsia" w:ascii="宋体" w:hAnsi="宋体" w:eastAsia="宋体" w:cs="宋体"/>
          <w:b/>
          <w:bCs/>
          <w:sz w:val="24"/>
          <w:szCs w:val="20"/>
        </w:rPr>
        <w:t>22、开标</w:t>
      </w:r>
      <w:bookmarkEnd w:id="116"/>
      <w:bookmarkEnd w:id="117"/>
      <w:bookmarkEnd w:id="118"/>
    </w:p>
    <w:p w14:paraId="3ACDDD8E">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22.1采购中心将在招标公告中规定的时间和地点组织公开开标。投标人应当按照《操作手册》规定，参加开标活动和在苏采云系统规定的时间内对投标文件进行解密。</w:t>
      </w:r>
    </w:p>
    <w:p w14:paraId="74810AAD">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22.2开标仪式由采购中心组织。苏采云系统将自动对项目进行开标，并宣布各投标人名称和投标价格。</w:t>
      </w:r>
    </w:p>
    <w:p w14:paraId="1659C251">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22.3投标人在开标过程中涉及到的投标文件解密、开标结果确认等工作，应按照《操作手册》规定执行。</w:t>
      </w:r>
    </w:p>
    <w:p w14:paraId="7486CD08">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22.4投标人如果对开标过程和开标记录有疑义，应当根据《操作手册》规定提出，如苏采云系统中《开标记录表》宣布后5分钟内未提出的，视同认可开标结果。</w:t>
      </w:r>
    </w:p>
    <w:p w14:paraId="1BFB768B">
      <w:pPr>
        <w:keepNext/>
        <w:spacing w:line="560" w:lineRule="exact"/>
        <w:ind w:firstLine="482"/>
        <w:jc w:val="left"/>
        <w:rPr>
          <w:rFonts w:ascii="宋体" w:hAnsi="宋体" w:eastAsia="宋体" w:cs="宋体"/>
          <w:b/>
          <w:bCs/>
          <w:sz w:val="24"/>
          <w:szCs w:val="20"/>
        </w:rPr>
      </w:pPr>
      <w:bookmarkStart w:id="119" w:name="_Toc513029231"/>
      <w:bookmarkStart w:id="120" w:name="_Toc20823303"/>
      <w:bookmarkStart w:id="121" w:name="_Toc16938547"/>
      <w:r>
        <w:rPr>
          <w:rFonts w:hint="eastAsia" w:ascii="宋体" w:hAnsi="宋体" w:eastAsia="宋体" w:cs="宋体"/>
          <w:b/>
          <w:bCs/>
          <w:sz w:val="24"/>
          <w:szCs w:val="20"/>
        </w:rPr>
        <w:t>23、评标委员会</w:t>
      </w:r>
      <w:bookmarkEnd w:id="119"/>
      <w:bookmarkEnd w:id="120"/>
      <w:bookmarkEnd w:id="121"/>
    </w:p>
    <w:p w14:paraId="413DC84D">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23.1开标后，采购中心将立即组织评标委员会（以下简称评委会）进行评标。</w:t>
      </w:r>
    </w:p>
    <w:p w14:paraId="7662C8F8">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23.2评委会由采购人代表和有关技术、经济等方面的专家组成，且人员构成符合政府采购有关规定。</w:t>
      </w:r>
    </w:p>
    <w:p w14:paraId="400CF1F6">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23.3评委会独立工作，负责评审所有投标文件并确定中标候选人。</w:t>
      </w:r>
    </w:p>
    <w:p w14:paraId="4CC7F572">
      <w:pPr>
        <w:keepNext/>
        <w:spacing w:line="560" w:lineRule="exact"/>
        <w:ind w:firstLine="482"/>
        <w:jc w:val="left"/>
        <w:rPr>
          <w:rFonts w:ascii="宋体" w:hAnsi="宋体" w:eastAsia="宋体" w:cs="宋体"/>
          <w:b/>
          <w:bCs/>
          <w:sz w:val="24"/>
          <w:szCs w:val="20"/>
        </w:rPr>
      </w:pPr>
      <w:r>
        <w:rPr>
          <w:rFonts w:hint="eastAsia" w:ascii="宋体" w:hAnsi="宋体" w:eastAsia="宋体" w:cs="宋体"/>
          <w:b/>
          <w:bCs/>
          <w:sz w:val="24"/>
          <w:szCs w:val="20"/>
        </w:rPr>
        <w:t>24、评标过程的保密与公正</w:t>
      </w:r>
    </w:p>
    <w:p w14:paraId="13A9850E">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24.1凡是与审查、澄清、评价和比较投标的有关资料以及授标建议等，采购人、评委、采购中心均不得向投标人或与评标无关的其他人员透露。</w:t>
      </w:r>
    </w:p>
    <w:p w14:paraId="1FD1CC6C">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24.2在评标过程中，投标人不得以任何行为影响评标过程，否则其投标文件将被作为无效投标文件。</w:t>
      </w:r>
    </w:p>
    <w:p w14:paraId="11F2D756">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24.3采购中心和评标委员会不向未中标的投标人解释未中标原因，也不公布评标过程中的相关细节。</w:t>
      </w:r>
    </w:p>
    <w:p w14:paraId="7C3F2F65">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24.4采用综合评分法的项目，未中标的投标人可于中标结果公告期限届满之日起通过苏采云系统查看自己的评审得分及排序情况。</w:t>
      </w:r>
    </w:p>
    <w:p w14:paraId="582972E6">
      <w:pPr>
        <w:keepNext/>
        <w:spacing w:line="560" w:lineRule="exact"/>
        <w:ind w:firstLine="482"/>
        <w:jc w:val="left"/>
        <w:rPr>
          <w:rFonts w:ascii="宋体" w:hAnsi="宋体" w:eastAsia="宋体" w:cs="宋体"/>
          <w:b/>
          <w:bCs/>
          <w:sz w:val="24"/>
          <w:szCs w:val="20"/>
        </w:rPr>
      </w:pPr>
      <w:bookmarkStart w:id="122" w:name="_Toc513029232"/>
      <w:bookmarkStart w:id="123" w:name="_Toc16938548"/>
      <w:bookmarkStart w:id="124" w:name="_Toc20823304"/>
      <w:r>
        <w:rPr>
          <w:rFonts w:hint="eastAsia" w:ascii="宋体" w:hAnsi="宋体" w:eastAsia="宋体" w:cs="宋体"/>
          <w:b/>
          <w:bCs/>
          <w:sz w:val="24"/>
          <w:szCs w:val="20"/>
        </w:rPr>
        <w:t>25、投标文件的澄清</w:t>
      </w:r>
      <w:bookmarkEnd w:id="122"/>
      <w:bookmarkEnd w:id="123"/>
      <w:bookmarkEnd w:id="124"/>
    </w:p>
    <w:p w14:paraId="7D1857B7">
      <w:pPr>
        <w:spacing w:line="560" w:lineRule="exact"/>
        <w:ind w:firstLine="482"/>
        <w:jc w:val="left"/>
        <w:rPr>
          <w:rFonts w:ascii="宋体" w:hAnsi="宋体" w:eastAsia="宋体" w:cs="宋体"/>
          <w:sz w:val="24"/>
          <w:szCs w:val="20"/>
        </w:rPr>
      </w:pPr>
      <w:bookmarkStart w:id="125" w:name="_Toc16938549"/>
      <w:bookmarkStart w:id="126" w:name="_Toc513029233"/>
      <w:bookmarkStart w:id="127" w:name="_Toc20823305"/>
      <w:r>
        <w:rPr>
          <w:rFonts w:hint="eastAsia" w:ascii="宋体" w:hAnsi="宋体" w:eastAsia="宋体" w:cs="宋体"/>
          <w:sz w:val="24"/>
          <w:szCs w:val="20"/>
        </w:rPr>
        <w:t>25.1评标期间，评委会对投标文件中含义不明确、同类问题表述不一致或者有明显文字和计算错误的内容，有权要求投标人作出必要的澄清、说明或者补正。</w:t>
      </w:r>
      <w:bookmarkEnd w:id="125"/>
      <w:bookmarkEnd w:id="126"/>
      <w:bookmarkEnd w:id="127"/>
    </w:p>
    <w:p w14:paraId="63850404">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投标人的澄清、说明或者补正不得超出投标文件的范围或者改变投标文件的实质性内容。</w:t>
      </w:r>
    </w:p>
    <w:p w14:paraId="2AE93E19">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评标委员会并非对每个投标人都做澄清要求。</w:t>
      </w:r>
    </w:p>
    <w:p w14:paraId="7286D28C">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5B93EFA5">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25.3接到评委会澄清、说明和补正要求的投标人如未按规定作出澄清、说明和补正，其风险由投标人自行承担。</w:t>
      </w:r>
    </w:p>
    <w:p w14:paraId="289B9A06">
      <w:pPr>
        <w:keepNext/>
        <w:spacing w:line="560" w:lineRule="exact"/>
        <w:ind w:firstLine="482"/>
        <w:jc w:val="left"/>
        <w:rPr>
          <w:rFonts w:ascii="宋体" w:hAnsi="宋体" w:eastAsia="宋体" w:cs="宋体"/>
          <w:b/>
          <w:bCs/>
          <w:sz w:val="24"/>
          <w:szCs w:val="20"/>
        </w:rPr>
      </w:pPr>
      <w:r>
        <w:rPr>
          <w:rFonts w:hint="eastAsia" w:ascii="宋体" w:hAnsi="宋体" w:eastAsia="宋体" w:cs="宋体"/>
          <w:b/>
          <w:bCs/>
          <w:sz w:val="24"/>
          <w:szCs w:val="20"/>
        </w:rPr>
        <w:t>26、对投标文件的初审</w:t>
      </w:r>
    </w:p>
    <w:p w14:paraId="7A4DB579">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26.1投标文件初审分为资格审查和符合性审查。</w:t>
      </w:r>
    </w:p>
    <w:p w14:paraId="48CA09FE">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26.1.1资格审查：依据法律法规和招标文件的规定，由采购人对投标文件中的资格证明文件进行审查。资格审查的结论，采购人以书面形式向评委会进行反馈。</w:t>
      </w:r>
    </w:p>
    <w:p w14:paraId="02996847">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采购人在进行资格性审查的同时，将在“信用中国”网站（www.creditchina.gov.cn）查询投标人的信用记录，以确定投标人是否具备投标资格，查询结果留存并归档。</w:t>
      </w:r>
    </w:p>
    <w:p w14:paraId="5005B6C9">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接受联合体的项目，两个以上的自然人、法人或者其他组织组成一个联合体，以一个供应商的身份共同参加政府采购活动的，联合体成员中任何一方存在不良信用记录的，视同联合体存在不良信用记录。</w:t>
      </w:r>
    </w:p>
    <w:p w14:paraId="0C5E9419">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26.1.2符合性审查：依据招标文件的规定，由评委会从投标文件的有效性、完整性和对招标文件的响应程度进行审查，以确定是否对招标文件的实质性要求作出响应。</w:t>
      </w:r>
    </w:p>
    <w:p w14:paraId="6CA52E4C">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26.1.3未通过资格审查或符合性审查的投标人，采购中心将在苏采云系统中告知未通过资格审查或符合性审查的原因，评审结束后，采购中心将不再告知未通过资格审查或符合性审查的原因。</w:t>
      </w:r>
    </w:p>
    <w:p w14:paraId="10CBF13C">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26.2在详细评标之前，评委会将首先审查每份投标文件是否实质性响应了招标文件的要求。实质性响应的投标应该是与招标文件要求的全部条款、条件和规格相符，没有重大偏离或保留的投标。</w:t>
      </w:r>
    </w:p>
    <w:p w14:paraId="41608F73">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0D813043">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26.3如果投标文件实质上没有响应招标文件的要求，评委会将予以拒绝，投标人不得通过修改或撤销不符合要求的偏离或保留而使其投标成为实质性响应的投标。</w:t>
      </w:r>
    </w:p>
    <w:p w14:paraId="6D7C7CD1">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26.4评委会将对确定为实质性响应的投标进行进一步审核，看其是否有计算上或累加上的算术错误，修正错误的原则如下：</w:t>
      </w:r>
    </w:p>
    <w:p w14:paraId="25825D56">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（1）投标文件中开标一览表内容与投标文件中相应内容不一致的，以开标一览表为准。</w:t>
      </w:r>
    </w:p>
    <w:p w14:paraId="0E61D7D6">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（2）大写金额和小写金额不一致的，以大写金额为准。</w:t>
      </w:r>
    </w:p>
    <w:p w14:paraId="4D0669EF">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（3）单价金额小数点或者百分比有明显错位的，以开标一览表的总价为准，并修改单价。</w:t>
      </w:r>
    </w:p>
    <w:p w14:paraId="3F49EC5D">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（4）总价金额与按单价汇总金额不一致的，以单价金额计算结果为准。</w:t>
      </w:r>
    </w:p>
    <w:p w14:paraId="46B8F4B9">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同时出现两种以上错误的，按照前款规定的顺序修正。</w:t>
      </w:r>
    </w:p>
    <w:p w14:paraId="65BD9B57">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26.5评委会将按上述修正错误的方法调整投标文件中的投标报价，并通过苏采云系统告知投标人，调整后的价格应对投标人具有约束力。如果投标人不接受修正后的价格，则其投标将被拒绝。</w:t>
      </w:r>
    </w:p>
    <w:p w14:paraId="6523C2BB">
      <w:pPr>
        <w:spacing w:line="560" w:lineRule="exact"/>
        <w:ind w:firstLine="482"/>
        <w:jc w:val="left"/>
        <w:rPr>
          <w:rFonts w:ascii="宋体" w:hAnsi="宋体" w:eastAsia="宋体" w:cs="宋体"/>
          <w:sz w:val="24"/>
          <w:szCs w:val="20"/>
        </w:rPr>
      </w:pPr>
      <w:bookmarkStart w:id="128" w:name="_Toc16938550"/>
      <w:bookmarkStart w:id="129" w:name="_Toc513029234"/>
      <w:bookmarkStart w:id="130" w:name="_Toc20823306"/>
      <w:r>
        <w:rPr>
          <w:rFonts w:hint="eastAsia" w:ascii="宋体" w:hAnsi="宋体" w:eastAsia="宋体" w:cs="宋体"/>
          <w:sz w:val="24"/>
          <w:szCs w:val="20"/>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28"/>
      <w:bookmarkEnd w:id="129"/>
      <w:bookmarkEnd w:id="130"/>
    </w:p>
    <w:p w14:paraId="1A9B20F5">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333DE9EC">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非单一产品采购项目，招标文件中将载明其中的核心产品。多家投标人提供的核心产品品牌相同的，按前两款规定处理。</w:t>
      </w:r>
    </w:p>
    <w:p w14:paraId="60B67BA7">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26.7投标人在开、评标全过程中应保持通信畅通，及时登录苏采云系统查阅、答复相关信息，并安排专人与采购中心及评标委员会联系。</w:t>
      </w:r>
    </w:p>
    <w:p w14:paraId="50BB5831">
      <w:pPr>
        <w:keepNext/>
        <w:spacing w:line="560" w:lineRule="exact"/>
        <w:ind w:firstLine="482"/>
        <w:jc w:val="left"/>
        <w:rPr>
          <w:rFonts w:ascii="宋体" w:hAnsi="宋体" w:eastAsia="宋体" w:cs="宋体"/>
          <w:b/>
          <w:bCs/>
          <w:sz w:val="24"/>
          <w:szCs w:val="20"/>
        </w:rPr>
      </w:pPr>
      <w:r>
        <w:rPr>
          <w:rFonts w:hint="eastAsia" w:ascii="宋体" w:hAnsi="宋体" w:eastAsia="宋体" w:cs="宋体"/>
          <w:b/>
          <w:bCs/>
          <w:sz w:val="24"/>
          <w:szCs w:val="20"/>
        </w:rPr>
        <w:t>27、无效投标条款和废标条款</w:t>
      </w:r>
    </w:p>
    <w:p w14:paraId="33A43C0F">
      <w:pPr>
        <w:spacing w:line="560" w:lineRule="exact"/>
        <w:ind w:firstLine="482"/>
        <w:jc w:val="left"/>
        <w:rPr>
          <w:rFonts w:ascii="宋体" w:hAnsi="宋体" w:eastAsia="宋体" w:cs="宋体"/>
          <w:sz w:val="24"/>
          <w:szCs w:val="20"/>
        </w:rPr>
      </w:pPr>
      <w:bookmarkStart w:id="131" w:name="_Toc16938551"/>
      <w:bookmarkStart w:id="132" w:name="_Toc513029235"/>
      <w:bookmarkStart w:id="133" w:name="_Toc20823307"/>
      <w:r>
        <w:rPr>
          <w:rFonts w:hint="eastAsia" w:ascii="宋体" w:hAnsi="宋体" w:eastAsia="宋体" w:cs="宋体"/>
          <w:sz w:val="24"/>
          <w:szCs w:val="20"/>
        </w:rPr>
        <w:t>27.1无效投标条款</w:t>
      </w:r>
      <w:bookmarkEnd w:id="131"/>
      <w:bookmarkEnd w:id="132"/>
      <w:bookmarkEnd w:id="133"/>
    </w:p>
    <w:p w14:paraId="4E16FFA8">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27.1.1投标人在苏采云系统规定的时间内未成功解密电子投标文件的。</w:t>
      </w:r>
    </w:p>
    <w:p w14:paraId="49D8788A">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27.1.2投标人未按照招标文件要求上传电子投标文件的。</w:t>
      </w:r>
    </w:p>
    <w:p w14:paraId="418C9E12">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27.1.3同一投标人提交两个（含两个）以上不同的投标报价的。</w:t>
      </w:r>
    </w:p>
    <w:p w14:paraId="7C1C276D">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27.1.4投标人不具备招标文件中规定资格要求的。</w:t>
      </w:r>
    </w:p>
    <w:p w14:paraId="64348A9C">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27.1.5投标人的报价超过了采购预算或最高限价的。</w:t>
      </w:r>
    </w:p>
    <w:p w14:paraId="02924681">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27.1.6未通过符合性审查的。</w:t>
      </w:r>
    </w:p>
    <w:p w14:paraId="49D44D75">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27.1.7不符合招标文件中规定的实质性要求和条件的（</w:t>
      </w:r>
      <w:r>
        <w:rPr>
          <w:rFonts w:hint="eastAsia" w:ascii="宋体" w:hAnsi="宋体" w:eastAsia="宋体" w:cs="宋体"/>
          <w:i/>
          <w:iCs/>
          <w:sz w:val="24"/>
          <w:szCs w:val="20"/>
          <w:u w:val="single"/>
        </w:rPr>
        <w:t>本招标文件中斜体且有下划线部分为实质性要求和条件</w:t>
      </w:r>
      <w:r>
        <w:rPr>
          <w:rFonts w:hint="eastAsia" w:ascii="宋体" w:hAnsi="宋体" w:eastAsia="宋体" w:cs="宋体"/>
          <w:sz w:val="24"/>
          <w:szCs w:val="20"/>
        </w:rPr>
        <w:t>）。</w:t>
      </w:r>
    </w:p>
    <w:p w14:paraId="09892FC4">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4252161F">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27.1.9投标文件含有采购人不能接受的附加条件的。</w:t>
      </w:r>
    </w:p>
    <w:p w14:paraId="66A85549">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27.1.10投标人不能证明其报价合理性的，评标委员会应当将其作为无效投标处理。</w:t>
      </w:r>
    </w:p>
    <w:p w14:paraId="1E5C0470">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（一）评审过程中出现下列情形之一的，评标委员会应当启动异常低价投标审查程序：</w:t>
      </w:r>
    </w:p>
    <w:p w14:paraId="2E778FDB">
      <w:pPr>
        <w:spacing w:line="560" w:lineRule="exact"/>
        <w:ind w:firstLine="482"/>
        <w:jc w:val="left"/>
        <w:rPr>
          <w:rFonts w:ascii="宋体" w:hAnsi="宋体" w:eastAsia="宋体" w:cs="宋体"/>
          <w:sz w:val="24"/>
          <w:szCs w:val="20"/>
        </w:rPr>
      </w:pPr>
      <w:r>
        <w:rPr>
          <w:rFonts w:hint="eastAsia" w:ascii="宋体" w:hAnsi="宋体" w:eastAsia="宋体" w:cs="宋体"/>
          <w:b/>
          <w:bCs/>
          <w:sz w:val="24"/>
          <w:szCs w:val="20"/>
        </w:rPr>
        <w:t>1.投标（响应）报价低于全部通过符合性审查供应商投标（响应）报价平均值50%的，即投标（响应）报价&lt;全部通过符合性审查供应商投标（响应）报价平均值×50%；</w:t>
      </w:r>
    </w:p>
    <w:p w14:paraId="26CBF5AF">
      <w:pPr>
        <w:spacing w:line="560" w:lineRule="exact"/>
        <w:ind w:firstLine="482"/>
        <w:jc w:val="left"/>
        <w:rPr>
          <w:rFonts w:ascii="宋体" w:hAnsi="宋体" w:eastAsia="宋体" w:cs="宋体"/>
          <w:b/>
          <w:bCs/>
          <w:sz w:val="24"/>
          <w:szCs w:val="20"/>
        </w:rPr>
      </w:pPr>
      <w:r>
        <w:rPr>
          <w:rFonts w:hint="eastAsia" w:ascii="宋体" w:hAnsi="宋体" w:eastAsia="宋体" w:cs="宋体"/>
          <w:b/>
          <w:bCs/>
          <w:sz w:val="24"/>
          <w:szCs w:val="20"/>
        </w:rPr>
        <w:t>2.投标（响应）报价低于通过符合性审查的次低报价供应商投标（响应）报价50%的，即投标（响应）报价&lt;通过符合性审查的次低报价供应商投标（响应）报价×50%；</w:t>
      </w:r>
    </w:p>
    <w:p w14:paraId="077A8A55">
      <w:pPr>
        <w:spacing w:line="560" w:lineRule="exact"/>
        <w:ind w:firstLine="482"/>
        <w:jc w:val="left"/>
        <w:rPr>
          <w:rFonts w:ascii="宋体" w:hAnsi="宋体" w:eastAsia="宋体" w:cs="宋体"/>
          <w:b/>
          <w:bCs/>
          <w:sz w:val="24"/>
          <w:szCs w:val="20"/>
        </w:rPr>
      </w:pPr>
      <w:r>
        <w:rPr>
          <w:rFonts w:hint="eastAsia" w:ascii="宋体" w:hAnsi="宋体" w:eastAsia="宋体" w:cs="宋体"/>
          <w:b/>
          <w:bCs/>
          <w:sz w:val="24"/>
          <w:szCs w:val="20"/>
        </w:rPr>
        <w:t>3.投标（响应）报价低于采购项目最高限价45%的，即投标（响应）报价&lt;采购项目最高限价×45%；</w:t>
      </w:r>
    </w:p>
    <w:p w14:paraId="66C168AE">
      <w:pPr>
        <w:spacing w:line="560" w:lineRule="exact"/>
        <w:ind w:firstLine="482"/>
        <w:jc w:val="left"/>
        <w:rPr>
          <w:rFonts w:ascii="宋体" w:hAnsi="宋体" w:eastAsia="宋体" w:cs="宋体"/>
          <w:b/>
          <w:bCs/>
          <w:sz w:val="24"/>
          <w:szCs w:val="20"/>
        </w:rPr>
      </w:pPr>
      <w:r>
        <w:rPr>
          <w:rFonts w:hint="eastAsia" w:ascii="宋体" w:hAnsi="宋体" w:eastAsia="宋体" w:cs="宋体"/>
          <w:b/>
          <w:bCs/>
          <w:sz w:val="24"/>
          <w:szCs w:val="20"/>
        </w:rPr>
        <w:t>4.评审委员会基于专业判断，认为供应商报价过低，有可能影响产品质量或者不能诚信履约的其他情形。</w:t>
      </w:r>
    </w:p>
    <w:p w14:paraId="038DEA11">
      <w:pPr>
        <w:spacing w:line="560" w:lineRule="exact"/>
        <w:ind w:firstLine="482"/>
        <w:jc w:val="left"/>
        <w:rPr>
          <w:rFonts w:ascii="宋体" w:hAnsi="宋体" w:eastAsia="宋体" w:cs="宋体"/>
          <w:b/>
          <w:bCs/>
          <w:sz w:val="24"/>
          <w:szCs w:val="20"/>
          <w:u w:val="single"/>
        </w:rPr>
      </w:pPr>
      <w:r>
        <w:rPr>
          <w:rFonts w:hint="eastAsia" w:ascii="宋体" w:hAnsi="宋体" w:eastAsia="宋体" w:cs="宋体"/>
          <w:b/>
          <w:bCs/>
          <w:sz w:val="24"/>
          <w:szCs w:val="20"/>
          <w:u w:val="single"/>
        </w:rPr>
        <w:t>提醒：采购人可以结合具体项目实际情况，提高上述第1项至第3项中启动异常低价投标（响应）审查的数值标准，但是最高不得超过65%。</w:t>
      </w:r>
    </w:p>
    <w:p w14:paraId="68D1B0C9">
      <w:pPr>
        <w:spacing w:line="560" w:lineRule="exact"/>
        <w:ind w:firstLine="482"/>
        <w:jc w:val="left"/>
        <w:rPr>
          <w:rFonts w:ascii="宋体" w:hAnsi="宋体" w:eastAsia="宋体" w:cs="宋体"/>
          <w:b/>
          <w:bCs/>
          <w:sz w:val="24"/>
          <w:szCs w:val="20"/>
        </w:rPr>
      </w:pPr>
      <w:r>
        <w:rPr>
          <w:rFonts w:hint="eastAsia" w:ascii="宋体" w:hAnsi="宋体" w:eastAsia="宋体" w:cs="宋体"/>
          <w:b/>
          <w:bCs/>
          <w:sz w:val="24"/>
          <w:szCs w:val="20"/>
        </w:rPr>
        <w:t>相关法律法规对供应商报价有规定的，从其规定。</w:t>
      </w:r>
    </w:p>
    <w:p w14:paraId="461AF665">
      <w:pPr>
        <w:spacing w:line="560" w:lineRule="exact"/>
        <w:ind w:firstLine="482"/>
        <w:jc w:val="left"/>
        <w:rPr>
          <w:rFonts w:ascii="宋体" w:hAnsi="宋体" w:eastAsia="宋体" w:cs="宋体"/>
          <w:b/>
          <w:bCs/>
          <w:sz w:val="24"/>
          <w:szCs w:val="20"/>
        </w:rPr>
      </w:pPr>
      <w:r>
        <w:rPr>
          <w:rFonts w:hint="eastAsia" w:ascii="宋体" w:hAnsi="宋体" w:eastAsia="宋体" w:cs="宋体"/>
          <w:b/>
          <w:bCs/>
          <w:sz w:val="24"/>
          <w:szCs w:val="20"/>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1645CC6">
      <w:pPr>
        <w:spacing w:line="560" w:lineRule="exact"/>
        <w:ind w:firstLine="482"/>
        <w:jc w:val="left"/>
        <w:rPr>
          <w:rFonts w:ascii="宋体" w:hAnsi="宋体" w:eastAsia="宋体" w:cs="宋体"/>
          <w:b/>
          <w:bCs/>
          <w:sz w:val="24"/>
          <w:szCs w:val="20"/>
        </w:rPr>
      </w:pPr>
      <w:r>
        <w:rPr>
          <w:rFonts w:hint="eastAsia" w:ascii="宋体" w:hAnsi="宋体" w:eastAsia="宋体" w:cs="宋体"/>
          <w:b/>
          <w:bCs/>
          <w:sz w:val="24"/>
          <w:szCs w:val="20"/>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A508354">
      <w:pPr>
        <w:spacing w:line="560" w:lineRule="exact"/>
        <w:ind w:firstLine="482"/>
        <w:jc w:val="left"/>
        <w:rPr>
          <w:rFonts w:ascii="宋体" w:hAnsi="宋体" w:eastAsia="宋体" w:cs="宋体"/>
          <w:b/>
          <w:bCs/>
          <w:sz w:val="24"/>
          <w:szCs w:val="20"/>
        </w:rPr>
      </w:pPr>
      <w:r>
        <w:rPr>
          <w:rFonts w:hint="eastAsia" w:ascii="宋体" w:hAnsi="宋体" w:eastAsia="宋体" w:cs="宋体"/>
          <w:b/>
          <w:bCs/>
          <w:sz w:val="24"/>
          <w:szCs w:val="2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36011C2">
      <w:pPr>
        <w:spacing w:line="560" w:lineRule="exact"/>
        <w:ind w:firstLine="482"/>
        <w:jc w:val="left"/>
        <w:rPr>
          <w:rFonts w:ascii="宋体" w:hAnsi="宋体" w:eastAsia="宋体" w:cs="宋体"/>
          <w:b/>
          <w:bCs/>
          <w:sz w:val="24"/>
          <w:szCs w:val="20"/>
        </w:rPr>
      </w:pPr>
      <w:r>
        <w:rPr>
          <w:rFonts w:hint="eastAsia" w:ascii="宋体" w:hAnsi="宋体" w:eastAsia="宋体" w:cs="宋体"/>
          <w:b/>
          <w:bCs/>
          <w:sz w:val="24"/>
          <w:szCs w:val="20"/>
        </w:rPr>
        <w:t>异常低价投标（响应）审查的启动原因、审查意见和审查结果应当在评审报告中记录，并随供应商提供的相关书面说明及证明材料，以及评审委员会有关互联网浏览、查询历史一并归档。</w:t>
      </w:r>
    </w:p>
    <w:p w14:paraId="6B8FF2D2">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27.1.11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12C6EC57">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27.1.12投标文件未按照招标文件要求加盖CA电子公章的。</w:t>
      </w:r>
    </w:p>
    <w:p w14:paraId="0366842A">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27.1.13其他法律、法规及本招标文件规定的属无效投标的情形。</w:t>
      </w:r>
    </w:p>
    <w:p w14:paraId="5CFD9934">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27.2废标条款</w:t>
      </w:r>
    </w:p>
    <w:p w14:paraId="215D2B51">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27.2.1符合专业条件的供应商或者对招标文件作实质响应的供应商不足三家的。</w:t>
      </w:r>
    </w:p>
    <w:p w14:paraId="18887427">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27.2.2出现影响采购公正的违法、违规行为的。</w:t>
      </w:r>
    </w:p>
    <w:p w14:paraId="08B75B3A">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27.2.3因重大变故，采购任务取消的。</w:t>
      </w:r>
    </w:p>
    <w:p w14:paraId="3EC9E5D4">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27.2.4评标委员会认定招标文件存在歧义、重大缺陷导致评审工作无法进行。</w:t>
      </w:r>
    </w:p>
    <w:p w14:paraId="380C1DC1">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27.2.5因苏采云系统故障原因造成开标不成功的。</w:t>
      </w:r>
    </w:p>
    <w:p w14:paraId="16F7821E">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27.3投标截止时间结束后参加投标的供应商不足三家的处理：</w:t>
      </w:r>
    </w:p>
    <w:p w14:paraId="3219C579">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27.3.1如出现投标截止时间结束后参加投标的供应商或者在评标期间对招标文件做出实质响应的供应商不足三家情况，按政府采购相关规定执行。</w:t>
      </w:r>
    </w:p>
    <w:p w14:paraId="37390C9B">
      <w:pPr>
        <w:spacing w:line="560" w:lineRule="exact"/>
        <w:ind w:firstLine="482"/>
        <w:jc w:val="left"/>
        <w:rPr>
          <w:rFonts w:ascii="宋体" w:hAnsi="宋体" w:eastAsia="宋体" w:cs="宋体"/>
          <w:b/>
          <w:bCs/>
          <w:sz w:val="24"/>
          <w:szCs w:val="20"/>
        </w:rPr>
      </w:pPr>
      <w:bookmarkStart w:id="134" w:name="_Toc120614219"/>
      <w:r>
        <w:rPr>
          <w:rFonts w:hint="eastAsia" w:ascii="宋体" w:hAnsi="宋体" w:eastAsia="宋体" w:cs="宋体"/>
          <w:b/>
          <w:bCs/>
          <w:sz w:val="24"/>
          <w:szCs w:val="20"/>
        </w:rPr>
        <w:t>六、定标</w:t>
      </w:r>
      <w:bookmarkEnd w:id="134"/>
    </w:p>
    <w:p w14:paraId="72FB4925">
      <w:pPr>
        <w:keepNext/>
        <w:spacing w:line="560" w:lineRule="exact"/>
        <w:ind w:firstLine="482"/>
        <w:jc w:val="left"/>
        <w:rPr>
          <w:rFonts w:ascii="宋体" w:hAnsi="宋体" w:eastAsia="宋体" w:cs="宋体"/>
          <w:b/>
          <w:bCs/>
          <w:sz w:val="24"/>
          <w:szCs w:val="20"/>
        </w:rPr>
      </w:pPr>
      <w:bookmarkStart w:id="135" w:name="_Toc20823310"/>
      <w:bookmarkStart w:id="136" w:name="_Toc513029238"/>
      <w:bookmarkStart w:id="137" w:name="_Toc16938554"/>
      <w:r>
        <w:rPr>
          <w:rFonts w:hint="eastAsia" w:ascii="宋体" w:hAnsi="宋体" w:eastAsia="宋体" w:cs="宋体"/>
          <w:b/>
          <w:bCs/>
          <w:sz w:val="24"/>
          <w:szCs w:val="20"/>
        </w:rPr>
        <w:t>28、</w:t>
      </w:r>
      <w:bookmarkEnd w:id="135"/>
      <w:r>
        <w:rPr>
          <w:rFonts w:hint="eastAsia" w:ascii="宋体" w:hAnsi="宋体" w:eastAsia="宋体" w:cs="宋体"/>
          <w:b/>
          <w:bCs/>
          <w:sz w:val="24"/>
          <w:szCs w:val="20"/>
        </w:rPr>
        <w:t>确定</w:t>
      </w:r>
      <w:bookmarkEnd w:id="136"/>
      <w:bookmarkEnd w:id="137"/>
      <w:r>
        <w:rPr>
          <w:rFonts w:hint="eastAsia" w:ascii="宋体" w:hAnsi="宋体" w:eastAsia="宋体" w:cs="宋体"/>
          <w:b/>
          <w:bCs/>
          <w:sz w:val="24"/>
          <w:szCs w:val="20"/>
        </w:rPr>
        <w:t>中标单位</w:t>
      </w:r>
    </w:p>
    <w:p w14:paraId="356E9715">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28.1中标候选人的选取原则和数量见招标文件第五章规定。</w:t>
      </w:r>
    </w:p>
    <w:p w14:paraId="6B1F67DE">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28.2采购人应根据评委会推荐的中标候选人确定中标人。</w:t>
      </w:r>
    </w:p>
    <w:p w14:paraId="3959A150">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28.3采购中心将在“中国政府采购网”、“江苏政府采购网”、“盐城市政府采购网”发布中标公告，公告期限为1个工作日。</w:t>
      </w:r>
    </w:p>
    <w:p w14:paraId="4A877E46">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28.4若有充分证据证明，中标人出现下列情况之一的，一经查实，将被取消中标资格：</w:t>
      </w:r>
    </w:p>
    <w:p w14:paraId="55DA9727">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28.4.1提供虚假材料谋取中标的。</w:t>
      </w:r>
    </w:p>
    <w:p w14:paraId="6BEB5839">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28.4.2向采购人、采购中心行贿或者提供其他不正当利益的。</w:t>
      </w:r>
    </w:p>
    <w:p w14:paraId="779E4D3B">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28.4.3属于本文件规定的无效条件，但在评标过程中又未被评委会发现的。</w:t>
      </w:r>
    </w:p>
    <w:p w14:paraId="2C91975F">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28.4.4与采购人或者其他供应商恶意串通的。</w:t>
      </w:r>
    </w:p>
    <w:p w14:paraId="2E8BD83D">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28.4.5采取不正当手段诋毁、排挤其他供应商的。</w:t>
      </w:r>
    </w:p>
    <w:p w14:paraId="04E3DDB1">
      <w:pPr>
        <w:spacing w:line="560" w:lineRule="exact"/>
        <w:ind w:firstLine="482"/>
        <w:jc w:val="left"/>
        <w:rPr>
          <w:rFonts w:ascii="宋体" w:hAnsi="宋体" w:eastAsia="宋体" w:cs="宋体"/>
          <w:sz w:val="24"/>
          <w:szCs w:val="20"/>
        </w:rPr>
      </w:pPr>
      <w:bookmarkStart w:id="138" w:name="_Toc200451960"/>
      <w:r>
        <w:rPr>
          <w:rFonts w:hint="eastAsia" w:ascii="宋体" w:hAnsi="宋体" w:eastAsia="宋体" w:cs="宋体"/>
          <w:sz w:val="24"/>
          <w:szCs w:val="20"/>
        </w:rPr>
        <w:t>28.5有下列情形之一的，视为投标人串通投标，投标无效：</w:t>
      </w:r>
      <w:bookmarkEnd w:id="138"/>
    </w:p>
    <w:p w14:paraId="6BE27CA0">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28.5.1不同投标人的投标文件由同一单位或者个人编制；</w:t>
      </w:r>
    </w:p>
    <w:p w14:paraId="1D4BA3F8">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28.5.2不同投标人委托同一单位或者个人办理投标事宜；</w:t>
      </w:r>
    </w:p>
    <w:p w14:paraId="42DB1B84">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28.5.3不同投标人的投标文件载明的项目管理成员或者联系人员为同一人；</w:t>
      </w:r>
    </w:p>
    <w:p w14:paraId="43876323">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28.5.4不同投标人的投标文件异常一致或者投标报价呈规律性差异。</w:t>
      </w:r>
    </w:p>
    <w:p w14:paraId="7CC24ABE">
      <w:pPr>
        <w:keepNext/>
        <w:spacing w:line="560" w:lineRule="exact"/>
        <w:ind w:firstLine="482"/>
        <w:jc w:val="left"/>
        <w:rPr>
          <w:rFonts w:ascii="宋体" w:hAnsi="宋体" w:eastAsia="宋体" w:cs="宋体"/>
          <w:b/>
          <w:bCs/>
          <w:sz w:val="24"/>
          <w:szCs w:val="20"/>
        </w:rPr>
      </w:pPr>
      <w:r>
        <w:rPr>
          <w:rFonts w:hint="eastAsia" w:ascii="宋体" w:hAnsi="宋体" w:eastAsia="宋体" w:cs="宋体"/>
          <w:b/>
          <w:bCs/>
          <w:sz w:val="24"/>
          <w:szCs w:val="20"/>
        </w:rPr>
        <w:t>29、质疑处理</w:t>
      </w:r>
    </w:p>
    <w:p w14:paraId="63B8E8CF">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29.1提出质疑的供应商应当是参与所质疑项目采购活动的供应商。潜在供应商依法获取其可质疑的采购文件的，可以对采购文件提出质疑。</w:t>
      </w:r>
    </w:p>
    <w:p w14:paraId="79AFCFC9">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29.2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p>
    <w:p w14:paraId="33BCF17D">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29.2.1对可以质疑的采购文件提出质疑的，为收到采购文件之日或者采购文件公告期限届满之日；</w:t>
      </w:r>
    </w:p>
    <w:p w14:paraId="04B5F363">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29.2.2对采购过程提出质疑的，为各采购程序环节结束之日；</w:t>
      </w:r>
    </w:p>
    <w:p w14:paraId="6F8167EB">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29.2.3对中标或者成交结果提出质疑的，为中标或者成交结果公告期限届满之日。</w:t>
      </w:r>
    </w:p>
    <w:p w14:paraId="0DF7863F">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供应商应当在法定质疑期内一次性提出针对同一采购程序环节的质疑。供应商如在法定期限内对同一采购程序环节提出多次质疑的，采购中心、采购人将只对供应商第一次质疑作出答复。</w:t>
      </w:r>
    </w:p>
    <w:p w14:paraId="3CB7D49F">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29.3质疑函必须按照本招标文件中《质疑函范本》要求的格式和内容进行填写。供应商如组成联合体参加投标，则《质疑函范本》中要求签字、盖章、加盖公章之处，联合体各方均须按要求签字、盖章、加盖公章。</w:t>
      </w:r>
    </w:p>
    <w:p w14:paraId="1E407EBA">
      <w:pPr>
        <w:spacing w:line="560" w:lineRule="exact"/>
        <w:ind w:firstLine="482"/>
        <w:jc w:val="left"/>
        <w:rPr>
          <w:rFonts w:ascii="宋体" w:hAnsi="宋体" w:eastAsia="宋体" w:cs="宋体"/>
          <w:b/>
          <w:bCs/>
          <w:sz w:val="24"/>
          <w:szCs w:val="20"/>
        </w:rPr>
      </w:pPr>
      <w:r>
        <w:rPr>
          <w:rFonts w:hint="eastAsia" w:ascii="宋体" w:hAnsi="宋体" w:eastAsia="宋体" w:cs="宋体"/>
          <w:b/>
          <w:bCs/>
          <w:sz w:val="24"/>
          <w:szCs w:val="20"/>
        </w:rPr>
        <w:t>29.4供应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p>
    <w:p w14:paraId="2C892B02">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采购人及采购中心只接收以纸质原件形式送达的质疑，采购人和采购中心不接受未填写快递运单的快件。质疑接收部门为公共资源交易中心业务受理处，联系地址：盐城市府西路1号市公共资源交易中心412室，联系电话：0515-86665052。</w:t>
      </w:r>
    </w:p>
    <w:p w14:paraId="0DE6517D">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29.5以下情形的质疑不予受理</w:t>
      </w:r>
    </w:p>
    <w:p w14:paraId="34BAD1AF">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29.5.1内容不符合《政府采购质疑和投诉办法》第十二条规定的质疑。</w:t>
      </w:r>
    </w:p>
    <w:p w14:paraId="6E74747A">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29.5.2超出政府采购法定期限的质疑。</w:t>
      </w:r>
    </w:p>
    <w:p w14:paraId="0CAB3C87">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29.5.3以传真、电子邮件等方式递交的非原件形式的质疑。</w:t>
      </w:r>
    </w:p>
    <w:p w14:paraId="0D146CF0">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29.5.4未参加投标活动的供应商或在投标活动中自身权益未受到损害的供应商所提出的质疑。</w:t>
      </w:r>
    </w:p>
    <w:p w14:paraId="6E4E293C">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29.5.5供应商组成联合体参加投标，联合体中任何一方或多方未按要求签字、盖章、加盖公章的质疑。</w:t>
      </w:r>
    </w:p>
    <w:p w14:paraId="1DE0FD85">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14:paraId="393A9BC9">
      <w:pPr>
        <w:keepNext/>
        <w:spacing w:line="560" w:lineRule="exact"/>
        <w:ind w:firstLine="482"/>
        <w:jc w:val="left"/>
        <w:rPr>
          <w:rFonts w:ascii="宋体" w:hAnsi="宋体" w:eastAsia="宋体" w:cs="宋体"/>
          <w:b/>
          <w:bCs/>
          <w:sz w:val="24"/>
          <w:szCs w:val="20"/>
        </w:rPr>
      </w:pPr>
      <w:r>
        <w:rPr>
          <w:rFonts w:hint="eastAsia" w:ascii="宋体" w:hAnsi="宋体" w:eastAsia="宋体" w:cs="宋体"/>
          <w:b/>
          <w:bCs/>
          <w:sz w:val="24"/>
          <w:szCs w:val="20"/>
        </w:rPr>
        <w:t>30、中标通知书</w:t>
      </w:r>
    </w:p>
    <w:p w14:paraId="5A0FE78D">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30.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42CA8CD8">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30.2中标通知书将是合同的一个组成部分。对采购人和中标供应商均具有法律效力。中标通知书发出后，采购人改变中标结果的，或者中标供应商放弃中标项目的，应当依法承担法律责任。</w:t>
      </w:r>
    </w:p>
    <w:p w14:paraId="3B11FBD7">
      <w:pPr>
        <w:spacing w:line="560" w:lineRule="exact"/>
        <w:ind w:firstLine="482"/>
        <w:jc w:val="left"/>
        <w:rPr>
          <w:rFonts w:ascii="宋体" w:hAnsi="宋体" w:eastAsia="宋体" w:cs="宋体"/>
          <w:b/>
          <w:bCs/>
          <w:sz w:val="24"/>
          <w:szCs w:val="20"/>
        </w:rPr>
      </w:pPr>
      <w:bookmarkStart w:id="139" w:name="_Toc120614220"/>
      <w:bookmarkStart w:id="140" w:name="_Toc513029236"/>
      <w:bookmarkStart w:id="141" w:name="_Toc20823308"/>
      <w:bookmarkStart w:id="142" w:name="_Toc16938552"/>
      <w:r>
        <w:rPr>
          <w:rFonts w:hint="eastAsia" w:ascii="宋体" w:hAnsi="宋体" w:eastAsia="宋体" w:cs="宋体"/>
          <w:b/>
          <w:bCs/>
          <w:sz w:val="24"/>
          <w:szCs w:val="20"/>
        </w:rPr>
        <w:t>七、授予合同</w:t>
      </w:r>
      <w:bookmarkEnd w:id="139"/>
      <w:bookmarkEnd w:id="140"/>
      <w:bookmarkEnd w:id="141"/>
      <w:bookmarkEnd w:id="142"/>
    </w:p>
    <w:p w14:paraId="3D386DAC">
      <w:pPr>
        <w:spacing w:line="560" w:lineRule="exact"/>
        <w:ind w:firstLine="482"/>
        <w:jc w:val="left"/>
        <w:rPr>
          <w:rFonts w:ascii="宋体" w:hAnsi="宋体" w:eastAsia="宋体" w:cs="宋体"/>
          <w:b/>
          <w:bCs/>
          <w:sz w:val="24"/>
          <w:szCs w:val="20"/>
        </w:rPr>
      </w:pPr>
      <w:bookmarkStart w:id="143" w:name="_Toc20823309"/>
      <w:bookmarkStart w:id="144" w:name="_Toc513029237"/>
      <w:bookmarkStart w:id="145" w:name="_Toc16938553"/>
      <w:r>
        <w:rPr>
          <w:rFonts w:hint="eastAsia" w:ascii="宋体" w:hAnsi="宋体" w:eastAsia="宋体" w:cs="宋体"/>
          <w:b/>
          <w:bCs/>
          <w:sz w:val="24"/>
          <w:szCs w:val="20"/>
        </w:rPr>
        <w:t>31、签订合同</w:t>
      </w:r>
      <w:bookmarkEnd w:id="143"/>
      <w:bookmarkEnd w:id="144"/>
      <w:bookmarkEnd w:id="145"/>
    </w:p>
    <w:p w14:paraId="69D0459F">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31.l中标人应当在中标通知书发出之日起三十日内，按照招标文件确定的事项与采购人签订政府采购合同。</w:t>
      </w:r>
    </w:p>
    <w:p w14:paraId="29AAC894">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31.2招标文件、中标人的投标文件及招标过程中有关澄清、承诺文件均应作为合同附件。</w:t>
      </w:r>
    </w:p>
    <w:p w14:paraId="0397673C">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31.3签订合同后，</w:t>
      </w:r>
      <w:r>
        <w:rPr>
          <w:rFonts w:hint="eastAsia" w:ascii="宋体" w:hAnsi="宋体" w:eastAsia="宋体" w:cs="宋体"/>
          <w:i/>
          <w:iCs/>
          <w:sz w:val="24"/>
          <w:szCs w:val="20"/>
          <w:u w:val="single"/>
        </w:rPr>
        <w:t>中标人不得将合同标的进行转包</w:t>
      </w:r>
      <w:r>
        <w:rPr>
          <w:rFonts w:hint="eastAsia" w:ascii="宋体" w:hAnsi="宋体" w:eastAsia="宋体" w:cs="宋体"/>
          <w:sz w:val="24"/>
          <w:szCs w:val="20"/>
        </w:rPr>
        <w:t>。未经采购人同意，中标人也不得采用分包的形式履行合同，否则采购人有权终止合同。转包或分包造成采购人损失的，中标人应承担相应赔偿责任。</w:t>
      </w:r>
    </w:p>
    <w:p w14:paraId="776F3ABD">
      <w:pPr>
        <w:keepNext/>
        <w:spacing w:line="560" w:lineRule="exact"/>
        <w:ind w:firstLine="482"/>
        <w:jc w:val="left"/>
        <w:rPr>
          <w:rFonts w:ascii="宋体" w:hAnsi="宋体" w:eastAsia="宋体" w:cs="宋体"/>
          <w:b/>
          <w:bCs/>
          <w:sz w:val="24"/>
          <w:szCs w:val="20"/>
        </w:rPr>
      </w:pPr>
      <w:r>
        <w:rPr>
          <w:rFonts w:hint="eastAsia" w:ascii="宋体" w:hAnsi="宋体" w:eastAsia="宋体" w:cs="宋体"/>
          <w:b/>
          <w:bCs/>
          <w:sz w:val="24"/>
          <w:szCs w:val="20"/>
        </w:rPr>
        <w:t>32、货物（包含与货物相关的服务）的追加</w:t>
      </w:r>
    </w:p>
    <w:p w14:paraId="0470E63C">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7AB8A58D">
      <w:pPr>
        <w:spacing w:line="560" w:lineRule="exact"/>
        <w:ind w:firstLine="482"/>
        <w:jc w:val="left"/>
        <w:rPr>
          <w:rFonts w:ascii="宋体" w:hAnsi="宋体" w:eastAsia="宋体" w:cs="宋体"/>
          <w:b/>
          <w:bCs/>
          <w:sz w:val="24"/>
          <w:szCs w:val="20"/>
        </w:rPr>
      </w:pPr>
      <w:r>
        <w:rPr>
          <w:rFonts w:hint="eastAsia" w:ascii="宋体" w:hAnsi="宋体" w:eastAsia="宋体" w:cs="宋体"/>
          <w:b/>
          <w:bCs/>
          <w:sz w:val="24"/>
          <w:szCs w:val="20"/>
        </w:rPr>
        <w:t>33、政府采购政策功能落实</w:t>
      </w:r>
    </w:p>
    <w:p w14:paraId="581B893A">
      <w:pPr>
        <w:keepNext/>
        <w:spacing w:line="560" w:lineRule="exact"/>
        <w:ind w:firstLine="482"/>
        <w:jc w:val="left"/>
        <w:rPr>
          <w:rFonts w:ascii="宋体" w:hAnsi="宋体" w:eastAsia="宋体" w:cs="宋体"/>
          <w:b/>
          <w:bCs/>
          <w:sz w:val="24"/>
          <w:szCs w:val="20"/>
        </w:rPr>
      </w:pPr>
      <w:r>
        <w:rPr>
          <w:rFonts w:hint="eastAsia" w:ascii="宋体" w:hAnsi="宋体" w:eastAsia="宋体" w:cs="宋体"/>
          <w:b/>
          <w:bCs/>
          <w:sz w:val="24"/>
          <w:szCs w:val="20"/>
        </w:rPr>
        <w:t>33.1政府采购线上合同信用融资政策</w:t>
      </w:r>
    </w:p>
    <w:p w14:paraId="192E2CAD">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根据《转发江苏省财政厅 中国人民银行南京分行〈关于深入推进政府采购线上合同信用融资工作的通知〉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p>
    <w:p w14:paraId="61FA4A6F">
      <w:pPr>
        <w:spacing w:line="560" w:lineRule="exact"/>
        <w:ind w:firstLine="482"/>
        <w:jc w:val="left"/>
        <w:rPr>
          <w:rFonts w:ascii="宋体" w:hAnsi="宋体" w:eastAsia="宋体" w:cs="宋体"/>
          <w:b/>
          <w:bCs/>
          <w:sz w:val="24"/>
          <w:szCs w:val="20"/>
        </w:rPr>
      </w:pPr>
      <w:r>
        <w:rPr>
          <w:rFonts w:hint="eastAsia" w:ascii="宋体" w:hAnsi="宋体" w:eastAsia="宋体" w:cs="宋体"/>
          <w:b/>
          <w:bCs/>
          <w:sz w:val="24"/>
          <w:szCs w:val="20"/>
        </w:rPr>
        <w:t>33.2进口产品</w:t>
      </w:r>
    </w:p>
    <w:p w14:paraId="440430F3">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228CEF0">
      <w:pPr>
        <w:spacing w:line="560" w:lineRule="exact"/>
        <w:ind w:firstLine="482"/>
        <w:jc w:val="left"/>
        <w:rPr>
          <w:rFonts w:ascii="宋体" w:hAnsi="宋体" w:eastAsia="宋体" w:cs="宋体"/>
          <w:b/>
          <w:bCs/>
          <w:sz w:val="24"/>
          <w:szCs w:val="20"/>
        </w:rPr>
      </w:pPr>
      <w:r>
        <w:rPr>
          <w:rFonts w:hint="eastAsia" w:ascii="宋体" w:hAnsi="宋体" w:eastAsia="宋体" w:cs="宋体"/>
          <w:b/>
          <w:bCs/>
          <w:sz w:val="24"/>
          <w:szCs w:val="20"/>
        </w:rPr>
        <w:t>33.3中小企业、监狱企业及残疾人福利性单位</w:t>
      </w:r>
    </w:p>
    <w:p w14:paraId="000B06D1">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33.3.1中小企业定义：</w:t>
      </w:r>
    </w:p>
    <w:p w14:paraId="1095F57E">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18806630">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33.3.2供应商提供的货物、工程或者服务符合下列情形的，享受中小企业扶持政策：</w:t>
      </w:r>
    </w:p>
    <w:p w14:paraId="0160FE5D">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33.3.2.1在货物采购项目中，货物由中小企业制造，即货物由中小企业生产且使用该中小企业商号或者注册商标；</w:t>
      </w:r>
    </w:p>
    <w:p w14:paraId="4737D5EB">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33.3.2.2在工程采购项目中，工程由中小企业承建，即工程施工单位为中小企业；</w:t>
      </w:r>
    </w:p>
    <w:p w14:paraId="6DFFA9B9">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33.3.2.3在服务采购项目中，服务由中小企业承接，即提供服务的人员为中小企业依照《中华人民共和国劳动合同法》订立劳动合同的从业人员。</w:t>
      </w:r>
    </w:p>
    <w:p w14:paraId="02FF4C10">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33.3.3在货物采购项目中，供应商提供的货物既有中小企业制造货物，也有大型企业制造货物的，不享受中小企业扶持政策。</w:t>
      </w:r>
    </w:p>
    <w:p w14:paraId="5E51D595">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33.3.4以联合体形式参加政府采购活动，联合体各方均为中小企业的，联合体视同中小企业。其中，联合体各方均为小微企业的，联合体视同小微企业。</w:t>
      </w:r>
    </w:p>
    <w:p w14:paraId="291744B6">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1CE24D4">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33.3.6残疾人福利单位定义：享受政府采购支持政策的残疾人福利性单位应当同时满足以下条件：</w:t>
      </w:r>
    </w:p>
    <w:p w14:paraId="5D77A943">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33.3.6.1安置的残疾人占本单位在职职工人数的比例不低于25%（含25%），并且安置的残疾人人数不少于10人（含10人）；</w:t>
      </w:r>
    </w:p>
    <w:p w14:paraId="6C711A14">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33.3.6.2依法与安置的每位残疾人签订了一年以上（含一年）的劳动合同或服务协议；</w:t>
      </w:r>
    </w:p>
    <w:p w14:paraId="5DC907AD">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33.3.6.3为安置的每位残疾人按月足额缴纳了基本养老保险、基本医疗保险、失业保险、工伤保险和生育保险等社会保险费；</w:t>
      </w:r>
    </w:p>
    <w:p w14:paraId="4533E396">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33.3.6.4通过银行等金融机构向安置的每位残疾人，按月支付了不低于单位所在区县适用的经省级人民政府批准的月最低工资标准的工资；</w:t>
      </w:r>
    </w:p>
    <w:p w14:paraId="38BC1D39">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33.3.6.5提供本单位制造的货物、承担的工程或者服务（以下简称产品），或者提供其他残疾人福利性单位制造的货物（不包括使用非残疾人福利性单位注册商标的货物）；</w:t>
      </w:r>
    </w:p>
    <w:p w14:paraId="1D176099">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72EC7DA7">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33.3.7本项目是否专门面向中小企业预留采购份额见第一章《招标公告》。</w:t>
      </w:r>
    </w:p>
    <w:p w14:paraId="1CE7DD0F">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33.3.8采购标的对应的中小企业划分标准所属行业见第四章《采购需求》。</w:t>
      </w:r>
    </w:p>
    <w:p w14:paraId="407A1F67">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33.3.9小微企业价格评审优惠的政策：见第五章《评标方法和评标标准》。</w:t>
      </w:r>
    </w:p>
    <w:p w14:paraId="631B258E">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33.4政府采购节能产品、环境标志产品</w:t>
      </w:r>
    </w:p>
    <w:p w14:paraId="490511E5">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sz w:val="24"/>
          <w:szCs w:val="20"/>
        </w:rPr>
        <w:t>如属政府强制采购产品未提供认证证书的或认证证书提供不全的将视为未实质性响应采购要求</w:t>
      </w:r>
      <w:r>
        <w:rPr>
          <w:rFonts w:hint="eastAsia" w:ascii="宋体" w:hAnsi="宋体" w:eastAsia="宋体" w:cs="宋体"/>
          <w:sz w:val="24"/>
          <w:szCs w:val="20"/>
        </w:rPr>
        <w:t>。其他条件相同情况下，应当优先采购节能产品、环境标志产品。</w:t>
      </w:r>
    </w:p>
    <w:p w14:paraId="0B291E26">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22657EC0">
      <w:pPr>
        <w:spacing w:line="560" w:lineRule="exact"/>
        <w:ind w:firstLine="482"/>
        <w:jc w:val="left"/>
        <w:rPr>
          <w:rFonts w:ascii="宋体" w:hAnsi="宋体" w:eastAsia="宋体" w:cs="宋体"/>
          <w:b/>
          <w:bCs/>
          <w:sz w:val="24"/>
          <w:szCs w:val="20"/>
        </w:rPr>
      </w:pPr>
      <w:r>
        <w:rPr>
          <w:rFonts w:hint="eastAsia" w:ascii="宋体" w:hAnsi="宋体" w:eastAsia="宋体" w:cs="宋体"/>
          <w:b/>
          <w:bCs/>
          <w:sz w:val="24"/>
          <w:szCs w:val="20"/>
        </w:rPr>
        <w:t>33.5绿色包装</w:t>
      </w:r>
    </w:p>
    <w:p w14:paraId="0611A857">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本项目中涉及商品的包装应按照“财办库〔2020〕123号《关于印发《商品包装政府采购需求标准（试行）》《快递包装政府采购需求标准（试行）》的通知》”执行，在供货、安装过程中能做到低碳物流、环保节约、提高资源利用率。</w:t>
      </w:r>
    </w:p>
    <w:p w14:paraId="0104899B">
      <w:pPr>
        <w:spacing w:line="560" w:lineRule="exact"/>
        <w:ind w:firstLine="482"/>
        <w:jc w:val="left"/>
        <w:rPr>
          <w:rFonts w:ascii="宋体" w:hAnsi="宋体" w:eastAsia="宋体" w:cs="宋体"/>
          <w:b/>
          <w:bCs/>
          <w:sz w:val="24"/>
          <w:szCs w:val="20"/>
        </w:rPr>
      </w:pPr>
      <w:r>
        <w:rPr>
          <w:rFonts w:hint="eastAsia" w:ascii="宋体" w:hAnsi="宋体" w:eastAsia="宋体" w:cs="宋体"/>
          <w:b/>
          <w:bCs/>
          <w:sz w:val="24"/>
          <w:szCs w:val="20"/>
        </w:rPr>
        <w:t>33.6政府采购创新产品</w:t>
      </w:r>
    </w:p>
    <w:p w14:paraId="05052866">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采购人优先采购各级政府部门公开发布的有效期内的创新产品、创新服务、首台套、首购首用等《目录》的创新产品。</w:t>
      </w:r>
    </w:p>
    <w:p w14:paraId="72DBFC0F">
      <w:pPr>
        <w:spacing w:line="560" w:lineRule="exact"/>
        <w:ind w:firstLine="482"/>
        <w:jc w:val="left"/>
        <w:rPr>
          <w:rFonts w:ascii="宋体" w:hAnsi="宋体" w:eastAsia="宋体" w:cs="宋体"/>
          <w:b/>
          <w:bCs/>
          <w:sz w:val="24"/>
          <w:szCs w:val="20"/>
        </w:rPr>
      </w:pPr>
      <w:r>
        <w:rPr>
          <w:rFonts w:hint="eastAsia" w:ascii="宋体" w:hAnsi="宋体" w:eastAsia="宋体" w:cs="宋体"/>
          <w:b/>
          <w:bCs/>
          <w:sz w:val="24"/>
          <w:szCs w:val="20"/>
        </w:rPr>
        <w:t>33.7绿色数据中心政策</w:t>
      </w:r>
    </w:p>
    <w:p w14:paraId="0817A030">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A209F60">
      <w:pPr>
        <w:spacing w:line="560" w:lineRule="exact"/>
        <w:ind w:firstLine="482"/>
        <w:jc w:val="left"/>
        <w:rPr>
          <w:rFonts w:ascii="宋体" w:hAnsi="宋体" w:eastAsia="宋体" w:cs="宋体"/>
          <w:b/>
          <w:bCs/>
          <w:sz w:val="24"/>
          <w:szCs w:val="20"/>
        </w:rPr>
      </w:pPr>
      <w:r>
        <w:rPr>
          <w:rFonts w:hint="eastAsia" w:ascii="宋体" w:hAnsi="宋体" w:eastAsia="宋体" w:cs="宋体"/>
          <w:b/>
          <w:bCs/>
          <w:sz w:val="24"/>
          <w:szCs w:val="20"/>
        </w:rPr>
        <w:t>33.8实施本国产品标准及相关政策</w:t>
      </w:r>
    </w:p>
    <w:p w14:paraId="392A965F">
      <w:pPr>
        <w:spacing w:line="560" w:lineRule="exact"/>
        <w:ind w:firstLine="482"/>
        <w:jc w:val="left"/>
        <w:rPr>
          <w:rFonts w:ascii="宋体" w:hAnsi="宋体" w:eastAsia="宋体" w:cs="宋体"/>
          <w:b/>
          <w:bCs/>
          <w:sz w:val="24"/>
          <w:szCs w:val="20"/>
        </w:rPr>
      </w:pPr>
      <w:r>
        <w:rPr>
          <w:rFonts w:hint="eastAsia" w:ascii="宋体" w:hAnsi="宋体" w:eastAsia="宋体" w:cs="宋体"/>
          <w:b/>
          <w:bCs/>
          <w:sz w:val="24"/>
          <w:szCs w:val="20"/>
        </w:rPr>
        <w:t>1.本项目对采购本国产品给予政策支持，具体内容见招标文件“第五章 评标方法与评标标准”。</w:t>
      </w:r>
    </w:p>
    <w:p w14:paraId="6A6EB00E">
      <w:pPr>
        <w:spacing w:line="560" w:lineRule="exact"/>
        <w:ind w:firstLine="482"/>
        <w:jc w:val="left"/>
        <w:rPr>
          <w:rFonts w:ascii="宋体" w:hAnsi="宋体" w:eastAsia="宋体" w:cs="宋体"/>
          <w:b/>
          <w:bCs/>
          <w:sz w:val="24"/>
          <w:szCs w:val="20"/>
        </w:rPr>
      </w:pPr>
      <w:r>
        <w:rPr>
          <w:rFonts w:hint="eastAsia" w:ascii="宋体" w:hAnsi="宋体" w:eastAsia="宋体" w:cs="宋体"/>
          <w:b/>
          <w:bCs/>
          <w:sz w:val="24"/>
          <w:szCs w:val="20"/>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073EDF8">
      <w:pPr>
        <w:spacing w:line="560" w:lineRule="exact"/>
        <w:ind w:firstLine="482"/>
        <w:jc w:val="left"/>
        <w:rPr>
          <w:rFonts w:ascii="宋体" w:hAnsi="宋体" w:eastAsia="宋体" w:cs="宋体"/>
          <w:b/>
          <w:bCs/>
          <w:sz w:val="24"/>
          <w:szCs w:val="20"/>
        </w:rPr>
      </w:pPr>
      <w:r>
        <w:rPr>
          <w:rFonts w:hint="eastAsia" w:ascii="宋体" w:hAnsi="宋体" w:eastAsia="宋体" w:cs="宋体"/>
          <w:b/>
          <w:bCs/>
          <w:sz w:val="24"/>
          <w:szCs w:val="20"/>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178ACFF">
      <w:pPr>
        <w:spacing w:line="560" w:lineRule="exact"/>
        <w:ind w:firstLine="482"/>
        <w:jc w:val="left"/>
        <w:rPr>
          <w:rFonts w:ascii="宋体" w:hAnsi="宋体" w:eastAsia="宋体" w:cs="宋体"/>
          <w:b/>
          <w:bCs/>
          <w:sz w:val="24"/>
          <w:szCs w:val="20"/>
        </w:rPr>
      </w:pPr>
      <w:r>
        <w:rPr>
          <w:rFonts w:hint="eastAsia" w:ascii="宋体" w:hAnsi="宋体" w:eastAsia="宋体" w:cs="宋体"/>
          <w:b/>
          <w:bCs/>
          <w:sz w:val="24"/>
          <w:szCs w:val="20"/>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sz w:val="24"/>
          <w:szCs w:val="20"/>
          <w:u w:val="single"/>
        </w:rPr>
        <w:t>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sz w:val="24"/>
          <w:szCs w:val="20"/>
        </w:rPr>
        <w:t>。</w:t>
      </w:r>
    </w:p>
    <w:p w14:paraId="4367948A">
      <w:pPr>
        <w:spacing w:line="560" w:lineRule="exact"/>
        <w:ind w:firstLine="482"/>
        <w:jc w:val="left"/>
        <w:rPr>
          <w:rFonts w:ascii="宋体" w:hAnsi="宋体" w:eastAsia="宋体" w:cs="宋体"/>
          <w:b/>
          <w:bCs/>
          <w:sz w:val="24"/>
          <w:szCs w:val="20"/>
        </w:rPr>
      </w:pPr>
      <w:r>
        <w:rPr>
          <w:rFonts w:hint="eastAsia" w:ascii="宋体" w:hAnsi="宋体" w:eastAsia="宋体" w:cs="宋体"/>
          <w:b/>
          <w:bCs/>
          <w:sz w:val="24"/>
          <w:szCs w:val="20"/>
        </w:rPr>
        <w:t>33.9履约保证金政策</w:t>
      </w:r>
    </w:p>
    <w:p w14:paraId="27971B69">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确需收取履约保证金的，履约保证金的缴纳形式：</w:t>
      </w:r>
    </w:p>
    <w:p w14:paraId="04C0DD2C">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352EB1BA">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如以履约保函（保险）形式缴纳履约保证金，供应商可通过政府采购电子履约保函（保险）平台（www.jsdzbh.com）在线申请履约保函（保险）。</w:t>
      </w:r>
    </w:p>
    <w:p w14:paraId="33E01BAA">
      <w:pPr>
        <w:spacing w:line="560" w:lineRule="exact"/>
        <w:ind w:firstLine="482"/>
        <w:jc w:val="left"/>
        <w:rPr>
          <w:rFonts w:ascii="宋体" w:hAnsi="宋体" w:eastAsia="宋体" w:cs="宋体"/>
          <w:b/>
          <w:bCs/>
          <w:sz w:val="24"/>
          <w:szCs w:val="20"/>
        </w:rPr>
      </w:pPr>
      <w:r>
        <w:rPr>
          <w:rFonts w:hint="eastAsia" w:ascii="宋体" w:hAnsi="宋体" w:eastAsia="宋体" w:cs="宋体"/>
          <w:sz w:val="24"/>
          <w:szCs w:val="20"/>
        </w:rPr>
        <w:t>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eastAsia="宋体" w:cs="宋体"/>
          <w:b/>
          <w:bCs/>
          <w:sz w:val="24"/>
          <w:szCs w:val="20"/>
        </w:rPr>
        <w:t>降低履约保证金缴纳比例为5%。</w:t>
      </w:r>
    </w:p>
    <w:p w14:paraId="14295083">
      <w:pPr>
        <w:spacing w:line="560" w:lineRule="exact"/>
        <w:ind w:firstLine="482"/>
        <w:jc w:val="left"/>
        <w:rPr>
          <w:rFonts w:ascii="宋体" w:hAnsi="宋体" w:eastAsia="宋体" w:cs="宋体"/>
          <w:b/>
          <w:bCs/>
          <w:sz w:val="24"/>
          <w:szCs w:val="20"/>
        </w:rPr>
      </w:pPr>
      <w:r>
        <w:rPr>
          <w:rFonts w:hint="eastAsia" w:ascii="宋体" w:hAnsi="宋体" w:eastAsia="宋体" w:cs="宋体"/>
          <w:b/>
          <w:bCs/>
          <w:sz w:val="24"/>
          <w:szCs w:val="20"/>
        </w:rPr>
        <w:t>34.预付款制度</w:t>
      </w:r>
    </w:p>
    <w:p w14:paraId="0780D158">
      <w:p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本项目落实预付款制度，预付款比例为</w:t>
      </w:r>
      <w:r>
        <w:rPr>
          <w:rFonts w:hint="eastAsia" w:ascii="宋体" w:hAnsi="宋体" w:eastAsia="宋体" w:cs="宋体"/>
          <w:sz w:val="24"/>
          <w:szCs w:val="20"/>
          <w:u w:val="single"/>
        </w:rPr>
        <w:t>30%</w:t>
      </w:r>
      <w:r>
        <w:rPr>
          <w:rFonts w:hint="eastAsia" w:ascii="宋体" w:hAnsi="宋体" w:eastAsia="宋体" w:cs="宋体"/>
          <w:sz w:val="24"/>
          <w:szCs w:val="20"/>
        </w:rPr>
        <w:t>。在签订合同时，中标、成交供应商明确书面表示无需预付款或者主动要求降低预付款比例的，采购人可就预付款比例作相应调整。</w:t>
      </w:r>
    </w:p>
    <w:p w14:paraId="0DE034B6">
      <w:pPr>
        <w:spacing w:line="560" w:lineRule="exact"/>
        <w:ind w:firstLine="482"/>
        <w:jc w:val="left"/>
        <w:rPr>
          <w:rFonts w:ascii="宋体" w:hAnsi="宋体" w:eastAsia="宋体" w:cs="宋体"/>
          <w:sz w:val="24"/>
        </w:rPr>
      </w:pPr>
      <w:r>
        <w:rPr>
          <w:rFonts w:hint="eastAsia" w:ascii="宋体" w:hAnsi="宋体" w:eastAsia="宋体" w:cs="宋体"/>
          <w:sz w:val="44"/>
          <w:szCs w:val="44"/>
        </w:rPr>
        <w:br w:type="page" w:clear="all"/>
      </w:r>
    </w:p>
    <w:p w14:paraId="3AF4FEEB">
      <w:pPr>
        <w:pStyle w:val="36"/>
        <w:keepNext/>
        <w:widowControl/>
        <w:spacing w:beforeAutospacing="0" w:afterAutospacing="0"/>
        <w:ind w:firstLine="2640"/>
        <w:jc w:val="both"/>
        <w:outlineLvl w:val="0"/>
        <w:rPr>
          <w:rFonts w:ascii="黑体" w:eastAsia="黑体" w:cs="黑体"/>
          <w:sz w:val="44"/>
          <w:szCs w:val="44"/>
        </w:rPr>
      </w:pPr>
      <w:bookmarkStart w:id="146" w:name="_Toc13523"/>
      <w:r>
        <w:rPr>
          <w:rFonts w:hint="eastAsia" w:ascii="黑体" w:hAnsi="宋体" w:eastAsia="黑体" w:cs="黑体"/>
          <w:sz w:val="44"/>
          <w:szCs w:val="44"/>
        </w:rPr>
        <w:t xml:space="preserve">第三章 </w:t>
      </w:r>
      <w:r>
        <w:rPr>
          <w:rFonts w:hint="eastAsia" w:ascii="黑体" w:eastAsia="黑体" w:cs="黑体"/>
          <w:sz w:val="44"/>
          <w:szCs w:val="44"/>
        </w:rPr>
        <w:t>合同条款</w:t>
      </w:r>
      <w:bookmarkEnd w:id="146"/>
    </w:p>
    <w:p w14:paraId="01DFFD2B">
      <w:pPr>
        <w:pStyle w:val="36"/>
        <w:keepNext/>
        <w:widowControl/>
        <w:spacing w:beforeAutospacing="0" w:afterAutospacing="0"/>
        <w:ind w:firstLine="220"/>
        <w:jc w:val="center"/>
      </w:pPr>
    </w:p>
    <w:p w14:paraId="6B158760">
      <w:pPr>
        <w:pStyle w:val="36"/>
        <w:widowControl/>
        <w:spacing w:beforeAutospacing="0" w:afterAutospacing="0" w:line="0" w:lineRule="atLeast"/>
        <w:ind w:firstLine="120"/>
        <w:jc w:val="center"/>
      </w:pPr>
      <w:bookmarkStart w:id="147" w:name="_Toc20823315"/>
      <w:bookmarkStart w:id="148" w:name="_Toc16938559"/>
      <w:bookmarkStart w:id="149" w:name="_Toc513029243"/>
      <w:r>
        <w:rPr>
          <w:rFonts w:hint="eastAsia" w:ascii="宋体" w:hAnsi="宋体" w:eastAsia="宋体" w:cs="宋体"/>
        </w:rPr>
        <w:t>以下为中标后签定本项目合同的通用条款，中标人不得提出实质性的修改。</w:t>
      </w:r>
      <w:bookmarkEnd w:id="147"/>
      <w:bookmarkEnd w:id="148"/>
      <w:bookmarkEnd w:id="149"/>
    </w:p>
    <w:p w14:paraId="32CD1275">
      <w:pPr>
        <w:pStyle w:val="36"/>
        <w:keepNext/>
        <w:widowControl/>
        <w:spacing w:beforeAutospacing="0" w:afterAutospacing="0"/>
        <w:jc w:val="both"/>
        <w:rPr>
          <w:rFonts w:ascii="黑体" w:eastAsia="黑体" w:cs="黑体"/>
          <w:sz w:val="44"/>
          <w:szCs w:val="44"/>
        </w:rPr>
      </w:pPr>
      <w:bookmarkStart w:id="150" w:name="_Toc16938590"/>
      <w:bookmarkStart w:id="151" w:name="_Hlt16619350"/>
      <w:bookmarkStart w:id="152" w:name="_Toc462564139"/>
      <w:bookmarkStart w:id="153" w:name="_Toc479757211"/>
      <w:bookmarkStart w:id="154" w:name="_Toc20823346"/>
      <w:bookmarkStart w:id="155" w:name="_Toc120614244"/>
      <w:bookmarkStart w:id="156" w:name="_Hlt16619369"/>
    </w:p>
    <w:p w14:paraId="25283437">
      <w:pPr>
        <w:widowControl/>
        <w:rPr>
          <w:rFonts w:ascii="宋体" w:hAnsi="宋体" w:cs="宋体"/>
        </w:rPr>
      </w:pPr>
    </w:p>
    <w:p w14:paraId="17B9864E">
      <w:pPr>
        <w:widowControl/>
        <w:rPr>
          <w:rFonts w:ascii="宋体" w:hAnsi="宋体" w:cs="宋体"/>
          <w:b/>
          <w:bCs/>
          <w:spacing w:val="-20"/>
          <w:sz w:val="48"/>
          <w:szCs w:val="48"/>
        </w:rPr>
      </w:pPr>
    </w:p>
    <w:p w14:paraId="6F563116">
      <w:pPr>
        <w:widowControl/>
        <w:rPr>
          <w:rFonts w:ascii="宋体" w:hAnsi="宋体" w:cs="宋体"/>
          <w:b/>
          <w:bCs/>
          <w:spacing w:val="-20"/>
          <w:sz w:val="48"/>
          <w:szCs w:val="48"/>
        </w:rPr>
      </w:pPr>
    </w:p>
    <w:p w14:paraId="666C175C">
      <w:pPr>
        <w:widowControl/>
        <w:jc w:val="center"/>
        <w:rPr>
          <w:rFonts w:ascii="宋体" w:hAnsi="宋体" w:cs="宋体"/>
          <w:b/>
          <w:bCs/>
          <w:sz w:val="36"/>
          <w:szCs w:val="32"/>
        </w:rPr>
      </w:pPr>
      <w:r>
        <w:rPr>
          <w:rFonts w:hint="eastAsia" w:ascii="宋体" w:hAnsi="宋体" w:cs="宋体"/>
          <w:b/>
          <w:bCs/>
          <w:sz w:val="36"/>
          <w:szCs w:val="32"/>
        </w:rPr>
        <w:t>政府采购货物买卖合同</w:t>
      </w:r>
    </w:p>
    <w:p w14:paraId="3339E0C9">
      <w:pPr>
        <w:widowControl/>
        <w:rPr>
          <w:rFonts w:ascii="宋体" w:hAnsi="宋体" w:cs="宋体"/>
          <w:sz w:val="30"/>
        </w:rPr>
      </w:pPr>
    </w:p>
    <w:p w14:paraId="23A1FC67">
      <w:pPr>
        <w:widowControl/>
        <w:rPr>
          <w:rFonts w:ascii="宋体" w:hAnsi="宋体" w:cs="宋体"/>
          <w:sz w:val="30"/>
        </w:rPr>
      </w:pPr>
    </w:p>
    <w:p w14:paraId="4916F04D">
      <w:pPr>
        <w:widowControl/>
        <w:rPr>
          <w:rFonts w:ascii="宋体" w:hAnsi="宋体" w:cs="宋体"/>
          <w:sz w:val="30"/>
        </w:rPr>
      </w:pPr>
    </w:p>
    <w:p w14:paraId="5A11D383">
      <w:pPr>
        <w:widowControl/>
        <w:rPr>
          <w:rFonts w:ascii="宋体" w:hAnsi="宋体" w:cs="宋体"/>
          <w:sz w:val="30"/>
        </w:rPr>
      </w:pPr>
    </w:p>
    <w:p w14:paraId="17913C13">
      <w:pPr>
        <w:widowControl/>
        <w:rPr>
          <w:rFonts w:ascii="宋体" w:hAnsi="宋体" w:cs="宋体"/>
          <w:sz w:val="30"/>
        </w:rPr>
      </w:pPr>
    </w:p>
    <w:p w14:paraId="2713F9C7">
      <w:pPr>
        <w:widowControl/>
        <w:rPr>
          <w:rFonts w:ascii="宋体" w:hAnsi="宋体" w:cs="宋体"/>
          <w:sz w:val="30"/>
        </w:rPr>
      </w:pPr>
    </w:p>
    <w:p w14:paraId="73A4F9D5">
      <w:pPr>
        <w:widowControl/>
        <w:rPr>
          <w:rFonts w:ascii="宋体" w:hAnsi="宋体" w:cs="宋体"/>
          <w:sz w:val="30"/>
        </w:rPr>
      </w:pPr>
    </w:p>
    <w:p w14:paraId="7B260924">
      <w:pPr>
        <w:widowControl/>
        <w:rPr>
          <w:rFonts w:ascii="宋体" w:hAnsi="宋体" w:cs="宋体"/>
          <w:sz w:val="30"/>
        </w:rPr>
      </w:pPr>
    </w:p>
    <w:p w14:paraId="272685AB">
      <w:pPr>
        <w:widowControl/>
        <w:rPr>
          <w:rFonts w:ascii="宋体" w:hAnsi="宋体" w:cs="宋体"/>
          <w:sz w:val="30"/>
        </w:rPr>
      </w:pPr>
    </w:p>
    <w:p w14:paraId="5B57B183">
      <w:pPr>
        <w:widowControl/>
        <w:rPr>
          <w:rFonts w:ascii="宋体" w:hAnsi="宋体" w:cs="宋体"/>
          <w:sz w:val="30"/>
        </w:rPr>
      </w:pPr>
    </w:p>
    <w:p w14:paraId="472B68F9">
      <w:pPr>
        <w:widowControl/>
        <w:spacing w:before="120" w:after="120" w:line="540" w:lineRule="exact"/>
        <w:ind w:firstLine="280"/>
        <w:rPr>
          <w:rFonts w:ascii="宋体" w:hAnsi="宋体" w:eastAsia="宋体" w:cs="宋体"/>
          <w:sz w:val="28"/>
          <w:szCs w:val="28"/>
          <w:u w:val="single"/>
        </w:rPr>
      </w:pPr>
      <w:r>
        <w:rPr>
          <w:rFonts w:hint="eastAsia" w:ascii="宋体" w:hAnsi="宋体" w:eastAsia="宋体" w:cs="宋体"/>
          <w:sz w:val="28"/>
          <w:szCs w:val="28"/>
        </w:rPr>
        <w:t>项目名称：</w:t>
      </w:r>
      <w:r>
        <w:rPr>
          <w:rFonts w:hint="eastAsia" w:ascii="宋体" w:hAnsi="宋体" w:eastAsia="宋体" w:cs="宋体"/>
          <w:sz w:val="28"/>
          <w:szCs w:val="28"/>
          <w:u w:val="single"/>
        </w:rPr>
        <w:t>盐城市市直部分学校智慧体育设施采购项目</w:t>
      </w:r>
    </w:p>
    <w:p w14:paraId="54764D45">
      <w:pPr>
        <w:widowControl/>
        <w:spacing w:before="120" w:after="120" w:line="540" w:lineRule="exact"/>
        <w:ind w:firstLine="280"/>
        <w:rPr>
          <w:rFonts w:ascii="宋体" w:hAnsi="宋体" w:eastAsia="宋体" w:cs="宋体"/>
          <w:sz w:val="28"/>
          <w:szCs w:val="28"/>
          <w:u w:val="single"/>
        </w:rPr>
      </w:pPr>
      <w:r>
        <w:rPr>
          <w:rFonts w:hint="eastAsia" w:ascii="宋体" w:hAnsi="宋体" w:eastAsia="宋体" w:cs="宋体"/>
          <w:sz w:val="28"/>
          <w:szCs w:val="28"/>
        </w:rPr>
        <w:t>合同编号：</w:t>
      </w:r>
      <w:r>
        <w:rPr>
          <w:rFonts w:hint="eastAsia" w:ascii="宋体" w:hAnsi="宋体" w:eastAsia="宋体" w:cs="宋体"/>
          <w:sz w:val="28"/>
          <w:szCs w:val="28"/>
          <w:u w:val="single"/>
        </w:rPr>
        <w:t>JSZC-320900-JZCG-G2026-0051</w:t>
      </w:r>
    </w:p>
    <w:p w14:paraId="6F9BA95A">
      <w:pPr>
        <w:widowControl/>
        <w:spacing w:before="120" w:after="120" w:line="540" w:lineRule="exact"/>
        <w:ind w:firstLine="280"/>
        <w:rPr>
          <w:rFonts w:ascii="宋体" w:hAnsi="宋体" w:eastAsia="宋体" w:cs="宋体"/>
          <w:sz w:val="28"/>
          <w:szCs w:val="28"/>
          <w:u w:val="single"/>
        </w:rPr>
      </w:pPr>
      <w:r>
        <w:rPr>
          <w:rFonts w:hint="eastAsia" w:ascii="宋体" w:hAnsi="宋体" w:eastAsia="宋体" w:cs="宋体"/>
          <w:sz w:val="28"/>
          <w:szCs w:val="28"/>
        </w:rPr>
        <w:t>甲    方：</w:t>
      </w:r>
      <w:r>
        <w:rPr>
          <w:rFonts w:hint="eastAsia" w:ascii="宋体" w:hAnsi="宋体" w:eastAsia="宋体" w:cs="宋体"/>
          <w:sz w:val="28"/>
          <w:szCs w:val="28"/>
          <w:u w:val="single"/>
        </w:rPr>
        <w:t xml:space="preserve">   盐城市教育局          </w:t>
      </w:r>
    </w:p>
    <w:p w14:paraId="26299906">
      <w:pPr>
        <w:widowControl/>
        <w:spacing w:before="120" w:after="120" w:line="540" w:lineRule="exact"/>
        <w:ind w:firstLine="280"/>
        <w:rPr>
          <w:rFonts w:ascii="宋体" w:hAnsi="宋体" w:eastAsia="宋体" w:cs="宋体"/>
          <w:sz w:val="28"/>
          <w:szCs w:val="28"/>
          <w:u w:val="single"/>
        </w:rPr>
      </w:pPr>
      <w:r>
        <w:rPr>
          <w:rFonts w:hint="eastAsia" w:ascii="宋体" w:hAnsi="宋体" w:eastAsia="宋体" w:cs="宋体"/>
          <w:sz w:val="28"/>
          <w:szCs w:val="28"/>
        </w:rPr>
        <w:t>乙    方：</w:t>
      </w:r>
      <w:r>
        <w:rPr>
          <w:rFonts w:hint="eastAsia" w:ascii="宋体" w:hAnsi="宋体" w:eastAsia="宋体" w:cs="宋体"/>
          <w:sz w:val="28"/>
          <w:szCs w:val="28"/>
          <w:u w:val="single"/>
        </w:rPr>
        <w:t xml:space="preserve">                         </w:t>
      </w:r>
    </w:p>
    <w:p w14:paraId="22B56856">
      <w:pPr>
        <w:widowControl/>
        <w:spacing w:before="120" w:after="120" w:line="540" w:lineRule="exact"/>
        <w:ind w:firstLine="280"/>
        <w:rPr>
          <w:rFonts w:ascii="宋体" w:hAnsi="宋体"/>
          <w:sz w:val="24"/>
        </w:rPr>
      </w:pPr>
      <w:r>
        <w:rPr>
          <w:rFonts w:hint="eastAsia" w:ascii="宋体" w:hAnsi="宋体" w:eastAsia="宋体" w:cs="宋体"/>
          <w:sz w:val="28"/>
          <w:szCs w:val="28"/>
        </w:rPr>
        <w:t>签订时间：</w:t>
      </w:r>
      <w:r>
        <w:rPr>
          <w:rFonts w:hint="eastAsia" w:ascii="宋体" w:hAnsi="宋体" w:eastAsia="宋体" w:cs="宋体"/>
          <w:sz w:val="28"/>
          <w:szCs w:val="28"/>
          <w:u w:val="single"/>
        </w:rPr>
        <w:t xml:space="preserve">                         </w:t>
      </w:r>
    </w:p>
    <w:p w14:paraId="48E59251">
      <w:pPr>
        <w:widowControl/>
        <w:spacing w:line="360" w:lineRule="auto"/>
        <w:jc w:val="center"/>
        <w:rPr>
          <w:rFonts w:eastAsia="黑体"/>
          <w:sz w:val="44"/>
          <w:szCs w:val="44"/>
        </w:rPr>
      </w:pPr>
      <w:r>
        <w:rPr>
          <w:rFonts w:hint="eastAsia" w:ascii="仿宋" w:hAnsi="仿宋" w:eastAsia="仿宋" w:cs="仿宋"/>
          <w:sz w:val="32"/>
          <w:szCs w:val="32"/>
        </w:rPr>
        <w:br w:type="page" w:clear="all"/>
      </w:r>
      <w:r>
        <w:rPr>
          <w:rFonts w:hint="eastAsia" w:ascii="宋体" w:hAnsi="宋体" w:cs="宋体"/>
          <w:b/>
          <w:bCs/>
          <w:sz w:val="32"/>
          <w:szCs w:val="32"/>
        </w:rPr>
        <w:t>使用说明</w:t>
      </w:r>
    </w:p>
    <w:p w14:paraId="1BEECCE0">
      <w:pPr>
        <w:widowControl/>
        <w:spacing w:line="500" w:lineRule="exact"/>
        <w:ind w:firstLine="480"/>
        <w:rPr>
          <w:rFonts w:asciiTheme="minorEastAsia" w:hAnsiTheme="minorEastAsia" w:cstheme="minorEastAsia"/>
          <w:sz w:val="24"/>
          <w:lang w:val="zh-CN"/>
        </w:rPr>
      </w:pPr>
      <w:r>
        <w:rPr>
          <w:rFonts w:hint="eastAsia" w:asciiTheme="minorEastAsia" w:hAnsiTheme="minorEastAsia" w:cstheme="minorEastAsia"/>
          <w:sz w:val="24"/>
          <w:lang w:val="zh-CN"/>
        </w:rPr>
        <w:t>1.本合同标准文本适用于购买现成货物的采购项目，不包括需要供应商定制开发、创新研发的货物采购项目。</w:t>
      </w:r>
    </w:p>
    <w:p w14:paraId="0A8C1021">
      <w:pPr>
        <w:widowControl/>
        <w:spacing w:line="500" w:lineRule="exact"/>
        <w:ind w:firstLine="480"/>
        <w:rPr>
          <w:rFonts w:asciiTheme="minorEastAsia" w:hAnsiTheme="minorEastAsia" w:cstheme="minorEastAsia"/>
          <w:sz w:val="24"/>
          <w:lang w:val="zh-CN"/>
        </w:rPr>
      </w:pPr>
      <w:r>
        <w:rPr>
          <w:rFonts w:hint="eastAsia" w:asciiTheme="minorEastAsia" w:hAnsiTheme="minorEastAsia" w:cstheme="minorEastAsia"/>
          <w:sz w:val="24"/>
          <w:lang w:val="zh-CN"/>
        </w:rPr>
        <w:t>2.本合同标准文本为政府采购货物买卖合同编制提供参考，可以结合采购项目具体情况，对文本作必要的调整修订后使用。</w:t>
      </w:r>
    </w:p>
    <w:p w14:paraId="1F14314A">
      <w:pPr>
        <w:widowControl/>
        <w:spacing w:line="500" w:lineRule="exact"/>
        <w:ind w:firstLine="480"/>
        <w:rPr>
          <w:rFonts w:ascii="宋体" w:hAnsi="宋体"/>
          <w:sz w:val="24"/>
        </w:rPr>
      </w:pPr>
      <w:r>
        <w:rPr>
          <w:rFonts w:hint="eastAsia" w:asciiTheme="minorEastAsia" w:hAnsiTheme="minorEastAsia" w:cstheme="minorEastAsia"/>
          <w:sz w:val="24"/>
          <w:lang w:val="zh-CN"/>
        </w:rPr>
        <w:t>3.本合同标准文本各条款中，如涉及填写多家供应商、制造商，多种采购标的、分包主要内容等信息的，可根据采购项目具体情况添加信息项。</w:t>
      </w:r>
    </w:p>
    <w:p w14:paraId="1A56BC74">
      <w:pPr>
        <w:keepNext/>
        <w:keepLines/>
        <w:widowControl/>
        <w:spacing w:line="400" w:lineRule="exact"/>
        <w:jc w:val="center"/>
        <w:outlineLvl w:val="1"/>
        <w:rPr>
          <w:rFonts w:ascii="黑体" w:hAnsi="华文中宋" w:eastAsia="黑体"/>
          <w:sz w:val="28"/>
          <w:szCs w:val="28"/>
        </w:rPr>
      </w:pPr>
      <w:r>
        <w:rPr>
          <w:rFonts w:hint="eastAsia" w:ascii="宋体" w:hAnsi="宋体"/>
          <w:sz w:val="24"/>
        </w:rPr>
        <w:br w:type="page" w:clear="all"/>
      </w:r>
      <w:bookmarkStart w:id="157" w:name="_Toc27624"/>
      <w:r>
        <w:rPr>
          <w:rFonts w:hint="eastAsia" w:ascii="宋体" w:hAnsi="宋体" w:eastAsia="宋体" w:cs="宋体"/>
          <w:b/>
          <w:bCs/>
          <w:sz w:val="28"/>
          <w:szCs w:val="28"/>
        </w:rPr>
        <w:t>第一节 政府采购合同协议书</w:t>
      </w:r>
    </w:p>
    <w:p w14:paraId="3B7A74B3">
      <w:pPr>
        <w:widowControl/>
        <w:spacing w:line="560" w:lineRule="exact"/>
        <w:ind w:firstLine="480"/>
        <w:jc w:val="left"/>
        <w:rPr>
          <w:rFonts w:ascii="宋体" w:hAnsi="宋体" w:eastAsia="宋体" w:cs="宋体"/>
          <w:sz w:val="24"/>
          <w:szCs w:val="20"/>
          <w:u w:val="single"/>
        </w:rPr>
      </w:pPr>
      <w:r>
        <w:rPr>
          <w:rFonts w:ascii="宋体" w:hAnsi="宋体" w:eastAsia="Arial" w:cs="宋体"/>
          <w:sz w:val="24"/>
          <w:szCs w:val="20"/>
          <w:lang w:val="zh-CN"/>
        </w:rPr>
        <w:t>甲方（全称）：</w:t>
      </w:r>
      <w:r>
        <w:rPr>
          <w:rFonts w:hint="eastAsia" w:ascii="宋体" w:hAnsi="宋体" w:eastAsia="宋体" w:cs="宋体"/>
          <w:sz w:val="24"/>
          <w:szCs w:val="20"/>
          <w:u w:val="single"/>
        </w:rPr>
        <w:t xml:space="preserve">盐城市教育局 </w:t>
      </w:r>
    </w:p>
    <w:p w14:paraId="0C5E73E3">
      <w:pPr>
        <w:widowControl/>
        <w:spacing w:line="560" w:lineRule="exact"/>
        <w:ind w:firstLine="482"/>
        <w:jc w:val="left"/>
        <w:rPr>
          <w:rFonts w:ascii="宋体" w:hAnsi="宋体" w:eastAsia="Arial" w:cs="宋体"/>
          <w:sz w:val="24"/>
          <w:szCs w:val="20"/>
          <w:lang w:val="zh-CN"/>
        </w:rPr>
      </w:pPr>
      <w:r>
        <w:rPr>
          <w:rFonts w:ascii="宋体" w:hAnsi="宋体" w:eastAsia="Arial" w:cs="宋体"/>
          <w:sz w:val="24"/>
          <w:szCs w:val="20"/>
          <w:lang w:val="zh-CN"/>
        </w:rPr>
        <w:t>乙方（全称）：</w:t>
      </w:r>
      <w:r>
        <w:rPr>
          <w:rFonts w:hint="eastAsia" w:ascii="宋体" w:hAnsi="宋体" w:eastAsia="宋体" w:cs="宋体"/>
          <w:sz w:val="24"/>
          <w:szCs w:val="20"/>
          <w:u w:val="single"/>
        </w:rPr>
        <w:t xml:space="preserve">             </w:t>
      </w:r>
    </w:p>
    <w:p w14:paraId="1543D2A1">
      <w:pPr>
        <w:widowControl/>
        <w:spacing w:line="560" w:lineRule="exact"/>
        <w:ind w:firstLine="482"/>
        <w:jc w:val="left"/>
        <w:rPr>
          <w:rFonts w:ascii="宋体" w:hAnsi="宋体" w:cs="宋体"/>
          <w:sz w:val="24"/>
          <w:szCs w:val="20"/>
          <w:lang w:val="zh-CN"/>
        </w:rPr>
      </w:pPr>
      <w:r>
        <w:rPr>
          <w:rFonts w:ascii="宋体" w:hAnsi="宋体" w:eastAsia="Arial" w:cs="宋体"/>
          <w:sz w:val="24"/>
          <w:szCs w:val="20"/>
          <w:lang w:val="zh-CN"/>
        </w:rPr>
        <w:t>依据《中华人民共和国民法典》、《中华人民共和国政府采购法》等有关的法律法规，以及本采购项目的招标文件等采购文件、乙方的《投标（响应）文件》及《中标（成交）通知书》，甲乙双方同意签订本合同。具体情况及要求如下：</w:t>
      </w:r>
    </w:p>
    <w:p w14:paraId="127FA2AB">
      <w:pPr>
        <w:widowControl/>
        <w:spacing w:line="560" w:lineRule="exact"/>
        <w:ind w:firstLine="482"/>
        <w:jc w:val="left"/>
        <w:rPr>
          <w:rFonts w:ascii="宋体" w:hAnsi="宋体" w:eastAsia="Arial" w:cs="宋体"/>
          <w:sz w:val="24"/>
          <w:szCs w:val="20"/>
          <w:lang w:val="zh-CN"/>
        </w:rPr>
      </w:pPr>
      <w:r>
        <w:rPr>
          <w:rFonts w:ascii="宋体" w:hAnsi="宋体" w:eastAsia="Arial" w:cs="宋体"/>
          <w:sz w:val="24"/>
          <w:szCs w:val="20"/>
          <w:lang w:val="zh-CN"/>
        </w:rPr>
        <w:t>1.项目信息</w:t>
      </w:r>
    </w:p>
    <w:p w14:paraId="2BBBFE98">
      <w:pPr>
        <w:widowControl/>
        <w:spacing w:line="560" w:lineRule="exact"/>
        <w:ind w:firstLine="482"/>
        <w:jc w:val="left"/>
        <w:rPr>
          <w:rFonts w:ascii="宋体" w:hAnsi="宋体" w:eastAsia="Arial" w:cs="宋体"/>
          <w:sz w:val="24"/>
          <w:szCs w:val="20"/>
          <w:lang w:val="zh-CN"/>
        </w:rPr>
      </w:pPr>
      <w:r>
        <w:rPr>
          <w:rFonts w:ascii="宋体" w:hAnsi="宋体" w:eastAsia="Arial" w:cs="宋体"/>
          <w:sz w:val="24"/>
          <w:szCs w:val="20"/>
          <w:lang w:val="zh-CN"/>
        </w:rPr>
        <w:t>（1）采购项目名称：</w:t>
      </w:r>
      <w:r>
        <w:rPr>
          <w:rFonts w:hint="eastAsia" w:ascii="宋体" w:hAnsi="宋体" w:eastAsia="Arial" w:cs="宋体"/>
          <w:sz w:val="24"/>
          <w:szCs w:val="20"/>
          <w:u w:val="single"/>
          <w:lang w:val="zh-CN"/>
        </w:rPr>
        <w:t>盐城市市直部分学校智慧体育设施采购项目</w:t>
      </w:r>
    </w:p>
    <w:p w14:paraId="3AEB2723">
      <w:pPr>
        <w:widowControl/>
        <w:spacing w:line="560" w:lineRule="exact"/>
        <w:ind w:firstLine="482"/>
        <w:jc w:val="left"/>
        <w:rPr>
          <w:rFonts w:ascii="宋体" w:hAnsi="宋体" w:eastAsia="宋体" w:cs="宋体"/>
          <w:sz w:val="24"/>
          <w:szCs w:val="20"/>
        </w:rPr>
      </w:pPr>
      <w:r>
        <w:rPr>
          <w:rFonts w:ascii="宋体" w:hAnsi="宋体" w:eastAsia="Arial" w:cs="宋体"/>
          <w:sz w:val="24"/>
          <w:szCs w:val="20"/>
          <w:lang w:val="zh-CN"/>
        </w:rPr>
        <w:t xml:space="preserve"> </w:t>
      </w:r>
      <w:r>
        <w:rPr>
          <w:rFonts w:hint="eastAsia" w:ascii="宋体" w:hAnsi="宋体" w:eastAsia="宋体" w:cs="宋体"/>
          <w:sz w:val="24"/>
          <w:szCs w:val="20"/>
        </w:rPr>
        <w:t xml:space="preserve">    </w:t>
      </w:r>
      <w:r>
        <w:rPr>
          <w:rFonts w:ascii="宋体" w:hAnsi="宋体" w:eastAsia="Arial" w:cs="宋体"/>
          <w:sz w:val="24"/>
          <w:szCs w:val="20"/>
          <w:lang w:val="zh-CN"/>
        </w:rPr>
        <w:t>采购项目编号：</w:t>
      </w:r>
      <w:r>
        <w:rPr>
          <w:rFonts w:hint="eastAsia" w:ascii="宋体" w:hAnsi="宋体" w:eastAsia="Arial" w:cs="宋体"/>
          <w:sz w:val="24"/>
          <w:szCs w:val="20"/>
          <w:u w:val="single"/>
          <w:lang w:val="zh-CN"/>
        </w:rPr>
        <w:t>JSZC-320900-JZCG-G2026-0051</w:t>
      </w:r>
    </w:p>
    <w:p w14:paraId="34288029">
      <w:pPr>
        <w:widowControl/>
        <w:spacing w:line="560" w:lineRule="exact"/>
        <w:ind w:firstLine="482"/>
        <w:jc w:val="left"/>
        <w:rPr>
          <w:rFonts w:ascii="宋体" w:hAnsi="宋体" w:eastAsia="宋体" w:cs="宋体"/>
          <w:sz w:val="24"/>
          <w:szCs w:val="20"/>
        </w:rPr>
      </w:pPr>
      <w:r>
        <w:rPr>
          <w:rFonts w:ascii="宋体" w:hAnsi="宋体" w:eastAsia="Arial" w:cs="宋体"/>
          <w:sz w:val="24"/>
          <w:szCs w:val="20"/>
          <w:lang w:val="zh-CN"/>
        </w:rPr>
        <w:t>（2）采购计划编号：</w:t>
      </w:r>
      <w:r>
        <w:rPr>
          <w:rFonts w:hint="eastAsia" w:ascii="宋体" w:hAnsi="宋体" w:eastAsia="宋体" w:cs="宋体"/>
          <w:sz w:val="24"/>
          <w:szCs w:val="20"/>
          <w:u w:val="single"/>
        </w:rPr>
        <w:t>LWZC320100000202600223</w:t>
      </w:r>
    </w:p>
    <w:p w14:paraId="576C43CD">
      <w:pPr>
        <w:widowControl/>
        <w:spacing w:line="560" w:lineRule="exact"/>
        <w:ind w:firstLine="482"/>
        <w:jc w:val="left"/>
        <w:rPr>
          <w:rFonts w:ascii="宋体" w:hAnsi="宋体" w:eastAsia="Arial" w:cs="宋体"/>
          <w:sz w:val="24"/>
          <w:szCs w:val="20"/>
          <w:lang w:val="zh-CN"/>
        </w:rPr>
      </w:pPr>
      <w:r>
        <w:rPr>
          <w:rFonts w:ascii="宋体" w:hAnsi="宋体" w:eastAsia="Arial" w:cs="宋体"/>
          <w:sz w:val="24"/>
          <w:szCs w:val="20"/>
          <w:lang w:val="zh-CN"/>
        </w:rPr>
        <w:t>（3）项目内容：</w:t>
      </w:r>
      <w:r>
        <w:rPr>
          <w:rFonts w:hint="eastAsia" w:ascii="宋体" w:hAnsi="宋体" w:eastAsia="Arial" w:cs="宋体"/>
          <w:sz w:val="24"/>
          <w:szCs w:val="20"/>
          <w:u w:val="single"/>
          <w:lang w:val="zh-CN"/>
        </w:rPr>
        <w:t>盐城市市直部分学校智慧体育设施采购项目</w:t>
      </w:r>
    </w:p>
    <w:p w14:paraId="24F65450">
      <w:pPr>
        <w:widowControl/>
        <w:spacing w:line="520" w:lineRule="exact"/>
        <w:ind w:firstLine="1024"/>
        <w:rPr>
          <w:rFonts w:ascii="宋体" w:hAnsi="宋体" w:cs="宋体"/>
          <w:sz w:val="24"/>
          <w:szCs w:val="20"/>
          <w:u w:val="single"/>
        </w:rPr>
      </w:pPr>
      <w:r>
        <w:rPr>
          <w:rFonts w:hint="eastAsia" w:ascii="宋体" w:hAnsi="宋体" w:cs="宋体"/>
          <w:sz w:val="24"/>
          <w:szCs w:val="20"/>
          <w:lang w:val="zh-CN"/>
        </w:rPr>
        <w:t>采购标的及数量（台/套/个/架/组等）：</w:t>
      </w:r>
      <w:r>
        <w:rPr>
          <w:rFonts w:hint="eastAsia" w:ascii="宋体" w:hAnsi="宋体" w:cs="宋体"/>
          <w:sz w:val="24"/>
          <w:szCs w:val="20"/>
          <w:u w:val="single"/>
        </w:rPr>
        <w:t xml:space="preserve">                  </w:t>
      </w:r>
    </w:p>
    <w:p w14:paraId="400ABB56">
      <w:pPr>
        <w:widowControl/>
        <w:spacing w:line="520" w:lineRule="exact"/>
        <w:ind w:firstLine="1024"/>
        <w:rPr>
          <w:rFonts w:ascii="宋体" w:hAnsi="宋体" w:cs="宋体"/>
          <w:sz w:val="24"/>
          <w:szCs w:val="20"/>
          <w:u w:val="single"/>
        </w:rPr>
      </w:pPr>
      <w:r>
        <w:rPr>
          <w:rFonts w:hint="eastAsia" w:ascii="宋体" w:hAnsi="宋体" w:cs="宋体"/>
          <w:sz w:val="24"/>
          <w:szCs w:val="20"/>
          <w:lang w:val="zh-CN"/>
        </w:rPr>
        <w:t>品牌：</w:t>
      </w:r>
      <w:r>
        <w:rPr>
          <w:rFonts w:hint="eastAsia" w:ascii="宋体" w:hAnsi="宋体" w:cs="宋体"/>
          <w:sz w:val="24"/>
          <w:szCs w:val="20"/>
          <w:u w:val="single"/>
        </w:rPr>
        <w:t xml:space="preserve">                   </w:t>
      </w:r>
      <w:r>
        <w:rPr>
          <w:rFonts w:hint="eastAsia" w:ascii="宋体" w:hAnsi="宋体" w:cs="宋体"/>
          <w:sz w:val="24"/>
          <w:szCs w:val="20"/>
        </w:rPr>
        <w:t xml:space="preserve"> </w:t>
      </w:r>
      <w:r>
        <w:rPr>
          <w:rFonts w:hint="eastAsia" w:ascii="宋体" w:hAnsi="宋体" w:cs="宋体"/>
          <w:sz w:val="24"/>
          <w:szCs w:val="20"/>
          <w:lang w:val="zh-CN"/>
        </w:rPr>
        <w:t>规格型号：</w:t>
      </w:r>
      <w:r>
        <w:rPr>
          <w:rFonts w:hint="eastAsia" w:ascii="宋体" w:hAnsi="宋体" w:cs="宋体"/>
          <w:sz w:val="24"/>
          <w:szCs w:val="20"/>
          <w:u w:val="single"/>
        </w:rPr>
        <w:t xml:space="preserve">                  </w:t>
      </w:r>
    </w:p>
    <w:p w14:paraId="48641604">
      <w:pPr>
        <w:widowControl/>
        <w:spacing w:line="520" w:lineRule="exact"/>
        <w:ind w:firstLine="1024"/>
        <w:rPr>
          <w:rFonts w:ascii="宋体" w:hAnsi="宋体" w:cs="宋体"/>
          <w:sz w:val="24"/>
          <w:szCs w:val="20"/>
          <w:lang w:val="zh-CN"/>
        </w:rPr>
      </w:pPr>
      <w:r>
        <w:rPr>
          <w:rFonts w:hint="eastAsia" w:ascii="宋体" w:hAnsi="宋体" w:cs="宋体"/>
          <w:sz w:val="24"/>
          <w:szCs w:val="20"/>
          <w:lang w:val="zh-CN"/>
        </w:rPr>
        <w:t>采购标的的技术要求、商务要求具体见附件。</w:t>
      </w:r>
    </w:p>
    <w:p w14:paraId="11986BD8">
      <w:pPr>
        <w:widowControl/>
        <w:spacing w:line="520" w:lineRule="exact"/>
        <w:ind w:firstLine="480"/>
        <w:rPr>
          <w:rFonts w:ascii="宋体" w:hAnsi="宋体" w:cs="宋体"/>
          <w:sz w:val="24"/>
          <w:szCs w:val="20"/>
          <w:lang w:val="zh-CN"/>
        </w:rPr>
      </w:pPr>
      <w:r>
        <w:rPr>
          <w:rFonts w:hint="eastAsia" w:ascii="宋体" w:hAnsi="宋体" w:cs="宋体"/>
          <w:sz w:val="24"/>
          <w:szCs w:val="20"/>
          <w:lang w:val="zh-CN"/>
        </w:rPr>
        <w:t>（4）政府采购组织形式：</w:t>
      </w:r>
      <w:r>
        <w:rPr>
          <w:rFonts w:ascii="Wingdings" w:hAnsi="Wingdings" w:eastAsia="Wingdings" w:cs="Wingdings"/>
          <w:sz w:val="24"/>
          <w:szCs w:val="20"/>
          <w:lang w:val="zh-CN"/>
        </w:rPr>
        <w:t></w:t>
      </w:r>
      <w:r>
        <w:rPr>
          <w:rFonts w:hint="eastAsia" w:ascii="宋体" w:hAnsi="宋体" w:cs="宋体"/>
          <w:sz w:val="24"/>
          <w:szCs w:val="20"/>
          <w:lang w:val="zh-CN"/>
        </w:rPr>
        <w:t>政府集中采购</w:t>
      </w:r>
      <w:r>
        <w:rPr>
          <w:rFonts w:hint="eastAsia" w:ascii="宋体" w:hAnsi="宋体" w:cs="宋体"/>
          <w:sz w:val="24"/>
          <w:szCs w:val="20"/>
        </w:rPr>
        <w:t xml:space="preserve">  </w:t>
      </w:r>
      <w:r>
        <w:rPr>
          <w:rFonts w:ascii="Wingdings" w:hAnsi="Wingdings" w:eastAsia="Wingdings" w:cs="Wingdings"/>
          <w:sz w:val="24"/>
          <w:szCs w:val="20"/>
          <w:lang w:val="zh-CN"/>
        </w:rPr>
        <w:t></w:t>
      </w:r>
      <w:r>
        <w:rPr>
          <w:rFonts w:hint="eastAsia" w:ascii="宋体" w:hAnsi="宋体" w:cs="宋体"/>
          <w:sz w:val="24"/>
          <w:szCs w:val="20"/>
          <w:lang w:val="zh-CN"/>
        </w:rPr>
        <w:t>部门集中采购</w:t>
      </w:r>
      <w:r>
        <w:rPr>
          <w:rFonts w:hint="eastAsia" w:ascii="宋体" w:hAnsi="宋体" w:cs="宋体"/>
          <w:sz w:val="24"/>
          <w:szCs w:val="20"/>
        </w:rPr>
        <w:t xml:space="preserve">  </w:t>
      </w:r>
      <w:r>
        <w:rPr>
          <w:rFonts w:ascii="Wingdings" w:hAnsi="Wingdings" w:eastAsia="Wingdings" w:cs="Wingdings"/>
          <w:sz w:val="24"/>
          <w:szCs w:val="20"/>
          <w:lang w:val="zh-CN"/>
        </w:rPr>
        <w:t></w:t>
      </w:r>
      <w:r>
        <w:rPr>
          <w:rFonts w:hint="eastAsia" w:ascii="宋体" w:hAnsi="宋体" w:cs="宋体"/>
          <w:sz w:val="24"/>
          <w:szCs w:val="20"/>
          <w:lang w:val="zh-CN"/>
        </w:rPr>
        <w:t>分散采购</w:t>
      </w:r>
    </w:p>
    <w:p w14:paraId="022A000C">
      <w:pPr>
        <w:widowControl/>
        <w:spacing w:line="520" w:lineRule="exact"/>
        <w:ind w:firstLine="480"/>
        <w:rPr>
          <w:rFonts w:ascii="宋体" w:hAnsi="宋体" w:cs="宋体"/>
          <w:sz w:val="24"/>
          <w:szCs w:val="20"/>
          <w:lang w:val="zh-CN"/>
        </w:rPr>
      </w:pPr>
      <w:r>
        <w:rPr>
          <w:rFonts w:hint="eastAsia" w:ascii="宋体" w:hAnsi="宋体" w:cs="宋体"/>
          <w:sz w:val="24"/>
          <w:szCs w:val="20"/>
          <w:lang w:val="zh-CN"/>
        </w:rPr>
        <w:t>（5）政府采购方式：</w:t>
      </w:r>
      <w:r>
        <w:rPr>
          <w:rFonts w:ascii="Wingdings" w:hAnsi="Wingdings" w:eastAsia="Wingdings" w:cs="Wingdings"/>
          <w:sz w:val="24"/>
          <w:szCs w:val="20"/>
          <w:lang w:val="zh-CN"/>
        </w:rPr>
        <w:t></w:t>
      </w:r>
      <w:r>
        <w:rPr>
          <w:rFonts w:hint="eastAsia" w:ascii="宋体" w:hAnsi="宋体" w:cs="宋体"/>
          <w:sz w:val="24"/>
          <w:szCs w:val="20"/>
          <w:lang w:val="zh-CN"/>
        </w:rPr>
        <w:t>公开招标</w:t>
      </w:r>
      <w:r>
        <w:rPr>
          <w:rFonts w:hint="eastAsia" w:ascii="宋体" w:hAnsi="宋体" w:cs="宋体"/>
          <w:sz w:val="24"/>
          <w:szCs w:val="20"/>
        </w:rPr>
        <w:t xml:space="preserve"> </w:t>
      </w:r>
      <w:r>
        <w:rPr>
          <w:rFonts w:ascii="Wingdings" w:hAnsi="Wingdings" w:eastAsia="Wingdings" w:cs="Wingdings"/>
          <w:sz w:val="24"/>
          <w:szCs w:val="20"/>
          <w:lang w:val="zh-CN"/>
        </w:rPr>
        <w:t></w:t>
      </w:r>
      <w:r>
        <w:rPr>
          <w:rFonts w:hint="eastAsia" w:ascii="宋体" w:hAnsi="宋体" w:cs="宋体"/>
          <w:sz w:val="24"/>
          <w:szCs w:val="20"/>
          <w:lang w:val="zh-CN"/>
        </w:rPr>
        <w:t>邀请招标</w:t>
      </w:r>
      <w:r>
        <w:rPr>
          <w:rFonts w:hint="eastAsia" w:ascii="宋体" w:hAnsi="宋体" w:cs="宋体"/>
          <w:sz w:val="24"/>
          <w:szCs w:val="20"/>
        </w:rPr>
        <w:t xml:space="preserve"> </w:t>
      </w:r>
      <w:r>
        <w:rPr>
          <w:rFonts w:ascii="Wingdings" w:hAnsi="Wingdings" w:eastAsia="Wingdings" w:cs="Wingdings"/>
          <w:sz w:val="24"/>
          <w:szCs w:val="20"/>
          <w:lang w:val="zh-CN"/>
        </w:rPr>
        <w:t></w:t>
      </w:r>
      <w:r>
        <w:rPr>
          <w:rFonts w:hint="eastAsia" w:ascii="宋体" w:hAnsi="宋体" w:cs="宋体"/>
          <w:sz w:val="24"/>
          <w:szCs w:val="20"/>
          <w:lang w:val="zh-CN"/>
        </w:rPr>
        <w:t>竞争性谈判</w:t>
      </w:r>
      <w:r>
        <w:rPr>
          <w:rFonts w:hint="eastAsia" w:ascii="宋体" w:hAnsi="宋体" w:cs="宋体"/>
          <w:sz w:val="24"/>
          <w:szCs w:val="20"/>
        </w:rPr>
        <w:t xml:space="preserve"> </w:t>
      </w:r>
      <w:r>
        <w:rPr>
          <w:rFonts w:ascii="Wingdings" w:hAnsi="Wingdings" w:eastAsia="Wingdings" w:cs="Wingdings"/>
          <w:sz w:val="24"/>
          <w:szCs w:val="20"/>
          <w:lang w:val="zh-CN"/>
        </w:rPr>
        <w:t></w:t>
      </w:r>
      <w:r>
        <w:rPr>
          <w:rFonts w:hint="eastAsia" w:ascii="宋体" w:hAnsi="宋体" w:cs="宋体"/>
          <w:sz w:val="24"/>
          <w:szCs w:val="20"/>
          <w:lang w:val="zh-CN"/>
        </w:rPr>
        <w:t>竞争性磋商</w:t>
      </w:r>
    </w:p>
    <w:p w14:paraId="0A69EAB2">
      <w:pPr>
        <w:widowControl/>
        <w:spacing w:line="520" w:lineRule="exact"/>
        <w:ind w:firstLine="480"/>
        <w:rPr>
          <w:rFonts w:ascii="宋体" w:hAnsi="宋体" w:cs="宋体"/>
          <w:sz w:val="24"/>
          <w:szCs w:val="20"/>
          <w:u w:val="single"/>
        </w:rPr>
      </w:pPr>
      <w:r>
        <w:rPr>
          <w:rFonts w:hint="eastAsia" w:ascii="宋体" w:hAnsi="宋体" w:cs="宋体"/>
          <w:sz w:val="24"/>
          <w:szCs w:val="20"/>
          <w:lang w:val="zh-CN"/>
        </w:rPr>
        <w:t></w:t>
      </w:r>
      <w:r>
        <w:rPr>
          <w:rFonts w:hint="eastAsia" w:ascii="宋体" w:hAnsi="宋体" w:cs="宋体"/>
          <w:sz w:val="24"/>
          <w:szCs w:val="20"/>
        </w:rPr>
        <w:t xml:space="preserve">                 </w:t>
      </w:r>
      <w:r>
        <w:rPr>
          <w:rFonts w:ascii="Wingdings" w:hAnsi="Wingdings" w:eastAsia="Wingdings" w:cs="Wingdings"/>
          <w:sz w:val="24"/>
          <w:szCs w:val="20"/>
          <w:lang w:val="zh-CN"/>
        </w:rPr>
        <w:t></w:t>
      </w:r>
      <w:r>
        <w:rPr>
          <w:rFonts w:hint="eastAsia" w:ascii="宋体" w:hAnsi="宋体" w:cs="宋体"/>
          <w:sz w:val="24"/>
          <w:szCs w:val="20"/>
          <w:lang w:val="zh-CN"/>
        </w:rPr>
        <w:t>询价</w:t>
      </w:r>
      <w:r>
        <w:rPr>
          <w:rFonts w:ascii="Wingdings" w:hAnsi="Wingdings" w:eastAsia="Wingdings" w:cs="Wingdings"/>
          <w:sz w:val="24"/>
          <w:szCs w:val="20"/>
          <w:lang w:val="zh-CN"/>
        </w:rPr>
        <w:t></w:t>
      </w:r>
      <w:r>
        <w:rPr>
          <w:rFonts w:hint="eastAsia" w:ascii="宋体" w:hAnsi="宋体" w:cs="宋体"/>
          <w:sz w:val="24"/>
          <w:szCs w:val="20"/>
          <w:lang w:val="zh-CN"/>
        </w:rPr>
        <w:t>单一来源</w:t>
      </w:r>
      <w:r>
        <w:rPr>
          <w:rFonts w:ascii="Wingdings" w:hAnsi="Wingdings" w:eastAsia="Wingdings" w:cs="Wingdings"/>
          <w:sz w:val="24"/>
          <w:szCs w:val="20"/>
          <w:lang w:val="zh-CN"/>
        </w:rPr>
        <w:t></w:t>
      </w:r>
      <w:r>
        <w:rPr>
          <w:rFonts w:hint="eastAsia" w:ascii="宋体" w:hAnsi="宋体" w:cs="宋体"/>
          <w:sz w:val="24"/>
          <w:szCs w:val="20"/>
          <w:lang w:val="zh-CN"/>
        </w:rPr>
        <w:t>框架协议其他：</w:t>
      </w:r>
      <w:r>
        <w:rPr>
          <w:rFonts w:hint="eastAsia" w:ascii="宋体" w:hAnsi="宋体" w:cs="宋体"/>
          <w:sz w:val="24"/>
          <w:szCs w:val="20"/>
          <w:u w:val="single"/>
        </w:rPr>
        <w:t xml:space="preserve">          </w:t>
      </w:r>
    </w:p>
    <w:p w14:paraId="6831DC3E">
      <w:pPr>
        <w:widowControl/>
        <w:spacing w:line="520" w:lineRule="exact"/>
        <w:ind w:firstLine="480"/>
        <w:rPr>
          <w:rFonts w:ascii="宋体" w:hAnsi="宋体" w:cs="宋体"/>
          <w:sz w:val="24"/>
          <w:szCs w:val="20"/>
          <w:lang w:val="zh-CN"/>
        </w:rPr>
      </w:pPr>
      <w:r>
        <w:rPr>
          <w:rFonts w:hint="eastAsia" w:ascii="宋体" w:hAnsi="宋体" w:cs="宋体"/>
          <w:sz w:val="24"/>
          <w:szCs w:val="20"/>
          <w:lang w:val="zh-CN"/>
        </w:rPr>
        <w:t>（6）中标（成交）采购标的制造商是否为中小企业：</w:t>
      </w:r>
      <w:r>
        <w:rPr>
          <w:rFonts w:ascii="Wingdings" w:hAnsi="Wingdings" w:eastAsia="Wingdings" w:cs="Wingdings"/>
          <w:sz w:val="24"/>
          <w:szCs w:val="20"/>
          <w:lang w:val="zh-CN"/>
        </w:rPr>
        <w:t></w:t>
      </w:r>
      <w:r>
        <w:rPr>
          <w:rFonts w:hint="eastAsia" w:ascii="宋体" w:hAnsi="宋体" w:cs="宋体"/>
          <w:sz w:val="24"/>
          <w:szCs w:val="20"/>
          <w:lang w:val="zh-CN"/>
        </w:rPr>
        <w:t xml:space="preserve">是  </w:t>
      </w:r>
      <w:r>
        <w:rPr>
          <w:rFonts w:ascii="Wingdings" w:hAnsi="Wingdings" w:eastAsia="Wingdings" w:cs="Wingdings"/>
          <w:sz w:val="24"/>
          <w:szCs w:val="20"/>
          <w:lang w:val="zh-CN"/>
        </w:rPr>
        <w:t></w:t>
      </w:r>
      <w:r>
        <w:rPr>
          <w:rFonts w:hint="eastAsia" w:ascii="宋体" w:hAnsi="宋体" w:cs="宋体"/>
          <w:sz w:val="24"/>
          <w:szCs w:val="20"/>
          <w:lang w:val="zh-CN"/>
        </w:rPr>
        <w:t>否</w:t>
      </w:r>
    </w:p>
    <w:p w14:paraId="473B3498">
      <w:pPr>
        <w:widowControl/>
        <w:spacing w:line="520" w:lineRule="exact"/>
        <w:ind w:firstLine="480"/>
        <w:rPr>
          <w:rFonts w:ascii="宋体" w:hAnsi="宋体" w:cs="宋体"/>
          <w:sz w:val="24"/>
          <w:szCs w:val="20"/>
          <w:lang w:val="zh-CN"/>
        </w:rPr>
      </w:pPr>
      <w:r>
        <w:rPr>
          <w:rFonts w:hint="eastAsia" w:ascii="宋体" w:hAnsi="宋体" w:cs="宋体"/>
          <w:sz w:val="24"/>
          <w:szCs w:val="20"/>
          <w:lang w:val="zh-CN"/>
        </w:rPr>
        <w:t xml:space="preserve"> 本合同是否为专门面向中小企业的采购合同（中小企业预留合同）：</w:t>
      </w:r>
      <w:r>
        <w:rPr>
          <w:rFonts w:ascii="Wingdings" w:hAnsi="Wingdings" w:eastAsia="Wingdings" w:cs="Wingdings"/>
          <w:sz w:val="24"/>
          <w:szCs w:val="20"/>
          <w:lang w:val="zh-CN"/>
        </w:rPr>
        <w:t></w:t>
      </w:r>
      <w:r>
        <w:rPr>
          <w:rFonts w:hint="eastAsia" w:ascii="宋体" w:hAnsi="宋体" w:cs="宋体"/>
          <w:sz w:val="24"/>
          <w:szCs w:val="20"/>
          <w:lang w:val="zh-CN"/>
        </w:rPr>
        <w:t>是</w:t>
      </w:r>
      <w:r>
        <w:rPr>
          <w:rFonts w:hint="eastAsia" w:ascii="宋体" w:hAnsi="宋体" w:cs="宋体"/>
          <w:sz w:val="24"/>
          <w:szCs w:val="20"/>
        </w:rPr>
        <w:t xml:space="preserve"> </w:t>
      </w:r>
      <w:r>
        <w:rPr>
          <w:rFonts w:ascii="Wingdings" w:hAnsi="Wingdings" w:eastAsia="Wingdings" w:cs="Wingdings"/>
          <w:sz w:val="24"/>
          <w:szCs w:val="20"/>
          <w:lang w:val="zh-CN"/>
        </w:rPr>
        <w:t></w:t>
      </w:r>
      <w:r>
        <w:rPr>
          <w:rFonts w:hint="eastAsia" w:ascii="宋体" w:hAnsi="宋体" w:cs="宋体"/>
          <w:sz w:val="24"/>
          <w:szCs w:val="20"/>
          <w:lang w:val="zh-CN"/>
        </w:rPr>
        <w:t>否</w:t>
      </w:r>
    </w:p>
    <w:p w14:paraId="3AB0AD3E">
      <w:pPr>
        <w:widowControl/>
        <w:spacing w:line="520" w:lineRule="exact"/>
        <w:ind w:firstLine="480"/>
        <w:rPr>
          <w:rFonts w:ascii="宋体" w:hAnsi="宋体" w:cs="宋体"/>
          <w:sz w:val="24"/>
          <w:szCs w:val="20"/>
          <w:lang w:val="zh-CN"/>
        </w:rPr>
      </w:pPr>
      <w:r>
        <w:rPr>
          <w:rFonts w:hint="eastAsia" w:ascii="宋体" w:hAnsi="宋体" w:cs="宋体"/>
          <w:sz w:val="24"/>
          <w:szCs w:val="20"/>
          <w:lang w:val="zh-CN"/>
        </w:rPr>
        <w:t xml:space="preserve"> 若本项目不专门面向中小企业采购，是否给予小微企业评审优惠：</w:t>
      </w:r>
      <w:r>
        <w:rPr>
          <w:rFonts w:ascii="Wingdings" w:hAnsi="Wingdings" w:eastAsia="Wingdings" w:cs="Wingdings"/>
          <w:sz w:val="24"/>
          <w:szCs w:val="20"/>
          <w:lang w:val="zh-CN"/>
        </w:rPr>
        <w:t></w:t>
      </w:r>
      <w:r>
        <w:rPr>
          <w:rFonts w:hint="eastAsia" w:ascii="宋体" w:hAnsi="宋体" w:cs="宋体"/>
          <w:sz w:val="24"/>
          <w:szCs w:val="20"/>
          <w:lang w:val="zh-CN"/>
        </w:rPr>
        <w:t xml:space="preserve">是 </w:t>
      </w:r>
      <w:r>
        <w:rPr>
          <w:rFonts w:ascii="Wingdings" w:hAnsi="Wingdings" w:eastAsia="Wingdings" w:cs="Wingdings"/>
          <w:sz w:val="24"/>
          <w:szCs w:val="20"/>
          <w:lang w:val="zh-CN"/>
        </w:rPr>
        <w:t></w:t>
      </w:r>
      <w:r>
        <w:rPr>
          <w:rFonts w:hint="eastAsia" w:ascii="宋体" w:hAnsi="宋体" w:cs="宋体"/>
          <w:sz w:val="24"/>
          <w:szCs w:val="20"/>
          <w:lang w:val="zh-CN"/>
        </w:rPr>
        <w:t>否</w:t>
      </w:r>
    </w:p>
    <w:p w14:paraId="60177484">
      <w:pPr>
        <w:widowControl/>
        <w:spacing w:line="520" w:lineRule="exact"/>
        <w:ind w:firstLine="480"/>
        <w:rPr>
          <w:rFonts w:ascii="宋体" w:hAnsi="宋体" w:cs="宋体"/>
          <w:sz w:val="24"/>
          <w:szCs w:val="20"/>
          <w:lang w:val="zh-CN"/>
        </w:rPr>
      </w:pPr>
      <w:r>
        <w:rPr>
          <w:rFonts w:hint="eastAsia" w:ascii="宋体" w:hAnsi="宋体" w:cs="宋体"/>
          <w:sz w:val="24"/>
          <w:szCs w:val="20"/>
          <w:lang w:val="zh-CN"/>
        </w:rPr>
        <w:t xml:space="preserve"> 中标（成交）采购标的制造商是否为残疾人福利性单位：</w:t>
      </w:r>
      <w:r>
        <w:rPr>
          <w:rFonts w:ascii="Wingdings" w:hAnsi="Wingdings" w:eastAsia="Wingdings" w:cs="Wingdings"/>
          <w:sz w:val="24"/>
          <w:szCs w:val="20"/>
          <w:lang w:val="zh-CN"/>
        </w:rPr>
        <w:t></w:t>
      </w:r>
      <w:r>
        <w:rPr>
          <w:rFonts w:hint="eastAsia" w:ascii="宋体" w:hAnsi="宋体" w:cs="宋体"/>
          <w:sz w:val="24"/>
          <w:szCs w:val="20"/>
          <w:lang w:val="zh-CN"/>
        </w:rPr>
        <w:t xml:space="preserve">是  </w:t>
      </w:r>
      <w:r>
        <w:rPr>
          <w:rFonts w:ascii="Wingdings" w:hAnsi="Wingdings" w:eastAsia="Wingdings" w:cs="Wingdings"/>
          <w:sz w:val="24"/>
          <w:szCs w:val="20"/>
          <w:lang w:val="zh-CN"/>
        </w:rPr>
        <w:t></w:t>
      </w:r>
      <w:r>
        <w:rPr>
          <w:rFonts w:hint="eastAsia" w:ascii="宋体" w:hAnsi="宋体" w:cs="宋体"/>
          <w:sz w:val="24"/>
          <w:szCs w:val="20"/>
          <w:lang w:val="zh-CN"/>
        </w:rPr>
        <w:t>否</w:t>
      </w:r>
    </w:p>
    <w:p w14:paraId="3418C29B">
      <w:pPr>
        <w:widowControl/>
        <w:spacing w:line="520" w:lineRule="exact"/>
        <w:ind w:firstLine="480"/>
        <w:rPr>
          <w:rFonts w:ascii="宋体" w:hAnsi="宋体" w:cs="宋体"/>
          <w:sz w:val="24"/>
          <w:szCs w:val="20"/>
          <w:lang w:val="zh-CN"/>
        </w:rPr>
      </w:pPr>
      <w:r>
        <w:rPr>
          <w:rFonts w:hint="eastAsia" w:ascii="宋体" w:hAnsi="宋体" w:cs="宋体"/>
          <w:sz w:val="24"/>
          <w:szCs w:val="20"/>
          <w:lang w:val="zh-CN"/>
        </w:rPr>
        <w:t xml:space="preserve"> 中标（成交）采购标的制造商是否为监狱企业：</w:t>
      </w:r>
      <w:r>
        <w:rPr>
          <w:rFonts w:ascii="Wingdings" w:hAnsi="Wingdings" w:eastAsia="Wingdings" w:cs="Wingdings"/>
          <w:sz w:val="24"/>
          <w:szCs w:val="20"/>
          <w:lang w:val="zh-CN"/>
        </w:rPr>
        <w:t></w:t>
      </w:r>
      <w:r>
        <w:rPr>
          <w:rFonts w:hint="eastAsia" w:ascii="宋体" w:hAnsi="宋体" w:cs="宋体"/>
          <w:sz w:val="24"/>
          <w:szCs w:val="20"/>
          <w:lang w:val="zh-CN"/>
        </w:rPr>
        <w:t xml:space="preserve">是   </w:t>
      </w:r>
      <w:r>
        <w:rPr>
          <w:rFonts w:ascii="Wingdings" w:hAnsi="Wingdings" w:eastAsia="Wingdings" w:cs="Wingdings"/>
          <w:sz w:val="24"/>
          <w:szCs w:val="20"/>
          <w:lang w:val="zh-CN"/>
        </w:rPr>
        <w:t></w:t>
      </w:r>
      <w:r>
        <w:rPr>
          <w:rFonts w:hint="eastAsia" w:ascii="宋体" w:hAnsi="宋体" w:cs="宋体"/>
          <w:sz w:val="24"/>
          <w:szCs w:val="20"/>
          <w:lang w:val="zh-CN"/>
        </w:rPr>
        <w:t>否</w:t>
      </w:r>
    </w:p>
    <w:p w14:paraId="28081B19">
      <w:pPr>
        <w:widowControl/>
        <w:numPr>
          <w:ilvl w:val="0"/>
          <w:numId w:val="1"/>
        </w:numPr>
        <w:spacing w:line="520" w:lineRule="exact"/>
        <w:ind w:firstLine="480"/>
        <w:rPr>
          <w:rFonts w:ascii="宋体" w:hAnsi="宋体" w:cs="宋体"/>
          <w:sz w:val="24"/>
          <w:szCs w:val="20"/>
          <w:u w:val="single"/>
        </w:rPr>
      </w:pPr>
      <w:r>
        <w:rPr>
          <w:rFonts w:hint="eastAsia" w:ascii="宋体" w:hAnsi="宋体" w:cs="宋体"/>
          <w:sz w:val="24"/>
          <w:szCs w:val="20"/>
          <w:lang w:val="zh-CN"/>
        </w:rPr>
        <w:t>合同是否分包：</w:t>
      </w:r>
      <w:r>
        <w:rPr>
          <w:rFonts w:ascii="Wingdings" w:hAnsi="Wingdings" w:eastAsia="Wingdings" w:cs="Wingdings"/>
          <w:sz w:val="24"/>
          <w:szCs w:val="20"/>
          <w:lang w:val="zh-CN"/>
        </w:rPr>
        <w:t></w:t>
      </w:r>
      <w:r>
        <w:rPr>
          <w:rFonts w:hint="eastAsia" w:ascii="宋体" w:hAnsi="宋体" w:cs="宋体"/>
          <w:sz w:val="24"/>
          <w:szCs w:val="20"/>
          <w:lang w:val="zh-CN"/>
        </w:rPr>
        <w:t xml:space="preserve">是   </w:t>
      </w:r>
      <w:r>
        <w:rPr>
          <w:rFonts w:ascii="Wingdings" w:hAnsi="Wingdings" w:eastAsia="Wingdings" w:cs="Wingdings"/>
          <w:sz w:val="24"/>
          <w:szCs w:val="20"/>
          <w:lang w:val="zh-CN"/>
        </w:rPr>
        <w:t></w:t>
      </w:r>
      <w:r>
        <w:rPr>
          <w:rFonts w:hint="eastAsia" w:ascii="宋体" w:hAnsi="宋体" w:cs="宋体"/>
          <w:sz w:val="24"/>
          <w:szCs w:val="20"/>
          <w:lang w:val="zh-CN"/>
        </w:rPr>
        <w:t>否</w:t>
      </w:r>
    </w:p>
    <w:p w14:paraId="004B1248">
      <w:pPr>
        <w:widowControl/>
        <w:spacing w:line="520" w:lineRule="exact"/>
        <w:ind w:firstLine="1200"/>
        <w:rPr>
          <w:rFonts w:ascii="宋体" w:hAnsi="宋体" w:cs="宋体"/>
          <w:sz w:val="24"/>
          <w:szCs w:val="20"/>
          <w:u w:val="single"/>
        </w:rPr>
      </w:pPr>
      <w:r>
        <w:rPr>
          <w:rFonts w:hint="eastAsia" w:ascii="宋体" w:hAnsi="宋体" w:cs="宋体"/>
          <w:sz w:val="24"/>
          <w:szCs w:val="20"/>
          <w:lang w:val="zh-CN"/>
        </w:rPr>
        <w:t>分包主要内容：</w:t>
      </w:r>
      <w:r>
        <w:rPr>
          <w:rFonts w:hint="eastAsia" w:ascii="宋体" w:hAnsi="宋体" w:cs="宋体"/>
          <w:sz w:val="24"/>
          <w:szCs w:val="20"/>
          <w:u w:val="single"/>
        </w:rPr>
        <w:t xml:space="preserve">             </w:t>
      </w:r>
    </w:p>
    <w:p w14:paraId="65F44841">
      <w:pPr>
        <w:widowControl/>
        <w:spacing w:line="520" w:lineRule="exact"/>
        <w:ind w:firstLine="480"/>
        <w:rPr>
          <w:rFonts w:ascii="宋体" w:hAnsi="宋体" w:cs="宋体"/>
          <w:sz w:val="24"/>
          <w:szCs w:val="20"/>
          <w:u w:val="single"/>
        </w:rPr>
      </w:pPr>
      <w:r>
        <w:rPr>
          <w:rFonts w:hint="eastAsia" w:ascii="宋体" w:hAnsi="宋体" w:cs="宋体"/>
          <w:sz w:val="24"/>
          <w:szCs w:val="20"/>
          <w:lang w:val="zh-CN"/>
        </w:rPr>
        <w:t>分包供应商/制造商名称（如供应商和制造商不同，请分别填写）：</w:t>
      </w:r>
      <w:r>
        <w:rPr>
          <w:rFonts w:hint="eastAsia" w:ascii="宋体" w:hAnsi="宋体" w:cs="宋体"/>
          <w:sz w:val="24"/>
          <w:szCs w:val="20"/>
          <w:u w:val="single"/>
        </w:rPr>
        <w:t xml:space="preserve">       </w:t>
      </w:r>
    </w:p>
    <w:p w14:paraId="5AC393E0">
      <w:pPr>
        <w:widowControl/>
        <w:spacing w:line="520" w:lineRule="exact"/>
        <w:ind w:firstLine="480"/>
        <w:rPr>
          <w:rFonts w:ascii="宋体" w:hAnsi="宋体" w:cs="宋体"/>
          <w:sz w:val="24"/>
          <w:szCs w:val="20"/>
          <w:lang w:val="zh-CN"/>
        </w:rPr>
      </w:pPr>
      <w:r>
        <w:rPr>
          <w:rFonts w:hint="eastAsia" w:ascii="宋体" w:hAnsi="宋体" w:cs="宋体"/>
          <w:sz w:val="24"/>
          <w:szCs w:val="20"/>
          <w:lang w:val="zh-CN"/>
        </w:rPr>
        <w:t>分包供应商/制造商类型（如果供应商和制造商不同，只填写制造商类型）：</w:t>
      </w:r>
    </w:p>
    <w:p w14:paraId="69DAEF78">
      <w:pPr>
        <w:widowControl/>
        <w:spacing w:line="520" w:lineRule="exact"/>
        <w:ind w:firstLine="480"/>
        <w:rPr>
          <w:rFonts w:ascii="宋体" w:hAnsi="宋体" w:cs="宋体"/>
          <w:sz w:val="24"/>
          <w:szCs w:val="20"/>
          <w:lang w:val="zh-CN"/>
        </w:rPr>
      </w:pPr>
      <w:r>
        <w:rPr>
          <w:rFonts w:ascii="Wingdings" w:hAnsi="Wingdings" w:eastAsia="Wingdings" w:cs="Wingdings"/>
          <w:sz w:val="24"/>
          <w:szCs w:val="20"/>
          <w:lang w:val="zh-CN"/>
        </w:rPr>
        <w:t></w:t>
      </w:r>
      <w:r>
        <w:rPr>
          <w:rFonts w:hint="eastAsia" w:ascii="宋体" w:hAnsi="宋体" w:cs="宋体"/>
          <w:sz w:val="24"/>
          <w:szCs w:val="20"/>
          <w:lang w:val="zh-CN"/>
        </w:rPr>
        <w:t>大型企业  </w:t>
      </w:r>
      <w:r>
        <w:rPr>
          <w:rFonts w:ascii="Wingdings" w:hAnsi="Wingdings" w:eastAsia="Wingdings" w:cs="Wingdings"/>
          <w:sz w:val="24"/>
          <w:szCs w:val="20"/>
          <w:lang w:val="zh-CN"/>
        </w:rPr>
        <w:t></w:t>
      </w:r>
      <w:r>
        <w:rPr>
          <w:rFonts w:hint="eastAsia" w:ascii="宋体" w:hAnsi="宋体" w:cs="宋体"/>
          <w:sz w:val="24"/>
          <w:szCs w:val="20"/>
          <w:lang w:val="zh-CN"/>
        </w:rPr>
        <w:t xml:space="preserve">中型企业  </w:t>
      </w:r>
      <w:r>
        <w:rPr>
          <w:rFonts w:hint="eastAsia" w:ascii="宋体" w:hAnsi="宋体" w:cs="宋体"/>
          <w:sz w:val="24"/>
          <w:szCs w:val="20"/>
        </w:rPr>
        <w:t xml:space="preserve"> </w:t>
      </w:r>
      <w:r>
        <w:rPr>
          <w:rFonts w:hint="eastAsia" w:ascii="宋体" w:hAnsi="宋体" w:cs="宋体"/>
          <w:sz w:val="24"/>
          <w:szCs w:val="20"/>
          <w:lang w:val="zh-CN"/>
        </w:rPr>
        <w:t></w:t>
      </w:r>
      <w:r>
        <w:rPr>
          <w:rFonts w:ascii="Wingdings" w:hAnsi="Wingdings" w:eastAsia="Wingdings" w:cs="Wingdings"/>
          <w:sz w:val="24"/>
          <w:szCs w:val="20"/>
          <w:lang w:val="zh-CN"/>
        </w:rPr>
        <w:t></w:t>
      </w:r>
      <w:r>
        <w:rPr>
          <w:rFonts w:hint="eastAsia" w:ascii="宋体" w:hAnsi="宋体" w:cs="宋体"/>
          <w:sz w:val="24"/>
          <w:szCs w:val="20"/>
          <w:lang w:val="zh-CN"/>
        </w:rPr>
        <w:t>小微型企业</w:t>
      </w:r>
    </w:p>
    <w:p w14:paraId="548F07E8">
      <w:pPr>
        <w:widowControl/>
        <w:spacing w:line="520" w:lineRule="exact"/>
        <w:ind w:firstLine="480"/>
        <w:rPr>
          <w:rFonts w:ascii="宋体" w:hAnsi="宋体" w:cs="宋体"/>
          <w:sz w:val="24"/>
          <w:szCs w:val="20"/>
          <w:lang w:val="zh-CN"/>
        </w:rPr>
      </w:pPr>
      <w:r>
        <w:rPr>
          <w:rFonts w:ascii="Wingdings" w:hAnsi="Wingdings" w:eastAsia="Wingdings" w:cs="Wingdings"/>
          <w:sz w:val="24"/>
          <w:szCs w:val="20"/>
          <w:lang w:val="zh-CN"/>
        </w:rPr>
        <w:t></w:t>
      </w:r>
      <w:r>
        <w:rPr>
          <w:rFonts w:hint="eastAsia" w:ascii="宋体" w:hAnsi="宋体" w:cs="宋体"/>
          <w:sz w:val="24"/>
          <w:szCs w:val="20"/>
          <w:lang w:val="zh-CN"/>
        </w:rPr>
        <w:t>残疾人福利性单位</w:t>
      </w:r>
      <w:r>
        <w:rPr>
          <w:rFonts w:hint="eastAsia" w:ascii="宋体" w:hAnsi="宋体" w:cs="宋体"/>
          <w:sz w:val="24"/>
          <w:szCs w:val="20"/>
        </w:rPr>
        <w:t xml:space="preserve"> </w:t>
      </w:r>
      <w:r>
        <w:rPr>
          <w:rFonts w:hint="eastAsia" w:ascii="宋体" w:hAnsi="宋体" w:cs="宋体"/>
          <w:sz w:val="24"/>
          <w:szCs w:val="20"/>
          <w:lang w:val="zh-CN"/>
        </w:rPr>
        <w:t></w:t>
      </w:r>
      <w:r>
        <w:rPr>
          <w:rFonts w:ascii="Wingdings" w:hAnsi="Wingdings" w:eastAsia="Wingdings" w:cs="Wingdings"/>
          <w:sz w:val="24"/>
          <w:szCs w:val="20"/>
          <w:lang w:val="zh-CN"/>
        </w:rPr>
        <w:t></w:t>
      </w:r>
      <w:r>
        <w:rPr>
          <w:rFonts w:hint="eastAsia" w:ascii="宋体" w:hAnsi="宋体" w:cs="宋体"/>
          <w:sz w:val="24"/>
          <w:szCs w:val="20"/>
          <w:lang w:val="zh-CN"/>
        </w:rPr>
        <w:t>监狱企业</w:t>
      </w:r>
      <w:r>
        <w:rPr>
          <w:rFonts w:hint="eastAsia" w:ascii="宋体" w:hAnsi="宋体" w:cs="宋体"/>
          <w:sz w:val="24"/>
          <w:szCs w:val="20"/>
        </w:rPr>
        <w:t xml:space="preserve"> </w:t>
      </w:r>
      <w:r>
        <w:rPr>
          <w:rFonts w:hint="eastAsia" w:ascii="宋体" w:hAnsi="宋体" w:cs="宋体"/>
          <w:sz w:val="24"/>
          <w:szCs w:val="20"/>
          <w:lang w:val="zh-CN"/>
        </w:rPr>
        <w:t></w:t>
      </w:r>
      <w:r>
        <w:rPr>
          <w:rFonts w:ascii="Wingdings" w:hAnsi="Wingdings" w:eastAsia="Wingdings" w:cs="Wingdings"/>
          <w:sz w:val="24"/>
          <w:szCs w:val="20"/>
          <w:lang w:val="zh-CN"/>
        </w:rPr>
        <w:t></w:t>
      </w:r>
      <w:r>
        <w:rPr>
          <w:rFonts w:hint="eastAsia" w:ascii="宋体" w:hAnsi="宋体" w:cs="宋体"/>
          <w:sz w:val="24"/>
          <w:szCs w:val="20"/>
          <w:lang w:val="zh-CN"/>
        </w:rPr>
        <w:t>其他</w:t>
      </w:r>
    </w:p>
    <w:p w14:paraId="017A936D">
      <w:pPr>
        <w:widowControl/>
        <w:spacing w:line="520" w:lineRule="exact"/>
        <w:ind w:firstLine="240"/>
        <w:rPr>
          <w:rFonts w:ascii="宋体" w:hAnsi="宋体" w:cs="宋体"/>
          <w:sz w:val="24"/>
          <w:szCs w:val="20"/>
          <w:lang w:val="zh-CN"/>
        </w:rPr>
      </w:pPr>
      <w:r>
        <w:rPr>
          <w:rFonts w:hint="eastAsia" w:ascii="宋体" w:hAnsi="宋体" w:cs="宋体"/>
          <w:sz w:val="24"/>
          <w:szCs w:val="20"/>
          <w:lang w:val="zh-CN"/>
        </w:rPr>
        <w:t>（8）中标（成交）供应商是否为外商投资企业：</w:t>
      </w:r>
      <w:r>
        <w:rPr>
          <w:rFonts w:ascii="Wingdings" w:hAnsi="Wingdings" w:eastAsia="Wingdings" w:cs="Wingdings"/>
          <w:sz w:val="24"/>
          <w:szCs w:val="20"/>
          <w:lang w:val="zh-CN"/>
        </w:rPr>
        <w:t></w:t>
      </w:r>
      <w:r>
        <w:rPr>
          <w:rFonts w:hint="eastAsia" w:ascii="宋体" w:hAnsi="宋体" w:cs="宋体"/>
          <w:sz w:val="24"/>
          <w:szCs w:val="20"/>
          <w:lang w:val="zh-CN"/>
        </w:rPr>
        <w:t xml:space="preserve">是   </w:t>
      </w:r>
      <w:r>
        <w:rPr>
          <w:rFonts w:ascii="Wingdings" w:hAnsi="Wingdings" w:eastAsia="Wingdings" w:cs="Wingdings"/>
          <w:sz w:val="24"/>
          <w:szCs w:val="20"/>
          <w:lang w:val="zh-CN"/>
        </w:rPr>
        <w:t></w:t>
      </w:r>
      <w:r>
        <w:rPr>
          <w:rFonts w:hint="eastAsia" w:ascii="宋体" w:hAnsi="宋体" w:cs="宋体"/>
          <w:sz w:val="24"/>
          <w:szCs w:val="20"/>
          <w:lang w:val="zh-CN"/>
        </w:rPr>
        <w:t>否</w:t>
      </w:r>
    </w:p>
    <w:p w14:paraId="34601245">
      <w:pPr>
        <w:widowControl/>
        <w:spacing w:line="520" w:lineRule="exact"/>
        <w:ind w:firstLine="480"/>
        <w:rPr>
          <w:rFonts w:ascii="宋体" w:hAnsi="宋体" w:cs="宋体"/>
          <w:sz w:val="24"/>
          <w:szCs w:val="20"/>
          <w:lang w:val="zh-CN"/>
        </w:rPr>
      </w:pPr>
      <w:r>
        <w:rPr>
          <w:rFonts w:hint="eastAsia" w:ascii="宋体" w:hAnsi="宋体" w:cs="宋体"/>
          <w:sz w:val="24"/>
          <w:szCs w:val="20"/>
          <w:lang w:val="zh-CN"/>
        </w:rPr>
        <w:t xml:space="preserve">    外商投资企业类型：</w:t>
      </w:r>
      <w:r>
        <w:rPr>
          <w:rFonts w:ascii="Wingdings" w:hAnsi="Wingdings" w:eastAsia="Wingdings" w:cs="Wingdings"/>
          <w:sz w:val="24"/>
          <w:szCs w:val="20"/>
          <w:lang w:val="zh-CN"/>
        </w:rPr>
        <w:t></w:t>
      </w:r>
      <w:r>
        <w:rPr>
          <w:rFonts w:hint="eastAsia" w:ascii="宋体" w:hAnsi="宋体" w:cs="宋体"/>
          <w:sz w:val="24"/>
          <w:szCs w:val="20"/>
          <w:lang w:val="zh-CN"/>
        </w:rPr>
        <w:t xml:space="preserve">全部由外国投资者投资  </w:t>
      </w:r>
      <w:r>
        <w:rPr>
          <w:rFonts w:ascii="Wingdings" w:hAnsi="Wingdings" w:eastAsia="Wingdings" w:cs="Wingdings"/>
          <w:sz w:val="24"/>
          <w:szCs w:val="20"/>
          <w:lang w:val="zh-CN"/>
        </w:rPr>
        <w:t></w:t>
      </w:r>
      <w:r>
        <w:rPr>
          <w:rFonts w:hint="eastAsia" w:ascii="宋体" w:hAnsi="宋体" w:cs="宋体"/>
          <w:sz w:val="24"/>
          <w:szCs w:val="20"/>
          <w:lang w:val="zh-CN"/>
        </w:rPr>
        <w:t>部分由外国投资者投资</w:t>
      </w:r>
    </w:p>
    <w:p w14:paraId="29FAE42D">
      <w:pPr>
        <w:widowControl/>
        <w:spacing w:line="520" w:lineRule="exact"/>
        <w:ind w:firstLine="240"/>
        <w:rPr>
          <w:rFonts w:ascii="宋体" w:hAnsi="宋体" w:cs="宋体"/>
          <w:sz w:val="24"/>
          <w:szCs w:val="20"/>
          <w:lang w:val="zh-CN"/>
        </w:rPr>
      </w:pPr>
      <w:r>
        <w:rPr>
          <w:rFonts w:hint="eastAsia" w:ascii="宋体" w:hAnsi="宋体" w:cs="宋体"/>
          <w:sz w:val="24"/>
          <w:szCs w:val="20"/>
          <w:lang w:val="zh-CN"/>
        </w:rPr>
        <w:t>（9）是否涉及进口产品：</w:t>
      </w:r>
    </w:p>
    <w:p w14:paraId="65EB47E1">
      <w:pPr>
        <w:widowControl/>
        <w:spacing w:line="520" w:lineRule="exact"/>
        <w:ind w:firstLine="480"/>
        <w:rPr>
          <w:rFonts w:ascii="宋体" w:hAnsi="宋体" w:cs="宋体"/>
          <w:sz w:val="24"/>
          <w:szCs w:val="20"/>
          <w:u w:val="single"/>
        </w:rPr>
      </w:pPr>
      <w:r>
        <w:rPr>
          <w:rFonts w:ascii="Wingdings" w:hAnsi="Wingdings" w:eastAsia="Wingdings" w:cs="Wingdings"/>
          <w:sz w:val="24"/>
          <w:szCs w:val="20"/>
          <w:lang w:val="zh-CN"/>
        </w:rPr>
        <w:t></w:t>
      </w:r>
      <w:r>
        <w:rPr>
          <w:rFonts w:hint="eastAsia" w:ascii="宋体" w:hAnsi="宋体" w:cs="宋体"/>
          <w:sz w:val="24"/>
          <w:szCs w:val="20"/>
          <w:lang w:val="zh-CN"/>
        </w:rPr>
        <w:t>是，《政府采购品目分类目录》底级品目名称：</w:t>
      </w:r>
      <w:r>
        <w:rPr>
          <w:rFonts w:hint="eastAsia" w:ascii="宋体" w:hAnsi="宋体" w:cs="宋体"/>
          <w:sz w:val="24"/>
          <w:szCs w:val="20"/>
          <w:u w:val="single"/>
        </w:rPr>
        <w:t xml:space="preserve">         </w:t>
      </w:r>
      <w:r>
        <w:rPr>
          <w:rFonts w:hint="eastAsia" w:ascii="宋体" w:hAnsi="宋体" w:cs="宋体"/>
          <w:sz w:val="24"/>
          <w:szCs w:val="20"/>
          <w:lang w:val="zh-CN"/>
        </w:rPr>
        <w:t>金额：</w:t>
      </w:r>
      <w:r>
        <w:rPr>
          <w:rFonts w:hint="eastAsia" w:ascii="宋体" w:hAnsi="宋体" w:cs="宋体"/>
          <w:sz w:val="24"/>
          <w:szCs w:val="20"/>
          <w:u w:val="single"/>
        </w:rPr>
        <w:t xml:space="preserve">        </w:t>
      </w:r>
    </w:p>
    <w:p w14:paraId="17F181B2">
      <w:pPr>
        <w:widowControl/>
        <w:spacing w:line="520" w:lineRule="exact"/>
        <w:ind w:firstLine="480"/>
        <w:rPr>
          <w:rFonts w:ascii="宋体" w:hAnsi="宋体" w:cs="宋体"/>
          <w:sz w:val="24"/>
          <w:szCs w:val="20"/>
        </w:rPr>
      </w:pPr>
      <w:r>
        <w:rPr>
          <w:rFonts w:hint="eastAsia" w:ascii="宋体" w:hAnsi="宋体" w:cs="宋体"/>
          <w:sz w:val="24"/>
          <w:szCs w:val="20"/>
          <w:lang w:val="zh-CN"/>
        </w:rPr>
        <w:t xml:space="preserve">        国别：</w:t>
      </w:r>
      <w:r>
        <w:rPr>
          <w:rFonts w:hint="eastAsia" w:ascii="宋体" w:hAnsi="宋体" w:cs="宋体"/>
          <w:sz w:val="24"/>
          <w:szCs w:val="20"/>
          <w:u w:val="single"/>
        </w:rPr>
        <w:t xml:space="preserve">        </w:t>
      </w:r>
      <w:r>
        <w:rPr>
          <w:rFonts w:hint="eastAsia" w:ascii="宋体" w:hAnsi="宋体" w:cs="宋体"/>
          <w:sz w:val="24"/>
          <w:szCs w:val="20"/>
          <w:lang w:val="zh-CN"/>
        </w:rPr>
        <w:t>品牌：</w:t>
      </w:r>
      <w:r>
        <w:rPr>
          <w:rFonts w:hint="eastAsia" w:ascii="宋体" w:hAnsi="宋体" w:cs="宋体"/>
          <w:sz w:val="24"/>
          <w:szCs w:val="20"/>
          <w:u w:val="single"/>
        </w:rPr>
        <w:t xml:space="preserve">        </w:t>
      </w:r>
      <w:r>
        <w:rPr>
          <w:rFonts w:hint="eastAsia" w:ascii="宋体" w:hAnsi="宋体" w:cs="宋体"/>
          <w:sz w:val="24"/>
          <w:szCs w:val="20"/>
          <w:lang w:val="zh-CN"/>
        </w:rPr>
        <w:t xml:space="preserve"> 规格型号：</w:t>
      </w:r>
      <w:r>
        <w:rPr>
          <w:rFonts w:hint="eastAsia" w:ascii="宋体" w:hAnsi="宋体" w:cs="宋体"/>
          <w:sz w:val="24"/>
          <w:szCs w:val="20"/>
          <w:u w:val="single"/>
        </w:rPr>
        <w:t xml:space="preserve">          </w:t>
      </w:r>
    </w:p>
    <w:p w14:paraId="386E778E">
      <w:pPr>
        <w:widowControl/>
        <w:spacing w:line="520" w:lineRule="exact"/>
        <w:ind w:firstLine="480"/>
        <w:rPr>
          <w:rFonts w:ascii="宋体" w:hAnsi="宋体" w:cs="宋体"/>
          <w:sz w:val="24"/>
          <w:szCs w:val="20"/>
          <w:lang w:val="zh-CN"/>
        </w:rPr>
      </w:pPr>
      <w:r>
        <w:rPr>
          <w:rFonts w:ascii="Wingdings" w:hAnsi="Wingdings" w:eastAsia="Wingdings" w:cs="Wingdings"/>
          <w:sz w:val="24"/>
          <w:szCs w:val="20"/>
          <w:lang w:val="zh-CN"/>
        </w:rPr>
        <w:t></w:t>
      </w:r>
      <w:r>
        <w:rPr>
          <w:rFonts w:hint="eastAsia" w:ascii="宋体" w:hAnsi="宋体" w:cs="宋体"/>
          <w:sz w:val="24"/>
          <w:szCs w:val="20"/>
          <w:lang w:val="zh-CN"/>
        </w:rPr>
        <w:t>否</w:t>
      </w:r>
    </w:p>
    <w:p w14:paraId="201B6765">
      <w:pPr>
        <w:widowControl/>
        <w:spacing w:line="520" w:lineRule="exact"/>
        <w:ind w:firstLine="480"/>
        <w:rPr>
          <w:rFonts w:ascii="宋体" w:hAnsi="宋体" w:cs="宋体"/>
          <w:sz w:val="24"/>
          <w:szCs w:val="20"/>
          <w:lang w:val="zh-CN"/>
        </w:rPr>
      </w:pPr>
      <w:r>
        <w:rPr>
          <w:rFonts w:hint="eastAsia" w:ascii="宋体" w:hAnsi="宋体" w:cs="宋体"/>
          <w:sz w:val="24"/>
          <w:szCs w:val="20"/>
          <w:lang w:val="zh-CN"/>
        </w:rPr>
        <w:t>（10）是否涉及节能产品：</w:t>
      </w:r>
    </w:p>
    <w:p w14:paraId="373E57C4">
      <w:pPr>
        <w:widowControl/>
        <w:spacing w:line="520" w:lineRule="exact"/>
        <w:ind w:firstLine="480"/>
        <w:rPr>
          <w:rFonts w:ascii="宋体" w:hAnsi="宋体" w:cs="宋体"/>
          <w:sz w:val="24"/>
          <w:szCs w:val="20"/>
        </w:rPr>
      </w:pPr>
      <w:r>
        <w:rPr>
          <w:rFonts w:ascii="Wingdings" w:hAnsi="Wingdings" w:eastAsia="Wingdings" w:cs="Wingdings"/>
          <w:sz w:val="24"/>
          <w:szCs w:val="20"/>
          <w:lang w:val="zh-CN"/>
        </w:rPr>
        <w:t></w:t>
      </w:r>
      <w:r>
        <w:rPr>
          <w:rFonts w:hint="eastAsia" w:ascii="宋体" w:hAnsi="宋体" w:cs="宋体"/>
          <w:sz w:val="24"/>
          <w:szCs w:val="20"/>
          <w:lang w:val="zh-CN"/>
        </w:rPr>
        <w:t>是，《节能产品政府采购品目清单》的底级品目名称：</w:t>
      </w:r>
      <w:r>
        <w:rPr>
          <w:rFonts w:hint="eastAsia" w:ascii="宋体" w:hAnsi="宋体" w:cs="宋体"/>
          <w:sz w:val="24"/>
          <w:szCs w:val="20"/>
          <w:u w:val="single"/>
        </w:rPr>
        <w:t xml:space="preserve">          </w:t>
      </w:r>
    </w:p>
    <w:p w14:paraId="72D70623">
      <w:pPr>
        <w:widowControl/>
        <w:spacing w:line="520" w:lineRule="exact"/>
        <w:ind w:firstLine="480"/>
        <w:rPr>
          <w:rFonts w:ascii="宋体" w:hAnsi="宋体" w:cs="宋体"/>
          <w:sz w:val="24"/>
          <w:szCs w:val="20"/>
          <w:lang w:val="zh-CN"/>
        </w:rPr>
      </w:pPr>
      <w:r>
        <w:rPr>
          <w:rFonts w:ascii="Wingdings" w:hAnsi="Wingdings" w:eastAsia="Wingdings" w:cs="Wingdings"/>
          <w:sz w:val="24"/>
          <w:szCs w:val="20"/>
          <w:lang w:val="zh-CN"/>
        </w:rPr>
        <w:t></w:t>
      </w:r>
      <w:r>
        <w:rPr>
          <w:rFonts w:hint="eastAsia" w:ascii="宋体" w:hAnsi="宋体" w:cs="宋体"/>
          <w:sz w:val="24"/>
          <w:szCs w:val="20"/>
          <w:lang w:val="zh-CN"/>
        </w:rPr>
        <w:t>强制采购</w:t>
      </w:r>
      <w:r>
        <w:rPr>
          <w:rFonts w:ascii="Wingdings" w:hAnsi="Wingdings" w:eastAsia="Wingdings" w:cs="Wingdings"/>
          <w:sz w:val="24"/>
          <w:szCs w:val="20"/>
          <w:lang w:val="zh-CN"/>
        </w:rPr>
        <w:t></w:t>
      </w:r>
      <w:r>
        <w:rPr>
          <w:rFonts w:hint="eastAsia" w:ascii="宋体" w:hAnsi="宋体" w:cs="宋体"/>
          <w:sz w:val="24"/>
          <w:szCs w:val="20"/>
          <w:lang w:val="zh-CN"/>
        </w:rPr>
        <w:t>优先采购</w:t>
      </w:r>
    </w:p>
    <w:p w14:paraId="67C010F8">
      <w:pPr>
        <w:widowControl/>
        <w:spacing w:line="520" w:lineRule="exact"/>
        <w:ind w:firstLine="480"/>
        <w:rPr>
          <w:rFonts w:ascii="宋体" w:hAnsi="宋体" w:cs="宋体"/>
          <w:sz w:val="24"/>
          <w:szCs w:val="20"/>
          <w:lang w:val="zh-CN"/>
        </w:rPr>
      </w:pPr>
      <w:r>
        <w:rPr>
          <w:rFonts w:ascii="Wingdings" w:hAnsi="Wingdings" w:eastAsia="Wingdings" w:cs="Wingdings"/>
          <w:sz w:val="24"/>
          <w:szCs w:val="20"/>
          <w:lang w:val="zh-CN"/>
        </w:rPr>
        <w:t></w:t>
      </w:r>
      <w:r>
        <w:rPr>
          <w:rFonts w:hint="eastAsia" w:ascii="宋体" w:hAnsi="宋体" w:cs="宋体"/>
          <w:sz w:val="24"/>
          <w:szCs w:val="20"/>
          <w:lang w:val="zh-CN"/>
        </w:rPr>
        <w:t>否</w:t>
      </w:r>
    </w:p>
    <w:p w14:paraId="28069EC4">
      <w:pPr>
        <w:widowControl/>
        <w:spacing w:line="520" w:lineRule="exact"/>
        <w:ind w:firstLine="480"/>
        <w:rPr>
          <w:rFonts w:ascii="宋体" w:hAnsi="宋体" w:cs="宋体"/>
          <w:sz w:val="24"/>
          <w:szCs w:val="20"/>
          <w:lang w:val="zh-CN"/>
        </w:rPr>
      </w:pPr>
      <w:r>
        <w:rPr>
          <w:rFonts w:hint="eastAsia" w:ascii="宋体" w:hAnsi="宋体" w:cs="宋体"/>
          <w:sz w:val="24"/>
          <w:szCs w:val="20"/>
          <w:lang w:val="zh-CN"/>
        </w:rPr>
        <w:t>是否涉及环境标志产品：</w:t>
      </w:r>
    </w:p>
    <w:p w14:paraId="3AA53F6F">
      <w:pPr>
        <w:widowControl/>
        <w:spacing w:line="520" w:lineRule="exact"/>
        <w:ind w:firstLine="480"/>
        <w:rPr>
          <w:rFonts w:ascii="宋体" w:hAnsi="宋体" w:cs="宋体"/>
          <w:sz w:val="24"/>
          <w:szCs w:val="20"/>
          <w:u w:val="single"/>
        </w:rPr>
      </w:pPr>
      <w:r>
        <w:rPr>
          <w:rFonts w:ascii="Wingdings" w:hAnsi="Wingdings" w:eastAsia="Wingdings" w:cs="Wingdings"/>
          <w:sz w:val="24"/>
          <w:szCs w:val="20"/>
          <w:lang w:val="zh-CN"/>
        </w:rPr>
        <w:t></w:t>
      </w:r>
      <w:r>
        <w:rPr>
          <w:rFonts w:hint="eastAsia" w:ascii="宋体" w:hAnsi="宋体" w:cs="宋体"/>
          <w:sz w:val="24"/>
          <w:szCs w:val="20"/>
          <w:lang w:val="zh-CN"/>
        </w:rPr>
        <w:t>是，《环境标志产品政府采购品目清单》的底级品目名称：</w:t>
      </w:r>
      <w:r>
        <w:rPr>
          <w:rFonts w:hint="eastAsia" w:ascii="宋体" w:hAnsi="宋体" w:cs="宋体"/>
          <w:sz w:val="24"/>
          <w:szCs w:val="20"/>
          <w:u w:val="single"/>
        </w:rPr>
        <w:t xml:space="preserve">               </w:t>
      </w:r>
    </w:p>
    <w:p w14:paraId="09CBC1DB">
      <w:pPr>
        <w:widowControl/>
        <w:spacing w:line="520" w:lineRule="exact"/>
        <w:ind w:firstLine="480"/>
        <w:rPr>
          <w:rFonts w:ascii="宋体" w:hAnsi="宋体" w:cs="宋体"/>
          <w:sz w:val="24"/>
          <w:szCs w:val="20"/>
          <w:lang w:val="zh-CN"/>
        </w:rPr>
      </w:pPr>
      <w:r>
        <w:rPr>
          <w:rFonts w:ascii="Wingdings" w:hAnsi="Wingdings" w:eastAsia="Wingdings" w:cs="Wingdings"/>
          <w:sz w:val="24"/>
          <w:szCs w:val="20"/>
          <w:lang w:val="zh-CN"/>
        </w:rPr>
        <w:t></w:t>
      </w:r>
      <w:r>
        <w:rPr>
          <w:rFonts w:hint="eastAsia" w:ascii="宋体" w:hAnsi="宋体" w:cs="宋体"/>
          <w:sz w:val="24"/>
          <w:szCs w:val="20"/>
          <w:lang w:val="zh-CN"/>
        </w:rPr>
        <w:t>强制采购</w:t>
      </w:r>
      <w:r>
        <w:rPr>
          <w:rFonts w:ascii="Wingdings" w:hAnsi="Wingdings" w:eastAsia="Wingdings" w:cs="Wingdings"/>
          <w:sz w:val="24"/>
          <w:szCs w:val="20"/>
          <w:lang w:val="zh-CN"/>
        </w:rPr>
        <w:t></w:t>
      </w:r>
      <w:r>
        <w:rPr>
          <w:rFonts w:hint="eastAsia" w:ascii="宋体" w:hAnsi="宋体" w:cs="宋体"/>
          <w:sz w:val="24"/>
          <w:szCs w:val="20"/>
          <w:lang w:val="zh-CN"/>
        </w:rPr>
        <w:t>优先采购</w:t>
      </w:r>
    </w:p>
    <w:p w14:paraId="18CF9345">
      <w:pPr>
        <w:widowControl/>
        <w:spacing w:line="520" w:lineRule="exact"/>
        <w:ind w:firstLine="480"/>
        <w:rPr>
          <w:rFonts w:ascii="宋体" w:hAnsi="宋体" w:cs="宋体"/>
          <w:sz w:val="24"/>
          <w:szCs w:val="20"/>
          <w:lang w:val="zh-CN"/>
        </w:rPr>
      </w:pPr>
      <w:r>
        <w:rPr>
          <w:rFonts w:ascii="Wingdings" w:hAnsi="Wingdings" w:eastAsia="Wingdings" w:cs="Wingdings"/>
          <w:sz w:val="24"/>
          <w:szCs w:val="20"/>
          <w:lang w:val="zh-CN"/>
        </w:rPr>
        <w:t></w:t>
      </w:r>
      <w:r>
        <w:rPr>
          <w:rFonts w:hint="eastAsia" w:ascii="宋体" w:hAnsi="宋体" w:cs="宋体"/>
          <w:sz w:val="24"/>
          <w:szCs w:val="20"/>
          <w:lang w:val="zh-CN"/>
        </w:rPr>
        <w:t>否</w:t>
      </w:r>
    </w:p>
    <w:p w14:paraId="373FFBA0">
      <w:pPr>
        <w:widowControl/>
        <w:spacing w:line="520" w:lineRule="exact"/>
        <w:ind w:firstLine="480"/>
        <w:rPr>
          <w:rFonts w:ascii="宋体" w:hAnsi="宋体" w:cs="宋体"/>
          <w:sz w:val="24"/>
          <w:szCs w:val="20"/>
          <w:lang w:val="zh-CN"/>
        </w:rPr>
      </w:pPr>
      <w:r>
        <w:rPr>
          <w:rFonts w:hint="eastAsia" w:ascii="宋体" w:hAnsi="宋体" w:cs="宋体"/>
          <w:sz w:val="24"/>
          <w:szCs w:val="20"/>
          <w:lang w:val="zh-CN"/>
        </w:rPr>
        <w:t>是否涉及绿色产品：</w:t>
      </w:r>
    </w:p>
    <w:p w14:paraId="75CFF6C7">
      <w:pPr>
        <w:widowControl/>
        <w:spacing w:line="520" w:lineRule="exact"/>
        <w:ind w:firstLine="480"/>
        <w:rPr>
          <w:rFonts w:ascii="宋体" w:hAnsi="宋体" w:cs="宋体"/>
          <w:sz w:val="24"/>
          <w:szCs w:val="20"/>
          <w:u w:val="single"/>
        </w:rPr>
      </w:pPr>
      <w:r>
        <w:rPr>
          <w:rFonts w:ascii="Wingdings" w:hAnsi="Wingdings" w:eastAsia="Wingdings" w:cs="Wingdings"/>
          <w:sz w:val="24"/>
          <w:szCs w:val="20"/>
          <w:lang w:val="zh-CN"/>
        </w:rPr>
        <w:t></w:t>
      </w:r>
      <w:r>
        <w:rPr>
          <w:rFonts w:hint="eastAsia" w:ascii="宋体" w:hAnsi="宋体" w:cs="宋体"/>
          <w:sz w:val="24"/>
          <w:szCs w:val="20"/>
          <w:lang w:val="zh-CN"/>
        </w:rPr>
        <w:t>是，绿色产品政府采购相关政策确定的底级品目名称：</w:t>
      </w:r>
      <w:r>
        <w:rPr>
          <w:rFonts w:hint="eastAsia" w:ascii="宋体" w:hAnsi="宋体" w:cs="宋体"/>
          <w:sz w:val="24"/>
          <w:szCs w:val="20"/>
          <w:u w:val="single"/>
        </w:rPr>
        <w:t xml:space="preserve">          </w:t>
      </w:r>
    </w:p>
    <w:p w14:paraId="6F3D1AC3">
      <w:pPr>
        <w:widowControl/>
        <w:spacing w:line="520" w:lineRule="exact"/>
        <w:ind w:firstLine="480"/>
        <w:rPr>
          <w:rFonts w:ascii="宋体" w:hAnsi="宋体" w:cs="宋体"/>
          <w:sz w:val="24"/>
          <w:szCs w:val="20"/>
          <w:lang w:val="zh-CN"/>
        </w:rPr>
      </w:pPr>
      <w:r>
        <w:rPr>
          <w:rFonts w:ascii="Wingdings" w:hAnsi="Wingdings" w:eastAsia="Wingdings" w:cs="Wingdings"/>
          <w:sz w:val="24"/>
          <w:szCs w:val="20"/>
          <w:lang w:val="zh-CN"/>
        </w:rPr>
        <w:t></w:t>
      </w:r>
      <w:r>
        <w:rPr>
          <w:rFonts w:hint="eastAsia" w:ascii="宋体" w:hAnsi="宋体" w:cs="宋体"/>
          <w:sz w:val="24"/>
          <w:szCs w:val="20"/>
          <w:lang w:val="zh-CN"/>
        </w:rPr>
        <w:t>强制采购</w:t>
      </w:r>
      <w:r>
        <w:rPr>
          <w:rFonts w:ascii="Wingdings" w:hAnsi="Wingdings" w:eastAsia="Wingdings" w:cs="Wingdings"/>
          <w:sz w:val="24"/>
          <w:szCs w:val="20"/>
          <w:lang w:val="zh-CN"/>
        </w:rPr>
        <w:t></w:t>
      </w:r>
      <w:r>
        <w:rPr>
          <w:rFonts w:hint="eastAsia" w:ascii="宋体" w:hAnsi="宋体" w:cs="宋体"/>
          <w:sz w:val="24"/>
          <w:szCs w:val="20"/>
          <w:lang w:val="zh-CN"/>
        </w:rPr>
        <w:t>优先采购</w:t>
      </w:r>
    </w:p>
    <w:p w14:paraId="3B45646F">
      <w:pPr>
        <w:widowControl/>
        <w:spacing w:line="520" w:lineRule="exact"/>
        <w:ind w:firstLine="480"/>
        <w:rPr>
          <w:rFonts w:ascii="宋体" w:hAnsi="宋体" w:cs="宋体"/>
          <w:sz w:val="24"/>
          <w:szCs w:val="20"/>
          <w:lang w:val="zh-CN"/>
        </w:rPr>
      </w:pPr>
      <w:r>
        <w:rPr>
          <w:rFonts w:ascii="Wingdings" w:hAnsi="Wingdings" w:eastAsia="Wingdings" w:cs="Wingdings"/>
          <w:sz w:val="24"/>
          <w:szCs w:val="20"/>
          <w:lang w:val="zh-CN"/>
        </w:rPr>
        <w:t></w:t>
      </w:r>
      <w:r>
        <w:rPr>
          <w:rFonts w:hint="eastAsia" w:ascii="宋体" w:hAnsi="宋体" w:cs="宋体"/>
          <w:sz w:val="24"/>
          <w:szCs w:val="20"/>
          <w:lang w:val="zh-CN"/>
        </w:rPr>
        <w:t>否</w:t>
      </w:r>
    </w:p>
    <w:p w14:paraId="20F3E5CB">
      <w:pPr>
        <w:widowControl/>
        <w:numPr>
          <w:ilvl w:val="0"/>
          <w:numId w:val="2"/>
        </w:numPr>
        <w:spacing w:line="520" w:lineRule="exact"/>
        <w:ind w:firstLine="480"/>
        <w:rPr>
          <w:rFonts w:ascii="宋体" w:hAnsi="宋体" w:cs="宋体"/>
          <w:sz w:val="24"/>
          <w:szCs w:val="20"/>
          <w:lang w:val="zh-CN"/>
        </w:rPr>
      </w:pPr>
      <w:r>
        <w:rPr>
          <w:rFonts w:hint="eastAsia" w:ascii="宋体" w:hAnsi="宋体" w:cs="宋体"/>
          <w:sz w:val="24"/>
          <w:szCs w:val="20"/>
          <w:lang w:val="zh-CN"/>
        </w:rPr>
        <w:t>涉及商品包装和快递包装的，是否参考《商品包装政府采购需求标准（试行）》、《快递包装政府采购需求标准（试行）》明确产品及相关快递服务的具体包装要求：</w:t>
      </w:r>
    </w:p>
    <w:p w14:paraId="2371C26D">
      <w:pPr>
        <w:widowControl/>
        <w:spacing w:line="520" w:lineRule="exact"/>
        <w:ind w:firstLine="480"/>
        <w:rPr>
          <w:rFonts w:ascii="宋体" w:hAnsi="宋体" w:cs="宋体"/>
          <w:sz w:val="24"/>
          <w:szCs w:val="20"/>
          <w:lang w:val="zh-CN"/>
        </w:rPr>
      </w:pPr>
      <w:r>
        <w:rPr>
          <w:rFonts w:ascii="Wingdings" w:hAnsi="Wingdings" w:eastAsia="Wingdings" w:cs="Wingdings"/>
          <w:sz w:val="24"/>
          <w:szCs w:val="20"/>
          <w:lang w:val="zh-CN"/>
        </w:rPr>
        <w:t></w:t>
      </w:r>
      <w:r>
        <w:rPr>
          <w:rFonts w:hint="eastAsia" w:ascii="宋体" w:hAnsi="宋体" w:cs="宋体"/>
          <w:sz w:val="24"/>
          <w:szCs w:val="20"/>
          <w:lang w:val="zh-CN"/>
        </w:rPr>
        <w:t>是      </w:t>
      </w:r>
      <w:r>
        <w:rPr>
          <w:rFonts w:ascii="Wingdings" w:hAnsi="Wingdings" w:eastAsia="Wingdings" w:cs="Wingdings"/>
          <w:sz w:val="24"/>
          <w:szCs w:val="20"/>
          <w:lang w:val="zh-CN"/>
        </w:rPr>
        <w:t></w:t>
      </w:r>
      <w:r>
        <w:rPr>
          <w:rFonts w:hint="eastAsia" w:ascii="宋体" w:hAnsi="宋体" w:cs="宋体"/>
          <w:sz w:val="24"/>
          <w:szCs w:val="20"/>
          <w:lang w:val="zh-CN"/>
        </w:rPr>
        <w:t>否</w:t>
      </w:r>
      <w:r>
        <w:rPr>
          <w:rFonts w:hint="eastAsia" w:ascii="宋体" w:hAnsi="宋体" w:cs="宋体"/>
          <w:sz w:val="24"/>
          <w:szCs w:val="20"/>
        </w:rPr>
        <w:t xml:space="preserve">     </w:t>
      </w:r>
      <w:r>
        <w:rPr>
          <w:rFonts w:ascii="Wingdings" w:hAnsi="Wingdings" w:eastAsia="Wingdings" w:cs="Wingdings"/>
          <w:sz w:val="24"/>
          <w:szCs w:val="20"/>
          <w:lang w:val="zh-CN"/>
        </w:rPr>
        <w:t></w:t>
      </w:r>
      <w:r>
        <w:rPr>
          <w:rFonts w:hint="eastAsia" w:ascii="宋体" w:hAnsi="宋体" w:cs="宋体"/>
          <w:sz w:val="24"/>
          <w:szCs w:val="20"/>
          <w:lang w:val="zh-CN"/>
        </w:rPr>
        <w:t>不涉及</w:t>
      </w:r>
    </w:p>
    <w:p w14:paraId="587E11B0">
      <w:pPr>
        <w:widowControl/>
        <w:spacing w:line="520" w:lineRule="exact"/>
        <w:ind w:firstLine="480"/>
        <w:rPr>
          <w:rFonts w:ascii="宋体" w:hAnsi="宋体" w:cs="宋体"/>
          <w:b/>
          <w:bCs/>
          <w:sz w:val="24"/>
          <w:szCs w:val="20"/>
          <w:lang w:val="zh-CN"/>
        </w:rPr>
      </w:pPr>
      <w:r>
        <w:rPr>
          <w:rFonts w:hint="eastAsia" w:ascii="宋体" w:hAnsi="宋体" w:cs="宋体"/>
          <w:b/>
          <w:bCs/>
          <w:sz w:val="24"/>
          <w:szCs w:val="20"/>
        </w:rPr>
        <w:t>2.</w:t>
      </w:r>
      <w:r>
        <w:rPr>
          <w:rFonts w:hint="eastAsia" w:ascii="宋体" w:hAnsi="宋体" w:cs="宋体"/>
          <w:b/>
          <w:bCs/>
          <w:sz w:val="24"/>
          <w:szCs w:val="20"/>
          <w:lang w:val="zh-CN"/>
        </w:rPr>
        <w:t>合同金额</w:t>
      </w:r>
    </w:p>
    <w:p w14:paraId="38BFB821">
      <w:pPr>
        <w:widowControl/>
        <w:spacing w:line="520" w:lineRule="exact"/>
        <w:ind w:firstLine="480"/>
        <w:rPr>
          <w:rFonts w:ascii="宋体" w:hAnsi="宋体" w:cs="宋体"/>
          <w:sz w:val="24"/>
          <w:szCs w:val="20"/>
        </w:rPr>
      </w:pPr>
      <w:r>
        <w:rPr>
          <w:rFonts w:hint="eastAsia" w:ascii="宋体" w:hAnsi="宋体" w:cs="宋体"/>
          <w:sz w:val="24"/>
          <w:szCs w:val="20"/>
          <w:lang w:val="zh-CN"/>
        </w:rPr>
        <w:t>（1）合同金额小写：</w:t>
      </w:r>
      <w:r>
        <w:rPr>
          <w:rFonts w:hint="eastAsia" w:ascii="宋体" w:hAnsi="宋体" w:cs="宋体"/>
          <w:sz w:val="24"/>
          <w:szCs w:val="20"/>
          <w:u w:val="single"/>
        </w:rPr>
        <w:t xml:space="preserve">                 </w:t>
      </w:r>
    </w:p>
    <w:p w14:paraId="00EB2227">
      <w:pPr>
        <w:widowControl/>
        <w:spacing w:line="520" w:lineRule="exact"/>
        <w:ind w:firstLine="1982"/>
        <w:rPr>
          <w:rFonts w:ascii="宋体" w:hAnsi="宋体" w:cs="宋体"/>
          <w:sz w:val="24"/>
          <w:szCs w:val="20"/>
        </w:rPr>
      </w:pPr>
      <w:r>
        <w:rPr>
          <w:rFonts w:hint="eastAsia" w:ascii="宋体" w:hAnsi="宋体" w:cs="宋体"/>
          <w:sz w:val="24"/>
          <w:szCs w:val="20"/>
          <w:lang w:val="zh-CN"/>
        </w:rPr>
        <w:t>大写：</w:t>
      </w:r>
      <w:r>
        <w:rPr>
          <w:rFonts w:hint="eastAsia" w:ascii="宋体" w:hAnsi="宋体" w:cs="宋体"/>
          <w:sz w:val="24"/>
          <w:szCs w:val="20"/>
          <w:u w:val="single"/>
        </w:rPr>
        <w:t xml:space="preserve">                 </w:t>
      </w:r>
    </w:p>
    <w:p w14:paraId="46D80557">
      <w:pPr>
        <w:widowControl/>
        <w:spacing w:line="520" w:lineRule="exact"/>
        <w:ind w:firstLine="480"/>
        <w:rPr>
          <w:rFonts w:ascii="宋体" w:hAnsi="宋体" w:cs="宋体"/>
          <w:sz w:val="24"/>
          <w:szCs w:val="20"/>
        </w:rPr>
      </w:pPr>
      <w:r>
        <w:rPr>
          <w:rFonts w:hint="eastAsia" w:ascii="宋体" w:hAnsi="宋体" w:cs="宋体"/>
          <w:sz w:val="24"/>
          <w:szCs w:val="20"/>
          <w:lang w:val="zh-CN"/>
        </w:rPr>
        <w:t>分包金额（如有）小写：</w:t>
      </w:r>
      <w:r>
        <w:rPr>
          <w:rFonts w:hint="eastAsia" w:ascii="宋体" w:hAnsi="宋体" w:cs="宋体"/>
          <w:sz w:val="24"/>
          <w:szCs w:val="20"/>
          <w:u w:val="single"/>
        </w:rPr>
        <w:t xml:space="preserve">                 </w:t>
      </w:r>
    </w:p>
    <w:p w14:paraId="08F29E7C">
      <w:pPr>
        <w:widowControl/>
        <w:spacing w:line="520" w:lineRule="exact"/>
        <w:ind w:firstLine="2400"/>
        <w:rPr>
          <w:rFonts w:ascii="宋体" w:hAnsi="宋体" w:cs="宋体"/>
          <w:sz w:val="24"/>
          <w:szCs w:val="20"/>
        </w:rPr>
      </w:pPr>
      <w:r>
        <w:rPr>
          <w:rFonts w:hint="eastAsia" w:ascii="宋体" w:hAnsi="宋体" w:cs="宋体"/>
          <w:sz w:val="24"/>
          <w:szCs w:val="20"/>
          <w:lang w:val="zh-CN"/>
        </w:rPr>
        <w:t>大写：</w:t>
      </w:r>
      <w:r>
        <w:rPr>
          <w:rFonts w:hint="eastAsia" w:ascii="宋体" w:hAnsi="宋体" w:cs="宋体"/>
          <w:sz w:val="24"/>
          <w:szCs w:val="20"/>
          <w:u w:val="single"/>
        </w:rPr>
        <w:t xml:space="preserve">                 </w:t>
      </w:r>
    </w:p>
    <w:p w14:paraId="3FF6A48F">
      <w:pPr>
        <w:widowControl/>
        <w:spacing w:line="520" w:lineRule="exact"/>
        <w:ind w:firstLine="480"/>
        <w:rPr>
          <w:rFonts w:ascii="宋体" w:hAnsi="宋体" w:cs="宋体"/>
          <w:sz w:val="24"/>
          <w:szCs w:val="20"/>
          <w:lang w:val="zh-CN"/>
        </w:rPr>
      </w:pPr>
      <w:r>
        <w:rPr>
          <w:rFonts w:hint="eastAsia" w:ascii="宋体" w:hAnsi="宋体" w:cs="宋体"/>
          <w:sz w:val="24"/>
          <w:szCs w:val="20"/>
          <w:lang w:val="zh-CN"/>
        </w:rPr>
        <w:t>（2）付款方式</w:t>
      </w:r>
      <w:r>
        <w:rPr>
          <w:rFonts w:hint="eastAsia" w:ascii="宋体" w:hAnsi="宋体" w:cs="宋体"/>
          <w:sz w:val="24"/>
          <w:szCs w:val="20"/>
          <w:u w:val="single"/>
          <w:lang w:val="zh-CN"/>
        </w:rPr>
        <w:t>（按项目实际勾选填写，具体详见专用条款第二节第12.2款）</w:t>
      </w:r>
      <w:r>
        <w:rPr>
          <w:rFonts w:hint="eastAsia" w:ascii="宋体" w:hAnsi="宋体" w:cs="宋体"/>
          <w:sz w:val="24"/>
          <w:szCs w:val="20"/>
          <w:lang w:val="zh-CN"/>
        </w:rPr>
        <w:t>：</w:t>
      </w:r>
    </w:p>
    <w:p w14:paraId="0955C87F">
      <w:pPr>
        <w:widowControl/>
        <w:spacing w:line="520" w:lineRule="exact"/>
        <w:ind w:firstLine="480"/>
        <w:rPr>
          <w:rFonts w:ascii="宋体" w:hAnsi="宋体" w:cs="宋体"/>
          <w:sz w:val="24"/>
          <w:szCs w:val="20"/>
          <w:lang w:val="zh-CN"/>
        </w:rPr>
      </w:pPr>
      <w:r>
        <w:rPr>
          <w:rFonts w:ascii="Wingdings" w:hAnsi="Wingdings" w:eastAsia="Wingdings" w:cs="Wingdings"/>
          <w:sz w:val="24"/>
          <w:szCs w:val="20"/>
          <w:lang w:val="zh-CN"/>
        </w:rPr>
        <w:t></w:t>
      </w:r>
      <w:r>
        <w:rPr>
          <w:rFonts w:hint="eastAsia" w:ascii="宋体" w:hAnsi="宋体" w:cs="宋体"/>
          <w:sz w:val="24"/>
          <w:szCs w:val="20"/>
          <w:lang w:val="zh-CN"/>
        </w:rPr>
        <w:t>全额付款：</w:t>
      </w:r>
      <w:r>
        <w:rPr>
          <w:rFonts w:hint="eastAsia" w:ascii="宋体" w:hAnsi="宋体" w:cs="宋体"/>
          <w:sz w:val="24"/>
          <w:szCs w:val="20"/>
          <w:u w:val="single"/>
          <w:lang w:val="zh-CN"/>
        </w:rPr>
        <w:t xml:space="preserve">  （应明确一次性支付合同款项的条件）</w:t>
      </w:r>
    </w:p>
    <w:p w14:paraId="5C3231E4">
      <w:pPr>
        <w:widowControl/>
        <w:spacing w:line="520" w:lineRule="exact"/>
        <w:ind w:firstLine="480"/>
        <w:rPr>
          <w:rFonts w:ascii="宋体" w:hAnsi="宋体" w:cs="宋体"/>
          <w:sz w:val="24"/>
          <w:szCs w:val="20"/>
          <w:lang w:val="zh-CN"/>
        </w:rPr>
      </w:pPr>
      <w:r>
        <w:rPr>
          <w:rFonts w:ascii="Wingdings" w:hAnsi="Wingdings" w:eastAsia="Wingdings" w:cs="Wingdings"/>
          <w:sz w:val="24"/>
          <w:szCs w:val="20"/>
          <w:lang w:val="zh-CN"/>
        </w:rPr>
        <w:t></w:t>
      </w:r>
      <w:r>
        <w:rPr>
          <w:rFonts w:hint="eastAsia" w:ascii="宋体" w:hAnsi="宋体" w:cs="宋体"/>
          <w:sz w:val="24"/>
          <w:szCs w:val="20"/>
          <w:lang w:val="zh-CN"/>
        </w:rPr>
        <w:t xml:space="preserve">分期付款： </w:t>
      </w:r>
      <w:r>
        <w:rPr>
          <w:rFonts w:hint="eastAsia" w:ascii="宋体" w:hAnsi="宋体" w:cs="宋体"/>
          <w:sz w:val="24"/>
          <w:szCs w:val="20"/>
          <w:u w:val="single"/>
          <w:lang w:val="zh-CN"/>
        </w:rPr>
        <w:t xml:space="preserve"> （</w:t>
      </w:r>
      <w:r>
        <w:rPr>
          <w:rFonts w:hint="eastAsia" w:ascii="宋体" w:hAnsi="宋体" w:cs="宋体"/>
          <w:sz w:val="24"/>
          <w:u w:val="single"/>
        </w:rPr>
        <w:t>具体详见专用条款第二节第12.2款</w:t>
      </w:r>
      <w:r>
        <w:rPr>
          <w:rFonts w:hint="eastAsia" w:ascii="宋体" w:hAnsi="宋体" w:cs="宋体"/>
          <w:sz w:val="24"/>
          <w:szCs w:val="20"/>
          <w:u w:val="single"/>
          <w:lang w:val="zh-CN"/>
        </w:rPr>
        <w:t xml:space="preserve">） </w:t>
      </w:r>
      <w:r>
        <w:rPr>
          <w:rFonts w:hint="eastAsia" w:ascii="宋体" w:hAnsi="宋体" w:cs="宋体"/>
          <w:sz w:val="24"/>
          <w:szCs w:val="20"/>
          <w:lang w:val="zh-CN"/>
        </w:rPr>
        <w:t>，其中涉及预付款的：</w:t>
      </w:r>
      <w:r>
        <w:rPr>
          <w:rFonts w:hint="eastAsia" w:ascii="宋体" w:hAnsi="宋体" w:cs="宋体"/>
          <w:sz w:val="24"/>
          <w:szCs w:val="20"/>
          <w:u w:val="single"/>
          <w:lang w:val="zh-CN"/>
        </w:rPr>
        <w:t xml:space="preserve"> （</w:t>
      </w:r>
      <w:r>
        <w:rPr>
          <w:rFonts w:hint="eastAsia" w:ascii="宋体" w:hAnsi="宋体" w:cs="宋体"/>
          <w:sz w:val="24"/>
          <w:u w:val="single"/>
        </w:rPr>
        <w:t>具体详见专用条款第二节第12.2款</w:t>
      </w:r>
      <w:r>
        <w:rPr>
          <w:rFonts w:hint="eastAsia" w:ascii="宋体" w:hAnsi="宋体" w:cs="宋体"/>
          <w:sz w:val="24"/>
          <w:szCs w:val="20"/>
          <w:u w:val="single"/>
          <w:lang w:val="zh-CN"/>
        </w:rPr>
        <w:t xml:space="preserve">） </w:t>
      </w:r>
    </w:p>
    <w:p w14:paraId="3CB455E8">
      <w:pPr>
        <w:widowControl/>
        <w:spacing w:line="520" w:lineRule="exact"/>
        <w:ind w:firstLine="480"/>
        <w:rPr>
          <w:rFonts w:ascii="宋体" w:hAnsi="宋体" w:cs="宋体"/>
          <w:sz w:val="24"/>
          <w:szCs w:val="20"/>
        </w:rPr>
      </w:pPr>
      <w:r>
        <w:rPr>
          <w:rFonts w:ascii="Wingdings" w:hAnsi="Wingdings" w:eastAsia="Wingdings" w:cs="Wingdings"/>
          <w:sz w:val="24"/>
          <w:szCs w:val="20"/>
          <w:lang w:val="zh-CN"/>
        </w:rPr>
        <w:t></w:t>
      </w:r>
      <w:r>
        <w:rPr>
          <w:rFonts w:hint="eastAsia" w:ascii="宋体" w:hAnsi="宋体" w:cs="宋体"/>
          <w:sz w:val="24"/>
          <w:szCs w:val="20"/>
          <w:lang w:val="zh-CN"/>
        </w:rPr>
        <w:t>成本补偿：</w:t>
      </w:r>
      <w:r>
        <w:rPr>
          <w:rFonts w:hint="eastAsia" w:ascii="宋体" w:hAnsi="宋体" w:cs="宋体"/>
          <w:sz w:val="24"/>
          <w:szCs w:val="20"/>
          <w:u w:val="single"/>
          <w:lang w:val="zh-CN"/>
        </w:rPr>
        <w:t xml:space="preserve">  （应明确按照成本补偿方式的支付方式和支付条件） </w:t>
      </w:r>
      <w:r>
        <w:rPr>
          <w:rFonts w:hint="eastAsia" w:ascii="宋体" w:hAnsi="宋体" w:cs="宋体"/>
          <w:sz w:val="24"/>
          <w:szCs w:val="20"/>
          <w:u w:val="single"/>
        </w:rPr>
        <w:t xml:space="preserve"> </w:t>
      </w:r>
    </w:p>
    <w:p w14:paraId="7FDA9C64">
      <w:pPr>
        <w:widowControl/>
        <w:spacing w:line="520" w:lineRule="exact"/>
        <w:ind w:firstLine="480"/>
        <w:rPr>
          <w:rFonts w:ascii="宋体" w:hAnsi="宋体" w:cs="宋体"/>
          <w:sz w:val="24"/>
          <w:szCs w:val="20"/>
          <w:lang w:val="zh-CN"/>
        </w:rPr>
      </w:pPr>
      <w:r>
        <w:rPr>
          <w:rFonts w:ascii="Wingdings" w:hAnsi="Wingdings" w:eastAsia="Wingdings" w:cs="Wingdings"/>
          <w:sz w:val="24"/>
          <w:szCs w:val="20"/>
          <w:lang w:val="zh-CN"/>
        </w:rPr>
        <w:t></w:t>
      </w:r>
      <w:r>
        <w:rPr>
          <w:rFonts w:hint="eastAsia" w:ascii="宋体" w:hAnsi="宋体" w:cs="宋体"/>
          <w:sz w:val="24"/>
          <w:szCs w:val="20"/>
          <w:lang w:val="zh-CN"/>
        </w:rPr>
        <w:t>绩效激励：</w:t>
      </w:r>
      <w:r>
        <w:rPr>
          <w:rFonts w:hint="eastAsia" w:ascii="宋体" w:hAnsi="宋体" w:cs="宋体"/>
          <w:sz w:val="24"/>
          <w:szCs w:val="20"/>
          <w:u w:val="single"/>
          <w:lang w:val="zh-CN"/>
        </w:rPr>
        <w:t xml:space="preserve"> </w:t>
      </w:r>
      <w:r>
        <w:rPr>
          <w:rFonts w:hint="eastAsia" w:ascii="宋体" w:hAnsi="宋体" w:cs="宋体"/>
          <w:sz w:val="24"/>
          <w:szCs w:val="20"/>
          <w:u w:val="single"/>
        </w:rPr>
        <w:t xml:space="preserve"> </w:t>
      </w:r>
      <w:r>
        <w:rPr>
          <w:rFonts w:hint="eastAsia" w:ascii="宋体" w:hAnsi="宋体" w:cs="宋体"/>
          <w:sz w:val="24"/>
          <w:szCs w:val="20"/>
          <w:u w:val="single"/>
          <w:lang w:val="zh-CN"/>
        </w:rPr>
        <w:t>（应明确按照绩效激励方式的支付方式和支付条件）</w:t>
      </w:r>
      <w:r>
        <w:rPr>
          <w:rFonts w:hint="eastAsia" w:ascii="宋体" w:hAnsi="宋体" w:cs="宋体"/>
          <w:sz w:val="24"/>
          <w:szCs w:val="20"/>
          <w:u w:val="single"/>
        </w:rPr>
        <w:t xml:space="preserve"> </w:t>
      </w:r>
      <w:r>
        <w:rPr>
          <w:rFonts w:hint="eastAsia" w:ascii="宋体" w:hAnsi="宋体" w:cs="宋体"/>
          <w:sz w:val="24"/>
          <w:szCs w:val="20"/>
          <w:u w:val="single"/>
          <w:lang w:val="zh-CN"/>
        </w:rPr>
        <w:t xml:space="preserve"> </w:t>
      </w:r>
    </w:p>
    <w:p w14:paraId="348881EE">
      <w:pPr>
        <w:widowControl/>
        <w:spacing w:line="520" w:lineRule="exact"/>
        <w:ind w:firstLine="482"/>
        <w:rPr>
          <w:rFonts w:ascii="宋体" w:hAnsi="宋体" w:cs="宋体"/>
          <w:b/>
          <w:bCs/>
          <w:sz w:val="24"/>
          <w:lang w:val="zh-CN"/>
        </w:rPr>
      </w:pPr>
      <w:r>
        <w:rPr>
          <w:rFonts w:hint="eastAsia" w:ascii="宋体" w:hAnsi="宋体" w:cs="宋体"/>
          <w:b/>
          <w:bCs/>
          <w:sz w:val="24"/>
          <w:szCs w:val="20"/>
        </w:rPr>
        <w:t>3.</w:t>
      </w:r>
      <w:r>
        <w:rPr>
          <w:rFonts w:hint="eastAsia" w:ascii="宋体" w:hAnsi="宋体" w:cs="宋体"/>
          <w:b/>
          <w:bCs/>
          <w:sz w:val="24"/>
          <w:szCs w:val="20"/>
          <w:lang w:val="zh-CN"/>
        </w:rPr>
        <w:t>合同履行</w:t>
      </w:r>
    </w:p>
    <w:p w14:paraId="4262B892">
      <w:pPr>
        <w:widowControl/>
        <w:spacing w:line="520" w:lineRule="exact"/>
        <w:ind w:firstLine="480"/>
        <w:rPr>
          <w:rFonts w:ascii="宋体" w:hAnsi="宋体" w:cs="宋体"/>
          <w:sz w:val="24"/>
        </w:rPr>
      </w:pPr>
      <w:r>
        <w:rPr>
          <w:rFonts w:hint="eastAsia" w:ascii="宋体" w:hAnsi="宋体" w:cs="宋体"/>
          <w:sz w:val="24"/>
          <w:szCs w:val="20"/>
          <w:lang w:val="zh-CN"/>
        </w:rPr>
        <w:t>（1）起始日期：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日，完成日期：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3FB21890">
      <w:pPr>
        <w:widowControl/>
        <w:spacing w:line="560" w:lineRule="exact"/>
        <w:ind w:firstLine="482"/>
        <w:jc w:val="left"/>
        <w:rPr>
          <w:rFonts w:ascii="宋体" w:hAnsi="宋体" w:eastAsia="宋体" w:cs="宋体"/>
          <w:sz w:val="24"/>
          <w:szCs w:val="20"/>
        </w:rPr>
      </w:pPr>
      <w:r>
        <w:rPr>
          <w:rFonts w:hint="eastAsia" w:ascii="宋体" w:hAnsi="宋体" w:eastAsia="Arial" w:cs="宋体"/>
          <w:sz w:val="24"/>
          <w:szCs w:val="20"/>
          <w:lang w:val="zh-CN"/>
        </w:rPr>
        <w:t>（2）履约地点：</w:t>
      </w:r>
      <w:r>
        <w:rPr>
          <w:rFonts w:hint="eastAsia" w:ascii="宋体" w:hAnsi="宋体" w:cs="宋体"/>
          <w:bCs/>
          <w:sz w:val="24"/>
          <w:u w:val="single"/>
        </w:rPr>
        <w:t>同专用条款 第二节 第23.1款</w:t>
      </w:r>
    </w:p>
    <w:p w14:paraId="78B44CDC">
      <w:pPr>
        <w:widowControl/>
        <w:spacing w:line="520" w:lineRule="exact"/>
        <w:ind w:firstLine="480"/>
        <w:rPr>
          <w:rFonts w:ascii="宋体" w:hAnsi="宋体" w:cs="宋体"/>
          <w:sz w:val="24"/>
        </w:rPr>
      </w:pPr>
      <w:r>
        <w:rPr>
          <w:rFonts w:hint="eastAsia" w:ascii="宋体" w:hAnsi="宋体" w:cs="宋体"/>
          <w:bCs/>
          <w:sz w:val="24"/>
        </w:rPr>
        <w:t>（3）</w:t>
      </w:r>
      <w:r>
        <w:rPr>
          <w:rFonts w:hint="eastAsia" w:ascii="宋体" w:hAnsi="宋体" w:cs="宋体"/>
          <w:sz w:val="24"/>
        </w:rPr>
        <w:t>履约担保：履约担保：是否收取履约保证金：</w:t>
      </w:r>
      <w:r>
        <w:rPr>
          <w:rFonts w:ascii="Wingdings" w:hAnsi="Wingdings" w:eastAsia="Wingdings" w:cs="Wingdings"/>
          <w:sz w:val="24"/>
        </w:rPr>
        <w:t></w:t>
      </w:r>
      <w:r>
        <w:rPr>
          <w:rFonts w:hint="eastAsia" w:ascii="宋体" w:hAnsi="宋体" w:cs="宋体"/>
          <w:sz w:val="24"/>
        </w:rPr>
        <w:t xml:space="preserve">是    </w:t>
      </w:r>
      <w:r>
        <w:rPr>
          <w:rFonts w:ascii="Wingdings" w:hAnsi="Wingdings" w:eastAsia="Wingdings" w:cs="Wingdings"/>
          <w:sz w:val="24"/>
        </w:rPr>
        <w:t></w:t>
      </w:r>
      <w:r>
        <w:rPr>
          <w:rFonts w:hint="eastAsia" w:ascii="宋体" w:hAnsi="宋体" w:cs="宋体"/>
          <w:sz w:val="24"/>
        </w:rPr>
        <w:t>否</w:t>
      </w:r>
    </w:p>
    <w:p w14:paraId="37E09DD1">
      <w:pPr>
        <w:widowControl/>
        <w:spacing w:line="560" w:lineRule="exact"/>
        <w:ind w:firstLine="482"/>
        <w:jc w:val="left"/>
        <w:rPr>
          <w:rFonts w:ascii="宋体" w:hAnsi="宋体" w:eastAsia="Arial" w:cs="宋体"/>
          <w:sz w:val="24"/>
          <w:szCs w:val="20"/>
        </w:rPr>
      </w:pPr>
      <w:r>
        <w:rPr>
          <w:rFonts w:hint="eastAsia" w:ascii="宋体" w:hAnsi="宋体" w:cs="宋体"/>
          <w:sz w:val="24"/>
        </w:rPr>
        <w:t xml:space="preserve">    </w:t>
      </w:r>
      <w:r>
        <w:rPr>
          <w:rFonts w:hint="eastAsia" w:ascii="宋体" w:hAnsi="宋体" w:cs="宋体"/>
          <w:sz w:val="24"/>
          <w:szCs w:val="20"/>
        </w:rPr>
        <w:t xml:space="preserve"> </w:t>
      </w:r>
      <w:r>
        <w:rPr>
          <w:rFonts w:hint="eastAsia" w:ascii="宋体" w:hAnsi="宋体" w:eastAsia="Arial" w:cs="宋体"/>
          <w:sz w:val="24"/>
          <w:szCs w:val="20"/>
        </w:rPr>
        <w:t>收取履约保证金形式：</w:t>
      </w:r>
      <w:r>
        <w:rPr>
          <w:rFonts w:hint="eastAsia" w:ascii="宋体" w:hAnsi="宋体" w:cs="宋体"/>
          <w:bCs/>
          <w:sz w:val="24"/>
          <w:u w:val="singl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cs="宋体"/>
          <w:bCs/>
          <w:sz w:val="24"/>
        </w:rPr>
        <w:t>。</w:t>
      </w:r>
    </w:p>
    <w:p w14:paraId="406245F0">
      <w:pPr>
        <w:widowControl/>
        <w:spacing w:line="560" w:lineRule="exact"/>
        <w:ind w:firstLine="480" w:firstLineChars="200"/>
        <w:jc w:val="left"/>
        <w:rPr>
          <w:rFonts w:ascii="宋体" w:hAnsi="宋体" w:eastAsia="Arial" w:cs="宋体"/>
          <w:sz w:val="24"/>
          <w:szCs w:val="20"/>
        </w:rPr>
      </w:pPr>
      <w:r>
        <w:rPr>
          <w:rFonts w:hint="eastAsia" w:ascii="宋体" w:hAnsi="宋体" w:eastAsia="Arial" w:cs="宋体"/>
          <w:sz w:val="24"/>
          <w:szCs w:val="20"/>
        </w:rPr>
        <w:t>收取履约保证金金额：</w:t>
      </w:r>
      <w:r>
        <w:rPr>
          <w:rFonts w:hint="eastAsia" w:ascii="宋体" w:hAnsi="宋体" w:eastAsia="Arial" w:cs="宋体"/>
          <w:sz w:val="24"/>
          <w:szCs w:val="20"/>
          <w:u w:val="single"/>
        </w:rPr>
        <w:t>合同金额的10%，采购人对AA评级及以上政府采购供应商（需提供信用管理部门备案的第三方信用报告）降低履约保证金缴纳比例至5%。</w:t>
      </w:r>
      <w:r>
        <w:rPr>
          <w:rFonts w:hint="eastAsia" w:ascii="宋体" w:hAnsi="宋体" w:eastAsia="Arial" w:cs="宋体"/>
          <w:sz w:val="24"/>
          <w:szCs w:val="20"/>
        </w:rPr>
        <w:t xml:space="preserve"> </w:t>
      </w:r>
    </w:p>
    <w:p w14:paraId="15EF6E58">
      <w:pPr>
        <w:widowControl/>
        <w:spacing w:line="560" w:lineRule="exact"/>
        <w:ind w:firstLine="482"/>
        <w:jc w:val="left"/>
        <w:rPr>
          <w:rFonts w:ascii="宋体" w:hAnsi="宋体" w:eastAsia="Arial" w:cs="宋体"/>
          <w:sz w:val="24"/>
          <w:szCs w:val="20"/>
          <w:lang w:val="zh-CN"/>
        </w:rPr>
      </w:pPr>
      <w:r>
        <w:rPr>
          <w:rFonts w:hint="eastAsia" w:ascii="宋体" w:hAnsi="宋体" w:eastAsia="Arial" w:cs="宋体"/>
          <w:sz w:val="24"/>
          <w:szCs w:val="20"/>
          <w:lang w:val="zh-CN"/>
        </w:rPr>
        <w:t>履约担保期限：</w:t>
      </w:r>
      <w:r>
        <w:rPr>
          <w:rFonts w:hint="eastAsia" w:ascii="宋体" w:hAnsi="宋体" w:eastAsia="Arial" w:cs="宋体"/>
          <w:sz w:val="24"/>
          <w:szCs w:val="20"/>
          <w:u w:val="single"/>
          <w:lang w:val="zh-CN"/>
        </w:rPr>
        <w:t>合同履行结束后，甲方应及时退还交纳的履约保证金</w:t>
      </w:r>
      <w:r>
        <w:rPr>
          <w:rFonts w:hint="eastAsia" w:ascii="宋体" w:hAnsi="宋体" w:eastAsia="Arial" w:cs="宋体"/>
          <w:sz w:val="24"/>
          <w:szCs w:val="20"/>
          <w:lang w:val="zh-CN"/>
        </w:rPr>
        <w:t>。</w:t>
      </w:r>
    </w:p>
    <w:p w14:paraId="54412F93">
      <w:pPr>
        <w:widowControl/>
        <w:spacing w:line="560" w:lineRule="exact"/>
        <w:ind w:firstLine="482"/>
        <w:jc w:val="left"/>
        <w:rPr>
          <w:rFonts w:ascii="宋体" w:hAnsi="宋体" w:eastAsia="Arial" w:cs="宋体"/>
          <w:sz w:val="24"/>
          <w:szCs w:val="20"/>
          <w:lang w:val="zh-CN"/>
        </w:rPr>
      </w:pPr>
      <w:r>
        <w:rPr>
          <w:rFonts w:hint="eastAsia" w:ascii="宋体" w:hAnsi="宋体" w:eastAsia="Arial" w:cs="宋体"/>
          <w:sz w:val="24"/>
          <w:szCs w:val="20"/>
          <w:lang w:val="zh-CN"/>
        </w:rPr>
        <w:t>履约保证金的退还：</w:t>
      </w:r>
    </w:p>
    <w:p w14:paraId="63C9B7FD">
      <w:pPr>
        <w:widowControl/>
        <w:spacing w:line="560" w:lineRule="exact"/>
        <w:ind w:firstLine="482"/>
        <w:jc w:val="left"/>
        <w:rPr>
          <w:rFonts w:ascii="宋体" w:hAnsi="宋体" w:eastAsia="Arial" w:cs="宋体"/>
          <w:sz w:val="24"/>
          <w:szCs w:val="20"/>
          <w:u w:val="single"/>
          <w:lang w:val="zh-CN"/>
        </w:rPr>
      </w:pPr>
      <w:r>
        <w:rPr>
          <w:rFonts w:hint="eastAsia" w:ascii="宋体" w:hAnsi="宋体" w:eastAsia="Arial" w:cs="宋体"/>
          <w:sz w:val="24"/>
          <w:szCs w:val="20"/>
          <w:u w:val="single"/>
          <w:lang w:val="zh-CN"/>
        </w:rPr>
        <w:t>1）方式：退还至投标人缴纳履约保证金的账户。如为保函，在到期时自行失效。</w:t>
      </w:r>
    </w:p>
    <w:p w14:paraId="25F705D8">
      <w:pPr>
        <w:widowControl/>
        <w:spacing w:line="560" w:lineRule="exact"/>
        <w:ind w:firstLine="482"/>
        <w:jc w:val="left"/>
        <w:rPr>
          <w:rFonts w:ascii="宋体" w:hAnsi="宋体" w:eastAsia="Arial" w:cs="宋体"/>
          <w:sz w:val="24"/>
          <w:szCs w:val="20"/>
          <w:u w:val="single"/>
          <w:lang w:val="zh-CN"/>
        </w:rPr>
      </w:pPr>
      <w:r>
        <w:rPr>
          <w:rFonts w:hint="eastAsia" w:ascii="宋体" w:hAnsi="宋体" w:eastAsia="Arial" w:cs="宋体"/>
          <w:sz w:val="24"/>
          <w:szCs w:val="20"/>
          <w:u w:val="single"/>
          <w:lang w:val="zh-CN"/>
        </w:rPr>
        <w:t>2）时间：验收合格且采购人收到发票后30日内。</w:t>
      </w:r>
    </w:p>
    <w:p w14:paraId="7A017CCB">
      <w:pPr>
        <w:widowControl/>
        <w:spacing w:line="560" w:lineRule="exact"/>
        <w:ind w:firstLine="482"/>
        <w:jc w:val="left"/>
        <w:rPr>
          <w:rFonts w:ascii="宋体" w:hAnsi="宋体" w:eastAsia="Arial" w:cs="宋体"/>
          <w:sz w:val="24"/>
          <w:szCs w:val="20"/>
          <w:u w:val="single"/>
          <w:lang w:val="zh-CN"/>
        </w:rPr>
      </w:pPr>
      <w:r>
        <w:rPr>
          <w:rFonts w:hint="eastAsia" w:ascii="宋体" w:hAnsi="宋体" w:eastAsia="Arial" w:cs="宋体"/>
          <w:sz w:val="24"/>
          <w:szCs w:val="20"/>
          <w:u w:val="single"/>
          <w:lang w:val="zh-CN"/>
        </w:rPr>
        <w:t>3）条件：按合同要求全部履约完成并经采购人验收合格，且采购人收到中标人出具的发票。</w:t>
      </w:r>
    </w:p>
    <w:p w14:paraId="6480DBCE">
      <w:pPr>
        <w:widowControl/>
        <w:spacing w:line="560" w:lineRule="exact"/>
        <w:ind w:firstLine="482"/>
        <w:jc w:val="left"/>
        <w:rPr>
          <w:rFonts w:ascii="宋体" w:hAnsi="宋体" w:eastAsia="Arial" w:cs="宋体"/>
          <w:sz w:val="24"/>
          <w:szCs w:val="20"/>
          <w:u w:val="single"/>
          <w:lang w:val="zh-CN"/>
        </w:rPr>
      </w:pPr>
      <w:r>
        <w:rPr>
          <w:rFonts w:hint="eastAsia" w:ascii="宋体" w:hAnsi="宋体" w:eastAsia="Arial" w:cs="宋体"/>
          <w:sz w:val="24"/>
          <w:szCs w:val="20"/>
          <w:u w:val="single"/>
          <w:lang w:val="zh-CN"/>
        </w:rPr>
        <w:t>4）不予退还情形：</w:t>
      </w:r>
    </w:p>
    <w:p w14:paraId="3652DFA3">
      <w:pPr>
        <w:widowControl/>
        <w:spacing w:line="560" w:lineRule="exact"/>
        <w:ind w:firstLine="482"/>
        <w:jc w:val="left"/>
        <w:rPr>
          <w:rFonts w:ascii="宋体" w:hAnsi="宋体" w:eastAsia="Arial" w:cs="宋体"/>
          <w:sz w:val="24"/>
          <w:szCs w:val="20"/>
          <w:u w:val="single"/>
          <w:lang w:val="zh-CN"/>
        </w:rPr>
      </w:pPr>
      <w:r>
        <w:rPr>
          <w:rFonts w:hint="eastAsia" w:ascii="宋体" w:hAnsi="宋体" w:eastAsia="Arial" w:cs="宋体"/>
          <w:sz w:val="24"/>
          <w:szCs w:val="20"/>
          <w:u w:val="single"/>
          <w:lang w:val="zh-CN"/>
        </w:rPr>
        <w:t>除不可抗力情况外，投标人出现下列情形之一的，其履约保证金，招标人将视情节决定不予退还或部分不予退还。</w:t>
      </w:r>
    </w:p>
    <w:p w14:paraId="461FE08A">
      <w:pPr>
        <w:widowControl/>
        <w:spacing w:line="560" w:lineRule="exact"/>
        <w:ind w:firstLine="482"/>
        <w:jc w:val="left"/>
        <w:rPr>
          <w:rFonts w:ascii="宋体" w:hAnsi="宋体" w:eastAsia="Arial" w:cs="宋体"/>
          <w:sz w:val="24"/>
          <w:szCs w:val="20"/>
          <w:u w:val="single"/>
          <w:lang w:val="zh-CN"/>
        </w:rPr>
      </w:pPr>
      <w:r>
        <w:rPr>
          <w:rFonts w:hint="eastAsia" w:ascii="宋体" w:hAnsi="宋体" w:eastAsia="Arial" w:cs="宋体"/>
          <w:sz w:val="24"/>
          <w:szCs w:val="20"/>
          <w:u w:val="single"/>
          <w:lang w:val="zh-CN"/>
        </w:rPr>
        <w:t>①中标人无正当理由拒绝签订合同的，或者在签订合同时向采购人提出附加条件或者更改合同实质性内容要求的；</w:t>
      </w:r>
    </w:p>
    <w:p w14:paraId="28FE86DC">
      <w:pPr>
        <w:widowControl/>
        <w:spacing w:line="560" w:lineRule="exact"/>
        <w:ind w:firstLine="482"/>
        <w:jc w:val="left"/>
        <w:rPr>
          <w:rFonts w:ascii="宋体" w:hAnsi="宋体" w:eastAsia="Arial" w:cs="宋体"/>
          <w:sz w:val="24"/>
          <w:szCs w:val="20"/>
          <w:u w:val="single"/>
          <w:lang w:val="zh-CN"/>
        </w:rPr>
      </w:pPr>
      <w:r>
        <w:rPr>
          <w:rFonts w:hint="eastAsia" w:ascii="宋体" w:hAnsi="宋体" w:eastAsia="Arial" w:cs="宋体"/>
          <w:sz w:val="24"/>
          <w:szCs w:val="20"/>
          <w:u w:val="single"/>
          <w:lang w:val="zh-CN"/>
        </w:rPr>
        <w:t>②中标人不履行与采购人订立的合同的；</w:t>
      </w:r>
    </w:p>
    <w:p w14:paraId="5BE04439">
      <w:pPr>
        <w:widowControl/>
        <w:spacing w:line="560" w:lineRule="exact"/>
        <w:ind w:firstLine="482"/>
        <w:jc w:val="left"/>
        <w:rPr>
          <w:rFonts w:ascii="宋体" w:hAnsi="宋体" w:eastAsia="Arial" w:cs="宋体"/>
          <w:sz w:val="24"/>
          <w:szCs w:val="20"/>
          <w:u w:val="single"/>
          <w:lang w:val="zh-CN"/>
        </w:rPr>
      </w:pPr>
      <w:r>
        <w:rPr>
          <w:rFonts w:hint="eastAsia" w:ascii="宋体" w:hAnsi="宋体" w:eastAsia="Arial" w:cs="宋体"/>
          <w:sz w:val="24"/>
          <w:szCs w:val="20"/>
          <w:u w:val="single"/>
          <w:lang w:val="zh-CN"/>
        </w:rPr>
        <w:t>③中标人所供货物或服务不符合招标文件规定要求的；</w:t>
      </w:r>
    </w:p>
    <w:p w14:paraId="13E938E9">
      <w:pPr>
        <w:widowControl/>
        <w:spacing w:line="560" w:lineRule="exact"/>
        <w:ind w:firstLine="482"/>
        <w:jc w:val="left"/>
        <w:rPr>
          <w:rFonts w:ascii="宋体" w:hAnsi="宋体" w:eastAsia="Arial" w:cs="宋体"/>
          <w:sz w:val="24"/>
          <w:szCs w:val="20"/>
          <w:u w:val="single"/>
          <w:lang w:val="zh-CN"/>
        </w:rPr>
      </w:pPr>
      <w:r>
        <w:rPr>
          <w:rFonts w:hint="eastAsia" w:ascii="宋体" w:hAnsi="宋体" w:eastAsia="Arial" w:cs="宋体"/>
          <w:sz w:val="24"/>
          <w:szCs w:val="20"/>
          <w:u w:val="single"/>
          <w:lang w:val="zh-CN"/>
        </w:rPr>
        <w:t>④中标人采取欺骗、弄虚作假方式投标的或与其它投标人串通投标的；</w:t>
      </w:r>
    </w:p>
    <w:p w14:paraId="58E893CD">
      <w:pPr>
        <w:widowControl/>
        <w:spacing w:line="560" w:lineRule="exact"/>
        <w:ind w:firstLine="482"/>
        <w:jc w:val="left"/>
        <w:rPr>
          <w:rFonts w:ascii="宋体" w:hAnsi="宋体" w:eastAsia="Arial" w:cs="宋体"/>
          <w:sz w:val="24"/>
          <w:szCs w:val="20"/>
          <w:u w:val="single"/>
          <w:lang w:val="zh-CN"/>
        </w:rPr>
      </w:pPr>
      <w:r>
        <w:rPr>
          <w:rFonts w:hint="eastAsia" w:ascii="宋体" w:hAnsi="宋体" w:eastAsia="Arial" w:cs="宋体"/>
          <w:sz w:val="24"/>
          <w:szCs w:val="20"/>
          <w:u w:val="single"/>
          <w:lang w:val="zh-CN"/>
        </w:rPr>
        <w:t>⑤中标人将合同内容转包、违法分包的；</w:t>
      </w:r>
    </w:p>
    <w:p w14:paraId="78609054">
      <w:pPr>
        <w:widowControl/>
        <w:spacing w:line="560" w:lineRule="exact"/>
        <w:ind w:firstLine="482"/>
        <w:jc w:val="left"/>
        <w:rPr>
          <w:rFonts w:ascii="宋体" w:hAnsi="宋体" w:eastAsia="Arial" w:cs="宋体"/>
          <w:sz w:val="24"/>
          <w:szCs w:val="20"/>
          <w:u w:val="single"/>
          <w:lang w:val="zh-CN"/>
        </w:rPr>
      </w:pPr>
      <w:r>
        <w:rPr>
          <w:rFonts w:hint="eastAsia" w:ascii="宋体" w:hAnsi="宋体" w:eastAsia="Arial" w:cs="宋体"/>
          <w:sz w:val="24"/>
          <w:szCs w:val="20"/>
          <w:u w:val="single"/>
          <w:lang w:val="zh-CN"/>
        </w:rPr>
        <w:t>⑥中标人故意捏造事实或伪造证明材料，进行虚假恶意投诉或反映的。</w:t>
      </w:r>
    </w:p>
    <w:p w14:paraId="1AEEF8A5">
      <w:pPr>
        <w:widowControl/>
        <w:spacing w:line="560" w:lineRule="exact"/>
        <w:ind w:firstLine="482"/>
        <w:jc w:val="left"/>
        <w:rPr>
          <w:rFonts w:ascii="宋体" w:hAnsi="宋体" w:eastAsia="Arial" w:cs="宋体"/>
          <w:sz w:val="24"/>
          <w:szCs w:val="20"/>
          <w:u w:val="single"/>
          <w:lang w:val="zh-CN"/>
        </w:rPr>
      </w:pPr>
      <w:r>
        <w:rPr>
          <w:rFonts w:hint="eastAsia" w:ascii="宋体" w:hAnsi="宋体" w:eastAsia="Arial" w:cs="宋体"/>
          <w:sz w:val="24"/>
          <w:szCs w:val="20"/>
          <w:u w:val="single"/>
          <w:lang w:val="zh-CN"/>
        </w:rPr>
        <w:t>5）逾期退还的违约责任：采购人逾期无故未退还履约保证金的，按中国人民银行同期贷款基准利率上浮20%后的利率支付超期资金占用费，但因供应商自身原因导致无法及时退还的除外</w:t>
      </w:r>
      <w:r>
        <w:rPr>
          <w:rFonts w:hint="eastAsia" w:ascii="宋体" w:hAnsi="宋体" w:eastAsia="Arial" w:cs="宋体"/>
          <w:sz w:val="24"/>
          <w:szCs w:val="20"/>
          <w:lang w:val="zh-CN"/>
        </w:rPr>
        <w:t>。</w:t>
      </w:r>
    </w:p>
    <w:p w14:paraId="5E0A923B">
      <w:pPr>
        <w:widowControl/>
        <w:spacing w:line="560" w:lineRule="exact"/>
        <w:ind w:firstLine="482"/>
        <w:jc w:val="left"/>
        <w:rPr>
          <w:rFonts w:ascii="宋体" w:hAnsi="宋体" w:eastAsia="Arial" w:cs="宋体"/>
          <w:sz w:val="24"/>
          <w:szCs w:val="20"/>
          <w:lang w:val="zh-CN"/>
        </w:rPr>
      </w:pPr>
      <w:r>
        <w:rPr>
          <w:rFonts w:hint="eastAsia" w:ascii="宋体" w:hAnsi="宋体" w:eastAsia="Arial" w:cs="宋体"/>
          <w:sz w:val="24"/>
          <w:szCs w:val="20"/>
          <w:lang w:val="zh-CN"/>
        </w:rPr>
        <w:t>（</w:t>
      </w:r>
      <w:r>
        <w:rPr>
          <w:rFonts w:hint="eastAsia" w:ascii="宋体" w:hAnsi="宋体" w:eastAsia="Arial" w:cs="宋体"/>
          <w:sz w:val="24"/>
          <w:szCs w:val="20"/>
        </w:rPr>
        <w:t>4</w:t>
      </w:r>
      <w:r>
        <w:rPr>
          <w:rFonts w:hint="eastAsia" w:ascii="宋体" w:hAnsi="宋体" w:eastAsia="Arial" w:cs="宋体"/>
          <w:sz w:val="24"/>
          <w:szCs w:val="20"/>
          <w:lang w:val="zh-CN"/>
        </w:rPr>
        <w:t>）确需收取履约保证金的，履约保证金的缴纳形式：</w:t>
      </w:r>
    </w:p>
    <w:p w14:paraId="57788A8A">
      <w:pPr>
        <w:widowControl/>
        <w:spacing w:line="560" w:lineRule="exact"/>
        <w:ind w:firstLine="482"/>
        <w:jc w:val="left"/>
        <w:rPr>
          <w:rFonts w:ascii="宋体" w:hAnsi="宋体" w:eastAsia="Arial" w:cs="宋体"/>
          <w:sz w:val="24"/>
          <w:szCs w:val="20"/>
          <w:lang w:val="zh-CN"/>
        </w:rPr>
      </w:pPr>
      <w:r>
        <w:rPr>
          <w:rFonts w:hint="eastAsia" w:ascii="宋体" w:hAnsi="宋体" w:eastAsia="Arial" w:cs="宋体"/>
          <w:sz w:val="24"/>
          <w:szCs w:val="20"/>
          <w:lang w:val="zh-CN"/>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40AFD20">
      <w:pPr>
        <w:widowControl/>
        <w:spacing w:line="560" w:lineRule="exact"/>
        <w:ind w:firstLine="482"/>
        <w:jc w:val="left"/>
        <w:rPr>
          <w:rFonts w:ascii="宋体" w:hAnsi="宋体" w:cs="宋体"/>
          <w:b/>
          <w:bCs/>
          <w:sz w:val="24"/>
          <w:szCs w:val="20"/>
          <w:lang w:val="zh-CN"/>
        </w:rPr>
      </w:pPr>
      <w:r>
        <w:rPr>
          <w:rFonts w:hint="eastAsia" w:ascii="宋体" w:hAnsi="宋体" w:eastAsia="Arial" w:cs="宋体"/>
          <w:sz w:val="24"/>
          <w:szCs w:val="20"/>
          <w:lang w:val="zh-CN"/>
        </w:rPr>
        <w:t xml:space="preserve"> 如以履约保函（保险）形式缴纳履约保证金，供应商可通过政府采购电子履约保函（保险）平台（www.jsdzbh.com）在线申请履约保函（保险）。</w:t>
      </w:r>
      <w:r>
        <w:rPr>
          <w:rFonts w:hint="eastAsia" w:ascii="宋体" w:hAnsi="宋体" w:cs="宋体"/>
          <w:b/>
          <w:bCs/>
          <w:sz w:val="24"/>
          <w:szCs w:val="20"/>
          <w:lang w:val="zh-CN"/>
        </w:rPr>
        <w:t xml:space="preserve">                              </w:t>
      </w:r>
    </w:p>
    <w:p w14:paraId="65483CFB">
      <w:pPr>
        <w:widowControl/>
        <w:numPr>
          <w:ilvl w:val="0"/>
          <w:numId w:val="3"/>
        </w:numPr>
        <w:spacing w:line="520" w:lineRule="exact"/>
        <w:ind w:firstLine="480"/>
        <w:rPr>
          <w:rFonts w:ascii="宋体" w:hAnsi="宋体" w:cs="宋体"/>
          <w:sz w:val="24"/>
          <w:szCs w:val="20"/>
          <w:u w:val="single"/>
        </w:rPr>
      </w:pPr>
      <w:r>
        <w:rPr>
          <w:rFonts w:hint="eastAsia" w:ascii="宋体" w:hAnsi="宋体" w:cs="宋体"/>
          <w:sz w:val="24"/>
          <w:szCs w:val="20"/>
          <w:lang w:val="zh-CN"/>
        </w:rPr>
        <w:t>分期履行要求：</w:t>
      </w:r>
      <w:r>
        <w:rPr>
          <w:rFonts w:hint="eastAsia" w:ascii="宋体" w:hAnsi="宋体" w:cs="宋体"/>
          <w:sz w:val="24"/>
          <w:szCs w:val="20"/>
          <w:u w:val="single"/>
        </w:rPr>
        <w:t xml:space="preserve">                           </w:t>
      </w:r>
    </w:p>
    <w:p w14:paraId="51DFFC66">
      <w:pPr>
        <w:widowControl/>
        <w:spacing w:line="520" w:lineRule="exact"/>
        <w:ind w:firstLine="480"/>
        <w:rPr>
          <w:rFonts w:ascii="宋体" w:hAnsi="宋体" w:cs="宋体"/>
          <w:sz w:val="24"/>
          <w:szCs w:val="20"/>
          <w:u w:val="single"/>
        </w:rPr>
      </w:pPr>
      <w:r>
        <w:rPr>
          <w:rFonts w:hint="eastAsia" w:ascii="宋体" w:hAnsi="宋体" w:cs="宋体"/>
          <w:sz w:val="24"/>
          <w:szCs w:val="20"/>
          <w:lang w:val="zh-CN"/>
        </w:rPr>
        <w:t>（6）风险处置措施和替代方案：</w:t>
      </w:r>
      <w:r>
        <w:rPr>
          <w:rFonts w:hint="eastAsia" w:ascii="宋体" w:hAnsi="宋体" w:cs="宋体"/>
          <w:sz w:val="24"/>
          <w:szCs w:val="20"/>
          <w:u w:val="single"/>
        </w:rPr>
        <w:t xml:space="preserve">                 </w:t>
      </w:r>
    </w:p>
    <w:p w14:paraId="2F04CD1C">
      <w:pPr>
        <w:widowControl/>
        <w:spacing w:line="520" w:lineRule="exact"/>
        <w:ind w:firstLine="480"/>
        <w:rPr>
          <w:rFonts w:ascii="宋体" w:hAnsi="宋体" w:cs="宋体"/>
          <w:b/>
          <w:bCs/>
          <w:sz w:val="24"/>
          <w:szCs w:val="20"/>
          <w:lang w:val="zh-CN"/>
        </w:rPr>
      </w:pPr>
      <w:r>
        <w:rPr>
          <w:rFonts w:hint="eastAsia" w:ascii="宋体" w:hAnsi="宋体" w:cs="宋体"/>
          <w:b/>
          <w:bCs/>
          <w:sz w:val="24"/>
          <w:szCs w:val="20"/>
        </w:rPr>
        <w:t>4.</w:t>
      </w:r>
      <w:r>
        <w:rPr>
          <w:rFonts w:hint="eastAsia" w:ascii="宋体" w:hAnsi="宋体" w:cs="宋体"/>
          <w:b/>
          <w:bCs/>
          <w:sz w:val="24"/>
          <w:szCs w:val="20"/>
          <w:lang w:val="zh-CN"/>
        </w:rPr>
        <w:t>合同验收</w:t>
      </w:r>
    </w:p>
    <w:p w14:paraId="57010815">
      <w:pPr>
        <w:widowControl/>
        <w:spacing w:line="520" w:lineRule="exact"/>
        <w:ind w:firstLine="480"/>
        <w:rPr>
          <w:rFonts w:ascii="宋体" w:hAnsi="宋体" w:cs="宋体"/>
          <w:sz w:val="24"/>
          <w:szCs w:val="20"/>
          <w:lang w:val="zh-CN"/>
        </w:rPr>
      </w:pPr>
      <w:r>
        <w:rPr>
          <w:rFonts w:hint="eastAsia" w:ascii="宋体" w:hAnsi="宋体" w:cs="宋体"/>
          <w:sz w:val="24"/>
          <w:szCs w:val="20"/>
          <w:lang w:val="zh-CN"/>
        </w:rPr>
        <w:t>（</w:t>
      </w:r>
      <w:r>
        <w:rPr>
          <w:rFonts w:hint="eastAsia" w:ascii="宋体" w:hAnsi="宋体" w:cs="宋体"/>
          <w:sz w:val="24"/>
          <w:szCs w:val="20"/>
        </w:rPr>
        <w:t>1</w:t>
      </w:r>
      <w:r>
        <w:rPr>
          <w:rFonts w:hint="eastAsia" w:ascii="宋体" w:hAnsi="宋体" w:cs="宋体"/>
          <w:sz w:val="24"/>
          <w:szCs w:val="20"/>
          <w:lang w:val="zh-CN"/>
        </w:rPr>
        <w:t>）验收组织方式：</w:t>
      </w:r>
      <w:r>
        <w:rPr>
          <w:rFonts w:ascii="Wingdings" w:hAnsi="Wingdings" w:eastAsia="Wingdings" w:cs="Wingdings"/>
          <w:sz w:val="24"/>
          <w:szCs w:val="20"/>
          <w:lang w:val="zh-CN"/>
        </w:rPr>
        <w:t></w:t>
      </w:r>
      <w:r>
        <w:rPr>
          <w:rFonts w:hint="eastAsia" w:ascii="宋体" w:hAnsi="宋体" w:cs="宋体"/>
          <w:sz w:val="24"/>
          <w:szCs w:val="20"/>
          <w:lang w:val="zh-CN"/>
        </w:rPr>
        <w:t>自行组织</w:t>
      </w:r>
      <w:r>
        <w:rPr>
          <w:rFonts w:hint="eastAsia" w:ascii="宋体" w:hAnsi="宋体" w:cs="宋体"/>
          <w:sz w:val="24"/>
          <w:szCs w:val="20"/>
        </w:rPr>
        <w:t xml:space="preserve">  </w:t>
      </w:r>
      <w:r>
        <w:rPr>
          <w:rFonts w:ascii="Wingdings" w:hAnsi="Wingdings" w:eastAsia="Wingdings" w:cs="Wingdings"/>
          <w:sz w:val="24"/>
        </w:rPr>
        <w:t></w:t>
      </w:r>
      <w:r>
        <w:rPr>
          <w:rFonts w:hint="eastAsia" w:ascii="宋体" w:hAnsi="宋体" w:cs="宋体"/>
          <w:sz w:val="24"/>
          <w:szCs w:val="20"/>
          <w:lang w:val="zh-CN"/>
        </w:rPr>
        <w:t>委托第三方组织</w:t>
      </w:r>
    </w:p>
    <w:p w14:paraId="13F44D2D">
      <w:pPr>
        <w:widowControl/>
        <w:spacing w:line="560" w:lineRule="exact"/>
        <w:ind w:firstLine="482"/>
        <w:jc w:val="left"/>
        <w:rPr>
          <w:rFonts w:ascii="宋体" w:hAnsi="宋体" w:eastAsia="Arial" w:cs="宋体"/>
          <w:sz w:val="24"/>
          <w:szCs w:val="20"/>
          <w:lang w:val="zh-CN"/>
        </w:rPr>
      </w:pPr>
      <w:r>
        <w:rPr>
          <w:rFonts w:hint="eastAsia" w:ascii="宋体" w:hAnsi="宋体" w:eastAsia="Arial" w:cs="宋体"/>
          <w:sz w:val="24"/>
          <w:szCs w:val="20"/>
          <w:lang w:val="zh-CN"/>
        </w:rPr>
        <w:t>验收主体：</w:t>
      </w:r>
      <w:r>
        <w:rPr>
          <w:rFonts w:hint="eastAsia" w:ascii="宋体" w:hAnsi="宋体"/>
          <w:bCs/>
          <w:sz w:val="24"/>
          <w:u w:val="single"/>
        </w:rPr>
        <w:t>盐城市教育局</w:t>
      </w:r>
    </w:p>
    <w:p w14:paraId="2F51DB68">
      <w:pPr>
        <w:widowControl/>
        <w:spacing w:line="560" w:lineRule="exact"/>
        <w:ind w:firstLine="482"/>
        <w:jc w:val="left"/>
        <w:rPr>
          <w:rFonts w:ascii="宋体" w:hAnsi="宋体" w:eastAsia="Arial" w:cs="宋体"/>
          <w:sz w:val="24"/>
          <w:szCs w:val="20"/>
          <w:lang w:val="zh-CN"/>
        </w:rPr>
      </w:pPr>
      <w:r>
        <w:rPr>
          <w:rFonts w:hint="eastAsia" w:ascii="宋体" w:hAnsi="宋体" w:eastAsia="Arial" w:cs="宋体"/>
          <w:sz w:val="24"/>
          <w:szCs w:val="20"/>
          <w:lang w:val="zh-CN"/>
        </w:rPr>
        <w:t>是否邀请本项目的其他供应商参加验收：</w:t>
      </w:r>
      <w:r>
        <w:rPr>
          <w:rFonts w:ascii="Wingdings" w:hAnsi="Wingdings" w:eastAsia="Wingdings" w:cs="Wingdings"/>
          <w:sz w:val="24"/>
        </w:rPr>
        <w:t></w:t>
      </w:r>
      <w:r>
        <w:rPr>
          <w:rFonts w:hint="eastAsia" w:ascii="宋体" w:hAnsi="宋体" w:eastAsia="Arial" w:cs="宋体"/>
          <w:sz w:val="24"/>
          <w:szCs w:val="20"/>
          <w:lang w:val="zh-CN"/>
        </w:rPr>
        <w:t xml:space="preserve">是  </w:t>
      </w:r>
      <w:r>
        <w:rPr>
          <w:rFonts w:ascii="Wingdings" w:hAnsi="Wingdings" w:eastAsia="Wingdings" w:cs="Wingdings"/>
          <w:sz w:val="24"/>
          <w:szCs w:val="20"/>
          <w:lang w:val="zh-CN"/>
        </w:rPr>
        <w:t></w:t>
      </w:r>
      <w:r>
        <w:rPr>
          <w:rFonts w:hint="eastAsia" w:ascii="宋体" w:hAnsi="宋体" w:eastAsia="Arial" w:cs="宋体"/>
          <w:sz w:val="24"/>
          <w:szCs w:val="20"/>
          <w:lang w:val="zh-CN"/>
        </w:rPr>
        <w:t>否</w:t>
      </w:r>
    </w:p>
    <w:p w14:paraId="14F04BCF">
      <w:pPr>
        <w:widowControl/>
        <w:spacing w:line="560" w:lineRule="exact"/>
        <w:ind w:firstLine="482"/>
        <w:jc w:val="left"/>
        <w:rPr>
          <w:rFonts w:ascii="宋体" w:hAnsi="宋体" w:eastAsia="Arial" w:cs="宋体"/>
          <w:sz w:val="24"/>
          <w:szCs w:val="20"/>
          <w:lang w:val="zh-CN"/>
        </w:rPr>
      </w:pPr>
      <w:r>
        <w:rPr>
          <w:rFonts w:hint="eastAsia" w:ascii="宋体" w:hAnsi="宋体" w:eastAsia="Arial" w:cs="宋体"/>
          <w:sz w:val="24"/>
          <w:szCs w:val="20"/>
          <w:lang w:val="zh-CN"/>
        </w:rPr>
        <w:t>是否邀请专家参加验收：</w:t>
      </w:r>
      <w:r>
        <w:rPr>
          <w:rFonts w:ascii="Wingdings" w:hAnsi="Wingdings" w:eastAsia="Wingdings" w:cs="Wingdings"/>
          <w:sz w:val="24"/>
        </w:rPr>
        <w:t></w:t>
      </w:r>
      <w:r>
        <w:rPr>
          <w:rFonts w:hint="eastAsia" w:ascii="宋体" w:hAnsi="宋体" w:eastAsia="Arial" w:cs="宋体"/>
          <w:sz w:val="24"/>
          <w:szCs w:val="20"/>
          <w:lang w:val="zh-CN"/>
        </w:rPr>
        <w:t xml:space="preserve">是  </w:t>
      </w:r>
      <w:r>
        <w:rPr>
          <w:rFonts w:hint="eastAsia" w:ascii="宋体" w:hAnsi="宋体" w:eastAsia="Arial" w:cs="宋体"/>
          <w:sz w:val="24"/>
          <w:szCs w:val="20"/>
        </w:rPr>
        <w:t></w:t>
      </w:r>
      <w:r>
        <w:rPr>
          <w:rFonts w:ascii="Wingdings" w:hAnsi="Wingdings" w:eastAsia="Wingdings" w:cs="Wingdings"/>
          <w:sz w:val="24"/>
          <w:szCs w:val="20"/>
          <w:lang w:val="zh-CN"/>
        </w:rPr>
        <w:t></w:t>
      </w:r>
      <w:r>
        <w:rPr>
          <w:rFonts w:hint="eastAsia" w:ascii="宋体" w:hAnsi="宋体" w:eastAsia="Arial" w:cs="宋体"/>
          <w:sz w:val="24"/>
          <w:szCs w:val="20"/>
          <w:lang w:val="zh-CN"/>
        </w:rPr>
        <w:t>否</w:t>
      </w:r>
    </w:p>
    <w:p w14:paraId="2FDEEBFA">
      <w:pPr>
        <w:widowControl/>
        <w:spacing w:line="560" w:lineRule="exact"/>
        <w:ind w:firstLine="482"/>
        <w:jc w:val="left"/>
        <w:rPr>
          <w:rFonts w:ascii="宋体" w:hAnsi="宋体" w:eastAsia="Arial" w:cs="宋体"/>
          <w:sz w:val="24"/>
          <w:szCs w:val="20"/>
          <w:lang w:val="zh-CN"/>
        </w:rPr>
      </w:pPr>
      <w:r>
        <w:rPr>
          <w:rFonts w:hint="eastAsia" w:ascii="宋体" w:hAnsi="宋体" w:eastAsia="Arial" w:cs="宋体"/>
          <w:sz w:val="24"/>
          <w:szCs w:val="20"/>
          <w:lang w:val="zh-CN"/>
        </w:rPr>
        <w:t>是否邀请服务对象参加验收：</w:t>
      </w:r>
      <w:r>
        <w:rPr>
          <w:rFonts w:ascii="Wingdings" w:hAnsi="Wingdings" w:eastAsia="Wingdings" w:cs="Wingdings"/>
          <w:sz w:val="24"/>
        </w:rPr>
        <w:t></w:t>
      </w:r>
      <w:r>
        <w:rPr>
          <w:rFonts w:hint="eastAsia" w:ascii="宋体" w:hAnsi="宋体" w:eastAsia="Arial" w:cs="宋体"/>
          <w:sz w:val="24"/>
          <w:szCs w:val="20"/>
          <w:lang w:val="zh-CN"/>
        </w:rPr>
        <w:t xml:space="preserve">是  </w:t>
      </w:r>
      <w:r>
        <w:rPr>
          <w:rFonts w:ascii="Wingdings" w:hAnsi="Wingdings" w:eastAsia="Wingdings" w:cs="Wingdings"/>
          <w:sz w:val="24"/>
          <w:szCs w:val="20"/>
          <w:lang w:val="zh-CN"/>
        </w:rPr>
        <w:t></w:t>
      </w:r>
      <w:r>
        <w:rPr>
          <w:rFonts w:hint="eastAsia" w:ascii="宋体" w:hAnsi="宋体" w:eastAsia="Arial" w:cs="宋体"/>
          <w:sz w:val="24"/>
          <w:szCs w:val="20"/>
          <w:lang w:val="zh-CN"/>
        </w:rPr>
        <w:t>否</w:t>
      </w:r>
    </w:p>
    <w:p w14:paraId="19E244E2">
      <w:pPr>
        <w:widowControl/>
        <w:spacing w:line="560" w:lineRule="exact"/>
        <w:ind w:firstLine="482"/>
        <w:jc w:val="left"/>
        <w:rPr>
          <w:rFonts w:ascii="宋体" w:hAnsi="宋体" w:eastAsia="Arial" w:cs="宋体"/>
          <w:sz w:val="24"/>
          <w:szCs w:val="20"/>
          <w:lang w:val="zh-CN"/>
        </w:rPr>
      </w:pPr>
      <w:r>
        <w:rPr>
          <w:rFonts w:hint="eastAsia" w:ascii="宋体" w:hAnsi="宋体" w:eastAsia="Arial" w:cs="宋体"/>
          <w:sz w:val="24"/>
          <w:szCs w:val="20"/>
          <w:lang w:val="zh-CN"/>
        </w:rPr>
        <w:t>是否邀请第三方检测机构参加验收：</w:t>
      </w:r>
      <w:r>
        <w:rPr>
          <w:rFonts w:ascii="Wingdings" w:hAnsi="Wingdings" w:eastAsia="Wingdings" w:cs="Wingdings"/>
          <w:sz w:val="24"/>
        </w:rPr>
        <w:t></w:t>
      </w:r>
      <w:r>
        <w:rPr>
          <w:rFonts w:hint="eastAsia" w:ascii="宋体" w:hAnsi="宋体" w:eastAsia="Arial" w:cs="宋体"/>
          <w:sz w:val="24"/>
          <w:szCs w:val="20"/>
          <w:lang w:val="zh-CN"/>
        </w:rPr>
        <w:t xml:space="preserve">是  </w:t>
      </w:r>
      <w:r>
        <w:rPr>
          <w:rFonts w:ascii="Wingdings" w:hAnsi="Wingdings" w:eastAsia="Wingdings" w:cs="Wingdings"/>
          <w:sz w:val="24"/>
          <w:szCs w:val="20"/>
          <w:lang w:val="zh-CN"/>
        </w:rPr>
        <w:t></w:t>
      </w:r>
      <w:r>
        <w:rPr>
          <w:rFonts w:hint="eastAsia" w:ascii="宋体" w:hAnsi="宋体" w:eastAsia="Arial" w:cs="宋体"/>
          <w:sz w:val="24"/>
          <w:szCs w:val="20"/>
          <w:lang w:val="zh-CN"/>
        </w:rPr>
        <w:t>否</w:t>
      </w:r>
    </w:p>
    <w:p w14:paraId="6BCF0C4A">
      <w:pPr>
        <w:widowControl/>
        <w:spacing w:line="560" w:lineRule="exact"/>
        <w:ind w:firstLine="482"/>
        <w:jc w:val="left"/>
        <w:rPr>
          <w:rFonts w:ascii="宋体" w:hAnsi="宋体" w:eastAsia="Arial" w:cs="宋体"/>
          <w:sz w:val="24"/>
          <w:szCs w:val="20"/>
          <w:lang w:val="zh-CN"/>
        </w:rPr>
      </w:pPr>
      <w:r>
        <w:rPr>
          <w:rFonts w:hint="eastAsia" w:ascii="宋体" w:hAnsi="宋体" w:eastAsia="Arial" w:cs="宋体"/>
          <w:sz w:val="24"/>
          <w:szCs w:val="20"/>
          <w:lang w:val="zh-CN"/>
        </w:rPr>
        <w:t>是否进行抽查检测：是，抽查比例：</w:t>
      </w:r>
      <w:r>
        <w:rPr>
          <w:rFonts w:hint="eastAsia" w:ascii="宋体" w:hAnsi="宋体" w:eastAsia="宋体" w:cs="宋体"/>
          <w:sz w:val="24"/>
          <w:szCs w:val="20"/>
        </w:rPr>
        <w:t xml:space="preserve">    </w:t>
      </w:r>
      <w:r>
        <w:rPr>
          <w:rFonts w:ascii="Wingdings" w:hAnsi="Wingdings" w:eastAsia="Wingdings" w:cs="Wingdings"/>
          <w:sz w:val="24"/>
          <w:szCs w:val="20"/>
          <w:lang w:val="zh-CN"/>
        </w:rPr>
        <w:t></w:t>
      </w:r>
      <w:r>
        <w:rPr>
          <w:rFonts w:hint="eastAsia" w:ascii="宋体" w:hAnsi="宋体" w:eastAsia="Arial" w:cs="宋体"/>
          <w:sz w:val="24"/>
          <w:szCs w:val="20"/>
          <w:lang w:val="zh-CN"/>
        </w:rPr>
        <w:t>否</w:t>
      </w:r>
    </w:p>
    <w:p w14:paraId="086BED1A">
      <w:pPr>
        <w:widowControl/>
        <w:spacing w:line="560" w:lineRule="exact"/>
        <w:ind w:firstLine="482"/>
        <w:jc w:val="left"/>
        <w:rPr>
          <w:rFonts w:ascii="宋体" w:hAnsi="宋体" w:eastAsia="宋体" w:cs="宋体"/>
          <w:sz w:val="24"/>
          <w:szCs w:val="20"/>
        </w:rPr>
      </w:pPr>
      <w:r>
        <w:rPr>
          <w:rFonts w:hint="eastAsia" w:ascii="宋体" w:hAnsi="宋体" w:eastAsia="Arial" w:cs="宋体"/>
          <w:sz w:val="24"/>
          <w:szCs w:val="20"/>
          <w:lang w:val="zh-CN"/>
        </w:rPr>
        <w:t>是否存在破坏性检测：</w:t>
      </w:r>
      <w:r>
        <w:rPr>
          <w:rFonts w:ascii="Wingdings" w:hAnsi="Wingdings" w:eastAsia="Wingdings" w:cs="Wingdings"/>
          <w:sz w:val="24"/>
        </w:rPr>
        <w:t></w:t>
      </w:r>
      <w:r>
        <w:rPr>
          <w:rFonts w:hint="eastAsia" w:ascii="宋体" w:hAnsi="宋体" w:eastAsia="Arial" w:cs="宋体"/>
          <w:sz w:val="24"/>
          <w:szCs w:val="20"/>
          <w:lang w:val="zh-CN"/>
        </w:rPr>
        <w:t>是，</w:t>
      </w:r>
      <w:r>
        <w:rPr>
          <w:rFonts w:hint="eastAsia" w:ascii="宋体" w:hAnsi="宋体" w:eastAsia="宋体" w:cs="宋体"/>
          <w:sz w:val="24"/>
          <w:szCs w:val="20"/>
        </w:rPr>
        <w:t xml:space="preserve"> </w:t>
      </w:r>
      <w:r>
        <w:rPr>
          <w:rFonts w:ascii="Wingdings" w:hAnsi="Wingdings" w:eastAsia="Wingdings" w:cs="Wingdings"/>
          <w:sz w:val="24"/>
          <w:szCs w:val="20"/>
          <w:lang w:val="zh-CN"/>
        </w:rPr>
        <w:t></w:t>
      </w:r>
      <w:r>
        <w:rPr>
          <w:rFonts w:hint="eastAsia" w:ascii="Wingdings" w:hAnsi="Wingdings" w:eastAsia="宋体" w:cs="Wingdings"/>
          <w:sz w:val="24"/>
          <w:szCs w:val="20"/>
        </w:rPr>
        <w:t>否</w:t>
      </w:r>
    </w:p>
    <w:p w14:paraId="6A9A6EDF">
      <w:pPr>
        <w:widowControl/>
        <w:spacing w:line="520" w:lineRule="exact"/>
        <w:ind w:firstLine="480"/>
        <w:rPr>
          <w:rFonts w:ascii="宋体" w:hAnsi="宋体" w:cs="宋体"/>
          <w:sz w:val="24"/>
          <w:szCs w:val="20"/>
          <w:u w:val="single"/>
        </w:rPr>
      </w:pPr>
      <w:r>
        <w:rPr>
          <w:rFonts w:hint="eastAsia" w:ascii="宋体" w:hAnsi="宋体" w:cs="宋体"/>
          <w:sz w:val="24"/>
          <w:szCs w:val="20"/>
          <w:lang w:val="zh-CN"/>
        </w:rPr>
        <w:t>验收组织的其他事项：</w:t>
      </w:r>
      <w:r>
        <w:rPr>
          <w:rFonts w:hint="eastAsia" w:ascii="宋体" w:hAnsi="宋体" w:cs="宋体"/>
          <w:sz w:val="24"/>
          <w:szCs w:val="20"/>
          <w:u w:val="single"/>
        </w:rPr>
        <w:t xml:space="preserve">             </w:t>
      </w:r>
    </w:p>
    <w:p w14:paraId="3C31A733">
      <w:pPr>
        <w:widowControl/>
        <w:spacing w:line="520" w:lineRule="exact"/>
        <w:ind w:firstLine="480"/>
        <w:rPr>
          <w:rFonts w:ascii="宋体" w:hAnsi="宋体" w:cs="宋体"/>
          <w:sz w:val="24"/>
          <w:szCs w:val="20"/>
          <w:u w:val="single"/>
          <w:lang w:val="zh-CN"/>
        </w:rPr>
      </w:pPr>
      <w:r>
        <w:rPr>
          <w:rFonts w:hint="eastAsia" w:ascii="宋体" w:hAnsi="宋体" w:cs="宋体"/>
          <w:sz w:val="24"/>
          <w:szCs w:val="20"/>
          <w:lang w:val="zh-CN"/>
        </w:rPr>
        <w:t>（2）履约验收时间：</w:t>
      </w:r>
      <w:r>
        <w:rPr>
          <w:rFonts w:hint="eastAsia" w:ascii="宋体" w:hAnsi="宋体" w:cs="宋体"/>
          <w:sz w:val="24"/>
          <w:szCs w:val="20"/>
          <w:u w:val="single"/>
          <w:lang w:val="zh-CN"/>
        </w:rPr>
        <w:t>供应商提出验收申请之日起5个工作日内组织验收</w:t>
      </w:r>
    </w:p>
    <w:p w14:paraId="54B4B2A3">
      <w:pPr>
        <w:widowControl/>
        <w:spacing w:line="520" w:lineRule="exact"/>
        <w:ind w:firstLine="480"/>
        <w:rPr>
          <w:rFonts w:ascii="宋体" w:hAnsi="宋体" w:cs="宋体"/>
          <w:sz w:val="24"/>
          <w:szCs w:val="20"/>
          <w:lang w:val="zh-CN"/>
        </w:rPr>
      </w:pPr>
      <w:r>
        <w:rPr>
          <w:rFonts w:hint="eastAsia" w:ascii="宋体" w:hAnsi="宋体" w:cs="宋体"/>
          <w:sz w:val="24"/>
          <w:szCs w:val="20"/>
          <w:lang w:val="zh-CN"/>
        </w:rPr>
        <w:t>（3）履约验收方式：</w:t>
      </w:r>
      <w:r>
        <w:rPr>
          <w:rFonts w:ascii="Wingdings" w:hAnsi="Wingdings" w:eastAsia="Wingdings" w:cs="Wingdings"/>
          <w:sz w:val="24"/>
        </w:rPr>
        <w:t></w:t>
      </w:r>
      <w:r>
        <w:rPr>
          <w:rFonts w:hint="eastAsia" w:ascii="宋体" w:hAnsi="宋体" w:cs="宋体"/>
          <w:sz w:val="24"/>
          <w:szCs w:val="20"/>
          <w:lang w:val="zh-CN"/>
        </w:rPr>
        <w:t xml:space="preserve">一次性验收         </w:t>
      </w:r>
    </w:p>
    <w:p w14:paraId="63FBA38D">
      <w:pPr>
        <w:widowControl/>
        <w:spacing w:line="520" w:lineRule="exact"/>
        <w:ind w:firstLine="480"/>
        <w:rPr>
          <w:rFonts w:ascii="宋体" w:hAnsi="宋体" w:cs="宋体"/>
          <w:sz w:val="24"/>
          <w:szCs w:val="20"/>
          <w:lang w:val="zh-CN"/>
        </w:rPr>
      </w:pPr>
      <w:r>
        <w:rPr>
          <w:rFonts w:hint="eastAsia" w:ascii="宋体" w:hAnsi="宋体" w:cs="宋体"/>
          <w:sz w:val="24"/>
          <w:szCs w:val="20"/>
          <w:lang w:val="zh-CN"/>
        </w:rPr>
        <w:t></w:t>
      </w:r>
      <w:r>
        <w:rPr>
          <w:rFonts w:hint="eastAsia" w:ascii="宋体" w:hAnsi="宋体" w:cs="宋体"/>
          <w:sz w:val="24"/>
          <w:szCs w:val="20"/>
        </w:rPr>
        <w:t xml:space="preserve">                 </w:t>
      </w:r>
      <w:r>
        <w:rPr>
          <w:rFonts w:ascii="Wingdings" w:hAnsi="Wingdings" w:eastAsia="Wingdings" w:cs="Wingdings"/>
          <w:sz w:val="24"/>
        </w:rPr>
        <w:t></w:t>
      </w:r>
      <w:r>
        <w:rPr>
          <w:rFonts w:hint="eastAsia" w:ascii="宋体" w:hAnsi="宋体" w:cs="宋体"/>
          <w:sz w:val="24"/>
          <w:szCs w:val="20"/>
          <w:lang w:val="zh-CN"/>
        </w:rPr>
        <w:t>分期/分项验收：</w:t>
      </w:r>
      <w:r>
        <w:rPr>
          <w:rFonts w:hint="eastAsia" w:ascii="宋体" w:hAnsi="宋体" w:cs="宋体"/>
          <w:sz w:val="24"/>
          <w:szCs w:val="20"/>
          <w:u w:val="single"/>
          <w:lang w:val="zh-CN"/>
        </w:rPr>
        <w:t>（应明确分期/分项验收的工作安排）</w:t>
      </w:r>
    </w:p>
    <w:p w14:paraId="645B42AE">
      <w:pPr>
        <w:widowControl/>
        <w:spacing w:line="520" w:lineRule="exact"/>
        <w:ind w:firstLine="480"/>
        <w:rPr>
          <w:rFonts w:ascii="宋体" w:hAnsi="宋体" w:cs="宋体"/>
          <w:sz w:val="24"/>
          <w:szCs w:val="20"/>
          <w:u w:val="single"/>
        </w:rPr>
      </w:pPr>
      <w:r>
        <w:rPr>
          <w:rFonts w:hint="eastAsia" w:ascii="宋体" w:hAnsi="宋体" w:cs="宋体"/>
          <w:sz w:val="24"/>
          <w:szCs w:val="20"/>
          <w:lang w:val="zh-CN"/>
        </w:rPr>
        <w:t>（4）履约验收程序：</w:t>
      </w:r>
      <w:r>
        <w:rPr>
          <w:rFonts w:hint="eastAsia" w:ascii="宋体" w:hAnsi="宋体"/>
          <w:bCs/>
          <w:sz w:val="24"/>
          <w:u w:val="single"/>
        </w:rPr>
        <w:t>同专用条款 第二节 第23.1款。</w:t>
      </w:r>
    </w:p>
    <w:p w14:paraId="5AE6C9C6">
      <w:pPr>
        <w:widowControl/>
        <w:spacing w:line="520" w:lineRule="exact"/>
        <w:ind w:firstLine="480"/>
        <w:rPr>
          <w:rFonts w:ascii="宋体" w:hAnsi="宋体" w:cs="宋体"/>
          <w:sz w:val="24"/>
          <w:szCs w:val="20"/>
          <w:lang w:val="zh-CN"/>
        </w:rPr>
      </w:pPr>
      <w:r>
        <w:rPr>
          <w:rFonts w:hint="eastAsia" w:ascii="宋体" w:hAnsi="宋体" w:cs="宋体"/>
          <w:sz w:val="24"/>
          <w:szCs w:val="20"/>
          <w:lang w:val="zh-CN"/>
        </w:rPr>
        <w:t>（5）履约验收的内容：</w:t>
      </w:r>
      <w:r>
        <w:rPr>
          <w:rFonts w:hint="eastAsia" w:ascii="宋体" w:hAnsi="宋体" w:cs="宋体"/>
          <w:sz w:val="24"/>
          <w:szCs w:val="20"/>
          <w:u w:val="single"/>
          <w:lang w:val="zh-CN"/>
        </w:rPr>
        <w:t>型号、规格、数量、外观是否完好等</w:t>
      </w:r>
      <w:r>
        <w:rPr>
          <w:rFonts w:hint="eastAsia" w:ascii="宋体" w:hAnsi="宋体" w:cs="宋体"/>
          <w:sz w:val="24"/>
          <w:szCs w:val="20"/>
          <w:lang w:val="zh-CN"/>
        </w:rPr>
        <w:t>；</w:t>
      </w:r>
    </w:p>
    <w:p w14:paraId="732430B7">
      <w:pPr>
        <w:widowControl/>
        <w:spacing w:line="520" w:lineRule="exact"/>
        <w:ind w:firstLine="480"/>
        <w:rPr>
          <w:rFonts w:ascii="宋体" w:hAnsi="宋体" w:cs="宋体"/>
          <w:sz w:val="24"/>
          <w:szCs w:val="20"/>
          <w:u w:val="single"/>
        </w:rPr>
      </w:pPr>
      <w:r>
        <w:rPr>
          <w:rFonts w:hint="eastAsia" w:ascii="宋体" w:hAnsi="宋体" w:cs="宋体"/>
          <w:sz w:val="24"/>
          <w:szCs w:val="20"/>
          <w:lang w:val="zh-CN"/>
        </w:rPr>
        <w:t>（6）履约验收标准：</w:t>
      </w:r>
      <w:r>
        <w:rPr>
          <w:rFonts w:hint="eastAsia" w:ascii="宋体" w:hAnsi="宋体" w:cs="宋体"/>
          <w:sz w:val="24"/>
          <w:szCs w:val="20"/>
          <w:u w:val="single"/>
        </w:rPr>
        <w:t>合格</w:t>
      </w:r>
    </w:p>
    <w:p w14:paraId="6E8ED55A">
      <w:pPr>
        <w:widowControl/>
        <w:spacing w:line="520" w:lineRule="exact"/>
        <w:ind w:firstLine="480"/>
        <w:rPr>
          <w:rFonts w:ascii="宋体" w:hAnsi="宋体" w:cs="宋体"/>
          <w:sz w:val="24"/>
          <w:szCs w:val="20"/>
          <w:lang w:val="zh-CN"/>
        </w:rPr>
      </w:pPr>
      <w:r>
        <w:rPr>
          <w:rFonts w:hint="eastAsia" w:ascii="宋体" w:hAnsi="宋体" w:cs="宋体"/>
          <w:sz w:val="24"/>
          <w:szCs w:val="20"/>
          <w:lang w:val="zh-CN"/>
        </w:rPr>
        <w:t>（7）是否以采购活动中供应商提供的样品作为参考：</w:t>
      </w:r>
      <w:r>
        <w:rPr>
          <w:rFonts w:ascii="Wingdings" w:hAnsi="Wingdings" w:eastAsia="Wingdings" w:cs="Wingdings"/>
          <w:sz w:val="24"/>
        </w:rPr>
        <w:t></w:t>
      </w:r>
      <w:r>
        <w:rPr>
          <w:rFonts w:hint="eastAsia" w:ascii="宋体" w:hAnsi="宋体" w:cs="宋体"/>
          <w:sz w:val="24"/>
          <w:szCs w:val="20"/>
          <w:lang w:val="zh-CN"/>
        </w:rPr>
        <w:t xml:space="preserve">是  </w:t>
      </w:r>
      <w:r>
        <w:rPr>
          <w:rFonts w:ascii="Wingdings" w:hAnsi="Wingdings" w:eastAsia="Wingdings" w:cs="Wingdings"/>
          <w:sz w:val="24"/>
        </w:rPr>
        <w:t></w:t>
      </w:r>
      <w:r>
        <w:rPr>
          <w:rFonts w:hint="eastAsia" w:ascii="宋体" w:hAnsi="宋体" w:cs="宋体"/>
          <w:sz w:val="24"/>
          <w:szCs w:val="20"/>
          <w:lang w:val="zh-CN"/>
        </w:rPr>
        <w:t>否</w:t>
      </w:r>
    </w:p>
    <w:p w14:paraId="3CC37E38">
      <w:pPr>
        <w:widowControl/>
        <w:spacing w:line="560" w:lineRule="exact"/>
        <w:ind w:firstLine="482"/>
        <w:jc w:val="left"/>
        <w:rPr>
          <w:rFonts w:ascii="宋体" w:hAnsi="宋体" w:cs="宋体"/>
          <w:sz w:val="24"/>
          <w:szCs w:val="20"/>
          <w:lang w:val="zh-CN"/>
        </w:rPr>
      </w:pPr>
      <w:r>
        <w:rPr>
          <w:rFonts w:hint="eastAsia" w:ascii="宋体" w:hAnsi="宋体" w:cs="宋体"/>
          <w:sz w:val="24"/>
          <w:szCs w:val="20"/>
          <w:lang w:val="zh-CN"/>
        </w:rPr>
        <w:t>（8）履约验收其他事项：</w:t>
      </w:r>
      <w:r>
        <w:rPr>
          <w:rFonts w:hint="eastAsia" w:ascii="宋体" w:hAnsi="宋体" w:cs="宋体"/>
          <w:sz w:val="24"/>
          <w:szCs w:val="20"/>
          <w:u w:val="single"/>
          <w:lang w:val="zh-CN"/>
        </w:rPr>
        <w:t>因验收不合格而导致增加的费用（包括但不限于第三方检测机构费用等）均由乙方承担。</w:t>
      </w:r>
    </w:p>
    <w:p w14:paraId="01717BD4">
      <w:pPr>
        <w:widowControl/>
        <w:spacing w:line="560" w:lineRule="exact"/>
        <w:ind w:firstLine="482"/>
        <w:jc w:val="left"/>
        <w:rPr>
          <w:rFonts w:ascii="宋体" w:hAnsi="宋体" w:eastAsia="Arial" w:cs="宋体"/>
          <w:b/>
          <w:bCs/>
          <w:sz w:val="24"/>
          <w:szCs w:val="20"/>
          <w:lang w:val="zh-CN"/>
        </w:rPr>
      </w:pPr>
      <w:r>
        <w:rPr>
          <w:rFonts w:hint="eastAsia" w:ascii="宋体" w:hAnsi="宋体" w:eastAsia="Arial" w:cs="宋体"/>
          <w:b/>
          <w:bCs/>
          <w:sz w:val="24"/>
          <w:szCs w:val="20"/>
          <w:lang w:val="zh-CN"/>
        </w:rPr>
        <w:t>5.组成合同的文件</w:t>
      </w:r>
    </w:p>
    <w:p w14:paraId="2B7BC234">
      <w:pPr>
        <w:widowControl/>
        <w:spacing w:line="560" w:lineRule="exact"/>
        <w:ind w:firstLine="482"/>
        <w:jc w:val="left"/>
        <w:rPr>
          <w:rFonts w:ascii="宋体" w:hAnsi="宋体" w:eastAsia="Arial" w:cs="宋体"/>
          <w:sz w:val="24"/>
          <w:szCs w:val="20"/>
          <w:lang w:val="zh-CN"/>
        </w:rPr>
      </w:pPr>
      <w:r>
        <w:rPr>
          <w:rFonts w:hint="eastAsia" w:ascii="宋体" w:hAnsi="宋体" w:eastAsia="Arial" w:cs="宋体"/>
          <w:sz w:val="24"/>
          <w:szCs w:val="20"/>
          <w:lang w:val="zh-CN"/>
        </w:rPr>
        <w:t>本协议书与下列文件一起构成合同文件，如下述文件之间有任何抵触、矛盾或歧义，应按以下顺序解释：</w:t>
      </w:r>
    </w:p>
    <w:p w14:paraId="7059CC9B">
      <w:pPr>
        <w:widowControl/>
        <w:spacing w:line="560" w:lineRule="exact"/>
        <w:ind w:firstLine="482"/>
        <w:jc w:val="left"/>
        <w:rPr>
          <w:rFonts w:ascii="宋体" w:hAnsi="宋体" w:eastAsia="Arial" w:cs="宋体"/>
          <w:sz w:val="24"/>
          <w:szCs w:val="20"/>
          <w:lang w:val="zh-CN"/>
        </w:rPr>
      </w:pPr>
      <w:r>
        <w:rPr>
          <w:rFonts w:hint="eastAsia" w:ascii="宋体" w:hAnsi="宋体" w:eastAsia="Arial" w:cs="宋体"/>
          <w:sz w:val="24"/>
          <w:szCs w:val="20"/>
          <w:lang w:val="zh-CN"/>
        </w:rPr>
        <w:t>（1）政府采购合同协议书及其变更、补充协议</w:t>
      </w:r>
    </w:p>
    <w:p w14:paraId="28A08B9E">
      <w:pPr>
        <w:widowControl/>
        <w:spacing w:line="560" w:lineRule="exact"/>
        <w:ind w:firstLine="482"/>
        <w:jc w:val="left"/>
        <w:rPr>
          <w:rFonts w:ascii="宋体" w:hAnsi="宋体" w:eastAsia="Arial" w:cs="宋体"/>
          <w:sz w:val="24"/>
          <w:szCs w:val="20"/>
          <w:lang w:val="zh-CN"/>
        </w:rPr>
      </w:pPr>
      <w:r>
        <w:rPr>
          <w:rFonts w:hint="eastAsia" w:ascii="宋体" w:hAnsi="宋体" w:eastAsia="Arial" w:cs="宋体"/>
          <w:sz w:val="24"/>
          <w:szCs w:val="20"/>
          <w:lang w:val="zh-CN"/>
        </w:rPr>
        <w:t>（2）政府采购合同专用条款</w:t>
      </w:r>
    </w:p>
    <w:p w14:paraId="0F7453FF">
      <w:pPr>
        <w:widowControl/>
        <w:spacing w:line="560" w:lineRule="exact"/>
        <w:ind w:firstLine="482"/>
        <w:jc w:val="left"/>
        <w:rPr>
          <w:rFonts w:ascii="宋体" w:hAnsi="宋体" w:eastAsia="Arial" w:cs="宋体"/>
          <w:sz w:val="24"/>
          <w:szCs w:val="20"/>
          <w:lang w:val="zh-CN"/>
        </w:rPr>
      </w:pPr>
      <w:r>
        <w:rPr>
          <w:rFonts w:hint="eastAsia" w:ascii="宋体" w:hAnsi="宋体" w:eastAsia="Arial" w:cs="宋体"/>
          <w:sz w:val="24"/>
          <w:szCs w:val="20"/>
          <w:lang w:val="zh-CN"/>
        </w:rPr>
        <w:t>（3）政府采购合同通用条款</w:t>
      </w:r>
    </w:p>
    <w:p w14:paraId="5DCFD5C9">
      <w:pPr>
        <w:widowControl/>
        <w:spacing w:line="560" w:lineRule="exact"/>
        <w:ind w:firstLine="482"/>
        <w:jc w:val="left"/>
        <w:rPr>
          <w:rFonts w:ascii="宋体" w:hAnsi="宋体" w:eastAsia="Arial" w:cs="宋体"/>
          <w:sz w:val="24"/>
          <w:szCs w:val="20"/>
          <w:lang w:val="zh-CN"/>
        </w:rPr>
      </w:pPr>
      <w:r>
        <w:rPr>
          <w:rFonts w:hint="eastAsia" w:ascii="宋体" w:hAnsi="宋体" w:eastAsia="Arial" w:cs="宋体"/>
          <w:sz w:val="24"/>
          <w:szCs w:val="20"/>
          <w:lang w:val="zh-CN"/>
        </w:rPr>
        <w:t>（4）中标（成交）通知书</w:t>
      </w:r>
    </w:p>
    <w:p w14:paraId="70402A2F">
      <w:pPr>
        <w:widowControl/>
        <w:spacing w:line="560" w:lineRule="exact"/>
        <w:ind w:firstLine="482"/>
        <w:jc w:val="left"/>
        <w:rPr>
          <w:rFonts w:ascii="宋体" w:hAnsi="宋体" w:eastAsia="Arial" w:cs="宋体"/>
          <w:sz w:val="24"/>
          <w:szCs w:val="20"/>
          <w:lang w:val="zh-CN"/>
        </w:rPr>
      </w:pPr>
      <w:r>
        <w:rPr>
          <w:rFonts w:hint="eastAsia" w:ascii="宋体" w:hAnsi="宋体" w:eastAsia="Arial" w:cs="宋体"/>
          <w:sz w:val="24"/>
          <w:szCs w:val="20"/>
          <w:lang w:val="zh-CN"/>
        </w:rPr>
        <w:t>（5）投标（响应）文件</w:t>
      </w:r>
    </w:p>
    <w:p w14:paraId="1504976C">
      <w:pPr>
        <w:widowControl/>
        <w:spacing w:line="560" w:lineRule="exact"/>
        <w:ind w:firstLine="482"/>
        <w:jc w:val="left"/>
        <w:rPr>
          <w:rFonts w:ascii="宋体" w:hAnsi="宋体" w:eastAsia="Arial" w:cs="宋体"/>
          <w:sz w:val="24"/>
          <w:szCs w:val="20"/>
          <w:lang w:val="zh-CN"/>
        </w:rPr>
      </w:pPr>
      <w:r>
        <w:rPr>
          <w:rFonts w:hint="eastAsia" w:ascii="宋体" w:hAnsi="宋体" w:eastAsia="Arial" w:cs="宋体"/>
          <w:sz w:val="24"/>
          <w:szCs w:val="20"/>
          <w:lang w:val="zh-CN"/>
        </w:rPr>
        <w:t>（6）采购文件</w:t>
      </w:r>
    </w:p>
    <w:p w14:paraId="56A57976">
      <w:pPr>
        <w:widowControl/>
        <w:spacing w:line="560" w:lineRule="exact"/>
        <w:ind w:firstLine="482"/>
        <w:jc w:val="left"/>
        <w:rPr>
          <w:rFonts w:ascii="宋体" w:hAnsi="宋体" w:eastAsia="Arial" w:cs="宋体"/>
          <w:sz w:val="24"/>
          <w:szCs w:val="20"/>
          <w:lang w:val="zh-CN"/>
        </w:rPr>
      </w:pPr>
      <w:r>
        <w:rPr>
          <w:rFonts w:hint="eastAsia" w:ascii="宋体" w:hAnsi="宋体" w:eastAsia="Arial" w:cs="宋体"/>
          <w:sz w:val="24"/>
          <w:szCs w:val="20"/>
          <w:lang w:val="zh-CN"/>
        </w:rPr>
        <w:t>（7）有关技术文件，图纸</w:t>
      </w:r>
    </w:p>
    <w:p w14:paraId="520561F2">
      <w:pPr>
        <w:widowControl/>
        <w:spacing w:line="560" w:lineRule="exact"/>
        <w:ind w:firstLine="482"/>
        <w:jc w:val="left"/>
        <w:rPr>
          <w:rFonts w:ascii="宋体" w:hAnsi="宋体" w:eastAsia="Arial" w:cs="宋体"/>
          <w:sz w:val="24"/>
          <w:szCs w:val="20"/>
          <w:lang w:val="zh-CN"/>
        </w:rPr>
      </w:pPr>
      <w:r>
        <w:rPr>
          <w:rFonts w:hint="eastAsia" w:ascii="宋体" w:hAnsi="宋体" w:eastAsia="Arial" w:cs="宋体"/>
          <w:sz w:val="24"/>
          <w:szCs w:val="20"/>
          <w:lang w:val="zh-CN"/>
        </w:rPr>
        <w:t>（8）国家法律、行政法规和规章制度规定或合同约定的作为合同组成部分的其他文件</w:t>
      </w:r>
    </w:p>
    <w:p w14:paraId="12EFBD38">
      <w:pPr>
        <w:widowControl/>
        <w:spacing w:line="560" w:lineRule="exact"/>
        <w:ind w:firstLine="482"/>
        <w:jc w:val="left"/>
        <w:rPr>
          <w:rFonts w:ascii="宋体" w:hAnsi="宋体" w:eastAsia="Arial" w:cs="宋体"/>
          <w:b/>
          <w:bCs/>
          <w:sz w:val="24"/>
          <w:szCs w:val="20"/>
          <w:lang w:val="zh-CN"/>
        </w:rPr>
      </w:pPr>
      <w:r>
        <w:rPr>
          <w:rFonts w:hint="eastAsia" w:ascii="宋体" w:hAnsi="宋体" w:eastAsia="Arial" w:cs="宋体"/>
          <w:b/>
          <w:bCs/>
          <w:sz w:val="24"/>
          <w:szCs w:val="20"/>
          <w:lang w:val="zh-CN"/>
        </w:rPr>
        <w:t>6.合同生效</w:t>
      </w:r>
    </w:p>
    <w:p w14:paraId="3D0CC8FA">
      <w:pPr>
        <w:widowControl/>
        <w:spacing w:line="560" w:lineRule="exact"/>
        <w:ind w:firstLine="482"/>
        <w:jc w:val="left"/>
        <w:rPr>
          <w:rFonts w:ascii="宋体" w:hAnsi="宋体" w:eastAsia="Arial" w:cs="宋体"/>
          <w:sz w:val="24"/>
          <w:szCs w:val="20"/>
          <w:lang w:val="zh-CN"/>
        </w:rPr>
      </w:pPr>
      <w:r>
        <w:rPr>
          <w:rFonts w:hint="eastAsia" w:ascii="宋体" w:hAnsi="宋体" w:eastAsia="Arial" w:cs="宋体"/>
          <w:sz w:val="24"/>
          <w:szCs w:val="20"/>
          <w:lang w:val="zh-CN"/>
        </w:rPr>
        <w:t>本合同自</w:t>
      </w:r>
      <w:r>
        <w:rPr>
          <w:rFonts w:hint="eastAsia" w:ascii="宋体" w:hAnsi="宋体" w:eastAsia="宋体" w:cs="宋体"/>
          <w:sz w:val="24"/>
          <w:szCs w:val="20"/>
          <w:u w:val="single"/>
        </w:rPr>
        <w:t>2026</w:t>
      </w:r>
      <w:r>
        <w:rPr>
          <w:rFonts w:hint="eastAsia" w:ascii="宋体" w:hAnsi="宋体" w:eastAsia="Arial" w:cs="宋体"/>
          <w:sz w:val="24"/>
          <w:szCs w:val="20"/>
          <w:lang w:val="zh-CN"/>
        </w:rPr>
        <w:t>年</w:t>
      </w:r>
      <w:r>
        <w:rPr>
          <w:rFonts w:hint="eastAsia" w:ascii="宋体" w:hAnsi="宋体" w:eastAsia="Arial" w:cs="宋体"/>
          <w:sz w:val="24"/>
          <w:szCs w:val="20"/>
          <w:u w:val="single"/>
          <w:lang w:val="zh-CN"/>
        </w:rPr>
        <w:t xml:space="preserve">    </w:t>
      </w:r>
      <w:r>
        <w:rPr>
          <w:rFonts w:hint="eastAsia" w:ascii="宋体" w:hAnsi="宋体" w:eastAsia="Arial" w:cs="宋体"/>
          <w:sz w:val="24"/>
          <w:szCs w:val="20"/>
          <w:lang w:val="zh-CN"/>
        </w:rPr>
        <w:t>月</w:t>
      </w:r>
      <w:r>
        <w:rPr>
          <w:rFonts w:hint="eastAsia" w:ascii="宋体" w:hAnsi="宋体" w:eastAsia="Arial" w:cs="宋体"/>
          <w:sz w:val="24"/>
          <w:szCs w:val="20"/>
          <w:u w:val="single"/>
          <w:lang w:val="zh-CN"/>
        </w:rPr>
        <w:t xml:space="preserve">    </w:t>
      </w:r>
      <w:r>
        <w:rPr>
          <w:rFonts w:hint="eastAsia" w:ascii="宋体" w:hAnsi="宋体" w:eastAsia="Arial" w:cs="宋体"/>
          <w:sz w:val="24"/>
          <w:szCs w:val="20"/>
          <w:lang w:val="zh-CN"/>
        </w:rPr>
        <w:t>日生效。</w:t>
      </w:r>
    </w:p>
    <w:p w14:paraId="271AF315">
      <w:pPr>
        <w:widowControl/>
        <w:spacing w:line="520" w:lineRule="exact"/>
        <w:ind w:firstLine="480"/>
        <w:rPr>
          <w:rFonts w:ascii="宋体" w:hAnsi="宋体" w:cs="宋体"/>
          <w:b/>
          <w:bCs/>
          <w:sz w:val="24"/>
          <w:szCs w:val="20"/>
          <w:lang w:val="zh-CN"/>
        </w:rPr>
      </w:pPr>
      <w:r>
        <w:rPr>
          <w:rFonts w:hint="eastAsia" w:ascii="宋体" w:hAnsi="宋体" w:cs="宋体"/>
          <w:b/>
          <w:bCs/>
          <w:sz w:val="24"/>
          <w:szCs w:val="20"/>
          <w:lang w:val="zh-CN"/>
        </w:rPr>
        <w:t>7.合同份数</w:t>
      </w:r>
    </w:p>
    <w:p w14:paraId="5E985DAF">
      <w:pPr>
        <w:widowControl/>
        <w:spacing w:line="560" w:lineRule="exact"/>
        <w:ind w:firstLine="482"/>
        <w:jc w:val="left"/>
        <w:rPr>
          <w:rFonts w:ascii="宋体" w:hAnsi="宋体" w:eastAsia="Arial" w:cs="宋体"/>
          <w:sz w:val="24"/>
          <w:szCs w:val="20"/>
          <w:lang w:val="zh-CN"/>
        </w:rPr>
      </w:pPr>
      <w:r>
        <w:rPr>
          <w:rFonts w:hint="eastAsia" w:ascii="宋体" w:hAnsi="宋体" w:eastAsia="Arial" w:cs="宋体"/>
          <w:sz w:val="24"/>
          <w:szCs w:val="20"/>
          <w:lang w:val="zh-CN"/>
        </w:rPr>
        <w:t>本合同一式</w:t>
      </w:r>
      <w:r>
        <w:rPr>
          <w:rFonts w:hint="eastAsia" w:ascii="宋体" w:hAnsi="宋体" w:eastAsia="宋体" w:cs="宋体"/>
          <w:sz w:val="24"/>
          <w:szCs w:val="20"/>
          <w:u w:val="single"/>
        </w:rPr>
        <w:t>肆</w:t>
      </w:r>
      <w:r>
        <w:rPr>
          <w:rFonts w:hint="eastAsia" w:ascii="宋体" w:hAnsi="宋体" w:eastAsia="Arial" w:cs="宋体"/>
          <w:sz w:val="24"/>
          <w:szCs w:val="20"/>
          <w:lang w:val="zh-CN"/>
        </w:rPr>
        <w:t>份，甲方执</w:t>
      </w:r>
      <w:r>
        <w:rPr>
          <w:rFonts w:hint="eastAsia" w:ascii="宋体" w:hAnsi="宋体" w:eastAsia="宋体" w:cs="宋体"/>
          <w:sz w:val="24"/>
          <w:szCs w:val="20"/>
          <w:u w:val="single"/>
        </w:rPr>
        <w:t>贰</w:t>
      </w:r>
      <w:r>
        <w:rPr>
          <w:rFonts w:hint="eastAsia" w:ascii="宋体" w:hAnsi="宋体" w:eastAsia="Arial" w:cs="宋体"/>
          <w:sz w:val="24"/>
          <w:szCs w:val="20"/>
          <w:lang w:val="zh-CN"/>
        </w:rPr>
        <w:t>份，乙方执</w:t>
      </w:r>
      <w:r>
        <w:rPr>
          <w:rFonts w:hint="eastAsia" w:ascii="宋体" w:hAnsi="宋体" w:eastAsia="宋体" w:cs="宋体"/>
          <w:sz w:val="24"/>
          <w:szCs w:val="20"/>
          <w:u w:val="single"/>
        </w:rPr>
        <w:t>贰</w:t>
      </w:r>
      <w:r>
        <w:rPr>
          <w:rFonts w:hint="eastAsia" w:ascii="宋体" w:hAnsi="宋体" w:eastAsia="Arial" w:cs="宋体"/>
          <w:sz w:val="24"/>
          <w:szCs w:val="20"/>
          <w:lang w:val="zh-CN"/>
        </w:rPr>
        <w:t>份，均具有同等法律效力。</w:t>
      </w:r>
    </w:p>
    <w:p w14:paraId="2959FB7D">
      <w:pPr>
        <w:widowControl/>
        <w:spacing w:line="560" w:lineRule="exact"/>
        <w:ind w:firstLine="482"/>
        <w:jc w:val="left"/>
        <w:rPr>
          <w:rFonts w:ascii="宋体" w:hAnsi="宋体" w:eastAsia="Arial" w:cs="宋体"/>
          <w:sz w:val="24"/>
          <w:szCs w:val="20"/>
          <w:lang w:val="zh-CN"/>
        </w:rPr>
      </w:pPr>
      <w:r>
        <w:rPr>
          <w:rFonts w:hint="eastAsia" w:ascii="宋体" w:hAnsi="宋体" w:eastAsia="Arial" w:cs="宋体"/>
          <w:sz w:val="24"/>
          <w:szCs w:val="20"/>
          <w:lang w:val="zh-CN"/>
        </w:rPr>
        <w:t>合同订立时间：</w:t>
      </w:r>
      <w:r>
        <w:rPr>
          <w:rFonts w:hint="eastAsia" w:ascii="宋体" w:hAnsi="宋体" w:eastAsia="Arial" w:cs="宋体"/>
          <w:sz w:val="24"/>
          <w:szCs w:val="20"/>
          <w:u w:val="single"/>
          <w:lang w:val="zh-CN"/>
        </w:rPr>
        <w:t xml:space="preserve">    </w:t>
      </w:r>
      <w:r>
        <w:rPr>
          <w:rFonts w:hint="eastAsia" w:ascii="宋体" w:hAnsi="宋体" w:eastAsia="Arial" w:cs="宋体"/>
          <w:sz w:val="24"/>
          <w:szCs w:val="20"/>
          <w:lang w:val="zh-CN"/>
        </w:rPr>
        <w:t xml:space="preserve">年 </w:t>
      </w:r>
      <w:r>
        <w:rPr>
          <w:rFonts w:hint="eastAsia" w:ascii="宋体" w:hAnsi="宋体" w:eastAsia="Arial" w:cs="宋体"/>
          <w:sz w:val="24"/>
          <w:szCs w:val="20"/>
          <w:u w:val="single"/>
          <w:lang w:val="zh-CN"/>
        </w:rPr>
        <w:t xml:space="preserve">    </w:t>
      </w:r>
      <w:r>
        <w:rPr>
          <w:rFonts w:hint="eastAsia" w:ascii="宋体" w:hAnsi="宋体" w:eastAsia="Arial" w:cs="宋体"/>
          <w:sz w:val="24"/>
          <w:szCs w:val="20"/>
          <w:lang w:val="zh-CN"/>
        </w:rPr>
        <w:t xml:space="preserve">月 </w:t>
      </w:r>
      <w:r>
        <w:rPr>
          <w:rFonts w:hint="eastAsia" w:ascii="宋体" w:hAnsi="宋体" w:eastAsia="Arial" w:cs="宋体"/>
          <w:sz w:val="24"/>
          <w:szCs w:val="20"/>
          <w:u w:val="single"/>
          <w:lang w:val="zh-CN"/>
        </w:rPr>
        <w:t xml:space="preserve">    </w:t>
      </w:r>
      <w:r>
        <w:rPr>
          <w:rFonts w:hint="eastAsia" w:ascii="宋体" w:hAnsi="宋体" w:eastAsia="Arial" w:cs="宋体"/>
          <w:sz w:val="24"/>
          <w:szCs w:val="20"/>
          <w:lang w:val="zh-CN"/>
        </w:rPr>
        <w:t>日</w:t>
      </w:r>
    </w:p>
    <w:p w14:paraId="0583544D">
      <w:pPr>
        <w:widowControl/>
        <w:spacing w:line="560" w:lineRule="exact"/>
        <w:ind w:firstLine="482"/>
        <w:jc w:val="left"/>
        <w:rPr>
          <w:rFonts w:ascii="宋体" w:hAnsi="宋体" w:eastAsia="宋体" w:cs="宋体"/>
          <w:sz w:val="24"/>
          <w:szCs w:val="20"/>
        </w:rPr>
      </w:pPr>
      <w:r>
        <w:rPr>
          <w:rFonts w:hint="eastAsia" w:ascii="宋体" w:hAnsi="宋体" w:eastAsia="Arial" w:cs="宋体"/>
          <w:sz w:val="24"/>
          <w:szCs w:val="20"/>
          <w:lang w:val="zh-CN"/>
        </w:rPr>
        <w:t>合同订立地点：</w:t>
      </w:r>
      <w:r>
        <w:rPr>
          <w:rFonts w:hint="eastAsia" w:ascii="宋体" w:hAnsi="宋体" w:eastAsia="宋体" w:cs="宋体"/>
          <w:sz w:val="24"/>
          <w:szCs w:val="20"/>
          <w:u w:val="single"/>
        </w:rPr>
        <w:t>盐城市教育局</w:t>
      </w:r>
    </w:p>
    <w:p w14:paraId="3F6D46F9">
      <w:pPr>
        <w:widowControl/>
        <w:spacing w:line="560" w:lineRule="exact"/>
        <w:ind w:firstLine="482"/>
        <w:jc w:val="left"/>
        <w:rPr>
          <w:rFonts w:ascii="宋体" w:hAnsi="宋体" w:eastAsia="Arial" w:cs="宋体"/>
          <w:sz w:val="24"/>
          <w:szCs w:val="20"/>
          <w:lang w:val="zh-CN"/>
        </w:rPr>
      </w:pPr>
      <w:r>
        <w:rPr>
          <w:rFonts w:hint="eastAsia" w:ascii="宋体" w:hAnsi="宋体" w:eastAsia="Arial" w:cs="宋体"/>
          <w:sz w:val="24"/>
          <w:szCs w:val="20"/>
          <w:lang w:val="zh-CN"/>
        </w:rPr>
        <w:t>附件：具体标的及其技术要求和商务要求、联合协议、分包意向协议等。</w:t>
      </w:r>
    </w:p>
    <w:p w14:paraId="6E9F7917">
      <w:pPr>
        <w:pStyle w:val="239"/>
        <w:widowControl/>
        <w:spacing w:before="156"/>
        <w:outlineLvl w:val="9"/>
        <w:rPr>
          <w:rFonts w:hint="default" w:cs="宋体"/>
          <w:b w:val="0"/>
          <w:bCs w:val="0"/>
          <w:sz w:val="24"/>
          <w:szCs w:val="24"/>
        </w:rPr>
      </w:pPr>
      <w:r>
        <w:rPr>
          <w:rFonts w:cs="宋体"/>
          <w:b w:val="0"/>
          <w:bCs w:val="0"/>
          <w:sz w:val="24"/>
          <w:szCs w:val="24"/>
        </w:rPr>
        <w:br w:type="page" w:clear="all"/>
      </w:r>
    </w:p>
    <w:tbl>
      <w:tblPr>
        <w:tblStyle w:val="40"/>
        <w:tblW w:w="4893"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top w:w="0" w:type="dxa"/>
          <w:left w:w="108" w:type="dxa"/>
          <w:bottom w:w="0" w:type="dxa"/>
          <w:right w:w="108" w:type="dxa"/>
        </w:tblCellMar>
      </w:tblPr>
      <w:tblGrid>
        <w:gridCol w:w="2016"/>
        <w:gridCol w:w="2449"/>
        <w:gridCol w:w="2105"/>
        <w:gridCol w:w="2096"/>
      </w:tblGrid>
      <w:tr w14:paraId="7842D6F5">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90" w:hRule="atLeast"/>
          <w:jc w:val="center"/>
        </w:trPr>
        <w:tc>
          <w:tcPr>
            <w:tcW w:w="4466" w:type="dxa"/>
            <w:gridSpan w:val="2"/>
            <w:tcBorders>
              <w:bottom w:val="single" w:color="000000" w:sz="2" w:space="0"/>
              <w:right w:val="single" w:color="000000" w:sz="2" w:space="0"/>
            </w:tcBorders>
            <w:vAlign w:val="center"/>
          </w:tcPr>
          <w:p w14:paraId="5D89F787">
            <w:pPr>
              <w:widowControl/>
              <w:spacing w:line="500" w:lineRule="exact"/>
              <w:jc w:val="center"/>
              <w:rPr>
                <w:rFonts w:ascii="宋体" w:hAnsi="宋体" w:eastAsia="宋体" w:cs="宋体"/>
                <w:sz w:val="24"/>
                <w:szCs w:val="20"/>
              </w:rPr>
            </w:pPr>
            <w:r>
              <w:rPr>
                <w:rFonts w:hint="eastAsia" w:ascii="宋体" w:hAnsi="宋体" w:eastAsia="宋体" w:cs="宋体"/>
                <w:sz w:val="24"/>
                <w:szCs w:val="20"/>
              </w:rPr>
              <w:t>甲方（采购人、受采购人委托签订合同的单位或采购文件约定的合同甲方）</w:t>
            </w:r>
          </w:p>
        </w:tc>
        <w:tc>
          <w:tcPr>
            <w:tcW w:w="4201" w:type="dxa"/>
            <w:gridSpan w:val="2"/>
            <w:tcBorders>
              <w:left w:val="single" w:color="000000" w:sz="2" w:space="0"/>
              <w:bottom w:val="single" w:color="000000" w:sz="2" w:space="0"/>
            </w:tcBorders>
            <w:vAlign w:val="center"/>
          </w:tcPr>
          <w:p w14:paraId="6A743C3D">
            <w:pPr>
              <w:widowControl/>
              <w:spacing w:line="500" w:lineRule="exact"/>
              <w:ind w:firstLine="482"/>
              <w:jc w:val="center"/>
              <w:rPr>
                <w:rFonts w:ascii="宋体" w:hAnsi="宋体" w:eastAsia="宋体" w:cs="宋体"/>
                <w:sz w:val="24"/>
                <w:szCs w:val="20"/>
              </w:rPr>
            </w:pPr>
            <w:r>
              <w:rPr>
                <w:rFonts w:hint="eastAsia" w:ascii="宋体" w:hAnsi="宋体" w:eastAsia="宋体" w:cs="宋体"/>
                <w:sz w:val="24"/>
                <w:szCs w:val="20"/>
              </w:rPr>
              <w:t>乙方（供应商）</w:t>
            </w:r>
          </w:p>
        </w:tc>
      </w:tr>
      <w:tr w14:paraId="24C4F16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917" w:hRule="atLeast"/>
          <w:jc w:val="center"/>
        </w:trPr>
        <w:tc>
          <w:tcPr>
            <w:tcW w:w="2017" w:type="dxa"/>
            <w:tcBorders>
              <w:top w:val="single" w:color="000000" w:sz="2" w:space="0"/>
              <w:bottom w:val="single" w:color="000000" w:sz="2" w:space="0"/>
              <w:right w:val="single" w:color="000000" w:sz="2" w:space="0"/>
            </w:tcBorders>
            <w:vAlign w:val="center"/>
          </w:tcPr>
          <w:p w14:paraId="5D8969A1">
            <w:pPr>
              <w:widowControl/>
              <w:spacing w:line="500" w:lineRule="exact"/>
              <w:jc w:val="center"/>
              <w:rPr>
                <w:rFonts w:ascii="宋体" w:hAnsi="宋体" w:eastAsia="宋体" w:cs="宋体"/>
                <w:sz w:val="24"/>
                <w:szCs w:val="20"/>
              </w:rPr>
            </w:pPr>
            <w:r>
              <w:rPr>
                <w:rFonts w:hint="eastAsia" w:ascii="宋体" w:hAnsi="宋体" w:eastAsia="宋体" w:cs="宋体"/>
                <w:sz w:val="24"/>
                <w:szCs w:val="20"/>
              </w:rPr>
              <w:t>单位名称（公章或合同章）</w:t>
            </w:r>
          </w:p>
        </w:tc>
        <w:tc>
          <w:tcPr>
            <w:tcW w:w="2449" w:type="dxa"/>
            <w:tcBorders>
              <w:top w:val="single" w:color="000000" w:sz="2" w:space="0"/>
              <w:left w:val="single" w:color="000000" w:sz="2" w:space="0"/>
              <w:bottom w:val="single" w:color="000000" w:sz="2" w:space="0"/>
              <w:right w:val="single" w:color="000000" w:sz="2" w:space="0"/>
            </w:tcBorders>
            <w:vAlign w:val="center"/>
          </w:tcPr>
          <w:p w14:paraId="1FE91202">
            <w:pPr>
              <w:widowControl/>
              <w:spacing w:line="500" w:lineRule="exact"/>
              <w:jc w:val="center"/>
              <w:rPr>
                <w:rFonts w:ascii="宋体" w:hAnsi="宋体" w:eastAsia="宋体" w:cs="宋体"/>
                <w:sz w:val="24"/>
                <w:szCs w:val="20"/>
              </w:rPr>
            </w:pPr>
            <w:r>
              <w:rPr>
                <w:rFonts w:hint="eastAsia"/>
                <w:sz w:val="24"/>
              </w:rPr>
              <w:t>盐城市教育局</w:t>
            </w:r>
          </w:p>
        </w:tc>
        <w:tc>
          <w:tcPr>
            <w:tcW w:w="2105" w:type="dxa"/>
            <w:tcBorders>
              <w:top w:val="single" w:color="000000" w:sz="2" w:space="0"/>
              <w:left w:val="single" w:color="000000" w:sz="2" w:space="0"/>
              <w:bottom w:val="single" w:color="000000" w:sz="2" w:space="0"/>
              <w:right w:val="single" w:color="000000" w:sz="2" w:space="0"/>
            </w:tcBorders>
            <w:vAlign w:val="center"/>
          </w:tcPr>
          <w:p w14:paraId="362C4BFD">
            <w:pPr>
              <w:widowControl/>
              <w:spacing w:line="500" w:lineRule="exact"/>
              <w:jc w:val="center"/>
              <w:rPr>
                <w:rFonts w:ascii="宋体" w:hAnsi="宋体" w:eastAsia="宋体" w:cs="宋体"/>
                <w:sz w:val="24"/>
                <w:szCs w:val="20"/>
              </w:rPr>
            </w:pPr>
            <w:r>
              <w:rPr>
                <w:rFonts w:hint="eastAsia" w:ascii="宋体" w:hAnsi="宋体" w:eastAsia="宋体" w:cs="宋体"/>
                <w:sz w:val="24"/>
                <w:szCs w:val="20"/>
              </w:rPr>
              <w:t>单位名称（公章或合同章）</w:t>
            </w:r>
          </w:p>
        </w:tc>
        <w:tc>
          <w:tcPr>
            <w:tcW w:w="2096" w:type="dxa"/>
            <w:tcBorders>
              <w:top w:val="single" w:color="000000" w:sz="2" w:space="0"/>
              <w:left w:val="single" w:color="000000" w:sz="2" w:space="0"/>
              <w:bottom w:val="single" w:color="000000" w:sz="2" w:space="0"/>
            </w:tcBorders>
            <w:vAlign w:val="center"/>
          </w:tcPr>
          <w:p w14:paraId="0636B4DD">
            <w:pPr>
              <w:widowControl/>
              <w:spacing w:line="500" w:lineRule="exact"/>
              <w:ind w:firstLine="482"/>
              <w:jc w:val="center"/>
              <w:rPr>
                <w:rFonts w:ascii="宋体" w:hAnsi="宋体" w:eastAsia="宋体" w:cs="宋体"/>
                <w:sz w:val="24"/>
                <w:szCs w:val="20"/>
              </w:rPr>
            </w:pPr>
          </w:p>
        </w:tc>
      </w:tr>
      <w:tr w14:paraId="5C96FE1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1171" w:hRule="atLeast"/>
          <w:jc w:val="center"/>
        </w:trPr>
        <w:tc>
          <w:tcPr>
            <w:tcW w:w="2017" w:type="dxa"/>
            <w:vMerge w:val="restart"/>
            <w:tcBorders>
              <w:top w:val="single" w:color="000000" w:sz="2" w:space="0"/>
              <w:right w:val="single" w:color="000000" w:sz="2" w:space="0"/>
            </w:tcBorders>
            <w:vAlign w:val="center"/>
          </w:tcPr>
          <w:p w14:paraId="38B56BE8">
            <w:pPr>
              <w:widowControl/>
              <w:spacing w:line="500" w:lineRule="exact"/>
              <w:jc w:val="center"/>
              <w:rPr>
                <w:rFonts w:ascii="宋体" w:hAnsi="宋体" w:eastAsia="宋体" w:cs="宋体"/>
                <w:sz w:val="24"/>
                <w:szCs w:val="20"/>
              </w:rPr>
            </w:pPr>
            <w:r>
              <w:rPr>
                <w:rFonts w:hint="eastAsia" w:ascii="宋体" w:hAnsi="宋体" w:eastAsia="宋体" w:cs="宋体"/>
                <w:sz w:val="24"/>
                <w:szCs w:val="20"/>
              </w:rPr>
              <w:t>法定代表人或其委托代理人（签章）</w:t>
            </w:r>
          </w:p>
        </w:tc>
        <w:tc>
          <w:tcPr>
            <w:tcW w:w="2449" w:type="dxa"/>
            <w:vMerge w:val="restart"/>
            <w:tcBorders>
              <w:top w:val="single" w:color="000000" w:sz="2" w:space="0"/>
              <w:left w:val="single" w:color="000000" w:sz="2" w:space="0"/>
              <w:right w:val="single" w:color="000000" w:sz="2" w:space="0"/>
            </w:tcBorders>
            <w:vAlign w:val="center"/>
          </w:tcPr>
          <w:p w14:paraId="66F9B603">
            <w:pPr>
              <w:widowControl/>
              <w:spacing w:line="500" w:lineRule="exact"/>
              <w:ind w:firstLine="482"/>
              <w:jc w:val="center"/>
              <w:rPr>
                <w:rFonts w:ascii="宋体" w:hAnsi="宋体" w:eastAsia="宋体" w:cs="宋体"/>
                <w:sz w:val="24"/>
                <w:szCs w:val="20"/>
              </w:rPr>
            </w:pPr>
          </w:p>
        </w:tc>
        <w:tc>
          <w:tcPr>
            <w:tcW w:w="2105" w:type="dxa"/>
            <w:tcBorders>
              <w:top w:val="single" w:color="000000" w:sz="2" w:space="0"/>
              <w:left w:val="single" w:color="000000" w:sz="2" w:space="0"/>
              <w:right w:val="single" w:color="000000" w:sz="2" w:space="0"/>
            </w:tcBorders>
            <w:vAlign w:val="center"/>
          </w:tcPr>
          <w:p w14:paraId="25C94D7D">
            <w:pPr>
              <w:widowControl/>
              <w:spacing w:line="500" w:lineRule="exact"/>
              <w:jc w:val="center"/>
              <w:rPr>
                <w:rFonts w:ascii="宋体" w:hAnsi="宋体" w:eastAsia="宋体" w:cs="宋体"/>
                <w:sz w:val="24"/>
                <w:szCs w:val="20"/>
              </w:rPr>
            </w:pPr>
            <w:r>
              <w:rPr>
                <w:rFonts w:hint="eastAsia" w:ascii="宋体" w:hAnsi="宋体" w:eastAsia="宋体" w:cs="宋体"/>
                <w:sz w:val="24"/>
                <w:szCs w:val="20"/>
              </w:rPr>
              <w:t>法定代表人或其委托代理人（签章）</w:t>
            </w:r>
          </w:p>
        </w:tc>
        <w:tc>
          <w:tcPr>
            <w:tcW w:w="2096" w:type="dxa"/>
            <w:tcBorders>
              <w:top w:val="single" w:color="000000" w:sz="2" w:space="0"/>
              <w:left w:val="single" w:color="000000" w:sz="2" w:space="0"/>
              <w:bottom w:val="single" w:color="000000" w:sz="2" w:space="0"/>
            </w:tcBorders>
            <w:vAlign w:val="center"/>
          </w:tcPr>
          <w:p w14:paraId="127F0129">
            <w:pPr>
              <w:widowControl/>
              <w:spacing w:line="500" w:lineRule="exact"/>
              <w:ind w:firstLine="482"/>
              <w:jc w:val="center"/>
              <w:rPr>
                <w:rFonts w:ascii="宋体" w:hAnsi="宋体" w:eastAsia="宋体" w:cs="宋体"/>
                <w:sz w:val="24"/>
                <w:szCs w:val="20"/>
              </w:rPr>
            </w:pPr>
          </w:p>
        </w:tc>
      </w:tr>
      <w:tr w14:paraId="746CB0C8">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483" w:hRule="atLeast"/>
          <w:jc w:val="center"/>
        </w:trPr>
        <w:tc>
          <w:tcPr>
            <w:tcW w:w="2017" w:type="dxa"/>
            <w:vMerge w:val="continue"/>
            <w:tcBorders>
              <w:bottom w:val="single" w:color="000000" w:sz="2" w:space="0"/>
              <w:right w:val="single" w:color="000000" w:sz="2" w:space="0"/>
            </w:tcBorders>
            <w:vAlign w:val="center"/>
          </w:tcPr>
          <w:p w14:paraId="70B7D98D">
            <w:pPr>
              <w:widowControl/>
              <w:spacing w:line="500" w:lineRule="exact"/>
              <w:ind w:firstLine="482"/>
              <w:jc w:val="center"/>
              <w:rPr>
                <w:rFonts w:ascii="宋体" w:hAnsi="宋体" w:eastAsia="宋体" w:cs="宋体"/>
                <w:sz w:val="24"/>
                <w:szCs w:val="20"/>
              </w:rPr>
            </w:pPr>
          </w:p>
        </w:tc>
        <w:tc>
          <w:tcPr>
            <w:tcW w:w="2449" w:type="dxa"/>
            <w:vMerge w:val="continue"/>
            <w:tcBorders>
              <w:left w:val="single" w:color="000000" w:sz="2" w:space="0"/>
              <w:bottom w:val="single" w:color="000000" w:sz="2" w:space="0"/>
              <w:right w:val="single" w:color="000000" w:sz="2" w:space="0"/>
            </w:tcBorders>
            <w:vAlign w:val="center"/>
          </w:tcPr>
          <w:p w14:paraId="05379F85">
            <w:pPr>
              <w:widowControl/>
              <w:spacing w:line="500" w:lineRule="exact"/>
              <w:ind w:firstLine="482"/>
              <w:jc w:val="center"/>
              <w:rPr>
                <w:rFonts w:ascii="宋体" w:hAnsi="宋体" w:eastAsia="宋体" w:cs="宋体"/>
                <w:sz w:val="24"/>
                <w:szCs w:val="20"/>
              </w:rPr>
            </w:pPr>
          </w:p>
        </w:tc>
        <w:tc>
          <w:tcPr>
            <w:tcW w:w="2105" w:type="dxa"/>
            <w:tcBorders>
              <w:top w:val="single" w:color="000000" w:sz="2" w:space="0"/>
              <w:left w:val="single" w:color="000000" w:sz="2" w:space="0"/>
              <w:bottom w:val="single" w:color="000000" w:sz="2" w:space="0"/>
              <w:right w:val="single" w:color="000000" w:sz="2" w:space="0"/>
            </w:tcBorders>
            <w:vAlign w:val="center"/>
          </w:tcPr>
          <w:p w14:paraId="0BEB830F">
            <w:pPr>
              <w:widowControl/>
              <w:spacing w:line="500" w:lineRule="exact"/>
              <w:jc w:val="center"/>
              <w:rPr>
                <w:rFonts w:ascii="宋体" w:hAnsi="宋体" w:eastAsia="宋体" w:cs="宋体"/>
                <w:sz w:val="24"/>
                <w:szCs w:val="20"/>
              </w:rPr>
            </w:pPr>
            <w:r>
              <w:rPr>
                <w:rFonts w:hint="eastAsia" w:ascii="宋体" w:hAnsi="宋体" w:eastAsia="宋体" w:cs="宋体"/>
                <w:sz w:val="24"/>
                <w:szCs w:val="20"/>
              </w:rPr>
              <w:t>拥有者性别</w:t>
            </w:r>
          </w:p>
        </w:tc>
        <w:tc>
          <w:tcPr>
            <w:tcW w:w="2096" w:type="dxa"/>
            <w:tcBorders>
              <w:top w:val="single" w:color="000000" w:sz="2" w:space="0"/>
              <w:left w:val="single" w:color="000000" w:sz="2" w:space="0"/>
              <w:bottom w:val="single" w:color="000000" w:sz="2" w:space="0"/>
            </w:tcBorders>
            <w:vAlign w:val="center"/>
          </w:tcPr>
          <w:p w14:paraId="255E2034">
            <w:pPr>
              <w:widowControl/>
              <w:spacing w:line="500" w:lineRule="exact"/>
              <w:ind w:firstLine="482"/>
              <w:jc w:val="center"/>
              <w:rPr>
                <w:rFonts w:ascii="宋体" w:hAnsi="宋体" w:eastAsia="宋体" w:cs="宋体"/>
                <w:sz w:val="24"/>
                <w:szCs w:val="20"/>
              </w:rPr>
            </w:pPr>
          </w:p>
        </w:tc>
      </w:tr>
      <w:tr w14:paraId="4B792C43">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2017" w:type="dxa"/>
            <w:tcBorders>
              <w:top w:val="single" w:color="000000" w:sz="2" w:space="0"/>
              <w:bottom w:val="single" w:color="000000" w:sz="2" w:space="0"/>
              <w:right w:val="single" w:color="000000" w:sz="2" w:space="0"/>
            </w:tcBorders>
            <w:vAlign w:val="center"/>
          </w:tcPr>
          <w:p w14:paraId="48A49410">
            <w:pPr>
              <w:widowControl/>
              <w:spacing w:line="500" w:lineRule="exact"/>
              <w:jc w:val="center"/>
              <w:rPr>
                <w:rFonts w:ascii="宋体" w:hAnsi="宋体" w:eastAsia="宋体" w:cs="宋体"/>
                <w:sz w:val="24"/>
                <w:szCs w:val="20"/>
              </w:rPr>
            </w:pPr>
            <w:r>
              <w:rPr>
                <w:rFonts w:hint="eastAsia" w:ascii="宋体" w:hAnsi="宋体" w:eastAsia="宋体" w:cs="宋体"/>
                <w:sz w:val="24"/>
                <w:szCs w:val="20"/>
              </w:rPr>
              <w:t>住所</w:t>
            </w:r>
          </w:p>
        </w:tc>
        <w:tc>
          <w:tcPr>
            <w:tcW w:w="2449" w:type="dxa"/>
            <w:tcBorders>
              <w:top w:val="single" w:color="000000" w:sz="2" w:space="0"/>
              <w:left w:val="single" w:color="000000" w:sz="2" w:space="0"/>
              <w:bottom w:val="single" w:color="000000" w:sz="2" w:space="0"/>
              <w:right w:val="single" w:color="000000" w:sz="2" w:space="0"/>
            </w:tcBorders>
            <w:vAlign w:val="center"/>
          </w:tcPr>
          <w:p w14:paraId="3AB9E5B4">
            <w:pPr>
              <w:widowControl/>
              <w:spacing w:line="500" w:lineRule="exact"/>
              <w:ind w:firstLine="482"/>
              <w:jc w:val="center"/>
              <w:rPr>
                <w:rFonts w:ascii="宋体" w:hAnsi="宋体" w:eastAsia="宋体" w:cs="宋体"/>
                <w:sz w:val="24"/>
                <w:szCs w:val="20"/>
              </w:rPr>
            </w:pPr>
          </w:p>
        </w:tc>
        <w:tc>
          <w:tcPr>
            <w:tcW w:w="2105" w:type="dxa"/>
            <w:tcBorders>
              <w:top w:val="single" w:color="000000" w:sz="2" w:space="0"/>
              <w:left w:val="single" w:color="000000" w:sz="2" w:space="0"/>
              <w:bottom w:val="single" w:color="000000" w:sz="2" w:space="0"/>
              <w:right w:val="single" w:color="000000" w:sz="2" w:space="0"/>
            </w:tcBorders>
            <w:vAlign w:val="center"/>
          </w:tcPr>
          <w:p w14:paraId="6C91D39C">
            <w:pPr>
              <w:widowControl/>
              <w:spacing w:line="500" w:lineRule="exact"/>
              <w:jc w:val="center"/>
              <w:rPr>
                <w:rFonts w:ascii="宋体" w:hAnsi="宋体" w:eastAsia="宋体" w:cs="宋体"/>
                <w:sz w:val="24"/>
                <w:szCs w:val="20"/>
              </w:rPr>
            </w:pPr>
            <w:r>
              <w:rPr>
                <w:rFonts w:hint="eastAsia" w:ascii="宋体" w:hAnsi="宋体" w:eastAsia="宋体" w:cs="宋体"/>
                <w:sz w:val="24"/>
                <w:szCs w:val="20"/>
              </w:rPr>
              <w:t>住所</w:t>
            </w:r>
          </w:p>
        </w:tc>
        <w:tc>
          <w:tcPr>
            <w:tcW w:w="2096" w:type="dxa"/>
            <w:tcBorders>
              <w:top w:val="single" w:color="000000" w:sz="2" w:space="0"/>
              <w:left w:val="single" w:color="000000" w:sz="2" w:space="0"/>
              <w:bottom w:val="single" w:color="000000" w:sz="2" w:space="0"/>
            </w:tcBorders>
            <w:vAlign w:val="center"/>
          </w:tcPr>
          <w:p w14:paraId="6B0546AC">
            <w:pPr>
              <w:widowControl/>
              <w:spacing w:line="500" w:lineRule="exact"/>
              <w:ind w:firstLine="482"/>
              <w:jc w:val="center"/>
              <w:rPr>
                <w:rFonts w:ascii="宋体" w:hAnsi="宋体" w:eastAsia="宋体" w:cs="宋体"/>
                <w:sz w:val="24"/>
                <w:szCs w:val="20"/>
              </w:rPr>
            </w:pPr>
          </w:p>
        </w:tc>
      </w:tr>
      <w:tr w14:paraId="6E9979F7">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2017" w:type="dxa"/>
            <w:tcBorders>
              <w:top w:val="single" w:color="000000" w:sz="2" w:space="0"/>
              <w:bottom w:val="single" w:color="000000" w:sz="2" w:space="0"/>
              <w:right w:val="single" w:color="000000" w:sz="2" w:space="0"/>
            </w:tcBorders>
            <w:vAlign w:val="center"/>
          </w:tcPr>
          <w:p w14:paraId="454BAC0F">
            <w:pPr>
              <w:widowControl/>
              <w:spacing w:line="500" w:lineRule="exact"/>
              <w:jc w:val="center"/>
              <w:rPr>
                <w:rFonts w:ascii="宋体" w:hAnsi="宋体" w:eastAsia="宋体" w:cs="宋体"/>
                <w:sz w:val="24"/>
                <w:szCs w:val="20"/>
              </w:rPr>
            </w:pPr>
            <w:r>
              <w:rPr>
                <w:rFonts w:hint="eastAsia" w:ascii="宋体" w:hAnsi="宋体" w:eastAsia="宋体" w:cs="宋体"/>
                <w:sz w:val="24"/>
                <w:szCs w:val="20"/>
              </w:rPr>
              <w:t>联 系 人</w:t>
            </w:r>
          </w:p>
        </w:tc>
        <w:tc>
          <w:tcPr>
            <w:tcW w:w="2449" w:type="dxa"/>
            <w:tcBorders>
              <w:top w:val="single" w:color="000000" w:sz="2" w:space="0"/>
              <w:left w:val="single" w:color="000000" w:sz="2" w:space="0"/>
              <w:bottom w:val="single" w:color="000000" w:sz="2" w:space="0"/>
              <w:right w:val="single" w:color="000000" w:sz="2" w:space="0"/>
            </w:tcBorders>
            <w:vAlign w:val="center"/>
          </w:tcPr>
          <w:p w14:paraId="72D772D8">
            <w:pPr>
              <w:widowControl/>
              <w:spacing w:line="500" w:lineRule="exact"/>
              <w:ind w:firstLine="482"/>
              <w:jc w:val="center"/>
              <w:rPr>
                <w:rFonts w:ascii="宋体" w:hAnsi="宋体" w:eastAsia="宋体" w:cs="宋体"/>
                <w:sz w:val="24"/>
                <w:szCs w:val="20"/>
              </w:rPr>
            </w:pPr>
          </w:p>
        </w:tc>
        <w:tc>
          <w:tcPr>
            <w:tcW w:w="2105" w:type="dxa"/>
            <w:tcBorders>
              <w:top w:val="single" w:color="000000" w:sz="2" w:space="0"/>
              <w:left w:val="single" w:color="000000" w:sz="2" w:space="0"/>
              <w:bottom w:val="single" w:color="000000" w:sz="2" w:space="0"/>
              <w:right w:val="single" w:color="000000" w:sz="2" w:space="0"/>
            </w:tcBorders>
            <w:vAlign w:val="center"/>
          </w:tcPr>
          <w:p w14:paraId="0B3AEA89">
            <w:pPr>
              <w:widowControl/>
              <w:spacing w:line="500" w:lineRule="exact"/>
              <w:jc w:val="center"/>
              <w:rPr>
                <w:rFonts w:ascii="宋体" w:hAnsi="宋体" w:eastAsia="宋体" w:cs="宋体"/>
                <w:sz w:val="24"/>
                <w:szCs w:val="20"/>
              </w:rPr>
            </w:pPr>
            <w:r>
              <w:rPr>
                <w:rFonts w:hint="eastAsia" w:ascii="宋体" w:hAnsi="宋体" w:eastAsia="宋体" w:cs="宋体"/>
                <w:sz w:val="24"/>
                <w:szCs w:val="20"/>
              </w:rPr>
              <w:t>联 系 人</w:t>
            </w:r>
          </w:p>
        </w:tc>
        <w:tc>
          <w:tcPr>
            <w:tcW w:w="2096" w:type="dxa"/>
            <w:tcBorders>
              <w:top w:val="single" w:color="000000" w:sz="2" w:space="0"/>
              <w:left w:val="single" w:color="000000" w:sz="2" w:space="0"/>
              <w:bottom w:val="single" w:color="000000" w:sz="2" w:space="0"/>
            </w:tcBorders>
            <w:vAlign w:val="center"/>
          </w:tcPr>
          <w:p w14:paraId="74CD3743">
            <w:pPr>
              <w:widowControl/>
              <w:spacing w:line="500" w:lineRule="exact"/>
              <w:ind w:firstLine="482"/>
              <w:jc w:val="center"/>
              <w:rPr>
                <w:rFonts w:ascii="宋体" w:hAnsi="宋体" w:eastAsia="宋体" w:cs="宋体"/>
                <w:sz w:val="24"/>
                <w:szCs w:val="20"/>
              </w:rPr>
            </w:pPr>
          </w:p>
        </w:tc>
      </w:tr>
      <w:tr w14:paraId="2C3B025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2017" w:type="dxa"/>
            <w:tcBorders>
              <w:top w:val="single" w:color="000000" w:sz="2" w:space="0"/>
              <w:bottom w:val="single" w:color="000000" w:sz="2" w:space="0"/>
              <w:right w:val="single" w:color="000000" w:sz="2" w:space="0"/>
            </w:tcBorders>
            <w:vAlign w:val="center"/>
          </w:tcPr>
          <w:p w14:paraId="44CB54FF">
            <w:pPr>
              <w:widowControl/>
              <w:spacing w:line="500" w:lineRule="exact"/>
              <w:jc w:val="center"/>
              <w:rPr>
                <w:rFonts w:ascii="宋体" w:hAnsi="宋体" w:eastAsia="宋体" w:cs="宋体"/>
                <w:sz w:val="24"/>
                <w:szCs w:val="20"/>
              </w:rPr>
            </w:pPr>
            <w:r>
              <w:rPr>
                <w:rFonts w:hint="eastAsia" w:ascii="宋体" w:hAnsi="宋体" w:eastAsia="宋体" w:cs="宋体"/>
                <w:sz w:val="24"/>
                <w:szCs w:val="20"/>
              </w:rPr>
              <w:t>联系电话</w:t>
            </w:r>
          </w:p>
        </w:tc>
        <w:tc>
          <w:tcPr>
            <w:tcW w:w="2449" w:type="dxa"/>
            <w:tcBorders>
              <w:top w:val="single" w:color="000000" w:sz="2" w:space="0"/>
              <w:left w:val="single" w:color="000000" w:sz="2" w:space="0"/>
              <w:bottom w:val="single" w:color="000000" w:sz="2" w:space="0"/>
              <w:right w:val="single" w:color="000000" w:sz="2" w:space="0"/>
            </w:tcBorders>
            <w:vAlign w:val="center"/>
          </w:tcPr>
          <w:p w14:paraId="7B1AECF6">
            <w:pPr>
              <w:widowControl/>
              <w:spacing w:line="500" w:lineRule="exact"/>
              <w:ind w:firstLine="482"/>
              <w:jc w:val="center"/>
              <w:rPr>
                <w:rFonts w:ascii="宋体" w:hAnsi="宋体" w:eastAsia="宋体" w:cs="宋体"/>
                <w:sz w:val="24"/>
                <w:szCs w:val="20"/>
              </w:rPr>
            </w:pPr>
          </w:p>
        </w:tc>
        <w:tc>
          <w:tcPr>
            <w:tcW w:w="2105" w:type="dxa"/>
            <w:tcBorders>
              <w:top w:val="single" w:color="000000" w:sz="2" w:space="0"/>
              <w:left w:val="single" w:color="000000" w:sz="2" w:space="0"/>
              <w:bottom w:val="single" w:color="000000" w:sz="2" w:space="0"/>
              <w:right w:val="single" w:color="000000" w:sz="2" w:space="0"/>
            </w:tcBorders>
            <w:vAlign w:val="center"/>
          </w:tcPr>
          <w:p w14:paraId="74C40A2E">
            <w:pPr>
              <w:widowControl/>
              <w:spacing w:line="500" w:lineRule="exact"/>
              <w:jc w:val="center"/>
              <w:rPr>
                <w:rFonts w:ascii="宋体" w:hAnsi="宋体" w:eastAsia="宋体" w:cs="宋体"/>
                <w:sz w:val="24"/>
                <w:szCs w:val="20"/>
              </w:rPr>
            </w:pPr>
            <w:r>
              <w:rPr>
                <w:rFonts w:hint="eastAsia" w:ascii="宋体" w:hAnsi="宋体" w:eastAsia="宋体" w:cs="宋体"/>
                <w:sz w:val="24"/>
                <w:szCs w:val="20"/>
              </w:rPr>
              <w:t>联系电话</w:t>
            </w:r>
          </w:p>
        </w:tc>
        <w:tc>
          <w:tcPr>
            <w:tcW w:w="2096" w:type="dxa"/>
            <w:tcBorders>
              <w:top w:val="single" w:color="000000" w:sz="2" w:space="0"/>
              <w:left w:val="single" w:color="000000" w:sz="2" w:space="0"/>
              <w:bottom w:val="single" w:color="000000" w:sz="2" w:space="0"/>
            </w:tcBorders>
            <w:vAlign w:val="center"/>
          </w:tcPr>
          <w:p w14:paraId="78A4F4EA">
            <w:pPr>
              <w:widowControl/>
              <w:spacing w:line="500" w:lineRule="exact"/>
              <w:ind w:firstLine="482"/>
              <w:jc w:val="center"/>
              <w:rPr>
                <w:rFonts w:ascii="宋体" w:hAnsi="宋体" w:eastAsia="宋体" w:cs="宋体"/>
                <w:sz w:val="24"/>
                <w:szCs w:val="20"/>
              </w:rPr>
            </w:pPr>
          </w:p>
        </w:tc>
      </w:tr>
      <w:tr w14:paraId="0F65975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2017" w:type="dxa"/>
            <w:tcBorders>
              <w:top w:val="single" w:color="000000" w:sz="2" w:space="0"/>
              <w:bottom w:val="single" w:color="000000" w:sz="2" w:space="0"/>
              <w:right w:val="single" w:color="000000" w:sz="2" w:space="0"/>
            </w:tcBorders>
            <w:vAlign w:val="center"/>
          </w:tcPr>
          <w:p w14:paraId="68330F42">
            <w:pPr>
              <w:widowControl/>
              <w:spacing w:line="500" w:lineRule="exact"/>
              <w:jc w:val="center"/>
              <w:rPr>
                <w:rFonts w:ascii="宋体" w:hAnsi="宋体" w:eastAsia="宋体" w:cs="宋体"/>
                <w:sz w:val="24"/>
                <w:szCs w:val="20"/>
              </w:rPr>
            </w:pPr>
            <w:r>
              <w:rPr>
                <w:rFonts w:hint="eastAsia" w:ascii="宋体" w:hAnsi="宋体" w:eastAsia="宋体" w:cs="宋体"/>
                <w:sz w:val="24"/>
                <w:szCs w:val="20"/>
              </w:rPr>
              <w:t>通信地址</w:t>
            </w:r>
          </w:p>
        </w:tc>
        <w:tc>
          <w:tcPr>
            <w:tcW w:w="2449" w:type="dxa"/>
            <w:tcBorders>
              <w:top w:val="single" w:color="000000" w:sz="2" w:space="0"/>
              <w:left w:val="single" w:color="000000" w:sz="2" w:space="0"/>
              <w:bottom w:val="single" w:color="000000" w:sz="2" w:space="0"/>
              <w:right w:val="single" w:color="000000" w:sz="2" w:space="0"/>
            </w:tcBorders>
            <w:vAlign w:val="center"/>
          </w:tcPr>
          <w:p w14:paraId="38AE0402">
            <w:pPr>
              <w:widowControl/>
              <w:spacing w:line="500" w:lineRule="exact"/>
              <w:jc w:val="center"/>
              <w:rPr>
                <w:rFonts w:ascii="宋体" w:hAnsi="宋体" w:eastAsia="宋体" w:cs="宋体"/>
                <w:sz w:val="24"/>
                <w:szCs w:val="20"/>
              </w:rPr>
            </w:pPr>
          </w:p>
        </w:tc>
        <w:tc>
          <w:tcPr>
            <w:tcW w:w="2105" w:type="dxa"/>
            <w:tcBorders>
              <w:top w:val="single" w:color="000000" w:sz="2" w:space="0"/>
              <w:left w:val="single" w:color="000000" w:sz="2" w:space="0"/>
              <w:bottom w:val="single" w:color="000000" w:sz="2" w:space="0"/>
              <w:right w:val="single" w:color="000000" w:sz="2" w:space="0"/>
            </w:tcBorders>
            <w:vAlign w:val="center"/>
          </w:tcPr>
          <w:p w14:paraId="18B26055">
            <w:pPr>
              <w:widowControl/>
              <w:spacing w:line="500" w:lineRule="exact"/>
              <w:jc w:val="center"/>
              <w:rPr>
                <w:rFonts w:ascii="宋体" w:hAnsi="宋体" w:eastAsia="宋体" w:cs="宋体"/>
                <w:sz w:val="24"/>
                <w:szCs w:val="20"/>
              </w:rPr>
            </w:pPr>
            <w:r>
              <w:rPr>
                <w:rFonts w:hint="eastAsia" w:ascii="宋体" w:hAnsi="宋体" w:eastAsia="宋体" w:cs="宋体"/>
                <w:sz w:val="24"/>
                <w:szCs w:val="20"/>
              </w:rPr>
              <w:t>通信地址</w:t>
            </w:r>
          </w:p>
        </w:tc>
        <w:tc>
          <w:tcPr>
            <w:tcW w:w="2096" w:type="dxa"/>
            <w:tcBorders>
              <w:top w:val="single" w:color="000000" w:sz="2" w:space="0"/>
              <w:left w:val="single" w:color="000000" w:sz="2" w:space="0"/>
              <w:bottom w:val="single" w:color="000000" w:sz="2" w:space="0"/>
            </w:tcBorders>
            <w:vAlign w:val="center"/>
          </w:tcPr>
          <w:p w14:paraId="08D955A3">
            <w:pPr>
              <w:widowControl/>
              <w:spacing w:line="500" w:lineRule="exact"/>
              <w:jc w:val="center"/>
              <w:rPr>
                <w:rFonts w:ascii="宋体" w:hAnsi="宋体" w:eastAsia="宋体" w:cs="宋体"/>
                <w:sz w:val="24"/>
                <w:szCs w:val="20"/>
              </w:rPr>
            </w:pPr>
          </w:p>
        </w:tc>
      </w:tr>
      <w:tr w14:paraId="73924D4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2017" w:type="dxa"/>
            <w:tcBorders>
              <w:top w:val="single" w:color="000000" w:sz="2" w:space="0"/>
              <w:bottom w:val="single" w:color="000000" w:sz="2" w:space="0"/>
              <w:right w:val="single" w:color="000000" w:sz="2" w:space="0"/>
            </w:tcBorders>
            <w:vAlign w:val="center"/>
          </w:tcPr>
          <w:p w14:paraId="25797395">
            <w:pPr>
              <w:widowControl/>
              <w:spacing w:line="500" w:lineRule="exact"/>
              <w:jc w:val="center"/>
              <w:rPr>
                <w:rFonts w:ascii="宋体" w:hAnsi="宋体" w:eastAsia="宋体" w:cs="宋体"/>
                <w:sz w:val="24"/>
                <w:szCs w:val="20"/>
              </w:rPr>
            </w:pPr>
            <w:r>
              <w:rPr>
                <w:rFonts w:hint="eastAsia" w:ascii="宋体" w:hAnsi="宋体" w:eastAsia="宋体" w:cs="宋体"/>
                <w:sz w:val="24"/>
                <w:szCs w:val="20"/>
              </w:rPr>
              <w:t>邮政编码</w:t>
            </w:r>
          </w:p>
        </w:tc>
        <w:tc>
          <w:tcPr>
            <w:tcW w:w="2449" w:type="dxa"/>
            <w:tcBorders>
              <w:top w:val="single" w:color="000000" w:sz="2" w:space="0"/>
              <w:left w:val="single" w:color="000000" w:sz="2" w:space="0"/>
              <w:bottom w:val="single" w:color="000000" w:sz="2" w:space="0"/>
              <w:right w:val="single" w:color="000000" w:sz="2" w:space="0"/>
            </w:tcBorders>
            <w:vAlign w:val="center"/>
          </w:tcPr>
          <w:p w14:paraId="52F73790">
            <w:pPr>
              <w:widowControl/>
              <w:spacing w:line="500" w:lineRule="exact"/>
              <w:jc w:val="center"/>
              <w:rPr>
                <w:rFonts w:ascii="宋体" w:hAnsi="宋体" w:eastAsia="宋体" w:cs="宋体"/>
                <w:sz w:val="24"/>
                <w:szCs w:val="20"/>
              </w:rPr>
            </w:pPr>
          </w:p>
        </w:tc>
        <w:tc>
          <w:tcPr>
            <w:tcW w:w="2105" w:type="dxa"/>
            <w:tcBorders>
              <w:top w:val="single" w:color="000000" w:sz="2" w:space="0"/>
              <w:left w:val="single" w:color="000000" w:sz="2" w:space="0"/>
              <w:bottom w:val="single" w:color="000000" w:sz="2" w:space="0"/>
              <w:right w:val="single" w:color="000000" w:sz="2" w:space="0"/>
            </w:tcBorders>
            <w:vAlign w:val="center"/>
          </w:tcPr>
          <w:p w14:paraId="1F33CB7F">
            <w:pPr>
              <w:widowControl/>
              <w:spacing w:line="500" w:lineRule="exact"/>
              <w:jc w:val="center"/>
              <w:rPr>
                <w:rFonts w:ascii="宋体" w:hAnsi="宋体" w:eastAsia="宋体" w:cs="宋体"/>
                <w:sz w:val="24"/>
                <w:szCs w:val="20"/>
              </w:rPr>
            </w:pPr>
            <w:r>
              <w:rPr>
                <w:rFonts w:hint="eastAsia" w:ascii="宋体" w:hAnsi="宋体" w:eastAsia="宋体" w:cs="宋体"/>
                <w:sz w:val="24"/>
                <w:szCs w:val="20"/>
              </w:rPr>
              <w:t>邮政编码</w:t>
            </w:r>
          </w:p>
        </w:tc>
        <w:tc>
          <w:tcPr>
            <w:tcW w:w="2096" w:type="dxa"/>
            <w:tcBorders>
              <w:top w:val="single" w:color="000000" w:sz="2" w:space="0"/>
              <w:left w:val="single" w:color="000000" w:sz="2" w:space="0"/>
              <w:bottom w:val="single" w:color="000000" w:sz="2" w:space="0"/>
            </w:tcBorders>
            <w:vAlign w:val="center"/>
          </w:tcPr>
          <w:p w14:paraId="565C0431">
            <w:pPr>
              <w:widowControl/>
              <w:spacing w:line="500" w:lineRule="exact"/>
              <w:jc w:val="center"/>
              <w:rPr>
                <w:rFonts w:ascii="宋体" w:hAnsi="宋体" w:eastAsia="宋体" w:cs="宋体"/>
                <w:sz w:val="24"/>
                <w:szCs w:val="20"/>
              </w:rPr>
            </w:pPr>
          </w:p>
        </w:tc>
      </w:tr>
      <w:tr w14:paraId="0D75A33E">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2017" w:type="dxa"/>
            <w:tcBorders>
              <w:top w:val="single" w:color="000000" w:sz="2" w:space="0"/>
              <w:bottom w:val="single" w:color="000000" w:sz="2" w:space="0"/>
              <w:right w:val="single" w:color="000000" w:sz="2" w:space="0"/>
            </w:tcBorders>
            <w:vAlign w:val="center"/>
          </w:tcPr>
          <w:p w14:paraId="189D6A9E">
            <w:pPr>
              <w:widowControl/>
              <w:spacing w:line="500" w:lineRule="exact"/>
              <w:jc w:val="center"/>
              <w:rPr>
                <w:rFonts w:ascii="宋体" w:hAnsi="宋体" w:eastAsia="宋体" w:cs="宋体"/>
                <w:sz w:val="24"/>
                <w:szCs w:val="20"/>
              </w:rPr>
            </w:pPr>
            <w:r>
              <w:rPr>
                <w:rFonts w:hint="eastAsia" w:ascii="宋体" w:hAnsi="宋体" w:eastAsia="宋体" w:cs="宋体"/>
                <w:sz w:val="24"/>
                <w:szCs w:val="20"/>
              </w:rPr>
              <w:t>电子邮箱</w:t>
            </w:r>
          </w:p>
        </w:tc>
        <w:tc>
          <w:tcPr>
            <w:tcW w:w="2449" w:type="dxa"/>
            <w:tcBorders>
              <w:top w:val="single" w:color="000000" w:sz="2" w:space="0"/>
              <w:left w:val="single" w:color="000000" w:sz="2" w:space="0"/>
              <w:bottom w:val="single" w:color="000000" w:sz="2" w:space="0"/>
              <w:right w:val="single" w:color="000000" w:sz="2" w:space="0"/>
            </w:tcBorders>
            <w:vAlign w:val="center"/>
          </w:tcPr>
          <w:p w14:paraId="4673E16D">
            <w:pPr>
              <w:widowControl/>
              <w:spacing w:line="500" w:lineRule="exact"/>
              <w:jc w:val="center"/>
              <w:rPr>
                <w:rFonts w:ascii="宋体" w:hAnsi="宋体" w:eastAsia="宋体" w:cs="宋体"/>
                <w:sz w:val="24"/>
                <w:szCs w:val="20"/>
              </w:rPr>
            </w:pPr>
          </w:p>
        </w:tc>
        <w:tc>
          <w:tcPr>
            <w:tcW w:w="2105" w:type="dxa"/>
            <w:tcBorders>
              <w:top w:val="single" w:color="000000" w:sz="2" w:space="0"/>
              <w:left w:val="single" w:color="000000" w:sz="2" w:space="0"/>
              <w:bottom w:val="single" w:color="000000" w:sz="2" w:space="0"/>
              <w:right w:val="single" w:color="000000" w:sz="2" w:space="0"/>
            </w:tcBorders>
            <w:vAlign w:val="center"/>
          </w:tcPr>
          <w:p w14:paraId="787D78E2">
            <w:pPr>
              <w:widowControl/>
              <w:spacing w:line="500" w:lineRule="exact"/>
              <w:jc w:val="center"/>
              <w:rPr>
                <w:rFonts w:ascii="宋体" w:hAnsi="宋体" w:eastAsia="宋体" w:cs="宋体"/>
                <w:sz w:val="24"/>
                <w:szCs w:val="20"/>
              </w:rPr>
            </w:pPr>
            <w:r>
              <w:rPr>
                <w:rFonts w:hint="eastAsia" w:ascii="宋体" w:hAnsi="宋体" w:eastAsia="宋体" w:cs="宋体"/>
                <w:sz w:val="24"/>
                <w:szCs w:val="20"/>
              </w:rPr>
              <w:t>电子邮箱</w:t>
            </w:r>
          </w:p>
        </w:tc>
        <w:tc>
          <w:tcPr>
            <w:tcW w:w="2096" w:type="dxa"/>
            <w:tcBorders>
              <w:top w:val="single" w:color="000000" w:sz="2" w:space="0"/>
              <w:left w:val="single" w:color="000000" w:sz="2" w:space="0"/>
              <w:bottom w:val="single" w:color="000000" w:sz="2" w:space="0"/>
            </w:tcBorders>
            <w:vAlign w:val="center"/>
          </w:tcPr>
          <w:p w14:paraId="6E2BD451">
            <w:pPr>
              <w:widowControl/>
              <w:spacing w:line="500" w:lineRule="exact"/>
              <w:jc w:val="center"/>
              <w:rPr>
                <w:rFonts w:ascii="宋体" w:hAnsi="宋体" w:eastAsia="宋体" w:cs="宋体"/>
                <w:sz w:val="24"/>
                <w:szCs w:val="20"/>
              </w:rPr>
            </w:pPr>
          </w:p>
        </w:tc>
      </w:tr>
      <w:tr w14:paraId="217E16BE">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2017" w:type="dxa"/>
            <w:tcBorders>
              <w:top w:val="single" w:color="000000" w:sz="2" w:space="0"/>
              <w:bottom w:val="single" w:color="000000" w:sz="2" w:space="0"/>
              <w:right w:val="single" w:color="000000" w:sz="2" w:space="0"/>
            </w:tcBorders>
            <w:vAlign w:val="center"/>
          </w:tcPr>
          <w:p w14:paraId="56A28097">
            <w:pPr>
              <w:widowControl/>
              <w:spacing w:line="500" w:lineRule="exact"/>
              <w:jc w:val="center"/>
              <w:rPr>
                <w:rFonts w:ascii="宋体" w:hAnsi="宋体" w:eastAsia="宋体" w:cs="宋体"/>
                <w:sz w:val="24"/>
                <w:szCs w:val="20"/>
              </w:rPr>
            </w:pPr>
            <w:r>
              <w:rPr>
                <w:rFonts w:hint="eastAsia" w:ascii="宋体" w:hAnsi="宋体" w:eastAsia="宋体" w:cs="宋体"/>
                <w:sz w:val="24"/>
                <w:szCs w:val="20"/>
              </w:rPr>
              <w:t>统一社会信用  代码</w:t>
            </w:r>
          </w:p>
        </w:tc>
        <w:tc>
          <w:tcPr>
            <w:tcW w:w="2449" w:type="dxa"/>
            <w:tcBorders>
              <w:top w:val="single" w:color="000000" w:sz="2" w:space="0"/>
              <w:left w:val="single" w:color="000000" w:sz="2" w:space="0"/>
              <w:bottom w:val="single" w:color="000000" w:sz="2" w:space="0"/>
              <w:right w:val="single" w:color="000000" w:sz="2" w:space="0"/>
            </w:tcBorders>
            <w:vAlign w:val="center"/>
          </w:tcPr>
          <w:p w14:paraId="3F874B51">
            <w:pPr>
              <w:widowControl/>
              <w:spacing w:line="500" w:lineRule="exact"/>
              <w:rPr>
                <w:rFonts w:ascii="宋体" w:hAnsi="宋体" w:eastAsia="宋体" w:cs="宋体"/>
                <w:sz w:val="24"/>
                <w:szCs w:val="20"/>
              </w:rPr>
            </w:pPr>
          </w:p>
        </w:tc>
        <w:tc>
          <w:tcPr>
            <w:tcW w:w="2105" w:type="dxa"/>
            <w:tcBorders>
              <w:top w:val="single" w:color="000000" w:sz="2" w:space="0"/>
              <w:left w:val="single" w:color="000000" w:sz="2" w:space="0"/>
              <w:bottom w:val="single" w:color="000000" w:sz="2" w:space="0"/>
              <w:right w:val="single" w:color="000000" w:sz="2" w:space="0"/>
            </w:tcBorders>
            <w:vAlign w:val="center"/>
          </w:tcPr>
          <w:p w14:paraId="6E5E285D">
            <w:pPr>
              <w:widowControl/>
              <w:spacing w:line="500" w:lineRule="exact"/>
              <w:jc w:val="center"/>
              <w:rPr>
                <w:rFonts w:ascii="宋体" w:hAnsi="宋体" w:eastAsia="宋体" w:cs="宋体"/>
                <w:sz w:val="24"/>
                <w:szCs w:val="20"/>
              </w:rPr>
            </w:pPr>
            <w:r>
              <w:rPr>
                <w:rFonts w:hint="eastAsia" w:ascii="宋体" w:hAnsi="宋体" w:eastAsia="宋体" w:cs="宋体"/>
                <w:sz w:val="24"/>
                <w:szCs w:val="20"/>
              </w:rPr>
              <w:t>统一社会信用  代码</w:t>
            </w:r>
          </w:p>
        </w:tc>
        <w:tc>
          <w:tcPr>
            <w:tcW w:w="2096" w:type="dxa"/>
            <w:tcBorders>
              <w:top w:val="single" w:color="000000" w:sz="2" w:space="0"/>
              <w:left w:val="single" w:color="000000" w:sz="2" w:space="0"/>
              <w:bottom w:val="single" w:color="000000" w:sz="2" w:space="0"/>
            </w:tcBorders>
            <w:vAlign w:val="center"/>
          </w:tcPr>
          <w:p w14:paraId="4DB6B36C">
            <w:pPr>
              <w:widowControl/>
              <w:spacing w:line="500" w:lineRule="exact"/>
              <w:jc w:val="center"/>
              <w:rPr>
                <w:rFonts w:ascii="宋体" w:hAnsi="宋体" w:eastAsia="宋体" w:cs="宋体"/>
                <w:sz w:val="24"/>
                <w:szCs w:val="20"/>
              </w:rPr>
            </w:pPr>
          </w:p>
        </w:tc>
      </w:tr>
      <w:tr w14:paraId="213E508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2017" w:type="dxa"/>
            <w:tcBorders>
              <w:top w:val="single" w:color="000000" w:sz="2" w:space="0"/>
              <w:bottom w:val="single" w:color="000000" w:sz="2" w:space="0"/>
              <w:right w:val="single" w:color="000000" w:sz="2" w:space="0"/>
            </w:tcBorders>
            <w:vAlign w:val="center"/>
          </w:tcPr>
          <w:p w14:paraId="3968A6E2">
            <w:pPr>
              <w:widowControl/>
              <w:spacing w:line="500" w:lineRule="exact"/>
              <w:jc w:val="center"/>
              <w:rPr>
                <w:rFonts w:ascii="宋体" w:hAnsi="宋体" w:eastAsia="宋体" w:cs="宋体"/>
                <w:sz w:val="24"/>
                <w:szCs w:val="20"/>
              </w:rPr>
            </w:pPr>
          </w:p>
        </w:tc>
        <w:tc>
          <w:tcPr>
            <w:tcW w:w="2449" w:type="dxa"/>
            <w:tcBorders>
              <w:top w:val="single" w:color="000000" w:sz="2" w:space="0"/>
              <w:left w:val="single" w:color="000000" w:sz="2" w:space="0"/>
              <w:bottom w:val="single" w:color="000000" w:sz="2" w:space="0"/>
              <w:right w:val="single" w:color="000000" w:sz="2" w:space="0"/>
            </w:tcBorders>
            <w:vAlign w:val="center"/>
          </w:tcPr>
          <w:p w14:paraId="347F583F">
            <w:pPr>
              <w:widowControl/>
              <w:spacing w:line="500" w:lineRule="exact"/>
              <w:jc w:val="center"/>
              <w:rPr>
                <w:rFonts w:ascii="宋体" w:hAnsi="宋体" w:eastAsia="宋体" w:cs="宋体"/>
                <w:sz w:val="24"/>
                <w:szCs w:val="20"/>
              </w:rPr>
            </w:pPr>
          </w:p>
        </w:tc>
        <w:tc>
          <w:tcPr>
            <w:tcW w:w="2105" w:type="dxa"/>
            <w:tcBorders>
              <w:top w:val="single" w:color="000000" w:sz="2" w:space="0"/>
              <w:left w:val="single" w:color="000000" w:sz="2" w:space="0"/>
              <w:bottom w:val="single" w:color="000000" w:sz="2" w:space="0"/>
              <w:right w:val="single" w:color="000000" w:sz="2" w:space="0"/>
            </w:tcBorders>
            <w:vAlign w:val="center"/>
          </w:tcPr>
          <w:p w14:paraId="1A5EDE02">
            <w:pPr>
              <w:widowControl/>
              <w:spacing w:line="500" w:lineRule="exact"/>
              <w:jc w:val="center"/>
              <w:rPr>
                <w:rFonts w:ascii="宋体" w:hAnsi="宋体" w:eastAsia="宋体" w:cs="宋体"/>
                <w:sz w:val="24"/>
                <w:szCs w:val="20"/>
              </w:rPr>
            </w:pPr>
            <w:r>
              <w:rPr>
                <w:rFonts w:hint="eastAsia" w:ascii="宋体" w:hAnsi="宋体" w:eastAsia="宋体" w:cs="宋体"/>
                <w:sz w:val="24"/>
                <w:szCs w:val="20"/>
              </w:rPr>
              <w:t>开户名称</w:t>
            </w:r>
          </w:p>
        </w:tc>
        <w:tc>
          <w:tcPr>
            <w:tcW w:w="2096" w:type="dxa"/>
            <w:tcBorders>
              <w:top w:val="single" w:color="000000" w:sz="2" w:space="0"/>
              <w:left w:val="single" w:color="000000" w:sz="2" w:space="0"/>
              <w:bottom w:val="single" w:color="000000" w:sz="2" w:space="0"/>
            </w:tcBorders>
            <w:vAlign w:val="center"/>
          </w:tcPr>
          <w:p w14:paraId="11077AB3">
            <w:pPr>
              <w:widowControl/>
              <w:spacing w:line="500" w:lineRule="exact"/>
              <w:jc w:val="center"/>
              <w:rPr>
                <w:rFonts w:ascii="宋体" w:hAnsi="宋体" w:eastAsia="宋体" w:cs="宋体"/>
                <w:sz w:val="24"/>
                <w:szCs w:val="20"/>
              </w:rPr>
            </w:pPr>
          </w:p>
        </w:tc>
      </w:tr>
      <w:tr w14:paraId="5230A5E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2017" w:type="dxa"/>
            <w:tcBorders>
              <w:top w:val="single" w:color="000000" w:sz="2" w:space="0"/>
              <w:bottom w:val="single" w:color="000000" w:sz="2" w:space="0"/>
              <w:right w:val="single" w:color="000000" w:sz="2" w:space="0"/>
            </w:tcBorders>
            <w:vAlign w:val="center"/>
          </w:tcPr>
          <w:p w14:paraId="4360E0F8">
            <w:pPr>
              <w:widowControl/>
              <w:spacing w:line="500" w:lineRule="exact"/>
              <w:jc w:val="center"/>
              <w:rPr>
                <w:rFonts w:ascii="宋体" w:hAnsi="宋体" w:eastAsia="宋体" w:cs="宋体"/>
                <w:sz w:val="24"/>
                <w:szCs w:val="20"/>
              </w:rPr>
            </w:pPr>
          </w:p>
        </w:tc>
        <w:tc>
          <w:tcPr>
            <w:tcW w:w="2449" w:type="dxa"/>
            <w:tcBorders>
              <w:top w:val="single" w:color="000000" w:sz="2" w:space="0"/>
              <w:left w:val="single" w:color="000000" w:sz="2" w:space="0"/>
              <w:bottom w:val="single" w:color="000000" w:sz="2" w:space="0"/>
              <w:right w:val="single" w:color="000000" w:sz="2" w:space="0"/>
            </w:tcBorders>
            <w:vAlign w:val="center"/>
          </w:tcPr>
          <w:p w14:paraId="6545C8ED">
            <w:pPr>
              <w:widowControl/>
              <w:spacing w:line="500" w:lineRule="exact"/>
              <w:jc w:val="center"/>
              <w:rPr>
                <w:rFonts w:ascii="宋体" w:hAnsi="宋体" w:eastAsia="宋体" w:cs="宋体"/>
                <w:sz w:val="24"/>
                <w:szCs w:val="20"/>
              </w:rPr>
            </w:pPr>
          </w:p>
        </w:tc>
        <w:tc>
          <w:tcPr>
            <w:tcW w:w="2105" w:type="dxa"/>
            <w:tcBorders>
              <w:top w:val="single" w:color="000000" w:sz="2" w:space="0"/>
              <w:left w:val="single" w:color="000000" w:sz="2" w:space="0"/>
              <w:bottom w:val="single" w:color="000000" w:sz="2" w:space="0"/>
              <w:right w:val="single" w:color="000000" w:sz="2" w:space="0"/>
            </w:tcBorders>
            <w:vAlign w:val="center"/>
          </w:tcPr>
          <w:p w14:paraId="5E61575C">
            <w:pPr>
              <w:widowControl/>
              <w:spacing w:line="500" w:lineRule="exact"/>
              <w:jc w:val="center"/>
              <w:rPr>
                <w:rFonts w:ascii="宋体" w:hAnsi="宋体" w:eastAsia="宋体" w:cs="宋体"/>
                <w:sz w:val="24"/>
                <w:szCs w:val="20"/>
              </w:rPr>
            </w:pPr>
            <w:r>
              <w:rPr>
                <w:rFonts w:hint="eastAsia" w:ascii="宋体" w:hAnsi="宋体" w:eastAsia="宋体" w:cs="宋体"/>
                <w:sz w:val="24"/>
                <w:szCs w:val="20"/>
              </w:rPr>
              <w:t>开户银行</w:t>
            </w:r>
          </w:p>
        </w:tc>
        <w:tc>
          <w:tcPr>
            <w:tcW w:w="2096" w:type="dxa"/>
            <w:tcBorders>
              <w:top w:val="single" w:color="000000" w:sz="2" w:space="0"/>
              <w:left w:val="single" w:color="000000" w:sz="2" w:space="0"/>
              <w:bottom w:val="single" w:color="000000" w:sz="2" w:space="0"/>
            </w:tcBorders>
            <w:vAlign w:val="center"/>
          </w:tcPr>
          <w:p w14:paraId="1E3FC1FE">
            <w:pPr>
              <w:widowControl/>
              <w:spacing w:line="500" w:lineRule="exact"/>
              <w:jc w:val="center"/>
              <w:rPr>
                <w:rFonts w:ascii="宋体" w:hAnsi="宋体" w:eastAsia="宋体" w:cs="宋体"/>
                <w:sz w:val="24"/>
                <w:szCs w:val="20"/>
              </w:rPr>
            </w:pPr>
          </w:p>
        </w:tc>
      </w:tr>
      <w:tr w14:paraId="476C496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jc w:val="center"/>
        </w:trPr>
        <w:tc>
          <w:tcPr>
            <w:tcW w:w="2017" w:type="dxa"/>
            <w:tcBorders>
              <w:top w:val="single" w:color="000000" w:sz="2" w:space="0"/>
              <w:bottom w:val="single" w:color="000000" w:sz="2" w:space="0"/>
              <w:right w:val="single" w:color="000000" w:sz="2" w:space="0"/>
            </w:tcBorders>
            <w:vAlign w:val="center"/>
          </w:tcPr>
          <w:p w14:paraId="5AE36E7A">
            <w:pPr>
              <w:widowControl/>
              <w:spacing w:line="500" w:lineRule="exact"/>
              <w:jc w:val="center"/>
              <w:rPr>
                <w:rFonts w:ascii="宋体" w:hAnsi="宋体" w:eastAsia="宋体" w:cs="宋体"/>
                <w:sz w:val="24"/>
                <w:szCs w:val="20"/>
              </w:rPr>
            </w:pPr>
          </w:p>
        </w:tc>
        <w:tc>
          <w:tcPr>
            <w:tcW w:w="2449" w:type="dxa"/>
            <w:tcBorders>
              <w:top w:val="single" w:color="000000" w:sz="2" w:space="0"/>
              <w:left w:val="single" w:color="000000" w:sz="2" w:space="0"/>
              <w:bottom w:val="single" w:color="000000" w:sz="2" w:space="0"/>
              <w:right w:val="single" w:color="000000" w:sz="2" w:space="0"/>
            </w:tcBorders>
            <w:vAlign w:val="center"/>
          </w:tcPr>
          <w:p w14:paraId="01ACAB4D">
            <w:pPr>
              <w:widowControl/>
              <w:spacing w:line="500" w:lineRule="exact"/>
              <w:jc w:val="center"/>
              <w:rPr>
                <w:rFonts w:ascii="宋体" w:hAnsi="宋体" w:eastAsia="宋体" w:cs="宋体"/>
                <w:sz w:val="24"/>
                <w:szCs w:val="20"/>
              </w:rPr>
            </w:pPr>
          </w:p>
        </w:tc>
        <w:tc>
          <w:tcPr>
            <w:tcW w:w="2105" w:type="dxa"/>
            <w:tcBorders>
              <w:top w:val="single" w:color="000000" w:sz="2" w:space="0"/>
              <w:left w:val="single" w:color="000000" w:sz="2" w:space="0"/>
              <w:bottom w:val="single" w:color="000000" w:sz="2" w:space="0"/>
              <w:right w:val="single" w:color="000000" w:sz="2" w:space="0"/>
            </w:tcBorders>
            <w:vAlign w:val="center"/>
          </w:tcPr>
          <w:p w14:paraId="1A19D154">
            <w:pPr>
              <w:widowControl/>
              <w:spacing w:line="500" w:lineRule="exact"/>
              <w:jc w:val="center"/>
              <w:rPr>
                <w:rFonts w:ascii="宋体" w:hAnsi="宋体" w:eastAsia="宋体" w:cs="宋体"/>
                <w:sz w:val="24"/>
                <w:szCs w:val="20"/>
              </w:rPr>
            </w:pPr>
            <w:r>
              <w:rPr>
                <w:rFonts w:hint="eastAsia" w:ascii="宋体" w:hAnsi="宋体" w:eastAsia="宋体" w:cs="宋体"/>
                <w:sz w:val="24"/>
                <w:szCs w:val="20"/>
              </w:rPr>
              <w:t>银行账号</w:t>
            </w:r>
          </w:p>
        </w:tc>
        <w:tc>
          <w:tcPr>
            <w:tcW w:w="2096" w:type="dxa"/>
            <w:tcBorders>
              <w:top w:val="single" w:color="000000" w:sz="2" w:space="0"/>
              <w:left w:val="single" w:color="000000" w:sz="2" w:space="0"/>
              <w:bottom w:val="single" w:color="000000" w:sz="2" w:space="0"/>
            </w:tcBorders>
            <w:vAlign w:val="center"/>
          </w:tcPr>
          <w:p w14:paraId="16BE013F">
            <w:pPr>
              <w:widowControl/>
              <w:spacing w:line="500" w:lineRule="exact"/>
              <w:jc w:val="center"/>
              <w:rPr>
                <w:rFonts w:ascii="宋体" w:hAnsi="宋体" w:eastAsia="宋体" w:cs="宋体"/>
                <w:sz w:val="24"/>
                <w:szCs w:val="20"/>
              </w:rPr>
            </w:pPr>
          </w:p>
        </w:tc>
      </w:tr>
      <w:tr w14:paraId="46DF633E">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627" w:hRule="atLeast"/>
          <w:jc w:val="center"/>
        </w:trPr>
        <w:tc>
          <w:tcPr>
            <w:tcW w:w="8667" w:type="dxa"/>
            <w:gridSpan w:val="4"/>
            <w:tcBorders>
              <w:top w:val="single" w:color="000000" w:sz="2" w:space="0"/>
            </w:tcBorders>
            <w:vAlign w:val="center"/>
          </w:tcPr>
          <w:p w14:paraId="0D3D2BAA">
            <w:pPr>
              <w:widowControl/>
              <w:spacing w:line="500" w:lineRule="exact"/>
              <w:jc w:val="center"/>
              <w:rPr>
                <w:rFonts w:ascii="宋体" w:hAnsi="宋体" w:eastAsia="宋体" w:cs="宋体"/>
                <w:sz w:val="24"/>
                <w:szCs w:val="20"/>
              </w:rPr>
            </w:pPr>
            <w:r>
              <w:rPr>
                <w:rFonts w:hint="eastAsia" w:ascii="宋体" w:hAnsi="宋体" w:eastAsia="宋体" w:cs="宋体"/>
                <w:sz w:val="24"/>
                <w:szCs w:val="20"/>
              </w:rPr>
              <w:t>注：涉及联合体或其他合同主体的信息应按上表格式加列。</w:t>
            </w:r>
          </w:p>
        </w:tc>
      </w:tr>
    </w:tbl>
    <w:p w14:paraId="7114C314">
      <w:pPr>
        <w:widowControl/>
        <w:rPr>
          <w:rFonts w:ascii="宋体" w:hAnsi="宋体" w:eastAsia="宋体" w:cs="宋体"/>
          <w:b/>
          <w:bCs/>
          <w:sz w:val="28"/>
          <w:szCs w:val="28"/>
        </w:rPr>
      </w:pPr>
      <w:r>
        <w:rPr>
          <w:rFonts w:hint="eastAsia" w:ascii="宋体" w:hAnsi="宋体" w:eastAsia="宋体" w:cs="宋体"/>
          <w:b/>
          <w:bCs/>
          <w:sz w:val="28"/>
          <w:szCs w:val="28"/>
        </w:rPr>
        <w:br w:type="page" w:clear="all"/>
      </w:r>
    </w:p>
    <w:p w14:paraId="1ADCCDCB">
      <w:pPr>
        <w:pStyle w:val="239"/>
        <w:widowControl/>
        <w:spacing w:before="156" w:afterAutospacing="0" w:line="400" w:lineRule="exact"/>
        <w:jc w:val="center"/>
        <w:rPr>
          <w:rFonts w:hint="default" w:cs="宋体"/>
          <w:sz w:val="28"/>
          <w:szCs w:val="28"/>
        </w:rPr>
      </w:pPr>
      <w:r>
        <w:rPr>
          <w:rFonts w:cs="宋体"/>
          <w:sz w:val="28"/>
          <w:szCs w:val="28"/>
        </w:rPr>
        <w:t>第二节 政府采购合同通用条款</w:t>
      </w:r>
      <w:bookmarkEnd w:id="157"/>
    </w:p>
    <w:p w14:paraId="12BBC520">
      <w:pPr>
        <w:widowControl/>
        <w:spacing w:line="400" w:lineRule="exact"/>
        <w:ind w:firstLine="482"/>
        <w:jc w:val="left"/>
        <w:rPr>
          <w:rFonts w:ascii="宋体" w:hAnsi="宋体" w:eastAsia="宋体" w:cs="宋体"/>
          <w:b/>
          <w:bCs/>
          <w:sz w:val="24"/>
          <w:szCs w:val="20"/>
          <w:lang w:val="zh-CN"/>
        </w:rPr>
      </w:pPr>
      <w:r>
        <w:rPr>
          <w:rFonts w:hint="eastAsia" w:ascii="宋体" w:hAnsi="宋体" w:eastAsia="宋体" w:cs="宋体"/>
          <w:b/>
          <w:bCs/>
          <w:sz w:val="24"/>
          <w:szCs w:val="20"/>
        </w:rPr>
        <w:t>1.</w:t>
      </w:r>
      <w:r>
        <w:rPr>
          <w:rFonts w:hint="eastAsia" w:ascii="宋体" w:hAnsi="宋体" w:eastAsia="宋体" w:cs="宋体"/>
          <w:b/>
          <w:bCs/>
          <w:sz w:val="24"/>
          <w:szCs w:val="20"/>
          <w:lang w:val="zh-CN"/>
        </w:rPr>
        <w:t>定义</w:t>
      </w:r>
    </w:p>
    <w:p w14:paraId="338853C4">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1.1合同当事人</w:t>
      </w:r>
    </w:p>
    <w:p w14:paraId="5861F495">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（1）采购人（以下称甲方）是指使用财政性资金，通过政府采购方式向供应商购买货物及其相关服务的国家机关、事业单位、团体组织。</w:t>
      </w:r>
    </w:p>
    <w:p w14:paraId="40612136">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（2）供应商（以下称乙方）是指参加政府采购活动并且中标（成交），向采购人提供合同约定的货物及其相关服务的法人、非法人组织或者自然人。</w:t>
      </w:r>
    </w:p>
    <w:p w14:paraId="5F629F50">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（3）其他合同主体是指除采购人和供应商以外，依法参与合同缔结或履行，享有权利、承担义务的合同当事人。</w:t>
      </w:r>
    </w:p>
    <w:p w14:paraId="553E2B31">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1.2本合同下列术语应解释为：</w:t>
      </w:r>
    </w:p>
    <w:p w14:paraId="234A9E1D">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479F146E">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（2）“合同价款”系指根据本合同规定乙方在全面履行合同义务后甲方应支付给乙方的价款。</w:t>
      </w:r>
    </w:p>
    <w:p w14:paraId="2C8F1109">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（3）“货物”系指乙方根据本合同规定须向甲方提供的各种形态和种类的物品，包括原材料、设备、产品（包括软件）及相关的其备品备件、工具、手册及</w:t>
      </w:r>
      <w:r>
        <w:rPr>
          <w:rFonts w:hint="eastAsia" w:ascii="宋体" w:hAnsi="宋体" w:eastAsia="宋体" w:cs="宋体"/>
          <w:sz w:val="24"/>
          <w:szCs w:val="20"/>
        </w:rPr>
        <w:t>其他</w:t>
      </w:r>
      <w:r>
        <w:rPr>
          <w:rFonts w:hint="eastAsia" w:ascii="宋体" w:hAnsi="宋体" w:eastAsia="宋体" w:cs="宋体"/>
          <w:sz w:val="24"/>
          <w:szCs w:val="20"/>
          <w:lang w:val="zh-CN"/>
        </w:rPr>
        <w:t>技术资料和材料等。</w:t>
      </w:r>
    </w:p>
    <w:p w14:paraId="54943B87">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（4）“相关服务”系指根据合同规定，乙方应提供的与货物有关的技术、管理和</w:t>
      </w:r>
      <w:r>
        <w:rPr>
          <w:rFonts w:hint="eastAsia" w:ascii="宋体" w:hAnsi="宋体" w:eastAsia="宋体" w:cs="宋体"/>
          <w:sz w:val="24"/>
          <w:szCs w:val="20"/>
        </w:rPr>
        <w:t>其他</w:t>
      </w:r>
      <w:r>
        <w:rPr>
          <w:rFonts w:hint="eastAsia" w:ascii="宋体" w:hAnsi="宋体" w:eastAsia="宋体" w:cs="宋体"/>
          <w:sz w:val="24"/>
          <w:szCs w:val="20"/>
          <w:lang w:val="zh-CN"/>
        </w:rPr>
        <w:t>服务，包括但不限于：管理和质量保证、运输、保险、检验、现场准备、安装、集成、调试、培训、维修、废弃处置、技术支持等以及合同中规定乙方应承担的</w:t>
      </w:r>
      <w:r>
        <w:rPr>
          <w:rFonts w:hint="eastAsia" w:ascii="宋体" w:hAnsi="宋体" w:eastAsia="宋体" w:cs="宋体"/>
          <w:sz w:val="24"/>
          <w:szCs w:val="20"/>
        </w:rPr>
        <w:t>其他</w:t>
      </w:r>
      <w:r>
        <w:rPr>
          <w:rFonts w:hint="eastAsia" w:ascii="宋体" w:hAnsi="宋体" w:eastAsia="宋体" w:cs="宋体"/>
          <w:sz w:val="24"/>
          <w:szCs w:val="20"/>
          <w:lang w:val="zh-CN"/>
        </w:rPr>
        <w:t>义务。</w:t>
      </w:r>
    </w:p>
    <w:p w14:paraId="3F7D3EE5">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（5）“分包”系指中标（成交）供应商按采购文件、投标（响应）文件的规定，根据分包意向协议，将中标（成交）项目中的部分履约内容，分给具有相应资质条件的供应商履行合同的行为。</w:t>
      </w:r>
    </w:p>
    <w:p w14:paraId="653D80A0">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sz w:val="24"/>
          <w:szCs w:val="20"/>
          <w:lang w:val="zh-CN"/>
        </w:rPr>
        <w:t>【政府采购合同专用条款】</w:t>
      </w:r>
      <w:r>
        <w:rPr>
          <w:rFonts w:hint="eastAsia" w:ascii="宋体" w:hAnsi="宋体" w:eastAsia="宋体" w:cs="宋体"/>
          <w:sz w:val="24"/>
          <w:szCs w:val="20"/>
          <w:lang w:val="zh-CN"/>
        </w:rPr>
        <w:t>。</w:t>
      </w:r>
    </w:p>
    <w:p w14:paraId="28D19E4D">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（7）其他术语解释，见</w:t>
      </w:r>
      <w:r>
        <w:rPr>
          <w:rFonts w:hint="eastAsia" w:ascii="宋体" w:hAnsi="宋体" w:eastAsia="宋体" w:cs="宋体"/>
          <w:b/>
          <w:bCs/>
          <w:sz w:val="24"/>
          <w:szCs w:val="20"/>
          <w:lang w:val="zh-CN"/>
        </w:rPr>
        <w:t>【政府采购合同专用条款】</w:t>
      </w:r>
      <w:r>
        <w:rPr>
          <w:rFonts w:hint="eastAsia" w:ascii="宋体" w:hAnsi="宋体" w:eastAsia="宋体" w:cs="宋体"/>
          <w:sz w:val="24"/>
          <w:szCs w:val="20"/>
          <w:lang w:val="zh-CN"/>
        </w:rPr>
        <w:t>。</w:t>
      </w:r>
    </w:p>
    <w:p w14:paraId="4755567D">
      <w:pPr>
        <w:widowControl/>
        <w:spacing w:line="560" w:lineRule="exact"/>
        <w:ind w:firstLine="482"/>
        <w:jc w:val="left"/>
        <w:rPr>
          <w:rFonts w:ascii="宋体" w:hAnsi="宋体" w:eastAsia="宋体" w:cs="宋体"/>
          <w:b/>
          <w:bCs/>
          <w:sz w:val="24"/>
          <w:szCs w:val="20"/>
          <w:lang w:val="zh-CN"/>
        </w:rPr>
      </w:pPr>
      <w:r>
        <w:rPr>
          <w:rFonts w:hint="eastAsia" w:ascii="宋体" w:hAnsi="宋体" w:eastAsia="宋体" w:cs="宋体"/>
          <w:b/>
          <w:bCs/>
          <w:sz w:val="24"/>
          <w:szCs w:val="20"/>
          <w:lang w:val="zh-CN"/>
        </w:rPr>
        <w:t>2.合同标的及金额</w:t>
      </w:r>
    </w:p>
    <w:p w14:paraId="33668357">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2.1合同标的及金额应与中标（成交）结果一致。乙方为履行本合同而发生的所有费用均应包含在合同价款中，甲方不再另行支付其他任何费用。</w:t>
      </w:r>
    </w:p>
    <w:p w14:paraId="11E64858">
      <w:pPr>
        <w:widowControl/>
        <w:spacing w:line="560" w:lineRule="exact"/>
        <w:ind w:firstLine="482"/>
        <w:jc w:val="left"/>
        <w:rPr>
          <w:rFonts w:ascii="宋体" w:hAnsi="宋体" w:eastAsia="宋体" w:cs="宋体"/>
          <w:b/>
          <w:bCs/>
          <w:sz w:val="24"/>
          <w:szCs w:val="20"/>
          <w:lang w:val="zh-CN"/>
        </w:rPr>
      </w:pPr>
      <w:r>
        <w:rPr>
          <w:rFonts w:hint="eastAsia" w:ascii="宋体" w:hAnsi="宋体" w:eastAsia="宋体" w:cs="宋体"/>
          <w:b/>
          <w:bCs/>
          <w:sz w:val="24"/>
          <w:szCs w:val="20"/>
          <w:lang w:val="zh-CN"/>
        </w:rPr>
        <w:t>3.履行合同的时间、地点和方式</w:t>
      </w:r>
    </w:p>
    <w:p w14:paraId="6CFEC43E">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3.1乙方应当在约定的时间、地点，按照约定方式履行合同。</w:t>
      </w:r>
    </w:p>
    <w:p w14:paraId="0D090684">
      <w:pPr>
        <w:widowControl/>
        <w:spacing w:line="560" w:lineRule="exact"/>
        <w:ind w:firstLine="482"/>
        <w:jc w:val="left"/>
        <w:rPr>
          <w:rFonts w:ascii="宋体" w:hAnsi="宋体" w:eastAsia="宋体" w:cs="宋体"/>
          <w:b/>
          <w:bCs/>
          <w:sz w:val="24"/>
          <w:szCs w:val="20"/>
          <w:lang w:val="zh-CN"/>
        </w:rPr>
      </w:pPr>
      <w:r>
        <w:rPr>
          <w:rFonts w:hint="eastAsia" w:ascii="宋体" w:hAnsi="宋体" w:eastAsia="宋体" w:cs="宋体"/>
          <w:b/>
          <w:bCs/>
          <w:sz w:val="24"/>
          <w:szCs w:val="20"/>
          <w:lang w:val="zh-CN"/>
        </w:rPr>
        <w:t>4.甲方的权利和义务</w:t>
      </w:r>
    </w:p>
    <w:p w14:paraId="21BE1DA6">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4.1签署合同后，甲方应确定项目负责人（或项目联系人），负责与本合同有关的事务。甲方有权对乙方的履约行为进行检查，并及时确认乙方提交的事项。甲方应当配合乙方完成相关项目实施工作。</w:t>
      </w:r>
    </w:p>
    <w:p w14:paraId="66A60942">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4.2甲方有权要求乙方按时提交各阶段有关安排计划，并有权定期核对乙方提供货物数量、规格、质量等内容。甲方有权督促乙方工作并要求乙方更换不符合要求的货物。</w:t>
      </w:r>
    </w:p>
    <w:p w14:paraId="6609110A">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4.3甲方有权要求乙方对缺陷部分予以修复，并按合同约定享有货物保修及其他合同约定的权利。</w:t>
      </w:r>
    </w:p>
    <w:p w14:paraId="4E0F4871">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4.4甲方应当按照合同约定及时对交付的货物进行验收，未在【</w:t>
      </w:r>
      <w:r>
        <w:rPr>
          <w:rFonts w:hint="eastAsia" w:ascii="宋体" w:hAnsi="宋体" w:eastAsia="宋体" w:cs="宋体"/>
          <w:b/>
          <w:bCs/>
          <w:sz w:val="24"/>
          <w:szCs w:val="20"/>
          <w:lang w:val="zh-CN"/>
        </w:rPr>
        <w:t>政府采购合同专用条款</w:t>
      </w:r>
      <w:r>
        <w:rPr>
          <w:rFonts w:hint="eastAsia" w:ascii="宋体" w:hAnsi="宋体" w:eastAsia="宋体" w:cs="宋体"/>
          <w:sz w:val="24"/>
          <w:szCs w:val="20"/>
          <w:lang w:val="zh-CN"/>
        </w:rPr>
        <w:t>】约定的期限内对乙方履约提出任何异议或者向乙方作出任何说明的，视为验收通过。</w:t>
      </w:r>
    </w:p>
    <w:p w14:paraId="0B6E1697">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4.5甲方应当根据合同约定及时向乙方支付合同价款，不得以内部人员变更、履行内部付款流程等为由，拒绝或迟延支付。</w:t>
      </w:r>
    </w:p>
    <w:p w14:paraId="3EA8E5AB">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4.6国家法律法规规定及【</w:t>
      </w:r>
      <w:r>
        <w:rPr>
          <w:rFonts w:hint="eastAsia" w:ascii="宋体" w:hAnsi="宋体" w:eastAsia="宋体" w:cs="宋体"/>
          <w:b/>
          <w:bCs/>
          <w:sz w:val="24"/>
          <w:szCs w:val="20"/>
          <w:lang w:val="zh-CN"/>
        </w:rPr>
        <w:t>政府采购合同专用条款</w:t>
      </w:r>
      <w:r>
        <w:rPr>
          <w:rFonts w:hint="eastAsia" w:ascii="宋体" w:hAnsi="宋体" w:eastAsia="宋体" w:cs="宋体"/>
          <w:sz w:val="24"/>
          <w:szCs w:val="20"/>
          <w:lang w:val="zh-CN"/>
        </w:rPr>
        <w:t>】约定应由甲方承担的其他义务和责任。</w:t>
      </w:r>
    </w:p>
    <w:p w14:paraId="2C8D1CAC">
      <w:pPr>
        <w:widowControl/>
        <w:spacing w:line="560" w:lineRule="exact"/>
        <w:ind w:firstLine="482"/>
        <w:jc w:val="left"/>
        <w:rPr>
          <w:rFonts w:ascii="宋体" w:hAnsi="宋体" w:eastAsia="宋体" w:cs="宋体"/>
          <w:b/>
          <w:bCs/>
          <w:sz w:val="24"/>
          <w:szCs w:val="20"/>
          <w:lang w:val="zh-CN"/>
        </w:rPr>
      </w:pPr>
      <w:r>
        <w:rPr>
          <w:rFonts w:hint="eastAsia" w:ascii="宋体" w:hAnsi="宋体" w:eastAsia="宋体" w:cs="宋体"/>
          <w:b/>
          <w:bCs/>
          <w:sz w:val="24"/>
          <w:szCs w:val="20"/>
          <w:lang w:val="zh-CN"/>
        </w:rPr>
        <w:t>5.乙方的权利和义务</w:t>
      </w:r>
    </w:p>
    <w:p w14:paraId="56100664">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5.1签署合同后，乙方应确定项目负责人（或项目联系人），负责与本合同有关的事务。</w:t>
      </w:r>
    </w:p>
    <w:p w14:paraId="6AA5E1E9">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5.2乙方应按照合同要求履约，充分合理安排，确保提供的货物及相关服务符合合同有关要求。接受项目行业管理部门及政府有关部门的指导，配合甲方的履约检查及验收，并负责项目实施过程中的所有协调工作。</w:t>
      </w:r>
    </w:p>
    <w:p w14:paraId="16C862A9">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5.3乙方有权根据合同约定向甲方收取合同价款。</w:t>
      </w:r>
    </w:p>
    <w:p w14:paraId="1AF8C4B6">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5.4国家法律法规规定及【</w:t>
      </w:r>
      <w:r>
        <w:rPr>
          <w:rFonts w:hint="eastAsia" w:ascii="宋体" w:hAnsi="宋体" w:eastAsia="宋体" w:cs="宋体"/>
          <w:b/>
          <w:bCs/>
          <w:sz w:val="24"/>
          <w:szCs w:val="20"/>
          <w:lang w:val="zh-CN"/>
        </w:rPr>
        <w:t>政府采购合同专用条款</w:t>
      </w:r>
      <w:r>
        <w:rPr>
          <w:rFonts w:hint="eastAsia" w:ascii="宋体" w:hAnsi="宋体" w:eastAsia="宋体" w:cs="宋体"/>
          <w:sz w:val="24"/>
          <w:szCs w:val="20"/>
          <w:lang w:val="zh-CN"/>
        </w:rPr>
        <w:t>】约定应由乙方承担的其他义务和责任。</w:t>
      </w:r>
    </w:p>
    <w:p w14:paraId="17F78934">
      <w:pPr>
        <w:widowControl/>
        <w:spacing w:line="560" w:lineRule="exact"/>
        <w:ind w:firstLine="482"/>
        <w:jc w:val="left"/>
        <w:rPr>
          <w:rFonts w:ascii="宋体" w:hAnsi="宋体" w:eastAsia="宋体" w:cs="宋体"/>
          <w:b/>
          <w:bCs/>
          <w:sz w:val="24"/>
          <w:szCs w:val="20"/>
          <w:lang w:val="zh-CN"/>
        </w:rPr>
      </w:pPr>
      <w:r>
        <w:rPr>
          <w:rFonts w:hint="eastAsia" w:ascii="宋体" w:hAnsi="宋体" w:eastAsia="宋体" w:cs="宋体"/>
          <w:b/>
          <w:bCs/>
          <w:sz w:val="24"/>
          <w:szCs w:val="20"/>
          <w:lang w:val="zh-CN"/>
        </w:rPr>
        <w:t>6.合同履行</w:t>
      </w:r>
    </w:p>
    <w:p w14:paraId="7EF80E2A">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6.1甲乙双方应当按照【</w:t>
      </w:r>
      <w:r>
        <w:rPr>
          <w:rFonts w:hint="eastAsia" w:ascii="宋体" w:hAnsi="宋体" w:eastAsia="宋体" w:cs="宋体"/>
          <w:b/>
          <w:bCs/>
          <w:sz w:val="24"/>
          <w:szCs w:val="20"/>
          <w:lang w:val="zh-CN"/>
        </w:rPr>
        <w:t>政府采购合同专用条款</w:t>
      </w:r>
      <w:r>
        <w:rPr>
          <w:rFonts w:hint="eastAsia" w:ascii="宋体" w:hAnsi="宋体" w:eastAsia="宋体" w:cs="宋体"/>
          <w:sz w:val="24"/>
          <w:szCs w:val="20"/>
          <w:lang w:val="zh-CN"/>
        </w:rPr>
        <w:t>】约定顺序履行合同义务；如果没有先后顺序的，应当同时履行。</w:t>
      </w:r>
    </w:p>
    <w:p w14:paraId="082F6902">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6.2甲乙双方按照合同约定顺序履行合同义务时，应当先履行一方未履行的，后履行一方有权拒绝其履行请求。先履行一方履行不符合约定的，后履行一方有权拒绝其相应的履行请求。</w:t>
      </w:r>
    </w:p>
    <w:p w14:paraId="15799679">
      <w:pPr>
        <w:widowControl/>
        <w:spacing w:line="560" w:lineRule="exact"/>
        <w:ind w:firstLine="482"/>
        <w:jc w:val="left"/>
        <w:rPr>
          <w:rFonts w:ascii="宋体" w:hAnsi="宋体" w:eastAsia="宋体" w:cs="宋体"/>
          <w:b/>
          <w:bCs/>
          <w:sz w:val="24"/>
          <w:szCs w:val="20"/>
          <w:lang w:val="zh-CN"/>
        </w:rPr>
      </w:pPr>
      <w:r>
        <w:rPr>
          <w:rFonts w:hint="eastAsia" w:ascii="宋体" w:hAnsi="宋体" w:eastAsia="宋体" w:cs="宋体"/>
          <w:b/>
          <w:bCs/>
          <w:sz w:val="24"/>
          <w:szCs w:val="20"/>
          <w:lang w:val="zh-CN"/>
        </w:rPr>
        <w:t>7.货物包装、运输、保险和交付要求</w:t>
      </w:r>
    </w:p>
    <w:p w14:paraId="7CEA466B">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7.1本合同涉及商品包装、快递包装的，除【</w:t>
      </w:r>
      <w:r>
        <w:rPr>
          <w:rFonts w:hint="eastAsia" w:ascii="宋体" w:hAnsi="宋体" w:eastAsia="宋体" w:cs="宋体"/>
          <w:b/>
          <w:bCs/>
          <w:sz w:val="24"/>
          <w:szCs w:val="20"/>
          <w:lang w:val="zh-CN"/>
        </w:rPr>
        <w:t>政府采购合同专用条款</w:t>
      </w:r>
      <w:r>
        <w:rPr>
          <w:rFonts w:hint="eastAsia" w:ascii="宋体" w:hAnsi="宋体" w:eastAsia="宋体" w:cs="宋体"/>
          <w:sz w:val="24"/>
          <w:szCs w:val="20"/>
          <w:lang w:val="zh-CN"/>
        </w:rPr>
        <w:t>】另有约定外，包装应适应远距离运输、防潮、防震、防锈和防野蛮装卸等要求，确保货物安全无损地运抵【</w:t>
      </w:r>
      <w:r>
        <w:rPr>
          <w:rFonts w:hint="eastAsia" w:ascii="宋体" w:hAnsi="宋体" w:eastAsia="宋体" w:cs="宋体"/>
          <w:b/>
          <w:bCs/>
          <w:sz w:val="24"/>
          <w:szCs w:val="20"/>
          <w:lang w:val="zh-CN"/>
        </w:rPr>
        <w:t>政府采购合同专用条款】</w:t>
      </w:r>
      <w:r>
        <w:rPr>
          <w:rFonts w:hint="eastAsia" w:ascii="宋体" w:hAnsi="宋体" w:eastAsia="宋体" w:cs="宋体"/>
          <w:sz w:val="24"/>
          <w:szCs w:val="20"/>
          <w:lang w:val="zh-CN"/>
        </w:rPr>
        <w:t>约定的指定现场。</w:t>
      </w:r>
    </w:p>
    <w:p w14:paraId="6576B291">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7.2除【</w:t>
      </w:r>
      <w:r>
        <w:rPr>
          <w:rFonts w:hint="eastAsia" w:ascii="宋体" w:hAnsi="宋体" w:eastAsia="宋体" w:cs="宋体"/>
          <w:b/>
          <w:bCs/>
          <w:sz w:val="24"/>
          <w:szCs w:val="20"/>
          <w:lang w:val="zh-CN"/>
        </w:rPr>
        <w:t>政府采购合同专用条款</w:t>
      </w:r>
      <w:r>
        <w:rPr>
          <w:rFonts w:hint="eastAsia" w:ascii="宋体" w:hAnsi="宋体" w:eastAsia="宋体" w:cs="宋体"/>
          <w:sz w:val="24"/>
          <w:szCs w:val="20"/>
          <w:lang w:val="zh-CN"/>
        </w:rPr>
        <w:t>】另有约定外，乙方负责办理将货物运抵本合同规定的交货地点，并装卸、交付至甲方的一切运输事项，相关费用应包含在合同价款中。</w:t>
      </w:r>
    </w:p>
    <w:p w14:paraId="201CE08C">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7.3货物保险要求按【</w:t>
      </w:r>
      <w:r>
        <w:rPr>
          <w:rFonts w:hint="eastAsia" w:ascii="宋体" w:hAnsi="宋体" w:eastAsia="宋体" w:cs="宋体"/>
          <w:b/>
          <w:bCs/>
          <w:sz w:val="24"/>
          <w:szCs w:val="20"/>
          <w:lang w:val="zh-CN"/>
        </w:rPr>
        <w:t>政府采购合同专用条款</w:t>
      </w:r>
      <w:r>
        <w:rPr>
          <w:rFonts w:hint="eastAsia" w:ascii="宋体" w:hAnsi="宋体" w:eastAsia="宋体" w:cs="宋体"/>
          <w:sz w:val="24"/>
          <w:szCs w:val="20"/>
          <w:lang w:val="zh-CN"/>
        </w:rPr>
        <w:t>】规定执行。</w:t>
      </w:r>
    </w:p>
    <w:p w14:paraId="45214B0F">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7.4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0ECE2185">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7.5乙方在运输到达之前应提前通知甲方，并提示货物运输装卸的注意事项，甲方配合乙方做好货物的接收工作。</w:t>
      </w:r>
    </w:p>
    <w:p w14:paraId="7425CD25">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7.6如因包装、运输问题导致货物损毁、丢失或者品质下降，甲方有权要求降价、换货、拒收部分或整批货物，由此产生的费用和损失，均由乙方承担。</w:t>
      </w:r>
    </w:p>
    <w:p w14:paraId="000D5717">
      <w:pPr>
        <w:widowControl/>
        <w:spacing w:line="560" w:lineRule="exact"/>
        <w:ind w:firstLine="482"/>
        <w:jc w:val="left"/>
        <w:rPr>
          <w:rFonts w:ascii="宋体" w:hAnsi="宋体" w:eastAsia="宋体" w:cs="宋体"/>
          <w:b/>
          <w:bCs/>
          <w:sz w:val="24"/>
          <w:szCs w:val="20"/>
          <w:lang w:val="zh-CN"/>
        </w:rPr>
      </w:pPr>
      <w:r>
        <w:rPr>
          <w:rFonts w:hint="eastAsia" w:ascii="宋体" w:hAnsi="宋体" w:eastAsia="宋体" w:cs="宋体"/>
          <w:b/>
          <w:bCs/>
          <w:sz w:val="24"/>
          <w:szCs w:val="20"/>
          <w:lang w:val="zh-CN"/>
        </w:rPr>
        <w:t>8.质量标准和保证</w:t>
      </w:r>
    </w:p>
    <w:p w14:paraId="1103B05F">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8.1质量标准</w:t>
      </w:r>
    </w:p>
    <w:p w14:paraId="15E235A9">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08ECD572">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（2）采用中华人民共和国法定计量单位。</w:t>
      </w:r>
    </w:p>
    <w:p w14:paraId="74E64518">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（3）乙方所提供的货物应符合国家有关安全、环保、卫生的规定。</w:t>
      </w:r>
    </w:p>
    <w:p w14:paraId="71B8DD38">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（4）乙方应向甲方提交所提供货物的技术文件，包括相应的中文技术文件，如：产品目录、图纸、操作手册、使用说明、维护手册或服务指南等。上述文件应包装好随货物一同发运。</w:t>
      </w:r>
    </w:p>
    <w:p w14:paraId="16779DC0">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8.2保证</w:t>
      </w:r>
    </w:p>
    <w:p w14:paraId="5D71BDB5">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bCs/>
          <w:sz w:val="24"/>
          <w:szCs w:val="20"/>
          <w:lang w:val="zh-CN"/>
        </w:rPr>
        <w:t>政府采购合同专用条款</w:t>
      </w:r>
      <w:r>
        <w:rPr>
          <w:rFonts w:hint="eastAsia" w:ascii="宋体" w:hAnsi="宋体" w:eastAsia="宋体" w:cs="宋体"/>
          <w:sz w:val="24"/>
          <w:szCs w:val="20"/>
          <w:lang w:val="zh-CN"/>
        </w:rPr>
        <w:t>】规定或乙方书面承诺（两者以较长的为准）的质量保证期内，本保证保持有效。</w:t>
      </w:r>
    </w:p>
    <w:p w14:paraId="6A9D2B77">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（2）在质量保证期内所发现的缺陷，甲方应尽快以书面形式通知乙方。</w:t>
      </w:r>
    </w:p>
    <w:p w14:paraId="17C3CADC">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（3）乙方收到通知后，应在【</w:t>
      </w:r>
      <w:r>
        <w:rPr>
          <w:rFonts w:hint="eastAsia" w:ascii="宋体" w:hAnsi="宋体" w:eastAsia="宋体" w:cs="宋体"/>
          <w:b/>
          <w:bCs/>
          <w:sz w:val="24"/>
          <w:szCs w:val="20"/>
          <w:lang w:val="zh-CN"/>
        </w:rPr>
        <w:t>政府采购合同专用条款</w:t>
      </w:r>
      <w:r>
        <w:rPr>
          <w:rFonts w:hint="eastAsia" w:ascii="宋体" w:hAnsi="宋体" w:eastAsia="宋体" w:cs="宋体"/>
          <w:sz w:val="24"/>
          <w:szCs w:val="20"/>
          <w:lang w:val="zh-CN"/>
        </w:rPr>
        <w:t>】规定的响应时间内以合理的速度免费维修或更换有缺陷的货物或部件。</w:t>
      </w:r>
    </w:p>
    <w:p w14:paraId="64C01B3F">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（4）在质量保证期内，如果货物的质量或规格与合同不符，或证实货物是有缺陷的，包括潜在的缺陷或使用不符合要求的材料等，甲方可以根据本合同第15.1条规定以书面形式追究乙方的违约责任。</w:t>
      </w:r>
    </w:p>
    <w:p w14:paraId="15CA2633">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（5）乙方在约定的时间内未能弥补缺陷，甲方可采取必要的补救措施，但其风险和费用将由乙方承担，甲方根据合同约定对乙方行使的其他权利不受影响。</w:t>
      </w:r>
    </w:p>
    <w:p w14:paraId="1A05C4C1">
      <w:pPr>
        <w:widowControl/>
        <w:spacing w:line="560" w:lineRule="exact"/>
        <w:ind w:firstLine="482"/>
        <w:jc w:val="left"/>
        <w:rPr>
          <w:rFonts w:ascii="宋体" w:hAnsi="宋体" w:eastAsia="宋体" w:cs="宋体"/>
          <w:b/>
          <w:bCs/>
          <w:sz w:val="24"/>
          <w:szCs w:val="20"/>
          <w:lang w:val="zh-CN"/>
        </w:rPr>
      </w:pPr>
      <w:r>
        <w:rPr>
          <w:rFonts w:hint="eastAsia" w:ascii="宋体" w:hAnsi="宋体" w:eastAsia="宋体" w:cs="宋体"/>
          <w:b/>
          <w:bCs/>
          <w:sz w:val="24"/>
          <w:szCs w:val="20"/>
          <w:lang w:val="zh-CN"/>
        </w:rPr>
        <w:t>9.权利瑕疵担保</w:t>
      </w:r>
    </w:p>
    <w:p w14:paraId="169612BF">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9.1乙方保证对其出售的货物享有合法的权利。</w:t>
      </w:r>
    </w:p>
    <w:p w14:paraId="10EB0360">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9.2乙方保证在交付的货物上不存在抵押权等担保物权。</w:t>
      </w:r>
    </w:p>
    <w:p w14:paraId="28F9F3F2">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9.3如甲方使用上述货物构成对第三人侵权的，则由乙方承担全部责任。</w:t>
      </w:r>
    </w:p>
    <w:p w14:paraId="272A00E7">
      <w:pPr>
        <w:widowControl/>
        <w:spacing w:line="560" w:lineRule="exact"/>
        <w:ind w:firstLine="482"/>
        <w:jc w:val="left"/>
        <w:rPr>
          <w:rFonts w:ascii="宋体" w:hAnsi="宋体" w:eastAsia="宋体" w:cs="宋体"/>
          <w:b/>
          <w:bCs/>
          <w:sz w:val="24"/>
          <w:szCs w:val="20"/>
          <w:lang w:val="zh-CN"/>
        </w:rPr>
      </w:pPr>
      <w:r>
        <w:rPr>
          <w:rFonts w:hint="eastAsia" w:ascii="宋体" w:hAnsi="宋体" w:eastAsia="宋体" w:cs="宋体"/>
          <w:b/>
          <w:bCs/>
          <w:sz w:val="24"/>
          <w:szCs w:val="20"/>
          <w:lang w:val="zh-CN"/>
        </w:rPr>
        <w:t>10.知识产权保护</w:t>
      </w:r>
    </w:p>
    <w:p w14:paraId="5576828B">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10.1乙方对其所销售的货物应当享有知识产权或经权利人合法授权，保证没有侵犯任何第三人的知识产权等权利。</w:t>
      </w:r>
      <w:bookmarkStart w:id="158" w:name="_Hlk163047038"/>
      <w:r>
        <w:rPr>
          <w:rFonts w:hint="eastAsia" w:ascii="宋体" w:hAnsi="宋体" w:eastAsia="宋体" w:cs="宋体"/>
          <w:sz w:val="24"/>
          <w:szCs w:val="20"/>
          <w:lang w:val="zh-CN"/>
        </w:rPr>
        <w:t>因违反前述约定对第三人构成侵权的，应当由乙方向第三人承担法律责任；甲方依法向第三人赔偿后，有权向乙方追偿。甲方有其他损失的，乙方应当赔偿</w:t>
      </w:r>
      <w:bookmarkEnd w:id="158"/>
      <w:r>
        <w:rPr>
          <w:rFonts w:hint="eastAsia" w:ascii="宋体" w:hAnsi="宋体" w:eastAsia="宋体" w:cs="宋体"/>
          <w:sz w:val="24"/>
          <w:szCs w:val="20"/>
          <w:lang w:val="zh-CN"/>
        </w:rPr>
        <w:t>。</w:t>
      </w:r>
    </w:p>
    <w:p w14:paraId="74B3097E">
      <w:pPr>
        <w:widowControl/>
        <w:spacing w:line="560" w:lineRule="exact"/>
        <w:ind w:firstLine="482"/>
        <w:jc w:val="left"/>
        <w:rPr>
          <w:rFonts w:ascii="宋体" w:hAnsi="宋体" w:eastAsia="宋体" w:cs="宋体"/>
          <w:b/>
          <w:bCs/>
          <w:sz w:val="24"/>
          <w:szCs w:val="20"/>
          <w:lang w:val="zh-CN"/>
        </w:rPr>
      </w:pPr>
      <w:r>
        <w:rPr>
          <w:rFonts w:hint="eastAsia" w:ascii="宋体" w:hAnsi="宋体" w:eastAsia="宋体" w:cs="宋体"/>
          <w:b/>
          <w:bCs/>
          <w:sz w:val="24"/>
          <w:szCs w:val="20"/>
          <w:lang w:val="zh-CN"/>
        </w:rPr>
        <w:t>11.保密义务</w:t>
      </w:r>
    </w:p>
    <w:p w14:paraId="3AF9390F">
      <w:pPr>
        <w:widowControl/>
        <w:spacing w:line="560" w:lineRule="exact"/>
        <w:ind w:firstLine="482"/>
        <w:jc w:val="left"/>
        <w:rPr>
          <w:rFonts w:ascii="宋体" w:hAnsi="宋体" w:cs="宋体"/>
          <w:sz w:val="24"/>
          <w:szCs w:val="20"/>
          <w:lang w:val="zh-CN"/>
        </w:rPr>
      </w:pPr>
      <w:r>
        <w:rPr>
          <w:rFonts w:hint="eastAsia" w:ascii="宋体" w:hAnsi="宋体" w:eastAsia="宋体" w:cs="宋体"/>
          <w:sz w:val="24"/>
          <w:szCs w:val="20"/>
          <w:lang w:val="zh-CN"/>
        </w:rPr>
        <w:t>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sz w:val="24"/>
          <w:szCs w:val="20"/>
          <w:lang w:val="zh-CN"/>
        </w:rPr>
        <w:t>【</w:t>
      </w:r>
      <w:r>
        <w:rPr>
          <w:rFonts w:hint="eastAsia" w:ascii="宋体" w:hAnsi="宋体" w:cs="宋体"/>
          <w:b/>
          <w:bCs/>
          <w:sz w:val="24"/>
          <w:szCs w:val="20"/>
          <w:lang w:val="zh-CN"/>
        </w:rPr>
        <w:t>政府采购合同专用条款</w:t>
      </w:r>
      <w:r>
        <w:rPr>
          <w:rFonts w:hint="eastAsia" w:ascii="宋体" w:hAnsi="宋体" w:cs="宋体"/>
          <w:sz w:val="24"/>
          <w:szCs w:val="20"/>
          <w:lang w:val="zh-CN"/>
        </w:rPr>
        <w:t>】中约定。</w:t>
      </w:r>
    </w:p>
    <w:p w14:paraId="622824D7">
      <w:pPr>
        <w:widowControl/>
        <w:spacing w:line="560" w:lineRule="exact"/>
        <w:ind w:firstLine="482"/>
        <w:jc w:val="left"/>
        <w:rPr>
          <w:rFonts w:ascii="宋体" w:hAnsi="宋体" w:eastAsia="宋体" w:cs="宋体"/>
          <w:b/>
          <w:bCs/>
          <w:sz w:val="24"/>
          <w:szCs w:val="20"/>
          <w:lang w:val="zh-CN"/>
        </w:rPr>
      </w:pPr>
      <w:r>
        <w:rPr>
          <w:rFonts w:hint="eastAsia" w:ascii="宋体" w:hAnsi="宋体" w:eastAsia="宋体" w:cs="宋体"/>
          <w:b/>
          <w:bCs/>
          <w:sz w:val="24"/>
          <w:szCs w:val="20"/>
          <w:lang w:val="zh-CN"/>
        </w:rPr>
        <w:t>12.合同价款支付</w:t>
      </w:r>
    </w:p>
    <w:p w14:paraId="3D170BF9">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12.1合同价款支付按照国库集中支付制度及财政管理相关规定执行。</w:t>
      </w:r>
    </w:p>
    <w:p w14:paraId="650421FF">
      <w:pPr>
        <w:widowControl/>
        <w:spacing w:line="560" w:lineRule="exact"/>
        <w:ind w:firstLine="482"/>
        <w:jc w:val="left"/>
        <w:rPr>
          <w:rFonts w:ascii="宋体" w:hAnsi="宋体" w:eastAsia="Arial" w:cs="宋体"/>
          <w:sz w:val="24"/>
          <w:szCs w:val="20"/>
          <w:lang w:val="zh-CN"/>
        </w:rPr>
      </w:pPr>
      <w:r>
        <w:rPr>
          <w:rFonts w:hint="eastAsia" w:ascii="宋体" w:hAnsi="宋体" w:eastAsia="宋体" w:cs="宋体"/>
          <w:sz w:val="24"/>
          <w:szCs w:val="20"/>
          <w:lang w:val="zh-CN"/>
        </w:rPr>
        <w:t>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Arial" w:cs="宋体"/>
          <w:sz w:val="24"/>
          <w:szCs w:val="20"/>
          <w:lang w:val="zh-CN"/>
        </w:rPr>
        <w:t>【</w:t>
      </w:r>
      <w:r>
        <w:rPr>
          <w:rFonts w:hint="eastAsia" w:ascii="宋体" w:hAnsi="宋体" w:eastAsia="Arial" w:cs="宋体"/>
          <w:b/>
          <w:bCs/>
          <w:sz w:val="24"/>
          <w:szCs w:val="20"/>
          <w:lang w:val="zh-CN"/>
        </w:rPr>
        <w:t>政府采购合同专用条款</w:t>
      </w:r>
      <w:r>
        <w:rPr>
          <w:rFonts w:hint="eastAsia" w:ascii="宋体" w:hAnsi="宋体" w:eastAsia="Arial" w:cs="宋体"/>
          <w:sz w:val="24"/>
          <w:szCs w:val="20"/>
          <w:lang w:val="zh-CN"/>
        </w:rPr>
        <w:t>】中约定。</w:t>
      </w:r>
    </w:p>
    <w:p w14:paraId="5C280262">
      <w:pPr>
        <w:widowControl/>
        <w:spacing w:line="520" w:lineRule="exact"/>
        <w:ind w:firstLine="480"/>
        <w:rPr>
          <w:rFonts w:ascii="宋体" w:hAnsi="宋体" w:eastAsia="Arial" w:cs="宋体"/>
          <w:b/>
          <w:bCs/>
          <w:sz w:val="24"/>
          <w:szCs w:val="20"/>
          <w:lang w:val="zh-CN"/>
        </w:rPr>
      </w:pPr>
      <w:r>
        <w:rPr>
          <w:rFonts w:hint="eastAsia" w:ascii="宋体" w:hAnsi="宋体" w:eastAsia="Arial" w:cs="宋体"/>
          <w:b/>
          <w:bCs/>
          <w:sz w:val="24"/>
          <w:szCs w:val="20"/>
          <w:lang w:val="zh-CN"/>
        </w:rPr>
        <w:t>13.履约保证金</w:t>
      </w:r>
    </w:p>
    <w:p w14:paraId="1877E859">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13.1乙方应当以支票、汇票、本票或者金融机构、担保机构出具的保函等非现金形式提交。</w:t>
      </w:r>
    </w:p>
    <w:p w14:paraId="0AA9FEBE">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13.2如果乙方出现【</w:t>
      </w:r>
      <w:r>
        <w:rPr>
          <w:rFonts w:hint="eastAsia" w:ascii="宋体" w:hAnsi="宋体" w:eastAsia="宋体" w:cs="宋体"/>
          <w:b/>
          <w:bCs/>
          <w:sz w:val="24"/>
          <w:szCs w:val="20"/>
          <w:lang w:val="zh-CN"/>
        </w:rPr>
        <w:t>政府采购合同专用条款</w:t>
      </w:r>
      <w:r>
        <w:rPr>
          <w:rFonts w:hint="eastAsia" w:ascii="宋体" w:hAnsi="宋体" w:eastAsia="宋体" w:cs="宋体"/>
          <w:sz w:val="24"/>
          <w:szCs w:val="20"/>
          <w:lang w:val="zh-CN"/>
        </w:rPr>
        <w:t>】约定情形的，履约保证金不予退还；如果乙方未能按合同约定全面履行义务，甲方有权从履约保证金中取得补偿或赔偿，且不影响甲方要求乙方承担合同约定的超过履约保证金的违约责任的权利。</w:t>
      </w:r>
    </w:p>
    <w:p w14:paraId="627C6ACE">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13.3甲方在项目通过验收后按照【</w:t>
      </w:r>
      <w:r>
        <w:rPr>
          <w:rFonts w:hint="eastAsia" w:ascii="宋体" w:hAnsi="宋体" w:eastAsia="宋体" w:cs="宋体"/>
          <w:b/>
          <w:bCs/>
          <w:sz w:val="24"/>
          <w:szCs w:val="20"/>
          <w:lang w:val="zh-CN"/>
        </w:rPr>
        <w:t>政府采购合同专用条款</w:t>
      </w:r>
      <w:r>
        <w:rPr>
          <w:rFonts w:hint="eastAsia" w:ascii="宋体" w:hAnsi="宋体" w:eastAsia="宋体" w:cs="宋体"/>
          <w:sz w:val="24"/>
          <w:szCs w:val="20"/>
          <w:lang w:val="zh-CN"/>
        </w:rPr>
        <w:t>】规定的时间内将履约保证金退还乙方；逾期退还的，乙方可要求甲方支付违约金，违约金按照【</w:t>
      </w:r>
      <w:r>
        <w:rPr>
          <w:rFonts w:hint="eastAsia" w:ascii="宋体" w:hAnsi="宋体" w:eastAsia="宋体" w:cs="宋体"/>
          <w:b/>
          <w:bCs/>
          <w:sz w:val="24"/>
          <w:szCs w:val="20"/>
          <w:lang w:val="zh-CN"/>
        </w:rPr>
        <w:t>政府采购合同专用条款</w:t>
      </w:r>
      <w:r>
        <w:rPr>
          <w:rFonts w:hint="eastAsia" w:ascii="宋体" w:hAnsi="宋体" w:eastAsia="宋体" w:cs="宋体"/>
          <w:sz w:val="24"/>
          <w:szCs w:val="20"/>
          <w:lang w:val="zh-CN"/>
        </w:rPr>
        <w:t>】规定支付。</w:t>
      </w:r>
    </w:p>
    <w:p w14:paraId="243FA03A">
      <w:pPr>
        <w:widowControl/>
        <w:spacing w:line="520" w:lineRule="exact"/>
        <w:ind w:firstLine="480"/>
        <w:rPr>
          <w:rFonts w:ascii="宋体" w:hAnsi="宋体" w:cs="宋体"/>
          <w:b/>
          <w:bCs/>
          <w:sz w:val="24"/>
          <w:szCs w:val="20"/>
          <w:lang w:val="zh-CN"/>
        </w:rPr>
      </w:pPr>
      <w:r>
        <w:rPr>
          <w:rFonts w:hint="eastAsia" w:ascii="宋体" w:hAnsi="宋体" w:cs="宋体"/>
          <w:b/>
          <w:bCs/>
          <w:sz w:val="24"/>
          <w:szCs w:val="20"/>
          <w:lang w:val="zh-CN"/>
        </w:rPr>
        <w:t>14.售后服务</w:t>
      </w:r>
    </w:p>
    <w:p w14:paraId="4D285F28">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14.1除项目不涉及或采购活动中明确约定无须承担外，乙方还应提供下列服务：</w:t>
      </w:r>
    </w:p>
    <w:p w14:paraId="0058145A">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（1）货物的现场移动、安装、调试、启动监督及技术支持；</w:t>
      </w:r>
    </w:p>
    <w:p w14:paraId="7B9E915F">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（2）提供货物组装和维修所需的专用工具和辅助材料；</w:t>
      </w:r>
    </w:p>
    <w:p w14:paraId="7154DF8C">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（3）在【</w:t>
      </w:r>
      <w:r>
        <w:rPr>
          <w:rFonts w:hint="eastAsia" w:ascii="宋体" w:hAnsi="宋体" w:eastAsia="宋体" w:cs="宋体"/>
          <w:b/>
          <w:bCs/>
          <w:sz w:val="24"/>
          <w:szCs w:val="20"/>
          <w:lang w:val="zh-CN"/>
        </w:rPr>
        <w:t>政府采购合同专用条款</w:t>
      </w:r>
      <w:r>
        <w:rPr>
          <w:rFonts w:hint="eastAsia" w:ascii="宋体" w:hAnsi="宋体" w:eastAsia="宋体" w:cs="宋体"/>
          <w:sz w:val="24"/>
          <w:szCs w:val="20"/>
          <w:lang w:val="zh-CN"/>
        </w:rPr>
        <w:t>】约定的期限内对所有的货物实施运行监督、维修，但前提条件是该服务并不能免除乙方在质量保证期内所承担的义务；</w:t>
      </w:r>
    </w:p>
    <w:p w14:paraId="52ABEE2C">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（4）在制造商所在地或指定现场就货物的安装、启动、运营、维护、废弃处置等对甲方操作人员进行培训；</w:t>
      </w:r>
    </w:p>
    <w:p w14:paraId="2FFFAD99">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（5）依照法律、行政法规的规定或者按照【</w:t>
      </w:r>
      <w:r>
        <w:rPr>
          <w:rFonts w:hint="eastAsia" w:ascii="宋体" w:hAnsi="宋体" w:eastAsia="宋体" w:cs="宋体"/>
          <w:b/>
          <w:bCs/>
          <w:sz w:val="24"/>
          <w:szCs w:val="20"/>
          <w:lang w:val="zh-CN"/>
        </w:rPr>
        <w:t>政府采购合同专用条款</w:t>
      </w:r>
      <w:r>
        <w:rPr>
          <w:rFonts w:hint="eastAsia" w:ascii="宋体" w:hAnsi="宋体" w:eastAsia="宋体" w:cs="宋体"/>
          <w:sz w:val="24"/>
          <w:szCs w:val="20"/>
          <w:lang w:val="zh-CN"/>
        </w:rPr>
        <w:t>】约定，货物在有效使用年限届满后应予回收的，乙方负有自行或者委托第三人对货物予以回收的义务；</w:t>
      </w:r>
    </w:p>
    <w:p w14:paraId="5BE8652B">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（6）</w:t>
      </w:r>
      <w:r>
        <w:rPr>
          <w:rFonts w:hint="eastAsia" w:ascii="宋体" w:hAnsi="宋体" w:eastAsia="宋体" w:cs="宋体"/>
          <w:b/>
          <w:bCs/>
          <w:sz w:val="24"/>
          <w:szCs w:val="20"/>
          <w:lang w:val="zh-CN"/>
        </w:rPr>
        <w:t>【政府采购合同专用条款</w:t>
      </w:r>
      <w:r>
        <w:rPr>
          <w:rFonts w:hint="eastAsia" w:ascii="宋体" w:hAnsi="宋体" w:eastAsia="宋体" w:cs="宋体"/>
          <w:sz w:val="24"/>
          <w:szCs w:val="20"/>
          <w:lang w:val="zh-CN"/>
        </w:rPr>
        <w:t>】规定由乙方提供的其他服务。</w:t>
      </w:r>
    </w:p>
    <w:p w14:paraId="2F5D61CC">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14.2乙方提供的售后服务的费用已包含在合同价款中，甲方不再另行支付。</w:t>
      </w:r>
    </w:p>
    <w:p w14:paraId="290F3A7E">
      <w:pPr>
        <w:widowControl/>
        <w:spacing w:line="560" w:lineRule="exact"/>
        <w:ind w:firstLine="482"/>
        <w:jc w:val="left"/>
        <w:rPr>
          <w:rFonts w:ascii="宋体" w:hAnsi="宋体" w:eastAsia="宋体" w:cs="宋体"/>
          <w:b/>
          <w:bCs/>
          <w:sz w:val="24"/>
          <w:szCs w:val="20"/>
          <w:lang w:val="zh-CN"/>
        </w:rPr>
      </w:pPr>
      <w:r>
        <w:rPr>
          <w:rFonts w:hint="eastAsia" w:ascii="宋体" w:hAnsi="宋体" w:eastAsia="宋体" w:cs="宋体"/>
          <w:b/>
          <w:bCs/>
          <w:sz w:val="24"/>
          <w:szCs w:val="20"/>
          <w:lang w:val="zh-CN"/>
        </w:rPr>
        <w:t>15.违约责任</w:t>
      </w:r>
    </w:p>
    <w:p w14:paraId="156E2709">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15.1质量瑕疵的违约责任</w:t>
      </w:r>
    </w:p>
    <w:p w14:paraId="64C03BBF">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乙方提供的产品不符合合同约定的质量标准或存在产品质量缺陷，甲方有权要求乙方根据【</w:t>
      </w:r>
      <w:r>
        <w:rPr>
          <w:rFonts w:hint="eastAsia" w:ascii="宋体" w:hAnsi="宋体" w:eastAsia="宋体" w:cs="宋体"/>
          <w:b/>
          <w:bCs/>
          <w:sz w:val="24"/>
          <w:szCs w:val="20"/>
          <w:lang w:val="zh-CN"/>
        </w:rPr>
        <w:t>政府采购合同专用条款</w:t>
      </w:r>
      <w:r>
        <w:rPr>
          <w:rFonts w:hint="eastAsia" w:ascii="宋体" w:hAnsi="宋体" w:eastAsia="宋体" w:cs="宋体"/>
          <w:sz w:val="24"/>
          <w:szCs w:val="20"/>
          <w:lang w:val="zh-CN"/>
        </w:rPr>
        <w:t>】要求及时修理、重作、更换，并承担由此给甲方造成的损失。</w:t>
      </w:r>
    </w:p>
    <w:p w14:paraId="4F1ECD7A">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15.2迟延交货的违约责任</w:t>
      </w:r>
    </w:p>
    <w:p w14:paraId="51EC6AE0">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36ED0675">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p>
    <w:p w14:paraId="4E00693F">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15.3迟延支付的违约责任</w:t>
      </w:r>
    </w:p>
    <w:p w14:paraId="3C400E91">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甲方存在迟延支付乙方合同款项的，应当承担【</w:t>
      </w:r>
      <w:r>
        <w:rPr>
          <w:rFonts w:hint="eastAsia" w:ascii="宋体" w:hAnsi="宋体" w:eastAsia="宋体" w:cs="宋体"/>
          <w:b/>
          <w:bCs/>
          <w:sz w:val="24"/>
          <w:szCs w:val="20"/>
          <w:lang w:val="zh-CN"/>
        </w:rPr>
        <w:t>政府采购合同专用条款</w:t>
      </w:r>
      <w:r>
        <w:rPr>
          <w:rFonts w:hint="eastAsia" w:ascii="宋体" w:hAnsi="宋体" w:eastAsia="宋体" w:cs="宋体"/>
          <w:sz w:val="24"/>
          <w:szCs w:val="20"/>
          <w:lang w:val="zh-CN"/>
        </w:rPr>
        <w:t>】规定的逾期付款利息。</w:t>
      </w:r>
    </w:p>
    <w:p w14:paraId="59803FC4">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15.4其他违约责任根据项目实际需要按【</w:t>
      </w:r>
      <w:r>
        <w:rPr>
          <w:rFonts w:hint="eastAsia" w:ascii="宋体" w:hAnsi="宋体" w:eastAsia="宋体" w:cs="宋体"/>
          <w:b/>
          <w:bCs/>
          <w:sz w:val="24"/>
          <w:szCs w:val="20"/>
          <w:lang w:val="zh-CN"/>
        </w:rPr>
        <w:t>政府采购合同专用条款</w:t>
      </w:r>
      <w:r>
        <w:rPr>
          <w:rFonts w:hint="eastAsia" w:ascii="宋体" w:hAnsi="宋体" w:eastAsia="宋体" w:cs="宋体"/>
          <w:sz w:val="24"/>
          <w:szCs w:val="20"/>
          <w:lang w:val="zh-CN"/>
        </w:rPr>
        <w:t>】规定执行。</w:t>
      </w:r>
    </w:p>
    <w:p w14:paraId="1847BEA8">
      <w:pPr>
        <w:widowControl/>
        <w:spacing w:line="560" w:lineRule="exact"/>
        <w:ind w:firstLine="482"/>
        <w:jc w:val="left"/>
        <w:rPr>
          <w:rFonts w:ascii="宋体" w:hAnsi="宋体" w:eastAsia="宋体" w:cs="宋体"/>
          <w:b/>
          <w:bCs/>
          <w:sz w:val="24"/>
          <w:szCs w:val="20"/>
          <w:lang w:val="zh-CN"/>
        </w:rPr>
      </w:pPr>
      <w:r>
        <w:rPr>
          <w:rFonts w:hint="eastAsia" w:ascii="宋体" w:hAnsi="宋体" w:eastAsia="宋体" w:cs="宋体"/>
          <w:b/>
          <w:bCs/>
          <w:sz w:val="24"/>
          <w:szCs w:val="20"/>
          <w:lang w:val="zh-CN"/>
        </w:rPr>
        <w:t>16.合同变更、中止与终止</w:t>
      </w:r>
    </w:p>
    <w:p w14:paraId="7119B98F">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16.1合同的变更</w:t>
      </w:r>
    </w:p>
    <w:p w14:paraId="03F398A9">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政府采购合同履行中，在不改变合同其他条款的前提下，甲方可以在合同价款10%的范围内追加与合同标的相同的货物，并就此与乙方协商一致后签订补充协议。</w:t>
      </w:r>
    </w:p>
    <w:p w14:paraId="34FB86EB">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16.2合同的中止</w:t>
      </w:r>
    </w:p>
    <w:p w14:paraId="1CB351D0">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（1）合同履行过程中因供应商就采购文件、采购过程或结果提起投诉的，甲方认为有必要的，可以中止合同的履行。</w:t>
      </w:r>
    </w:p>
    <w:p w14:paraId="0515B3F5">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6FFA6689">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（3）乙方分立、合并或者变更住所的，应当及时以书面形式告知甲方。乙方没有及时告知甲方，致使合同履行发生困难的，甲方可以中止合同履行并要求乙方承担由此给甲方造成的损失。</w:t>
      </w:r>
    </w:p>
    <w:p w14:paraId="4F5A651B">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（4）甲方不得以行政区划调整、政府换届、机构或者职能调整以及相关责任人更替为由中止合同。</w:t>
      </w:r>
    </w:p>
    <w:p w14:paraId="6C06CEC9">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16.3合同的终止</w:t>
      </w:r>
    </w:p>
    <w:p w14:paraId="1DD7EC8B">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（1）合同因有效期限届满而终止；</w:t>
      </w:r>
    </w:p>
    <w:p w14:paraId="6E8F4D4F">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（2）乙方未按合同约定履行，构成根本性违约的，甲方有权终止合同，并追究乙方的违约责任。</w:t>
      </w:r>
    </w:p>
    <w:p w14:paraId="22B1CF68">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16.4涉及国家利益、社会公共利益的情形</w:t>
      </w:r>
    </w:p>
    <w:p w14:paraId="2E07B3C2">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政府采购合同继续履行将损害国家利益和社会公共利益的，双方当事人应当变更、中止或者终止合同。有过错的一方应当承担赔偿责任，双方都有过错的，各自承担相应的责任。</w:t>
      </w:r>
    </w:p>
    <w:p w14:paraId="0704D60D">
      <w:pPr>
        <w:widowControl/>
        <w:spacing w:line="560" w:lineRule="exact"/>
        <w:ind w:firstLine="482"/>
        <w:jc w:val="left"/>
        <w:rPr>
          <w:rFonts w:ascii="宋体" w:hAnsi="宋体" w:eastAsia="宋体" w:cs="宋体"/>
          <w:b/>
          <w:bCs/>
          <w:sz w:val="24"/>
          <w:szCs w:val="20"/>
          <w:lang w:val="zh-CN"/>
        </w:rPr>
      </w:pPr>
      <w:r>
        <w:rPr>
          <w:rFonts w:hint="eastAsia" w:ascii="宋体" w:hAnsi="宋体" w:eastAsia="宋体" w:cs="宋体"/>
          <w:b/>
          <w:bCs/>
          <w:sz w:val="24"/>
          <w:szCs w:val="20"/>
          <w:lang w:val="zh-CN"/>
        </w:rPr>
        <w:t>17.合同分包</w:t>
      </w:r>
    </w:p>
    <w:p w14:paraId="544A515D">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17.1乙方不得将合同转包给其他供应商。涉及合同分包的，乙方应根据采购文件和投标（响应）文件规定进行合同分包。</w:t>
      </w:r>
    </w:p>
    <w:p w14:paraId="27B79636">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17.2乙方执行政府采购政策向中小企业依法分包的，乙方应当按采购文件和投标（响应）文件签订分包意向协议，分包意向协议属于本合同组成部分。</w:t>
      </w:r>
    </w:p>
    <w:p w14:paraId="16DAEF50">
      <w:pPr>
        <w:widowControl/>
        <w:spacing w:line="560" w:lineRule="exact"/>
        <w:ind w:firstLine="482"/>
        <w:jc w:val="left"/>
        <w:rPr>
          <w:rFonts w:ascii="宋体" w:hAnsi="宋体" w:eastAsia="宋体" w:cs="宋体"/>
          <w:b/>
          <w:bCs/>
          <w:sz w:val="24"/>
          <w:szCs w:val="20"/>
          <w:lang w:val="zh-CN"/>
        </w:rPr>
      </w:pPr>
      <w:r>
        <w:rPr>
          <w:rFonts w:hint="eastAsia" w:ascii="宋体" w:hAnsi="宋体" w:eastAsia="宋体" w:cs="宋体"/>
          <w:b/>
          <w:bCs/>
          <w:sz w:val="24"/>
          <w:szCs w:val="20"/>
          <w:lang w:val="zh-CN"/>
        </w:rPr>
        <w:t>18.不可抗力</w:t>
      </w:r>
    </w:p>
    <w:p w14:paraId="78BA4378">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18.1不可抗力是指合同双方不能预见、不能避免且不能克服的客观情况。</w:t>
      </w:r>
    </w:p>
    <w:p w14:paraId="6F5F6AF8">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18.2任何一方对由于不可抗力造成的部分或全部不能履行合同不承担违约责任。但迟延履行后发生不可抗力的，不能免除责任。</w:t>
      </w:r>
    </w:p>
    <w:p w14:paraId="62C7809C">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18.3遇有不可抗力的一方，应及时将事件情况以书面形式告知另一方，并在事件发生后及时向另一方提交合同不能履行或部分不能履行或需要延期履行的详细报告，以及证明不可抗力发生及其持续时间的证据。</w:t>
      </w:r>
    </w:p>
    <w:p w14:paraId="71122002">
      <w:pPr>
        <w:widowControl/>
        <w:spacing w:line="560" w:lineRule="exact"/>
        <w:ind w:firstLine="482"/>
        <w:jc w:val="left"/>
        <w:rPr>
          <w:rFonts w:ascii="宋体" w:hAnsi="宋体" w:eastAsia="宋体" w:cs="宋体"/>
          <w:b/>
          <w:bCs/>
          <w:sz w:val="24"/>
          <w:szCs w:val="20"/>
          <w:lang w:val="zh-CN"/>
        </w:rPr>
      </w:pPr>
      <w:r>
        <w:rPr>
          <w:rFonts w:hint="eastAsia" w:ascii="宋体" w:hAnsi="宋体" w:eastAsia="宋体" w:cs="宋体"/>
          <w:b/>
          <w:bCs/>
          <w:sz w:val="24"/>
          <w:szCs w:val="20"/>
          <w:lang w:val="zh-CN"/>
        </w:rPr>
        <w:t>19.解决争议的方法</w:t>
      </w:r>
    </w:p>
    <w:p w14:paraId="26B8D578">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19.1因本合同及合同有关事项发生的争议，由甲乙双方友好协商解决。协商不成时，可以向有关组织申请调解。合同一方或双方不愿调解或调解不成的，可以通过仲裁或诉讼的方式解决争议。</w:t>
      </w:r>
    </w:p>
    <w:p w14:paraId="078D433F">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19.2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p>
    <w:p w14:paraId="6E77E552">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19.3如甲乙双方有争议的事项不影响合同其他部分的履行，在争议解决期间，合同其他部分应当继续履行。</w:t>
      </w:r>
    </w:p>
    <w:p w14:paraId="10D5B3D5">
      <w:pPr>
        <w:widowControl/>
        <w:spacing w:line="560" w:lineRule="exact"/>
        <w:ind w:firstLine="482"/>
        <w:jc w:val="left"/>
        <w:rPr>
          <w:rFonts w:ascii="宋体" w:hAnsi="宋体" w:eastAsia="宋体" w:cs="宋体"/>
          <w:b/>
          <w:bCs/>
          <w:sz w:val="24"/>
          <w:szCs w:val="20"/>
          <w:lang w:val="zh-CN"/>
        </w:rPr>
      </w:pPr>
      <w:r>
        <w:rPr>
          <w:rFonts w:hint="eastAsia" w:ascii="宋体" w:hAnsi="宋体" w:eastAsia="宋体" w:cs="宋体"/>
          <w:b/>
          <w:bCs/>
          <w:sz w:val="24"/>
          <w:szCs w:val="20"/>
          <w:lang w:val="zh-CN"/>
        </w:rPr>
        <w:t>20.政府采购政策</w:t>
      </w:r>
    </w:p>
    <w:p w14:paraId="55884698">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20.1本合同应当按照规定执行政府采购政策。</w:t>
      </w:r>
    </w:p>
    <w:p w14:paraId="3B84BC19">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20.2本合同依法执行政府采购政策的方式和内容，属于合同履约验收的范围。甲乙双方未按规定要求执行政府采购政策造成损失的，有过错的一方应当承担赔偿责任，双方都有过错的，各自承担相应的责任。</w:t>
      </w:r>
    </w:p>
    <w:p w14:paraId="2140CE92">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66ECEB8F">
      <w:pPr>
        <w:widowControl/>
        <w:spacing w:line="560" w:lineRule="exact"/>
        <w:ind w:firstLine="482"/>
        <w:jc w:val="left"/>
        <w:rPr>
          <w:rFonts w:ascii="宋体" w:hAnsi="宋体" w:eastAsia="宋体" w:cs="宋体"/>
          <w:b/>
          <w:bCs/>
          <w:sz w:val="24"/>
          <w:szCs w:val="20"/>
          <w:lang w:val="zh-CN"/>
        </w:rPr>
      </w:pPr>
      <w:r>
        <w:rPr>
          <w:rFonts w:hint="eastAsia" w:ascii="宋体" w:hAnsi="宋体" w:eastAsia="宋体" w:cs="宋体"/>
          <w:b/>
          <w:bCs/>
          <w:sz w:val="24"/>
          <w:szCs w:val="20"/>
          <w:lang w:val="zh-CN"/>
        </w:rPr>
        <w:t>21.法律适用</w:t>
      </w:r>
    </w:p>
    <w:p w14:paraId="740641DF">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21.1本合同的订立、生效、解释、履行及与本合同有关的争议解决，均适用法律、行政法规。</w:t>
      </w:r>
    </w:p>
    <w:p w14:paraId="2F8CB7DC">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21.2本合同条款与法律、行政法规的强制性规定不一致的，双方当事人应按照法律、行政法规的强制性规定修改本合同的相关条款。</w:t>
      </w:r>
    </w:p>
    <w:p w14:paraId="3E50CC2E">
      <w:pPr>
        <w:widowControl/>
        <w:spacing w:line="560" w:lineRule="exact"/>
        <w:ind w:firstLine="482"/>
        <w:jc w:val="left"/>
        <w:rPr>
          <w:rFonts w:ascii="宋体" w:hAnsi="宋体" w:eastAsia="宋体" w:cs="宋体"/>
          <w:b/>
          <w:bCs/>
          <w:sz w:val="24"/>
          <w:szCs w:val="20"/>
          <w:lang w:val="zh-CN"/>
        </w:rPr>
      </w:pPr>
      <w:r>
        <w:rPr>
          <w:rFonts w:hint="eastAsia" w:ascii="宋体" w:hAnsi="宋体" w:eastAsia="宋体" w:cs="宋体"/>
          <w:b/>
          <w:bCs/>
          <w:sz w:val="24"/>
          <w:szCs w:val="20"/>
          <w:lang w:val="zh-CN"/>
        </w:rPr>
        <w:t>22.通知</w:t>
      </w:r>
    </w:p>
    <w:p w14:paraId="4B8406DA">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22.1本合同任何一方向对方发出的通知、信件、数据电文等，应当发送至本合同第一部分《政府采购合同协议书》所约定的通讯地址、联系人、联系电话或电子邮箱。</w:t>
      </w:r>
    </w:p>
    <w:p w14:paraId="34F2B894">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22.2一方当事人变更名称、住所、联系人、联系电话或电子邮箱等信息的，应当在变更后3日内及时书面通知对方，对方实际收到变更通知前的送达仍为有效送达。</w:t>
      </w:r>
    </w:p>
    <w:p w14:paraId="73A98BC3">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22.3本合同一方给另一方的通知均应采用书面形式，传真或快递送到本合同中规定的对方的地址和办理签收手续。</w:t>
      </w:r>
    </w:p>
    <w:p w14:paraId="6EB4E103">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22.4通知以送达之日或通知书中规定的生效之日起生效，两者中以较迟之日为准。</w:t>
      </w:r>
    </w:p>
    <w:p w14:paraId="3A82E0DE">
      <w:pPr>
        <w:widowControl/>
        <w:numPr>
          <w:ilvl w:val="0"/>
          <w:numId w:val="4"/>
        </w:numPr>
        <w:spacing w:line="560" w:lineRule="exact"/>
        <w:ind w:firstLine="482"/>
        <w:jc w:val="left"/>
        <w:rPr>
          <w:rFonts w:ascii="宋体" w:hAnsi="宋体" w:eastAsia="宋体" w:cs="宋体"/>
          <w:b/>
          <w:bCs/>
          <w:sz w:val="24"/>
          <w:szCs w:val="20"/>
          <w:lang w:val="zh-CN"/>
        </w:rPr>
      </w:pPr>
      <w:r>
        <w:rPr>
          <w:rFonts w:hint="eastAsia" w:ascii="宋体" w:hAnsi="宋体" w:eastAsia="宋体" w:cs="宋体"/>
          <w:b/>
          <w:bCs/>
          <w:sz w:val="24"/>
          <w:szCs w:val="20"/>
          <w:lang w:val="zh-CN"/>
        </w:rPr>
        <w:t>合同未尽事项</w:t>
      </w:r>
    </w:p>
    <w:p w14:paraId="2E98054E">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23.1合同未尽事项见</w:t>
      </w:r>
      <w:r>
        <w:rPr>
          <w:rFonts w:hint="eastAsia" w:ascii="宋体" w:hAnsi="宋体" w:eastAsia="宋体" w:cs="宋体"/>
          <w:b/>
          <w:bCs/>
          <w:sz w:val="24"/>
          <w:szCs w:val="20"/>
          <w:lang w:val="zh-CN"/>
        </w:rPr>
        <w:t>【政府采购合同专用条款】</w:t>
      </w:r>
      <w:r>
        <w:rPr>
          <w:rFonts w:hint="eastAsia" w:ascii="宋体" w:hAnsi="宋体" w:eastAsia="宋体" w:cs="宋体"/>
          <w:sz w:val="24"/>
          <w:szCs w:val="20"/>
          <w:lang w:val="zh-CN"/>
        </w:rPr>
        <w:t>。</w:t>
      </w:r>
    </w:p>
    <w:p w14:paraId="08205A20">
      <w:pPr>
        <w:widowControl/>
        <w:spacing w:line="560" w:lineRule="exact"/>
        <w:ind w:firstLine="482"/>
        <w:jc w:val="left"/>
        <w:rPr>
          <w:rFonts w:ascii="宋体" w:hAnsi="宋体" w:eastAsia="宋体" w:cs="宋体"/>
          <w:sz w:val="24"/>
          <w:szCs w:val="20"/>
          <w:lang w:val="zh-CN"/>
        </w:rPr>
      </w:pPr>
      <w:r>
        <w:rPr>
          <w:rFonts w:hint="eastAsia" w:ascii="宋体" w:hAnsi="宋体" w:eastAsia="宋体" w:cs="宋体"/>
          <w:sz w:val="24"/>
          <w:szCs w:val="20"/>
          <w:lang w:val="zh-CN"/>
        </w:rPr>
        <w:t>23.2合同附件与合同正文具有同等的法律效力。</w:t>
      </w:r>
    </w:p>
    <w:p w14:paraId="179D4FE6">
      <w:pPr>
        <w:keepNext/>
        <w:keepLines/>
        <w:widowControl/>
        <w:spacing w:line="360" w:lineRule="auto"/>
        <w:jc w:val="center"/>
        <w:outlineLvl w:val="1"/>
        <w:rPr>
          <w:rFonts w:ascii="宋体" w:hAnsi="宋体" w:eastAsia="宋体" w:cs="宋体"/>
          <w:b/>
          <w:bCs/>
          <w:sz w:val="28"/>
          <w:szCs w:val="28"/>
        </w:rPr>
      </w:pPr>
      <w:r>
        <w:rPr>
          <w:rFonts w:hint="eastAsia" w:ascii="黑体" w:hAnsi="华文中宋" w:eastAsia="黑体"/>
          <w:sz w:val="24"/>
        </w:rPr>
        <w:br w:type="page" w:clear="all"/>
      </w:r>
      <w:r>
        <w:rPr>
          <w:rFonts w:hint="eastAsia" w:ascii="宋体" w:hAnsi="宋体" w:eastAsia="宋体" w:cs="宋体"/>
          <w:b/>
          <w:bCs/>
          <w:sz w:val="28"/>
          <w:szCs w:val="28"/>
        </w:rPr>
        <w:t>第三节 政府采购合同专用条款</w:t>
      </w:r>
    </w:p>
    <w:tbl>
      <w:tblPr>
        <w:tblStyle w:val="40"/>
        <w:tblW w:w="864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1245"/>
        <w:gridCol w:w="1413"/>
        <w:gridCol w:w="5991"/>
      </w:tblGrid>
      <w:tr w14:paraId="510F99C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jc w:val="center"/>
        </w:trPr>
        <w:tc>
          <w:tcPr>
            <w:tcW w:w="1245" w:type="dxa"/>
            <w:vAlign w:val="center"/>
          </w:tcPr>
          <w:p w14:paraId="7835256D">
            <w:pPr>
              <w:widowControl/>
              <w:jc w:val="center"/>
              <w:rPr>
                <w:rFonts w:ascii="宋体" w:hAnsi="宋体"/>
                <w:sz w:val="24"/>
              </w:rPr>
            </w:pPr>
            <w:r>
              <w:rPr>
                <w:rFonts w:hint="eastAsia" w:ascii="宋体" w:hAnsi="宋体"/>
                <w:sz w:val="24"/>
              </w:rPr>
              <w:t>第二节</w:t>
            </w:r>
          </w:p>
          <w:p w14:paraId="6E4165FE">
            <w:pPr>
              <w:widowControl/>
              <w:jc w:val="center"/>
              <w:rPr>
                <w:rFonts w:ascii="宋体" w:hAnsi="宋体"/>
                <w:sz w:val="24"/>
              </w:rPr>
            </w:pPr>
            <w:r>
              <w:rPr>
                <w:rFonts w:hint="eastAsia" w:ascii="宋体" w:hAnsi="宋体"/>
                <w:sz w:val="24"/>
              </w:rPr>
              <w:t>第1.2（6）项</w:t>
            </w:r>
          </w:p>
        </w:tc>
        <w:tc>
          <w:tcPr>
            <w:tcW w:w="1413" w:type="dxa"/>
            <w:vAlign w:val="center"/>
          </w:tcPr>
          <w:p w14:paraId="380A09EB">
            <w:pPr>
              <w:widowControl/>
              <w:jc w:val="center"/>
              <w:rPr>
                <w:rFonts w:ascii="宋体" w:hAnsi="宋体"/>
                <w:sz w:val="24"/>
              </w:rPr>
            </w:pPr>
            <w:r>
              <w:rPr>
                <w:rFonts w:hint="eastAsia" w:ascii="宋体" w:hAnsi="宋体"/>
                <w:sz w:val="24"/>
              </w:rPr>
              <w:t>联合体具体要求</w:t>
            </w:r>
          </w:p>
        </w:tc>
        <w:tc>
          <w:tcPr>
            <w:tcW w:w="5991" w:type="dxa"/>
            <w:vAlign w:val="center"/>
          </w:tcPr>
          <w:p w14:paraId="4DA7D21E">
            <w:pPr>
              <w:widowControl/>
              <w:ind w:firstLine="480" w:firstLineChars="200"/>
              <w:jc w:val="left"/>
              <w:rPr>
                <w:rFonts w:ascii="宋体" w:hAnsi="宋体"/>
                <w:sz w:val="24"/>
              </w:rPr>
            </w:pPr>
            <w:r>
              <w:rPr>
                <w:sz w:val="24"/>
              </w:rPr>
              <w:t>同招标公告及文件</w:t>
            </w:r>
          </w:p>
        </w:tc>
      </w:tr>
      <w:tr w14:paraId="1C0A5CC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jc w:val="center"/>
        </w:trPr>
        <w:tc>
          <w:tcPr>
            <w:tcW w:w="1245" w:type="dxa"/>
            <w:vAlign w:val="center"/>
          </w:tcPr>
          <w:p w14:paraId="51A223B5">
            <w:pPr>
              <w:widowControl/>
              <w:jc w:val="center"/>
              <w:rPr>
                <w:rFonts w:ascii="宋体" w:hAnsi="宋体"/>
                <w:sz w:val="24"/>
              </w:rPr>
            </w:pPr>
            <w:r>
              <w:rPr>
                <w:rFonts w:hint="eastAsia" w:ascii="宋体" w:hAnsi="宋体"/>
                <w:sz w:val="24"/>
              </w:rPr>
              <w:t>第二节</w:t>
            </w:r>
          </w:p>
          <w:p w14:paraId="294F7923">
            <w:pPr>
              <w:widowControl/>
              <w:jc w:val="center"/>
              <w:rPr>
                <w:rFonts w:ascii="宋体" w:hAnsi="宋体"/>
                <w:sz w:val="24"/>
              </w:rPr>
            </w:pPr>
            <w:r>
              <w:rPr>
                <w:rFonts w:hint="eastAsia" w:ascii="宋体" w:hAnsi="宋体"/>
                <w:sz w:val="24"/>
              </w:rPr>
              <w:t>第1.2（7）项</w:t>
            </w:r>
          </w:p>
        </w:tc>
        <w:tc>
          <w:tcPr>
            <w:tcW w:w="1413" w:type="dxa"/>
            <w:vAlign w:val="center"/>
          </w:tcPr>
          <w:p w14:paraId="28804478">
            <w:pPr>
              <w:widowControl/>
              <w:jc w:val="center"/>
              <w:rPr>
                <w:rFonts w:ascii="宋体" w:hAnsi="宋体"/>
                <w:sz w:val="24"/>
              </w:rPr>
            </w:pPr>
            <w:r>
              <w:rPr>
                <w:rFonts w:hint="eastAsia" w:ascii="宋体" w:hAnsi="宋体"/>
                <w:sz w:val="24"/>
              </w:rPr>
              <w:t>其他术语解释</w:t>
            </w:r>
          </w:p>
        </w:tc>
        <w:tc>
          <w:tcPr>
            <w:tcW w:w="5991" w:type="dxa"/>
            <w:vAlign w:val="center"/>
          </w:tcPr>
          <w:p w14:paraId="2057C266">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同合同通用条款</w:t>
            </w:r>
          </w:p>
        </w:tc>
      </w:tr>
      <w:tr w14:paraId="154B5A0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jc w:val="center"/>
        </w:trPr>
        <w:tc>
          <w:tcPr>
            <w:tcW w:w="1245" w:type="dxa"/>
            <w:vAlign w:val="center"/>
          </w:tcPr>
          <w:p w14:paraId="0422ED3D">
            <w:pPr>
              <w:widowControl/>
              <w:jc w:val="center"/>
              <w:rPr>
                <w:rFonts w:ascii="宋体" w:hAnsi="宋体"/>
                <w:sz w:val="24"/>
              </w:rPr>
            </w:pPr>
            <w:r>
              <w:rPr>
                <w:rFonts w:hint="eastAsia" w:ascii="宋体" w:hAnsi="宋体"/>
                <w:sz w:val="24"/>
              </w:rPr>
              <w:t>第二节</w:t>
            </w:r>
          </w:p>
          <w:p w14:paraId="42E14683">
            <w:pPr>
              <w:widowControl/>
              <w:jc w:val="center"/>
              <w:rPr>
                <w:rFonts w:ascii="宋体" w:hAnsi="宋体"/>
                <w:sz w:val="24"/>
              </w:rPr>
            </w:pPr>
            <w:r>
              <w:rPr>
                <w:rFonts w:hint="eastAsia" w:ascii="宋体" w:hAnsi="宋体"/>
                <w:sz w:val="24"/>
              </w:rPr>
              <w:t>第4.4款</w:t>
            </w:r>
          </w:p>
        </w:tc>
        <w:tc>
          <w:tcPr>
            <w:tcW w:w="1413" w:type="dxa"/>
            <w:vAlign w:val="center"/>
          </w:tcPr>
          <w:p w14:paraId="2AE4C4A6">
            <w:pPr>
              <w:widowControl/>
              <w:jc w:val="center"/>
              <w:rPr>
                <w:rFonts w:ascii="宋体" w:hAnsi="宋体"/>
                <w:sz w:val="24"/>
              </w:rPr>
            </w:pPr>
            <w:r>
              <w:rPr>
                <w:rFonts w:hint="eastAsia" w:ascii="宋体" w:hAnsi="宋体"/>
                <w:sz w:val="24"/>
              </w:rPr>
              <w:t>履约验收中甲方提出异议或作出说明的期限</w:t>
            </w:r>
          </w:p>
        </w:tc>
        <w:tc>
          <w:tcPr>
            <w:tcW w:w="5991" w:type="dxa"/>
            <w:vAlign w:val="center"/>
          </w:tcPr>
          <w:p w14:paraId="4855ED96">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十五个工作日内</w:t>
            </w:r>
          </w:p>
        </w:tc>
      </w:tr>
      <w:tr w14:paraId="0171FE3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jc w:val="center"/>
        </w:trPr>
        <w:tc>
          <w:tcPr>
            <w:tcW w:w="1245" w:type="dxa"/>
            <w:vAlign w:val="center"/>
          </w:tcPr>
          <w:p w14:paraId="4EFD0B54">
            <w:pPr>
              <w:widowControl/>
              <w:jc w:val="center"/>
              <w:rPr>
                <w:rFonts w:ascii="宋体" w:hAnsi="宋体"/>
                <w:sz w:val="24"/>
              </w:rPr>
            </w:pPr>
            <w:r>
              <w:rPr>
                <w:rFonts w:hint="eastAsia" w:ascii="宋体" w:hAnsi="宋体"/>
                <w:sz w:val="24"/>
              </w:rPr>
              <w:t>第二节</w:t>
            </w:r>
          </w:p>
          <w:p w14:paraId="43F43D28">
            <w:pPr>
              <w:widowControl/>
              <w:jc w:val="center"/>
              <w:rPr>
                <w:rFonts w:ascii="宋体" w:hAnsi="宋体"/>
                <w:sz w:val="24"/>
              </w:rPr>
            </w:pPr>
            <w:r>
              <w:rPr>
                <w:rFonts w:hint="eastAsia" w:ascii="宋体" w:hAnsi="宋体"/>
                <w:sz w:val="24"/>
              </w:rPr>
              <w:t>第4.6款</w:t>
            </w:r>
          </w:p>
        </w:tc>
        <w:tc>
          <w:tcPr>
            <w:tcW w:w="1413" w:type="dxa"/>
            <w:vAlign w:val="center"/>
          </w:tcPr>
          <w:p w14:paraId="6E220A93">
            <w:pPr>
              <w:widowControl/>
              <w:jc w:val="center"/>
              <w:rPr>
                <w:rFonts w:ascii="宋体" w:hAnsi="宋体"/>
                <w:sz w:val="24"/>
              </w:rPr>
            </w:pPr>
            <w:r>
              <w:rPr>
                <w:rFonts w:hint="eastAsia" w:ascii="宋体" w:hAnsi="宋体"/>
                <w:sz w:val="24"/>
              </w:rPr>
              <w:t>约定甲方承担的其他义务和责任</w:t>
            </w:r>
          </w:p>
        </w:tc>
        <w:tc>
          <w:tcPr>
            <w:tcW w:w="5991" w:type="dxa"/>
            <w:vAlign w:val="center"/>
          </w:tcPr>
          <w:p w14:paraId="707EFBF4">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同合同通用条款</w:t>
            </w:r>
          </w:p>
        </w:tc>
      </w:tr>
      <w:tr w14:paraId="0660E51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jc w:val="center"/>
        </w:trPr>
        <w:tc>
          <w:tcPr>
            <w:tcW w:w="1245" w:type="dxa"/>
            <w:vAlign w:val="center"/>
          </w:tcPr>
          <w:p w14:paraId="4151E729">
            <w:pPr>
              <w:widowControl/>
              <w:jc w:val="center"/>
              <w:rPr>
                <w:rFonts w:ascii="宋体" w:hAnsi="宋体"/>
                <w:sz w:val="24"/>
              </w:rPr>
            </w:pPr>
            <w:r>
              <w:rPr>
                <w:rFonts w:hint="eastAsia" w:ascii="宋体" w:hAnsi="宋体"/>
                <w:sz w:val="24"/>
              </w:rPr>
              <w:t>第二节</w:t>
            </w:r>
          </w:p>
          <w:p w14:paraId="2205F103">
            <w:pPr>
              <w:widowControl/>
              <w:jc w:val="center"/>
              <w:rPr>
                <w:rFonts w:ascii="宋体" w:hAnsi="宋体"/>
                <w:sz w:val="24"/>
              </w:rPr>
            </w:pPr>
            <w:r>
              <w:rPr>
                <w:rFonts w:hint="eastAsia" w:ascii="宋体" w:hAnsi="宋体"/>
                <w:sz w:val="24"/>
              </w:rPr>
              <w:t>第5.4款</w:t>
            </w:r>
          </w:p>
        </w:tc>
        <w:tc>
          <w:tcPr>
            <w:tcW w:w="1413" w:type="dxa"/>
            <w:vAlign w:val="center"/>
          </w:tcPr>
          <w:p w14:paraId="7A6F4AEA">
            <w:pPr>
              <w:widowControl/>
              <w:jc w:val="center"/>
              <w:rPr>
                <w:rFonts w:ascii="宋体" w:hAnsi="宋体"/>
                <w:sz w:val="24"/>
              </w:rPr>
            </w:pPr>
            <w:r>
              <w:rPr>
                <w:rFonts w:hint="eastAsia" w:ascii="宋体" w:hAnsi="宋体"/>
                <w:sz w:val="24"/>
              </w:rPr>
              <w:t>约定乙方承担的其他义务和责任</w:t>
            </w:r>
          </w:p>
        </w:tc>
        <w:tc>
          <w:tcPr>
            <w:tcW w:w="5991" w:type="dxa"/>
            <w:vAlign w:val="center"/>
          </w:tcPr>
          <w:p w14:paraId="01542C18">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同合同通用条款</w:t>
            </w:r>
          </w:p>
        </w:tc>
      </w:tr>
      <w:tr w14:paraId="1B51FA0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jc w:val="center"/>
        </w:trPr>
        <w:tc>
          <w:tcPr>
            <w:tcW w:w="1245" w:type="dxa"/>
            <w:vAlign w:val="center"/>
          </w:tcPr>
          <w:p w14:paraId="379E47E5">
            <w:pPr>
              <w:widowControl/>
              <w:jc w:val="center"/>
              <w:rPr>
                <w:rFonts w:ascii="宋体" w:hAnsi="宋体"/>
                <w:sz w:val="24"/>
              </w:rPr>
            </w:pPr>
            <w:r>
              <w:rPr>
                <w:rFonts w:hint="eastAsia" w:ascii="宋体" w:hAnsi="宋体"/>
                <w:sz w:val="24"/>
              </w:rPr>
              <w:t>第二节</w:t>
            </w:r>
          </w:p>
          <w:p w14:paraId="5BF43517">
            <w:pPr>
              <w:widowControl/>
              <w:jc w:val="center"/>
              <w:rPr>
                <w:rFonts w:ascii="宋体" w:hAnsi="宋体"/>
                <w:sz w:val="24"/>
              </w:rPr>
            </w:pPr>
            <w:r>
              <w:rPr>
                <w:rFonts w:hint="eastAsia" w:ascii="宋体" w:hAnsi="宋体"/>
                <w:sz w:val="24"/>
              </w:rPr>
              <w:t>第6.1款</w:t>
            </w:r>
          </w:p>
        </w:tc>
        <w:tc>
          <w:tcPr>
            <w:tcW w:w="1413" w:type="dxa"/>
            <w:vAlign w:val="center"/>
          </w:tcPr>
          <w:p w14:paraId="72FFB28C">
            <w:pPr>
              <w:widowControl/>
              <w:jc w:val="center"/>
              <w:rPr>
                <w:rFonts w:ascii="宋体" w:hAnsi="宋体"/>
                <w:sz w:val="24"/>
              </w:rPr>
            </w:pPr>
            <w:r>
              <w:rPr>
                <w:rFonts w:hint="eastAsia" w:ascii="宋体" w:hAnsi="宋体"/>
                <w:sz w:val="24"/>
              </w:rPr>
              <w:t>履行合同义务的  顺序</w:t>
            </w:r>
          </w:p>
        </w:tc>
        <w:tc>
          <w:tcPr>
            <w:tcW w:w="5991" w:type="dxa"/>
            <w:vAlign w:val="center"/>
          </w:tcPr>
          <w:p w14:paraId="3D2D9B4B">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同协议书</w:t>
            </w:r>
          </w:p>
        </w:tc>
      </w:tr>
      <w:tr w14:paraId="0AF2C40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jc w:val="center"/>
        </w:trPr>
        <w:tc>
          <w:tcPr>
            <w:tcW w:w="1245" w:type="dxa"/>
            <w:vMerge w:val="restart"/>
            <w:vAlign w:val="center"/>
          </w:tcPr>
          <w:p w14:paraId="4C65E260">
            <w:pPr>
              <w:widowControl/>
              <w:jc w:val="center"/>
              <w:rPr>
                <w:rFonts w:ascii="宋体" w:hAnsi="宋体"/>
                <w:sz w:val="24"/>
              </w:rPr>
            </w:pPr>
            <w:r>
              <w:rPr>
                <w:rFonts w:hint="eastAsia" w:ascii="宋体" w:hAnsi="宋体"/>
                <w:sz w:val="24"/>
              </w:rPr>
              <w:t>第二节</w:t>
            </w:r>
          </w:p>
          <w:p w14:paraId="74F4EEEA">
            <w:pPr>
              <w:widowControl/>
              <w:jc w:val="center"/>
              <w:rPr>
                <w:rFonts w:ascii="宋体" w:hAnsi="宋体"/>
                <w:sz w:val="24"/>
              </w:rPr>
            </w:pPr>
            <w:r>
              <w:rPr>
                <w:rFonts w:hint="eastAsia" w:ascii="宋体" w:hAnsi="宋体"/>
                <w:sz w:val="24"/>
              </w:rPr>
              <w:t>第7.1款</w:t>
            </w:r>
          </w:p>
        </w:tc>
        <w:tc>
          <w:tcPr>
            <w:tcW w:w="1413" w:type="dxa"/>
            <w:vAlign w:val="center"/>
          </w:tcPr>
          <w:p w14:paraId="098E44EF">
            <w:pPr>
              <w:widowControl/>
              <w:jc w:val="center"/>
              <w:rPr>
                <w:rFonts w:ascii="宋体" w:hAnsi="宋体"/>
                <w:sz w:val="24"/>
              </w:rPr>
            </w:pPr>
            <w:r>
              <w:rPr>
                <w:rFonts w:hint="eastAsia" w:ascii="宋体" w:hAnsi="宋体"/>
                <w:sz w:val="24"/>
              </w:rPr>
              <w:t>包装特殊要求</w:t>
            </w:r>
          </w:p>
        </w:tc>
        <w:tc>
          <w:tcPr>
            <w:tcW w:w="5991" w:type="dxa"/>
            <w:vAlign w:val="center"/>
          </w:tcPr>
          <w:p w14:paraId="58AD54F1">
            <w:pPr>
              <w:widowControl/>
              <w:spacing w:line="560" w:lineRule="exact"/>
              <w:ind w:firstLine="482"/>
              <w:rPr>
                <w:rFonts w:ascii="宋体" w:hAnsi="宋体" w:eastAsia="宋体" w:cs="宋体"/>
                <w:sz w:val="24"/>
                <w:szCs w:val="20"/>
              </w:rPr>
            </w:pPr>
            <w:r>
              <w:rPr>
                <w:rFonts w:hint="eastAsia" w:ascii="宋体" w:hAnsi="宋体" w:eastAsia="宋体" w:cs="宋体"/>
                <w:sz w:val="24"/>
                <w:szCs w:val="20"/>
              </w:rPr>
              <w:t>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p>
          <w:p w14:paraId="3841A341">
            <w:pPr>
              <w:widowControl/>
              <w:spacing w:line="560" w:lineRule="exact"/>
              <w:ind w:firstLine="482"/>
              <w:rPr>
                <w:rFonts w:ascii="宋体" w:hAnsi="宋体" w:eastAsia="宋体" w:cs="宋体"/>
                <w:sz w:val="24"/>
                <w:szCs w:val="20"/>
              </w:rPr>
            </w:pPr>
            <w:r>
              <w:rPr>
                <w:rFonts w:hint="eastAsia" w:ascii="宋体" w:hAnsi="宋体" w:eastAsia="宋体" w:cs="宋体"/>
                <w:sz w:val="24"/>
                <w:szCs w:val="20"/>
              </w:rPr>
              <w:t>1.商品包装层数不得超过3 层，空隙率不大于40%；</w:t>
            </w:r>
          </w:p>
          <w:p w14:paraId="068ACDEA">
            <w:pPr>
              <w:widowControl/>
              <w:spacing w:line="560" w:lineRule="exact"/>
              <w:ind w:firstLine="482"/>
              <w:rPr>
                <w:rFonts w:ascii="宋体" w:hAnsi="宋体" w:eastAsia="宋体" w:cs="宋体"/>
                <w:sz w:val="24"/>
                <w:szCs w:val="20"/>
              </w:rPr>
            </w:pPr>
            <w:r>
              <w:rPr>
                <w:rFonts w:hint="eastAsia" w:ascii="宋体" w:hAnsi="宋体" w:eastAsia="宋体" w:cs="宋体"/>
                <w:sz w:val="24"/>
                <w:szCs w:val="20"/>
              </w:rPr>
              <w:t>2.商品包装尽可能使用单一材质的包装材料，如因功能需求必需使用不同材质，不同材质间应便于分离；</w:t>
            </w:r>
          </w:p>
          <w:p w14:paraId="51E53574">
            <w:pPr>
              <w:widowControl/>
              <w:spacing w:line="560" w:lineRule="exact"/>
              <w:ind w:firstLine="482"/>
              <w:rPr>
                <w:rFonts w:ascii="宋体" w:hAnsi="宋体" w:eastAsia="宋体" w:cs="宋体"/>
                <w:sz w:val="24"/>
                <w:szCs w:val="20"/>
              </w:rPr>
            </w:pPr>
            <w:r>
              <w:rPr>
                <w:rFonts w:hint="eastAsia" w:ascii="宋体" w:hAnsi="宋体" w:eastAsia="宋体" w:cs="宋体"/>
                <w:sz w:val="24"/>
                <w:szCs w:val="20"/>
              </w:rPr>
              <w:t>3.商品包装中铅、汞、镉、六价铬的总含量应不大于100mg/kg；</w:t>
            </w:r>
          </w:p>
          <w:p w14:paraId="0B9B67EB">
            <w:pPr>
              <w:widowControl/>
              <w:spacing w:line="560" w:lineRule="exact"/>
              <w:ind w:firstLine="482"/>
              <w:rPr>
                <w:rFonts w:ascii="宋体" w:hAnsi="宋体" w:eastAsia="宋体" w:cs="宋体"/>
                <w:sz w:val="24"/>
                <w:szCs w:val="20"/>
              </w:rPr>
            </w:pPr>
            <w:r>
              <w:rPr>
                <w:rFonts w:hint="eastAsia" w:ascii="宋体" w:hAnsi="宋体" w:eastAsia="宋体" w:cs="宋体"/>
                <w:sz w:val="24"/>
                <w:szCs w:val="20"/>
              </w:rPr>
              <w:t>4.商品包装印刷使用的油墨中挥发性有机化合物(VOCs)含量应不大于 5%（以重量计）；</w:t>
            </w:r>
          </w:p>
          <w:p w14:paraId="6E873D43">
            <w:pPr>
              <w:widowControl/>
              <w:spacing w:line="560" w:lineRule="exact"/>
              <w:ind w:firstLine="482"/>
              <w:rPr>
                <w:rFonts w:ascii="宋体" w:hAnsi="宋体" w:eastAsia="宋体" w:cs="宋体"/>
                <w:sz w:val="24"/>
                <w:szCs w:val="20"/>
              </w:rPr>
            </w:pPr>
            <w:r>
              <w:rPr>
                <w:rFonts w:hint="eastAsia" w:ascii="宋体" w:hAnsi="宋体" w:eastAsia="宋体" w:cs="宋体"/>
                <w:sz w:val="24"/>
                <w:szCs w:val="20"/>
              </w:rPr>
              <w:t>5.塑料材质商品包装上呈现的印刷颜色不得超过6色；</w:t>
            </w:r>
          </w:p>
          <w:p w14:paraId="1818F1E0">
            <w:pPr>
              <w:widowControl/>
              <w:spacing w:line="560" w:lineRule="exact"/>
              <w:ind w:firstLine="482"/>
              <w:rPr>
                <w:rFonts w:ascii="宋体" w:hAnsi="宋体" w:eastAsia="宋体" w:cs="宋体"/>
                <w:sz w:val="24"/>
                <w:szCs w:val="20"/>
              </w:rPr>
            </w:pPr>
            <w:r>
              <w:rPr>
                <w:rFonts w:hint="eastAsia" w:ascii="宋体" w:hAnsi="宋体" w:eastAsia="宋体" w:cs="宋体"/>
                <w:sz w:val="24"/>
                <w:szCs w:val="20"/>
              </w:rPr>
              <w:t>6.纸质商品包装应使用75%以上的可再生纤维原料生产；</w:t>
            </w:r>
          </w:p>
          <w:p w14:paraId="4DF3713A">
            <w:pPr>
              <w:widowControl/>
              <w:spacing w:line="560" w:lineRule="exact"/>
              <w:ind w:firstLine="482"/>
              <w:rPr>
                <w:rFonts w:ascii="宋体" w:hAnsi="宋体" w:eastAsia="宋体" w:cs="宋体"/>
                <w:sz w:val="24"/>
                <w:szCs w:val="20"/>
              </w:rPr>
            </w:pPr>
            <w:r>
              <w:rPr>
                <w:rFonts w:hint="eastAsia" w:ascii="宋体" w:hAnsi="宋体" w:eastAsia="宋体" w:cs="宋体"/>
                <w:sz w:val="24"/>
                <w:szCs w:val="20"/>
              </w:rPr>
              <w:t>7.木质商品包装的原料应来源于可持续性森林。</w:t>
            </w:r>
          </w:p>
          <w:p w14:paraId="7218EB1C">
            <w:pPr>
              <w:widowControl/>
              <w:spacing w:line="560" w:lineRule="exact"/>
              <w:ind w:firstLine="482"/>
              <w:rPr>
                <w:rFonts w:ascii="宋体" w:hAnsi="宋体" w:eastAsia="宋体" w:cs="宋体"/>
                <w:sz w:val="24"/>
                <w:szCs w:val="20"/>
              </w:rPr>
            </w:pPr>
            <w:r>
              <w:rPr>
                <w:rFonts w:hint="eastAsia" w:ascii="宋体" w:hAnsi="宋体" w:eastAsia="宋体" w:cs="宋体"/>
                <w:sz w:val="24"/>
                <w:szCs w:val="20"/>
              </w:rPr>
              <w:t>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p>
          <w:p w14:paraId="08ABF147">
            <w:pPr>
              <w:widowControl/>
              <w:spacing w:line="560" w:lineRule="exact"/>
              <w:ind w:firstLine="482"/>
              <w:rPr>
                <w:rFonts w:ascii="宋体" w:hAnsi="宋体" w:eastAsia="宋体" w:cs="宋体"/>
                <w:sz w:val="24"/>
                <w:szCs w:val="20"/>
              </w:rPr>
            </w:pPr>
            <w:r>
              <w:rPr>
                <w:rFonts w:hint="eastAsia" w:ascii="宋体" w:hAnsi="宋体" w:eastAsia="宋体" w:cs="宋体"/>
                <w:sz w:val="24"/>
                <w:szCs w:val="20"/>
              </w:rPr>
              <w:t>9.每件包装箱内应附一份详细装箱单和质量合格凭证。</w:t>
            </w:r>
          </w:p>
        </w:tc>
      </w:tr>
      <w:tr w14:paraId="2D8A33A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jc w:val="center"/>
        </w:trPr>
        <w:tc>
          <w:tcPr>
            <w:tcW w:w="1245" w:type="dxa"/>
            <w:vMerge w:val="continue"/>
            <w:vAlign w:val="center"/>
          </w:tcPr>
          <w:p w14:paraId="1EE6FE0C">
            <w:pPr>
              <w:widowControl/>
              <w:jc w:val="center"/>
              <w:rPr>
                <w:rFonts w:ascii="宋体" w:hAnsi="宋体"/>
                <w:sz w:val="24"/>
              </w:rPr>
            </w:pPr>
          </w:p>
        </w:tc>
        <w:tc>
          <w:tcPr>
            <w:tcW w:w="1413" w:type="dxa"/>
            <w:vAlign w:val="center"/>
          </w:tcPr>
          <w:p w14:paraId="4E6F53A4">
            <w:pPr>
              <w:widowControl/>
              <w:jc w:val="center"/>
              <w:rPr>
                <w:rFonts w:ascii="宋体" w:hAnsi="宋体"/>
                <w:sz w:val="24"/>
              </w:rPr>
            </w:pPr>
            <w:r>
              <w:rPr>
                <w:rFonts w:hint="eastAsia" w:ascii="宋体" w:hAnsi="宋体"/>
                <w:sz w:val="24"/>
              </w:rPr>
              <w:t>指定现场</w:t>
            </w:r>
          </w:p>
        </w:tc>
        <w:tc>
          <w:tcPr>
            <w:tcW w:w="5991" w:type="dxa"/>
            <w:vAlign w:val="center"/>
          </w:tcPr>
          <w:p w14:paraId="04CD5ECD">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同协议书</w:t>
            </w:r>
          </w:p>
        </w:tc>
      </w:tr>
      <w:tr w14:paraId="7913A15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jc w:val="center"/>
        </w:trPr>
        <w:tc>
          <w:tcPr>
            <w:tcW w:w="1245" w:type="dxa"/>
            <w:vAlign w:val="center"/>
          </w:tcPr>
          <w:p w14:paraId="0C6DB8F0">
            <w:pPr>
              <w:widowControl/>
              <w:jc w:val="center"/>
              <w:rPr>
                <w:rFonts w:ascii="宋体" w:hAnsi="宋体"/>
                <w:sz w:val="24"/>
              </w:rPr>
            </w:pPr>
            <w:r>
              <w:rPr>
                <w:rFonts w:hint="eastAsia" w:ascii="宋体" w:hAnsi="宋体"/>
                <w:sz w:val="24"/>
              </w:rPr>
              <w:t>第二节</w:t>
            </w:r>
          </w:p>
          <w:p w14:paraId="246AF4A1">
            <w:pPr>
              <w:widowControl/>
              <w:jc w:val="center"/>
              <w:rPr>
                <w:rFonts w:ascii="宋体" w:hAnsi="宋体"/>
                <w:sz w:val="24"/>
              </w:rPr>
            </w:pPr>
            <w:r>
              <w:rPr>
                <w:rFonts w:hint="eastAsia" w:ascii="宋体" w:hAnsi="宋体"/>
                <w:sz w:val="24"/>
              </w:rPr>
              <w:t>第7.2款</w:t>
            </w:r>
          </w:p>
        </w:tc>
        <w:tc>
          <w:tcPr>
            <w:tcW w:w="1413" w:type="dxa"/>
            <w:vAlign w:val="center"/>
          </w:tcPr>
          <w:p w14:paraId="0894BF64">
            <w:pPr>
              <w:widowControl/>
              <w:jc w:val="center"/>
              <w:rPr>
                <w:rFonts w:ascii="宋体" w:hAnsi="宋体"/>
                <w:sz w:val="24"/>
              </w:rPr>
            </w:pPr>
            <w:r>
              <w:rPr>
                <w:rFonts w:hint="eastAsia" w:ascii="宋体" w:hAnsi="宋体"/>
                <w:sz w:val="24"/>
              </w:rPr>
              <w:t>运输特殊要求</w:t>
            </w:r>
          </w:p>
        </w:tc>
        <w:tc>
          <w:tcPr>
            <w:tcW w:w="5991" w:type="dxa"/>
            <w:vAlign w:val="center"/>
          </w:tcPr>
          <w:p w14:paraId="0B62FDAA">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1.货物验收合格、交付使用并提供所需单据的日期视为交货日期。</w:t>
            </w:r>
          </w:p>
          <w:p w14:paraId="55D9D09B">
            <w:pPr>
              <w:widowControl/>
              <w:spacing w:line="560" w:lineRule="exact"/>
              <w:ind w:firstLine="482"/>
              <w:rPr>
                <w:rFonts w:ascii="宋体" w:hAnsi="宋体" w:eastAsia="宋体" w:cs="宋体"/>
                <w:sz w:val="24"/>
                <w:szCs w:val="20"/>
              </w:rPr>
            </w:pPr>
            <w:r>
              <w:rPr>
                <w:rFonts w:hint="eastAsia" w:ascii="宋体" w:hAnsi="宋体" w:eastAsia="宋体" w:cs="宋体"/>
                <w:sz w:val="24"/>
                <w:szCs w:val="20"/>
              </w:rPr>
              <w:t>2.乙方在货物发运手续办理完毕后24小时内或货到48小时前通知甲方，以准备接货。</w:t>
            </w:r>
          </w:p>
          <w:p w14:paraId="2D901B4C">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3.乙方装运的货物不应超过合同规定的数量或重量。乙方应对超交数量或超重而产生的一切后果负责。</w:t>
            </w:r>
          </w:p>
          <w:p w14:paraId="0D5F26F7">
            <w:pPr>
              <w:widowControl/>
              <w:spacing w:line="560" w:lineRule="exact"/>
              <w:ind w:firstLine="482"/>
              <w:rPr>
                <w:rFonts w:ascii="宋体" w:hAnsi="宋体" w:eastAsia="宋体" w:cs="宋体"/>
                <w:sz w:val="24"/>
                <w:szCs w:val="20"/>
              </w:rPr>
            </w:pPr>
            <w:r>
              <w:rPr>
                <w:rFonts w:hint="eastAsia" w:ascii="宋体" w:hAnsi="宋体" w:eastAsia="宋体" w:cs="宋体"/>
                <w:sz w:val="24"/>
                <w:szCs w:val="20"/>
              </w:rPr>
              <w:t>4.货物在交付甲方前发生的风险均由乙方负责。</w:t>
            </w:r>
          </w:p>
        </w:tc>
      </w:tr>
      <w:tr w14:paraId="3752C11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jc w:val="center"/>
        </w:trPr>
        <w:tc>
          <w:tcPr>
            <w:tcW w:w="1245" w:type="dxa"/>
            <w:vAlign w:val="center"/>
          </w:tcPr>
          <w:p w14:paraId="0D8AF468">
            <w:pPr>
              <w:widowControl/>
              <w:jc w:val="center"/>
              <w:rPr>
                <w:rFonts w:ascii="宋体" w:hAnsi="宋体"/>
                <w:sz w:val="24"/>
              </w:rPr>
            </w:pPr>
            <w:r>
              <w:rPr>
                <w:rFonts w:hint="eastAsia" w:ascii="宋体" w:hAnsi="宋体"/>
                <w:sz w:val="24"/>
              </w:rPr>
              <w:t>第二节</w:t>
            </w:r>
          </w:p>
          <w:p w14:paraId="4F63B66B">
            <w:pPr>
              <w:widowControl/>
              <w:jc w:val="center"/>
              <w:rPr>
                <w:rFonts w:ascii="宋体" w:hAnsi="宋体"/>
                <w:sz w:val="24"/>
              </w:rPr>
            </w:pPr>
            <w:r>
              <w:rPr>
                <w:rFonts w:hint="eastAsia" w:ascii="宋体" w:hAnsi="宋体"/>
                <w:sz w:val="24"/>
              </w:rPr>
              <w:t>第7.3款</w:t>
            </w:r>
          </w:p>
        </w:tc>
        <w:tc>
          <w:tcPr>
            <w:tcW w:w="1413" w:type="dxa"/>
            <w:vAlign w:val="center"/>
          </w:tcPr>
          <w:p w14:paraId="7B32DA59">
            <w:pPr>
              <w:widowControl/>
              <w:jc w:val="center"/>
              <w:rPr>
                <w:rFonts w:ascii="宋体" w:hAnsi="宋体"/>
                <w:sz w:val="24"/>
              </w:rPr>
            </w:pPr>
            <w:r>
              <w:rPr>
                <w:rFonts w:hint="eastAsia" w:ascii="宋体" w:hAnsi="宋体"/>
                <w:sz w:val="24"/>
              </w:rPr>
              <w:t>保险要求</w:t>
            </w:r>
          </w:p>
        </w:tc>
        <w:tc>
          <w:tcPr>
            <w:tcW w:w="5991" w:type="dxa"/>
            <w:vAlign w:val="center"/>
          </w:tcPr>
          <w:p w14:paraId="6A3C5EEC">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货物交货前由乙方承担保险义务</w:t>
            </w:r>
          </w:p>
        </w:tc>
      </w:tr>
      <w:tr w14:paraId="28CF568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1440" w:hRule="atLeast"/>
          <w:jc w:val="center"/>
        </w:trPr>
        <w:tc>
          <w:tcPr>
            <w:tcW w:w="1245" w:type="dxa"/>
            <w:vAlign w:val="center"/>
          </w:tcPr>
          <w:p w14:paraId="4D358114">
            <w:pPr>
              <w:widowControl/>
              <w:jc w:val="center"/>
              <w:rPr>
                <w:rFonts w:ascii="宋体" w:hAnsi="宋体"/>
                <w:sz w:val="24"/>
              </w:rPr>
            </w:pPr>
            <w:r>
              <w:rPr>
                <w:rFonts w:hint="eastAsia" w:ascii="宋体" w:hAnsi="宋体"/>
                <w:sz w:val="24"/>
              </w:rPr>
              <w:t>第二节</w:t>
            </w:r>
          </w:p>
          <w:p w14:paraId="24CBC3EB">
            <w:pPr>
              <w:widowControl/>
              <w:jc w:val="center"/>
              <w:rPr>
                <w:rFonts w:ascii="宋体" w:hAnsi="宋体"/>
                <w:sz w:val="24"/>
              </w:rPr>
            </w:pPr>
            <w:r>
              <w:rPr>
                <w:rFonts w:hint="eastAsia" w:ascii="宋体" w:hAnsi="宋体"/>
                <w:sz w:val="24"/>
              </w:rPr>
              <w:t>第8.2（1）项</w:t>
            </w:r>
          </w:p>
        </w:tc>
        <w:tc>
          <w:tcPr>
            <w:tcW w:w="1413" w:type="dxa"/>
            <w:vAlign w:val="center"/>
          </w:tcPr>
          <w:p w14:paraId="1795DE4F">
            <w:pPr>
              <w:widowControl/>
              <w:jc w:val="center"/>
              <w:rPr>
                <w:rFonts w:ascii="宋体" w:hAnsi="宋体"/>
                <w:sz w:val="24"/>
              </w:rPr>
            </w:pPr>
            <w:r>
              <w:rPr>
                <w:rFonts w:hint="eastAsia" w:ascii="宋体" w:hAnsi="宋体"/>
                <w:sz w:val="24"/>
              </w:rPr>
              <w:t>质量保</w:t>
            </w:r>
          </w:p>
          <w:p w14:paraId="650D52BD">
            <w:pPr>
              <w:widowControl/>
              <w:jc w:val="center"/>
              <w:rPr>
                <w:rFonts w:ascii="宋体" w:hAnsi="宋体"/>
                <w:sz w:val="24"/>
              </w:rPr>
            </w:pPr>
            <w:r>
              <w:rPr>
                <w:rFonts w:hint="eastAsia" w:ascii="宋体" w:hAnsi="宋体"/>
                <w:sz w:val="24"/>
              </w:rPr>
              <w:t>证期</w:t>
            </w:r>
          </w:p>
        </w:tc>
        <w:tc>
          <w:tcPr>
            <w:tcW w:w="5991" w:type="dxa"/>
            <w:vAlign w:val="center"/>
          </w:tcPr>
          <w:p w14:paraId="3BDF30B0">
            <w:pPr>
              <w:widowControl/>
              <w:spacing w:before="120" w:after="120" w:line="560" w:lineRule="exact"/>
              <w:ind w:firstLine="482"/>
              <w:jc w:val="left"/>
              <w:rPr>
                <w:rFonts w:ascii="宋体" w:hAnsi="宋体" w:eastAsia="宋体" w:cs="宋体"/>
                <w:sz w:val="24"/>
                <w:szCs w:val="20"/>
              </w:rPr>
            </w:pPr>
            <w:r>
              <w:rPr>
                <w:rFonts w:hint="eastAsia" w:ascii="宋体" w:hAnsi="宋体" w:eastAsia="宋体" w:cs="宋体"/>
                <w:sz w:val="24"/>
                <w:szCs w:val="20"/>
              </w:rPr>
              <w:t>货物硬件质保期</w:t>
            </w:r>
            <w:r>
              <w:rPr>
                <w:rFonts w:hint="eastAsia" w:ascii="宋体" w:hAnsi="宋体" w:eastAsia="宋体" w:cs="宋体"/>
                <w:sz w:val="24"/>
                <w:szCs w:val="20"/>
                <w:u w:val="single"/>
              </w:rPr>
              <w:t>3</w:t>
            </w:r>
            <w:r>
              <w:rPr>
                <w:rFonts w:hint="eastAsia" w:ascii="宋体" w:hAnsi="宋体" w:eastAsia="宋体" w:cs="宋体"/>
                <w:sz w:val="24"/>
                <w:szCs w:val="20"/>
              </w:rPr>
              <w:t>年，软件</w:t>
            </w:r>
            <w:r>
              <w:rPr>
                <w:rFonts w:hint="eastAsia" w:ascii="宋体" w:hAnsi="宋体" w:eastAsia="宋体" w:cs="宋体"/>
                <w:sz w:val="24"/>
                <w:szCs w:val="20"/>
                <w:u w:val="single"/>
              </w:rPr>
              <w:t>5</w:t>
            </w:r>
            <w:r>
              <w:rPr>
                <w:rFonts w:hint="eastAsia" w:ascii="宋体" w:hAnsi="宋体" w:eastAsia="宋体" w:cs="宋体"/>
                <w:sz w:val="24"/>
                <w:szCs w:val="20"/>
              </w:rPr>
              <w:t>年。（自交货验收合格之日起计），因人为因素出现的故障不在免费保修范围内。</w:t>
            </w:r>
          </w:p>
        </w:tc>
      </w:tr>
      <w:tr w14:paraId="5FE5447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jc w:val="center"/>
        </w:trPr>
        <w:tc>
          <w:tcPr>
            <w:tcW w:w="1245" w:type="dxa"/>
            <w:vAlign w:val="center"/>
          </w:tcPr>
          <w:p w14:paraId="5DB00DCE">
            <w:pPr>
              <w:widowControl/>
              <w:jc w:val="center"/>
              <w:rPr>
                <w:rFonts w:ascii="宋体" w:hAnsi="宋体"/>
                <w:sz w:val="24"/>
              </w:rPr>
            </w:pPr>
            <w:r>
              <w:rPr>
                <w:rFonts w:hint="eastAsia" w:ascii="宋体" w:hAnsi="宋体"/>
                <w:sz w:val="24"/>
              </w:rPr>
              <w:t>第二节</w:t>
            </w:r>
          </w:p>
          <w:p w14:paraId="3CD56A8B">
            <w:pPr>
              <w:widowControl/>
              <w:jc w:val="center"/>
              <w:rPr>
                <w:rFonts w:ascii="宋体" w:hAnsi="宋体"/>
                <w:sz w:val="24"/>
              </w:rPr>
            </w:pPr>
            <w:r>
              <w:rPr>
                <w:rFonts w:hint="eastAsia" w:ascii="宋体" w:hAnsi="宋体"/>
                <w:sz w:val="24"/>
              </w:rPr>
              <w:t>第8.2（3）项</w:t>
            </w:r>
          </w:p>
        </w:tc>
        <w:tc>
          <w:tcPr>
            <w:tcW w:w="1413" w:type="dxa"/>
            <w:vAlign w:val="center"/>
          </w:tcPr>
          <w:p w14:paraId="76681E5B">
            <w:pPr>
              <w:widowControl/>
              <w:jc w:val="center"/>
              <w:rPr>
                <w:rFonts w:ascii="宋体" w:hAnsi="宋体"/>
                <w:sz w:val="24"/>
              </w:rPr>
            </w:pPr>
            <w:r>
              <w:rPr>
                <w:rFonts w:hint="eastAsia" w:ascii="宋体" w:hAnsi="宋体"/>
                <w:sz w:val="24"/>
              </w:rPr>
              <w:t>货物质量缺陷响应时间</w:t>
            </w:r>
          </w:p>
        </w:tc>
        <w:tc>
          <w:tcPr>
            <w:tcW w:w="5991" w:type="dxa"/>
            <w:vAlign w:val="center"/>
          </w:tcPr>
          <w:p w14:paraId="1147A36E">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如在使用过程中发生质量问题，提供7×24小时全天候技术响应服务，4小时内完成远程故障排查，24小时内到场上门处置问题；硬件质保期满后维修只收取材料成本费。免收人工服务费。</w:t>
            </w:r>
          </w:p>
        </w:tc>
      </w:tr>
      <w:tr w14:paraId="27661FB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jc w:val="center"/>
        </w:trPr>
        <w:tc>
          <w:tcPr>
            <w:tcW w:w="1245" w:type="dxa"/>
            <w:vAlign w:val="center"/>
          </w:tcPr>
          <w:p w14:paraId="20252635">
            <w:pPr>
              <w:widowControl/>
              <w:jc w:val="center"/>
              <w:rPr>
                <w:rFonts w:ascii="宋体" w:hAnsi="宋体"/>
                <w:sz w:val="24"/>
              </w:rPr>
            </w:pPr>
            <w:r>
              <w:rPr>
                <w:rFonts w:hint="eastAsia" w:ascii="宋体" w:hAnsi="宋体"/>
                <w:sz w:val="24"/>
              </w:rPr>
              <w:t>第二节</w:t>
            </w:r>
          </w:p>
          <w:p w14:paraId="6916B817">
            <w:pPr>
              <w:widowControl/>
              <w:jc w:val="center"/>
              <w:rPr>
                <w:rFonts w:ascii="宋体" w:hAnsi="宋体"/>
                <w:sz w:val="24"/>
              </w:rPr>
            </w:pPr>
            <w:r>
              <w:rPr>
                <w:rFonts w:hint="eastAsia" w:ascii="宋体" w:hAnsi="宋体"/>
                <w:sz w:val="24"/>
              </w:rPr>
              <w:t>第8款补充</w:t>
            </w:r>
          </w:p>
        </w:tc>
        <w:tc>
          <w:tcPr>
            <w:tcW w:w="1413" w:type="dxa"/>
            <w:vAlign w:val="center"/>
          </w:tcPr>
          <w:p w14:paraId="731FD81B">
            <w:pPr>
              <w:widowControl/>
              <w:jc w:val="center"/>
              <w:rPr>
                <w:rFonts w:ascii="宋体" w:hAnsi="宋体"/>
                <w:sz w:val="24"/>
              </w:rPr>
            </w:pPr>
            <w:r>
              <w:rPr>
                <w:rFonts w:hint="eastAsia" w:ascii="宋体" w:hAnsi="宋体"/>
                <w:sz w:val="24"/>
              </w:rPr>
              <w:t>质量保证要求</w:t>
            </w:r>
          </w:p>
        </w:tc>
        <w:tc>
          <w:tcPr>
            <w:tcW w:w="5991" w:type="dxa"/>
            <w:vAlign w:val="center"/>
          </w:tcPr>
          <w:p w14:paraId="3E373D0F">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1. 在质保期内，乙方应对货物出现的质量及安全问题负责处理解决并承担一切费用（因甲方不当使用的除外）。</w:t>
            </w:r>
          </w:p>
          <w:p w14:paraId="098BE405">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2.乙方应按照国家有关法律法规规章和“三包”规定以及招标文件售后服务要求及投标文件售后服务承诺提供售后服务。</w:t>
            </w:r>
          </w:p>
          <w:p w14:paraId="5D8098B1">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3.所有货物保修服务方式均为乙方上门保修，由乙方派员到货物使用现场维修，所产生的一切费用由乙方承担。</w:t>
            </w:r>
          </w:p>
          <w:p w14:paraId="7D356DD9">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p>
          <w:p w14:paraId="00E9F242">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5.甲方有权对乙方进行飞行检查，如果发现任何问题乙方必须无条件返工，甚至可以终止合同，乙方需赔偿甲方因此而造成的所有损失，飞行检查过程中发生的食宿、交通等费用由甲方自行承担。</w:t>
            </w:r>
          </w:p>
          <w:p w14:paraId="179EE3BD">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p>
          <w:p w14:paraId="4C2E84B1">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7.对货物的品牌、型号、数量、产地等进行检查和清点，同类型的所有货物和材料应属同一制造商的同一产品。如检验中发现短缺、损坏或假冒伪劣商品，乙方应立即采取补救措施，不得因此影响供货，否则一切损失由乙方负责。</w:t>
            </w:r>
          </w:p>
          <w:p w14:paraId="23CC2243">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p>
        </w:tc>
      </w:tr>
      <w:tr w14:paraId="72C4F4A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jc w:val="center"/>
        </w:trPr>
        <w:tc>
          <w:tcPr>
            <w:tcW w:w="1245" w:type="dxa"/>
            <w:vAlign w:val="center"/>
          </w:tcPr>
          <w:p w14:paraId="6B4031C7">
            <w:pPr>
              <w:widowControl/>
              <w:jc w:val="center"/>
              <w:rPr>
                <w:rFonts w:ascii="宋体" w:hAnsi="宋体"/>
                <w:sz w:val="24"/>
              </w:rPr>
            </w:pPr>
            <w:r>
              <w:rPr>
                <w:rFonts w:hint="eastAsia" w:ascii="宋体" w:hAnsi="宋体"/>
                <w:sz w:val="24"/>
              </w:rPr>
              <w:t>第二节</w:t>
            </w:r>
          </w:p>
          <w:p w14:paraId="0389B1B6">
            <w:pPr>
              <w:widowControl/>
              <w:jc w:val="center"/>
              <w:rPr>
                <w:rFonts w:ascii="宋体" w:hAnsi="宋体"/>
                <w:sz w:val="24"/>
              </w:rPr>
            </w:pPr>
            <w:r>
              <w:rPr>
                <w:rFonts w:hint="eastAsia" w:ascii="宋体" w:hAnsi="宋体"/>
                <w:sz w:val="24"/>
              </w:rPr>
              <w:t>第11.1款</w:t>
            </w:r>
          </w:p>
        </w:tc>
        <w:tc>
          <w:tcPr>
            <w:tcW w:w="1413" w:type="dxa"/>
            <w:vAlign w:val="center"/>
          </w:tcPr>
          <w:p w14:paraId="2A1D4F63">
            <w:pPr>
              <w:widowControl/>
              <w:jc w:val="center"/>
              <w:rPr>
                <w:rFonts w:ascii="宋体" w:hAnsi="宋体"/>
                <w:sz w:val="24"/>
              </w:rPr>
            </w:pPr>
            <w:r>
              <w:rPr>
                <w:rFonts w:hint="eastAsia" w:ascii="宋体" w:hAnsi="宋体"/>
                <w:sz w:val="24"/>
              </w:rPr>
              <w:t>其他应当保密的  信息</w:t>
            </w:r>
          </w:p>
        </w:tc>
        <w:tc>
          <w:tcPr>
            <w:tcW w:w="5991" w:type="dxa"/>
            <w:vAlign w:val="center"/>
          </w:tcPr>
          <w:p w14:paraId="1705D716">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tc>
      </w:tr>
      <w:tr w14:paraId="6EC7555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jc w:val="center"/>
        </w:trPr>
        <w:tc>
          <w:tcPr>
            <w:tcW w:w="1245" w:type="dxa"/>
            <w:vAlign w:val="center"/>
          </w:tcPr>
          <w:p w14:paraId="46AAE0AA">
            <w:pPr>
              <w:widowControl/>
              <w:jc w:val="center"/>
              <w:rPr>
                <w:rFonts w:ascii="宋体" w:hAnsi="宋体"/>
                <w:sz w:val="24"/>
              </w:rPr>
            </w:pPr>
            <w:r>
              <w:rPr>
                <w:rFonts w:hint="eastAsia" w:ascii="宋体" w:hAnsi="宋体"/>
                <w:sz w:val="24"/>
              </w:rPr>
              <w:t>第二节</w:t>
            </w:r>
          </w:p>
          <w:p w14:paraId="412265A9">
            <w:pPr>
              <w:widowControl/>
              <w:jc w:val="center"/>
              <w:rPr>
                <w:rFonts w:ascii="宋体" w:hAnsi="宋体"/>
                <w:sz w:val="24"/>
              </w:rPr>
            </w:pPr>
            <w:r>
              <w:rPr>
                <w:rFonts w:hint="eastAsia" w:ascii="宋体" w:hAnsi="宋体"/>
                <w:sz w:val="24"/>
              </w:rPr>
              <w:t>第12.2款</w:t>
            </w:r>
          </w:p>
        </w:tc>
        <w:tc>
          <w:tcPr>
            <w:tcW w:w="1413" w:type="dxa"/>
            <w:vAlign w:val="center"/>
          </w:tcPr>
          <w:p w14:paraId="606E64F6">
            <w:pPr>
              <w:widowControl/>
              <w:jc w:val="center"/>
              <w:rPr>
                <w:rFonts w:ascii="宋体" w:hAnsi="宋体"/>
                <w:sz w:val="24"/>
              </w:rPr>
            </w:pPr>
            <w:r>
              <w:rPr>
                <w:rFonts w:hint="eastAsia" w:ascii="宋体" w:hAnsi="宋体"/>
                <w:sz w:val="24"/>
              </w:rPr>
              <w:t>合同价款支付时间及要求</w:t>
            </w:r>
          </w:p>
        </w:tc>
        <w:tc>
          <w:tcPr>
            <w:tcW w:w="5991" w:type="dxa"/>
            <w:vAlign w:val="center"/>
          </w:tcPr>
          <w:p w14:paraId="5F47BC3C">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1.合同款项的支付方式及进度安排：</w:t>
            </w:r>
          </w:p>
          <w:p w14:paraId="764AF47D">
            <w:pPr>
              <w:widowControl/>
              <w:spacing w:line="560" w:lineRule="exact"/>
              <w:ind w:firstLine="482"/>
              <w:jc w:val="left"/>
              <w:rPr>
                <w:rFonts w:ascii="宋体" w:hAnsi="宋体" w:eastAsia="宋体" w:cs="宋体"/>
                <w:sz w:val="24"/>
                <w:szCs w:val="20"/>
              </w:rPr>
            </w:pPr>
            <w:bookmarkStart w:id="159" w:name="OLE_LINK21"/>
            <w:bookmarkStart w:id="160" w:name="OLE_LINK6"/>
            <w:bookmarkStart w:id="161" w:name="OLE_LINK7"/>
            <w:r>
              <w:rPr>
                <w:rFonts w:hint="eastAsia" w:ascii="宋体" w:hAnsi="宋体" w:eastAsia="宋体" w:cs="宋体"/>
                <w:sz w:val="24"/>
                <w:szCs w:val="20"/>
              </w:rPr>
              <w:t>①自合同签订生效之日起，甲方收到预付款发票后10个工作日内，甲方向乙方支付合同总价的30%款项作为预付款；</w:t>
            </w:r>
          </w:p>
          <w:p w14:paraId="74E1DB5D">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②完成全部供货并通过验收合格后支付至合同价的50%，服务期满一年后付清余款</w:t>
            </w:r>
            <w:bookmarkEnd w:id="159"/>
            <w:r>
              <w:rPr>
                <w:rFonts w:hint="eastAsia" w:ascii="宋体" w:hAnsi="宋体" w:eastAsia="宋体" w:cs="宋体"/>
                <w:sz w:val="24"/>
                <w:szCs w:val="20"/>
              </w:rPr>
              <w:t>。</w:t>
            </w:r>
          </w:p>
          <w:bookmarkEnd w:id="160"/>
          <w:bookmarkEnd w:id="161"/>
          <w:p w14:paraId="41CD57C8">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p>
          <w:p w14:paraId="67104B6C">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(1) 发票；</w:t>
            </w:r>
          </w:p>
          <w:p w14:paraId="23CA3E20">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(2) 制造厂家出具的质量检验证书等；</w:t>
            </w:r>
          </w:p>
          <w:p w14:paraId="06DED913">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(3) 装箱单；</w:t>
            </w:r>
          </w:p>
          <w:p w14:paraId="56378652">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(4) 甲方加盖公章证明交付使用合格的验收单。</w:t>
            </w:r>
          </w:p>
        </w:tc>
      </w:tr>
      <w:tr w14:paraId="43C8B46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jc w:val="center"/>
        </w:trPr>
        <w:tc>
          <w:tcPr>
            <w:tcW w:w="1245" w:type="dxa"/>
            <w:vAlign w:val="center"/>
          </w:tcPr>
          <w:p w14:paraId="41BC4BAD">
            <w:pPr>
              <w:widowControl/>
              <w:jc w:val="center"/>
              <w:rPr>
                <w:rFonts w:ascii="宋体" w:hAnsi="宋体"/>
                <w:sz w:val="24"/>
              </w:rPr>
            </w:pPr>
            <w:r>
              <w:rPr>
                <w:rFonts w:hint="eastAsia" w:ascii="宋体" w:hAnsi="宋体"/>
                <w:sz w:val="24"/>
              </w:rPr>
              <w:t>第二节</w:t>
            </w:r>
          </w:p>
          <w:p w14:paraId="74FE52E0">
            <w:pPr>
              <w:widowControl/>
              <w:jc w:val="center"/>
              <w:rPr>
                <w:rFonts w:ascii="宋体" w:hAnsi="宋体"/>
                <w:sz w:val="24"/>
              </w:rPr>
            </w:pPr>
            <w:r>
              <w:rPr>
                <w:rFonts w:hint="eastAsia" w:ascii="宋体" w:hAnsi="宋体"/>
                <w:sz w:val="24"/>
              </w:rPr>
              <w:t>第13.2款</w:t>
            </w:r>
          </w:p>
        </w:tc>
        <w:tc>
          <w:tcPr>
            <w:tcW w:w="1413" w:type="dxa"/>
            <w:vAlign w:val="center"/>
          </w:tcPr>
          <w:p w14:paraId="39609E94">
            <w:pPr>
              <w:widowControl/>
              <w:jc w:val="center"/>
              <w:rPr>
                <w:rFonts w:ascii="宋体" w:hAnsi="宋体"/>
                <w:sz w:val="24"/>
              </w:rPr>
            </w:pPr>
            <w:r>
              <w:rPr>
                <w:rFonts w:hint="eastAsia" w:ascii="宋体" w:hAnsi="宋体"/>
                <w:sz w:val="24"/>
              </w:rPr>
              <w:t>履约保证金不予退还的情形</w:t>
            </w:r>
          </w:p>
        </w:tc>
        <w:tc>
          <w:tcPr>
            <w:tcW w:w="5991" w:type="dxa"/>
            <w:vAlign w:val="center"/>
          </w:tcPr>
          <w:p w14:paraId="15B18A24">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除不可抗力情况外，投标人出现下列情形之一的，其履约保证金，招标人将视情节决定不予退还或部分不予退还。</w:t>
            </w:r>
          </w:p>
          <w:p w14:paraId="06D1FFF8">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（1）中标人无正当理由拒绝签订合同的，或者在签订合同时向采购人提出附加条件或者更改合同实质性内容要求的；</w:t>
            </w:r>
          </w:p>
          <w:p w14:paraId="431C4569">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（2）中标人不履行与采购人订立的合同的；</w:t>
            </w:r>
          </w:p>
          <w:p w14:paraId="3E0A8D57">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（3）中标人所供货物或服务不符合招标文件规定要求的；</w:t>
            </w:r>
          </w:p>
          <w:p w14:paraId="1E333773">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（4）中标人采取欺骗、弄虚作假方式投标的或与其它投标人串通投标的；</w:t>
            </w:r>
          </w:p>
          <w:p w14:paraId="040914E9">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（5）中标人将合同内容转包、违法分包的；</w:t>
            </w:r>
          </w:p>
          <w:p w14:paraId="0B647BE8">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（6）中标人故意捏造事实或伪造证明材料，进行虚假恶意投诉或反映的。</w:t>
            </w:r>
          </w:p>
        </w:tc>
      </w:tr>
      <w:tr w14:paraId="1404BF9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jc w:val="center"/>
        </w:trPr>
        <w:tc>
          <w:tcPr>
            <w:tcW w:w="1245" w:type="dxa"/>
            <w:vAlign w:val="center"/>
          </w:tcPr>
          <w:p w14:paraId="6402992C">
            <w:pPr>
              <w:widowControl/>
              <w:jc w:val="center"/>
              <w:rPr>
                <w:rFonts w:ascii="宋体" w:hAnsi="宋体"/>
                <w:sz w:val="24"/>
              </w:rPr>
            </w:pPr>
            <w:r>
              <w:rPr>
                <w:rFonts w:hint="eastAsia" w:ascii="宋体" w:hAnsi="宋体"/>
                <w:sz w:val="24"/>
              </w:rPr>
              <w:t>第二节</w:t>
            </w:r>
          </w:p>
          <w:p w14:paraId="1A4FA44A">
            <w:pPr>
              <w:widowControl/>
              <w:jc w:val="center"/>
              <w:rPr>
                <w:rFonts w:ascii="宋体" w:hAnsi="宋体"/>
                <w:sz w:val="24"/>
              </w:rPr>
            </w:pPr>
            <w:r>
              <w:rPr>
                <w:rFonts w:hint="eastAsia" w:ascii="宋体" w:hAnsi="宋体"/>
                <w:sz w:val="24"/>
              </w:rPr>
              <w:t>第13.3款</w:t>
            </w:r>
          </w:p>
        </w:tc>
        <w:tc>
          <w:tcPr>
            <w:tcW w:w="1413" w:type="dxa"/>
            <w:vAlign w:val="center"/>
          </w:tcPr>
          <w:p w14:paraId="2094351E">
            <w:pPr>
              <w:widowControl/>
              <w:jc w:val="center"/>
              <w:rPr>
                <w:rFonts w:ascii="宋体" w:hAnsi="宋体"/>
                <w:sz w:val="24"/>
              </w:rPr>
            </w:pPr>
            <w:r>
              <w:rPr>
                <w:rFonts w:hint="eastAsia" w:ascii="宋体" w:hAnsi="宋体"/>
                <w:sz w:val="24"/>
              </w:rPr>
              <w:t>履约保证金退还时间及逾期退还的违约金</w:t>
            </w:r>
          </w:p>
        </w:tc>
        <w:tc>
          <w:tcPr>
            <w:tcW w:w="5991" w:type="dxa"/>
            <w:vAlign w:val="center"/>
          </w:tcPr>
          <w:p w14:paraId="69872D4B">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1、合同履行结束后，甲方应及时退还交纳的履约保证金。</w:t>
            </w:r>
          </w:p>
          <w:p w14:paraId="6A648BD4">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2、退还方式：无息退还至投标人缴纳履约保证金的账户。如为保函，在到期时自行失效。</w:t>
            </w:r>
          </w:p>
          <w:p w14:paraId="5B7EC43C">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3、退还时间：验收合格且甲方收到发票后30日内。</w:t>
            </w:r>
          </w:p>
          <w:p w14:paraId="0B5D746A">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4、退还条件：按合同要求全部履约完成并经采购人验收合格，且采购人收到中标人出具的发票。</w:t>
            </w:r>
          </w:p>
          <w:p w14:paraId="4368A69F">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5、逾期退还的违约责任：采购人逾期无故未退还履约保证金的，按中国人民银行同期贷款基准利率上浮20%后的利率支付超期资金占用费，但因供应商自身原因导致无法及时退还的除外。</w:t>
            </w:r>
          </w:p>
        </w:tc>
      </w:tr>
      <w:tr w14:paraId="77D6273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jc w:val="center"/>
        </w:trPr>
        <w:tc>
          <w:tcPr>
            <w:tcW w:w="1245" w:type="dxa"/>
            <w:vAlign w:val="center"/>
          </w:tcPr>
          <w:p w14:paraId="081EB992">
            <w:pPr>
              <w:widowControl/>
              <w:jc w:val="center"/>
              <w:rPr>
                <w:rFonts w:ascii="宋体" w:hAnsi="宋体"/>
                <w:sz w:val="24"/>
              </w:rPr>
            </w:pPr>
            <w:r>
              <w:rPr>
                <w:rFonts w:hint="eastAsia" w:ascii="宋体" w:hAnsi="宋体"/>
                <w:sz w:val="24"/>
              </w:rPr>
              <w:t>第二节</w:t>
            </w:r>
          </w:p>
          <w:p w14:paraId="1A2F496C">
            <w:pPr>
              <w:widowControl/>
              <w:jc w:val="center"/>
              <w:rPr>
                <w:rFonts w:ascii="宋体" w:hAnsi="宋体"/>
                <w:sz w:val="24"/>
              </w:rPr>
            </w:pPr>
            <w:r>
              <w:rPr>
                <w:rFonts w:hint="eastAsia" w:ascii="宋体" w:hAnsi="宋体"/>
                <w:sz w:val="24"/>
              </w:rPr>
              <w:t>第14.1（3）项</w:t>
            </w:r>
          </w:p>
        </w:tc>
        <w:tc>
          <w:tcPr>
            <w:tcW w:w="1413" w:type="dxa"/>
            <w:vAlign w:val="center"/>
          </w:tcPr>
          <w:p w14:paraId="64B341CF">
            <w:pPr>
              <w:widowControl/>
              <w:jc w:val="center"/>
              <w:rPr>
                <w:rFonts w:ascii="宋体" w:hAnsi="宋体"/>
                <w:sz w:val="24"/>
              </w:rPr>
            </w:pPr>
            <w:r>
              <w:rPr>
                <w:rFonts w:hint="eastAsia" w:ascii="宋体" w:hAnsi="宋体"/>
                <w:sz w:val="24"/>
              </w:rPr>
              <w:t>运行监督、维修期限</w:t>
            </w:r>
          </w:p>
        </w:tc>
        <w:tc>
          <w:tcPr>
            <w:tcW w:w="5991" w:type="dxa"/>
            <w:vAlign w:val="center"/>
          </w:tcPr>
          <w:p w14:paraId="4D8C64BE">
            <w:pPr>
              <w:widowControl/>
              <w:spacing w:line="560" w:lineRule="exact"/>
              <w:ind w:firstLine="482"/>
              <w:jc w:val="left"/>
              <w:rPr>
                <w:rFonts w:ascii="宋体" w:hAnsi="宋体" w:eastAsia="宋体" w:cs="宋体"/>
                <w:sz w:val="24"/>
                <w:szCs w:val="20"/>
              </w:rPr>
            </w:pPr>
            <w:r>
              <w:rPr>
                <w:rFonts w:hint="eastAsia"/>
                <w:sz w:val="24"/>
              </w:rPr>
              <w:t>免费保修期硬件</w:t>
            </w:r>
            <w:r>
              <w:rPr>
                <w:rFonts w:hint="eastAsia" w:ascii="宋体" w:hAnsi="宋体" w:eastAsia="宋体" w:cs="宋体"/>
                <w:sz w:val="24"/>
                <w:szCs w:val="20"/>
                <w:u w:val="single"/>
              </w:rPr>
              <w:t>3</w:t>
            </w:r>
            <w:r>
              <w:rPr>
                <w:rFonts w:hint="eastAsia" w:ascii="宋体" w:hAnsi="宋体" w:eastAsia="宋体" w:cs="宋体"/>
                <w:sz w:val="24"/>
                <w:szCs w:val="20"/>
              </w:rPr>
              <w:t>年，软件</w:t>
            </w:r>
            <w:r>
              <w:rPr>
                <w:rFonts w:hint="eastAsia" w:ascii="宋体" w:hAnsi="宋体" w:eastAsia="宋体" w:cs="宋体"/>
                <w:sz w:val="24"/>
                <w:szCs w:val="20"/>
                <w:u w:val="single"/>
              </w:rPr>
              <w:t>5</w:t>
            </w:r>
            <w:r>
              <w:rPr>
                <w:rFonts w:hint="eastAsia" w:ascii="宋体" w:hAnsi="宋体" w:eastAsia="宋体" w:cs="宋体"/>
                <w:sz w:val="24"/>
                <w:szCs w:val="20"/>
              </w:rPr>
              <w:t>年</w:t>
            </w:r>
            <w:r>
              <w:rPr>
                <w:rFonts w:hint="eastAsia"/>
                <w:sz w:val="24"/>
              </w:rPr>
              <w:t>。</w:t>
            </w:r>
          </w:p>
        </w:tc>
      </w:tr>
      <w:tr w14:paraId="66F7375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jc w:val="center"/>
        </w:trPr>
        <w:tc>
          <w:tcPr>
            <w:tcW w:w="1245" w:type="dxa"/>
            <w:vAlign w:val="center"/>
          </w:tcPr>
          <w:p w14:paraId="2C62074B">
            <w:pPr>
              <w:widowControl/>
              <w:jc w:val="center"/>
              <w:rPr>
                <w:rFonts w:ascii="宋体" w:hAnsi="宋体"/>
                <w:sz w:val="24"/>
              </w:rPr>
            </w:pPr>
            <w:r>
              <w:rPr>
                <w:rFonts w:hint="eastAsia" w:ascii="宋体" w:hAnsi="宋体"/>
                <w:sz w:val="24"/>
              </w:rPr>
              <w:t>第二节</w:t>
            </w:r>
          </w:p>
          <w:p w14:paraId="1694ABDA">
            <w:pPr>
              <w:widowControl/>
              <w:jc w:val="center"/>
              <w:rPr>
                <w:rFonts w:ascii="宋体" w:hAnsi="宋体"/>
                <w:sz w:val="24"/>
              </w:rPr>
            </w:pPr>
            <w:r>
              <w:rPr>
                <w:rFonts w:hint="eastAsia" w:ascii="宋体" w:hAnsi="宋体"/>
                <w:sz w:val="24"/>
              </w:rPr>
              <w:t>第14.1（5）项</w:t>
            </w:r>
          </w:p>
        </w:tc>
        <w:tc>
          <w:tcPr>
            <w:tcW w:w="1413" w:type="dxa"/>
            <w:vAlign w:val="center"/>
          </w:tcPr>
          <w:p w14:paraId="10CA9429">
            <w:pPr>
              <w:widowControl/>
              <w:jc w:val="center"/>
              <w:rPr>
                <w:rFonts w:ascii="宋体" w:hAnsi="宋体"/>
                <w:sz w:val="24"/>
              </w:rPr>
            </w:pPr>
            <w:r>
              <w:rPr>
                <w:rFonts w:hint="eastAsia" w:ascii="宋体" w:hAnsi="宋体"/>
                <w:sz w:val="24"/>
              </w:rPr>
              <w:t>货物回收的约定</w:t>
            </w:r>
          </w:p>
        </w:tc>
        <w:tc>
          <w:tcPr>
            <w:tcW w:w="5991" w:type="dxa"/>
            <w:vAlign w:val="center"/>
          </w:tcPr>
          <w:p w14:paraId="22C8321F">
            <w:pPr>
              <w:widowControl/>
              <w:ind w:firstLine="480" w:firstLineChars="200"/>
              <w:jc w:val="left"/>
              <w:rPr>
                <w:rFonts w:ascii="宋体" w:hAnsi="宋体"/>
                <w:sz w:val="24"/>
              </w:rPr>
            </w:pPr>
            <w:r>
              <w:rPr>
                <w:rFonts w:hint="eastAsia"/>
                <w:sz w:val="24"/>
              </w:rPr>
              <w:t>同合同通用条款</w:t>
            </w:r>
          </w:p>
        </w:tc>
      </w:tr>
      <w:tr w14:paraId="4FEDAE1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jc w:val="center"/>
        </w:trPr>
        <w:tc>
          <w:tcPr>
            <w:tcW w:w="1245" w:type="dxa"/>
            <w:vAlign w:val="center"/>
          </w:tcPr>
          <w:p w14:paraId="692EF5D8">
            <w:pPr>
              <w:widowControl/>
              <w:jc w:val="center"/>
              <w:rPr>
                <w:rFonts w:ascii="宋体" w:hAnsi="宋体"/>
                <w:sz w:val="24"/>
              </w:rPr>
            </w:pPr>
            <w:r>
              <w:rPr>
                <w:rFonts w:hint="eastAsia" w:ascii="宋体" w:hAnsi="宋体"/>
                <w:sz w:val="24"/>
              </w:rPr>
              <w:t>第二节</w:t>
            </w:r>
          </w:p>
          <w:p w14:paraId="58CDE9F1">
            <w:pPr>
              <w:widowControl/>
              <w:jc w:val="center"/>
              <w:rPr>
                <w:rFonts w:ascii="宋体" w:hAnsi="宋体"/>
                <w:sz w:val="24"/>
              </w:rPr>
            </w:pPr>
            <w:r>
              <w:rPr>
                <w:rFonts w:hint="eastAsia" w:ascii="宋体" w:hAnsi="宋体"/>
                <w:sz w:val="24"/>
              </w:rPr>
              <w:t>第14.1（6）项</w:t>
            </w:r>
          </w:p>
        </w:tc>
        <w:tc>
          <w:tcPr>
            <w:tcW w:w="1413" w:type="dxa"/>
            <w:vAlign w:val="center"/>
          </w:tcPr>
          <w:p w14:paraId="42A89672">
            <w:pPr>
              <w:widowControl/>
              <w:jc w:val="center"/>
              <w:rPr>
                <w:rFonts w:ascii="宋体" w:hAnsi="宋体"/>
                <w:sz w:val="24"/>
              </w:rPr>
            </w:pPr>
            <w:r>
              <w:rPr>
                <w:rFonts w:hint="eastAsia" w:ascii="宋体" w:hAnsi="宋体"/>
                <w:sz w:val="24"/>
              </w:rPr>
              <w:t>乙方提供的其他服务</w:t>
            </w:r>
          </w:p>
        </w:tc>
        <w:tc>
          <w:tcPr>
            <w:tcW w:w="5991" w:type="dxa"/>
            <w:vAlign w:val="center"/>
          </w:tcPr>
          <w:p w14:paraId="6D161E77">
            <w:pPr>
              <w:widowControl/>
              <w:spacing w:line="560" w:lineRule="exact"/>
              <w:ind w:firstLine="482"/>
              <w:jc w:val="left"/>
              <w:rPr>
                <w:rFonts w:ascii="宋体" w:hAnsi="宋体" w:eastAsia="宋体" w:cs="宋体"/>
                <w:sz w:val="24"/>
                <w:szCs w:val="20"/>
              </w:rPr>
            </w:pPr>
            <w:r>
              <w:rPr>
                <w:rFonts w:hint="eastAsia"/>
                <w:sz w:val="24"/>
              </w:rPr>
              <w:t>超过质保期的设备，终生维修（含维护），全年提供24小时技术咨询服务，乙方在接到甲方要求对所购设备进行维修通知时，应在4小时内给予答复，并派出设备制造商的专门维修人员2个工作日内到达甲方现场进行故障确认并维修，12小时内处理完毕，同时提供维修配件清单和报价，只收取零配件成本费（如需异地维修，乙方应向甲方提供临时代用设备）。</w:t>
            </w:r>
          </w:p>
        </w:tc>
      </w:tr>
      <w:tr w14:paraId="28B2B10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jc w:val="center"/>
        </w:trPr>
        <w:tc>
          <w:tcPr>
            <w:tcW w:w="1245" w:type="dxa"/>
            <w:vAlign w:val="center"/>
          </w:tcPr>
          <w:p w14:paraId="63B3B1B8">
            <w:pPr>
              <w:widowControl/>
              <w:jc w:val="center"/>
              <w:rPr>
                <w:rFonts w:ascii="宋体" w:hAnsi="宋体"/>
                <w:sz w:val="24"/>
              </w:rPr>
            </w:pPr>
            <w:r>
              <w:rPr>
                <w:rFonts w:hint="eastAsia" w:ascii="宋体" w:hAnsi="宋体"/>
                <w:sz w:val="24"/>
              </w:rPr>
              <w:t>第二节</w:t>
            </w:r>
          </w:p>
          <w:p w14:paraId="7891C777">
            <w:pPr>
              <w:widowControl/>
              <w:jc w:val="center"/>
              <w:rPr>
                <w:rFonts w:ascii="宋体" w:hAnsi="宋体"/>
                <w:sz w:val="24"/>
              </w:rPr>
            </w:pPr>
            <w:r>
              <w:rPr>
                <w:rFonts w:hint="eastAsia" w:ascii="宋体" w:hAnsi="宋体"/>
                <w:sz w:val="24"/>
              </w:rPr>
              <w:t>第15.1款</w:t>
            </w:r>
          </w:p>
        </w:tc>
        <w:tc>
          <w:tcPr>
            <w:tcW w:w="1413" w:type="dxa"/>
            <w:vAlign w:val="center"/>
          </w:tcPr>
          <w:p w14:paraId="76099C79">
            <w:pPr>
              <w:widowControl/>
              <w:jc w:val="center"/>
              <w:rPr>
                <w:rFonts w:ascii="宋体" w:hAnsi="宋体"/>
                <w:sz w:val="24"/>
              </w:rPr>
            </w:pPr>
            <w:r>
              <w:rPr>
                <w:rFonts w:hint="eastAsia" w:ascii="宋体" w:hAnsi="宋体"/>
                <w:sz w:val="24"/>
              </w:rPr>
              <w:t>修理、重作、更换相关具体规定</w:t>
            </w:r>
          </w:p>
        </w:tc>
        <w:tc>
          <w:tcPr>
            <w:tcW w:w="5991" w:type="dxa"/>
            <w:vAlign w:val="center"/>
          </w:tcPr>
          <w:p w14:paraId="6E3DABA7">
            <w:pPr>
              <w:widowControl/>
              <w:numPr>
                <w:ilvl w:val="255"/>
                <w:numId w:val="0"/>
              </w:num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详见合同通用条款8.2条款、合同专用条款第二节第8款补充条款及合同专用条款中索赔条款。</w:t>
            </w:r>
          </w:p>
          <w:p w14:paraId="1CEDDAFF">
            <w:pPr>
              <w:widowControl/>
              <w:numPr>
                <w:ilvl w:val="255"/>
                <w:numId w:val="0"/>
              </w:numPr>
              <w:spacing w:line="560" w:lineRule="exact"/>
              <w:ind w:firstLine="482"/>
              <w:jc w:val="left"/>
              <w:rPr>
                <w:rFonts w:ascii="宋体" w:hAnsi="宋体" w:eastAsia="宋体" w:cs="宋体"/>
                <w:sz w:val="24"/>
                <w:szCs w:val="20"/>
              </w:rPr>
            </w:pPr>
            <w:r>
              <w:rPr>
                <w:rFonts w:hint="eastAsia" w:ascii="宋体" w:hAnsi="宋体" w:eastAsia="宋体" w:cs="宋体"/>
                <w:sz w:val="24"/>
                <w:szCs w:val="20"/>
              </w:rPr>
              <w:t>乙方所交的货物品种、型号、规格、技术参数、质量不符合合同规定及招标文件规定标准的，甲方有权拒收该货物，乙方愿意更换货物但逾期交货的，按乙方逾期交货处理。乙方拒绝更换货物的，甲方可单方面解除合同。</w:t>
            </w:r>
          </w:p>
        </w:tc>
      </w:tr>
      <w:tr w14:paraId="50DEF16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jc w:val="center"/>
        </w:trPr>
        <w:tc>
          <w:tcPr>
            <w:tcW w:w="1245" w:type="dxa"/>
            <w:vAlign w:val="center"/>
          </w:tcPr>
          <w:p w14:paraId="0B216AF5">
            <w:pPr>
              <w:widowControl/>
              <w:jc w:val="center"/>
              <w:rPr>
                <w:rFonts w:ascii="宋体" w:hAnsi="宋体"/>
                <w:sz w:val="24"/>
              </w:rPr>
            </w:pPr>
            <w:r>
              <w:rPr>
                <w:rFonts w:hint="eastAsia" w:ascii="宋体" w:hAnsi="宋体"/>
                <w:sz w:val="24"/>
              </w:rPr>
              <w:t>第二节</w:t>
            </w:r>
          </w:p>
          <w:p w14:paraId="593BC033">
            <w:pPr>
              <w:widowControl/>
              <w:jc w:val="center"/>
              <w:rPr>
                <w:rFonts w:ascii="宋体" w:hAnsi="宋体"/>
                <w:sz w:val="24"/>
              </w:rPr>
            </w:pPr>
            <w:r>
              <w:rPr>
                <w:rFonts w:hint="eastAsia" w:ascii="宋体" w:hAnsi="宋体"/>
                <w:sz w:val="24"/>
              </w:rPr>
              <w:t>第15.2（2）项</w:t>
            </w:r>
          </w:p>
        </w:tc>
        <w:tc>
          <w:tcPr>
            <w:tcW w:w="1413" w:type="dxa"/>
            <w:vAlign w:val="center"/>
          </w:tcPr>
          <w:p w14:paraId="54297BB3">
            <w:pPr>
              <w:widowControl/>
              <w:jc w:val="center"/>
              <w:rPr>
                <w:rFonts w:ascii="宋体" w:hAnsi="宋体"/>
                <w:sz w:val="24"/>
              </w:rPr>
            </w:pPr>
            <w:r>
              <w:rPr>
                <w:rFonts w:hint="eastAsia" w:ascii="宋体" w:hAnsi="宋体"/>
                <w:sz w:val="24"/>
              </w:rPr>
              <w:t>迟延交货赔偿费</w:t>
            </w:r>
          </w:p>
        </w:tc>
        <w:tc>
          <w:tcPr>
            <w:tcW w:w="5991" w:type="dxa"/>
            <w:vAlign w:val="center"/>
          </w:tcPr>
          <w:p w14:paraId="76BF12C8">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1.乙方应按照“开标（报价）一览表”中规定的交货期或承诺交货和提供服务，并交付甲方验收使用。</w:t>
            </w:r>
          </w:p>
          <w:p w14:paraId="6E6670F5">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2.如果乙方无正当理由拖延交货，将受到以下制裁：加收误期赔偿或终止合同。</w:t>
            </w:r>
          </w:p>
          <w:p w14:paraId="4E76FCF9">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3. 乙方逾期交付货物的，乙方应按逾期交货总额每日</w:t>
            </w:r>
            <w:r>
              <w:rPr>
                <w:rFonts w:hint="eastAsia" w:ascii="宋体" w:hAnsi="宋体" w:eastAsia="宋体" w:cs="宋体"/>
                <w:sz w:val="24"/>
                <w:szCs w:val="20"/>
                <w:u w:val="single"/>
              </w:rPr>
              <w:t xml:space="preserve">6‰ </w:t>
            </w:r>
            <w:r>
              <w:rPr>
                <w:rFonts w:hint="eastAsia" w:ascii="宋体" w:hAnsi="宋体" w:eastAsia="宋体" w:cs="宋体"/>
                <w:sz w:val="24"/>
                <w:szCs w:val="20"/>
              </w:rPr>
              <w:t>向甲方支付违约金，由甲方从待付货款中扣除。逾期超过约定日期</w:t>
            </w:r>
            <w:r>
              <w:rPr>
                <w:rFonts w:hint="eastAsia" w:ascii="宋体" w:hAnsi="宋体" w:eastAsia="宋体" w:cs="宋体"/>
                <w:sz w:val="24"/>
                <w:szCs w:val="20"/>
                <w:u w:val="single"/>
              </w:rPr>
              <w:t xml:space="preserve"> 10 </w:t>
            </w:r>
            <w:r>
              <w:rPr>
                <w:rFonts w:hint="eastAsia" w:ascii="宋体" w:hAnsi="宋体" w:eastAsia="宋体" w:cs="宋体"/>
                <w:sz w:val="24"/>
                <w:szCs w:val="20"/>
              </w:rPr>
              <w:t>个工作日不能交货的，甲方可解除本合同。乙方因逾期交货或因其他违约行为导致甲方解除合同的，乙方应向甲方支付合同总值</w:t>
            </w:r>
            <w:r>
              <w:rPr>
                <w:rFonts w:hint="eastAsia" w:ascii="宋体" w:hAnsi="宋体" w:eastAsia="宋体" w:cs="宋体"/>
                <w:sz w:val="24"/>
                <w:szCs w:val="20"/>
                <w:u w:val="single"/>
              </w:rPr>
              <w:t xml:space="preserve">5% </w:t>
            </w:r>
            <w:r>
              <w:rPr>
                <w:rFonts w:hint="eastAsia" w:ascii="宋体" w:hAnsi="宋体" w:eastAsia="宋体" w:cs="宋体"/>
                <w:sz w:val="24"/>
                <w:szCs w:val="20"/>
              </w:rPr>
              <w:t xml:space="preserve">的违约金，如造成甲方损失超过违约金的，超出部分由乙方继续承担赔偿责任。 </w:t>
            </w:r>
          </w:p>
          <w:p w14:paraId="136D1331">
            <w:pPr>
              <w:widowControl/>
              <w:spacing w:line="560" w:lineRule="exact"/>
              <w:ind w:firstLine="482"/>
              <w:jc w:val="left"/>
              <w:rPr>
                <w:rFonts w:ascii="宋体" w:hAnsi="宋体"/>
                <w:sz w:val="24"/>
                <w:u w:val="single"/>
              </w:rPr>
            </w:pPr>
            <w:r>
              <w:rPr>
                <w:rFonts w:hint="eastAsia" w:ascii="宋体" w:hAnsi="宋体" w:eastAsia="宋体" w:cs="宋体"/>
                <w:sz w:val="24"/>
                <w:szCs w:val="20"/>
              </w:rPr>
              <w:t>4.如乙方不能交付货物，或者有违法转包他人情形，乙方应向甲方支付合同总价</w:t>
            </w:r>
            <w:r>
              <w:rPr>
                <w:rFonts w:hint="eastAsia" w:ascii="宋体" w:hAnsi="宋体" w:eastAsia="宋体" w:cs="宋体"/>
                <w:sz w:val="24"/>
                <w:szCs w:val="20"/>
                <w:u w:val="single"/>
              </w:rPr>
              <w:t xml:space="preserve"> 5% </w:t>
            </w:r>
            <w:r>
              <w:rPr>
                <w:rFonts w:hint="eastAsia" w:ascii="宋体" w:hAnsi="宋体" w:eastAsia="宋体" w:cs="宋体"/>
                <w:sz w:val="24"/>
                <w:szCs w:val="20"/>
              </w:rPr>
              <w:t>的滞纳金。</w:t>
            </w:r>
          </w:p>
        </w:tc>
      </w:tr>
      <w:tr w14:paraId="51C475C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jc w:val="center"/>
        </w:trPr>
        <w:tc>
          <w:tcPr>
            <w:tcW w:w="1245" w:type="dxa"/>
            <w:vAlign w:val="center"/>
          </w:tcPr>
          <w:p w14:paraId="2D9AD2F0">
            <w:pPr>
              <w:widowControl/>
              <w:jc w:val="center"/>
              <w:rPr>
                <w:rFonts w:ascii="宋体" w:hAnsi="宋体"/>
                <w:sz w:val="24"/>
              </w:rPr>
            </w:pPr>
            <w:r>
              <w:rPr>
                <w:rFonts w:hint="eastAsia" w:ascii="宋体" w:hAnsi="宋体"/>
                <w:sz w:val="24"/>
              </w:rPr>
              <w:t>第二节</w:t>
            </w:r>
          </w:p>
          <w:p w14:paraId="17EDCA53">
            <w:pPr>
              <w:widowControl/>
              <w:jc w:val="center"/>
              <w:rPr>
                <w:rFonts w:ascii="宋体" w:hAnsi="宋体"/>
                <w:sz w:val="24"/>
              </w:rPr>
            </w:pPr>
            <w:r>
              <w:rPr>
                <w:rFonts w:hint="eastAsia" w:ascii="宋体" w:hAnsi="宋体"/>
                <w:sz w:val="24"/>
              </w:rPr>
              <w:t>第15.3款</w:t>
            </w:r>
          </w:p>
        </w:tc>
        <w:tc>
          <w:tcPr>
            <w:tcW w:w="1413" w:type="dxa"/>
            <w:vAlign w:val="center"/>
          </w:tcPr>
          <w:p w14:paraId="154DE03B">
            <w:pPr>
              <w:widowControl/>
              <w:jc w:val="center"/>
              <w:rPr>
                <w:rFonts w:ascii="宋体" w:hAnsi="宋体"/>
                <w:sz w:val="24"/>
              </w:rPr>
            </w:pPr>
            <w:r>
              <w:rPr>
                <w:rFonts w:hint="eastAsia" w:ascii="宋体" w:hAnsi="宋体"/>
                <w:sz w:val="24"/>
              </w:rPr>
              <w:t>逾期付款利息</w:t>
            </w:r>
          </w:p>
        </w:tc>
        <w:tc>
          <w:tcPr>
            <w:tcW w:w="5991" w:type="dxa"/>
            <w:vAlign w:val="center"/>
          </w:tcPr>
          <w:p w14:paraId="504FF4BB">
            <w:pPr>
              <w:widowControl/>
              <w:spacing w:before="120" w:after="120" w:line="560" w:lineRule="exact"/>
              <w:ind w:firstLine="482"/>
              <w:jc w:val="left"/>
              <w:rPr>
                <w:rFonts w:ascii="宋体" w:hAnsi="宋体" w:eastAsia="宋体" w:cs="宋体"/>
                <w:sz w:val="24"/>
                <w:szCs w:val="20"/>
              </w:rPr>
            </w:pPr>
            <w:r>
              <w:rPr>
                <w:rFonts w:hint="eastAsia" w:ascii="宋体" w:hAnsi="宋体" w:eastAsia="宋体" w:cs="宋体"/>
                <w:sz w:val="24"/>
                <w:szCs w:val="20"/>
              </w:rPr>
              <w:t>按照银行同期存款利息计算</w:t>
            </w:r>
          </w:p>
        </w:tc>
      </w:tr>
      <w:tr w14:paraId="79E179D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jc w:val="center"/>
        </w:trPr>
        <w:tc>
          <w:tcPr>
            <w:tcW w:w="1245" w:type="dxa"/>
            <w:tcBorders>
              <w:bottom w:val="single" w:color="000000" w:sz="2" w:space="0"/>
              <w:right w:val="single" w:color="000000" w:sz="2" w:space="0"/>
            </w:tcBorders>
            <w:vAlign w:val="center"/>
          </w:tcPr>
          <w:p w14:paraId="2F093FFC">
            <w:pPr>
              <w:widowControl/>
              <w:jc w:val="center"/>
              <w:rPr>
                <w:rFonts w:ascii="宋体" w:hAnsi="宋体"/>
                <w:sz w:val="24"/>
              </w:rPr>
            </w:pPr>
            <w:r>
              <w:rPr>
                <w:rFonts w:hint="eastAsia" w:ascii="宋体" w:hAnsi="宋体"/>
                <w:sz w:val="24"/>
              </w:rPr>
              <w:t>第二节</w:t>
            </w:r>
          </w:p>
          <w:p w14:paraId="5A26EC37">
            <w:pPr>
              <w:widowControl/>
              <w:jc w:val="center"/>
              <w:rPr>
                <w:rFonts w:ascii="宋体" w:hAnsi="宋体"/>
                <w:sz w:val="24"/>
              </w:rPr>
            </w:pPr>
            <w:r>
              <w:rPr>
                <w:rFonts w:hint="eastAsia" w:ascii="宋体" w:hAnsi="宋体"/>
                <w:sz w:val="24"/>
              </w:rPr>
              <w:t>第15.4款</w:t>
            </w:r>
          </w:p>
        </w:tc>
        <w:tc>
          <w:tcPr>
            <w:tcW w:w="1413" w:type="dxa"/>
            <w:tcBorders>
              <w:left w:val="single" w:color="000000" w:sz="2" w:space="0"/>
              <w:bottom w:val="single" w:color="000000" w:sz="2" w:space="0"/>
              <w:right w:val="single" w:color="000000" w:sz="2" w:space="0"/>
            </w:tcBorders>
            <w:vAlign w:val="center"/>
          </w:tcPr>
          <w:p w14:paraId="71F0029D">
            <w:pPr>
              <w:widowControl/>
              <w:jc w:val="center"/>
              <w:rPr>
                <w:rFonts w:ascii="宋体" w:hAnsi="宋体"/>
                <w:sz w:val="24"/>
              </w:rPr>
            </w:pPr>
            <w:r>
              <w:rPr>
                <w:rFonts w:hint="eastAsia" w:ascii="宋体" w:hAnsi="宋体"/>
                <w:sz w:val="24"/>
              </w:rPr>
              <w:t>其他违约责任</w:t>
            </w:r>
          </w:p>
        </w:tc>
        <w:tc>
          <w:tcPr>
            <w:tcW w:w="5991" w:type="dxa"/>
            <w:tcBorders>
              <w:left w:val="single" w:color="000000" w:sz="2" w:space="0"/>
              <w:bottom w:val="single" w:color="000000" w:sz="2" w:space="0"/>
            </w:tcBorders>
            <w:vAlign w:val="center"/>
          </w:tcPr>
          <w:p w14:paraId="49105A77">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乙方交付合同标的的标准不符合合同规定及招标文件规定标准的，甲方有权拒绝接受合同标的，并可单方面解除合同。</w:t>
            </w:r>
          </w:p>
        </w:tc>
      </w:tr>
      <w:tr w14:paraId="1E0A7E9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jc w:val="center"/>
        </w:trPr>
        <w:tc>
          <w:tcPr>
            <w:tcW w:w="1245" w:type="dxa"/>
            <w:tcBorders>
              <w:top w:val="single" w:color="000000" w:sz="2" w:space="0"/>
              <w:right w:val="single" w:color="000000" w:sz="2" w:space="0"/>
            </w:tcBorders>
            <w:vAlign w:val="center"/>
          </w:tcPr>
          <w:p w14:paraId="34CC41D9">
            <w:pPr>
              <w:widowControl/>
              <w:jc w:val="center"/>
              <w:rPr>
                <w:rFonts w:ascii="宋体" w:hAnsi="宋体"/>
                <w:sz w:val="24"/>
              </w:rPr>
            </w:pPr>
            <w:r>
              <w:rPr>
                <w:rFonts w:hint="eastAsia" w:ascii="宋体" w:hAnsi="宋体"/>
                <w:sz w:val="24"/>
              </w:rPr>
              <w:t>第二节</w:t>
            </w:r>
          </w:p>
          <w:p w14:paraId="024D0612">
            <w:pPr>
              <w:widowControl/>
              <w:jc w:val="center"/>
              <w:rPr>
                <w:rFonts w:ascii="宋体" w:hAnsi="宋体"/>
                <w:sz w:val="24"/>
              </w:rPr>
            </w:pPr>
            <w:r>
              <w:rPr>
                <w:rFonts w:hint="eastAsia" w:ascii="宋体" w:hAnsi="宋体"/>
                <w:sz w:val="24"/>
              </w:rPr>
              <w:t>第19.2款</w:t>
            </w:r>
          </w:p>
        </w:tc>
        <w:tc>
          <w:tcPr>
            <w:tcW w:w="1413" w:type="dxa"/>
            <w:tcBorders>
              <w:top w:val="single" w:color="000000" w:sz="2" w:space="0"/>
              <w:left w:val="single" w:color="000000" w:sz="2" w:space="0"/>
              <w:right w:val="single" w:color="000000" w:sz="2" w:space="0"/>
            </w:tcBorders>
            <w:vAlign w:val="center"/>
          </w:tcPr>
          <w:p w14:paraId="0DDBFD60">
            <w:pPr>
              <w:widowControl/>
              <w:jc w:val="center"/>
              <w:rPr>
                <w:rFonts w:ascii="宋体" w:hAnsi="宋体"/>
                <w:sz w:val="24"/>
              </w:rPr>
            </w:pPr>
            <w:r>
              <w:rPr>
                <w:rFonts w:hint="eastAsia" w:ascii="宋体" w:hAnsi="宋体"/>
                <w:sz w:val="24"/>
              </w:rPr>
              <w:t>解决争议的方法</w:t>
            </w:r>
          </w:p>
        </w:tc>
        <w:tc>
          <w:tcPr>
            <w:tcW w:w="5991" w:type="dxa"/>
            <w:tcBorders>
              <w:top w:val="single" w:color="000000" w:sz="2" w:space="0"/>
              <w:left w:val="single" w:color="000000" w:sz="2" w:space="0"/>
            </w:tcBorders>
            <w:vAlign w:val="center"/>
          </w:tcPr>
          <w:p w14:paraId="307A6C1D">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1.因本合同及合同有关事项发生的争议，由双方协商解决，协商不成时，按下列第</w:t>
            </w:r>
            <w:r>
              <w:rPr>
                <w:rFonts w:hint="eastAsia" w:ascii="宋体" w:hAnsi="宋体" w:eastAsia="宋体" w:cs="宋体"/>
                <w:sz w:val="24"/>
                <w:szCs w:val="20"/>
                <w:u w:val="single"/>
              </w:rPr>
              <w:t xml:space="preserve"> 2 </w:t>
            </w:r>
            <w:r>
              <w:rPr>
                <w:rFonts w:hint="eastAsia" w:ascii="宋体" w:hAnsi="宋体" w:eastAsia="宋体" w:cs="宋体"/>
                <w:sz w:val="24"/>
                <w:szCs w:val="20"/>
              </w:rPr>
              <w:t>种方式解决：</w:t>
            </w:r>
          </w:p>
          <w:p w14:paraId="11340527">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（1）向仲裁委员会申请仲裁，仲裁地点为</w:t>
            </w:r>
            <w:r>
              <w:rPr>
                <w:rFonts w:hint="eastAsia" w:ascii="宋体" w:hAnsi="宋体" w:eastAsia="宋体" w:cs="宋体"/>
                <w:sz w:val="24"/>
                <w:szCs w:val="20"/>
                <w:u w:val="single"/>
              </w:rPr>
              <w:t>盐城市</w:t>
            </w:r>
            <w:r>
              <w:rPr>
                <w:rFonts w:hint="eastAsia" w:ascii="宋体" w:hAnsi="宋体" w:eastAsia="宋体" w:cs="宋体"/>
                <w:sz w:val="24"/>
                <w:szCs w:val="20"/>
              </w:rPr>
              <w:t>；</w:t>
            </w:r>
          </w:p>
          <w:p w14:paraId="7E7A30D2">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（2）向甲方所在地人民法院起诉。</w:t>
            </w:r>
          </w:p>
          <w:p w14:paraId="42C117C8">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2. 纠纷解决办法</w:t>
            </w:r>
          </w:p>
          <w:p w14:paraId="0A47DB07">
            <w:pPr>
              <w:widowControl/>
              <w:spacing w:line="560" w:lineRule="exact"/>
              <w:ind w:firstLine="482"/>
              <w:jc w:val="left"/>
              <w:rPr>
                <w:rFonts w:ascii="宋体" w:hAnsi="宋体"/>
                <w:sz w:val="24"/>
              </w:rPr>
            </w:pPr>
            <w:r>
              <w:rPr>
                <w:rFonts w:hint="eastAsia" w:ascii="宋体" w:hAnsi="宋体" w:eastAsia="宋体" w:cs="宋体"/>
                <w:sz w:val="24"/>
                <w:szCs w:val="20"/>
              </w:rPr>
              <w:t>2.1因货物的质量问题发生争议的，应当邀请国家认可的质量检测机构对货物质量进行鉴定。货物符合标准的，鉴定费由甲方承担；货物不符合质量标准的，鉴定费由乙方承担，并更换问题货物。</w:t>
            </w:r>
          </w:p>
        </w:tc>
      </w:tr>
      <w:tr w14:paraId="4252A62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jc w:val="center"/>
        </w:trPr>
        <w:tc>
          <w:tcPr>
            <w:tcW w:w="1245" w:type="dxa"/>
            <w:vAlign w:val="center"/>
          </w:tcPr>
          <w:p w14:paraId="3F763495">
            <w:pPr>
              <w:widowControl/>
              <w:jc w:val="center"/>
              <w:rPr>
                <w:rFonts w:ascii="宋体" w:hAnsi="宋体"/>
                <w:sz w:val="24"/>
              </w:rPr>
            </w:pPr>
            <w:r>
              <w:rPr>
                <w:rFonts w:hint="eastAsia" w:ascii="宋体" w:hAnsi="宋体"/>
                <w:sz w:val="24"/>
              </w:rPr>
              <w:t>第二节</w:t>
            </w:r>
          </w:p>
          <w:p w14:paraId="14EB1811">
            <w:pPr>
              <w:widowControl/>
              <w:jc w:val="center"/>
              <w:rPr>
                <w:rFonts w:ascii="宋体" w:hAnsi="宋体"/>
                <w:sz w:val="24"/>
              </w:rPr>
            </w:pPr>
            <w:r>
              <w:rPr>
                <w:rFonts w:hint="eastAsia" w:ascii="宋体" w:hAnsi="宋体"/>
                <w:sz w:val="24"/>
              </w:rPr>
              <w:t>第23.1款</w:t>
            </w:r>
          </w:p>
        </w:tc>
        <w:tc>
          <w:tcPr>
            <w:tcW w:w="1413" w:type="dxa"/>
            <w:vAlign w:val="center"/>
          </w:tcPr>
          <w:p w14:paraId="2CC1B752">
            <w:pPr>
              <w:widowControl/>
              <w:jc w:val="center"/>
              <w:rPr>
                <w:rFonts w:ascii="宋体" w:hAnsi="宋体"/>
                <w:sz w:val="24"/>
              </w:rPr>
            </w:pPr>
            <w:r>
              <w:rPr>
                <w:rFonts w:hint="eastAsia" w:ascii="宋体" w:hAnsi="宋体"/>
                <w:sz w:val="24"/>
              </w:rPr>
              <w:t>其他专用条款</w:t>
            </w:r>
          </w:p>
        </w:tc>
        <w:tc>
          <w:tcPr>
            <w:tcW w:w="5991" w:type="dxa"/>
            <w:vAlign w:val="center"/>
          </w:tcPr>
          <w:p w14:paraId="2245EF8A">
            <w:pPr>
              <w:widowControl/>
              <w:spacing w:line="560" w:lineRule="exact"/>
              <w:ind w:firstLine="482"/>
              <w:jc w:val="left"/>
              <w:rPr>
                <w:rFonts w:ascii="宋体" w:hAnsi="宋体"/>
                <w:sz w:val="24"/>
              </w:rPr>
            </w:pPr>
            <w:r>
              <w:rPr>
                <w:rFonts w:hint="eastAsia" w:ascii="宋体" w:hAnsi="宋体"/>
                <w:sz w:val="24"/>
              </w:rPr>
              <w:t>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p>
          <w:p w14:paraId="22D93EE6">
            <w:pPr>
              <w:widowControl/>
              <w:spacing w:line="560" w:lineRule="exact"/>
              <w:ind w:firstLine="482"/>
              <w:jc w:val="left"/>
              <w:rPr>
                <w:rFonts w:ascii="宋体" w:hAnsi="宋体"/>
                <w:sz w:val="24"/>
              </w:rPr>
            </w:pPr>
            <w:r>
              <w:rPr>
                <w:rFonts w:hint="eastAsia" w:ascii="宋体" w:hAnsi="宋体"/>
                <w:sz w:val="24"/>
              </w:rPr>
              <w:t>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p>
          <w:p w14:paraId="76AC7354">
            <w:pPr>
              <w:widowControl/>
              <w:spacing w:line="560" w:lineRule="exact"/>
              <w:ind w:firstLine="482"/>
              <w:jc w:val="left"/>
              <w:rPr>
                <w:rFonts w:ascii="宋体" w:hAnsi="宋体"/>
                <w:sz w:val="24"/>
              </w:rPr>
            </w:pPr>
            <w:r>
              <w:rPr>
                <w:rFonts w:hint="eastAsia" w:ascii="宋体" w:hAnsi="宋体"/>
                <w:sz w:val="24"/>
              </w:rPr>
              <w:t>3.验收不合格的货物，乙方应在</w:t>
            </w:r>
            <w:r>
              <w:rPr>
                <w:rFonts w:hint="eastAsia" w:ascii="宋体" w:hAnsi="宋体"/>
                <w:sz w:val="24"/>
                <w:u w:val="single"/>
              </w:rPr>
              <w:t xml:space="preserve"> </w:t>
            </w:r>
            <w:r>
              <w:rPr>
                <w:rFonts w:ascii="宋体" w:hAnsi="宋体"/>
                <w:sz w:val="24"/>
                <w:u w:val="single"/>
              </w:rPr>
              <w:t>3</w:t>
            </w:r>
            <w:r>
              <w:rPr>
                <w:rFonts w:hint="eastAsia" w:ascii="宋体" w:hAnsi="宋体"/>
                <w:sz w:val="24"/>
                <w:u w:val="single"/>
              </w:rPr>
              <w:t xml:space="preserve"> </w:t>
            </w:r>
            <w:r>
              <w:rPr>
                <w:rFonts w:hint="eastAsia" w:ascii="宋体" w:hAnsi="宋体"/>
                <w:sz w:val="24"/>
              </w:rPr>
              <w:t>个工作日内予以更换，逾期按交货延误予以处罚。乙方所交付的货物品种、型号、规格不符合合同规定的，甲方有权拒收。甲方拒收的，乙方向甲方支付货款总额</w:t>
            </w:r>
            <w:r>
              <w:rPr>
                <w:rFonts w:ascii="宋体" w:hAnsi="宋体"/>
                <w:sz w:val="24"/>
              </w:rPr>
              <w:t>5</w:t>
            </w:r>
            <w:r>
              <w:rPr>
                <w:rFonts w:hint="eastAsia" w:ascii="宋体" w:hAnsi="宋体"/>
                <w:sz w:val="24"/>
              </w:rPr>
              <w:t>%的违约金。在乙方承诺的或国家规定的质量保证期内，若经乙方维修或更换，货物仍不能达到合同约定的质量标准，甲方有权退货，乙方应退回全部货款，同时，乙方还须赔偿甲方因此遭受的损失。如销售后出现不合格产品，则乙方按《消费者条例》对消费者赔偿。</w:t>
            </w:r>
          </w:p>
          <w:p w14:paraId="18B7B9CA">
            <w:pPr>
              <w:widowControl/>
              <w:spacing w:line="560" w:lineRule="exact"/>
              <w:ind w:firstLine="482"/>
              <w:jc w:val="left"/>
              <w:rPr>
                <w:rFonts w:ascii="宋体" w:hAnsi="宋体"/>
                <w:sz w:val="24"/>
              </w:rPr>
            </w:pPr>
            <w:r>
              <w:rPr>
                <w:rFonts w:hint="eastAsia" w:ascii="宋体" w:hAnsi="宋体"/>
                <w:sz w:val="24"/>
              </w:rPr>
              <w:t>4.货物验收要求</w:t>
            </w:r>
          </w:p>
          <w:p w14:paraId="1CAA9386">
            <w:pPr>
              <w:widowControl/>
              <w:spacing w:line="560" w:lineRule="exact"/>
              <w:ind w:firstLine="482"/>
              <w:jc w:val="left"/>
              <w:rPr>
                <w:rFonts w:ascii="宋体" w:hAnsi="宋体"/>
                <w:sz w:val="24"/>
              </w:rPr>
            </w:pPr>
            <w:r>
              <w:rPr>
                <w:rFonts w:hint="eastAsia" w:ascii="宋体" w:hAnsi="宋体"/>
                <w:sz w:val="24"/>
              </w:rPr>
              <w:t>（1）依照招标文件要求对全部货物、型号、规格、数量、外型、外观、包装及资料、文件（如装箱单、保修单、随箱介质等）进行验收。</w:t>
            </w:r>
          </w:p>
          <w:p w14:paraId="743622E4">
            <w:pPr>
              <w:widowControl/>
              <w:spacing w:line="560" w:lineRule="exact"/>
              <w:ind w:firstLine="482"/>
              <w:jc w:val="left"/>
              <w:rPr>
                <w:rFonts w:ascii="宋体" w:hAnsi="宋体"/>
                <w:sz w:val="24"/>
              </w:rPr>
            </w:pPr>
            <w:r>
              <w:rPr>
                <w:rFonts w:hint="eastAsia" w:ascii="宋体" w:hAnsi="宋体"/>
                <w:sz w:val="24"/>
              </w:rPr>
              <w:t>（2）甲方与乙方对货物到货后共同进行开箱检查，出现损坏、数量不全或产品不对等问题时，由乙方负责解决。</w:t>
            </w:r>
          </w:p>
          <w:p w14:paraId="11403023">
            <w:pPr>
              <w:widowControl/>
              <w:spacing w:line="560" w:lineRule="exact"/>
              <w:ind w:firstLine="482"/>
              <w:jc w:val="left"/>
              <w:rPr>
                <w:rFonts w:ascii="宋体" w:hAnsi="宋体"/>
                <w:sz w:val="24"/>
              </w:rPr>
            </w:pPr>
            <w:r>
              <w:rPr>
                <w:rFonts w:hint="eastAsia" w:ascii="宋体" w:hAnsi="宋体"/>
                <w:sz w:val="24"/>
              </w:rPr>
              <w:t>（3）甲方有权从乙方所送货物中任意抽出不同型号的产品送采购人所在地的质检部门检验，如果检验合格，检验费由甲方负担；如果检验不合格，则检验费由乙方负担。</w:t>
            </w:r>
          </w:p>
          <w:p w14:paraId="7D3D88C1">
            <w:pPr>
              <w:widowControl/>
              <w:spacing w:line="560" w:lineRule="exact"/>
              <w:ind w:firstLine="482"/>
              <w:jc w:val="left"/>
              <w:rPr>
                <w:rFonts w:ascii="宋体" w:hAnsi="宋体"/>
                <w:sz w:val="24"/>
              </w:rPr>
            </w:pPr>
            <w:r>
              <w:rPr>
                <w:rFonts w:hint="eastAsia" w:ascii="宋体" w:hAnsi="宋体"/>
                <w:sz w:val="24"/>
              </w:rPr>
              <w:t>（4）乙方应按照本合同规定的时间、地点和方式向乙方交付货物。</w:t>
            </w:r>
          </w:p>
          <w:p w14:paraId="76C80C26">
            <w:pPr>
              <w:widowControl/>
              <w:spacing w:line="560" w:lineRule="exact"/>
              <w:ind w:firstLine="482"/>
              <w:jc w:val="left"/>
              <w:rPr>
                <w:rFonts w:ascii="宋体" w:hAnsi="宋体"/>
                <w:sz w:val="24"/>
              </w:rPr>
            </w:pPr>
            <w:r>
              <w:rPr>
                <w:rFonts w:hint="eastAsia" w:ascii="宋体" w:hAnsi="宋体"/>
                <w:sz w:val="24"/>
              </w:rPr>
              <w:t>交货时间：</w:t>
            </w:r>
            <w:r>
              <w:rPr>
                <w:rFonts w:hint="eastAsia" w:ascii="宋体" w:hAnsi="宋体"/>
                <w:sz w:val="24"/>
                <w:u w:val="single"/>
              </w:rPr>
              <w:t>接到甲方通知后25天内供货并验收合格</w:t>
            </w:r>
            <w:r>
              <w:rPr>
                <w:rFonts w:hint="eastAsia" w:ascii="宋体" w:hAnsi="宋体"/>
                <w:sz w:val="24"/>
              </w:rPr>
              <w:t>。</w:t>
            </w:r>
          </w:p>
          <w:p w14:paraId="7AFDA2C5">
            <w:pPr>
              <w:widowControl/>
              <w:spacing w:line="560" w:lineRule="exact"/>
              <w:ind w:firstLine="482"/>
              <w:jc w:val="left"/>
              <w:rPr>
                <w:rFonts w:ascii="宋体" w:hAnsi="宋体"/>
                <w:sz w:val="24"/>
              </w:rPr>
            </w:pPr>
            <w:r>
              <w:rPr>
                <w:rFonts w:hint="eastAsia" w:ascii="宋体" w:hAnsi="宋体"/>
                <w:sz w:val="24"/>
              </w:rPr>
              <w:t>交货地点：</w:t>
            </w:r>
            <w:r>
              <w:rPr>
                <w:rFonts w:hint="eastAsia" w:ascii="宋体" w:hAnsi="宋体"/>
                <w:sz w:val="24"/>
                <w:u w:val="single"/>
              </w:rPr>
              <w:t>盐城市教育局各指定学校</w:t>
            </w:r>
            <w:r>
              <w:rPr>
                <w:rFonts w:hint="eastAsia" w:ascii="宋体" w:hAnsi="宋体"/>
                <w:sz w:val="24"/>
              </w:rPr>
              <w:t>。</w:t>
            </w:r>
          </w:p>
          <w:p w14:paraId="57B5DA63">
            <w:pPr>
              <w:widowControl/>
              <w:spacing w:line="560" w:lineRule="exact"/>
              <w:ind w:firstLine="482"/>
              <w:jc w:val="left"/>
              <w:rPr>
                <w:rFonts w:ascii="宋体" w:hAnsi="宋体"/>
                <w:sz w:val="24"/>
              </w:rPr>
            </w:pPr>
            <w:r>
              <w:rPr>
                <w:rFonts w:hint="eastAsia" w:ascii="宋体" w:hAnsi="宋体"/>
                <w:sz w:val="24"/>
              </w:rPr>
              <w:t>（5）甲方应在全部货物到货安装完毕后的五个工作日内进行验收，验收包括：型号、规格、数量、外观是否完好，安装调试是否合格等。验收合格后甲方应在验收报告上签字盖章。</w:t>
            </w:r>
          </w:p>
          <w:p w14:paraId="319896A4">
            <w:pPr>
              <w:widowControl/>
              <w:spacing w:line="560" w:lineRule="exact"/>
              <w:ind w:firstLine="482"/>
              <w:jc w:val="left"/>
              <w:rPr>
                <w:rFonts w:ascii="宋体" w:hAnsi="宋体"/>
                <w:sz w:val="24"/>
              </w:rPr>
            </w:pPr>
            <w:r>
              <w:rPr>
                <w:rFonts w:hint="eastAsia" w:ascii="宋体" w:hAnsi="宋体"/>
                <w:sz w:val="24"/>
              </w:rPr>
              <w:t>（6）货到现场后，甲方人员根据招标要求，对包装物进行视检和抽检，如包装物不符合招标要求，甲方有权将包装物送至市级及以上检测机构送检。因检测不合格延误了交付进度，乙方应承担相应的违约责任。</w:t>
            </w:r>
          </w:p>
        </w:tc>
      </w:tr>
      <w:tr w14:paraId="1475C4F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jc w:val="center"/>
        </w:trPr>
        <w:tc>
          <w:tcPr>
            <w:tcW w:w="1245" w:type="dxa"/>
            <w:vAlign w:val="center"/>
          </w:tcPr>
          <w:p w14:paraId="54FAA76D">
            <w:pPr>
              <w:widowControl/>
              <w:jc w:val="center"/>
              <w:rPr>
                <w:rFonts w:ascii="宋体" w:hAnsi="宋体"/>
                <w:sz w:val="24"/>
              </w:rPr>
            </w:pPr>
          </w:p>
        </w:tc>
        <w:tc>
          <w:tcPr>
            <w:tcW w:w="1413" w:type="dxa"/>
            <w:vAlign w:val="center"/>
          </w:tcPr>
          <w:p w14:paraId="051F0546">
            <w:pPr>
              <w:widowControl/>
              <w:jc w:val="center"/>
              <w:rPr>
                <w:rFonts w:ascii="宋体" w:hAnsi="宋体"/>
                <w:bCs/>
                <w:sz w:val="24"/>
              </w:rPr>
            </w:pPr>
            <w:r>
              <w:rPr>
                <w:rFonts w:hint="eastAsia" w:ascii="宋体" w:hAnsi="宋体"/>
                <w:bCs/>
                <w:sz w:val="24"/>
              </w:rPr>
              <w:t>税费</w:t>
            </w:r>
          </w:p>
        </w:tc>
        <w:tc>
          <w:tcPr>
            <w:tcW w:w="5991" w:type="dxa"/>
            <w:vAlign w:val="center"/>
          </w:tcPr>
          <w:p w14:paraId="7DE2C96D">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1.中国政府根据现行税法规定对甲方征收的与本合同有关的一切税费均由甲方负担（免税部分除外），招标文件另有规定的除外。</w:t>
            </w:r>
          </w:p>
          <w:p w14:paraId="720FF3BF">
            <w:pPr>
              <w:widowControl/>
              <w:spacing w:line="560" w:lineRule="exact"/>
              <w:ind w:firstLine="482"/>
              <w:jc w:val="left"/>
              <w:rPr>
                <w:rFonts w:ascii="宋体" w:hAnsi="宋体"/>
                <w:sz w:val="24"/>
              </w:rPr>
            </w:pPr>
            <w:r>
              <w:rPr>
                <w:rFonts w:hint="eastAsia" w:ascii="宋体" w:hAnsi="宋体" w:eastAsia="宋体" w:cs="宋体"/>
                <w:sz w:val="24"/>
                <w:szCs w:val="20"/>
              </w:rPr>
              <w:t>2.中国政府根据现行税法规定对乙方征收的与本合同有关的一切税费均由乙方负担（免税部分除外）。</w:t>
            </w:r>
          </w:p>
        </w:tc>
      </w:tr>
      <w:tr w14:paraId="31A390D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jc w:val="center"/>
        </w:trPr>
        <w:tc>
          <w:tcPr>
            <w:tcW w:w="1245" w:type="dxa"/>
            <w:vAlign w:val="center"/>
          </w:tcPr>
          <w:p w14:paraId="5D7E6BD0">
            <w:pPr>
              <w:widowControl/>
              <w:jc w:val="center"/>
              <w:rPr>
                <w:rFonts w:ascii="宋体" w:hAnsi="宋体"/>
                <w:sz w:val="24"/>
              </w:rPr>
            </w:pPr>
          </w:p>
        </w:tc>
        <w:tc>
          <w:tcPr>
            <w:tcW w:w="1413" w:type="dxa"/>
            <w:vAlign w:val="center"/>
          </w:tcPr>
          <w:p w14:paraId="1AA5859C">
            <w:pPr>
              <w:widowControl/>
              <w:jc w:val="center"/>
              <w:rPr>
                <w:rFonts w:ascii="宋体" w:hAnsi="宋体"/>
                <w:bCs/>
                <w:sz w:val="24"/>
              </w:rPr>
            </w:pPr>
            <w:r>
              <w:rPr>
                <w:rFonts w:hint="eastAsia" w:ascii="宋体" w:hAnsi="宋体"/>
                <w:bCs/>
                <w:sz w:val="24"/>
              </w:rPr>
              <w:t>伴随服务</w:t>
            </w:r>
          </w:p>
        </w:tc>
        <w:tc>
          <w:tcPr>
            <w:tcW w:w="5991" w:type="dxa"/>
            <w:vAlign w:val="center"/>
          </w:tcPr>
          <w:p w14:paraId="39D8CF46">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1.乙方应按照国家“</w:t>
            </w:r>
            <w:r>
              <w:rPr>
                <w:rFonts w:hint="eastAsia" w:ascii="宋体" w:hAnsi="宋体" w:eastAsia="宋体" w:cs="宋体"/>
                <w:b/>
                <w:bCs/>
                <w:sz w:val="24"/>
                <w:szCs w:val="20"/>
              </w:rPr>
              <w:t>新三包</w:t>
            </w:r>
            <w:r>
              <w:rPr>
                <w:rFonts w:hint="eastAsia" w:ascii="宋体" w:hAnsi="宋体" w:eastAsia="宋体" w:cs="宋体"/>
                <w:sz w:val="24"/>
                <w:szCs w:val="20"/>
              </w:rPr>
              <w:t>”规定和合同中所附的服务承诺提供服务。</w:t>
            </w:r>
          </w:p>
          <w:p w14:paraId="0EFAEE07">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2.除第1条规定外，乙方还应提供下列服务：</w:t>
            </w:r>
          </w:p>
          <w:p w14:paraId="4893E762">
            <w:pPr>
              <w:widowControl/>
              <w:spacing w:line="560" w:lineRule="exact"/>
              <w:ind w:firstLine="482"/>
              <w:jc w:val="left"/>
              <w:rPr>
                <w:rFonts w:ascii="宋体" w:hAnsi="宋体" w:eastAsia="宋体" w:cs="宋体"/>
                <w:sz w:val="24"/>
                <w:szCs w:val="20"/>
              </w:rPr>
            </w:pPr>
            <w:r>
              <w:rPr>
                <w:rFonts w:hint="eastAsia" w:ascii="宋体" w:hAnsi="宋体" w:eastAsia="宋体" w:cs="宋体"/>
                <w:b/>
                <w:bCs/>
                <w:sz w:val="24"/>
                <w:szCs w:val="20"/>
              </w:rPr>
              <w:t>(1)招标文件中的“服务要求”所规定的服务内容以及投标文件承诺提供的其他服务内容；</w:t>
            </w:r>
          </w:p>
          <w:p w14:paraId="1F034E09">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(2)负责货物的开孔，货物的现场安装；</w:t>
            </w:r>
          </w:p>
          <w:p w14:paraId="7DA9757E">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(3)提供货物组装和维修所需的工具；</w:t>
            </w:r>
          </w:p>
          <w:p w14:paraId="4E8EBA72">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(4)在合同中乙方承诺的质保期限内对所提供货物正常使用实施监督、维修，但前提条件是该服务并不能免除乙方在质量保证期内应承担的义务；</w:t>
            </w:r>
          </w:p>
          <w:p w14:paraId="77FB32D2">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(5)在货物交货现场就货物的安装、启用、维护等对甲方人员进行培训。</w:t>
            </w:r>
          </w:p>
          <w:p w14:paraId="1C2FE0F6">
            <w:pPr>
              <w:widowControl/>
              <w:spacing w:line="560" w:lineRule="exact"/>
              <w:ind w:firstLine="482"/>
              <w:jc w:val="left"/>
              <w:rPr>
                <w:rFonts w:ascii="宋体" w:hAnsi="宋体" w:eastAsia="宋体" w:cs="宋体"/>
                <w:sz w:val="24"/>
              </w:rPr>
            </w:pPr>
            <w:r>
              <w:rPr>
                <w:rFonts w:hint="eastAsia" w:ascii="宋体" w:hAnsi="宋体" w:eastAsia="宋体" w:cs="宋体"/>
                <w:sz w:val="24"/>
                <w:szCs w:val="20"/>
              </w:rPr>
              <w:t>3.伴随服务的费用应含在合同价中，不单独进行支付。</w:t>
            </w:r>
          </w:p>
        </w:tc>
      </w:tr>
      <w:tr w14:paraId="4250852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jc w:val="center"/>
        </w:trPr>
        <w:tc>
          <w:tcPr>
            <w:tcW w:w="1245" w:type="dxa"/>
            <w:vAlign w:val="center"/>
          </w:tcPr>
          <w:p w14:paraId="1D3DAC37">
            <w:pPr>
              <w:widowControl/>
              <w:jc w:val="center"/>
              <w:rPr>
                <w:rFonts w:ascii="宋体" w:hAnsi="宋体"/>
                <w:sz w:val="24"/>
              </w:rPr>
            </w:pPr>
          </w:p>
        </w:tc>
        <w:tc>
          <w:tcPr>
            <w:tcW w:w="1413" w:type="dxa"/>
            <w:vAlign w:val="center"/>
          </w:tcPr>
          <w:p w14:paraId="6E71A552">
            <w:pPr>
              <w:widowControl/>
              <w:jc w:val="center"/>
              <w:rPr>
                <w:rFonts w:ascii="宋体" w:hAnsi="宋体"/>
                <w:sz w:val="24"/>
              </w:rPr>
            </w:pPr>
            <w:r>
              <w:rPr>
                <w:rFonts w:hint="eastAsia" w:ascii="宋体" w:hAnsi="宋体"/>
                <w:sz w:val="24"/>
              </w:rPr>
              <w:t>索赔</w:t>
            </w:r>
          </w:p>
        </w:tc>
        <w:tc>
          <w:tcPr>
            <w:tcW w:w="5991" w:type="dxa"/>
            <w:vAlign w:val="center"/>
          </w:tcPr>
          <w:p w14:paraId="490709F2">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1.甲方有权根据当地质检部门出具的检验报告，向乙方提出索赔。</w:t>
            </w:r>
          </w:p>
          <w:p w14:paraId="3AC1A80A">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2.根据合同规定的检验期和质量保证期内，如果乙方对甲方提出的索赔和差异负有责任，乙方应按照甲方同意的下列一种或多种方式解决索赔事宜：</w:t>
            </w:r>
          </w:p>
          <w:p w14:paraId="44B78FB8">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(1)乙方同意退货，并用合同中规定的货币将货款退还给甲方，并承担由此发生的一切损失和费用，包括利息、银行手续费、运费、保险费、检验费、仓储费、装卸费以及为保护退回货物所需的其它必要费用。</w:t>
            </w:r>
          </w:p>
          <w:p w14:paraId="33334C53">
            <w:pPr>
              <w:widowControl/>
              <w:spacing w:line="560" w:lineRule="exact"/>
              <w:ind w:firstLine="480"/>
              <w:jc w:val="left"/>
              <w:rPr>
                <w:rFonts w:ascii="宋体" w:hAnsi="宋体" w:eastAsia="宋体" w:cs="宋体"/>
                <w:sz w:val="24"/>
                <w:szCs w:val="20"/>
              </w:rPr>
            </w:pPr>
            <w:r>
              <w:rPr>
                <w:rFonts w:hint="eastAsia" w:ascii="宋体" w:hAnsi="宋体" w:eastAsia="宋体" w:cs="宋体"/>
                <w:sz w:val="24"/>
                <w:szCs w:val="20"/>
              </w:rPr>
              <w:t>(2)根据货物的低劣程度、损坏程度以及甲方所遭受损失的数额，乙方必须降低货物的价格。</w:t>
            </w:r>
          </w:p>
          <w:p w14:paraId="59DF6FC5">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(3)用符合合同规定的规格、质量和性能要求的新零件或部件来更换有缺陷的部分，乙方应承担一切费用和风险并负担甲方所蒙受的全部直接损失费用。同时，乙方应按合同规定，对更换件相应延长质量保证期。</w:t>
            </w:r>
          </w:p>
          <w:p w14:paraId="0AE341EC">
            <w:pPr>
              <w:widowControl/>
              <w:spacing w:line="560" w:lineRule="exact"/>
              <w:ind w:firstLine="482"/>
              <w:jc w:val="left"/>
              <w:rPr>
                <w:rFonts w:ascii="宋体" w:hAnsi="宋体" w:eastAsia="宋体" w:cs="宋体"/>
                <w:sz w:val="24"/>
              </w:rPr>
            </w:pPr>
            <w:r>
              <w:rPr>
                <w:rFonts w:hint="eastAsia" w:ascii="宋体" w:hAnsi="宋体" w:eastAsia="宋体" w:cs="宋体"/>
                <w:sz w:val="24"/>
                <w:szCs w:val="20"/>
              </w:rPr>
              <w:t>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p>
        </w:tc>
      </w:tr>
      <w:tr w14:paraId="2092CFB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jc w:val="center"/>
        </w:trPr>
        <w:tc>
          <w:tcPr>
            <w:tcW w:w="1245" w:type="dxa"/>
            <w:vAlign w:val="center"/>
          </w:tcPr>
          <w:p w14:paraId="0CA4814D">
            <w:pPr>
              <w:widowControl/>
              <w:jc w:val="center"/>
              <w:rPr>
                <w:rFonts w:ascii="宋体" w:hAnsi="宋体"/>
                <w:sz w:val="24"/>
              </w:rPr>
            </w:pPr>
          </w:p>
        </w:tc>
        <w:tc>
          <w:tcPr>
            <w:tcW w:w="1413" w:type="dxa"/>
            <w:vAlign w:val="center"/>
          </w:tcPr>
          <w:p w14:paraId="07F8D9D8">
            <w:pPr>
              <w:widowControl/>
              <w:jc w:val="center"/>
              <w:rPr>
                <w:rFonts w:ascii="宋体" w:hAnsi="宋体"/>
                <w:bCs/>
                <w:sz w:val="24"/>
              </w:rPr>
            </w:pPr>
            <w:r>
              <w:rPr>
                <w:rFonts w:hint="eastAsia" w:ascii="宋体" w:hAnsi="宋体" w:eastAsia="Arial" w:cs="宋体"/>
                <w:sz w:val="24"/>
                <w:szCs w:val="20"/>
              </w:rPr>
              <w:t>合同生效及其它</w:t>
            </w:r>
          </w:p>
        </w:tc>
        <w:tc>
          <w:tcPr>
            <w:tcW w:w="5991" w:type="dxa"/>
            <w:vAlign w:val="center"/>
          </w:tcPr>
          <w:p w14:paraId="22D28178">
            <w:pPr>
              <w:widowControl/>
              <w:spacing w:line="560" w:lineRule="exact"/>
              <w:ind w:firstLine="482"/>
              <w:jc w:val="left"/>
              <w:rPr>
                <w:rFonts w:ascii="宋体" w:hAnsi="宋体" w:eastAsia="Arial" w:cs="宋体"/>
                <w:sz w:val="24"/>
                <w:szCs w:val="20"/>
              </w:rPr>
            </w:pPr>
            <w:r>
              <w:rPr>
                <w:rFonts w:hint="eastAsia" w:ascii="宋体" w:hAnsi="宋体" w:eastAsia="Arial" w:cs="宋体"/>
                <w:sz w:val="24"/>
                <w:szCs w:val="20"/>
              </w:rPr>
              <w:t>1.合同经甲方、乙方盖章后生效。</w:t>
            </w:r>
          </w:p>
          <w:p w14:paraId="56602DEA">
            <w:pPr>
              <w:widowControl/>
              <w:spacing w:line="560" w:lineRule="exact"/>
              <w:ind w:firstLine="482"/>
              <w:jc w:val="left"/>
              <w:rPr>
                <w:rFonts w:ascii="宋体" w:hAnsi="宋体" w:eastAsia="Arial" w:cs="宋体"/>
                <w:sz w:val="24"/>
                <w:szCs w:val="20"/>
              </w:rPr>
            </w:pPr>
            <w:r>
              <w:rPr>
                <w:rFonts w:hint="eastAsia" w:ascii="宋体" w:hAnsi="宋体" w:eastAsia="Arial" w:cs="宋体"/>
                <w:sz w:val="24"/>
                <w:szCs w:val="20"/>
              </w:rPr>
              <w:t>2.货物交付使用后所发生的合同纠纷，由甲方与乙方协商处理。</w:t>
            </w:r>
          </w:p>
          <w:p w14:paraId="49AAA418">
            <w:pPr>
              <w:widowControl/>
              <w:spacing w:line="560" w:lineRule="exact"/>
              <w:ind w:firstLine="482"/>
              <w:jc w:val="left"/>
              <w:rPr>
                <w:rFonts w:ascii="宋体" w:hAnsi="宋体" w:eastAsia="Arial" w:cs="宋体"/>
                <w:sz w:val="24"/>
                <w:szCs w:val="20"/>
              </w:rPr>
            </w:pPr>
            <w:r>
              <w:rPr>
                <w:rFonts w:hint="eastAsia" w:ascii="宋体" w:hAnsi="宋体" w:eastAsia="Arial" w:cs="宋体"/>
                <w:sz w:val="24"/>
                <w:szCs w:val="20"/>
              </w:rPr>
              <w:t>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p>
          <w:p w14:paraId="55A7F4F2">
            <w:pPr>
              <w:widowControl/>
              <w:spacing w:line="560" w:lineRule="exact"/>
              <w:ind w:firstLine="482"/>
              <w:jc w:val="left"/>
              <w:rPr>
                <w:rFonts w:ascii="宋体" w:hAnsi="宋体"/>
                <w:sz w:val="24"/>
              </w:rPr>
            </w:pPr>
            <w:r>
              <w:rPr>
                <w:rFonts w:hint="eastAsia" w:ascii="宋体" w:hAnsi="宋体" w:eastAsia="Arial" w:cs="宋体"/>
                <w:sz w:val="24"/>
                <w:szCs w:val="20"/>
              </w:rPr>
              <w:t>4.本合同应按照中华人民共和国的现行法律进行解释。本合同未尽事宜，遵照《中华人民共和国民法典》、《中华人民共和国政府采购法》等有关条文执行。</w:t>
            </w:r>
          </w:p>
        </w:tc>
      </w:tr>
    </w:tbl>
    <w:p w14:paraId="7EA96CE3">
      <w:pPr>
        <w:pStyle w:val="36"/>
        <w:widowControl/>
        <w:spacing w:before="120" w:beforeAutospacing="0" w:after="120" w:afterAutospacing="0" w:line="0" w:lineRule="atLeast"/>
        <w:ind w:firstLine="220"/>
        <w:jc w:val="center"/>
        <w:outlineLvl w:val="0"/>
        <w:rPr>
          <w:rFonts w:ascii="黑体" w:hAnsi="宋体" w:eastAsia="黑体" w:cs="黑体"/>
          <w:sz w:val="44"/>
          <w:szCs w:val="44"/>
        </w:rPr>
      </w:pPr>
      <w:r>
        <w:rPr>
          <w:rFonts w:hint="eastAsia" w:ascii="黑体" w:hAnsi="宋体" w:eastAsia="黑体" w:cs="黑体"/>
          <w:sz w:val="44"/>
          <w:szCs w:val="44"/>
        </w:rPr>
        <w:br w:type="page" w:clear="all"/>
      </w:r>
      <w:bookmarkEnd w:id="150"/>
      <w:bookmarkEnd w:id="151"/>
      <w:bookmarkEnd w:id="152"/>
      <w:bookmarkEnd w:id="153"/>
      <w:bookmarkEnd w:id="154"/>
      <w:bookmarkEnd w:id="155"/>
      <w:bookmarkStart w:id="162" w:name="_Toc10439"/>
      <w:bookmarkStart w:id="163" w:name="_Toc120614281"/>
      <w:r>
        <w:rPr>
          <w:rFonts w:hint="eastAsia" w:ascii="黑体" w:hAnsi="宋体" w:eastAsia="黑体" w:cs="黑体"/>
          <w:sz w:val="44"/>
          <w:szCs w:val="44"/>
        </w:rPr>
        <w:t>第四章 采购需求</w:t>
      </w:r>
      <w:bookmarkEnd w:id="162"/>
    </w:p>
    <w:p w14:paraId="53AF97FC">
      <w:pPr>
        <w:widowControl/>
        <w:spacing w:line="560" w:lineRule="exact"/>
        <w:ind w:firstLine="482"/>
        <w:jc w:val="left"/>
        <w:rPr>
          <w:rFonts w:ascii="宋体" w:hAnsi="宋体" w:eastAsia="宋体" w:cs="宋体"/>
          <w:b/>
          <w:bCs/>
          <w:sz w:val="24"/>
          <w:szCs w:val="20"/>
          <w:lang w:val="zh-CN"/>
        </w:rPr>
      </w:pPr>
      <w:r>
        <w:rPr>
          <w:rFonts w:hint="eastAsia" w:ascii="宋体" w:hAnsi="宋体" w:eastAsia="宋体" w:cs="宋体"/>
          <w:b/>
          <w:bCs/>
          <w:sz w:val="24"/>
          <w:szCs w:val="20"/>
          <w:lang w:val="zh-CN"/>
        </w:rPr>
        <w:t>项目属性：货物类项目</w:t>
      </w:r>
    </w:p>
    <w:p w14:paraId="17A7F334">
      <w:pPr>
        <w:widowControl/>
        <w:spacing w:line="560" w:lineRule="exact"/>
        <w:ind w:firstLine="482"/>
        <w:jc w:val="left"/>
        <w:rPr>
          <w:rFonts w:ascii="宋体" w:hAnsi="宋体" w:eastAsia="Arial" w:cs="宋体"/>
          <w:sz w:val="24"/>
          <w:szCs w:val="20"/>
        </w:rPr>
      </w:pPr>
      <w:bookmarkStart w:id="164" w:name="_Toc8766"/>
      <w:r>
        <w:rPr>
          <w:rFonts w:hint="eastAsia" w:ascii="宋体" w:hAnsi="宋体" w:eastAsia="Arial" w:cs="宋体"/>
          <w:sz w:val="24"/>
          <w:szCs w:val="20"/>
        </w:rPr>
        <w:t>项目拟为8所学校选配</w:t>
      </w:r>
      <w:bookmarkStart w:id="165" w:name="OLE_LINK22"/>
      <w:bookmarkStart w:id="166" w:name="OLE_LINK23"/>
      <w:r>
        <w:rPr>
          <w:rFonts w:hint="eastAsia" w:ascii="宋体" w:hAnsi="宋体" w:eastAsia="Arial" w:cs="宋体"/>
          <w:sz w:val="24"/>
          <w:szCs w:val="20"/>
        </w:rPr>
        <w:t>智慧展示大屏、智慧操场、智慧游戏一体机、智慧体测一体机等4类设备</w:t>
      </w:r>
      <w:bookmarkEnd w:id="165"/>
      <w:bookmarkEnd w:id="166"/>
      <w:r>
        <w:rPr>
          <w:rFonts w:hint="eastAsia" w:ascii="宋体" w:hAnsi="宋体" w:eastAsia="Arial" w:cs="宋体"/>
          <w:sz w:val="24"/>
          <w:szCs w:val="20"/>
        </w:rPr>
        <w:t>，基本情况如下：</w:t>
      </w:r>
    </w:p>
    <w:tbl>
      <w:tblPr>
        <w:tblStyle w:val="40"/>
        <w:tblW w:w="8815" w:type="dxa"/>
        <w:jc w:val="center"/>
        <w:tblLayout w:type="autofit"/>
        <w:tblCellMar>
          <w:top w:w="0" w:type="dxa"/>
          <w:left w:w="108" w:type="dxa"/>
          <w:bottom w:w="0" w:type="dxa"/>
          <w:right w:w="108" w:type="dxa"/>
        </w:tblCellMar>
      </w:tblPr>
      <w:tblGrid>
        <w:gridCol w:w="728"/>
        <w:gridCol w:w="1899"/>
        <w:gridCol w:w="1006"/>
        <w:gridCol w:w="1157"/>
        <w:gridCol w:w="1074"/>
        <w:gridCol w:w="984"/>
        <w:gridCol w:w="1083"/>
        <w:gridCol w:w="884"/>
      </w:tblGrid>
      <w:tr w14:paraId="7C7842F9">
        <w:tblPrEx>
          <w:tblCellMar>
            <w:top w:w="0" w:type="dxa"/>
            <w:left w:w="108" w:type="dxa"/>
            <w:bottom w:w="0" w:type="dxa"/>
            <w:right w:w="108" w:type="dxa"/>
          </w:tblCellMar>
        </w:tblPrEx>
        <w:trPr>
          <w:trHeight w:val="1346" w:hRule="atLeast"/>
          <w:tblHeader/>
          <w:jc w:val="center"/>
        </w:trPr>
        <w:tc>
          <w:tcPr>
            <w:tcW w:w="728" w:type="dxa"/>
            <w:tcBorders>
              <w:top w:val="single" w:color="auto" w:sz="12" w:space="0"/>
              <w:left w:val="single" w:color="auto" w:sz="12" w:space="0"/>
              <w:bottom w:val="nil"/>
              <w:right w:val="nil"/>
            </w:tcBorders>
            <w:tcMar>
              <w:top w:w="-1" w:type="dxa"/>
              <w:left w:w="-1" w:type="dxa"/>
              <w:bottom w:w="-1" w:type="dxa"/>
              <w:right w:w="-1" w:type="dxa"/>
            </w:tcMar>
            <w:vAlign w:val="center"/>
          </w:tcPr>
          <w:p w14:paraId="32393491">
            <w:pPr>
              <w:widowControl/>
              <w:snapToGrid w:val="0"/>
              <w:jc w:val="center"/>
              <w:rPr>
                <w:rFonts w:ascii="宋体" w:hAnsi="宋体" w:eastAsia="宋体" w:cs="宋体"/>
                <w:bCs/>
                <w:color w:val="000000"/>
                <w:kern w:val="2"/>
                <w:sz w:val="24"/>
              </w:rPr>
            </w:pPr>
            <w:bookmarkStart w:id="167" w:name="OLE_LINK10"/>
            <w:bookmarkStart w:id="168" w:name="OLE_LINK4"/>
            <w:r>
              <w:rPr>
                <w:rFonts w:hint="eastAsia" w:ascii="宋体" w:hAnsi="宋体" w:eastAsia="宋体" w:cs="宋体"/>
                <w:bCs/>
                <w:color w:val="000000"/>
                <w:kern w:val="2"/>
                <w:sz w:val="24"/>
              </w:rPr>
              <w:t>序号</w:t>
            </w:r>
          </w:p>
        </w:tc>
        <w:tc>
          <w:tcPr>
            <w:tcW w:w="1899" w:type="dxa"/>
            <w:tcBorders>
              <w:top w:val="single" w:color="auto" w:sz="12" w:space="0"/>
              <w:left w:val="single" w:color="auto" w:sz="4" w:space="0"/>
              <w:bottom w:val="nil"/>
              <w:right w:val="nil"/>
            </w:tcBorders>
            <w:tcMar>
              <w:top w:w="-1" w:type="dxa"/>
              <w:left w:w="-1" w:type="dxa"/>
              <w:bottom w:w="-1" w:type="dxa"/>
              <w:right w:w="-1" w:type="dxa"/>
            </w:tcMar>
            <w:vAlign w:val="center"/>
          </w:tcPr>
          <w:p w14:paraId="5BE9A10F">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kern w:val="2"/>
                <w:sz w:val="24"/>
              </w:rPr>
              <w:t>学校名称</w:t>
            </w:r>
          </w:p>
        </w:tc>
        <w:tc>
          <w:tcPr>
            <w:tcW w:w="1006" w:type="dxa"/>
            <w:tcBorders>
              <w:top w:val="single" w:color="auto" w:sz="12" w:space="0"/>
              <w:left w:val="single" w:color="auto" w:sz="4" w:space="0"/>
              <w:bottom w:val="nil"/>
              <w:right w:val="nil"/>
            </w:tcBorders>
            <w:tcMar>
              <w:top w:w="-1" w:type="dxa"/>
              <w:left w:w="-1" w:type="dxa"/>
              <w:bottom w:w="-1" w:type="dxa"/>
              <w:right w:w="-1" w:type="dxa"/>
            </w:tcMar>
            <w:vAlign w:val="center"/>
          </w:tcPr>
          <w:p w14:paraId="20802312">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themeColor="text1"/>
                <w:sz w:val="24"/>
              </w:rPr>
              <w:t>拟智慧展示大屏数量</w:t>
            </w:r>
          </w:p>
        </w:tc>
        <w:tc>
          <w:tcPr>
            <w:tcW w:w="1157" w:type="dxa"/>
            <w:tcBorders>
              <w:top w:val="single" w:color="auto" w:sz="12" w:space="0"/>
              <w:left w:val="single" w:color="auto" w:sz="4" w:space="0"/>
              <w:bottom w:val="nil"/>
              <w:right w:val="nil"/>
            </w:tcBorders>
            <w:tcMar>
              <w:top w:w="-1" w:type="dxa"/>
              <w:left w:w="-1" w:type="dxa"/>
              <w:bottom w:w="-1" w:type="dxa"/>
              <w:right w:w="-1" w:type="dxa"/>
            </w:tcMar>
            <w:vAlign w:val="center"/>
          </w:tcPr>
          <w:p w14:paraId="2755DB4E">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kern w:val="2"/>
                <w:sz w:val="24"/>
              </w:rPr>
              <w:t>运动场长度</w:t>
            </w:r>
          </w:p>
        </w:tc>
        <w:tc>
          <w:tcPr>
            <w:tcW w:w="1074" w:type="dxa"/>
            <w:tcBorders>
              <w:top w:val="single" w:color="auto" w:sz="12" w:space="0"/>
              <w:left w:val="single" w:color="auto" w:sz="4" w:space="0"/>
              <w:bottom w:val="nil"/>
              <w:right w:val="nil"/>
            </w:tcBorders>
            <w:tcMar>
              <w:top w:w="-1" w:type="dxa"/>
              <w:left w:w="-1" w:type="dxa"/>
              <w:bottom w:w="-1" w:type="dxa"/>
              <w:right w:w="-1" w:type="dxa"/>
            </w:tcMar>
            <w:vAlign w:val="center"/>
          </w:tcPr>
          <w:p w14:paraId="053A3855">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kern w:val="2"/>
                <w:sz w:val="24"/>
              </w:rPr>
              <w:t>拟智慧操场数量</w:t>
            </w:r>
          </w:p>
        </w:tc>
        <w:tc>
          <w:tcPr>
            <w:tcW w:w="984" w:type="dxa"/>
            <w:tcBorders>
              <w:top w:val="single" w:color="auto" w:sz="12" w:space="0"/>
              <w:left w:val="single" w:color="auto" w:sz="4" w:space="0"/>
              <w:bottom w:val="nil"/>
              <w:right w:val="nil"/>
            </w:tcBorders>
            <w:tcMar>
              <w:top w:w="-1" w:type="dxa"/>
              <w:left w:w="-1" w:type="dxa"/>
              <w:bottom w:w="-1" w:type="dxa"/>
              <w:right w:w="-1" w:type="dxa"/>
            </w:tcMar>
            <w:vAlign w:val="center"/>
          </w:tcPr>
          <w:p w14:paraId="5BB6E03B">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themeColor="text1"/>
                <w:sz w:val="24"/>
              </w:rPr>
              <w:t>拟智慧游戏一体机数量</w:t>
            </w:r>
          </w:p>
        </w:tc>
        <w:tc>
          <w:tcPr>
            <w:tcW w:w="1083" w:type="dxa"/>
            <w:tcBorders>
              <w:top w:val="single" w:color="auto" w:sz="12" w:space="0"/>
              <w:left w:val="single" w:color="auto" w:sz="4" w:space="0"/>
              <w:bottom w:val="nil"/>
              <w:right w:val="nil"/>
            </w:tcBorders>
            <w:tcMar>
              <w:top w:w="-1" w:type="dxa"/>
              <w:left w:w="-1" w:type="dxa"/>
              <w:bottom w:w="-1" w:type="dxa"/>
              <w:right w:w="-1" w:type="dxa"/>
            </w:tcMar>
            <w:vAlign w:val="center"/>
          </w:tcPr>
          <w:p w14:paraId="3CEA61AF">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themeColor="text1"/>
                <w:sz w:val="24"/>
              </w:rPr>
              <w:t>拟智慧体测一体机数量</w:t>
            </w:r>
          </w:p>
        </w:tc>
        <w:tc>
          <w:tcPr>
            <w:tcW w:w="884" w:type="dxa"/>
            <w:tcBorders>
              <w:top w:val="single" w:color="auto" w:sz="12" w:space="0"/>
              <w:left w:val="single" w:color="auto" w:sz="4" w:space="0"/>
              <w:bottom w:val="nil"/>
              <w:right w:val="single" w:color="auto" w:sz="12" w:space="0"/>
            </w:tcBorders>
            <w:tcMar>
              <w:top w:w="-1" w:type="dxa"/>
              <w:left w:w="-1" w:type="dxa"/>
              <w:bottom w:w="-1" w:type="dxa"/>
              <w:right w:w="-1" w:type="dxa"/>
            </w:tcMar>
            <w:vAlign w:val="center"/>
          </w:tcPr>
          <w:p w14:paraId="58C92969">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kern w:val="2"/>
                <w:sz w:val="24"/>
              </w:rPr>
              <w:t>备注</w:t>
            </w:r>
          </w:p>
        </w:tc>
      </w:tr>
      <w:tr w14:paraId="09818AB5">
        <w:tblPrEx>
          <w:tblCellMar>
            <w:top w:w="0" w:type="dxa"/>
            <w:left w:w="108" w:type="dxa"/>
            <w:bottom w:w="0" w:type="dxa"/>
            <w:right w:w="108" w:type="dxa"/>
          </w:tblCellMar>
        </w:tblPrEx>
        <w:trPr>
          <w:trHeight w:val="702" w:hRule="atLeast"/>
          <w:jc w:val="center"/>
        </w:trPr>
        <w:tc>
          <w:tcPr>
            <w:tcW w:w="728" w:type="dxa"/>
            <w:tcBorders>
              <w:top w:val="single" w:color="auto" w:sz="4" w:space="0"/>
              <w:left w:val="single" w:color="auto" w:sz="12" w:space="0"/>
              <w:bottom w:val="nil"/>
              <w:right w:val="nil"/>
            </w:tcBorders>
            <w:tcMar>
              <w:top w:w="-1" w:type="dxa"/>
              <w:left w:w="-1" w:type="dxa"/>
              <w:bottom w:w="-1" w:type="dxa"/>
              <w:right w:w="-1" w:type="dxa"/>
            </w:tcMar>
            <w:vAlign w:val="center"/>
          </w:tcPr>
          <w:p w14:paraId="58D38B4E">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kern w:val="2"/>
                <w:sz w:val="24"/>
              </w:rPr>
              <w:t>1</w:t>
            </w:r>
          </w:p>
        </w:tc>
        <w:tc>
          <w:tcPr>
            <w:tcW w:w="1899" w:type="dxa"/>
            <w:tcBorders>
              <w:top w:val="single" w:color="auto" w:sz="4" w:space="0"/>
              <w:left w:val="single" w:color="auto" w:sz="4" w:space="0"/>
              <w:bottom w:val="nil"/>
              <w:right w:val="nil"/>
            </w:tcBorders>
            <w:tcMar>
              <w:top w:w="-1" w:type="dxa"/>
              <w:left w:w="-1" w:type="dxa"/>
              <w:bottom w:w="-1" w:type="dxa"/>
              <w:right w:w="-1" w:type="dxa"/>
            </w:tcMar>
            <w:vAlign w:val="center"/>
          </w:tcPr>
          <w:p w14:paraId="0C89547A">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kern w:val="2"/>
                <w:sz w:val="24"/>
              </w:rPr>
              <w:t>聚亨路小学</w:t>
            </w:r>
          </w:p>
        </w:tc>
        <w:tc>
          <w:tcPr>
            <w:tcW w:w="1006" w:type="dxa"/>
            <w:tcBorders>
              <w:top w:val="single" w:color="auto" w:sz="4" w:space="0"/>
              <w:left w:val="single" w:color="auto" w:sz="4" w:space="0"/>
              <w:bottom w:val="nil"/>
              <w:right w:val="nil"/>
            </w:tcBorders>
            <w:tcMar>
              <w:top w:w="-1" w:type="dxa"/>
              <w:left w:w="-1" w:type="dxa"/>
              <w:bottom w:w="-1" w:type="dxa"/>
              <w:right w:w="-1" w:type="dxa"/>
            </w:tcMar>
            <w:vAlign w:val="center"/>
          </w:tcPr>
          <w:p w14:paraId="5FAD4D9C">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kern w:val="2"/>
                <w:sz w:val="24"/>
              </w:rPr>
              <w:t>1</w:t>
            </w:r>
          </w:p>
        </w:tc>
        <w:tc>
          <w:tcPr>
            <w:tcW w:w="1157" w:type="dxa"/>
            <w:tcBorders>
              <w:top w:val="single" w:color="auto" w:sz="4" w:space="0"/>
              <w:left w:val="single" w:color="auto" w:sz="4" w:space="0"/>
              <w:bottom w:val="nil"/>
              <w:right w:val="nil"/>
            </w:tcBorders>
            <w:tcMar>
              <w:top w:w="-1" w:type="dxa"/>
              <w:left w:w="-1" w:type="dxa"/>
              <w:bottom w:w="-1" w:type="dxa"/>
              <w:right w:w="-1" w:type="dxa"/>
            </w:tcMar>
            <w:vAlign w:val="center"/>
          </w:tcPr>
          <w:p w14:paraId="687A78CF">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kern w:val="2"/>
                <w:sz w:val="24"/>
              </w:rPr>
              <w:t>200米</w:t>
            </w:r>
          </w:p>
        </w:tc>
        <w:tc>
          <w:tcPr>
            <w:tcW w:w="1074" w:type="dxa"/>
            <w:tcBorders>
              <w:top w:val="single" w:color="auto" w:sz="4" w:space="0"/>
              <w:left w:val="single" w:color="auto" w:sz="4" w:space="0"/>
              <w:bottom w:val="nil"/>
              <w:right w:val="nil"/>
            </w:tcBorders>
            <w:tcMar>
              <w:top w:w="-1" w:type="dxa"/>
              <w:left w:w="-1" w:type="dxa"/>
              <w:bottom w:w="-1" w:type="dxa"/>
              <w:right w:w="-1" w:type="dxa"/>
            </w:tcMar>
            <w:vAlign w:val="center"/>
          </w:tcPr>
          <w:p w14:paraId="36A179D3">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kern w:val="2"/>
                <w:sz w:val="24"/>
              </w:rPr>
              <w:t>1</w:t>
            </w:r>
          </w:p>
        </w:tc>
        <w:tc>
          <w:tcPr>
            <w:tcW w:w="984" w:type="dxa"/>
            <w:tcBorders>
              <w:top w:val="single" w:color="auto" w:sz="4" w:space="0"/>
              <w:left w:val="single" w:color="auto" w:sz="4" w:space="0"/>
              <w:bottom w:val="nil"/>
              <w:right w:val="nil"/>
            </w:tcBorders>
            <w:tcMar>
              <w:top w:w="-1" w:type="dxa"/>
              <w:left w:w="-1" w:type="dxa"/>
              <w:bottom w:w="-1" w:type="dxa"/>
              <w:right w:w="-1" w:type="dxa"/>
            </w:tcMar>
            <w:vAlign w:val="center"/>
          </w:tcPr>
          <w:p w14:paraId="7395E1E4">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kern w:val="2"/>
                <w:sz w:val="24"/>
              </w:rPr>
              <w:t>1</w:t>
            </w:r>
          </w:p>
        </w:tc>
        <w:tc>
          <w:tcPr>
            <w:tcW w:w="1083" w:type="dxa"/>
            <w:tcBorders>
              <w:top w:val="single" w:color="auto" w:sz="4" w:space="0"/>
              <w:left w:val="single" w:color="auto" w:sz="4" w:space="0"/>
              <w:bottom w:val="nil"/>
              <w:right w:val="nil"/>
            </w:tcBorders>
            <w:tcMar>
              <w:top w:w="-1" w:type="dxa"/>
              <w:left w:w="-1" w:type="dxa"/>
              <w:bottom w:w="-1" w:type="dxa"/>
              <w:right w:w="-1" w:type="dxa"/>
            </w:tcMar>
            <w:vAlign w:val="center"/>
          </w:tcPr>
          <w:p w14:paraId="041B6538">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kern w:val="2"/>
                <w:sz w:val="24"/>
              </w:rPr>
              <w:t>1</w:t>
            </w:r>
          </w:p>
        </w:tc>
        <w:tc>
          <w:tcPr>
            <w:tcW w:w="884" w:type="dxa"/>
            <w:tcBorders>
              <w:top w:val="single" w:color="auto" w:sz="4" w:space="0"/>
              <w:left w:val="single" w:color="auto" w:sz="4" w:space="0"/>
              <w:bottom w:val="nil"/>
              <w:right w:val="single" w:color="auto" w:sz="12" w:space="0"/>
            </w:tcBorders>
            <w:tcMar>
              <w:top w:w="-1" w:type="dxa"/>
              <w:left w:w="-1" w:type="dxa"/>
              <w:bottom w:w="-1" w:type="dxa"/>
              <w:right w:w="-1" w:type="dxa"/>
            </w:tcMar>
            <w:vAlign w:val="center"/>
          </w:tcPr>
          <w:p w14:paraId="5E9CC3BB">
            <w:pPr>
              <w:widowControl/>
              <w:snapToGrid w:val="0"/>
              <w:jc w:val="center"/>
              <w:rPr>
                <w:rFonts w:ascii="宋体" w:hAnsi="宋体" w:eastAsia="宋体" w:cs="宋体"/>
                <w:bCs/>
                <w:color w:val="000000"/>
                <w:kern w:val="2"/>
                <w:sz w:val="24"/>
              </w:rPr>
            </w:pPr>
          </w:p>
        </w:tc>
      </w:tr>
      <w:tr w14:paraId="465C1481">
        <w:tblPrEx>
          <w:tblCellMar>
            <w:top w:w="0" w:type="dxa"/>
            <w:left w:w="108" w:type="dxa"/>
            <w:bottom w:w="0" w:type="dxa"/>
            <w:right w:w="108" w:type="dxa"/>
          </w:tblCellMar>
        </w:tblPrEx>
        <w:trPr>
          <w:trHeight w:val="649" w:hRule="atLeast"/>
          <w:jc w:val="center"/>
        </w:trPr>
        <w:tc>
          <w:tcPr>
            <w:tcW w:w="728" w:type="dxa"/>
            <w:tcBorders>
              <w:top w:val="single" w:color="auto" w:sz="4" w:space="0"/>
              <w:left w:val="single" w:color="auto" w:sz="12" w:space="0"/>
              <w:bottom w:val="nil"/>
              <w:right w:val="nil"/>
            </w:tcBorders>
            <w:tcMar>
              <w:top w:w="-1" w:type="dxa"/>
              <w:left w:w="-1" w:type="dxa"/>
              <w:bottom w:w="-1" w:type="dxa"/>
              <w:right w:w="-1" w:type="dxa"/>
            </w:tcMar>
            <w:vAlign w:val="center"/>
          </w:tcPr>
          <w:p w14:paraId="51290844">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kern w:val="2"/>
                <w:sz w:val="24"/>
              </w:rPr>
              <w:t>2</w:t>
            </w:r>
          </w:p>
        </w:tc>
        <w:tc>
          <w:tcPr>
            <w:tcW w:w="1899" w:type="dxa"/>
            <w:tcBorders>
              <w:top w:val="single" w:color="auto" w:sz="4" w:space="0"/>
              <w:left w:val="single" w:color="auto" w:sz="4" w:space="0"/>
              <w:bottom w:val="nil"/>
              <w:right w:val="nil"/>
            </w:tcBorders>
            <w:tcMar>
              <w:top w:w="-1" w:type="dxa"/>
              <w:left w:w="-1" w:type="dxa"/>
              <w:bottom w:w="-1" w:type="dxa"/>
              <w:right w:w="-1" w:type="dxa"/>
            </w:tcMar>
            <w:vAlign w:val="center"/>
          </w:tcPr>
          <w:p w14:paraId="0D2CF1CC">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kern w:val="2"/>
                <w:sz w:val="24"/>
              </w:rPr>
              <w:t>串场河小学</w:t>
            </w:r>
          </w:p>
        </w:tc>
        <w:tc>
          <w:tcPr>
            <w:tcW w:w="1006" w:type="dxa"/>
            <w:tcBorders>
              <w:top w:val="single" w:color="auto" w:sz="4" w:space="0"/>
              <w:left w:val="single" w:color="auto" w:sz="4" w:space="0"/>
              <w:bottom w:val="nil"/>
              <w:right w:val="nil"/>
            </w:tcBorders>
            <w:tcMar>
              <w:top w:w="-1" w:type="dxa"/>
              <w:left w:w="-1" w:type="dxa"/>
              <w:bottom w:w="-1" w:type="dxa"/>
              <w:right w:w="-1" w:type="dxa"/>
            </w:tcMar>
            <w:vAlign w:val="center"/>
          </w:tcPr>
          <w:p w14:paraId="0B15750B">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kern w:val="2"/>
                <w:sz w:val="24"/>
              </w:rPr>
              <w:t>1</w:t>
            </w:r>
          </w:p>
        </w:tc>
        <w:tc>
          <w:tcPr>
            <w:tcW w:w="1157" w:type="dxa"/>
            <w:tcBorders>
              <w:top w:val="single" w:color="auto" w:sz="4" w:space="0"/>
              <w:left w:val="single" w:color="auto" w:sz="4" w:space="0"/>
              <w:bottom w:val="nil"/>
              <w:right w:val="nil"/>
            </w:tcBorders>
            <w:tcMar>
              <w:top w:w="-1" w:type="dxa"/>
              <w:left w:w="-1" w:type="dxa"/>
              <w:bottom w:w="-1" w:type="dxa"/>
              <w:right w:w="-1" w:type="dxa"/>
            </w:tcMar>
            <w:vAlign w:val="center"/>
          </w:tcPr>
          <w:p w14:paraId="28324DC1">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kern w:val="2"/>
                <w:sz w:val="24"/>
              </w:rPr>
              <w:t>200米</w:t>
            </w:r>
          </w:p>
        </w:tc>
        <w:tc>
          <w:tcPr>
            <w:tcW w:w="1074" w:type="dxa"/>
            <w:tcBorders>
              <w:top w:val="single" w:color="auto" w:sz="4" w:space="0"/>
              <w:left w:val="single" w:color="auto" w:sz="4" w:space="0"/>
              <w:bottom w:val="nil"/>
              <w:right w:val="nil"/>
            </w:tcBorders>
            <w:tcMar>
              <w:top w:w="-1" w:type="dxa"/>
              <w:left w:w="-1" w:type="dxa"/>
              <w:bottom w:w="-1" w:type="dxa"/>
              <w:right w:w="-1" w:type="dxa"/>
            </w:tcMar>
            <w:vAlign w:val="center"/>
          </w:tcPr>
          <w:p w14:paraId="171298A9">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kern w:val="2"/>
                <w:sz w:val="24"/>
              </w:rPr>
              <w:t>1</w:t>
            </w:r>
          </w:p>
        </w:tc>
        <w:tc>
          <w:tcPr>
            <w:tcW w:w="984" w:type="dxa"/>
            <w:tcBorders>
              <w:top w:val="single" w:color="auto" w:sz="4" w:space="0"/>
              <w:left w:val="single" w:color="auto" w:sz="4" w:space="0"/>
              <w:bottom w:val="nil"/>
              <w:right w:val="nil"/>
            </w:tcBorders>
            <w:tcMar>
              <w:top w:w="-1" w:type="dxa"/>
              <w:left w:w="-1" w:type="dxa"/>
              <w:bottom w:w="-1" w:type="dxa"/>
              <w:right w:w="-1" w:type="dxa"/>
            </w:tcMar>
            <w:vAlign w:val="center"/>
          </w:tcPr>
          <w:p w14:paraId="54E7C1F0">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kern w:val="2"/>
                <w:sz w:val="24"/>
              </w:rPr>
              <w:t>2</w:t>
            </w:r>
          </w:p>
        </w:tc>
        <w:tc>
          <w:tcPr>
            <w:tcW w:w="1083" w:type="dxa"/>
            <w:tcBorders>
              <w:top w:val="single" w:color="auto" w:sz="4" w:space="0"/>
              <w:left w:val="single" w:color="auto" w:sz="4" w:space="0"/>
              <w:bottom w:val="nil"/>
              <w:right w:val="nil"/>
            </w:tcBorders>
            <w:tcMar>
              <w:top w:w="-1" w:type="dxa"/>
              <w:left w:w="-1" w:type="dxa"/>
              <w:bottom w:w="-1" w:type="dxa"/>
              <w:right w:w="-1" w:type="dxa"/>
            </w:tcMar>
            <w:vAlign w:val="center"/>
          </w:tcPr>
          <w:p w14:paraId="45A577CE">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kern w:val="2"/>
                <w:sz w:val="24"/>
              </w:rPr>
              <w:t>1</w:t>
            </w:r>
          </w:p>
        </w:tc>
        <w:tc>
          <w:tcPr>
            <w:tcW w:w="884" w:type="dxa"/>
            <w:tcBorders>
              <w:top w:val="single" w:color="auto" w:sz="4" w:space="0"/>
              <w:left w:val="single" w:color="auto" w:sz="4" w:space="0"/>
              <w:bottom w:val="nil"/>
              <w:right w:val="single" w:color="auto" w:sz="12" w:space="0"/>
            </w:tcBorders>
            <w:tcMar>
              <w:top w:w="-1" w:type="dxa"/>
              <w:left w:w="-1" w:type="dxa"/>
              <w:bottom w:w="-1" w:type="dxa"/>
              <w:right w:w="-1" w:type="dxa"/>
            </w:tcMar>
            <w:vAlign w:val="center"/>
          </w:tcPr>
          <w:p w14:paraId="5E051590">
            <w:pPr>
              <w:widowControl/>
              <w:snapToGrid w:val="0"/>
              <w:jc w:val="center"/>
              <w:rPr>
                <w:rFonts w:ascii="宋体" w:hAnsi="宋体" w:eastAsia="宋体" w:cs="宋体"/>
                <w:bCs/>
                <w:color w:val="000000"/>
                <w:kern w:val="2"/>
                <w:sz w:val="24"/>
              </w:rPr>
            </w:pPr>
          </w:p>
        </w:tc>
      </w:tr>
      <w:tr w14:paraId="6416FFD5">
        <w:tblPrEx>
          <w:tblCellMar>
            <w:top w:w="0" w:type="dxa"/>
            <w:left w:w="108" w:type="dxa"/>
            <w:bottom w:w="0" w:type="dxa"/>
            <w:right w:w="108" w:type="dxa"/>
          </w:tblCellMar>
        </w:tblPrEx>
        <w:trPr>
          <w:trHeight w:val="658" w:hRule="atLeast"/>
          <w:jc w:val="center"/>
        </w:trPr>
        <w:tc>
          <w:tcPr>
            <w:tcW w:w="728" w:type="dxa"/>
            <w:tcBorders>
              <w:top w:val="single" w:color="auto" w:sz="4" w:space="0"/>
              <w:left w:val="single" w:color="auto" w:sz="12" w:space="0"/>
              <w:bottom w:val="nil"/>
              <w:right w:val="nil"/>
            </w:tcBorders>
            <w:tcMar>
              <w:top w:w="-1" w:type="dxa"/>
              <w:left w:w="-1" w:type="dxa"/>
              <w:bottom w:w="-1" w:type="dxa"/>
              <w:right w:w="-1" w:type="dxa"/>
            </w:tcMar>
            <w:vAlign w:val="center"/>
          </w:tcPr>
          <w:p w14:paraId="49192E41">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kern w:val="2"/>
                <w:sz w:val="24"/>
              </w:rPr>
              <w:t>3</w:t>
            </w:r>
          </w:p>
        </w:tc>
        <w:tc>
          <w:tcPr>
            <w:tcW w:w="1899" w:type="dxa"/>
            <w:tcBorders>
              <w:top w:val="single" w:color="auto" w:sz="4" w:space="0"/>
              <w:left w:val="single" w:color="auto" w:sz="4" w:space="0"/>
              <w:bottom w:val="nil"/>
              <w:right w:val="nil"/>
            </w:tcBorders>
            <w:tcMar>
              <w:top w:w="-1" w:type="dxa"/>
              <w:left w:w="-1" w:type="dxa"/>
              <w:bottom w:w="-1" w:type="dxa"/>
              <w:right w:w="-1" w:type="dxa"/>
            </w:tcMar>
            <w:vAlign w:val="center"/>
          </w:tcPr>
          <w:p w14:paraId="1D911571">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kern w:val="2"/>
                <w:sz w:val="24"/>
              </w:rPr>
              <w:t>盐城市第一小学</w:t>
            </w:r>
          </w:p>
        </w:tc>
        <w:tc>
          <w:tcPr>
            <w:tcW w:w="1006" w:type="dxa"/>
            <w:tcBorders>
              <w:top w:val="single" w:color="auto" w:sz="4" w:space="0"/>
              <w:left w:val="single" w:color="auto" w:sz="4" w:space="0"/>
              <w:bottom w:val="nil"/>
              <w:right w:val="nil"/>
            </w:tcBorders>
            <w:tcMar>
              <w:top w:w="-1" w:type="dxa"/>
              <w:left w:w="-1" w:type="dxa"/>
              <w:bottom w:w="-1" w:type="dxa"/>
              <w:right w:w="-1" w:type="dxa"/>
            </w:tcMar>
            <w:vAlign w:val="center"/>
          </w:tcPr>
          <w:p w14:paraId="2DDC8F5A">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kern w:val="2"/>
                <w:sz w:val="24"/>
              </w:rPr>
              <w:t>1</w:t>
            </w:r>
          </w:p>
        </w:tc>
        <w:tc>
          <w:tcPr>
            <w:tcW w:w="1157" w:type="dxa"/>
            <w:tcBorders>
              <w:top w:val="single" w:color="auto" w:sz="4" w:space="0"/>
              <w:left w:val="single" w:color="auto" w:sz="4" w:space="0"/>
              <w:bottom w:val="nil"/>
              <w:right w:val="nil"/>
            </w:tcBorders>
            <w:tcMar>
              <w:top w:w="-1" w:type="dxa"/>
              <w:left w:w="-1" w:type="dxa"/>
              <w:bottom w:w="-1" w:type="dxa"/>
              <w:right w:w="-1" w:type="dxa"/>
            </w:tcMar>
            <w:vAlign w:val="center"/>
          </w:tcPr>
          <w:p w14:paraId="2F9BC297">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kern w:val="2"/>
                <w:sz w:val="24"/>
              </w:rPr>
              <w:t>250米</w:t>
            </w:r>
          </w:p>
        </w:tc>
        <w:tc>
          <w:tcPr>
            <w:tcW w:w="1074" w:type="dxa"/>
            <w:tcBorders>
              <w:top w:val="single" w:color="auto" w:sz="4" w:space="0"/>
              <w:left w:val="single" w:color="auto" w:sz="4" w:space="0"/>
              <w:bottom w:val="nil"/>
              <w:right w:val="nil"/>
            </w:tcBorders>
            <w:tcMar>
              <w:top w:w="-1" w:type="dxa"/>
              <w:left w:w="-1" w:type="dxa"/>
              <w:bottom w:w="-1" w:type="dxa"/>
              <w:right w:w="-1" w:type="dxa"/>
            </w:tcMar>
            <w:vAlign w:val="center"/>
          </w:tcPr>
          <w:p w14:paraId="61BC1AD2">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kern w:val="2"/>
                <w:sz w:val="24"/>
              </w:rPr>
              <w:t>1</w:t>
            </w:r>
          </w:p>
        </w:tc>
        <w:tc>
          <w:tcPr>
            <w:tcW w:w="984" w:type="dxa"/>
            <w:tcBorders>
              <w:top w:val="single" w:color="auto" w:sz="4" w:space="0"/>
              <w:left w:val="single" w:color="auto" w:sz="4" w:space="0"/>
              <w:bottom w:val="nil"/>
              <w:right w:val="nil"/>
            </w:tcBorders>
            <w:tcMar>
              <w:top w:w="-1" w:type="dxa"/>
              <w:left w:w="-1" w:type="dxa"/>
              <w:bottom w:w="-1" w:type="dxa"/>
              <w:right w:w="-1" w:type="dxa"/>
            </w:tcMar>
            <w:vAlign w:val="center"/>
          </w:tcPr>
          <w:p w14:paraId="53942AFC">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kern w:val="2"/>
                <w:sz w:val="24"/>
              </w:rPr>
              <w:t>1</w:t>
            </w:r>
          </w:p>
        </w:tc>
        <w:tc>
          <w:tcPr>
            <w:tcW w:w="1083" w:type="dxa"/>
            <w:tcBorders>
              <w:top w:val="single" w:color="auto" w:sz="4" w:space="0"/>
              <w:left w:val="single" w:color="auto" w:sz="4" w:space="0"/>
              <w:bottom w:val="nil"/>
              <w:right w:val="nil"/>
            </w:tcBorders>
            <w:tcMar>
              <w:top w:w="-1" w:type="dxa"/>
              <w:left w:w="-1" w:type="dxa"/>
              <w:bottom w:w="-1" w:type="dxa"/>
              <w:right w:w="-1" w:type="dxa"/>
            </w:tcMar>
            <w:vAlign w:val="center"/>
          </w:tcPr>
          <w:p w14:paraId="569A2CC2">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kern w:val="2"/>
                <w:sz w:val="24"/>
              </w:rPr>
              <w:t>1</w:t>
            </w:r>
          </w:p>
        </w:tc>
        <w:tc>
          <w:tcPr>
            <w:tcW w:w="884" w:type="dxa"/>
            <w:tcBorders>
              <w:top w:val="single" w:color="auto" w:sz="4" w:space="0"/>
              <w:left w:val="single" w:color="auto" w:sz="4" w:space="0"/>
              <w:bottom w:val="nil"/>
              <w:right w:val="single" w:color="auto" w:sz="12" w:space="0"/>
            </w:tcBorders>
            <w:tcMar>
              <w:top w:w="-1" w:type="dxa"/>
              <w:left w:w="-1" w:type="dxa"/>
              <w:bottom w:w="-1" w:type="dxa"/>
              <w:right w:w="-1" w:type="dxa"/>
            </w:tcMar>
            <w:vAlign w:val="center"/>
          </w:tcPr>
          <w:p w14:paraId="4296904E">
            <w:pPr>
              <w:widowControl/>
              <w:snapToGrid w:val="0"/>
              <w:jc w:val="center"/>
              <w:rPr>
                <w:rFonts w:ascii="宋体" w:hAnsi="宋体" w:eastAsia="宋体" w:cs="宋体"/>
                <w:bCs/>
                <w:color w:val="000000"/>
                <w:kern w:val="2"/>
                <w:sz w:val="24"/>
              </w:rPr>
            </w:pPr>
          </w:p>
        </w:tc>
      </w:tr>
      <w:tr w14:paraId="3671729D">
        <w:tblPrEx>
          <w:tblCellMar>
            <w:top w:w="0" w:type="dxa"/>
            <w:left w:w="108" w:type="dxa"/>
            <w:bottom w:w="0" w:type="dxa"/>
            <w:right w:w="108" w:type="dxa"/>
          </w:tblCellMar>
        </w:tblPrEx>
        <w:trPr>
          <w:trHeight w:val="658" w:hRule="atLeast"/>
          <w:jc w:val="center"/>
        </w:trPr>
        <w:tc>
          <w:tcPr>
            <w:tcW w:w="728" w:type="dxa"/>
            <w:tcBorders>
              <w:top w:val="single" w:color="auto" w:sz="4" w:space="0"/>
              <w:left w:val="single" w:color="auto" w:sz="12" w:space="0"/>
              <w:bottom w:val="nil"/>
              <w:right w:val="nil"/>
            </w:tcBorders>
            <w:tcMar>
              <w:top w:w="-1" w:type="dxa"/>
              <w:left w:w="-1" w:type="dxa"/>
              <w:bottom w:w="-1" w:type="dxa"/>
              <w:right w:w="-1" w:type="dxa"/>
            </w:tcMar>
            <w:vAlign w:val="center"/>
          </w:tcPr>
          <w:p w14:paraId="60A8592B">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kern w:val="2"/>
                <w:sz w:val="24"/>
              </w:rPr>
              <w:t>4</w:t>
            </w:r>
          </w:p>
        </w:tc>
        <w:tc>
          <w:tcPr>
            <w:tcW w:w="1899" w:type="dxa"/>
            <w:tcBorders>
              <w:top w:val="single" w:color="auto" w:sz="4" w:space="0"/>
              <w:left w:val="single" w:color="auto" w:sz="4" w:space="0"/>
              <w:bottom w:val="nil"/>
              <w:right w:val="nil"/>
            </w:tcBorders>
            <w:tcMar>
              <w:top w:w="-1" w:type="dxa"/>
              <w:left w:w="-1" w:type="dxa"/>
              <w:bottom w:w="-1" w:type="dxa"/>
              <w:right w:w="-1" w:type="dxa"/>
            </w:tcMar>
            <w:vAlign w:val="center"/>
          </w:tcPr>
          <w:p w14:paraId="74DBF7B1">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kern w:val="2"/>
                <w:sz w:val="24"/>
              </w:rPr>
              <w:t>新都路实验学校</w:t>
            </w:r>
          </w:p>
        </w:tc>
        <w:tc>
          <w:tcPr>
            <w:tcW w:w="1006" w:type="dxa"/>
            <w:tcBorders>
              <w:top w:val="single" w:color="auto" w:sz="4" w:space="0"/>
              <w:left w:val="single" w:color="auto" w:sz="4" w:space="0"/>
              <w:bottom w:val="nil"/>
              <w:right w:val="nil"/>
            </w:tcBorders>
            <w:tcMar>
              <w:top w:w="-1" w:type="dxa"/>
              <w:left w:w="-1" w:type="dxa"/>
              <w:bottom w:w="-1" w:type="dxa"/>
              <w:right w:w="-1" w:type="dxa"/>
            </w:tcMar>
            <w:vAlign w:val="center"/>
          </w:tcPr>
          <w:p w14:paraId="2A86FDFC">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kern w:val="2"/>
                <w:sz w:val="24"/>
              </w:rPr>
              <w:t>1</w:t>
            </w:r>
          </w:p>
        </w:tc>
        <w:tc>
          <w:tcPr>
            <w:tcW w:w="1157" w:type="dxa"/>
            <w:tcBorders>
              <w:top w:val="single" w:color="auto" w:sz="4" w:space="0"/>
              <w:left w:val="single" w:color="auto" w:sz="4" w:space="0"/>
              <w:bottom w:val="nil"/>
              <w:right w:val="nil"/>
            </w:tcBorders>
            <w:tcMar>
              <w:top w:w="-1" w:type="dxa"/>
              <w:left w:w="-1" w:type="dxa"/>
              <w:bottom w:w="-1" w:type="dxa"/>
              <w:right w:w="-1" w:type="dxa"/>
            </w:tcMar>
            <w:vAlign w:val="center"/>
          </w:tcPr>
          <w:p w14:paraId="3A33A9D8">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kern w:val="2"/>
                <w:sz w:val="24"/>
              </w:rPr>
              <w:t>250米</w:t>
            </w:r>
          </w:p>
        </w:tc>
        <w:tc>
          <w:tcPr>
            <w:tcW w:w="1074" w:type="dxa"/>
            <w:tcBorders>
              <w:top w:val="single" w:color="auto" w:sz="4" w:space="0"/>
              <w:left w:val="single" w:color="auto" w:sz="4" w:space="0"/>
              <w:bottom w:val="nil"/>
              <w:right w:val="nil"/>
            </w:tcBorders>
            <w:tcMar>
              <w:top w:w="-1" w:type="dxa"/>
              <w:left w:w="-1" w:type="dxa"/>
              <w:bottom w:w="-1" w:type="dxa"/>
              <w:right w:w="-1" w:type="dxa"/>
            </w:tcMar>
            <w:vAlign w:val="center"/>
          </w:tcPr>
          <w:p w14:paraId="3F575D7E">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kern w:val="2"/>
                <w:sz w:val="24"/>
              </w:rPr>
              <w:t>1</w:t>
            </w:r>
          </w:p>
        </w:tc>
        <w:tc>
          <w:tcPr>
            <w:tcW w:w="984" w:type="dxa"/>
            <w:tcBorders>
              <w:top w:val="single" w:color="auto" w:sz="4" w:space="0"/>
              <w:left w:val="single" w:color="auto" w:sz="4" w:space="0"/>
              <w:bottom w:val="nil"/>
              <w:right w:val="nil"/>
            </w:tcBorders>
            <w:tcMar>
              <w:top w:w="-1" w:type="dxa"/>
              <w:left w:w="-1" w:type="dxa"/>
              <w:bottom w:w="-1" w:type="dxa"/>
              <w:right w:w="-1" w:type="dxa"/>
            </w:tcMar>
            <w:vAlign w:val="center"/>
          </w:tcPr>
          <w:p w14:paraId="2CD6D4F3">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kern w:val="2"/>
                <w:sz w:val="24"/>
              </w:rPr>
              <w:t>1</w:t>
            </w:r>
          </w:p>
        </w:tc>
        <w:tc>
          <w:tcPr>
            <w:tcW w:w="1083" w:type="dxa"/>
            <w:tcBorders>
              <w:top w:val="single" w:color="auto" w:sz="4" w:space="0"/>
              <w:left w:val="single" w:color="auto" w:sz="4" w:space="0"/>
              <w:bottom w:val="nil"/>
              <w:right w:val="nil"/>
            </w:tcBorders>
            <w:tcMar>
              <w:top w:w="-1" w:type="dxa"/>
              <w:left w:w="-1" w:type="dxa"/>
              <w:bottom w:w="-1" w:type="dxa"/>
              <w:right w:w="-1" w:type="dxa"/>
            </w:tcMar>
            <w:vAlign w:val="center"/>
          </w:tcPr>
          <w:p w14:paraId="76E74108">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kern w:val="2"/>
                <w:sz w:val="24"/>
              </w:rPr>
              <w:t>1</w:t>
            </w:r>
          </w:p>
        </w:tc>
        <w:tc>
          <w:tcPr>
            <w:tcW w:w="884" w:type="dxa"/>
            <w:tcBorders>
              <w:top w:val="single" w:color="auto" w:sz="4" w:space="0"/>
              <w:left w:val="single" w:color="auto" w:sz="4" w:space="0"/>
              <w:bottom w:val="nil"/>
              <w:right w:val="single" w:color="auto" w:sz="12" w:space="0"/>
            </w:tcBorders>
            <w:tcMar>
              <w:top w:w="-1" w:type="dxa"/>
              <w:left w:w="-1" w:type="dxa"/>
              <w:bottom w:w="-1" w:type="dxa"/>
              <w:right w:w="-1" w:type="dxa"/>
            </w:tcMar>
            <w:vAlign w:val="center"/>
          </w:tcPr>
          <w:p w14:paraId="797B76B4">
            <w:pPr>
              <w:widowControl/>
              <w:snapToGrid w:val="0"/>
              <w:jc w:val="center"/>
              <w:rPr>
                <w:rFonts w:ascii="宋体" w:hAnsi="宋体" w:eastAsia="宋体" w:cs="宋体"/>
                <w:bCs/>
                <w:color w:val="000000"/>
                <w:kern w:val="2"/>
                <w:sz w:val="24"/>
              </w:rPr>
            </w:pPr>
          </w:p>
        </w:tc>
      </w:tr>
      <w:tr w14:paraId="3A5EE3FB">
        <w:tblPrEx>
          <w:tblCellMar>
            <w:top w:w="0" w:type="dxa"/>
            <w:left w:w="108" w:type="dxa"/>
            <w:bottom w:w="0" w:type="dxa"/>
            <w:right w:w="108" w:type="dxa"/>
          </w:tblCellMar>
        </w:tblPrEx>
        <w:trPr>
          <w:trHeight w:val="658" w:hRule="atLeast"/>
          <w:jc w:val="center"/>
        </w:trPr>
        <w:tc>
          <w:tcPr>
            <w:tcW w:w="728" w:type="dxa"/>
            <w:tcBorders>
              <w:top w:val="single" w:color="auto" w:sz="4" w:space="0"/>
              <w:left w:val="single" w:color="auto" w:sz="12" w:space="0"/>
              <w:bottom w:val="nil"/>
              <w:right w:val="nil"/>
            </w:tcBorders>
            <w:tcMar>
              <w:top w:w="-1" w:type="dxa"/>
              <w:left w:w="-1" w:type="dxa"/>
              <w:bottom w:w="-1" w:type="dxa"/>
              <w:right w:w="-1" w:type="dxa"/>
            </w:tcMar>
            <w:vAlign w:val="center"/>
          </w:tcPr>
          <w:p w14:paraId="7B6A50D6">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kern w:val="2"/>
                <w:sz w:val="24"/>
              </w:rPr>
              <w:t>5</w:t>
            </w:r>
          </w:p>
        </w:tc>
        <w:tc>
          <w:tcPr>
            <w:tcW w:w="1899" w:type="dxa"/>
            <w:tcBorders>
              <w:top w:val="single" w:color="auto" w:sz="4" w:space="0"/>
              <w:left w:val="single" w:color="auto" w:sz="4" w:space="0"/>
              <w:bottom w:val="nil"/>
              <w:right w:val="nil"/>
            </w:tcBorders>
            <w:tcMar>
              <w:top w:w="-1" w:type="dxa"/>
              <w:left w:w="-1" w:type="dxa"/>
              <w:bottom w:w="-1" w:type="dxa"/>
              <w:right w:w="-1" w:type="dxa"/>
            </w:tcMar>
            <w:vAlign w:val="center"/>
          </w:tcPr>
          <w:p w14:paraId="1DE89F5D">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kern w:val="2"/>
                <w:sz w:val="24"/>
              </w:rPr>
              <w:t>盐渎实验学校</w:t>
            </w:r>
          </w:p>
        </w:tc>
        <w:tc>
          <w:tcPr>
            <w:tcW w:w="1006" w:type="dxa"/>
            <w:tcBorders>
              <w:top w:val="single" w:color="auto" w:sz="4" w:space="0"/>
              <w:left w:val="single" w:color="auto" w:sz="4" w:space="0"/>
              <w:bottom w:val="nil"/>
              <w:right w:val="nil"/>
            </w:tcBorders>
            <w:tcMar>
              <w:top w:w="-1" w:type="dxa"/>
              <w:left w:w="-1" w:type="dxa"/>
              <w:bottom w:w="-1" w:type="dxa"/>
              <w:right w:w="-1" w:type="dxa"/>
            </w:tcMar>
            <w:vAlign w:val="center"/>
          </w:tcPr>
          <w:p w14:paraId="77BAFDBA">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kern w:val="2"/>
                <w:sz w:val="24"/>
              </w:rPr>
              <w:t>1</w:t>
            </w:r>
          </w:p>
        </w:tc>
        <w:tc>
          <w:tcPr>
            <w:tcW w:w="1157" w:type="dxa"/>
            <w:tcBorders>
              <w:top w:val="single" w:color="auto" w:sz="4" w:space="0"/>
              <w:left w:val="single" w:color="auto" w:sz="4" w:space="0"/>
              <w:bottom w:val="nil"/>
              <w:right w:val="nil"/>
            </w:tcBorders>
            <w:tcMar>
              <w:top w:w="-1" w:type="dxa"/>
              <w:left w:w="-1" w:type="dxa"/>
              <w:bottom w:w="-1" w:type="dxa"/>
              <w:right w:w="-1" w:type="dxa"/>
            </w:tcMar>
            <w:vAlign w:val="center"/>
          </w:tcPr>
          <w:p w14:paraId="6828DCD8">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kern w:val="2"/>
                <w:sz w:val="24"/>
              </w:rPr>
              <w:t>400米</w:t>
            </w:r>
          </w:p>
        </w:tc>
        <w:tc>
          <w:tcPr>
            <w:tcW w:w="1074" w:type="dxa"/>
            <w:tcBorders>
              <w:top w:val="single" w:color="auto" w:sz="4" w:space="0"/>
              <w:left w:val="single" w:color="auto" w:sz="4" w:space="0"/>
              <w:bottom w:val="nil"/>
              <w:right w:val="nil"/>
            </w:tcBorders>
            <w:tcMar>
              <w:top w:w="-1" w:type="dxa"/>
              <w:left w:w="-1" w:type="dxa"/>
              <w:bottom w:w="-1" w:type="dxa"/>
              <w:right w:w="-1" w:type="dxa"/>
            </w:tcMar>
            <w:vAlign w:val="center"/>
          </w:tcPr>
          <w:p w14:paraId="710F5021">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kern w:val="2"/>
                <w:sz w:val="24"/>
              </w:rPr>
              <w:t>1</w:t>
            </w:r>
          </w:p>
        </w:tc>
        <w:tc>
          <w:tcPr>
            <w:tcW w:w="984" w:type="dxa"/>
            <w:tcBorders>
              <w:top w:val="single" w:color="auto" w:sz="4" w:space="0"/>
              <w:left w:val="single" w:color="auto" w:sz="4" w:space="0"/>
              <w:bottom w:val="nil"/>
              <w:right w:val="nil"/>
            </w:tcBorders>
            <w:tcMar>
              <w:top w:w="-1" w:type="dxa"/>
              <w:left w:w="-1" w:type="dxa"/>
              <w:bottom w:w="-1" w:type="dxa"/>
              <w:right w:w="-1" w:type="dxa"/>
            </w:tcMar>
            <w:vAlign w:val="center"/>
          </w:tcPr>
          <w:p w14:paraId="42AE73EC">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kern w:val="2"/>
                <w:sz w:val="24"/>
              </w:rPr>
              <w:t>1</w:t>
            </w:r>
          </w:p>
        </w:tc>
        <w:tc>
          <w:tcPr>
            <w:tcW w:w="1083" w:type="dxa"/>
            <w:tcBorders>
              <w:top w:val="single" w:color="auto" w:sz="4" w:space="0"/>
              <w:left w:val="single" w:color="auto" w:sz="4" w:space="0"/>
              <w:bottom w:val="nil"/>
              <w:right w:val="nil"/>
            </w:tcBorders>
            <w:tcMar>
              <w:top w:w="-1" w:type="dxa"/>
              <w:left w:w="-1" w:type="dxa"/>
              <w:bottom w:w="-1" w:type="dxa"/>
              <w:right w:w="-1" w:type="dxa"/>
            </w:tcMar>
            <w:vAlign w:val="center"/>
          </w:tcPr>
          <w:p w14:paraId="63563CF1">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kern w:val="2"/>
                <w:sz w:val="24"/>
              </w:rPr>
              <w:t>1</w:t>
            </w:r>
          </w:p>
        </w:tc>
        <w:tc>
          <w:tcPr>
            <w:tcW w:w="884" w:type="dxa"/>
            <w:tcBorders>
              <w:top w:val="single" w:color="auto" w:sz="4" w:space="0"/>
              <w:left w:val="single" w:color="auto" w:sz="4" w:space="0"/>
              <w:bottom w:val="nil"/>
              <w:right w:val="single" w:color="auto" w:sz="12" w:space="0"/>
            </w:tcBorders>
            <w:tcMar>
              <w:top w:w="-1" w:type="dxa"/>
              <w:left w:w="-1" w:type="dxa"/>
              <w:bottom w:w="-1" w:type="dxa"/>
              <w:right w:w="-1" w:type="dxa"/>
            </w:tcMar>
            <w:vAlign w:val="center"/>
          </w:tcPr>
          <w:p w14:paraId="5A05BD02">
            <w:pPr>
              <w:widowControl/>
              <w:snapToGrid w:val="0"/>
              <w:jc w:val="center"/>
              <w:rPr>
                <w:rFonts w:ascii="宋体" w:hAnsi="宋体" w:eastAsia="宋体" w:cs="宋体"/>
                <w:bCs/>
                <w:color w:val="000000"/>
                <w:kern w:val="2"/>
                <w:sz w:val="24"/>
              </w:rPr>
            </w:pPr>
          </w:p>
        </w:tc>
      </w:tr>
      <w:tr w14:paraId="58A0A00F">
        <w:tblPrEx>
          <w:tblCellMar>
            <w:top w:w="0" w:type="dxa"/>
            <w:left w:w="108" w:type="dxa"/>
            <w:bottom w:w="0" w:type="dxa"/>
            <w:right w:w="108" w:type="dxa"/>
          </w:tblCellMar>
        </w:tblPrEx>
        <w:trPr>
          <w:trHeight w:val="658" w:hRule="atLeast"/>
          <w:jc w:val="center"/>
        </w:trPr>
        <w:tc>
          <w:tcPr>
            <w:tcW w:w="728" w:type="dxa"/>
            <w:tcBorders>
              <w:top w:val="single" w:color="auto" w:sz="4" w:space="0"/>
              <w:left w:val="single" w:color="auto" w:sz="12" w:space="0"/>
              <w:bottom w:val="nil"/>
              <w:right w:val="nil"/>
            </w:tcBorders>
            <w:tcMar>
              <w:top w:w="-1" w:type="dxa"/>
              <w:left w:w="-1" w:type="dxa"/>
              <w:bottom w:w="-1" w:type="dxa"/>
              <w:right w:w="-1" w:type="dxa"/>
            </w:tcMar>
            <w:vAlign w:val="center"/>
          </w:tcPr>
          <w:p w14:paraId="7A107191">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kern w:val="2"/>
                <w:sz w:val="24"/>
              </w:rPr>
              <w:t>6</w:t>
            </w:r>
          </w:p>
        </w:tc>
        <w:tc>
          <w:tcPr>
            <w:tcW w:w="1899" w:type="dxa"/>
            <w:tcBorders>
              <w:top w:val="single" w:color="auto" w:sz="4" w:space="0"/>
              <w:left w:val="single" w:color="auto" w:sz="4" w:space="0"/>
              <w:bottom w:val="nil"/>
              <w:right w:val="nil"/>
            </w:tcBorders>
            <w:tcMar>
              <w:top w:w="-1" w:type="dxa"/>
              <w:left w:w="-1" w:type="dxa"/>
              <w:bottom w:w="-1" w:type="dxa"/>
              <w:right w:w="-1" w:type="dxa"/>
            </w:tcMar>
            <w:vAlign w:val="center"/>
          </w:tcPr>
          <w:p w14:paraId="53BB5188">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kern w:val="2"/>
                <w:sz w:val="24"/>
              </w:rPr>
              <w:t>鹿鸣路初级中学</w:t>
            </w:r>
          </w:p>
        </w:tc>
        <w:tc>
          <w:tcPr>
            <w:tcW w:w="1006" w:type="dxa"/>
            <w:tcBorders>
              <w:top w:val="single" w:color="auto" w:sz="4" w:space="0"/>
              <w:left w:val="single" w:color="auto" w:sz="4" w:space="0"/>
              <w:bottom w:val="nil"/>
              <w:right w:val="nil"/>
            </w:tcBorders>
            <w:tcMar>
              <w:top w:w="-1" w:type="dxa"/>
              <w:left w:w="-1" w:type="dxa"/>
              <w:bottom w:w="-1" w:type="dxa"/>
              <w:right w:w="-1" w:type="dxa"/>
            </w:tcMar>
            <w:vAlign w:val="center"/>
          </w:tcPr>
          <w:p w14:paraId="52337A54">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kern w:val="2"/>
                <w:sz w:val="24"/>
              </w:rPr>
              <w:t>1</w:t>
            </w:r>
          </w:p>
        </w:tc>
        <w:tc>
          <w:tcPr>
            <w:tcW w:w="1157" w:type="dxa"/>
            <w:tcBorders>
              <w:top w:val="single" w:color="auto" w:sz="4" w:space="0"/>
              <w:left w:val="single" w:color="auto" w:sz="4" w:space="0"/>
              <w:bottom w:val="nil"/>
              <w:right w:val="nil"/>
            </w:tcBorders>
            <w:tcMar>
              <w:top w:w="-1" w:type="dxa"/>
              <w:left w:w="-1" w:type="dxa"/>
              <w:bottom w:w="-1" w:type="dxa"/>
              <w:right w:w="-1" w:type="dxa"/>
            </w:tcMar>
            <w:vAlign w:val="center"/>
          </w:tcPr>
          <w:p w14:paraId="7EA96E66">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kern w:val="2"/>
                <w:sz w:val="24"/>
              </w:rPr>
              <w:t>400米</w:t>
            </w:r>
          </w:p>
        </w:tc>
        <w:tc>
          <w:tcPr>
            <w:tcW w:w="1074" w:type="dxa"/>
            <w:tcBorders>
              <w:top w:val="single" w:color="auto" w:sz="4" w:space="0"/>
              <w:left w:val="single" w:color="auto" w:sz="4" w:space="0"/>
              <w:bottom w:val="nil"/>
              <w:right w:val="nil"/>
            </w:tcBorders>
            <w:tcMar>
              <w:top w:w="-1" w:type="dxa"/>
              <w:left w:w="-1" w:type="dxa"/>
              <w:bottom w:w="-1" w:type="dxa"/>
              <w:right w:w="-1" w:type="dxa"/>
            </w:tcMar>
            <w:vAlign w:val="center"/>
          </w:tcPr>
          <w:p w14:paraId="135DA141">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kern w:val="2"/>
                <w:sz w:val="24"/>
              </w:rPr>
              <w:t>1</w:t>
            </w:r>
          </w:p>
        </w:tc>
        <w:tc>
          <w:tcPr>
            <w:tcW w:w="984" w:type="dxa"/>
            <w:tcBorders>
              <w:top w:val="single" w:color="auto" w:sz="4" w:space="0"/>
              <w:left w:val="single" w:color="auto" w:sz="4" w:space="0"/>
              <w:bottom w:val="nil"/>
              <w:right w:val="nil"/>
            </w:tcBorders>
            <w:tcMar>
              <w:top w:w="-1" w:type="dxa"/>
              <w:left w:w="-1" w:type="dxa"/>
              <w:bottom w:w="-1" w:type="dxa"/>
              <w:right w:w="-1" w:type="dxa"/>
            </w:tcMar>
            <w:vAlign w:val="center"/>
          </w:tcPr>
          <w:p w14:paraId="0AA02D3E">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kern w:val="2"/>
                <w:sz w:val="24"/>
              </w:rPr>
              <w:t>1</w:t>
            </w:r>
          </w:p>
        </w:tc>
        <w:tc>
          <w:tcPr>
            <w:tcW w:w="1083" w:type="dxa"/>
            <w:tcBorders>
              <w:top w:val="single" w:color="auto" w:sz="4" w:space="0"/>
              <w:left w:val="single" w:color="auto" w:sz="4" w:space="0"/>
              <w:bottom w:val="nil"/>
              <w:right w:val="nil"/>
            </w:tcBorders>
            <w:tcMar>
              <w:top w:w="-1" w:type="dxa"/>
              <w:left w:w="-1" w:type="dxa"/>
              <w:bottom w:w="-1" w:type="dxa"/>
              <w:right w:w="-1" w:type="dxa"/>
            </w:tcMar>
            <w:vAlign w:val="center"/>
          </w:tcPr>
          <w:p w14:paraId="59C77590">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kern w:val="2"/>
                <w:sz w:val="24"/>
              </w:rPr>
              <w:t>2</w:t>
            </w:r>
          </w:p>
        </w:tc>
        <w:tc>
          <w:tcPr>
            <w:tcW w:w="884" w:type="dxa"/>
            <w:tcBorders>
              <w:top w:val="single" w:color="auto" w:sz="4" w:space="0"/>
              <w:left w:val="single" w:color="auto" w:sz="4" w:space="0"/>
              <w:bottom w:val="nil"/>
              <w:right w:val="single" w:color="auto" w:sz="12" w:space="0"/>
            </w:tcBorders>
            <w:tcMar>
              <w:top w:w="-1" w:type="dxa"/>
              <w:left w:w="-1" w:type="dxa"/>
              <w:bottom w:w="-1" w:type="dxa"/>
              <w:right w:w="-1" w:type="dxa"/>
            </w:tcMar>
            <w:vAlign w:val="center"/>
          </w:tcPr>
          <w:p w14:paraId="77A0168D">
            <w:pPr>
              <w:widowControl/>
              <w:snapToGrid w:val="0"/>
              <w:jc w:val="center"/>
              <w:rPr>
                <w:rFonts w:ascii="宋体" w:hAnsi="宋体" w:eastAsia="宋体" w:cs="宋体"/>
                <w:bCs/>
                <w:color w:val="000000"/>
                <w:kern w:val="2"/>
                <w:sz w:val="24"/>
              </w:rPr>
            </w:pPr>
          </w:p>
        </w:tc>
      </w:tr>
      <w:tr w14:paraId="58975E76">
        <w:tblPrEx>
          <w:tblCellMar>
            <w:top w:w="0" w:type="dxa"/>
            <w:left w:w="108" w:type="dxa"/>
            <w:bottom w:w="0" w:type="dxa"/>
            <w:right w:w="108" w:type="dxa"/>
          </w:tblCellMar>
        </w:tblPrEx>
        <w:trPr>
          <w:trHeight w:val="658" w:hRule="atLeast"/>
          <w:jc w:val="center"/>
        </w:trPr>
        <w:tc>
          <w:tcPr>
            <w:tcW w:w="728" w:type="dxa"/>
            <w:tcBorders>
              <w:top w:val="single" w:color="auto" w:sz="4" w:space="0"/>
              <w:left w:val="single" w:color="auto" w:sz="12" w:space="0"/>
              <w:bottom w:val="nil"/>
              <w:right w:val="nil"/>
            </w:tcBorders>
            <w:tcMar>
              <w:top w:w="-1" w:type="dxa"/>
              <w:left w:w="-1" w:type="dxa"/>
              <w:bottom w:w="-1" w:type="dxa"/>
              <w:right w:w="-1" w:type="dxa"/>
            </w:tcMar>
            <w:vAlign w:val="center"/>
          </w:tcPr>
          <w:p w14:paraId="6CC7DB39">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kern w:val="2"/>
                <w:sz w:val="24"/>
              </w:rPr>
              <w:t>7</w:t>
            </w:r>
          </w:p>
        </w:tc>
        <w:tc>
          <w:tcPr>
            <w:tcW w:w="1899" w:type="dxa"/>
            <w:tcBorders>
              <w:top w:val="single" w:color="auto" w:sz="4" w:space="0"/>
              <w:left w:val="single" w:color="auto" w:sz="4" w:space="0"/>
              <w:bottom w:val="nil"/>
              <w:right w:val="nil"/>
            </w:tcBorders>
            <w:tcMar>
              <w:top w:w="-1" w:type="dxa"/>
              <w:left w:w="-1" w:type="dxa"/>
              <w:bottom w:w="-1" w:type="dxa"/>
              <w:right w:w="-1" w:type="dxa"/>
            </w:tcMar>
            <w:vAlign w:val="center"/>
          </w:tcPr>
          <w:p w14:paraId="64FCA6CB">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kern w:val="2"/>
                <w:sz w:val="24"/>
              </w:rPr>
              <w:t>康居路初级中学</w:t>
            </w:r>
          </w:p>
        </w:tc>
        <w:tc>
          <w:tcPr>
            <w:tcW w:w="1006" w:type="dxa"/>
            <w:tcBorders>
              <w:top w:val="single" w:color="auto" w:sz="4" w:space="0"/>
              <w:left w:val="single" w:color="auto" w:sz="4" w:space="0"/>
              <w:bottom w:val="nil"/>
              <w:right w:val="nil"/>
            </w:tcBorders>
            <w:tcMar>
              <w:top w:w="-1" w:type="dxa"/>
              <w:left w:w="-1" w:type="dxa"/>
              <w:bottom w:w="-1" w:type="dxa"/>
              <w:right w:w="-1" w:type="dxa"/>
            </w:tcMar>
            <w:vAlign w:val="center"/>
          </w:tcPr>
          <w:p w14:paraId="7D741E14">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kern w:val="2"/>
                <w:sz w:val="24"/>
              </w:rPr>
              <w:t>1</w:t>
            </w:r>
          </w:p>
        </w:tc>
        <w:tc>
          <w:tcPr>
            <w:tcW w:w="1157" w:type="dxa"/>
            <w:tcBorders>
              <w:top w:val="single" w:color="auto" w:sz="4" w:space="0"/>
              <w:left w:val="single" w:color="auto" w:sz="4" w:space="0"/>
              <w:bottom w:val="nil"/>
              <w:right w:val="nil"/>
            </w:tcBorders>
            <w:tcMar>
              <w:top w:w="-1" w:type="dxa"/>
              <w:left w:w="-1" w:type="dxa"/>
              <w:bottom w:w="-1" w:type="dxa"/>
              <w:right w:w="-1" w:type="dxa"/>
            </w:tcMar>
            <w:vAlign w:val="center"/>
          </w:tcPr>
          <w:p w14:paraId="6081F2B5">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kern w:val="2"/>
                <w:sz w:val="24"/>
              </w:rPr>
              <w:t>400米</w:t>
            </w:r>
          </w:p>
        </w:tc>
        <w:tc>
          <w:tcPr>
            <w:tcW w:w="1074" w:type="dxa"/>
            <w:tcBorders>
              <w:top w:val="single" w:color="auto" w:sz="4" w:space="0"/>
              <w:left w:val="single" w:color="auto" w:sz="4" w:space="0"/>
              <w:bottom w:val="nil"/>
              <w:right w:val="nil"/>
            </w:tcBorders>
            <w:tcMar>
              <w:top w:w="-1" w:type="dxa"/>
              <w:left w:w="-1" w:type="dxa"/>
              <w:bottom w:w="-1" w:type="dxa"/>
              <w:right w:w="-1" w:type="dxa"/>
            </w:tcMar>
            <w:vAlign w:val="center"/>
          </w:tcPr>
          <w:p w14:paraId="0ADAB8B9">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kern w:val="2"/>
                <w:sz w:val="24"/>
              </w:rPr>
              <w:t>1</w:t>
            </w:r>
          </w:p>
        </w:tc>
        <w:tc>
          <w:tcPr>
            <w:tcW w:w="984" w:type="dxa"/>
            <w:tcBorders>
              <w:top w:val="single" w:color="auto" w:sz="4" w:space="0"/>
              <w:left w:val="single" w:color="auto" w:sz="4" w:space="0"/>
              <w:bottom w:val="nil"/>
              <w:right w:val="nil"/>
            </w:tcBorders>
            <w:tcMar>
              <w:top w:w="-1" w:type="dxa"/>
              <w:left w:w="-1" w:type="dxa"/>
              <w:bottom w:w="-1" w:type="dxa"/>
              <w:right w:w="-1" w:type="dxa"/>
            </w:tcMar>
            <w:vAlign w:val="center"/>
          </w:tcPr>
          <w:p w14:paraId="440C4571">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kern w:val="2"/>
                <w:sz w:val="24"/>
              </w:rPr>
              <w:t>1</w:t>
            </w:r>
          </w:p>
        </w:tc>
        <w:tc>
          <w:tcPr>
            <w:tcW w:w="1083" w:type="dxa"/>
            <w:tcBorders>
              <w:top w:val="single" w:color="auto" w:sz="4" w:space="0"/>
              <w:left w:val="single" w:color="auto" w:sz="4" w:space="0"/>
              <w:bottom w:val="nil"/>
              <w:right w:val="nil"/>
            </w:tcBorders>
            <w:tcMar>
              <w:top w:w="-1" w:type="dxa"/>
              <w:left w:w="-1" w:type="dxa"/>
              <w:bottom w:w="-1" w:type="dxa"/>
              <w:right w:w="-1" w:type="dxa"/>
            </w:tcMar>
            <w:vAlign w:val="center"/>
          </w:tcPr>
          <w:p w14:paraId="72D4B816">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kern w:val="2"/>
                <w:sz w:val="24"/>
              </w:rPr>
              <w:t>1</w:t>
            </w:r>
          </w:p>
        </w:tc>
        <w:tc>
          <w:tcPr>
            <w:tcW w:w="884" w:type="dxa"/>
            <w:tcBorders>
              <w:top w:val="single" w:color="auto" w:sz="4" w:space="0"/>
              <w:left w:val="single" w:color="auto" w:sz="4" w:space="0"/>
              <w:bottom w:val="nil"/>
              <w:right w:val="single" w:color="auto" w:sz="12" w:space="0"/>
            </w:tcBorders>
            <w:tcMar>
              <w:top w:w="-1" w:type="dxa"/>
              <w:left w:w="-1" w:type="dxa"/>
              <w:bottom w:w="-1" w:type="dxa"/>
              <w:right w:w="-1" w:type="dxa"/>
            </w:tcMar>
            <w:vAlign w:val="center"/>
          </w:tcPr>
          <w:p w14:paraId="57577750">
            <w:pPr>
              <w:widowControl/>
              <w:snapToGrid w:val="0"/>
              <w:jc w:val="center"/>
              <w:rPr>
                <w:rFonts w:ascii="宋体" w:hAnsi="宋体" w:eastAsia="宋体" w:cs="宋体"/>
                <w:bCs/>
                <w:color w:val="000000"/>
                <w:kern w:val="2"/>
                <w:sz w:val="24"/>
              </w:rPr>
            </w:pPr>
          </w:p>
        </w:tc>
      </w:tr>
      <w:tr w14:paraId="4A79B61E">
        <w:tblPrEx>
          <w:tblCellMar>
            <w:top w:w="0" w:type="dxa"/>
            <w:left w:w="108" w:type="dxa"/>
            <w:bottom w:w="0" w:type="dxa"/>
            <w:right w:w="108" w:type="dxa"/>
          </w:tblCellMar>
        </w:tblPrEx>
        <w:trPr>
          <w:trHeight w:val="746" w:hRule="atLeast"/>
          <w:jc w:val="center"/>
        </w:trPr>
        <w:tc>
          <w:tcPr>
            <w:tcW w:w="728" w:type="dxa"/>
            <w:tcBorders>
              <w:top w:val="single" w:color="auto" w:sz="4" w:space="0"/>
              <w:left w:val="single" w:color="auto" w:sz="12" w:space="0"/>
              <w:bottom w:val="single" w:color="auto" w:sz="12" w:space="0"/>
              <w:right w:val="nil"/>
            </w:tcBorders>
            <w:tcMar>
              <w:top w:w="-1" w:type="dxa"/>
              <w:left w:w="-1" w:type="dxa"/>
              <w:bottom w:w="-1" w:type="dxa"/>
              <w:right w:w="-1" w:type="dxa"/>
            </w:tcMar>
            <w:vAlign w:val="center"/>
          </w:tcPr>
          <w:p w14:paraId="6A0549C7">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kern w:val="2"/>
                <w:sz w:val="24"/>
              </w:rPr>
              <w:t>8</w:t>
            </w:r>
          </w:p>
        </w:tc>
        <w:tc>
          <w:tcPr>
            <w:tcW w:w="1899" w:type="dxa"/>
            <w:tcBorders>
              <w:top w:val="single" w:color="auto" w:sz="4" w:space="0"/>
              <w:left w:val="single" w:color="auto" w:sz="4" w:space="0"/>
              <w:bottom w:val="single" w:color="auto" w:sz="12" w:space="0"/>
              <w:right w:val="nil"/>
            </w:tcBorders>
            <w:tcMar>
              <w:top w:w="-1" w:type="dxa"/>
              <w:left w:w="-1" w:type="dxa"/>
              <w:bottom w:w="-1" w:type="dxa"/>
              <w:right w:w="-1" w:type="dxa"/>
            </w:tcMar>
            <w:vAlign w:val="center"/>
          </w:tcPr>
          <w:p w14:paraId="68867DB0">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kern w:val="2"/>
                <w:sz w:val="24"/>
              </w:rPr>
              <w:t>盐城市初级中学</w:t>
            </w:r>
          </w:p>
        </w:tc>
        <w:tc>
          <w:tcPr>
            <w:tcW w:w="1006" w:type="dxa"/>
            <w:tcBorders>
              <w:top w:val="single" w:color="auto" w:sz="4" w:space="0"/>
              <w:left w:val="single" w:color="auto" w:sz="4" w:space="0"/>
              <w:bottom w:val="single" w:color="auto" w:sz="12" w:space="0"/>
              <w:right w:val="nil"/>
            </w:tcBorders>
            <w:tcMar>
              <w:top w:w="-1" w:type="dxa"/>
              <w:left w:w="-1" w:type="dxa"/>
              <w:bottom w:w="-1" w:type="dxa"/>
              <w:right w:w="-1" w:type="dxa"/>
            </w:tcMar>
            <w:vAlign w:val="center"/>
          </w:tcPr>
          <w:p w14:paraId="3A5D0D3E">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kern w:val="2"/>
                <w:sz w:val="24"/>
              </w:rPr>
              <w:t>1</w:t>
            </w:r>
          </w:p>
        </w:tc>
        <w:tc>
          <w:tcPr>
            <w:tcW w:w="1157" w:type="dxa"/>
            <w:tcBorders>
              <w:top w:val="single" w:color="auto" w:sz="4" w:space="0"/>
              <w:left w:val="single" w:color="auto" w:sz="4" w:space="0"/>
              <w:bottom w:val="single" w:color="auto" w:sz="12" w:space="0"/>
              <w:right w:val="nil"/>
            </w:tcBorders>
            <w:tcMar>
              <w:top w:w="-1" w:type="dxa"/>
              <w:left w:w="-1" w:type="dxa"/>
              <w:bottom w:w="-1" w:type="dxa"/>
              <w:right w:w="-1" w:type="dxa"/>
            </w:tcMar>
            <w:vAlign w:val="center"/>
          </w:tcPr>
          <w:p w14:paraId="760C186F">
            <w:pPr>
              <w:widowControl/>
              <w:snapToGrid w:val="0"/>
              <w:jc w:val="center"/>
              <w:rPr>
                <w:rFonts w:ascii="宋体" w:hAnsi="宋体" w:eastAsia="宋体" w:cs="宋体"/>
                <w:bCs/>
                <w:color w:val="000000"/>
                <w:kern w:val="2"/>
                <w:sz w:val="24"/>
              </w:rPr>
            </w:pPr>
          </w:p>
        </w:tc>
        <w:tc>
          <w:tcPr>
            <w:tcW w:w="1074" w:type="dxa"/>
            <w:tcBorders>
              <w:top w:val="single" w:color="auto" w:sz="4" w:space="0"/>
              <w:left w:val="single" w:color="auto" w:sz="4" w:space="0"/>
              <w:bottom w:val="single" w:color="auto" w:sz="12" w:space="0"/>
              <w:right w:val="nil"/>
            </w:tcBorders>
            <w:tcMar>
              <w:top w:w="-1" w:type="dxa"/>
              <w:left w:w="-1" w:type="dxa"/>
              <w:bottom w:w="-1" w:type="dxa"/>
              <w:right w:w="-1" w:type="dxa"/>
            </w:tcMar>
            <w:vAlign w:val="center"/>
          </w:tcPr>
          <w:p w14:paraId="22D4D5E1">
            <w:pPr>
              <w:widowControl/>
              <w:snapToGrid w:val="0"/>
              <w:jc w:val="center"/>
              <w:rPr>
                <w:rFonts w:ascii="宋体" w:hAnsi="宋体" w:eastAsia="宋体" w:cs="宋体"/>
                <w:bCs/>
                <w:color w:val="000000"/>
                <w:kern w:val="2"/>
                <w:sz w:val="24"/>
              </w:rPr>
            </w:pPr>
          </w:p>
        </w:tc>
        <w:tc>
          <w:tcPr>
            <w:tcW w:w="984" w:type="dxa"/>
            <w:tcBorders>
              <w:top w:val="single" w:color="auto" w:sz="4" w:space="0"/>
              <w:left w:val="single" w:color="auto" w:sz="4" w:space="0"/>
              <w:bottom w:val="single" w:color="auto" w:sz="12" w:space="0"/>
              <w:right w:val="nil"/>
            </w:tcBorders>
            <w:tcMar>
              <w:top w:w="-1" w:type="dxa"/>
              <w:left w:w="-1" w:type="dxa"/>
              <w:bottom w:w="-1" w:type="dxa"/>
              <w:right w:w="-1" w:type="dxa"/>
            </w:tcMar>
            <w:vAlign w:val="center"/>
          </w:tcPr>
          <w:p w14:paraId="685A4D7B">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kern w:val="2"/>
                <w:sz w:val="24"/>
              </w:rPr>
              <w:t>1</w:t>
            </w:r>
          </w:p>
        </w:tc>
        <w:tc>
          <w:tcPr>
            <w:tcW w:w="1083" w:type="dxa"/>
            <w:tcBorders>
              <w:top w:val="single" w:color="auto" w:sz="4" w:space="0"/>
              <w:left w:val="single" w:color="auto" w:sz="4" w:space="0"/>
              <w:bottom w:val="single" w:color="auto" w:sz="12" w:space="0"/>
              <w:right w:val="nil"/>
            </w:tcBorders>
            <w:tcMar>
              <w:top w:w="-1" w:type="dxa"/>
              <w:left w:w="-1" w:type="dxa"/>
              <w:bottom w:w="-1" w:type="dxa"/>
              <w:right w:w="-1" w:type="dxa"/>
            </w:tcMar>
            <w:vAlign w:val="center"/>
          </w:tcPr>
          <w:p w14:paraId="03F0DB7A">
            <w:pPr>
              <w:widowControl/>
              <w:snapToGrid w:val="0"/>
              <w:jc w:val="center"/>
              <w:rPr>
                <w:rFonts w:ascii="宋体" w:hAnsi="宋体" w:eastAsia="宋体" w:cs="宋体"/>
                <w:bCs/>
                <w:color w:val="000000"/>
                <w:kern w:val="2"/>
                <w:sz w:val="24"/>
              </w:rPr>
            </w:pPr>
            <w:r>
              <w:rPr>
                <w:rFonts w:hint="eastAsia" w:ascii="宋体" w:hAnsi="宋体" w:eastAsia="宋体" w:cs="宋体"/>
                <w:bCs/>
                <w:color w:val="000000"/>
                <w:kern w:val="2"/>
                <w:sz w:val="24"/>
              </w:rPr>
              <w:t>1</w:t>
            </w:r>
          </w:p>
        </w:tc>
        <w:tc>
          <w:tcPr>
            <w:tcW w:w="884" w:type="dxa"/>
            <w:tcBorders>
              <w:top w:val="single" w:color="auto" w:sz="4" w:space="0"/>
              <w:left w:val="single" w:color="auto" w:sz="4" w:space="0"/>
              <w:bottom w:val="single" w:color="auto" w:sz="12" w:space="0"/>
              <w:right w:val="single" w:color="auto" w:sz="12" w:space="0"/>
            </w:tcBorders>
            <w:tcMar>
              <w:top w:w="-1" w:type="dxa"/>
              <w:left w:w="-1" w:type="dxa"/>
              <w:bottom w:w="-1" w:type="dxa"/>
              <w:right w:w="-1" w:type="dxa"/>
            </w:tcMar>
            <w:vAlign w:val="center"/>
          </w:tcPr>
          <w:p w14:paraId="564CE4CA">
            <w:pPr>
              <w:widowControl/>
              <w:snapToGrid w:val="0"/>
              <w:jc w:val="center"/>
              <w:rPr>
                <w:rFonts w:ascii="宋体" w:hAnsi="宋体" w:eastAsia="宋体" w:cs="宋体"/>
                <w:bCs/>
                <w:color w:val="000000"/>
                <w:kern w:val="2"/>
                <w:sz w:val="24"/>
              </w:rPr>
            </w:pPr>
          </w:p>
        </w:tc>
      </w:tr>
      <w:bookmarkEnd w:id="167"/>
      <w:bookmarkEnd w:id="168"/>
    </w:tbl>
    <w:p w14:paraId="57BAB569">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1. 符合《中小学体育场地建设标准》，满足中小学体育课堂、大课间活动常态化使用需求；</w:t>
      </w:r>
      <w:r>
        <w:rPr>
          <w:rFonts w:hint="eastAsia" w:ascii="宋体" w:hAnsi="宋体" w:eastAsia="宋体" w:cs="宋体"/>
          <w:sz w:val="24"/>
          <w:szCs w:val="20"/>
        </w:rPr>
        <w:br w:type="textWrapping"/>
      </w:r>
      <w:r>
        <w:rPr>
          <w:rFonts w:hint="eastAsia" w:ascii="宋体" w:hAnsi="宋体" w:eastAsia="宋体" w:cs="宋体"/>
          <w:sz w:val="24"/>
          <w:szCs w:val="20"/>
        </w:rPr>
        <w:t xml:space="preserve">    2. 计时精度符合国家学生体质健康标准测试要求；</w:t>
      </w:r>
    </w:p>
    <w:p w14:paraId="15A2849A">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3</w:t>
      </w:r>
      <w:bookmarkStart w:id="169" w:name="OLE_LINK52"/>
      <w:r>
        <w:rPr>
          <w:rFonts w:hint="eastAsia" w:ascii="宋体" w:hAnsi="宋体" w:eastAsia="宋体" w:cs="宋体"/>
          <w:sz w:val="24"/>
          <w:szCs w:val="20"/>
        </w:rPr>
        <w:t xml:space="preserve">. </w:t>
      </w:r>
      <w:bookmarkEnd w:id="169"/>
      <w:r>
        <w:rPr>
          <w:rFonts w:hint="eastAsia" w:ascii="宋体" w:hAnsi="宋体" w:eastAsia="宋体" w:cs="宋体"/>
          <w:sz w:val="24"/>
          <w:szCs w:val="20"/>
        </w:rPr>
        <w:t>本项目中如涉及国家强制性产品认证证书（CCC认证证书）、电信设备进网许可证、无线电发射设备核准证等市场准入类资质的，应严格执行国家相关法律法规的要求。</w:t>
      </w:r>
    </w:p>
    <w:p w14:paraId="027B8169">
      <w:pPr>
        <w:widowControl/>
        <w:spacing w:line="560" w:lineRule="exact"/>
        <w:ind w:firstLine="482"/>
        <w:jc w:val="left"/>
        <w:rPr>
          <w:rFonts w:ascii="宋体" w:hAnsi="宋体" w:eastAsia="宋体" w:cs="宋体"/>
          <w:b/>
          <w:bCs/>
          <w:sz w:val="24"/>
          <w:szCs w:val="20"/>
        </w:rPr>
      </w:pPr>
      <w:r>
        <w:rPr>
          <w:rFonts w:hint="eastAsia" w:ascii="宋体" w:hAnsi="宋体" w:eastAsia="宋体" w:cs="宋体"/>
          <w:b/>
          <w:bCs/>
          <w:sz w:val="24"/>
          <w:szCs w:val="20"/>
        </w:rPr>
        <w:t>一、技术要求：</w:t>
      </w:r>
    </w:p>
    <w:p w14:paraId="3B9708FB">
      <w:pPr>
        <w:widowControl/>
        <w:spacing w:line="560" w:lineRule="exact"/>
        <w:ind w:firstLine="482"/>
        <w:jc w:val="left"/>
        <w:rPr>
          <w:rFonts w:ascii="宋体" w:hAnsi="宋体" w:eastAsia="宋体" w:cs="宋体"/>
          <w:b/>
          <w:bCs/>
          <w:sz w:val="24"/>
          <w:szCs w:val="20"/>
        </w:rPr>
      </w:pPr>
      <w:bookmarkStart w:id="170" w:name="OLE_LINK2"/>
      <w:bookmarkStart w:id="171" w:name="OLE_LINK1"/>
      <w:r>
        <w:rPr>
          <w:rFonts w:hint="eastAsia" w:ascii="宋体" w:hAnsi="宋体" w:eastAsia="宋体" w:cs="宋体"/>
          <w:b/>
          <w:bCs/>
          <w:sz w:val="24"/>
          <w:szCs w:val="20"/>
        </w:rPr>
        <w:t>（一）智慧展示大屏</w:t>
      </w:r>
      <w:r>
        <w:rPr>
          <w:rFonts w:hint="eastAsia" w:ascii="宋体" w:hAnsi="宋体" w:eastAsia="宋体" w:cs="宋体"/>
          <w:b/>
          <w:bCs/>
          <w:color w:val="000000"/>
          <w:sz w:val="24"/>
          <w:shd w:val="clear" w:color="auto" w:fill="FFFFFF"/>
        </w:rPr>
        <w:t>（含市级、校级平台)</w:t>
      </w:r>
    </w:p>
    <w:p w14:paraId="266E2ED4">
      <w:pPr>
        <w:widowControl/>
        <w:spacing w:line="560" w:lineRule="exact"/>
        <w:ind w:firstLine="482"/>
        <w:jc w:val="left"/>
        <w:rPr>
          <w:rFonts w:ascii="宋体" w:hAnsi="宋体" w:eastAsia="宋体" w:cs="宋体"/>
          <w:i/>
          <w:sz w:val="24"/>
          <w:szCs w:val="20"/>
          <w:u w:val="single"/>
        </w:rPr>
      </w:pPr>
      <w:r>
        <w:rPr>
          <w:rFonts w:hint="eastAsia" w:ascii="宋体" w:hAnsi="宋体" w:eastAsia="宋体" w:cs="宋体"/>
          <w:i/>
          <w:sz w:val="24"/>
          <w:szCs w:val="20"/>
          <w:u w:val="single"/>
        </w:rPr>
        <w:t>1.显示面板：工业级液晶面板，尺寸≥86英寸，16:9；物理分辨率≥3840×2160（4K）；亮度：室内机型≥500cd/㎡；户外机型≥1500cd/㎡，具备环境感光自动调亮功能；对比度≥3000:1；水平、垂直可视角度≥178°。</w:t>
      </w:r>
    </w:p>
    <w:p w14:paraId="7514B59C">
      <w:pPr>
        <w:widowControl/>
        <w:spacing w:line="560" w:lineRule="exact"/>
        <w:ind w:firstLine="482"/>
        <w:jc w:val="left"/>
        <w:rPr>
          <w:rFonts w:ascii="宋体" w:hAnsi="宋体" w:eastAsia="宋体" w:cs="宋体"/>
          <w:i/>
          <w:sz w:val="24"/>
          <w:szCs w:val="20"/>
          <w:u w:val="single"/>
        </w:rPr>
      </w:pPr>
      <w:r>
        <w:rPr>
          <w:rFonts w:hint="eastAsia" w:ascii="宋体" w:hAnsi="宋体" w:eastAsia="宋体" w:cs="宋体"/>
          <w:i/>
          <w:sz w:val="24"/>
          <w:szCs w:val="20"/>
          <w:u w:val="single"/>
        </w:rPr>
        <w:t>2.管理人员可直接在大屏上操作平台页面；八核处理器，运行内存≥8GB，本地存储≥128GB；配备千兆网口、无线网络模块，支持 7×24 小时长时间不间断待机运行；内置立体声大功率扬声器；外设接口：HDMI 输入接口、千兆网口、USB 接口、音频输出接口，支持本地图片、视频轮播播放。</w:t>
      </w:r>
    </w:p>
    <w:p w14:paraId="20784408">
      <w:pPr>
        <w:widowControl/>
        <w:spacing w:line="560" w:lineRule="exact"/>
        <w:ind w:firstLine="482"/>
        <w:jc w:val="left"/>
        <w:rPr>
          <w:rFonts w:ascii="宋体" w:hAnsi="宋体" w:eastAsia="宋体" w:cs="宋体"/>
          <w:sz w:val="24"/>
          <w:szCs w:val="20"/>
        </w:rPr>
      </w:pPr>
      <w:r>
        <w:rPr>
          <w:rFonts w:hint="eastAsia" w:ascii="宋体" w:hAnsi="宋体" w:cs="宋体"/>
        </w:rPr>
        <w:t>△</w:t>
      </w:r>
      <w:r>
        <w:rPr>
          <w:rFonts w:hint="eastAsia" w:ascii="宋体" w:hAnsi="宋体" w:eastAsia="宋体" w:cs="宋体"/>
          <w:sz w:val="24"/>
          <w:szCs w:val="20"/>
        </w:rPr>
        <w:t>3.防护等级不低于IP55，具备防尘、防水能力，宽温工作，搭载智能温控散热系统，配备防爆钢化玻璃；可直接对接校级智慧体育平台，同步展示平台统计数据；支持自定义轮播内容，包含体育数据统计、实时运动榜单、校园体育通知、赛事公告等内容；支持远程后台统一管控大屏画面、开关机、内容更新。</w:t>
      </w:r>
    </w:p>
    <w:p w14:paraId="2E5A73A2">
      <w:pPr>
        <w:widowControl/>
        <w:spacing w:line="560" w:lineRule="exact"/>
        <w:ind w:firstLine="482"/>
        <w:jc w:val="left"/>
        <w:rPr>
          <w:rFonts w:ascii="宋体" w:hAnsi="宋体" w:eastAsia="宋体" w:cs="宋体"/>
          <w:sz w:val="24"/>
          <w:szCs w:val="20"/>
        </w:rPr>
      </w:pPr>
      <w:r>
        <w:rPr>
          <w:rFonts w:hint="eastAsia" w:ascii="宋体" w:hAnsi="宋体" w:cs="宋体"/>
        </w:rPr>
        <w:t>△</w:t>
      </w:r>
      <w:r>
        <w:rPr>
          <w:rFonts w:hint="eastAsia" w:ascii="宋体" w:hAnsi="宋体" w:eastAsia="宋体" w:cs="宋体"/>
          <w:sz w:val="24"/>
          <w:szCs w:val="20"/>
        </w:rPr>
        <w:t>4.校级平台应具备数字化体育设备数据自动汇聚功能，能够接入并汇总本项目部署的智慧操场、游戏一体机及体测一体机等设备采集的体育数据，实现校级体育数据统一管理。</w:t>
      </w:r>
    </w:p>
    <w:p w14:paraId="7A0E05A8">
      <w:pPr>
        <w:widowControl/>
        <w:spacing w:line="560" w:lineRule="exact"/>
        <w:ind w:firstLine="482"/>
        <w:jc w:val="left"/>
        <w:rPr>
          <w:rFonts w:ascii="宋体" w:hAnsi="宋体" w:eastAsia="宋体" w:cs="宋体"/>
          <w:i/>
          <w:strike/>
          <w:sz w:val="24"/>
          <w:szCs w:val="20"/>
          <w:u w:val="single"/>
        </w:rPr>
      </w:pPr>
      <w:r>
        <w:rPr>
          <w:rFonts w:hint="eastAsia" w:ascii="宋体" w:hAnsi="宋体" w:eastAsia="宋体" w:cs="宋体"/>
          <w:i/>
          <w:sz w:val="24"/>
          <w:szCs w:val="20"/>
          <w:u w:val="single"/>
        </w:rPr>
        <w:t>5.平台应具备体育数据管理与分析模块，数据类型应包括但不限于体育测试数据、体育锻炼数据等；应支持按校级、年级、班级、学生、日期、项目、性别等维度进行数据查询、统计分析和可视化呈现；应支持学生个人运动数据分析，能够展示学生体育测试成绩、运动锻炼记录、项目表现、历史变化趋势、综合分析结果，并形成运动建议或分析报告；应支持体育测试评价功能，能够按照系统设定的评价标准对学生体育测试项目进行成绩评价和等级划分，并统计优秀率、良好率、及格率、不合格率等结果。</w:t>
      </w:r>
    </w:p>
    <w:p w14:paraId="3E16B4DA">
      <w:pPr>
        <w:widowControl/>
        <w:spacing w:line="560" w:lineRule="exact"/>
        <w:ind w:firstLine="482"/>
        <w:jc w:val="left"/>
        <w:rPr>
          <w:rFonts w:ascii="宋体" w:hAnsi="宋体" w:eastAsia="宋体" w:cs="宋体"/>
          <w:sz w:val="24"/>
          <w:szCs w:val="20"/>
        </w:rPr>
      </w:pPr>
      <w:r>
        <w:rPr>
          <w:rFonts w:hint="eastAsia" w:ascii="宋体" w:hAnsi="宋体" w:cs="宋体"/>
        </w:rPr>
        <w:t>△</w:t>
      </w:r>
      <w:r>
        <w:rPr>
          <w:rFonts w:hint="eastAsia" w:ascii="宋体" w:hAnsi="宋体" w:eastAsia="宋体" w:cs="宋体"/>
          <w:sz w:val="24"/>
          <w:szCs w:val="20"/>
        </w:rPr>
        <w:t>6.校级平台应支持对接入设备的测试训练的启用、停用等基础管理。平台应具备体育数据录入、导入、导出与上报支持功能，支持用户按权限手动录入、批量导入、修正或上传相关体育数据，并能够按照系统设定的评分标准自动计算成绩得分和评价等级；支持按国家学生体质健康相关数据格式导出测试成绩表格，满足学校数据整理、上报和留存需要。</w:t>
      </w:r>
    </w:p>
    <w:p w14:paraId="676862DB">
      <w:pPr>
        <w:widowControl/>
        <w:spacing w:line="560" w:lineRule="exact"/>
        <w:ind w:firstLine="482"/>
        <w:jc w:val="left"/>
        <w:rPr>
          <w:rFonts w:ascii="宋体" w:hAnsi="宋体" w:eastAsia="宋体" w:cs="宋体"/>
          <w:i/>
          <w:sz w:val="24"/>
          <w:szCs w:val="20"/>
          <w:u w:val="single"/>
        </w:rPr>
      </w:pPr>
      <w:r>
        <w:rPr>
          <w:rFonts w:hint="eastAsia" w:ascii="宋体" w:hAnsi="宋体" w:eastAsia="宋体" w:cs="宋体"/>
          <w:i/>
          <w:sz w:val="24"/>
          <w:szCs w:val="20"/>
          <w:u w:val="single"/>
        </w:rPr>
        <w:t>7.校际平台采用盐教云用户认证体系，学生账号使用盐教云账号登陆。平台应具备基础信息与权限管理功能，支持对学校、年级、班级、学生、教师、项目、设备等基础信息进行维护和管理；能够根据管理员、教师、学生等不同角色设置数据查看、数据录入、数据修改、数据导出、设备管理等权限。</w:t>
      </w:r>
    </w:p>
    <w:p w14:paraId="0615548F">
      <w:pPr>
        <w:widowControl/>
        <w:spacing w:line="560" w:lineRule="exact"/>
        <w:ind w:firstLine="482"/>
        <w:jc w:val="left"/>
        <w:rPr>
          <w:rFonts w:ascii="宋体" w:hAnsi="宋体" w:eastAsia="宋体" w:cs="宋体"/>
          <w:i/>
          <w:sz w:val="24"/>
          <w:szCs w:val="20"/>
          <w:u w:val="single"/>
        </w:rPr>
      </w:pPr>
      <w:r>
        <w:rPr>
          <w:rFonts w:hint="eastAsia" w:ascii="宋体" w:hAnsi="宋体" w:eastAsia="宋体" w:cs="宋体"/>
          <w:i/>
          <w:sz w:val="24"/>
          <w:szCs w:val="20"/>
          <w:u w:val="single"/>
        </w:rPr>
        <w:t>8.</w:t>
      </w:r>
      <w:bookmarkStart w:id="172" w:name="OLE_LINK17"/>
      <w:bookmarkStart w:id="173" w:name="OLE_LINK18"/>
      <w:r>
        <w:rPr>
          <w:rFonts w:hint="eastAsia" w:ascii="宋体" w:hAnsi="宋体" w:eastAsia="宋体" w:cs="宋体"/>
          <w:i/>
          <w:sz w:val="24"/>
          <w:szCs w:val="20"/>
          <w:u w:val="single"/>
        </w:rPr>
        <w:t xml:space="preserve"> 校级平台应具备数据安全防护机制，对学生个人信息、体质健康数据、运动数据等进行安全管理，支持数据权限管控、数据传输保护、数据存储保护、操作日志留存和异常访问记录，保障体育数据采集、传输、存储、使用和导出全过程安全。相关数据采集、存储、使用和管理应符合国家关于未成年人个人信息保护、个人信息保护和数据安全的相关法律法规要求。</w:t>
      </w:r>
    </w:p>
    <w:p w14:paraId="7C346F74">
      <w:pPr>
        <w:widowControl/>
        <w:spacing w:line="560" w:lineRule="exact"/>
        <w:ind w:firstLine="482"/>
        <w:jc w:val="left"/>
        <w:rPr>
          <w:rFonts w:ascii="宋体" w:hAnsi="宋体" w:eastAsia="宋体" w:cs="宋体"/>
          <w:b/>
          <w:bCs/>
          <w:sz w:val="24"/>
          <w:szCs w:val="20"/>
        </w:rPr>
      </w:pPr>
      <w:r>
        <w:rPr>
          <w:rFonts w:hint="eastAsia" w:ascii="宋体" w:hAnsi="宋体" w:eastAsia="宋体" w:cs="宋体"/>
          <w:i/>
          <w:sz w:val="24"/>
          <w:szCs w:val="20"/>
          <w:u w:val="single"/>
        </w:rPr>
        <w:t>9.</w:t>
      </w:r>
      <w:bookmarkEnd w:id="172"/>
      <w:bookmarkEnd w:id="173"/>
      <w:r>
        <w:rPr>
          <w:rFonts w:hint="eastAsia" w:ascii="宋体" w:hAnsi="宋体" w:eastAsia="宋体" w:cs="宋体"/>
          <w:i/>
          <w:sz w:val="24"/>
          <w:szCs w:val="20"/>
          <w:u w:val="single"/>
        </w:rPr>
        <w:t>同步建设市级管理平台，所有数据须存放在市直教育城域网内，并与盐城市城市驾驶舱教育分舱完成数据对接，项目数据涉及的软硬件及网络安全产品由中标方提供并负责日常运维。所使用的数据库须符合国产化要求。市级管理平台支持查看相关学校校级管理平台所有功能，实现全域数据统一可视化展示，支持分层级、精细化数据统计与查询。市级管理平台登录方式同校级管理平台一致，市级、校级管理平台的部署、运维、安全均由中标方负责。市级平台采用模块化架构设计，预留数据接口，支持后续新增学校接入、统计维度、赛事类型、体育资源等不同类型的拓展适配，可对接县域教育综合管理平台。</w:t>
      </w:r>
    </w:p>
    <w:p w14:paraId="485722D0">
      <w:pPr>
        <w:widowControl/>
        <w:spacing w:line="560" w:lineRule="exact"/>
        <w:ind w:firstLine="482"/>
        <w:jc w:val="left"/>
        <w:rPr>
          <w:rFonts w:ascii="宋体" w:hAnsi="宋体" w:eastAsia="宋体" w:cs="宋体"/>
          <w:b/>
          <w:bCs/>
          <w:sz w:val="24"/>
          <w:szCs w:val="20"/>
        </w:rPr>
      </w:pPr>
      <w:r>
        <w:rPr>
          <w:rFonts w:hint="eastAsia" w:ascii="宋体" w:hAnsi="宋体" w:eastAsia="宋体" w:cs="宋体"/>
          <w:b/>
          <w:bCs/>
          <w:sz w:val="24"/>
          <w:szCs w:val="20"/>
        </w:rPr>
        <w:t>盐城市</w:t>
      </w:r>
      <w:bookmarkStart w:id="174" w:name="OLE_LINK30"/>
      <w:bookmarkStart w:id="175" w:name="OLE_LINK32"/>
      <w:r>
        <w:rPr>
          <w:rFonts w:hint="eastAsia" w:ascii="宋体" w:hAnsi="宋体" w:eastAsia="宋体" w:cs="宋体"/>
          <w:b/>
          <w:bCs/>
          <w:sz w:val="24"/>
          <w:szCs w:val="20"/>
        </w:rPr>
        <w:t>城市驾驶舱</w:t>
      </w:r>
      <w:bookmarkEnd w:id="174"/>
      <w:bookmarkEnd w:id="175"/>
      <w:r>
        <w:rPr>
          <w:rFonts w:hint="eastAsia" w:ascii="宋体" w:hAnsi="宋体" w:eastAsia="宋体" w:cs="宋体"/>
          <w:b/>
          <w:bCs/>
          <w:sz w:val="24"/>
          <w:szCs w:val="20"/>
        </w:rPr>
        <w:t>教育分舱数据存储对接技术要求：</w:t>
      </w:r>
    </w:p>
    <w:p w14:paraId="000FE7A2">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1）本项目中标供应商须无条件满足盐城市城市驾驶舱教育分舱对接相关要求，严格遵照盐城市城市驾驶舱教育分舱既定数据标准完成数据接入，采用主动推送模式传输相关数据；推送数据包含所有业务数据（含运动数据采集、体测数据、设备运行数据、用户行为数据等），确保数据无缝对接、正常解析与可视化展示。</w:t>
      </w:r>
    </w:p>
    <w:p w14:paraId="2237BBDE">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（2）本项目中标供应商须为采购人定制开发盐城市城市驾驶舱教育分舱的智慧体育展示页面，部署环境为（操作系统 openEuler_22.03_LTS_SP4；数据库GaussDB(兼容MySQL生态) 8.0.28 ），智慧体育展示页面需兼容教育驾驶舱身份认证体系，访问权限接入严格遵循教育驾驶舱身份认证标准，实现统一身份互通、单点登录、权限同步管理。</w:t>
      </w:r>
    </w:p>
    <w:p w14:paraId="1145FBD6">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（3）实现上述对接需求所产生的全部定制开发、调试、接口改造等相关费用，均由中标供应商承担，相关成本须综合包含在本项目投标总报价中，采购人不再另行支付任何对接费用。</w:t>
      </w:r>
    </w:p>
    <w:bookmarkEnd w:id="170"/>
    <w:bookmarkEnd w:id="171"/>
    <w:p w14:paraId="37FFAD43">
      <w:pPr>
        <w:widowControl/>
        <w:spacing w:line="560" w:lineRule="exact"/>
        <w:ind w:firstLine="482"/>
        <w:jc w:val="left"/>
        <w:rPr>
          <w:rFonts w:ascii="宋体" w:hAnsi="宋体" w:eastAsia="宋体" w:cs="宋体"/>
          <w:b/>
          <w:bCs/>
          <w:sz w:val="24"/>
          <w:szCs w:val="20"/>
        </w:rPr>
      </w:pPr>
      <w:r>
        <w:rPr>
          <w:rFonts w:hint="eastAsia" w:ascii="宋体" w:hAnsi="宋体" w:eastAsia="宋体" w:cs="宋体"/>
          <w:b/>
          <w:bCs/>
          <w:sz w:val="24"/>
          <w:szCs w:val="20"/>
        </w:rPr>
        <w:t>（二）</w:t>
      </w:r>
      <w:bookmarkStart w:id="176" w:name="OLE_LINK5"/>
      <w:r>
        <w:rPr>
          <w:rFonts w:hint="eastAsia" w:ascii="宋体" w:hAnsi="宋体" w:eastAsia="宋体" w:cs="宋体"/>
          <w:b/>
          <w:bCs/>
          <w:sz w:val="24"/>
          <w:szCs w:val="20"/>
        </w:rPr>
        <w:t>智慧操场</w:t>
      </w:r>
      <w:bookmarkEnd w:id="176"/>
    </w:p>
    <w:p w14:paraId="38F24CCA">
      <w:pPr>
        <w:widowControl/>
        <w:spacing w:line="560" w:lineRule="exact"/>
        <w:ind w:firstLine="482"/>
        <w:jc w:val="left"/>
        <w:rPr>
          <w:rFonts w:ascii="宋体" w:hAnsi="宋体" w:eastAsia="宋体" w:cs="宋体"/>
          <w:i/>
          <w:sz w:val="24"/>
          <w:szCs w:val="20"/>
          <w:u w:val="single"/>
        </w:rPr>
      </w:pPr>
      <w:r>
        <w:rPr>
          <w:rFonts w:hint="eastAsia" w:ascii="宋体" w:hAnsi="宋体" w:eastAsia="宋体" w:cs="宋体"/>
          <w:i/>
          <w:sz w:val="24"/>
          <w:szCs w:val="20"/>
          <w:u w:val="single"/>
        </w:rPr>
        <w:t>1.含起点/终点/途中至少4个数据采集立杆，实现数据抓取无盲区，超高清摄像机，工业级控制主机，户外防水音响，高亮显示屏；摄像机参数：像素≥800万，帧率≥30fps，内置存储芯片；</w:t>
      </w:r>
      <w:bookmarkStart w:id="177" w:name="OLE_LINK13"/>
      <w:r>
        <w:rPr>
          <w:rFonts w:hint="eastAsia" w:ascii="宋体" w:hAnsi="宋体" w:eastAsia="宋体" w:cs="宋体"/>
          <w:i/>
          <w:sz w:val="24"/>
          <w:szCs w:val="20"/>
          <w:u w:val="single"/>
        </w:rPr>
        <w:t>250米及以下操场至少3台</w:t>
      </w:r>
      <w:bookmarkEnd w:id="177"/>
      <w:r>
        <w:rPr>
          <w:rFonts w:hint="eastAsia" w:ascii="宋体" w:hAnsi="宋体" w:eastAsia="宋体" w:cs="宋体"/>
          <w:i/>
          <w:sz w:val="24"/>
          <w:szCs w:val="20"/>
          <w:u w:val="single"/>
        </w:rPr>
        <w:t>，400米操场至少4台；显示屏参数：≥54寸户外显示屏，分辨率≥1920×1080，防护等级≥IP55；设备应支持成绩实时播报和电子屏幕同步显示测试或训练成绩，成绩反馈响应时间≤1.5秒。处理器性能≥8核CPU，主频≥2.4GHz，算力≥6tops；运行内存≥8G；内置存储≥64G。</w:t>
      </w:r>
    </w:p>
    <w:p w14:paraId="78755EB0">
      <w:pPr>
        <w:widowControl/>
        <w:spacing w:line="560" w:lineRule="exact"/>
        <w:ind w:firstLine="482"/>
        <w:jc w:val="left"/>
        <w:rPr>
          <w:rFonts w:ascii="宋体" w:hAnsi="宋体" w:eastAsia="宋体" w:cs="宋体"/>
          <w:i/>
          <w:sz w:val="24"/>
          <w:szCs w:val="20"/>
          <w:u w:val="single"/>
        </w:rPr>
      </w:pPr>
      <w:r>
        <w:rPr>
          <w:rFonts w:hint="eastAsia" w:ascii="宋体" w:hAnsi="宋体" w:eastAsia="宋体" w:cs="宋体"/>
          <w:i/>
          <w:sz w:val="24"/>
          <w:szCs w:val="20"/>
          <w:u w:val="single"/>
        </w:rPr>
        <w:t>2.显示设备能够显示测试项目实时成绩、测试状态、学生信息或测试结果等内容，并具有必要的安全防护措施，满足学校室外或半室外测试场景使用要求；至少1台；环境适配：工业级户外设计，防水防尘等级≥IP55，工作温度-20℃~+60℃，防雷、抗强光、抗干扰。</w:t>
      </w:r>
    </w:p>
    <w:p w14:paraId="5C9BB58E">
      <w:pPr>
        <w:widowControl/>
        <w:spacing w:line="560" w:lineRule="exact"/>
        <w:ind w:firstLine="482"/>
        <w:jc w:val="left"/>
        <w:rPr>
          <w:rFonts w:ascii="宋体" w:hAnsi="宋体" w:eastAsia="宋体" w:cs="宋体"/>
          <w:sz w:val="24"/>
          <w:szCs w:val="20"/>
        </w:rPr>
      </w:pPr>
      <w:r>
        <w:rPr>
          <w:rFonts w:hint="eastAsia" w:ascii="宋体" w:hAnsi="宋体" w:cs="宋体"/>
        </w:rPr>
        <w:t>△</w:t>
      </w:r>
      <w:r>
        <w:rPr>
          <w:rFonts w:hint="eastAsia" w:ascii="宋体" w:hAnsi="宋体" w:eastAsia="宋体" w:cs="宋体"/>
          <w:sz w:val="24"/>
          <w:szCs w:val="20"/>
        </w:rPr>
        <w:t>3.可满足校内日常体测训练、校外体育设施对外开放等多重使用场景，可区分人员类别独立采集、分类存储运动数据，无感抓取散步、慢跑等休闲运动数据，自动统计步数、里程、运动时长、卡路里，同步实现运动抓拍、人员识别、计时数据采集。测试人员无需穿戴任何设备，系统可支持通过人脸识别、举手示意或其他方式完成测试人员身份确认与测试分组。检录通过后，系统应能够自动进入测试流程，并在发令信号后开始测试。测试后自动生成包含平均速度、冲刺速度、运动曲线等内容的分析报告，数据实时同步至市级和校级管理平台。</w:t>
      </w:r>
    </w:p>
    <w:p w14:paraId="5E68242E">
      <w:pPr>
        <w:widowControl/>
        <w:spacing w:line="560" w:lineRule="exact"/>
        <w:ind w:firstLine="482"/>
        <w:jc w:val="left"/>
        <w:rPr>
          <w:rFonts w:ascii="宋体" w:hAnsi="宋体" w:eastAsia="宋体" w:cs="宋体"/>
          <w:i/>
          <w:sz w:val="24"/>
          <w:szCs w:val="20"/>
          <w:u w:val="single"/>
        </w:rPr>
      </w:pPr>
      <w:r>
        <w:rPr>
          <w:rFonts w:hint="eastAsia" w:ascii="宋体" w:hAnsi="宋体" w:eastAsia="宋体" w:cs="宋体"/>
          <w:i/>
          <w:sz w:val="24"/>
          <w:szCs w:val="20"/>
          <w:u w:val="single"/>
        </w:rPr>
        <w:t>4.支持50米短跑、50米×8往返跑、400米跑、800米跑和1000米跑项目，支持≥6跑道同时测试，支持≥50人同时测试； 计时精度：计时误差≤0.1s，支持自动发令、教师手动发令两种模式；违规识别：自动识别抢跑、窜道、踩线、折返违规等行为，实时语音播报违规信息；数据全程留痕可溯源，支持运动视频回放。</w:t>
      </w:r>
    </w:p>
    <w:p w14:paraId="11CF2F76">
      <w:pPr>
        <w:widowControl/>
        <w:spacing w:line="560" w:lineRule="exact"/>
        <w:ind w:firstLine="482"/>
        <w:jc w:val="left"/>
        <w:rPr>
          <w:rFonts w:ascii="宋体" w:hAnsi="宋体" w:eastAsia="宋体" w:cs="宋体"/>
          <w:sz w:val="24"/>
          <w:szCs w:val="20"/>
        </w:rPr>
      </w:pPr>
      <w:r>
        <w:rPr>
          <w:rFonts w:hint="eastAsia" w:ascii="宋体" w:hAnsi="宋体" w:cs="宋体"/>
        </w:rPr>
        <w:t>△</w:t>
      </w:r>
      <w:r>
        <w:rPr>
          <w:rFonts w:hint="eastAsia" w:ascii="宋体" w:hAnsi="宋体" w:eastAsia="宋体" w:cs="宋体"/>
          <w:sz w:val="24"/>
          <w:szCs w:val="20"/>
        </w:rPr>
        <w:t>5.支持有线网络、无线网络等传输模式，适配校园固定网络，支持实时数据上传、断点续传，传输延迟低、数据不丢失、不重复。具备数据加密传输机制，支持校内外人员数据分类上传、独立归档，保障师生隐私数据安全合规，涉及学生身份信息、体质健康数据、运动过程数据和人脸识别相关数据的，应统一汇聚至智慧体育校级平台管理；相关数据采集、存储、使用和管理应符合国家关于未成年人个人信息保护、个人信息保护和数据安全的相关法律法规要求。</w:t>
      </w:r>
    </w:p>
    <w:p w14:paraId="335FD16F">
      <w:pPr>
        <w:widowControl/>
        <w:spacing w:line="560" w:lineRule="exact"/>
        <w:ind w:firstLine="482"/>
        <w:jc w:val="left"/>
        <w:rPr>
          <w:rFonts w:ascii="宋体" w:hAnsi="宋体" w:eastAsia="宋体" w:cs="宋体"/>
          <w:b/>
          <w:bCs/>
          <w:sz w:val="24"/>
          <w:szCs w:val="20"/>
        </w:rPr>
      </w:pPr>
      <w:r>
        <w:rPr>
          <w:rFonts w:hint="eastAsia" w:ascii="宋体" w:hAnsi="宋体" w:eastAsia="宋体" w:cs="宋体"/>
          <w:b/>
          <w:bCs/>
          <w:sz w:val="24"/>
          <w:szCs w:val="20"/>
        </w:rPr>
        <w:t>（三）智慧游戏一体机</w:t>
      </w:r>
    </w:p>
    <w:p w14:paraId="0F1D1218">
      <w:pPr>
        <w:widowControl/>
        <w:spacing w:line="560" w:lineRule="exact"/>
        <w:ind w:firstLine="482"/>
        <w:jc w:val="left"/>
        <w:rPr>
          <w:rFonts w:ascii="宋体" w:hAnsi="宋体" w:eastAsia="宋体" w:cs="宋体"/>
          <w:b/>
          <w:bCs/>
          <w:i/>
          <w:sz w:val="24"/>
          <w:szCs w:val="20"/>
          <w:u w:val="single"/>
        </w:rPr>
      </w:pPr>
      <w:r>
        <w:rPr>
          <w:rFonts w:hint="eastAsia" w:ascii="宋体" w:hAnsi="宋体" w:eastAsia="宋体" w:cs="宋体"/>
          <w:bCs/>
          <w:i/>
          <w:sz w:val="24"/>
          <w:szCs w:val="20"/>
          <w:u w:val="single"/>
        </w:rPr>
        <w:t>1.支持室内趣味运动训练和体质测试辅助训练两类应用场景。趣味运动训练项目≥8项，可涵盖跳跃类、下蹲类、协调类、反应类等运动内容；体质测试辅助训练项目≥2项，可涵盖跳绳、立定跳远（单人）等常见体测项目。其中，除立定跳远（单人）等需单人依次完成的项目外，系统应支持≥8名学生同时参与训练测试及数据记录。学生可通过举手识别、人脸检录等方式快速进入运动项目。针对本设备的项目数量、项目类型、多人同时参与能力，</w:t>
      </w:r>
      <w:r>
        <w:rPr>
          <w:rFonts w:hint="eastAsia" w:ascii="宋体" w:hAnsi="宋体" w:eastAsia="宋体" w:cs="宋体"/>
          <w:b/>
          <w:bCs/>
          <w:i/>
          <w:sz w:val="24"/>
          <w:szCs w:val="20"/>
          <w:u w:val="single"/>
        </w:rPr>
        <w:t>承诺中标后签定合同前提供具备检测资质的第三方检测机构出具的产品检测报告。（投标时提供承诺函，格式自拟）</w:t>
      </w:r>
    </w:p>
    <w:p w14:paraId="2E186671">
      <w:pPr>
        <w:widowControl/>
        <w:spacing w:line="560" w:lineRule="exact"/>
        <w:ind w:firstLine="482"/>
        <w:jc w:val="left"/>
        <w:rPr>
          <w:rFonts w:ascii="宋体" w:hAnsi="宋体" w:eastAsia="宋体" w:cs="宋体"/>
          <w:sz w:val="24"/>
          <w:szCs w:val="20"/>
        </w:rPr>
      </w:pPr>
      <w:r>
        <w:rPr>
          <w:rFonts w:hint="eastAsia" w:ascii="宋体" w:hAnsi="宋体" w:cs="宋体"/>
        </w:rPr>
        <w:t>△</w:t>
      </w:r>
      <w:r>
        <w:rPr>
          <w:rFonts w:hint="eastAsia" w:ascii="宋体" w:hAnsi="宋体" w:eastAsia="宋体" w:cs="宋体"/>
          <w:sz w:val="24"/>
          <w:szCs w:val="20"/>
        </w:rPr>
        <w:t>2.设备应支持通过移动端或网页端进行项目选择、训练启动、过程控制和结果查看等操作。设备应能够实时记录学生运动数据，并支持数据存储、查询、统计和导出；设备应支持与智慧体育校级平台实现数据联动，能够将本设备生成的测试成绩、训练记录、学生身份信息、项目数据、时间信息、视频或过程记录、异常标记等数据按需上传至平台，实现校级体育数据统一管理。涉及学生身份信息、体质健康数据、运动过程数据和人脸识别相关数据的，应统一汇聚至智慧体育校级平台管理；相关数据采集、存储、使用和管理应符合国家关于未成年人个人信息保护、个人信息保护和数据安全的相关法律法规要求。</w:t>
      </w:r>
    </w:p>
    <w:p w14:paraId="6703332D">
      <w:pPr>
        <w:widowControl/>
        <w:spacing w:line="560" w:lineRule="exact"/>
        <w:ind w:firstLine="482"/>
        <w:jc w:val="left"/>
        <w:rPr>
          <w:rFonts w:ascii="宋体" w:hAnsi="宋体" w:eastAsia="宋体" w:cs="宋体"/>
          <w:i/>
          <w:sz w:val="24"/>
          <w:szCs w:val="20"/>
          <w:u w:val="single"/>
        </w:rPr>
      </w:pPr>
      <w:r>
        <w:rPr>
          <w:rFonts w:hint="eastAsia" w:ascii="宋体" w:hAnsi="宋体" w:eastAsia="宋体" w:cs="宋体"/>
          <w:i/>
          <w:sz w:val="24"/>
          <w:szCs w:val="20"/>
          <w:u w:val="single"/>
        </w:rPr>
        <w:t>3.本设备大屏或操作界面应支持查看和操作当前运动项目、参与状态、学生身份或分组信息、训练过程、运动成绩、结果反馈、班级统计等内容；可根据教学需要显示个人成绩、项目成绩、班级成绩、排行榜或训练反馈信息，满足学生自主锻炼、教师现场组织和结果查看需要。</w:t>
      </w:r>
    </w:p>
    <w:p w14:paraId="16FAF7EB">
      <w:pPr>
        <w:widowControl/>
        <w:spacing w:line="560" w:lineRule="exact"/>
        <w:ind w:firstLine="482"/>
        <w:jc w:val="left"/>
        <w:rPr>
          <w:rFonts w:ascii="宋体" w:hAnsi="宋体" w:eastAsia="宋体" w:cs="宋体"/>
          <w:sz w:val="24"/>
          <w:szCs w:val="20"/>
        </w:rPr>
      </w:pPr>
      <w:r>
        <w:rPr>
          <w:rFonts w:hint="eastAsia" w:ascii="宋体" w:hAnsi="宋体" w:cs="宋体"/>
        </w:rPr>
        <w:t>△</w:t>
      </w:r>
      <w:r>
        <w:rPr>
          <w:rFonts w:hint="eastAsia" w:ascii="宋体" w:hAnsi="宋体" w:eastAsia="宋体" w:cs="宋体"/>
          <w:sz w:val="24"/>
          <w:szCs w:val="20"/>
        </w:rPr>
        <w:t>4.设备质保期内，供应商应提供趣味运动项目、系统界面、音乐或情境主题等内容更新支持，每年提供≥3项更新内容，学校可根据实际教学需求选择是否更新或配置；本设备主屏在非运动时段，应支持滚动播放运动公告、赛事风采、体育宣传或学校审定的文本图片信息。</w:t>
      </w:r>
    </w:p>
    <w:p w14:paraId="4F793F5C">
      <w:pPr>
        <w:widowControl/>
        <w:spacing w:line="560" w:lineRule="exact"/>
        <w:ind w:firstLine="482"/>
        <w:jc w:val="left"/>
        <w:rPr>
          <w:rFonts w:ascii="宋体" w:hAnsi="宋体" w:eastAsia="宋体" w:cs="宋体"/>
          <w:sz w:val="24"/>
          <w:szCs w:val="20"/>
        </w:rPr>
      </w:pPr>
      <w:r>
        <w:rPr>
          <w:rFonts w:hint="eastAsia" w:ascii="宋体" w:hAnsi="宋体" w:cs="宋体"/>
        </w:rPr>
        <w:t>△</w:t>
      </w:r>
      <w:r>
        <w:rPr>
          <w:rFonts w:hint="eastAsia" w:ascii="宋体" w:hAnsi="宋体" w:eastAsia="宋体" w:cs="宋体"/>
          <w:sz w:val="24"/>
          <w:szCs w:val="20"/>
        </w:rPr>
        <w:t>5.设备应至少包含大屏显示单元、图像采集单元、计算处理单元、交互控制单元及必要的安装结构，设备可采用壁挂式或吊装式安装，具体安装方式应适应学校现场空间条件；大屏显示单元尺寸≥55英寸，屏幕亮度≥350cd/㎡，具备HDMI接口、音频播放能力，扬声器总额定功率≥10W。支持定时开关机及断电恢复后自动启动功能，支持开机默认进入指定信号输入通道功能；图像采集单元分辨率≥800万像素，能够满足室内多人运动识别、姿态识别、动作捕捉或运动结果采集需求，并应适应各类不同空间的安装距离和光照条件；计算处理单元应满足本地运动识别、多人检测、数据记录、结果分析和画面展示等应用需求。处理器性能≥8核CPU或同等性能配置，主频≥2.0GHz，内存≥4GB，存储空间≥64GB，AI算力≥6TOPS或具备同等处理能力。</w:t>
      </w:r>
    </w:p>
    <w:p w14:paraId="208012CC">
      <w:pPr>
        <w:widowControl/>
        <w:spacing w:line="560" w:lineRule="exact"/>
        <w:ind w:firstLine="482"/>
        <w:jc w:val="left"/>
        <w:rPr>
          <w:rFonts w:ascii="宋体" w:hAnsi="宋体" w:eastAsia="宋体" w:cs="宋体"/>
          <w:sz w:val="24"/>
          <w:szCs w:val="20"/>
        </w:rPr>
      </w:pPr>
      <w:r>
        <w:rPr>
          <w:rFonts w:hint="eastAsia" w:ascii="宋体" w:hAnsi="宋体" w:cs="宋体"/>
        </w:rPr>
        <w:t>△</w:t>
      </w:r>
      <w:r>
        <w:rPr>
          <w:rFonts w:hint="eastAsia" w:ascii="宋体" w:hAnsi="宋体" w:eastAsia="宋体" w:cs="宋体"/>
          <w:sz w:val="24"/>
          <w:szCs w:val="20"/>
        </w:rPr>
        <w:t>6.体育教学管理：（1）作为市级智慧体育管理平台，应具备强大的课程管理能力，至少能够管理2000节体育课程内容，同时为方便老师使用，支持老师直接使用或自由组合成体育课；支持老师上传自有视频，进行标签管理。支持各类体育教学组件的灵活配置。（2）支持用户创建AI运动课程，系统提供不少于200个动作供用户选择，可支持设置课程适合学段、每组训练动作、每个动作时间、组循环次数、组间休息时间、拉伸动作及时间、封面。</w:t>
      </w:r>
    </w:p>
    <w:p w14:paraId="62D2CF82">
      <w:pPr>
        <w:widowControl/>
        <w:spacing w:line="560" w:lineRule="exact"/>
        <w:ind w:firstLine="482"/>
        <w:jc w:val="left"/>
        <w:rPr>
          <w:rFonts w:ascii="宋体" w:hAnsi="宋体" w:eastAsia="宋体" w:cs="宋体"/>
          <w:sz w:val="24"/>
          <w:szCs w:val="20"/>
        </w:rPr>
      </w:pPr>
      <w:r>
        <w:rPr>
          <w:rFonts w:hint="eastAsia" w:ascii="宋体" w:hAnsi="宋体" w:cs="宋体"/>
        </w:rPr>
        <w:t>△</w:t>
      </w:r>
      <w:r>
        <w:rPr>
          <w:rFonts w:hint="eastAsia" w:ascii="宋体" w:hAnsi="宋体" w:eastAsia="宋体" w:cs="宋体"/>
          <w:sz w:val="24"/>
          <w:szCs w:val="20"/>
        </w:rPr>
        <w:t>7.课程内容要求：教学资源包内容包含但不限于水平一至水平四专业课、体育考试拓展课、兴趣特色课程的教育内容资源(不少于200节)；包含水平一至水平四不同学段:包含但不限于热身类、教学类、训练类、比赛类、拉伸类等视频内容资源(不少于2000个);包含自定义教学资源,可根据提供的具备AI识别计数与纠错的体育锻炼动作(不少于200个),自主拼接为教学资源:支持学校教师自主上传内容,并提供后台AI识别能力。教学资源包AI能力课程中所相关的可识别内容包含动作库与关键帧类别(不少于2000个),动作库所有内容包含AI动作纠错反馈能力。</w:t>
      </w:r>
    </w:p>
    <w:p w14:paraId="6E504B45">
      <w:pPr>
        <w:widowControl/>
        <w:spacing w:line="560" w:lineRule="exact"/>
        <w:ind w:firstLine="482"/>
        <w:jc w:val="left"/>
        <w:rPr>
          <w:rFonts w:ascii="宋体" w:hAnsi="宋体" w:eastAsia="宋体" w:cs="宋体"/>
          <w:b/>
          <w:bCs/>
          <w:sz w:val="24"/>
          <w:szCs w:val="20"/>
        </w:rPr>
      </w:pPr>
      <w:r>
        <w:rPr>
          <w:rFonts w:hint="eastAsia" w:ascii="宋体" w:hAnsi="宋体" w:eastAsia="宋体" w:cs="宋体"/>
          <w:b/>
          <w:bCs/>
          <w:sz w:val="24"/>
          <w:szCs w:val="20"/>
        </w:rPr>
        <w:t>（四）体测一体机</w:t>
      </w:r>
    </w:p>
    <w:p w14:paraId="55ECD230">
      <w:pPr>
        <w:widowControl/>
        <w:spacing w:line="560" w:lineRule="exact"/>
        <w:ind w:firstLine="482"/>
        <w:jc w:val="left"/>
        <w:rPr>
          <w:rFonts w:ascii="宋体" w:hAnsi="宋体" w:eastAsia="宋体" w:cs="宋体"/>
          <w:i/>
          <w:sz w:val="24"/>
          <w:szCs w:val="20"/>
          <w:u w:val="single"/>
        </w:rPr>
      </w:pPr>
      <w:r>
        <w:rPr>
          <w:rFonts w:hint="eastAsia" w:ascii="宋体" w:hAnsi="宋体" w:eastAsia="宋体" w:cs="宋体"/>
          <w:i/>
          <w:sz w:val="24"/>
          <w:szCs w:val="20"/>
          <w:u w:val="single"/>
        </w:rPr>
        <w:t>1.支持国家学生体质健康标准项目测试，含身高体重、肺活量、坐位体前屈等；自动识别测试动作，自动计数计时，自动识别违规行为，无需教师手动监考，支持学生自主测试；支持多种身份识别方式，自动匹配学生信息，测试数据自动归档；</w:t>
      </w:r>
    </w:p>
    <w:p w14:paraId="7DD35C8C">
      <w:pPr>
        <w:widowControl/>
        <w:spacing w:line="560" w:lineRule="exact"/>
        <w:ind w:firstLine="482"/>
        <w:jc w:val="left"/>
        <w:rPr>
          <w:rFonts w:ascii="宋体" w:hAnsi="宋体" w:eastAsia="宋体" w:cs="宋体"/>
          <w:i/>
          <w:sz w:val="24"/>
          <w:szCs w:val="20"/>
          <w:u w:val="single"/>
        </w:rPr>
      </w:pPr>
      <w:r>
        <w:rPr>
          <w:rFonts w:hint="eastAsia" w:ascii="宋体" w:hAnsi="宋体" w:eastAsia="宋体" w:cs="宋体"/>
          <w:i/>
          <w:sz w:val="24"/>
          <w:szCs w:val="20"/>
          <w:u w:val="single"/>
        </w:rPr>
        <w:t>2.测试完成后自动生成学生个人体质健康报告，包含测试成绩、等级评价、个性化运动建议；支持国家学生体质健康标准测试数据一键上报，数据可实时同步至校级管理平台。涉及学生身份信息、体质健康数据、运动过程数据和人脸识别相关数据的，应统一汇聚至智慧体育校级平台管理；相关数据采集、存储、使用和管理应符合国家关于未成年人个人信息保护、个人信息保护和数据安全的相关法律法规要求。</w:t>
      </w:r>
    </w:p>
    <w:p w14:paraId="7EB5EF1D">
      <w:pPr>
        <w:widowControl/>
        <w:spacing w:line="560" w:lineRule="exact"/>
        <w:ind w:firstLine="482"/>
        <w:jc w:val="left"/>
        <w:rPr>
          <w:rFonts w:ascii="宋体" w:hAnsi="宋体" w:eastAsia="宋体" w:cs="宋体"/>
          <w:i/>
          <w:sz w:val="24"/>
          <w:szCs w:val="20"/>
          <w:u w:val="single"/>
        </w:rPr>
      </w:pPr>
      <w:r>
        <w:rPr>
          <w:rFonts w:hint="eastAsia" w:ascii="宋体" w:hAnsi="宋体" w:eastAsia="宋体" w:cs="宋体"/>
          <w:i/>
          <w:sz w:val="24"/>
          <w:szCs w:val="20"/>
          <w:u w:val="single"/>
        </w:rPr>
        <w:t>3.含智能体测主机、≥43英寸显示屏、动作识别摄像头、身高体重测量仪、肺活量测试仪、坐位体前屈测试仪、防水音响；系统平台内存≥8GB，存储≥64GB，算力平台提供≥5TOPS算力，内置人脸识别模块，支持无接触身份识别；身高体重测量仪精度±0.1cm/±0.1kg，肺活量测试仪精度±1mL，坐位体前屈测试仪精度±0.1cm；室内/半户外设计，防护等级≥IP55，防水防尘、抗干扰。</w:t>
      </w:r>
    </w:p>
    <w:p w14:paraId="07BBFA71">
      <w:pPr>
        <w:widowControl/>
        <w:spacing w:line="560" w:lineRule="exact"/>
        <w:ind w:firstLine="482"/>
        <w:jc w:val="left"/>
        <w:rPr>
          <w:rFonts w:ascii="宋体" w:hAnsi="宋体" w:eastAsia="宋体" w:cs="宋体"/>
          <w:b/>
          <w:bCs/>
          <w:i/>
          <w:sz w:val="24"/>
          <w:szCs w:val="20"/>
          <w:u w:val="single"/>
        </w:rPr>
      </w:pPr>
      <w:r>
        <w:rPr>
          <w:rFonts w:hint="eastAsia" w:ascii="宋体" w:hAnsi="宋体" w:eastAsia="宋体" w:cs="宋体"/>
          <w:b/>
          <w:bCs/>
          <w:i/>
          <w:sz w:val="24"/>
          <w:szCs w:val="20"/>
          <w:u w:val="single"/>
        </w:rPr>
        <w:t>注：</w:t>
      </w:r>
      <w:bookmarkStart w:id="178" w:name="OLE_LINK9"/>
      <w:bookmarkStart w:id="179" w:name="OLE_LINK8"/>
      <w:r>
        <w:rPr>
          <w:rFonts w:hint="eastAsia" w:ascii="宋体" w:hAnsi="宋体" w:eastAsia="宋体" w:cs="宋体"/>
          <w:b/>
          <w:bCs/>
          <w:i/>
          <w:sz w:val="24"/>
          <w:szCs w:val="20"/>
          <w:u w:val="single"/>
        </w:rPr>
        <w:t>1、本采购项目的核心产品为 ：智慧操场，核心产品品牌相同的按一家供应商计算。</w:t>
      </w:r>
    </w:p>
    <w:p w14:paraId="11A71D37">
      <w:pPr>
        <w:widowControl/>
        <w:spacing w:line="560" w:lineRule="exact"/>
        <w:ind w:firstLine="482"/>
        <w:jc w:val="left"/>
        <w:rPr>
          <w:rFonts w:ascii="宋体" w:hAnsi="宋体" w:eastAsia="宋体" w:cs="宋体"/>
          <w:b/>
          <w:i/>
          <w:iCs/>
          <w:sz w:val="24"/>
          <w:u w:val="single"/>
        </w:rPr>
      </w:pPr>
      <w:r>
        <w:rPr>
          <w:rFonts w:hint="eastAsia" w:ascii="宋体" w:hAnsi="宋体" w:eastAsia="宋体" w:cs="宋体"/>
          <w:i/>
          <w:sz w:val="24"/>
          <w:szCs w:val="20"/>
          <w:u w:val="single"/>
        </w:rPr>
        <w:t>2、所投产品软件须已适配或承诺适配基于安全可靠测评结果</w:t>
      </w:r>
      <w:bookmarkStart w:id="180" w:name="OLE_LINK25"/>
      <w:bookmarkStart w:id="181" w:name="OLE_LINK24"/>
      <w:r>
        <w:rPr>
          <w:rFonts w:hint="eastAsia" w:ascii="宋体" w:hAnsi="宋体" w:eastAsia="宋体" w:cs="宋体"/>
          <w:i/>
          <w:sz w:val="24"/>
          <w:szCs w:val="20"/>
          <w:u w:val="single"/>
        </w:rPr>
        <w:t>等级I级</w:t>
      </w:r>
      <w:bookmarkEnd w:id="180"/>
      <w:bookmarkEnd w:id="181"/>
      <w:r>
        <w:rPr>
          <w:rFonts w:hint="eastAsia" w:ascii="宋体" w:hAnsi="宋体" w:eastAsia="宋体" w:cs="宋体"/>
          <w:i/>
          <w:sz w:val="24"/>
          <w:szCs w:val="20"/>
          <w:u w:val="single"/>
        </w:rPr>
        <w:t>及以上的处理器（CPU）、操作</w:t>
      </w:r>
      <w:r>
        <w:rPr>
          <w:rFonts w:hint="eastAsia" w:ascii="宋体" w:hAnsi="宋体" w:eastAsia="宋体" w:cs="宋体"/>
          <w:i/>
          <w:iCs/>
          <w:sz w:val="24"/>
          <w:u w:val="single"/>
        </w:rPr>
        <w:t>系统的硬件</w:t>
      </w:r>
      <w:bookmarkStart w:id="182" w:name="OLE_LINK199"/>
      <w:bookmarkStart w:id="183" w:name="OLE_LINK200"/>
      <w:r>
        <w:rPr>
          <w:rFonts w:hint="eastAsia" w:ascii="宋体" w:hAnsi="宋体" w:eastAsia="宋体" w:cs="宋体"/>
          <w:i/>
          <w:iCs/>
          <w:sz w:val="24"/>
          <w:u w:val="single"/>
        </w:rPr>
        <w:t>（即：所投产品能够在基于安全可靠测评结果等级I级及以上的处理器（CPU）、操作系统上流畅运行）</w:t>
      </w:r>
      <w:bookmarkEnd w:id="182"/>
      <w:bookmarkEnd w:id="183"/>
      <w:r>
        <w:rPr>
          <w:rFonts w:hint="eastAsia" w:ascii="宋体" w:hAnsi="宋体" w:eastAsia="宋体" w:cs="宋体"/>
          <w:i/>
          <w:iCs/>
          <w:sz w:val="24"/>
          <w:u w:val="single"/>
        </w:rPr>
        <w:t>。</w:t>
      </w:r>
      <w:r>
        <w:rPr>
          <w:rFonts w:hint="eastAsia" w:ascii="宋体" w:hAnsi="宋体" w:eastAsia="宋体" w:cs="宋体"/>
          <w:b/>
          <w:i/>
          <w:iCs/>
          <w:sz w:val="24"/>
          <w:u w:val="single"/>
        </w:rPr>
        <w:t>投标时须提供相关承诺函。</w:t>
      </w:r>
    </w:p>
    <w:p w14:paraId="2C79B054">
      <w:pPr>
        <w:pStyle w:val="36"/>
        <w:spacing w:beforeAutospacing="0" w:afterAutospacing="0" w:line="500" w:lineRule="exact"/>
        <w:ind w:firstLine="480" w:firstLineChars="200"/>
        <w:rPr>
          <w:rFonts w:ascii="宋体" w:hAnsi="宋体" w:eastAsia="宋体" w:cs="宋体"/>
          <w:b/>
          <w:i/>
          <w:iCs/>
          <w:u w:val="single"/>
        </w:rPr>
      </w:pPr>
      <w:r>
        <w:rPr>
          <w:rFonts w:hint="eastAsia" w:ascii="宋体" w:hAnsi="宋体" w:eastAsia="宋体" w:cs="宋体"/>
          <w:i/>
          <w:iCs/>
          <w:u w:val="single"/>
        </w:rPr>
        <w:t>3、所投产品硬件架构或承诺架构须基于安全可靠测评结果等级I级及以上的处理器（CPU）、操作系统、数据库开发，（即：所投产品能够在基于安全可靠测评结果等级I级及以上的处理器（CPU）、操作系统上流畅运行）</w:t>
      </w:r>
      <w:r>
        <w:rPr>
          <w:rFonts w:hint="eastAsia" w:ascii="宋体" w:hAnsi="宋体" w:eastAsia="宋体" w:cs="宋体"/>
          <w:b/>
          <w:i/>
          <w:iCs/>
          <w:u w:val="single"/>
        </w:rPr>
        <w:t>投标时须提供相关承诺。否则作无效投标。</w:t>
      </w:r>
      <w:bookmarkEnd w:id="178"/>
      <w:bookmarkEnd w:id="179"/>
    </w:p>
    <w:p w14:paraId="624E2F27">
      <w:pPr>
        <w:widowControl/>
        <w:spacing w:line="560" w:lineRule="exact"/>
        <w:ind w:firstLine="482" w:firstLineChars="200"/>
        <w:jc w:val="left"/>
        <w:rPr>
          <w:rFonts w:ascii="宋体" w:hAnsi="宋体" w:eastAsia="宋体" w:cs="宋体"/>
          <w:b/>
          <w:sz w:val="24"/>
          <w:szCs w:val="32"/>
        </w:rPr>
      </w:pPr>
      <w:r>
        <w:rPr>
          <w:rFonts w:hint="eastAsia" w:ascii="宋体" w:hAnsi="宋体" w:eastAsia="宋体" w:cs="宋体"/>
          <w:b/>
          <w:sz w:val="24"/>
          <w:szCs w:val="32"/>
        </w:rPr>
        <w:t>4、技术参数中斜体且有下划线部分为实质性要求和条件，不得负偏离，须按清单逐条制作技术参数响应偏离表</w:t>
      </w:r>
      <w:r>
        <w:rPr>
          <w:rFonts w:hint="eastAsia" w:ascii="宋体" w:hAnsi="宋体" w:cs="宋体"/>
          <w:b/>
          <w:sz w:val="24"/>
        </w:rPr>
        <w:t>（文件中要求提交证明材料的须提交证明材料）</w:t>
      </w:r>
      <w:r>
        <w:rPr>
          <w:rFonts w:hint="eastAsia" w:ascii="宋体" w:hAnsi="宋体" w:eastAsia="宋体" w:cs="宋体"/>
          <w:b/>
          <w:sz w:val="24"/>
          <w:szCs w:val="32"/>
        </w:rPr>
        <w:t>，否则视作未实质性响应采购文件要求【供应商完全同意条款（即无偏离）或提出对采购人更有利的条款（即正偏离）都属于响应，供应商不同意某项条款（即负偏离）的属于不响应】，按无效响应处理。（特别说明如某项中包含多条技术参数或要求，则该项所含内容均需满足或优于招标文件要求，否则不予认可。）</w:t>
      </w:r>
    </w:p>
    <w:p w14:paraId="3B4FDE27">
      <w:pPr>
        <w:widowControl/>
        <w:spacing w:line="560" w:lineRule="exact"/>
        <w:ind w:firstLine="482"/>
        <w:jc w:val="left"/>
        <w:rPr>
          <w:rFonts w:ascii="宋体" w:hAnsi="宋体" w:eastAsia="宋体" w:cs="宋体"/>
          <w:b/>
          <w:bCs/>
          <w:sz w:val="24"/>
          <w:szCs w:val="20"/>
        </w:rPr>
      </w:pPr>
      <w:r>
        <w:rPr>
          <w:rFonts w:hint="eastAsia" w:ascii="宋体" w:hAnsi="宋体" w:eastAsia="宋体" w:cs="宋体"/>
          <w:b/>
          <w:bCs/>
          <w:sz w:val="24"/>
          <w:szCs w:val="20"/>
        </w:rPr>
        <w:t>二、商务要求</w:t>
      </w:r>
    </w:p>
    <w:p w14:paraId="1EF4392D">
      <w:pPr>
        <w:widowControl/>
        <w:spacing w:line="560" w:lineRule="exact"/>
        <w:ind w:firstLine="482"/>
        <w:jc w:val="left"/>
        <w:rPr>
          <w:rFonts w:ascii="宋体" w:hAnsi="宋体" w:eastAsia="宋体" w:cs="宋体"/>
          <w:b/>
          <w:bCs/>
          <w:sz w:val="24"/>
          <w:szCs w:val="20"/>
        </w:rPr>
      </w:pPr>
      <w:r>
        <w:rPr>
          <w:rFonts w:hint="eastAsia" w:ascii="宋体" w:hAnsi="宋体" w:eastAsia="宋体" w:cs="宋体"/>
          <w:b/>
          <w:bCs/>
          <w:sz w:val="24"/>
          <w:szCs w:val="20"/>
        </w:rPr>
        <w:t>1.付款方式：</w:t>
      </w:r>
    </w:p>
    <w:p w14:paraId="6E907BA9">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①自合同签订生效之日起，甲方收到预付款发票后10个工作日内，甲方向乙方支付合同总价的30%款项作为预付款；</w:t>
      </w:r>
    </w:p>
    <w:p w14:paraId="7D630EC5">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②</w:t>
      </w:r>
      <w:bookmarkStart w:id="184" w:name="OLE_LINK16"/>
      <w:bookmarkStart w:id="185" w:name="OLE_LINK15"/>
      <w:r>
        <w:rPr>
          <w:rFonts w:hint="eastAsia" w:ascii="宋体" w:hAnsi="宋体" w:eastAsia="宋体" w:cs="宋体"/>
          <w:sz w:val="24"/>
          <w:szCs w:val="20"/>
        </w:rPr>
        <w:t>完成全部供货并通过验收合格后支付至合同价的50%，服务期满一年后付清余款。</w:t>
      </w:r>
    </w:p>
    <w:bookmarkEnd w:id="184"/>
    <w:bookmarkEnd w:id="185"/>
    <w:p w14:paraId="2EF58646">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2.</w:t>
      </w:r>
      <w:bookmarkStart w:id="186" w:name="OLE_LINK39"/>
      <w:r>
        <w:rPr>
          <w:rFonts w:hint="eastAsia" w:ascii="宋体" w:hAnsi="宋体" w:eastAsia="宋体" w:cs="宋体"/>
          <w:sz w:val="24"/>
          <w:szCs w:val="20"/>
        </w:rPr>
        <w:t>提供免费质保期：整套软硬件设备至少提供3年免费整机质保服务，质保期内提供免费维修、免费更换故障配件服务。 提供7×24小时全天候技术响应服务，4小时内完成远程故障排查，24小时内到场上门处置问题；硬件质保期满后维修只收取材料成本费。免收人工服务费。</w:t>
      </w:r>
    </w:p>
    <w:p w14:paraId="7BFD3D0B">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至少免费提供5年系统软件升级、功能优化、平台数据对接维护服务，5年内全部数据运维费用，质保期内数据存储、备份、迁移、纠错、接口调试等，免费保障不少于5年全量数据长期留存。</w:t>
      </w:r>
    </w:p>
    <w:bookmarkEnd w:id="186"/>
    <w:p w14:paraId="605B22C0">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3.合同履行期限：接到采购人通知后25天内供货并验收合格。</w:t>
      </w:r>
    </w:p>
    <w:p w14:paraId="38A1732D">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4.交货地点：各相关学校指定位置。</w:t>
      </w:r>
    </w:p>
    <w:p w14:paraId="2710659A">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5.货物验收要求</w:t>
      </w:r>
    </w:p>
    <w:p w14:paraId="3C48B972">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（1）依照招标文件要求对全部货物、型号、规格、数量、外型、外观、包装及资料、文件（如装箱单、保修单、随箱介质等）进行验收。</w:t>
      </w:r>
    </w:p>
    <w:p w14:paraId="1B8B3CEE">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（2）采购人与供应商对货物到货后共同进行开箱检查，出现损坏、数量不全或产品不对等问题时，由供应商负责解决。</w:t>
      </w:r>
    </w:p>
    <w:p w14:paraId="4F0E6AE2">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（3）采购人有权从供应商所送货物中任意抽出不同型号的产品送采购人所在地的质检部门检验，如果检验合格，检验费由采购人负担；如果检验不合格，则检验费由供应商负担。</w:t>
      </w:r>
    </w:p>
    <w:p w14:paraId="0FD53066">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（4）供应商应按照本合同规定的时间、地点和方式向采购人交付货物。</w:t>
      </w:r>
    </w:p>
    <w:p w14:paraId="6DE700AF">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（5）采购人应在全部货物到货安装完毕后的五个工作日内进行验收，验收包括：型号、规格、数量、外观是否完好，安装调试是否合格等。验收合格后采购人应在验收报告上签字盖章。</w:t>
      </w:r>
    </w:p>
    <w:p w14:paraId="7D3C669F">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6）货到现场后，采购人人员根据招标要求，对包装物进行视检和抽检，如包装物不符合招标要求，采购人有权将包装物送至市级及以上检测机构送检。因检测不合格延误了交付进度，供应商应承担相应的违约责任。</w:t>
      </w:r>
    </w:p>
    <w:p w14:paraId="666F5701">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6.报价要求</w:t>
      </w:r>
    </w:p>
    <w:p w14:paraId="6ACCBAEC">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该报价为到项目现场的全部费用，包含货物、包装、仓储、运输、分发、安装、本地化部署、验收等和售后服务、利润、保险、税金、备品备件以及所包含的风险、责任等为完成本项目发生的所有费用均包含在报价内，请各投标人认真考虑其各种风险或情况。除合同另有规定之外，伴随服务的费用均已含在合同价款中，采购人不再另行支付。</w:t>
      </w:r>
    </w:p>
    <w:p w14:paraId="5A6CEA32">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7.供应商提供的全部货物均应按标准保护措施进行包装，这类包装应适应于远距离运输、防潮、防震、防锈和防野蛮装卸，以确保货物安全无损运抵指定交货地点。如因包装问题导致货物毁损或者品质下降，采购人有权要求换货、拒收部分或整批货物，由此造成采购人的费用和损失，均由中标人承担。</w:t>
      </w:r>
    </w:p>
    <w:p w14:paraId="41B70C5E">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8.踏勘</w:t>
      </w:r>
    </w:p>
    <w:p w14:paraId="76B54F27">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1</w:t>
      </w:r>
      <w:bookmarkStart w:id="187" w:name="OLE_LINK50"/>
      <w:bookmarkStart w:id="188" w:name="OLE_LINK51"/>
      <w:r>
        <w:rPr>
          <w:rFonts w:hint="eastAsia" w:ascii="宋体" w:hAnsi="宋体" w:eastAsia="宋体" w:cs="宋体"/>
          <w:sz w:val="24"/>
          <w:szCs w:val="20"/>
        </w:rPr>
        <w:t>.投标人</w:t>
      </w:r>
      <w:bookmarkEnd w:id="187"/>
      <w:bookmarkEnd w:id="188"/>
      <w:r>
        <w:rPr>
          <w:rFonts w:hint="eastAsia" w:ascii="宋体" w:hAnsi="宋体" w:eastAsia="宋体" w:cs="宋体"/>
          <w:sz w:val="24"/>
          <w:szCs w:val="20"/>
        </w:rPr>
        <w:t>在报价时应充分考虑现场实际情况，如有需要，投标人应可自行到项目现场进行踏勘实训场地情况。考察现场后相应施工费用线材辅材等一律不予变更。请务必对项目现场和周围环境进行仔细认真地查勘，在随后的采购中，对现场资料和数据所作出的推论、解释和结论及由此造成的后果由供应商负责。投标人充分了解工地位置、情况、道路、储存空间、装卸限制等相关要求、任何其他足以影响响应文件的情况，并将可能发生的相关费用全部考虑到响应文件中，成交后不再增加费用，任何因忽视或误解工地情况而导致的费用索赔或工期延长的申请将不被批准，均由投标人自行承担。</w:t>
      </w:r>
    </w:p>
    <w:p w14:paraId="76BA4F93">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2.投标人踏勘现场发生的费用自理，投标人自行负责在踏勘现场中所发生的人员伤亡和财产损失。</w:t>
      </w:r>
    </w:p>
    <w:p w14:paraId="22BD3AA1">
      <w:pPr>
        <w:widowControl/>
        <w:spacing w:line="560" w:lineRule="exact"/>
        <w:ind w:firstLine="482"/>
        <w:jc w:val="left"/>
        <w:rPr>
          <w:rFonts w:ascii="宋体" w:hAnsi="宋体" w:eastAsia="宋体" w:cs="宋体"/>
          <w:b/>
          <w:bCs/>
          <w:sz w:val="24"/>
          <w:szCs w:val="20"/>
        </w:rPr>
      </w:pPr>
      <w:r>
        <w:rPr>
          <w:rFonts w:hint="eastAsia" w:ascii="宋体" w:hAnsi="宋体" w:eastAsia="宋体" w:cs="宋体"/>
          <w:b/>
          <w:bCs/>
          <w:sz w:val="24"/>
          <w:szCs w:val="20"/>
        </w:rPr>
        <w:t>三、项目管理服务方案</w:t>
      </w:r>
    </w:p>
    <w:p w14:paraId="1ED3CF6F">
      <w:pPr>
        <w:widowControl/>
        <w:spacing w:line="560" w:lineRule="exact"/>
        <w:ind w:firstLine="482"/>
        <w:jc w:val="left"/>
        <w:rPr>
          <w:rFonts w:ascii="宋体" w:hAnsi="宋体" w:eastAsia="宋体" w:cs="宋体"/>
          <w:b/>
          <w:bCs/>
          <w:sz w:val="24"/>
          <w:szCs w:val="20"/>
        </w:rPr>
      </w:pPr>
      <w:r>
        <w:rPr>
          <w:rFonts w:hint="eastAsia" w:ascii="宋体" w:hAnsi="宋体" w:eastAsia="宋体" w:cs="宋体"/>
          <w:b/>
          <w:bCs/>
          <w:sz w:val="24"/>
          <w:szCs w:val="20"/>
        </w:rPr>
        <w:t>（一）业绩</w:t>
      </w:r>
    </w:p>
    <w:p w14:paraId="7B95C2C8">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投标人或者主要产品（自2023年1月1日以来）承接过类似业绩</w:t>
      </w:r>
      <w:r>
        <w:rPr>
          <w:rFonts w:hint="eastAsia" w:asciiTheme="minorEastAsia" w:hAnsiTheme="minorEastAsia" w:cstheme="minorEastAsia"/>
          <w:sz w:val="24"/>
        </w:rPr>
        <w:t>（</w:t>
      </w:r>
      <w:r>
        <w:rPr>
          <w:rFonts w:hint="eastAsia" w:asciiTheme="minorEastAsia" w:hAnsiTheme="minorEastAsia" w:cstheme="minorEastAsia"/>
          <w:sz w:val="24"/>
          <w:lang w:val="zh-CN"/>
        </w:rPr>
        <w:t>类似项目是</w:t>
      </w:r>
      <w:r>
        <w:rPr>
          <w:rFonts w:hint="eastAsia" w:asciiTheme="minorEastAsia" w:hAnsiTheme="minorEastAsia" w:cstheme="minorEastAsia"/>
          <w:sz w:val="24"/>
        </w:rPr>
        <w:t>指智慧操场、智慧游戏一体机、体测一体机等业绩</w:t>
      </w:r>
      <w:r>
        <w:rPr>
          <w:rFonts w:hint="eastAsia" w:asciiTheme="minorEastAsia" w:hAnsiTheme="minorEastAsia" w:cstheme="minorEastAsia"/>
          <w:sz w:val="24"/>
          <w:lang w:val="zh-CN"/>
        </w:rPr>
        <w:t>至少一项在内</w:t>
      </w:r>
      <w:r>
        <w:rPr>
          <w:rFonts w:hint="eastAsia" w:asciiTheme="minorEastAsia" w:hAnsiTheme="minorEastAsia" w:cstheme="minorEastAsia"/>
          <w:sz w:val="24"/>
        </w:rPr>
        <w:t>的成功案例）</w:t>
      </w:r>
      <w:r>
        <w:rPr>
          <w:rFonts w:hint="eastAsia" w:ascii="宋体" w:hAnsi="宋体" w:eastAsia="宋体" w:cs="宋体"/>
          <w:sz w:val="24"/>
          <w:szCs w:val="20"/>
        </w:rPr>
        <w:t>的</w:t>
      </w:r>
      <w:r>
        <w:rPr>
          <w:rFonts w:hint="eastAsia" w:ascii="宋体" w:hAnsi="宋体" w:eastAsia="宋体" w:cs="宋体"/>
          <w:b/>
          <w:bCs/>
          <w:sz w:val="24"/>
          <w:szCs w:val="20"/>
        </w:rPr>
        <w:t>优先</w:t>
      </w:r>
      <w:r>
        <w:rPr>
          <w:rFonts w:hint="eastAsia" w:ascii="宋体" w:hAnsi="宋体" w:eastAsia="宋体" w:cs="宋体"/>
          <w:sz w:val="24"/>
          <w:szCs w:val="20"/>
        </w:rPr>
        <w:t>。</w:t>
      </w:r>
    </w:p>
    <w:p w14:paraId="7F5D1C54">
      <w:pPr>
        <w:widowControl/>
        <w:spacing w:line="560" w:lineRule="exact"/>
        <w:ind w:firstLine="482"/>
        <w:jc w:val="left"/>
        <w:rPr>
          <w:rFonts w:ascii="宋体" w:hAnsi="宋体" w:eastAsia="宋体" w:cs="宋体"/>
          <w:b/>
          <w:bCs/>
          <w:sz w:val="24"/>
          <w:szCs w:val="20"/>
        </w:rPr>
      </w:pPr>
      <w:r>
        <w:rPr>
          <w:rFonts w:hint="eastAsia" w:ascii="宋体" w:hAnsi="宋体" w:eastAsia="宋体" w:cs="宋体"/>
          <w:b/>
          <w:bCs/>
          <w:sz w:val="24"/>
          <w:szCs w:val="20"/>
        </w:rPr>
        <w:t>（二）视频演示</w:t>
      </w:r>
    </w:p>
    <w:p w14:paraId="54BF89F3">
      <w:pPr>
        <w:widowControl/>
        <w:spacing w:line="560" w:lineRule="exact"/>
        <w:ind w:firstLine="482"/>
        <w:jc w:val="left"/>
        <w:rPr>
          <w:rFonts w:ascii="宋体" w:hAnsi="宋体" w:cs="宋体"/>
          <w:sz w:val="24"/>
          <w:szCs w:val="20"/>
        </w:rPr>
      </w:pPr>
      <w:r>
        <w:rPr>
          <w:rFonts w:hint="eastAsia" w:ascii="宋体" w:hAnsi="宋体" w:eastAsia="宋体" w:cs="宋体"/>
          <w:sz w:val="24"/>
          <w:szCs w:val="20"/>
        </w:rPr>
        <w:t>1.</w:t>
      </w:r>
      <w:r>
        <w:rPr>
          <w:rFonts w:hint="eastAsia" w:ascii="宋体" w:hAnsi="宋体" w:eastAsia="Arial" w:cs="宋体"/>
          <w:sz w:val="24"/>
          <w:szCs w:val="20"/>
        </w:rPr>
        <w:t>投标人应根据采购需求和本项目实际，提供相应的演示视频，至少包含以下内容:</w:t>
      </w:r>
    </w:p>
    <w:p w14:paraId="63EFCEF6">
      <w:pPr>
        <w:widowControl/>
        <w:spacing w:line="560" w:lineRule="exact"/>
        <w:ind w:firstLine="482"/>
        <w:jc w:val="left"/>
        <w:rPr>
          <w:rFonts w:ascii="宋体" w:hAnsi="宋体" w:eastAsia="Arial" w:cs="宋体"/>
          <w:sz w:val="24"/>
          <w:szCs w:val="20"/>
        </w:rPr>
      </w:pPr>
      <w:r>
        <w:rPr>
          <w:rFonts w:hint="eastAsia" w:ascii="宋体" w:hAnsi="宋体" w:eastAsia="Arial" w:cs="宋体"/>
          <w:sz w:val="24"/>
          <w:szCs w:val="20"/>
        </w:rPr>
        <w:t>1</w:t>
      </w:r>
      <w:r>
        <w:rPr>
          <w:rFonts w:hint="eastAsia" w:ascii="宋体" w:hAnsi="宋体" w:cs="宋体"/>
          <w:sz w:val="24"/>
          <w:szCs w:val="20"/>
        </w:rPr>
        <w:t>）</w:t>
      </w:r>
      <w:r>
        <w:rPr>
          <w:rFonts w:hint="eastAsia" w:ascii="宋体" w:hAnsi="宋体" w:eastAsia="Arial" w:cs="宋体"/>
          <w:sz w:val="24"/>
          <w:szCs w:val="20"/>
        </w:rPr>
        <w:t>智慧显示大屏（含市级、校级平台)</w:t>
      </w:r>
    </w:p>
    <w:p w14:paraId="60312E72">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投标人须提供校级平台在大屏上展示情况的演示视频，应显示：①学生个人运动数据分析、运动建议或分析报告；②按照设定评价标准对学生体育测试项目进行成绩评价，根据管理员、教师等不同角色设置数据查看、数据导出等管理权限内容。</w:t>
      </w:r>
    </w:p>
    <w:p w14:paraId="04895C55">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2）智慧操场</w:t>
      </w:r>
    </w:p>
    <w:p w14:paraId="2F321469">
      <w:pPr>
        <w:widowControl/>
        <w:spacing w:line="560" w:lineRule="exact"/>
        <w:ind w:firstLine="482"/>
        <w:jc w:val="left"/>
        <w:rPr>
          <w:rFonts w:asciiTheme="minorEastAsia" w:hAnsiTheme="minorEastAsia" w:cstheme="minorEastAsia"/>
          <w:sz w:val="24"/>
          <w:szCs w:val="20"/>
        </w:rPr>
      </w:pPr>
      <w:r>
        <w:rPr>
          <w:rFonts w:hint="eastAsia" w:asciiTheme="minorEastAsia" w:hAnsiTheme="minorEastAsia" w:cstheme="minorEastAsia"/>
          <w:sz w:val="24"/>
          <w:szCs w:val="20"/>
        </w:rPr>
        <w:t>投标人须提供智慧操场应用视频演示，视频应体现：成绩记录反馈及违规动作检测能力，短跑项目起点支持识别踩线违规并实时语音提示。①学生通过终点后，终点成绩显示屏可立即显示成绩并语音播报，学生每次经过检测点，终点成绩显示屏实时更新学生跑步用时和累计跑步距离。②至少支持识别和提示抢跑违规、串道违规等无成绩原因，中长跑项目起点支持识别踩线违规并实时语音提示。</w:t>
      </w:r>
    </w:p>
    <w:p w14:paraId="7AF4B9D7">
      <w:pPr>
        <w:widowControl/>
        <w:spacing w:line="560" w:lineRule="exact"/>
        <w:ind w:firstLine="482"/>
        <w:jc w:val="left"/>
        <w:rPr>
          <w:rFonts w:asciiTheme="minorEastAsia" w:hAnsiTheme="minorEastAsia" w:cstheme="minorEastAsia"/>
          <w:sz w:val="24"/>
          <w:szCs w:val="20"/>
        </w:rPr>
      </w:pPr>
      <w:r>
        <w:rPr>
          <w:rFonts w:hint="eastAsia" w:ascii="宋体" w:hAnsi="宋体" w:eastAsia="宋体" w:cs="宋体"/>
          <w:sz w:val="24"/>
          <w:szCs w:val="20"/>
        </w:rPr>
        <w:t>3）智慧游戏一体机</w:t>
      </w:r>
    </w:p>
    <w:p w14:paraId="7518ADCF">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投标人须提供智慧游戏一体机应用视频演示，视频应体现：①活动创建、项目选择、学生参与、成绩记录、排行展示或结果反馈；②活动管理流程设计合理，操作便利，学生参与比赛的交互界面友好等过程。</w:t>
      </w:r>
    </w:p>
    <w:p w14:paraId="1ED8AD48">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4）智慧体测一体机</w:t>
      </w:r>
    </w:p>
    <w:p w14:paraId="18D6AF9B">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投标人须提供所投智慧体测一体机的视频演示材料。视频应重点展示：①身高体重、肺活量、坐位体前屈3类项目测试过程；②呈现学生运动画面、系统识别界面、异常提示弹窗、实时成绩面板及最终结果反馈页面。</w:t>
      </w:r>
    </w:p>
    <w:p w14:paraId="01120587">
      <w:pPr>
        <w:widowControl/>
        <w:spacing w:line="560" w:lineRule="exact"/>
        <w:ind w:firstLine="482"/>
        <w:jc w:val="left"/>
        <w:rPr>
          <w:rFonts w:ascii="宋体" w:hAnsi="宋体" w:eastAsia="Arial" w:cs="宋体"/>
          <w:sz w:val="24"/>
          <w:szCs w:val="20"/>
        </w:rPr>
      </w:pPr>
      <w:r>
        <w:rPr>
          <w:rFonts w:hint="eastAsia" w:ascii="宋体" w:hAnsi="宋体" w:eastAsia="宋体" w:cs="宋体"/>
          <w:sz w:val="24"/>
          <w:szCs w:val="20"/>
        </w:rPr>
        <w:t>2.</w:t>
      </w:r>
      <w:r>
        <w:rPr>
          <w:rFonts w:hint="eastAsia" w:ascii="宋体" w:hAnsi="宋体" w:eastAsia="Arial" w:cs="宋体"/>
          <w:sz w:val="24"/>
          <w:szCs w:val="20"/>
        </w:rPr>
        <w:t>演示要求:演示方式 视频演示</w:t>
      </w:r>
    </w:p>
    <w:p w14:paraId="05B36106">
      <w:pPr>
        <w:widowControl/>
        <w:spacing w:line="560" w:lineRule="exact"/>
        <w:ind w:firstLine="482"/>
        <w:jc w:val="left"/>
        <w:rPr>
          <w:rFonts w:ascii="宋体" w:hAnsi="宋体" w:cs="宋体"/>
          <w:sz w:val="24"/>
        </w:rPr>
      </w:pPr>
      <w:r>
        <w:rPr>
          <w:rFonts w:hint="eastAsia" w:asciiTheme="minorEastAsia" w:hAnsiTheme="minorEastAsia" w:cstheme="minorEastAsia"/>
          <w:sz w:val="24"/>
          <w:szCs w:val="20"/>
        </w:rPr>
        <w:t>投标人需按照招标文件规定的演示内容制作演示视频文件，</w:t>
      </w:r>
      <w:r>
        <w:rPr>
          <w:rFonts w:hint="eastAsia" w:ascii="宋体" w:hAnsi="宋体" w:cs="宋体"/>
          <w:sz w:val="24"/>
        </w:rPr>
        <w:t>对智慧体育设施的参数提供相应的演示视频，演示视频中的演示形式须是目前正在运行的真实环境或模拟环境。</w:t>
      </w:r>
      <w:r>
        <w:rPr>
          <w:rFonts w:hint="eastAsia" w:asciiTheme="minorEastAsia" w:hAnsiTheme="minorEastAsia" w:cstheme="minorEastAsia"/>
          <w:sz w:val="24"/>
          <w:szCs w:val="20"/>
        </w:rPr>
        <w:t>视频文件的格式为*.mp4 或*.avi，投标人须将视频文件分段压缩为*.zip 文</w:t>
      </w:r>
      <w:r>
        <w:rPr>
          <w:rFonts w:hint="eastAsia" w:ascii="宋体" w:hAnsi="宋体" w:eastAsia="宋体" w:cs="宋体"/>
          <w:sz w:val="24"/>
          <w:szCs w:val="20"/>
        </w:rPr>
        <w:t>件上传(单个文件不得大于 50M，所有文件总共不得大于300M)。文件上传方式见《操作手册》规定，上</w:t>
      </w:r>
      <w:r>
        <w:rPr>
          <w:rFonts w:hint="eastAsia" w:asciiTheme="minorEastAsia" w:hAnsiTheme="minorEastAsia" w:cstheme="minorEastAsia"/>
          <w:sz w:val="24"/>
          <w:szCs w:val="20"/>
        </w:rPr>
        <w:t>传的演示视频将作为投标文件的组成部分，视频时长总计不超过15分钟。</w:t>
      </w:r>
    </w:p>
    <w:p w14:paraId="7D43FFF2">
      <w:pPr>
        <w:widowControl/>
        <w:spacing w:line="560" w:lineRule="exact"/>
        <w:ind w:firstLine="482"/>
        <w:jc w:val="left"/>
        <w:rPr>
          <w:rFonts w:ascii="宋体" w:hAnsi="宋体" w:eastAsia="宋体" w:cs="宋体"/>
          <w:b/>
          <w:bCs/>
          <w:sz w:val="24"/>
          <w:szCs w:val="20"/>
        </w:rPr>
      </w:pPr>
      <w:r>
        <w:rPr>
          <w:rFonts w:hint="eastAsia" w:ascii="宋体" w:hAnsi="宋体" w:eastAsia="宋体" w:cs="宋体"/>
          <w:b/>
          <w:bCs/>
          <w:sz w:val="24"/>
          <w:szCs w:val="20"/>
        </w:rPr>
        <w:t>（三）项目实施方案</w:t>
      </w:r>
    </w:p>
    <w:p w14:paraId="43C6B0EC">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投标人应根据采购需求和本项目实际，制订相应的供货实施方案应至少包含以下内容：</w:t>
      </w:r>
    </w:p>
    <w:p w14:paraId="0AAB91FF">
      <w:pPr>
        <w:widowControl/>
        <w:numPr>
          <w:ilvl w:val="0"/>
          <w:numId w:val="5"/>
        </w:numPr>
        <w:spacing w:line="560" w:lineRule="exact"/>
        <w:ind w:firstLine="482"/>
        <w:jc w:val="left"/>
        <w:rPr>
          <w:rFonts w:ascii="宋体" w:hAnsi="宋体" w:eastAsia="宋体" w:cs="宋体"/>
          <w:b/>
          <w:bCs/>
          <w:sz w:val="24"/>
          <w:szCs w:val="20"/>
        </w:rPr>
      </w:pPr>
      <w:bookmarkStart w:id="189" w:name="OLE_LINK83"/>
      <w:bookmarkStart w:id="190" w:name="OLE_LINK84"/>
      <w:r>
        <w:rPr>
          <w:rFonts w:hint="eastAsia" w:ascii="宋体" w:hAnsi="宋体" w:eastAsia="宋体" w:cs="宋体"/>
          <w:b/>
          <w:bCs/>
          <w:sz w:val="24"/>
          <w:szCs w:val="20"/>
        </w:rPr>
        <w:t>深化设计方案</w:t>
      </w:r>
    </w:p>
    <w:p w14:paraId="2A2772C9">
      <w:pPr>
        <w:widowControl/>
        <w:spacing w:line="560" w:lineRule="exact"/>
        <w:ind w:firstLine="480" w:firstLineChars="200"/>
        <w:jc w:val="left"/>
        <w:rPr>
          <w:rFonts w:ascii="宋体" w:hAnsi="宋体" w:eastAsia="宋体" w:cs="宋体"/>
          <w:sz w:val="24"/>
          <w:szCs w:val="20"/>
        </w:rPr>
      </w:pPr>
      <w:r>
        <w:rPr>
          <w:rFonts w:hint="eastAsia" w:ascii="宋体" w:hAnsi="宋体" w:eastAsia="宋体" w:cs="宋体"/>
          <w:sz w:val="24"/>
          <w:szCs w:val="20"/>
        </w:rPr>
        <w:t>深化方案至少包含以下内容:</w:t>
      </w:r>
    </w:p>
    <w:p w14:paraId="36AC417E">
      <w:pPr>
        <w:widowControl/>
        <w:spacing w:line="560" w:lineRule="exact"/>
        <w:ind w:firstLine="480" w:firstLineChars="200"/>
        <w:jc w:val="left"/>
        <w:rPr>
          <w:rFonts w:ascii="宋体" w:hAnsi="宋体" w:eastAsia="宋体" w:cs="宋体"/>
          <w:sz w:val="24"/>
          <w:szCs w:val="20"/>
        </w:rPr>
      </w:pPr>
      <w:r>
        <w:rPr>
          <w:rFonts w:hint="eastAsia" w:ascii="宋体" w:hAnsi="宋体" w:eastAsia="宋体" w:cs="宋体"/>
          <w:sz w:val="24"/>
          <w:szCs w:val="20"/>
        </w:rPr>
        <w:t>①数据融合与平台对接能力</w:t>
      </w:r>
    </w:p>
    <w:p w14:paraId="3D33BF3C">
      <w:pPr>
        <w:widowControl/>
        <w:spacing w:line="560" w:lineRule="exact"/>
        <w:ind w:firstLine="480" w:firstLineChars="200"/>
        <w:jc w:val="left"/>
        <w:rPr>
          <w:rFonts w:ascii="宋体" w:hAnsi="宋体" w:eastAsia="宋体" w:cs="宋体"/>
          <w:sz w:val="24"/>
          <w:szCs w:val="20"/>
        </w:rPr>
      </w:pPr>
      <w:r>
        <w:rPr>
          <w:rFonts w:hint="eastAsia" w:ascii="宋体" w:hAnsi="宋体" w:eastAsia="宋体" w:cs="宋体"/>
          <w:sz w:val="24"/>
          <w:szCs w:val="20"/>
        </w:rPr>
        <w:t>方案需明确智慧体育校级平台与学校现有信息化平台（如学生基础数据管理系统、综合评价平台）的数据融合方式，包括数据接口开放、权限控制、联调服务及安全保障措施。重点考察数据衔接逻辑是否清晰，能否实现体育测试、体锻训练等数据向其他平台的高效、安全传输，以及是否满足学校综合评价应用需求。</w:t>
      </w:r>
    </w:p>
    <w:p w14:paraId="6F1147A5">
      <w:pPr>
        <w:widowControl/>
        <w:spacing w:line="560" w:lineRule="exact"/>
        <w:ind w:firstLine="480" w:firstLineChars="200"/>
        <w:jc w:val="left"/>
        <w:rPr>
          <w:rFonts w:ascii="宋体" w:hAnsi="宋体" w:eastAsia="宋体" w:cs="宋体"/>
          <w:sz w:val="24"/>
          <w:szCs w:val="20"/>
        </w:rPr>
      </w:pPr>
      <w:r>
        <w:rPr>
          <w:rFonts w:hint="eastAsia" w:ascii="宋体" w:hAnsi="宋体" w:eastAsia="宋体" w:cs="宋体"/>
          <w:sz w:val="24"/>
          <w:szCs w:val="20"/>
        </w:rPr>
        <w:t>②智慧操场部署合理性</w:t>
      </w:r>
    </w:p>
    <w:p w14:paraId="17D475A2">
      <w:pPr>
        <w:widowControl/>
        <w:spacing w:line="560" w:lineRule="exact"/>
        <w:ind w:firstLine="480" w:firstLineChars="200"/>
        <w:jc w:val="left"/>
        <w:rPr>
          <w:rFonts w:ascii="宋体" w:hAnsi="宋体" w:eastAsia="宋体" w:cs="宋体"/>
          <w:sz w:val="24"/>
          <w:szCs w:val="20"/>
        </w:rPr>
      </w:pPr>
      <w:r>
        <w:rPr>
          <w:rFonts w:hint="eastAsia" w:ascii="宋体" w:hAnsi="宋体" w:eastAsia="宋体" w:cs="宋体"/>
          <w:sz w:val="24"/>
          <w:szCs w:val="20"/>
        </w:rPr>
        <w:t>方案需结合学校操场实际尺寸、跑道路线及现有布局，详细规划50米跑、100米跑、800/1000米跑等测试套装的设备点位、起终点设置、发令组织、显示设备配置、线缆敷设、供电网络及数据传输方式。设备部署需确保不影响操场原有功能、规范使用和安全管理，方案应具备完整性和可实施性。</w:t>
      </w:r>
    </w:p>
    <w:p w14:paraId="1A677198">
      <w:pPr>
        <w:widowControl/>
        <w:spacing w:line="560" w:lineRule="exact"/>
        <w:ind w:firstLine="480" w:firstLineChars="200"/>
        <w:jc w:val="left"/>
        <w:rPr>
          <w:rFonts w:ascii="宋体" w:hAnsi="宋体" w:eastAsia="宋体" w:cs="宋体"/>
          <w:sz w:val="24"/>
          <w:szCs w:val="20"/>
        </w:rPr>
      </w:pPr>
      <w:r>
        <w:rPr>
          <w:rFonts w:hint="eastAsia" w:ascii="宋体" w:hAnsi="宋体" w:eastAsia="宋体" w:cs="宋体"/>
          <w:sz w:val="24"/>
          <w:szCs w:val="20"/>
        </w:rPr>
        <w:t>③室内一体机空间设计</w:t>
      </w:r>
    </w:p>
    <w:p w14:paraId="67DE0991">
      <w:pPr>
        <w:widowControl/>
        <w:spacing w:line="560" w:lineRule="exact"/>
        <w:ind w:firstLine="480" w:firstLineChars="200"/>
        <w:jc w:val="left"/>
        <w:rPr>
          <w:rFonts w:ascii="宋体" w:hAnsi="宋体" w:eastAsia="宋体" w:cs="宋体"/>
          <w:sz w:val="24"/>
          <w:szCs w:val="20"/>
        </w:rPr>
      </w:pPr>
      <w:r>
        <w:rPr>
          <w:rFonts w:hint="eastAsia" w:ascii="宋体" w:hAnsi="宋体" w:eastAsia="宋体" w:cs="宋体"/>
          <w:sz w:val="24"/>
          <w:szCs w:val="20"/>
        </w:rPr>
        <w:t>方案需针对学校现有室内空间条件，对游戏一体机及体测一体机进行整体设计，包括设备摆放、学生运动区域、地面设计、空间动线、屏幕朝向、供电网络及安全防护等内容。需提供效果图或布置图，直观展示空间使用效果，确保满足课堂教学、课间锻炼、体测训练和学生自主运动需求。</w:t>
      </w:r>
    </w:p>
    <w:p w14:paraId="1F589AEF">
      <w:pPr>
        <w:widowControl/>
        <w:spacing w:line="560" w:lineRule="exact"/>
        <w:ind w:firstLine="482" w:firstLineChars="200"/>
        <w:jc w:val="left"/>
        <w:rPr>
          <w:rFonts w:ascii="宋体" w:hAnsi="宋体" w:eastAsia="宋体" w:cs="宋体"/>
          <w:b/>
          <w:bCs/>
          <w:sz w:val="24"/>
          <w:szCs w:val="20"/>
        </w:rPr>
      </w:pPr>
      <w:r>
        <w:rPr>
          <w:rFonts w:hint="eastAsia" w:ascii="宋体" w:hAnsi="宋体" w:eastAsia="宋体" w:cs="宋体"/>
          <w:b/>
          <w:bCs/>
          <w:sz w:val="24"/>
          <w:szCs w:val="20"/>
        </w:rPr>
        <w:t>2、项目实施方案</w:t>
      </w:r>
    </w:p>
    <w:p w14:paraId="293525E9">
      <w:pPr>
        <w:widowControl/>
        <w:spacing w:line="560" w:lineRule="exact"/>
        <w:ind w:firstLine="482"/>
        <w:jc w:val="left"/>
        <w:rPr>
          <w:rFonts w:asciiTheme="minorEastAsia" w:hAnsiTheme="minorEastAsia" w:cstheme="minorEastAsia"/>
          <w:sz w:val="24"/>
          <w:szCs w:val="20"/>
        </w:rPr>
      </w:pPr>
      <w:r>
        <w:rPr>
          <w:rFonts w:hint="eastAsia" w:ascii="宋体" w:hAnsi="宋体" w:eastAsia="宋体" w:cs="宋体"/>
          <w:sz w:val="24"/>
          <w:szCs w:val="20"/>
        </w:rPr>
        <w:t>项目实施方案至少包</w:t>
      </w:r>
      <w:r>
        <w:rPr>
          <w:rFonts w:hint="eastAsia" w:ascii="宋体" w:hAnsi="宋体" w:eastAsia="Arial" w:cs="宋体"/>
          <w:sz w:val="24"/>
          <w:szCs w:val="20"/>
        </w:rPr>
        <w:t>含以下内容:</w:t>
      </w:r>
    </w:p>
    <w:p w14:paraId="76D253E9">
      <w:pPr>
        <w:widowControl/>
        <w:spacing w:line="560" w:lineRule="exact"/>
        <w:ind w:firstLine="480" w:firstLineChars="200"/>
        <w:jc w:val="left"/>
        <w:rPr>
          <w:rFonts w:ascii="宋体" w:hAnsi="宋体" w:eastAsia="宋体" w:cs="宋体"/>
          <w:sz w:val="24"/>
          <w:szCs w:val="20"/>
        </w:rPr>
      </w:pPr>
      <w:r>
        <w:rPr>
          <w:rFonts w:hint="eastAsia" w:ascii="宋体" w:hAnsi="宋体" w:eastAsia="宋体" w:cs="宋体"/>
          <w:sz w:val="24"/>
          <w:szCs w:val="20"/>
        </w:rPr>
        <w:t>①</w:t>
      </w:r>
      <w:bookmarkEnd w:id="189"/>
      <w:bookmarkEnd w:id="190"/>
      <w:r>
        <w:rPr>
          <w:rFonts w:hint="eastAsia" w:ascii="宋体" w:hAnsi="宋体" w:eastAsia="宋体" w:cs="宋体"/>
          <w:sz w:val="24"/>
          <w:szCs w:val="20"/>
        </w:rPr>
        <w:t>项目总体概述</w:t>
      </w:r>
    </w:p>
    <w:p w14:paraId="58E258F2">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针对盐城市市直部分学校智慧体育设施采购项目的理解，明确供货目标为提供符合技术要求的智慧体育设施，确保25天内完成供货验收。</w:t>
      </w:r>
    </w:p>
    <w:p w14:paraId="21D062A4">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供货范围：明确本方案覆盖的所有采购标的名称、数量、核心参数匹配情况，符合采购文件的技术要求。</w:t>
      </w:r>
    </w:p>
    <w:p w14:paraId="76BD8E36">
      <w:pPr>
        <w:widowControl/>
        <w:spacing w:line="560" w:lineRule="exact"/>
        <w:ind w:firstLine="482"/>
        <w:jc w:val="left"/>
        <w:rPr>
          <w:rFonts w:ascii="宋体" w:hAnsi="宋体" w:eastAsia="宋体" w:cs="宋体"/>
          <w:sz w:val="24"/>
          <w:szCs w:val="20"/>
        </w:rPr>
      </w:pPr>
      <w:bookmarkStart w:id="191" w:name="OLE_LINK85"/>
      <w:bookmarkStart w:id="192" w:name="OLE_LINK86"/>
      <w:r>
        <w:rPr>
          <w:rFonts w:hint="eastAsia" w:ascii="宋体" w:hAnsi="宋体" w:eastAsia="宋体" w:cs="宋体"/>
          <w:sz w:val="24"/>
          <w:szCs w:val="20"/>
        </w:rPr>
        <w:t>②</w:t>
      </w:r>
      <w:bookmarkEnd w:id="191"/>
      <w:bookmarkEnd w:id="192"/>
      <w:r>
        <w:rPr>
          <w:rFonts w:hint="eastAsia" w:ascii="宋体" w:hAnsi="宋体" w:eastAsia="宋体" w:cs="宋体"/>
          <w:sz w:val="24"/>
          <w:szCs w:val="20"/>
        </w:rPr>
        <w:t>供货组织架构与人员配置</w:t>
      </w:r>
    </w:p>
    <w:p w14:paraId="4CE6A3A9">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项目团队架构：设置项目总负责人、技术负责人、生产协调岗、质量检验岗、物流运输岗、现场安装岗，明确各岗位的职责及人员资质（如相关技术人员的计量行业从业经验、设备安装调试经验证明）。</w:t>
      </w:r>
    </w:p>
    <w:p w14:paraId="300159FF">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人员职责划分：明确总负责人统筹项目全流程，技术负责人负责参数核验和技术支持，各岗位各司其职保障供货全环节顺畅。</w:t>
      </w:r>
    </w:p>
    <w:p w14:paraId="518F977D">
      <w:pPr>
        <w:widowControl/>
        <w:spacing w:line="560" w:lineRule="exact"/>
        <w:ind w:firstLine="482"/>
        <w:jc w:val="left"/>
        <w:rPr>
          <w:rFonts w:ascii="宋体" w:hAnsi="宋体" w:eastAsia="宋体" w:cs="宋体"/>
          <w:sz w:val="24"/>
          <w:szCs w:val="20"/>
        </w:rPr>
      </w:pPr>
      <w:bookmarkStart w:id="193" w:name="OLE_LINK88"/>
      <w:bookmarkStart w:id="194" w:name="OLE_LINK87"/>
      <w:r>
        <w:rPr>
          <w:rFonts w:hint="eastAsia" w:ascii="宋体" w:hAnsi="宋体" w:eastAsia="宋体" w:cs="宋体"/>
          <w:sz w:val="24"/>
          <w:szCs w:val="20"/>
        </w:rPr>
        <w:t>③</w:t>
      </w:r>
      <w:bookmarkEnd w:id="193"/>
      <w:bookmarkEnd w:id="194"/>
      <w:r>
        <w:rPr>
          <w:rFonts w:hint="eastAsia" w:ascii="宋体" w:hAnsi="宋体" w:eastAsia="宋体" w:cs="宋体"/>
          <w:sz w:val="24"/>
          <w:szCs w:val="20"/>
        </w:rPr>
        <w:t>包装与运输方案</w:t>
      </w:r>
    </w:p>
    <w:p w14:paraId="0D03704C">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包装标准：严格按照招标文件要求执行，金属件使用泡泡纸包裹、板式件边角用瓦楞纸防护、塑料及五金件用瓦楞纸箱包装，满足包装层数≤3层、空隙率≤40%、环保材质等要求，每件包装箱附装箱单和质量合格凭证。</w:t>
      </w:r>
    </w:p>
    <w:p w14:paraId="61414AD9">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运输安排：选择具备大型精密仪器运输经验的物流服务商，明确运输路线、运输时长，运输过程中采取防碰撞、防潮、防震措施，购买全额运输保险。</w:t>
      </w:r>
    </w:p>
    <w:p w14:paraId="0A847C70">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发货通知机制：货物发运后24小时内通知采购人，告知预计到货时间、运输联系人，提醒做好收货准备，运输全程可跟踪查询。</w:t>
      </w:r>
    </w:p>
    <w:p w14:paraId="4570D955">
      <w:pPr>
        <w:widowControl/>
        <w:spacing w:line="560" w:lineRule="exact"/>
        <w:ind w:firstLine="482"/>
        <w:jc w:val="left"/>
        <w:rPr>
          <w:rFonts w:ascii="宋体" w:hAnsi="宋体" w:eastAsia="宋体" w:cs="宋体"/>
          <w:sz w:val="24"/>
          <w:szCs w:val="20"/>
        </w:rPr>
      </w:pPr>
      <w:bookmarkStart w:id="195" w:name="OLE_LINK89"/>
      <w:bookmarkStart w:id="196" w:name="OLE_LINK90"/>
      <w:r>
        <w:rPr>
          <w:rFonts w:hint="eastAsia" w:ascii="宋体" w:hAnsi="宋体" w:eastAsia="宋体" w:cs="宋体"/>
          <w:sz w:val="24"/>
          <w:szCs w:val="20"/>
        </w:rPr>
        <w:t>④</w:t>
      </w:r>
      <w:bookmarkEnd w:id="195"/>
      <w:bookmarkEnd w:id="196"/>
      <w:r>
        <w:rPr>
          <w:rFonts w:hint="eastAsia" w:ascii="宋体" w:hAnsi="宋体" w:eastAsia="宋体" w:cs="宋体"/>
          <w:sz w:val="24"/>
          <w:szCs w:val="20"/>
        </w:rPr>
        <w:t>到货验收方案</w:t>
      </w:r>
    </w:p>
    <w:p w14:paraId="4527AE36">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到货初验：货物运抵现场后，配合采购人共同开箱核验，检查设备型号、数量、外观完好性、随箱资料（说明书、合格证、检定证书等）是否齐全，如有损坏或缺货当场登记，3个工作日内完成更换补货。</w:t>
      </w:r>
      <w:r>
        <w:rPr>
          <w:rFonts w:hint="eastAsia" w:ascii="宋体" w:hAnsi="宋体" w:eastAsia="宋体" w:cs="宋体"/>
          <w:sz w:val="24"/>
          <w:szCs w:val="20"/>
        </w:rPr>
        <w:tab/>
      </w:r>
    </w:p>
    <w:p w14:paraId="2FD2AE1F">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安装调试：安排专业技术人员现场完成设备安装、接线、调试，确保各项技术参数达到采购文件要求，调试完成后出具调试报告。</w:t>
      </w:r>
    </w:p>
    <w:p w14:paraId="6D4C7DEF">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最终验收：配合采购人按照技术要求逐项验收，如需第三方检测，配合完成送检工作，验收不合格的免费更换设备直至合格，承担所有检测不合格产生的费用。验收通过后双方共同签署验收合格证明。</w:t>
      </w:r>
    </w:p>
    <w:p w14:paraId="10BC6804">
      <w:pPr>
        <w:widowControl/>
        <w:spacing w:line="560" w:lineRule="exact"/>
        <w:ind w:firstLine="482"/>
        <w:jc w:val="left"/>
        <w:rPr>
          <w:rFonts w:ascii="宋体" w:hAnsi="宋体" w:eastAsia="宋体" w:cs="宋体"/>
          <w:b/>
          <w:bCs/>
          <w:sz w:val="24"/>
          <w:szCs w:val="20"/>
        </w:rPr>
      </w:pPr>
      <w:bookmarkStart w:id="197" w:name="OLE_LINK93"/>
      <w:r>
        <w:rPr>
          <w:rFonts w:hint="eastAsia" w:ascii="宋体" w:hAnsi="宋体" w:eastAsia="宋体" w:cs="宋体"/>
          <w:b/>
          <w:bCs/>
          <w:sz w:val="24"/>
          <w:szCs w:val="20"/>
        </w:rPr>
        <w:t>3、数据存储方案</w:t>
      </w:r>
      <w:bookmarkEnd w:id="197"/>
      <w:bookmarkStart w:id="198" w:name="OLE_LINK78"/>
      <w:bookmarkStart w:id="199" w:name="OLE_LINK79"/>
    </w:p>
    <w:p w14:paraId="0D8B7490">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项目所有业务数据（含运动数据采集、体测数据、设备运行数据、用户行为数据等）必须严格存放在盐城市直教育城域网内，满足教育行业数据合规与网络安全监管要求。中标方需配合采购方完成数据迁移、网络隔离及城域网接入的联调测试。</w:t>
      </w:r>
      <w:bookmarkStart w:id="200" w:name="OLE_LINK37"/>
      <w:bookmarkStart w:id="201" w:name="OLE_LINK36"/>
      <w:r>
        <w:rPr>
          <w:rFonts w:hint="eastAsia" w:ascii="宋体" w:hAnsi="宋体" w:eastAsia="宋体" w:cs="宋体"/>
          <w:sz w:val="24"/>
          <w:szCs w:val="20"/>
        </w:rPr>
        <w:t>数据存储方案至少包含以下内容：</w:t>
      </w:r>
    </w:p>
    <w:p w14:paraId="3A24FE77">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①数据对接与共享方案</w:t>
      </w:r>
      <w:bookmarkEnd w:id="200"/>
      <w:bookmarkEnd w:id="201"/>
    </w:p>
    <w:p w14:paraId="672B3683">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中标方完成与盐城市城市驾驶舱教育分舱的数据对接（操作系统  openEuler_22.03_LTS_SP4；数据库GaussDB(兼容MySQL生态) 8.0.28 ）中标方需确保数据对接的实时性（或按采购方规定的频率，如每24小时一次）与数据格式的标准化，实现关键业务数据（如学生体测成绩、运动轨迹、设备状态）的实时回传与共享，并配合采购方完成数据分舱的联调与数据质量校验。</w:t>
      </w:r>
    </w:p>
    <w:p w14:paraId="16961F32">
      <w:pPr>
        <w:widowControl/>
        <w:spacing w:line="560" w:lineRule="exact"/>
        <w:ind w:firstLine="482"/>
        <w:jc w:val="left"/>
        <w:rPr>
          <w:rFonts w:ascii="宋体" w:hAnsi="宋体" w:eastAsia="宋体" w:cs="宋体"/>
          <w:sz w:val="24"/>
          <w:szCs w:val="20"/>
        </w:rPr>
      </w:pPr>
      <w:bookmarkStart w:id="202" w:name="OLE_LINK38"/>
      <w:r>
        <w:rPr>
          <w:rFonts w:hint="eastAsia" w:ascii="宋体" w:hAnsi="宋体" w:eastAsia="宋体" w:cs="宋体"/>
          <w:sz w:val="24"/>
          <w:szCs w:val="20"/>
        </w:rPr>
        <w:t>②软硬件产品提供与集成</w:t>
      </w:r>
      <w:bookmarkEnd w:id="202"/>
    </w:p>
    <w:p w14:paraId="3995422E">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中标方须负责提供智慧操场项目全量软硬件产品，包括但不限于：智能边缘服务终端、高清摄像头、数据采集终端、网络交换设备、网络安全防护产品（如防火墙、入侵检测、防病毒等）及配套软件平台。所有产品须符合盐城市直教育城域网及城市驾驶舱的兼容性要求，确保系统无缝集成。</w:t>
      </w:r>
    </w:p>
    <w:p w14:paraId="1F05E643">
      <w:pPr>
        <w:widowControl/>
        <w:spacing w:line="560" w:lineRule="exact"/>
        <w:ind w:firstLine="482"/>
        <w:jc w:val="left"/>
        <w:rPr>
          <w:rFonts w:ascii="宋体" w:hAnsi="宋体" w:eastAsia="宋体" w:cs="宋体"/>
          <w:sz w:val="24"/>
          <w:szCs w:val="20"/>
        </w:rPr>
      </w:pPr>
      <w:bookmarkStart w:id="203" w:name="OLE_LINK41"/>
      <w:bookmarkStart w:id="204" w:name="OLE_LINK40"/>
      <w:r>
        <w:rPr>
          <w:rFonts w:hint="eastAsia" w:ascii="宋体" w:hAnsi="宋体" w:eastAsia="宋体" w:cs="宋体"/>
          <w:sz w:val="24"/>
          <w:szCs w:val="20"/>
        </w:rPr>
        <w:t>③网络安全与等保合规</w:t>
      </w:r>
      <w:bookmarkEnd w:id="203"/>
      <w:bookmarkEnd w:id="204"/>
    </w:p>
    <w:p w14:paraId="7495153C">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项目涉及的软硬件及网络安全产品须严格符合网络安全等级保护（等保）2.0相关要求。中标方须提供满足等保要求的网络安全产品，并负责系统的网络安全防护、漏洞修复及安全策略配置，确保系统具备抵御网络攻击和保障数据安全的能力。</w:t>
      </w:r>
    </w:p>
    <w:p w14:paraId="2334513C">
      <w:pPr>
        <w:widowControl/>
        <w:spacing w:line="560" w:lineRule="exact"/>
        <w:ind w:firstLine="482"/>
        <w:jc w:val="left"/>
        <w:rPr>
          <w:rFonts w:ascii="宋体" w:hAnsi="宋体" w:eastAsia="宋体" w:cs="宋体"/>
          <w:sz w:val="24"/>
          <w:szCs w:val="20"/>
        </w:rPr>
      </w:pPr>
      <w:bookmarkStart w:id="205" w:name="OLE_LINK92"/>
      <w:bookmarkStart w:id="206" w:name="OLE_LINK91"/>
      <w:r>
        <w:rPr>
          <w:rFonts w:hint="eastAsia" w:ascii="宋体" w:hAnsi="宋体" w:eastAsia="宋体" w:cs="宋体"/>
          <w:sz w:val="24"/>
          <w:szCs w:val="20"/>
        </w:rPr>
        <w:t>④日常运维责任方案</w:t>
      </w:r>
      <w:bookmarkEnd w:id="205"/>
      <w:bookmarkEnd w:id="206"/>
    </w:p>
    <w:p w14:paraId="08D77834">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中标方须提供项目全生命周期的日常运维服务，负责软硬件产品、网络安全产品的日常巡检、故障排查、系统升级及性能优化，确保系统稳定、高效、安全运行，保障业务连续性。</w:t>
      </w:r>
    </w:p>
    <w:bookmarkEnd w:id="198"/>
    <w:bookmarkEnd w:id="199"/>
    <w:p w14:paraId="1E778033">
      <w:pPr>
        <w:widowControl/>
        <w:spacing w:line="560" w:lineRule="exact"/>
        <w:ind w:firstLine="482"/>
        <w:jc w:val="left"/>
        <w:rPr>
          <w:rFonts w:ascii="宋体" w:hAnsi="宋体" w:eastAsia="宋体" w:cs="宋体"/>
          <w:b/>
          <w:bCs/>
          <w:sz w:val="24"/>
          <w:szCs w:val="20"/>
        </w:rPr>
      </w:pPr>
      <w:r>
        <w:rPr>
          <w:rFonts w:hint="eastAsia" w:ascii="宋体" w:hAnsi="宋体" w:eastAsia="宋体" w:cs="宋体"/>
          <w:b/>
          <w:bCs/>
          <w:sz w:val="24"/>
          <w:szCs w:val="20"/>
        </w:rPr>
        <w:t>4、售后服务方案</w:t>
      </w:r>
    </w:p>
    <w:p w14:paraId="7ECDAA40">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投标人针对项目需求内容制定明确、详细、规范、全面、可操作性强的售后服务方案，至少包含以下内容：</w:t>
      </w:r>
    </w:p>
    <w:p w14:paraId="2495BDF2">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①质保期服务承诺</w:t>
      </w:r>
    </w:p>
    <w:p w14:paraId="189D9046">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质保期限：明确提供免费质保（</w:t>
      </w:r>
      <w:bookmarkStart w:id="207" w:name="OLE_LINK19"/>
      <w:bookmarkStart w:id="208" w:name="OLE_LINK20"/>
      <w:r>
        <w:rPr>
          <w:rFonts w:hint="eastAsia" w:ascii="宋体" w:hAnsi="宋体" w:eastAsia="宋体" w:cs="宋体"/>
          <w:sz w:val="24"/>
          <w:szCs w:val="20"/>
        </w:rPr>
        <w:t>自验收合格之日起计算</w:t>
      </w:r>
      <w:bookmarkStart w:id="209" w:name="OLE_LINK35"/>
      <w:bookmarkStart w:id="210" w:name="OLE_LINK34"/>
      <w:r>
        <w:rPr>
          <w:rFonts w:hint="eastAsia" w:ascii="宋体" w:hAnsi="宋体" w:eastAsia="宋体" w:cs="宋体"/>
          <w:sz w:val="24"/>
          <w:szCs w:val="20"/>
        </w:rPr>
        <w:t>硬件不少于3年，软件不少于5年</w:t>
      </w:r>
      <w:bookmarkEnd w:id="209"/>
      <w:bookmarkEnd w:id="210"/>
      <w:r>
        <w:rPr>
          <w:rFonts w:hint="eastAsia" w:ascii="宋体" w:hAnsi="宋体" w:eastAsia="宋体" w:cs="宋体"/>
          <w:sz w:val="24"/>
          <w:szCs w:val="20"/>
        </w:rPr>
        <w:t>）</w:t>
      </w:r>
      <w:bookmarkEnd w:id="207"/>
      <w:bookmarkEnd w:id="208"/>
      <w:r>
        <w:rPr>
          <w:rFonts w:hint="eastAsia" w:ascii="宋体" w:hAnsi="宋体" w:eastAsia="宋体" w:cs="宋体"/>
          <w:sz w:val="24"/>
          <w:szCs w:val="20"/>
        </w:rPr>
        <w:t>，质保期内非人为因素导致的设备故障，免费维修、更换零配件及整机。</w:t>
      </w:r>
    </w:p>
    <w:p w14:paraId="24A10D9E">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响应机制：提供7×24小时技术咨询热线，接到故障报修后4小时内响应，2个工作日内安排原厂技术人员到达现场，12小时内排查处理完毕。若故障无法现场修复，提供同型号备用设备保障采购人正常使用。</w:t>
      </w:r>
    </w:p>
    <w:p w14:paraId="0B0DB5C3">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定期巡检：质保期内每季度安排技术人员上门巡检，对设备进行校准、清洁、性能检测，出具巡检报告，及时排查潜在问题。</w:t>
      </w:r>
    </w:p>
    <w:p w14:paraId="36325003">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②培训服务方案</w:t>
      </w:r>
    </w:p>
    <w:p w14:paraId="40E5B8CB">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现场操作培训：设备验收合格后，在采购人现场对使用人员开展免费培训，内容包括设备基本原理、操作流程、常规参数设置、日常维护方法、简单故障排查等，确保操作人员能够独立使用设备开展检定工作。</w:t>
      </w:r>
    </w:p>
    <w:p w14:paraId="7ABCFB6A">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进阶培训：根据采购人需求，可提供计量检定规程解读、软件高级功能使用等专项培训，培训资料免费提供。</w:t>
      </w:r>
    </w:p>
    <w:p w14:paraId="2051F9B3">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③超质保期服务</w:t>
      </w:r>
    </w:p>
    <w:p w14:paraId="52D5E22F">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终身维修服务：质保期届满后提供终身维修服务，仅收取零配件成本费，免收人工服务费。</w:t>
      </w:r>
    </w:p>
    <w:p w14:paraId="13ABDE28">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技术升级支持：设备配套软件有新版本时免费提供升级服务，设备相关计量规程更新时，协助完成设备参数调整、校准适配。</w:t>
      </w:r>
    </w:p>
    <w:p w14:paraId="4B870700">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续保选项：可提供优惠的延保服务方案，采购人可根据需求选择续保。</w:t>
      </w:r>
    </w:p>
    <w:p w14:paraId="7417F79C">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④备品备件供应</w:t>
      </w:r>
    </w:p>
    <w:p w14:paraId="3B0F28E7">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备品备件库：建立本项目设备常用零配件的专属备件库，明确零配件的供应价格、供货周期，确保零配件供应及时。</w:t>
      </w:r>
    </w:p>
    <w:p w14:paraId="1A290D3A">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易耗品供应：以优惠价格提供设备使用过程中需要的易耗品，明确配送时效。</w:t>
      </w:r>
    </w:p>
    <w:p w14:paraId="73BD8466">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⑤服务质量保障</w:t>
      </w:r>
    </w:p>
    <w:p w14:paraId="156FB4F0">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服务监督机制：设立项目专属服务联系人，采购人有任何售后问题可直接对接，对服务响应不及时、问题处理不到位的情况，可拨打我司监督电话投诉，24小时内给出处理方案。</w:t>
      </w:r>
    </w:p>
    <w:p w14:paraId="38FD1E58">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客户回访：每月对项目运行情况进行回访，收集使用意见，持续优化售后服务质量。</w:t>
      </w:r>
    </w:p>
    <w:p w14:paraId="25E12A11">
      <w:pPr>
        <w:widowControl/>
        <w:spacing w:line="560" w:lineRule="exact"/>
        <w:ind w:firstLine="482"/>
        <w:jc w:val="left"/>
        <w:rPr>
          <w:rFonts w:ascii="宋体" w:hAnsi="宋体" w:eastAsia="宋体" w:cs="宋体"/>
          <w:b/>
          <w:bCs/>
          <w:sz w:val="24"/>
          <w:szCs w:val="20"/>
        </w:rPr>
      </w:pPr>
      <w:r>
        <w:rPr>
          <w:rFonts w:hint="eastAsia" w:ascii="宋体" w:hAnsi="宋体" w:eastAsia="宋体" w:cs="宋体"/>
          <w:b/>
          <w:bCs/>
          <w:sz w:val="24"/>
          <w:szCs w:val="20"/>
        </w:rPr>
        <w:t>（四）节能环保标志</w:t>
      </w:r>
    </w:p>
    <w:p w14:paraId="601E4421">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投标人提供投标产品属于财政部、国家发展改革委公布的“节能产品品目清单”范围内的，处于有效期内的认证证书优先，投标人提供投标产品属于财政部、生态环境部公布的“环境标志产品品目清单”范围内的，处于有效期内的认证证书</w:t>
      </w:r>
      <w:r>
        <w:rPr>
          <w:rFonts w:hint="eastAsia" w:ascii="宋体" w:hAnsi="宋体" w:eastAsia="宋体" w:cs="宋体"/>
          <w:b/>
          <w:bCs/>
          <w:sz w:val="24"/>
          <w:szCs w:val="20"/>
        </w:rPr>
        <w:t>优先</w:t>
      </w:r>
      <w:r>
        <w:rPr>
          <w:rFonts w:hint="eastAsia" w:ascii="宋体" w:hAnsi="宋体" w:eastAsia="宋体" w:cs="宋体"/>
          <w:sz w:val="24"/>
          <w:szCs w:val="20"/>
        </w:rPr>
        <w:t>。</w:t>
      </w:r>
    </w:p>
    <w:p w14:paraId="60771E67">
      <w:pPr>
        <w:widowControl/>
        <w:spacing w:line="560" w:lineRule="exact"/>
        <w:ind w:firstLine="482"/>
        <w:jc w:val="left"/>
        <w:rPr>
          <w:rFonts w:ascii="宋体" w:hAnsi="宋体" w:eastAsia="宋体" w:cs="宋体"/>
          <w:b/>
          <w:bCs/>
          <w:sz w:val="24"/>
          <w:szCs w:val="20"/>
        </w:rPr>
      </w:pPr>
      <w:r>
        <w:rPr>
          <w:rFonts w:hint="eastAsia" w:ascii="宋体" w:hAnsi="宋体" w:eastAsia="宋体" w:cs="宋体"/>
          <w:b/>
          <w:bCs/>
          <w:sz w:val="24"/>
          <w:szCs w:val="20"/>
        </w:rPr>
        <w:t>（五）质保期承诺</w:t>
      </w:r>
    </w:p>
    <w:p w14:paraId="0CDB1694">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投标人在满足项目需求最低免费质保期（软件至少5年，硬件至少3年）基础上，软件、硬件同时增加免费上门质保服务承诺的</w:t>
      </w:r>
      <w:r>
        <w:rPr>
          <w:rFonts w:hint="eastAsia" w:ascii="宋体" w:hAnsi="宋体" w:eastAsia="宋体" w:cs="宋体"/>
          <w:b/>
          <w:bCs/>
          <w:sz w:val="24"/>
          <w:szCs w:val="20"/>
        </w:rPr>
        <w:t>优先</w:t>
      </w:r>
      <w:r>
        <w:rPr>
          <w:rFonts w:hint="eastAsia" w:ascii="宋体" w:hAnsi="宋体" w:eastAsia="宋体" w:cs="宋体"/>
          <w:sz w:val="24"/>
          <w:szCs w:val="20"/>
        </w:rPr>
        <w:t>。</w:t>
      </w:r>
    </w:p>
    <w:p w14:paraId="3BB5C736">
      <w:pPr>
        <w:widowControl/>
        <w:spacing w:line="560" w:lineRule="exact"/>
        <w:ind w:firstLine="482"/>
        <w:jc w:val="left"/>
        <w:rPr>
          <w:rFonts w:ascii="宋体" w:hAnsi="宋体" w:eastAsia="宋体" w:cs="宋体"/>
          <w:b/>
          <w:bCs/>
          <w:sz w:val="24"/>
          <w:szCs w:val="20"/>
        </w:rPr>
      </w:pPr>
      <w:r>
        <w:rPr>
          <w:rFonts w:hint="eastAsia" w:ascii="宋体" w:hAnsi="宋体" w:eastAsia="宋体" w:cs="宋体"/>
          <w:b/>
          <w:bCs/>
          <w:sz w:val="24"/>
          <w:szCs w:val="20"/>
        </w:rPr>
        <w:t>（六）企业资质及团队能力</w:t>
      </w:r>
    </w:p>
    <w:p w14:paraId="30F5EFE3">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1.</w:t>
      </w:r>
      <w:bookmarkStart w:id="211" w:name="OLE_LINK56"/>
      <w:bookmarkStart w:id="212" w:name="OLE_LINK57"/>
      <w:r>
        <w:rPr>
          <w:rFonts w:hint="eastAsia" w:ascii="宋体" w:hAnsi="宋体" w:eastAsia="宋体" w:cs="宋体"/>
          <w:sz w:val="24"/>
          <w:szCs w:val="20"/>
        </w:rPr>
        <w:t>投标人具备良好的质量管理体系规范日常管理与服务，积极保障员工健康和安全，以保障本项目的顺利实施，具有有效期内的</w:t>
      </w:r>
      <w:bookmarkEnd w:id="211"/>
      <w:bookmarkEnd w:id="212"/>
      <w:r>
        <w:rPr>
          <w:rFonts w:hint="eastAsia" w:ascii="宋体" w:hAnsi="宋体" w:eastAsia="宋体" w:cs="宋体"/>
          <w:sz w:val="24"/>
          <w:szCs w:val="20"/>
        </w:rPr>
        <w:t>质量管理体系认证证书、信息技术服务管理体系认证证书、环境管理体系认证证书的</w:t>
      </w:r>
      <w:r>
        <w:rPr>
          <w:rFonts w:hint="eastAsia" w:ascii="宋体" w:hAnsi="宋体" w:eastAsia="宋体" w:cs="宋体"/>
          <w:b/>
          <w:bCs/>
          <w:sz w:val="24"/>
          <w:szCs w:val="20"/>
        </w:rPr>
        <w:t>优先</w:t>
      </w:r>
      <w:r>
        <w:rPr>
          <w:rFonts w:hint="eastAsia" w:ascii="宋体" w:hAnsi="宋体" w:eastAsia="宋体" w:cs="宋体"/>
          <w:sz w:val="24"/>
          <w:szCs w:val="20"/>
        </w:rPr>
        <w:t>。</w:t>
      </w:r>
    </w:p>
    <w:p w14:paraId="09CCB1BE">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2.为了确保项目的顺利实施，投标人需具有经验丰富项目的团队，项目经理具有以下证书的</w:t>
      </w:r>
      <w:r>
        <w:rPr>
          <w:rFonts w:hint="eastAsia" w:ascii="宋体" w:hAnsi="宋体" w:eastAsia="宋体" w:cs="宋体"/>
          <w:b/>
          <w:bCs/>
          <w:sz w:val="24"/>
          <w:szCs w:val="20"/>
        </w:rPr>
        <w:t>优先</w:t>
      </w:r>
      <w:r>
        <w:rPr>
          <w:rFonts w:hint="eastAsia" w:ascii="宋体" w:hAnsi="宋体" w:eastAsia="宋体" w:cs="宋体"/>
          <w:sz w:val="24"/>
          <w:szCs w:val="20"/>
        </w:rPr>
        <w:t>：</w:t>
      </w:r>
      <w:r>
        <w:rPr>
          <w:rFonts w:hint="eastAsia" w:asciiTheme="minorEastAsia" w:hAnsiTheme="minorEastAsia" w:cstheme="minorEastAsia"/>
          <w:sz w:val="24"/>
        </w:rPr>
        <w:t>电子信息类专业高级工程师职称证书</w:t>
      </w:r>
      <w:r>
        <w:rPr>
          <w:rFonts w:hint="eastAsia" w:ascii="宋体" w:hAnsi="宋体" w:eastAsia="宋体" w:cs="宋体"/>
          <w:sz w:val="24"/>
          <w:szCs w:val="20"/>
        </w:rPr>
        <w:t>(</w:t>
      </w:r>
      <w:bookmarkStart w:id="213" w:name="OLE_LINK134"/>
      <w:bookmarkStart w:id="214" w:name="OLE_LINK133"/>
      <w:r>
        <w:rPr>
          <w:rFonts w:hint="eastAsia" w:asciiTheme="minorEastAsia" w:hAnsiTheme="minorEastAsia" w:cstheme="minorEastAsia"/>
          <w:sz w:val="24"/>
        </w:rPr>
        <w:t>人社部门颁发</w:t>
      </w:r>
      <w:r>
        <w:rPr>
          <w:rFonts w:hint="eastAsia" w:ascii="宋体" w:hAnsi="宋体" w:eastAsia="宋体" w:cs="宋体"/>
          <w:sz w:val="24"/>
          <w:szCs w:val="20"/>
        </w:rPr>
        <w:t>)</w:t>
      </w:r>
      <w:bookmarkEnd w:id="213"/>
      <w:bookmarkEnd w:id="214"/>
      <w:r>
        <w:rPr>
          <w:rFonts w:hint="eastAsia" w:ascii="宋体" w:hAnsi="宋体" w:eastAsia="宋体" w:cs="宋体"/>
          <w:sz w:val="24"/>
          <w:szCs w:val="20"/>
        </w:rPr>
        <w:t>，证书须在开标当日处于有效期内。</w:t>
      </w:r>
    </w:p>
    <w:p w14:paraId="58203813">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3.为了确保项目的顺利实施，投标人需具有经验丰富项目的团队，项目组成员具有以下证书的</w:t>
      </w:r>
      <w:r>
        <w:rPr>
          <w:rFonts w:hint="eastAsia" w:ascii="宋体" w:hAnsi="宋体" w:eastAsia="宋体" w:cs="宋体"/>
          <w:b/>
          <w:bCs/>
          <w:sz w:val="24"/>
          <w:szCs w:val="20"/>
        </w:rPr>
        <w:t>优先</w:t>
      </w:r>
      <w:r>
        <w:rPr>
          <w:rFonts w:hint="eastAsia" w:ascii="宋体" w:hAnsi="宋体" w:eastAsia="宋体" w:cs="宋体"/>
          <w:sz w:val="24"/>
          <w:szCs w:val="20"/>
        </w:rPr>
        <w:t>：注册信息安全管理人员（CISP）证书(中国信息安全测评中心颁发)、网络工程师认证证书(</w:t>
      </w:r>
      <w:bookmarkStart w:id="215" w:name="OLE_LINK68"/>
      <w:r>
        <w:rPr>
          <w:rFonts w:hint="eastAsia" w:ascii="宋体" w:hAnsi="宋体" w:eastAsia="宋体" w:cs="宋体"/>
          <w:sz w:val="24"/>
          <w:szCs w:val="20"/>
        </w:rPr>
        <w:t>人社部和工信部相关部门颁发</w:t>
      </w:r>
      <w:bookmarkEnd w:id="215"/>
      <w:r>
        <w:rPr>
          <w:rFonts w:hint="eastAsia" w:ascii="宋体" w:hAnsi="宋体" w:eastAsia="宋体" w:cs="宋体"/>
          <w:sz w:val="24"/>
          <w:szCs w:val="20"/>
        </w:rPr>
        <w:t>)、</w:t>
      </w:r>
      <w:r>
        <w:rPr>
          <w:rFonts w:hint="eastAsia" w:asciiTheme="minorEastAsia" w:hAnsiTheme="minorEastAsia" w:cstheme="minorEastAsia"/>
          <w:sz w:val="24"/>
        </w:rPr>
        <w:t>系统集成项目管理工程师认证证书</w:t>
      </w:r>
      <w:r>
        <w:rPr>
          <w:rFonts w:hint="eastAsia" w:ascii="宋体" w:hAnsi="宋体" w:eastAsia="宋体" w:cs="宋体"/>
          <w:color w:val="000000"/>
          <w:sz w:val="24"/>
          <w:shd w:val="clear" w:color="auto" w:fill="FFFFFF"/>
        </w:rPr>
        <w:t>（</w:t>
      </w:r>
      <w:r>
        <w:rPr>
          <w:rFonts w:hint="eastAsia" w:ascii="宋体" w:hAnsi="宋体" w:eastAsia="宋体" w:cs="宋体"/>
          <w:sz w:val="24"/>
          <w:szCs w:val="20"/>
        </w:rPr>
        <w:t>人社部和工信部相关部门颁发</w:t>
      </w:r>
      <w:r>
        <w:rPr>
          <w:rFonts w:hint="eastAsia" w:ascii="宋体" w:hAnsi="宋体" w:eastAsia="宋体" w:cs="宋体"/>
          <w:color w:val="000000"/>
          <w:sz w:val="24"/>
          <w:shd w:val="clear" w:color="auto" w:fill="FFFFFF"/>
        </w:rPr>
        <w:t>）</w:t>
      </w:r>
      <w:r>
        <w:rPr>
          <w:rFonts w:hint="eastAsia" w:ascii="宋体" w:hAnsi="宋体" w:eastAsia="宋体" w:cs="宋体"/>
          <w:sz w:val="24"/>
          <w:szCs w:val="20"/>
        </w:rPr>
        <w:t>，证书须在开标当日处于有效期内。</w:t>
      </w:r>
    </w:p>
    <w:p w14:paraId="37AEBF05">
      <w:pPr>
        <w:widowControl/>
        <w:spacing w:line="560" w:lineRule="exact"/>
        <w:ind w:firstLine="482"/>
        <w:jc w:val="left"/>
        <w:rPr>
          <w:rFonts w:ascii="宋体" w:hAnsi="宋体" w:eastAsia="宋体" w:cs="宋体"/>
          <w:sz w:val="24"/>
          <w:szCs w:val="20"/>
        </w:rPr>
      </w:pPr>
      <w:r>
        <w:rPr>
          <w:rFonts w:hint="eastAsia" w:ascii="宋体" w:hAnsi="宋体" w:eastAsia="宋体" w:cs="宋体"/>
          <w:b/>
          <w:bCs/>
          <w:sz w:val="24"/>
          <w:szCs w:val="20"/>
        </w:rPr>
        <w:t>四、本项目不接受进口产品投标。</w:t>
      </w:r>
    </w:p>
    <w:p w14:paraId="15066A49">
      <w:pPr>
        <w:widowControl/>
        <w:spacing w:line="560" w:lineRule="exact"/>
        <w:ind w:firstLine="482"/>
        <w:jc w:val="left"/>
        <w:rPr>
          <w:rFonts w:ascii="宋体" w:hAnsi="宋体" w:eastAsia="宋体" w:cs="宋体"/>
          <w:b/>
          <w:bCs/>
          <w:sz w:val="24"/>
          <w:szCs w:val="20"/>
        </w:rPr>
      </w:pPr>
      <w:r>
        <w:rPr>
          <w:rFonts w:hint="eastAsia" w:ascii="宋体" w:hAnsi="宋体" w:eastAsia="宋体" w:cs="宋体"/>
          <w:b/>
          <w:bCs/>
          <w:sz w:val="24"/>
          <w:szCs w:val="20"/>
        </w:rPr>
        <w:t>五、采购标的对应的中小企业划分标准所属行业一览表</w:t>
      </w:r>
    </w:p>
    <w:tbl>
      <w:tblPr>
        <w:tblStyle w:val="40"/>
        <w:tblW w:w="7760" w:type="dxa"/>
        <w:jc w:val="center"/>
        <w:tblCellSpacing w:w="0" w:type="dxa"/>
        <w:tblLayout w:type="fixed"/>
        <w:tblCellMar>
          <w:top w:w="0" w:type="dxa"/>
          <w:left w:w="108" w:type="dxa"/>
          <w:bottom w:w="0" w:type="dxa"/>
          <w:right w:w="108" w:type="dxa"/>
        </w:tblCellMar>
      </w:tblPr>
      <w:tblGrid>
        <w:gridCol w:w="1044"/>
        <w:gridCol w:w="3634"/>
        <w:gridCol w:w="3082"/>
      </w:tblGrid>
      <w:tr w14:paraId="2F637AA3">
        <w:tblPrEx>
          <w:tblCellMar>
            <w:top w:w="0" w:type="dxa"/>
            <w:left w:w="108" w:type="dxa"/>
            <w:bottom w:w="0" w:type="dxa"/>
            <w:right w:w="108" w:type="dxa"/>
          </w:tblCellMar>
        </w:tblPrEx>
        <w:trPr>
          <w:trHeight w:val="868" w:hRule="atLeast"/>
          <w:tblCellSpacing w:w="0" w:type="dxa"/>
          <w:jc w:val="center"/>
        </w:trPr>
        <w:tc>
          <w:tcPr>
            <w:tcW w:w="1044" w:type="dxa"/>
            <w:tcBorders>
              <w:top w:val="single" w:color="000000" w:sz="4" w:space="0"/>
              <w:left w:val="single" w:color="000000" w:sz="4" w:space="0"/>
              <w:bottom w:val="single" w:color="000000" w:sz="4" w:space="0"/>
              <w:right w:val="single" w:color="000000" w:sz="4" w:space="0"/>
            </w:tcBorders>
            <w:vAlign w:val="center"/>
          </w:tcPr>
          <w:p w14:paraId="0C3D8E31">
            <w:pPr>
              <w:pStyle w:val="36"/>
              <w:spacing w:line="0" w:lineRule="atLeast"/>
              <w:jc w:val="center"/>
              <w:rPr>
                <w:rFonts w:ascii="宋体" w:hAnsi="宋体" w:eastAsia="宋体" w:cs="宋体"/>
                <w:kern w:val="2"/>
              </w:rPr>
            </w:pPr>
            <w:r>
              <w:rPr>
                <w:rFonts w:hint="eastAsia" w:ascii="宋体" w:hAnsi="宋体" w:eastAsia="宋体" w:cs="宋体"/>
                <w:kern w:val="2"/>
              </w:rPr>
              <w:t>序号</w:t>
            </w:r>
          </w:p>
        </w:tc>
        <w:tc>
          <w:tcPr>
            <w:tcW w:w="3634" w:type="dxa"/>
            <w:tcBorders>
              <w:top w:val="single" w:color="000000" w:sz="4" w:space="0"/>
              <w:left w:val="single" w:color="000000" w:sz="4" w:space="0"/>
              <w:bottom w:val="single" w:color="000000" w:sz="4" w:space="0"/>
              <w:right w:val="single" w:color="000000" w:sz="4" w:space="0"/>
            </w:tcBorders>
            <w:vAlign w:val="center"/>
          </w:tcPr>
          <w:p w14:paraId="1715D8C0">
            <w:pPr>
              <w:pStyle w:val="36"/>
              <w:spacing w:line="0" w:lineRule="atLeast"/>
              <w:jc w:val="center"/>
              <w:rPr>
                <w:rFonts w:ascii="宋体" w:hAnsi="宋体" w:eastAsia="宋体" w:cs="宋体"/>
                <w:kern w:val="2"/>
              </w:rPr>
            </w:pPr>
            <w:r>
              <w:rPr>
                <w:rFonts w:hint="eastAsia" w:ascii="宋体" w:hAnsi="宋体" w:eastAsia="宋体" w:cs="宋体"/>
                <w:kern w:val="2"/>
              </w:rPr>
              <w:t>采购标的</w:t>
            </w:r>
          </w:p>
        </w:tc>
        <w:tc>
          <w:tcPr>
            <w:tcW w:w="3082" w:type="dxa"/>
            <w:tcBorders>
              <w:top w:val="single" w:color="000000" w:sz="4" w:space="0"/>
              <w:left w:val="single" w:color="000000" w:sz="4" w:space="0"/>
              <w:bottom w:val="single" w:color="000000" w:sz="4" w:space="0"/>
              <w:right w:val="single" w:color="000000" w:sz="4" w:space="0"/>
            </w:tcBorders>
            <w:vAlign w:val="center"/>
          </w:tcPr>
          <w:p w14:paraId="69BEAAB4">
            <w:pPr>
              <w:pStyle w:val="36"/>
              <w:spacing w:line="0" w:lineRule="atLeast"/>
              <w:jc w:val="center"/>
              <w:rPr>
                <w:rFonts w:ascii="宋体" w:hAnsi="宋体" w:eastAsia="宋体" w:cs="宋体"/>
                <w:kern w:val="2"/>
              </w:rPr>
            </w:pPr>
            <w:r>
              <w:rPr>
                <w:rFonts w:hint="eastAsia" w:ascii="宋体" w:hAnsi="宋体" w:eastAsia="宋体" w:cs="宋体"/>
                <w:kern w:val="2"/>
              </w:rPr>
              <w:t>对应中小企业划分标准所属行业</w:t>
            </w:r>
          </w:p>
        </w:tc>
      </w:tr>
      <w:tr w14:paraId="6A4BA732">
        <w:tblPrEx>
          <w:tblCellMar>
            <w:top w:w="0" w:type="dxa"/>
            <w:left w:w="108" w:type="dxa"/>
            <w:bottom w:w="0" w:type="dxa"/>
            <w:right w:w="108" w:type="dxa"/>
          </w:tblCellMar>
        </w:tblPrEx>
        <w:trPr>
          <w:trHeight w:val="936" w:hRule="atLeast"/>
          <w:tblCellSpacing w:w="0" w:type="dxa"/>
          <w:jc w:val="center"/>
        </w:trPr>
        <w:tc>
          <w:tcPr>
            <w:tcW w:w="1044" w:type="dxa"/>
            <w:tcBorders>
              <w:top w:val="single" w:color="000000" w:sz="4" w:space="0"/>
              <w:left w:val="single" w:color="000000" w:sz="4" w:space="0"/>
              <w:bottom w:val="single" w:color="000000" w:sz="4" w:space="0"/>
              <w:right w:val="single" w:color="000000" w:sz="4" w:space="0"/>
            </w:tcBorders>
            <w:vAlign w:val="center"/>
          </w:tcPr>
          <w:p w14:paraId="723C1E7E">
            <w:pPr>
              <w:pStyle w:val="36"/>
              <w:spacing w:line="0" w:lineRule="atLeast"/>
              <w:jc w:val="center"/>
              <w:rPr>
                <w:rFonts w:ascii="宋体" w:hAnsi="宋体" w:eastAsia="宋体" w:cs="宋体"/>
                <w:kern w:val="2"/>
              </w:rPr>
            </w:pPr>
            <w:r>
              <w:rPr>
                <w:rFonts w:hint="eastAsia" w:ascii="宋体" w:hAnsi="宋体" w:eastAsia="宋体" w:cs="宋体"/>
                <w:kern w:val="2"/>
              </w:rPr>
              <w:t>1</w:t>
            </w:r>
          </w:p>
        </w:tc>
        <w:tc>
          <w:tcPr>
            <w:tcW w:w="3634" w:type="dxa"/>
            <w:tcBorders>
              <w:top w:val="single" w:color="000000" w:sz="4" w:space="0"/>
              <w:left w:val="single" w:color="000000" w:sz="4" w:space="0"/>
              <w:bottom w:val="single" w:color="000000" w:sz="4" w:space="0"/>
              <w:right w:val="single" w:color="000000" w:sz="4" w:space="0"/>
            </w:tcBorders>
            <w:vAlign w:val="center"/>
          </w:tcPr>
          <w:p w14:paraId="0D92D23C">
            <w:pPr>
              <w:pStyle w:val="36"/>
              <w:spacing w:line="0" w:lineRule="atLeast"/>
              <w:jc w:val="center"/>
              <w:rPr>
                <w:rFonts w:ascii="宋体" w:hAnsi="宋体" w:eastAsia="宋体" w:cs="宋体"/>
                <w:kern w:val="2"/>
              </w:rPr>
            </w:pPr>
            <w:r>
              <w:rPr>
                <w:rFonts w:hint="eastAsia" w:ascii="宋体" w:hAnsi="宋体" w:eastAsia="宋体" w:cs="宋体"/>
                <w:kern w:val="2"/>
              </w:rPr>
              <w:t>盐城市市直部分学校智慧体育设施采购项目</w:t>
            </w:r>
          </w:p>
        </w:tc>
        <w:tc>
          <w:tcPr>
            <w:tcW w:w="3082" w:type="dxa"/>
            <w:tcBorders>
              <w:top w:val="single" w:color="000000" w:sz="4" w:space="0"/>
              <w:left w:val="single" w:color="000000" w:sz="4" w:space="0"/>
              <w:bottom w:val="single" w:color="000000" w:sz="4" w:space="0"/>
              <w:right w:val="single" w:color="000000" w:sz="4" w:space="0"/>
            </w:tcBorders>
            <w:vAlign w:val="center"/>
          </w:tcPr>
          <w:p w14:paraId="1FFAE1D1">
            <w:pPr>
              <w:pStyle w:val="36"/>
              <w:spacing w:line="0" w:lineRule="atLeast"/>
              <w:jc w:val="center"/>
              <w:rPr>
                <w:rFonts w:ascii="宋体" w:hAnsi="宋体" w:eastAsia="宋体" w:cs="宋体"/>
                <w:kern w:val="2"/>
              </w:rPr>
            </w:pPr>
            <w:r>
              <w:rPr>
                <w:rFonts w:hint="eastAsia" w:ascii="宋体" w:hAnsi="宋体" w:eastAsia="宋体" w:cs="宋体"/>
                <w:kern w:val="2"/>
              </w:rPr>
              <w:t>工业</w:t>
            </w:r>
          </w:p>
        </w:tc>
      </w:tr>
    </w:tbl>
    <w:p w14:paraId="69018F34">
      <w:pPr>
        <w:jc w:val="center"/>
        <w:rPr>
          <w:rFonts w:ascii="黑体" w:hAnsi="宋体" w:eastAsia="黑体" w:cs="黑体"/>
          <w:color w:val="000000"/>
          <w:sz w:val="44"/>
          <w:szCs w:val="44"/>
        </w:rPr>
      </w:pPr>
    </w:p>
    <w:p w14:paraId="77221E6E">
      <w:pPr>
        <w:rPr>
          <w:rFonts w:ascii="黑体" w:hAnsi="宋体" w:eastAsia="黑体" w:cs="黑体"/>
          <w:color w:val="000000"/>
          <w:sz w:val="44"/>
          <w:szCs w:val="44"/>
        </w:rPr>
      </w:pPr>
    </w:p>
    <w:p w14:paraId="4CE9D93C">
      <w:pPr>
        <w:overflowPunct w:val="0"/>
        <w:spacing w:line="500" w:lineRule="exact"/>
        <w:jc w:val="left"/>
        <w:rPr>
          <w:rFonts w:asciiTheme="minorEastAsia" w:hAnsiTheme="minorEastAsia" w:cstheme="minorEastAsia"/>
          <w:sz w:val="24"/>
        </w:rPr>
      </w:pPr>
      <w:r>
        <w:rPr>
          <w:rFonts w:hint="eastAsia" w:ascii="黑体" w:hAnsi="宋体" w:eastAsia="黑体" w:cs="黑体"/>
          <w:color w:val="000000"/>
          <w:sz w:val="44"/>
          <w:szCs w:val="44"/>
        </w:rPr>
        <w:br w:type="page"/>
      </w:r>
    </w:p>
    <w:p w14:paraId="61BEDE75">
      <w:pPr>
        <w:rPr>
          <w:rFonts w:ascii="黑体" w:hAnsi="宋体" w:eastAsia="黑体" w:cs="黑体"/>
          <w:color w:val="000000"/>
          <w:sz w:val="44"/>
          <w:szCs w:val="44"/>
        </w:rPr>
      </w:pPr>
    </w:p>
    <w:p w14:paraId="0283CF06">
      <w:pPr>
        <w:pStyle w:val="36"/>
        <w:keepNext/>
        <w:widowControl/>
        <w:spacing w:beforeAutospacing="0" w:afterAutospacing="0"/>
        <w:ind w:firstLine="220"/>
        <w:jc w:val="center"/>
        <w:outlineLvl w:val="0"/>
      </w:pPr>
      <w:r>
        <w:rPr>
          <w:rFonts w:hint="eastAsia" w:ascii="黑体" w:hAnsi="宋体" w:eastAsia="黑体" w:cs="黑体"/>
          <w:sz w:val="44"/>
          <w:szCs w:val="44"/>
        </w:rPr>
        <w:t>第五章 评标方法与评标标准</w:t>
      </w:r>
      <w:bookmarkEnd w:id="164"/>
    </w:p>
    <w:p w14:paraId="59F53269">
      <w:pPr>
        <w:pStyle w:val="36"/>
        <w:widowControl/>
        <w:spacing w:beforeAutospacing="0" w:afterAutospacing="0"/>
        <w:jc w:val="both"/>
      </w:pPr>
    </w:p>
    <w:p w14:paraId="73BCDE40">
      <w:pPr>
        <w:widowControl/>
        <w:spacing w:line="560" w:lineRule="exact"/>
        <w:ind w:firstLine="482"/>
        <w:jc w:val="left"/>
        <w:outlineLvl w:val="1"/>
        <w:rPr>
          <w:rFonts w:ascii="宋体" w:hAnsi="宋体" w:eastAsia="宋体" w:cs="宋体"/>
          <w:b/>
          <w:bCs/>
          <w:sz w:val="24"/>
        </w:rPr>
      </w:pPr>
      <w:r>
        <w:rPr>
          <w:rFonts w:hint="eastAsia" w:ascii="宋体" w:hAnsi="宋体" w:eastAsia="宋体" w:cs="宋体"/>
          <w:b/>
          <w:bCs/>
          <w:sz w:val="24"/>
        </w:rPr>
        <w:t>一、定标原则</w:t>
      </w:r>
    </w:p>
    <w:p w14:paraId="498BB9DC">
      <w:pPr>
        <w:widowControl/>
        <w:spacing w:line="560" w:lineRule="exact"/>
        <w:ind w:firstLine="482"/>
        <w:jc w:val="left"/>
        <w:rPr>
          <w:rFonts w:ascii="宋体" w:hAnsi="宋体" w:eastAsia="宋体" w:cs="宋体"/>
          <w:sz w:val="24"/>
        </w:rPr>
      </w:pPr>
      <w:r>
        <w:rPr>
          <w:rFonts w:hint="eastAsia" w:ascii="宋体" w:hAnsi="宋体" w:eastAsia="宋体" w:cs="宋体"/>
          <w:sz w:val="24"/>
        </w:rPr>
        <w:t>本项目采用</w:t>
      </w:r>
      <w:r>
        <w:rPr>
          <w:rFonts w:hint="eastAsia" w:ascii="宋体" w:hAnsi="宋体" w:eastAsia="宋体" w:cs="宋体"/>
          <w:sz w:val="24"/>
          <w:u w:val="single"/>
        </w:rPr>
        <w:t xml:space="preserve"> 综合评分 </w:t>
      </w:r>
      <w:r>
        <w:rPr>
          <w:rFonts w:hint="eastAsia" w:ascii="宋体" w:hAnsi="宋体" w:eastAsia="宋体" w:cs="宋体"/>
          <w:sz w:val="24"/>
        </w:rPr>
        <w:t>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p>
    <w:p w14:paraId="4C576201">
      <w:pPr>
        <w:widowControl/>
        <w:spacing w:line="560" w:lineRule="exact"/>
        <w:ind w:firstLine="482"/>
        <w:jc w:val="left"/>
        <w:outlineLvl w:val="2"/>
        <w:rPr>
          <w:rFonts w:ascii="宋体" w:hAnsi="宋体" w:eastAsia="宋体" w:cs="宋体"/>
          <w:b/>
          <w:bCs/>
          <w:sz w:val="24"/>
        </w:rPr>
      </w:pPr>
      <w:r>
        <w:rPr>
          <w:rFonts w:hint="eastAsia" w:ascii="宋体" w:hAnsi="宋体" w:eastAsia="宋体" w:cs="宋体"/>
          <w:b/>
          <w:bCs/>
          <w:sz w:val="24"/>
        </w:rPr>
        <w:t>政府采购政策功能落实</w:t>
      </w:r>
    </w:p>
    <w:p w14:paraId="301C7855">
      <w:pPr>
        <w:widowControl/>
        <w:spacing w:line="560" w:lineRule="exact"/>
        <w:ind w:firstLine="482"/>
        <w:jc w:val="left"/>
        <w:outlineLvl w:val="2"/>
        <w:rPr>
          <w:rFonts w:ascii="宋体" w:hAnsi="宋体" w:eastAsia="宋体" w:cs="宋体"/>
          <w:b/>
          <w:bCs/>
          <w:sz w:val="24"/>
        </w:rPr>
      </w:pPr>
      <w:r>
        <w:rPr>
          <w:rFonts w:hint="eastAsia" w:ascii="宋体" w:hAnsi="宋体" w:eastAsia="宋体" w:cs="宋体"/>
          <w:b/>
          <w:bCs/>
          <w:sz w:val="24"/>
        </w:rPr>
        <w:t>1、小微型企业价格扣除</w:t>
      </w:r>
    </w:p>
    <w:p w14:paraId="4D147336">
      <w:pPr>
        <w:widowControl/>
        <w:spacing w:line="560" w:lineRule="exact"/>
        <w:ind w:firstLine="482"/>
        <w:jc w:val="left"/>
        <w:rPr>
          <w:rFonts w:ascii="宋体" w:hAnsi="宋体" w:eastAsia="宋体" w:cs="宋体"/>
          <w:sz w:val="24"/>
        </w:rPr>
      </w:pPr>
      <w:r>
        <w:rPr>
          <w:rFonts w:hint="eastAsia" w:ascii="宋体" w:hAnsi="宋体" w:eastAsia="宋体" w:cs="宋体"/>
          <w:sz w:val="24"/>
        </w:rPr>
        <w:t>（1）本项目不专门面向中小企业采购，对小型和微型企业报价给予20%价格扣除，用扣除后的价格参与评审。</w:t>
      </w:r>
    </w:p>
    <w:p w14:paraId="4B460F05">
      <w:pPr>
        <w:widowControl/>
        <w:spacing w:line="560" w:lineRule="exact"/>
        <w:ind w:firstLine="482"/>
        <w:jc w:val="left"/>
        <w:rPr>
          <w:rFonts w:ascii="宋体" w:hAnsi="宋体" w:eastAsia="宋体" w:cs="宋体"/>
          <w:sz w:val="24"/>
        </w:rPr>
      </w:pPr>
      <w:r>
        <w:rPr>
          <w:rFonts w:hint="eastAsia" w:ascii="宋体" w:hAnsi="宋体" w:eastAsia="宋体" w:cs="宋体"/>
          <w:sz w:val="24"/>
        </w:rPr>
        <w:t>（2）供应商需按照采购文件的要求提供相应的《中小企业声明函》。</w:t>
      </w:r>
    </w:p>
    <w:p w14:paraId="48AFA556">
      <w:pPr>
        <w:widowControl/>
        <w:spacing w:line="560" w:lineRule="exact"/>
        <w:ind w:firstLine="482"/>
        <w:jc w:val="left"/>
        <w:rPr>
          <w:rFonts w:ascii="宋体" w:hAnsi="宋体" w:eastAsia="宋体" w:cs="宋体"/>
          <w:sz w:val="24"/>
        </w:rPr>
      </w:pPr>
      <w:r>
        <w:rPr>
          <w:rFonts w:hint="eastAsia" w:ascii="宋体" w:hAnsi="宋体" w:eastAsia="宋体" w:cs="宋体"/>
          <w:sz w:val="24"/>
        </w:rPr>
        <w:t>（3）企业标准请参照《关于印发中小企业划型标准规定的通知》（工信部联企业〔2011〕300号）文件规定自行填写。</w:t>
      </w:r>
    </w:p>
    <w:p w14:paraId="16DE319A">
      <w:pPr>
        <w:widowControl/>
        <w:spacing w:line="560" w:lineRule="exact"/>
        <w:ind w:firstLine="482"/>
        <w:jc w:val="left"/>
        <w:rPr>
          <w:rFonts w:ascii="宋体" w:hAnsi="宋体" w:eastAsia="宋体" w:cs="宋体"/>
          <w:b/>
          <w:bCs/>
          <w:sz w:val="24"/>
        </w:rPr>
      </w:pPr>
      <w:r>
        <w:rPr>
          <w:rFonts w:hint="eastAsia" w:ascii="宋体" w:hAnsi="宋体" w:eastAsia="宋体" w:cs="宋体"/>
          <w:b/>
          <w:bCs/>
          <w:sz w:val="24"/>
        </w:rPr>
        <w:t>2、残疾人福利单位价格扣除</w:t>
      </w:r>
    </w:p>
    <w:p w14:paraId="43C005EE">
      <w:pPr>
        <w:widowControl/>
        <w:spacing w:line="560" w:lineRule="exact"/>
        <w:ind w:firstLine="482"/>
        <w:jc w:val="left"/>
        <w:rPr>
          <w:rFonts w:ascii="宋体" w:hAnsi="宋体" w:eastAsia="宋体" w:cs="宋体"/>
          <w:sz w:val="24"/>
        </w:rPr>
      </w:pPr>
      <w:r>
        <w:rPr>
          <w:rFonts w:hint="eastAsia" w:ascii="宋体" w:hAnsi="宋体" w:eastAsia="宋体" w:cs="宋体"/>
          <w:sz w:val="24"/>
        </w:rPr>
        <w:t>（1）本项目对残疾人福利性单位视同小型、微型企业，给予20%的价格扣除。</w:t>
      </w:r>
    </w:p>
    <w:p w14:paraId="390B6797">
      <w:pPr>
        <w:widowControl/>
        <w:spacing w:line="560" w:lineRule="exact"/>
        <w:ind w:firstLine="482"/>
        <w:jc w:val="left"/>
        <w:rPr>
          <w:rFonts w:ascii="宋体" w:hAnsi="宋体" w:eastAsia="宋体" w:cs="宋体"/>
          <w:sz w:val="24"/>
        </w:rPr>
      </w:pPr>
      <w:r>
        <w:rPr>
          <w:rFonts w:hint="eastAsia" w:ascii="宋体" w:hAnsi="宋体" w:eastAsia="宋体" w:cs="宋体"/>
          <w:sz w:val="24"/>
        </w:rPr>
        <w:t>（2）残疾人福利单位需按照采购文件的要求提供《残疾人福利性单位声明函》。</w:t>
      </w:r>
    </w:p>
    <w:p w14:paraId="3B135D54">
      <w:pPr>
        <w:widowControl/>
        <w:spacing w:line="560" w:lineRule="exact"/>
        <w:ind w:firstLine="482"/>
        <w:jc w:val="left"/>
        <w:rPr>
          <w:rFonts w:ascii="宋体" w:hAnsi="宋体" w:eastAsia="宋体" w:cs="宋体"/>
          <w:sz w:val="24"/>
        </w:rPr>
      </w:pPr>
      <w:r>
        <w:rPr>
          <w:rFonts w:hint="eastAsia" w:ascii="宋体" w:hAnsi="宋体" w:eastAsia="宋体" w:cs="宋体"/>
          <w:sz w:val="24"/>
        </w:rPr>
        <w:t>（3）残疾人福利单位标准请参照《关于促进残疾人就业政府采购政策的通知》（财库〔2017〕141号）。</w:t>
      </w:r>
    </w:p>
    <w:p w14:paraId="4CBA49F6">
      <w:pPr>
        <w:widowControl/>
        <w:spacing w:line="560" w:lineRule="exact"/>
        <w:ind w:firstLine="482"/>
        <w:jc w:val="left"/>
        <w:rPr>
          <w:rFonts w:ascii="宋体" w:hAnsi="宋体" w:eastAsia="宋体" w:cs="宋体"/>
          <w:b/>
          <w:bCs/>
          <w:sz w:val="24"/>
        </w:rPr>
      </w:pPr>
      <w:r>
        <w:rPr>
          <w:rFonts w:hint="eastAsia" w:ascii="宋体" w:hAnsi="宋体" w:eastAsia="宋体" w:cs="宋体"/>
          <w:b/>
          <w:bCs/>
          <w:sz w:val="24"/>
        </w:rPr>
        <w:t>3、监狱和戒毒企业价格扣除</w:t>
      </w:r>
    </w:p>
    <w:p w14:paraId="762D5929">
      <w:pPr>
        <w:widowControl/>
        <w:spacing w:line="560" w:lineRule="exact"/>
        <w:ind w:firstLine="482"/>
        <w:jc w:val="left"/>
        <w:rPr>
          <w:rFonts w:ascii="宋体" w:hAnsi="宋体" w:eastAsia="宋体" w:cs="宋体"/>
          <w:sz w:val="24"/>
        </w:rPr>
      </w:pPr>
      <w:r>
        <w:rPr>
          <w:rFonts w:hint="eastAsia" w:ascii="宋体" w:hAnsi="宋体" w:eastAsia="宋体" w:cs="宋体"/>
          <w:sz w:val="24"/>
        </w:rPr>
        <w:t>（1）本项目对监狱和戒毒企业（简称监狱企业）视同小型、微型企业，给予20%的价格扣除。</w:t>
      </w:r>
    </w:p>
    <w:p w14:paraId="7510F939">
      <w:pPr>
        <w:widowControl/>
        <w:spacing w:line="560" w:lineRule="exact"/>
        <w:ind w:firstLine="482"/>
        <w:jc w:val="left"/>
        <w:rPr>
          <w:rFonts w:ascii="宋体" w:hAnsi="宋体" w:eastAsia="宋体" w:cs="宋体"/>
          <w:sz w:val="24"/>
        </w:rPr>
      </w:pPr>
      <w:r>
        <w:rPr>
          <w:rFonts w:hint="eastAsia" w:ascii="宋体" w:hAnsi="宋体" w:eastAsia="宋体" w:cs="宋体"/>
          <w:sz w:val="24"/>
        </w:rPr>
        <w:t>（2）监狱企业参加政府采购活动时，需提供由省级以上监狱管理局、戒毒管理局(含新疆生产建设兵团)出具的属于监狱企业的证明文件。供应商如不提供上述证明文件，价格将不做相应扣除。</w:t>
      </w:r>
    </w:p>
    <w:p w14:paraId="0E15FA03">
      <w:pPr>
        <w:widowControl/>
        <w:spacing w:line="560" w:lineRule="exact"/>
        <w:ind w:firstLine="482"/>
        <w:jc w:val="left"/>
        <w:rPr>
          <w:rFonts w:ascii="宋体" w:hAnsi="宋体" w:eastAsia="宋体" w:cs="宋体"/>
          <w:sz w:val="24"/>
        </w:rPr>
      </w:pPr>
      <w:r>
        <w:rPr>
          <w:rFonts w:hint="eastAsia" w:ascii="宋体" w:hAnsi="宋体" w:eastAsia="宋体" w:cs="宋体"/>
          <w:sz w:val="24"/>
        </w:rPr>
        <w:t>（3）监狱企业标准请参照《关于政府采购支持监狱企业发展有关问题的通知》（财库〔2014〕68号）。</w:t>
      </w:r>
    </w:p>
    <w:p w14:paraId="744EB8D6">
      <w:pPr>
        <w:widowControl/>
        <w:spacing w:line="560" w:lineRule="exact"/>
        <w:ind w:firstLine="482"/>
        <w:jc w:val="left"/>
        <w:rPr>
          <w:rFonts w:ascii="宋体" w:hAnsi="宋体" w:eastAsia="宋体" w:cs="宋体"/>
          <w:sz w:val="24"/>
        </w:rPr>
      </w:pPr>
      <w:r>
        <w:rPr>
          <w:rFonts w:hint="eastAsia" w:ascii="宋体" w:hAnsi="宋体" w:eastAsia="宋体" w:cs="宋体"/>
          <w:sz w:val="24"/>
        </w:rPr>
        <w:t>4、残疾人福利单位、监狱企业属于小型、微型企业的，不重复享受政策。</w:t>
      </w:r>
    </w:p>
    <w:p w14:paraId="6DFD3BE0">
      <w:pPr>
        <w:widowControl/>
        <w:spacing w:line="560" w:lineRule="exact"/>
        <w:ind w:firstLine="482"/>
        <w:jc w:val="left"/>
        <w:rPr>
          <w:rFonts w:ascii="宋体" w:hAnsi="宋体" w:eastAsia="宋体" w:cs="宋体"/>
          <w:sz w:val="24"/>
        </w:rPr>
      </w:pPr>
      <w:r>
        <w:rPr>
          <w:rFonts w:hint="eastAsia" w:ascii="宋体" w:hAnsi="宋体" w:eastAsia="宋体" w:cs="宋体"/>
          <w:sz w:val="24"/>
        </w:rPr>
        <w:t>5、采购本国产品的支持政策</w:t>
      </w:r>
    </w:p>
    <w:p w14:paraId="7F549193">
      <w:pPr>
        <w:widowControl/>
        <w:spacing w:line="560" w:lineRule="exact"/>
        <w:ind w:firstLine="482"/>
        <w:jc w:val="left"/>
        <w:rPr>
          <w:rFonts w:ascii="宋体" w:hAnsi="宋体" w:eastAsia="宋体" w:cs="宋体"/>
          <w:sz w:val="24"/>
        </w:rPr>
      </w:pPr>
      <w:r>
        <w:rPr>
          <w:rFonts w:hint="eastAsia" w:ascii="宋体" w:hAnsi="宋体" w:eastAsia="宋体" w:cs="宋体"/>
          <w:sz w:val="24"/>
        </w:rPr>
        <w:t>5.1 本项目政府采购活动中既有本国产品又有非本国产品参与竞争的，依法对本国产品给予价格评审优惠，对本国产品的报价给予 20%的价格扣除，用扣除后的价格参与评审。</w:t>
      </w:r>
    </w:p>
    <w:p w14:paraId="45D054BA">
      <w:pPr>
        <w:widowControl/>
        <w:spacing w:line="560" w:lineRule="exact"/>
        <w:ind w:firstLine="482"/>
        <w:jc w:val="left"/>
        <w:rPr>
          <w:rFonts w:ascii="宋体" w:hAnsi="宋体" w:eastAsia="宋体" w:cs="宋体"/>
          <w:sz w:val="24"/>
        </w:rPr>
      </w:pPr>
      <w:r>
        <w:rPr>
          <w:rFonts w:hint="eastAsia" w:ascii="宋体" w:hAnsi="宋体" w:eastAsia="宋体" w:cs="宋体"/>
          <w:sz w:val="24"/>
        </w:rPr>
        <w:t>5.2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3C46082">
      <w:pPr>
        <w:widowControl/>
        <w:spacing w:line="560" w:lineRule="exact"/>
        <w:ind w:firstLine="482"/>
        <w:jc w:val="left"/>
        <w:rPr>
          <w:rFonts w:ascii="宋体" w:hAnsi="宋体" w:eastAsia="宋体" w:cs="宋体"/>
          <w:sz w:val="24"/>
        </w:rPr>
      </w:pPr>
      <w:r>
        <w:rPr>
          <w:rFonts w:hint="eastAsia" w:ascii="宋体" w:hAnsi="宋体" w:eastAsia="宋体" w:cs="宋体"/>
          <w:sz w:val="24"/>
        </w:rPr>
        <w:t>5.3 供应商需按照招标文件的要求提供《关于符合本国产品标准的声明函》（以下简称《声明函》），如不提供将不享受本国产品价格评审优惠。</w:t>
      </w:r>
    </w:p>
    <w:p w14:paraId="0BD4397C">
      <w:pPr>
        <w:widowControl/>
        <w:spacing w:line="560" w:lineRule="exact"/>
        <w:ind w:firstLine="482"/>
        <w:jc w:val="left"/>
        <w:rPr>
          <w:rFonts w:ascii="宋体" w:hAnsi="宋体" w:eastAsia="宋体" w:cs="宋体"/>
          <w:sz w:val="24"/>
        </w:rPr>
      </w:pPr>
      <w:r>
        <w:rPr>
          <w:rFonts w:hint="eastAsia" w:ascii="宋体" w:hAnsi="宋体" w:eastAsia="宋体" w:cs="宋体"/>
          <w:sz w:val="24"/>
        </w:rPr>
        <w:t>5.4 供应商需在《声明函》中逐一、准确填写产品名称、厂名、生产厂址三项信息（《声明函》中用横线划除的地方无需填写），三项信息中任意一项未填写的视为该项产品不符合本国产品标准，不享受本国产品价格评审优惠。</w:t>
      </w:r>
    </w:p>
    <w:p w14:paraId="7A2B8E02">
      <w:pPr>
        <w:widowControl/>
        <w:spacing w:line="560" w:lineRule="exact"/>
        <w:ind w:firstLine="482"/>
        <w:jc w:val="left"/>
        <w:rPr>
          <w:rFonts w:ascii="宋体" w:hAnsi="宋体" w:eastAsia="宋体" w:cs="宋体"/>
          <w:sz w:val="24"/>
        </w:rPr>
      </w:pPr>
      <w:r>
        <w:rPr>
          <w:rFonts w:hint="eastAsia" w:ascii="宋体" w:hAnsi="宋体" w:eastAsia="宋体" w:cs="宋体"/>
          <w:sz w:val="24"/>
        </w:rPr>
        <w:t>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EC50474">
      <w:pPr>
        <w:widowControl/>
        <w:spacing w:line="560" w:lineRule="exact"/>
        <w:ind w:firstLine="482"/>
        <w:jc w:val="left"/>
        <w:rPr>
          <w:rFonts w:ascii="宋体" w:hAnsi="宋体" w:eastAsia="宋体" w:cs="宋体"/>
          <w:sz w:val="24"/>
        </w:rPr>
      </w:pPr>
      <w:r>
        <w:rPr>
          <w:rFonts w:hint="eastAsia" w:ascii="宋体" w:hAnsi="宋体" w:eastAsia="宋体" w:cs="宋体"/>
          <w:sz w:val="24"/>
        </w:rPr>
        <w:t>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sz w:val="24"/>
        </w:rPr>
        <w:t>如属政府强制采购产品未提供认证证书的或认证证书提供不全的将视为未实质性响应采购要求</w:t>
      </w:r>
      <w:r>
        <w:rPr>
          <w:rFonts w:hint="eastAsia" w:ascii="宋体" w:hAnsi="宋体" w:eastAsia="宋体" w:cs="宋体"/>
          <w:sz w:val="24"/>
        </w:rPr>
        <w:t>。其他条件相同情况下，应当优先采购节能产品、环境标志产品。</w:t>
      </w:r>
    </w:p>
    <w:p w14:paraId="1256388D">
      <w:pPr>
        <w:widowControl/>
        <w:spacing w:line="560" w:lineRule="exact"/>
        <w:ind w:firstLine="482"/>
        <w:jc w:val="left"/>
        <w:rPr>
          <w:rFonts w:ascii="宋体" w:hAnsi="宋体" w:eastAsia="宋体" w:cs="宋体"/>
          <w:b/>
          <w:bCs/>
          <w:sz w:val="24"/>
        </w:rPr>
      </w:pPr>
      <w:r>
        <w:rPr>
          <w:rFonts w:hint="eastAsia" w:ascii="宋体" w:hAnsi="宋体" w:eastAsia="宋体" w:cs="宋体"/>
          <w:b/>
          <w:bCs/>
          <w:sz w:val="24"/>
        </w:rPr>
        <w:t>二、评标方法与评标标准</w:t>
      </w:r>
    </w:p>
    <w:p w14:paraId="34EEA80E">
      <w:pPr>
        <w:widowControl/>
        <w:spacing w:line="560" w:lineRule="exact"/>
        <w:ind w:firstLine="482"/>
        <w:jc w:val="left"/>
        <w:rPr>
          <w:rFonts w:ascii="宋体" w:hAnsi="宋体" w:eastAsia="宋体" w:cs="宋体"/>
          <w:sz w:val="24"/>
        </w:rPr>
      </w:pPr>
      <w:r>
        <w:rPr>
          <w:rFonts w:hint="eastAsia" w:ascii="宋体" w:hAnsi="宋体" w:eastAsia="宋体" w:cs="宋体"/>
          <w:sz w:val="24"/>
        </w:rPr>
        <w:t>本项目评分总分值为100分。</w:t>
      </w:r>
    </w:p>
    <w:tbl>
      <w:tblPr>
        <w:tblStyle w:val="40"/>
        <w:tblW w:w="86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81"/>
        <w:gridCol w:w="1181"/>
        <w:gridCol w:w="834"/>
        <w:gridCol w:w="6057"/>
      </w:tblGrid>
      <w:tr w14:paraId="07C366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81" w:type="dxa"/>
            <w:vAlign w:val="center"/>
          </w:tcPr>
          <w:p w14:paraId="0EE85122">
            <w:pPr>
              <w:spacing w:line="400" w:lineRule="exact"/>
              <w:jc w:val="center"/>
              <w:rPr>
                <w:rFonts w:ascii="宋体" w:hAnsi="宋体" w:cs="宋体"/>
                <w:b/>
                <w:bCs/>
                <w:sz w:val="24"/>
              </w:rPr>
            </w:pPr>
            <w:bookmarkStart w:id="216" w:name="OLE_LINK11"/>
            <w:bookmarkStart w:id="217" w:name="OLE_LINK12"/>
            <w:bookmarkStart w:id="218" w:name="OLE_LINK98"/>
            <w:r>
              <w:rPr>
                <w:rFonts w:hint="eastAsia" w:ascii="宋体" w:hAnsi="宋体" w:eastAsia="宋体" w:cs="宋体"/>
                <w:b/>
                <w:bCs/>
                <w:sz w:val="24"/>
              </w:rPr>
              <w:t>序号</w:t>
            </w:r>
          </w:p>
        </w:tc>
        <w:tc>
          <w:tcPr>
            <w:tcW w:w="1181" w:type="dxa"/>
            <w:vAlign w:val="center"/>
          </w:tcPr>
          <w:p w14:paraId="534AF50B">
            <w:pPr>
              <w:spacing w:line="400" w:lineRule="exact"/>
              <w:jc w:val="center"/>
              <w:rPr>
                <w:rFonts w:ascii="宋体" w:hAnsi="宋体" w:cs="宋体"/>
                <w:b/>
                <w:bCs/>
                <w:sz w:val="24"/>
              </w:rPr>
            </w:pPr>
            <w:r>
              <w:rPr>
                <w:rFonts w:hint="eastAsia" w:ascii="宋体" w:hAnsi="宋体" w:eastAsia="宋体" w:cs="宋体"/>
                <w:b/>
                <w:bCs/>
                <w:sz w:val="24"/>
              </w:rPr>
              <w:t>评审项目</w:t>
            </w:r>
          </w:p>
        </w:tc>
        <w:tc>
          <w:tcPr>
            <w:tcW w:w="834" w:type="dxa"/>
            <w:vAlign w:val="center"/>
          </w:tcPr>
          <w:p w14:paraId="1CC0154B">
            <w:pPr>
              <w:spacing w:line="400" w:lineRule="exact"/>
              <w:jc w:val="center"/>
              <w:rPr>
                <w:rFonts w:ascii="宋体" w:hAnsi="宋体" w:cs="宋体"/>
                <w:b/>
                <w:bCs/>
                <w:spacing w:val="-8"/>
                <w:sz w:val="24"/>
              </w:rPr>
            </w:pPr>
            <w:r>
              <w:rPr>
                <w:rFonts w:hint="eastAsia" w:ascii="宋体" w:hAnsi="宋体" w:eastAsia="宋体" w:cs="宋体"/>
                <w:b/>
                <w:bCs/>
                <w:spacing w:val="-8"/>
                <w:sz w:val="24"/>
              </w:rPr>
              <w:t>分值</w:t>
            </w:r>
          </w:p>
        </w:tc>
        <w:tc>
          <w:tcPr>
            <w:tcW w:w="6057" w:type="dxa"/>
            <w:vAlign w:val="center"/>
          </w:tcPr>
          <w:p w14:paraId="1CD826AF">
            <w:pPr>
              <w:widowControl/>
              <w:spacing w:line="400" w:lineRule="exact"/>
              <w:jc w:val="center"/>
              <w:rPr>
                <w:rFonts w:ascii="宋体" w:hAnsi="宋体" w:cs="宋体"/>
                <w:b/>
                <w:bCs/>
                <w:sz w:val="24"/>
              </w:rPr>
            </w:pPr>
            <w:r>
              <w:rPr>
                <w:rFonts w:hint="eastAsia" w:ascii="宋体" w:hAnsi="宋体" w:eastAsia="宋体" w:cs="宋体"/>
                <w:b/>
                <w:bCs/>
                <w:sz w:val="24"/>
              </w:rPr>
              <w:t>评分标准</w:t>
            </w:r>
          </w:p>
        </w:tc>
      </w:tr>
      <w:tr w14:paraId="2DBBEC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581" w:type="dxa"/>
            <w:vAlign w:val="center"/>
          </w:tcPr>
          <w:p w14:paraId="38241AF9">
            <w:pPr>
              <w:jc w:val="center"/>
              <w:rPr>
                <w:rFonts w:ascii="宋体" w:hAnsi="宋体" w:cs="宋体"/>
                <w:sz w:val="24"/>
              </w:rPr>
            </w:pPr>
            <w:r>
              <w:rPr>
                <w:rFonts w:hint="eastAsia" w:ascii="宋体" w:hAnsi="宋体" w:eastAsia="宋体" w:cs="宋体"/>
                <w:sz w:val="24"/>
              </w:rPr>
              <w:t>1</w:t>
            </w:r>
          </w:p>
        </w:tc>
        <w:tc>
          <w:tcPr>
            <w:tcW w:w="1181" w:type="dxa"/>
            <w:vAlign w:val="center"/>
          </w:tcPr>
          <w:p w14:paraId="421AB0A3">
            <w:pPr>
              <w:jc w:val="center"/>
              <w:rPr>
                <w:rFonts w:ascii="宋体" w:hAnsi="宋体" w:eastAsia="宋体" w:cs="宋体"/>
                <w:sz w:val="24"/>
              </w:rPr>
            </w:pPr>
            <w:r>
              <w:rPr>
                <w:rFonts w:hint="eastAsia" w:ascii="宋体" w:hAnsi="宋体" w:eastAsia="宋体" w:cs="宋体"/>
                <w:sz w:val="24"/>
              </w:rPr>
              <w:t>投标报价</w:t>
            </w:r>
          </w:p>
        </w:tc>
        <w:tc>
          <w:tcPr>
            <w:tcW w:w="834" w:type="dxa"/>
            <w:vAlign w:val="center"/>
          </w:tcPr>
          <w:p w14:paraId="2B169F08">
            <w:pPr>
              <w:jc w:val="center"/>
              <w:rPr>
                <w:rFonts w:ascii="宋体" w:hAnsi="宋体" w:cs="宋体"/>
                <w:sz w:val="24"/>
              </w:rPr>
            </w:pPr>
            <w:r>
              <w:rPr>
                <w:rFonts w:hint="eastAsia" w:ascii="宋体" w:hAnsi="宋体" w:eastAsia="宋体" w:cs="宋体"/>
                <w:sz w:val="24"/>
              </w:rPr>
              <w:t>30分</w:t>
            </w:r>
          </w:p>
        </w:tc>
        <w:tc>
          <w:tcPr>
            <w:tcW w:w="6057" w:type="dxa"/>
          </w:tcPr>
          <w:p w14:paraId="1D1563FD">
            <w:pPr>
              <w:overflowPunct w:val="0"/>
              <w:spacing w:line="500" w:lineRule="exact"/>
              <w:ind w:firstLine="480" w:firstLineChars="200"/>
              <w:rPr>
                <w:rFonts w:asciiTheme="minorEastAsia" w:hAnsiTheme="minorEastAsia" w:cstheme="minorEastAsia"/>
                <w:sz w:val="24"/>
              </w:rPr>
            </w:pPr>
            <w:r>
              <w:rPr>
                <w:rFonts w:hint="eastAsia" w:asciiTheme="minorEastAsia" w:hAnsiTheme="minorEastAsia" w:cstheme="minorEastAsia"/>
                <w:sz w:val="24"/>
              </w:rPr>
              <w:t>价格分采用低价优先法计算，即满足招标文件要求且投标价格最低的投标报价为评标基准价，其价格分为满分。其他投标人的价格分统一按照下列公式计算：投标报价得分=（评标基准价／投标报价）×30。（得分保留两位小数）</w:t>
            </w:r>
          </w:p>
        </w:tc>
      </w:tr>
      <w:tr w14:paraId="6A7F5A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81" w:type="dxa"/>
            <w:vAlign w:val="center"/>
          </w:tcPr>
          <w:p w14:paraId="215F1905">
            <w:pPr>
              <w:jc w:val="center"/>
              <w:rPr>
                <w:rFonts w:ascii="宋体" w:hAnsi="宋体" w:cs="宋体"/>
                <w:sz w:val="24"/>
              </w:rPr>
            </w:pPr>
            <w:r>
              <w:rPr>
                <w:rFonts w:hint="eastAsia" w:ascii="宋体" w:hAnsi="宋体" w:eastAsia="宋体" w:cs="宋体"/>
                <w:sz w:val="24"/>
              </w:rPr>
              <w:t>2</w:t>
            </w:r>
          </w:p>
        </w:tc>
        <w:tc>
          <w:tcPr>
            <w:tcW w:w="1181" w:type="dxa"/>
            <w:vAlign w:val="center"/>
          </w:tcPr>
          <w:p w14:paraId="1A1B4F66">
            <w:pPr>
              <w:jc w:val="center"/>
              <w:rPr>
                <w:rFonts w:ascii="宋体" w:hAnsi="宋体" w:cs="宋体"/>
                <w:sz w:val="24"/>
              </w:rPr>
            </w:pPr>
            <w:r>
              <w:rPr>
                <w:rFonts w:hint="eastAsia" w:ascii="宋体" w:hAnsi="宋体" w:eastAsia="宋体" w:cs="宋体"/>
                <w:sz w:val="24"/>
              </w:rPr>
              <w:t>类似业绩</w:t>
            </w:r>
          </w:p>
        </w:tc>
        <w:tc>
          <w:tcPr>
            <w:tcW w:w="834" w:type="dxa"/>
            <w:vAlign w:val="center"/>
          </w:tcPr>
          <w:p w14:paraId="6A8DC13C">
            <w:pPr>
              <w:jc w:val="center"/>
              <w:rPr>
                <w:rFonts w:ascii="宋体" w:hAnsi="宋体" w:cs="宋体"/>
                <w:sz w:val="24"/>
              </w:rPr>
            </w:pPr>
            <w:r>
              <w:rPr>
                <w:rFonts w:hint="eastAsia" w:ascii="宋体" w:hAnsi="宋体" w:eastAsia="宋体" w:cs="宋体"/>
                <w:sz w:val="24"/>
              </w:rPr>
              <w:t>3分</w:t>
            </w:r>
          </w:p>
        </w:tc>
        <w:tc>
          <w:tcPr>
            <w:tcW w:w="6057" w:type="dxa"/>
            <w:vAlign w:val="center"/>
          </w:tcPr>
          <w:p w14:paraId="3A81B58A">
            <w:pPr>
              <w:overflowPunct w:val="0"/>
              <w:spacing w:line="500" w:lineRule="exact"/>
              <w:ind w:firstLine="480" w:firstLineChars="200"/>
              <w:rPr>
                <w:rFonts w:asciiTheme="minorEastAsia" w:hAnsiTheme="minorEastAsia" w:cstheme="minorEastAsia"/>
                <w:sz w:val="24"/>
              </w:rPr>
            </w:pPr>
            <w:r>
              <w:rPr>
                <w:rFonts w:hint="eastAsia" w:asciiTheme="minorEastAsia" w:hAnsiTheme="minorEastAsia" w:cstheme="minorEastAsia"/>
                <w:sz w:val="24"/>
              </w:rPr>
              <w:t>投标人或其投标产品制造商自2023年1月1日（含）以来（以合同签订日期为准）完成的类似项目业绩（</w:t>
            </w:r>
            <w:r>
              <w:rPr>
                <w:rFonts w:hint="eastAsia" w:asciiTheme="minorEastAsia" w:hAnsiTheme="minorEastAsia" w:cstheme="minorEastAsia"/>
                <w:sz w:val="24"/>
                <w:lang w:val="zh-CN"/>
              </w:rPr>
              <w:t>类似项目是</w:t>
            </w:r>
            <w:r>
              <w:rPr>
                <w:rFonts w:hint="eastAsia" w:asciiTheme="minorEastAsia" w:hAnsiTheme="minorEastAsia" w:cstheme="minorEastAsia"/>
                <w:sz w:val="24"/>
              </w:rPr>
              <w:t>指智慧操场、智慧游戏一体机、体测一体机等业绩</w:t>
            </w:r>
            <w:r>
              <w:rPr>
                <w:rFonts w:hint="eastAsia" w:asciiTheme="minorEastAsia" w:hAnsiTheme="minorEastAsia" w:cstheme="minorEastAsia"/>
                <w:sz w:val="24"/>
                <w:lang w:val="zh-CN"/>
              </w:rPr>
              <w:t>至少一项在内</w:t>
            </w:r>
            <w:r>
              <w:rPr>
                <w:rFonts w:hint="eastAsia" w:asciiTheme="minorEastAsia" w:hAnsiTheme="minorEastAsia" w:cstheme="minorEastAsia"/>
                <w:sz w:val="24"/>
              </w:rPr>
              <w:t>的成功案例），每提供一个业绩得1分，本项最高得3分。</w:t>
            </w:r>
          </w:p>
          <w:p w14:paraId="1B325074">
            <w:pPr>
              <w:overflowPunct w:val="0"/>
              <w:spacing w:line="500" w:lineRule="exact"/>
              <w:ind w:firstLine="482" w:firstLineChars="200"/>
              <w:rPr>
                <w:rFonts w:asciiTheme="minorEastAsia" w:hAnsiTheme="minorEastAsia" w:cstheme="minorEastAsia"/>
                <w:sz w:val="24"/>
              </w:rPr>
            </w:pPr>
            <w:r>
              <w:rPr>
                <w:rFonts w:hint="eastAsia" w:ascii="宋体" w:hAnsi="宋体" w:eastAsia="宋体" w:cs="宋体"/>
                <w:b/>
                <w:bCs/>
                <w:sz w:val="24"/>
                <w:lang w:val="zh-CN"/>
              </w:rPr>
              <w:t>注：</w:t>
            </w:r>
            <w:r>
              <w:rPr>
                <w:rFonts w:hint="eastAsia" w:ascii="宋体" w:hAnsi="宋体" w:eastAsia="宋体" w:cs="宋体"/>
                <w:b/>
                <w:bCs/>
                <w:sz w:val="24"/>
              </w:rPr>
              <w:t>投标时</w:t>
            </w:r>
            <w:r>
              <w:rPr>
                <w:rFonts w:hint="eastAsia" w:ascii="宋体" w:hAnsi="宋体" w:eastAsia="宋体" w:cs="宋体"/>
                <w:b/>
                <w:bCs/>
                <w:sz w:val="24"/>
                <w:lang w:val="zh-CN"/>
              </w:rPr>
              <w:t>必须提供合同原件扫描件</w:t>
            </w:r>
            <w:r>
              <w:rPr>
                <w:rFonts w:hint="eastAsia" w:ascii="宋体" w:hAnsi="宋体" w:eastAsia="宋体" w:cs="宋体"/>
                <w:b/>
                <w:bCs/>
                <w:sz w:val="24"/>
              </w:rPr>
              <w:t>和项目验收证明材料</w:t>
            </w:r>
            <w:r>
              <w:rPr>
                <w:rFonts w:hint="eastAsia" w:ascii="宋体" w:hAnsi="宋体" w:eastAsia="宋体" w:cs="宋体"/>
                <w:b/>
                <w:bCs/>
                <w:sz w:val="24"/>
                <w:lang w:val="zh-CN"/>
              </w:rPr>
              <w:t>。合同应体现合同签订时间、</w:t>
            </w:r>
            <w:r>
              <w:rPr>
                <w:rFonts w:hint="eastAsia" w:ascii="宋体" w:hAnsi="宋体" w:eastAsia="宋体" w:cs="宋体"/>
                <w:b/>
                <w:bCs/>
                <w:sz w:val="24"/>
              </w:rPr>
              <w:t>合同主体名称、供货内容、合同主体双方盖章页</w:t>
            </w:r>
            <w:r>
              <w:rPr>
                <w:rFonts w:hint="eastAsia" w:ascii="宋体" w:hAnsi="宋体" w:eastAsia="宋体" w:cs="宋体"/>
                <w:b/>
                <w:bCs/>
                <w:sz w:val="24"/>
                <w:lang w:val="zh-CN"/>
              </w:rPr>
              <w:t>，否则该项不得分。</w:t>
            </w:r>
          </w:p>
        </w:tc>
      </w:tr>
      <w:tr w14:paraId="41D228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81" w:type="dxa"/>
            <w:vAlign w:val="center"/>
          </w:tcPr>
          <w:p w14:paraId="7948BAB2">
            <w:pPr>
              <w:jc w:val="center"/>
              <w:rPr>
                <w:rFonts w:ascii="宋体" w:hAnsi="宋体" w:eastAsia="宋体" w:cs="宋体"/>
                <w:sz w:val="24"/>
              </w:rPr>
            </w:pPr>
            <w:r>
              <w:rPr>
                <w:rFonts w:hint="eastAsia" w:ascii="宋体" w:hAnsi="宋体" w:eastAsia="宋体" w:cs="宋体"/>
                <w:sz w:val="24"/>
              </w:rPr>
              <w:t>3</w:t>
            </w:r>
          </w:p>
        </w:tc>
        <w:tc>
          <w:tcPr>
            <w:tcW w:w="1181" w:type="dxa"/>
            <w:vAlign w:val="center"/>
          </w:tcPr>
          <w:p w14:paraId="6BED781F">
            <w:pPr>
              <w:jc w:val="center"/>
              <w:rPr>
                <w:rFonts w:ascii="宋体" w:hAnsi="宋体" w:cs="宋体"/>
                <w:sz w:val="24"/>
              </w:rPr>
            </w:pPr>
            <w:r>
              <w:rPr>
                <w:rFonts w:hint="eastAsia" w:ascii="宋体" w:hAnsi="宋体" w:cs="宋体"/>
                <w:sz w:val="24"/>
              </w:rPr>
              <w:t>产品技术参数</w:t>
            </w:r>
          </w:p>
        </w:tc>
        <w:tc>
          <w:tcPr>
            <w:tcW w:w="834" w:type="dxa"/>
            <w:vAlign w:val="center"/>
          </w:tcPr>
          <w:p w14:paraId="71AD30A0">
            <w:pPr>
              <w:jc w:val="center"/>
              <w:rPr>
                <w:rFonts w:ascii="宋体" w:hAnsi="宋体" w:eastAsia="宋体" w:cs="宋体"/>
                <w:sz w:val="24"/>
              </w:rPr>
            </w:pPr>
            <w:r>
              <w:rPr>
                <w:rFonts w:hint="eastAsia" w:ascii="宋体" w:hAnsi="宋体" w:eastAsia="宋体" w:cs="宋体"/>
                <w:sz w:val="24"/>
              </w:rPr>
              <w:t>20分</w:t>
            </w:r>
          </w:p>
        </w:tc>
        <w:tc>
          <w:tcPr>
            <w:tcW w:w="6057" w:type="dxa"/>
            <w:vAlign w:val="center"/>
          </w:tcPr>
          <w:p w14:paraId="3D3173FB">
            <w:pPr>
              <w:overflowPunct w:val="0"/>
              <w:spacing w:line="500" w:lineRule="exact"/>
              <w:ind w:firstLine="480" w:firstLineChars="200"/>
              <w:jc w:val="left"/>
              <w:rPr>
                <w:rFonts w:asciiTheme="minorEastAsia" w:hAnsiTheme="minorEastAsia" w:cstheme="minorEastAsia"/>
                <w:sz w:val="24"/>
              </w:rPr>
            </w:pPr>
            <w:r>
              <w:rPr>
                <w:rFonts w:hint="eastAsia" w:asciiTheme="minorEastAsia" w:hAnsiTheme="minorEastAsia" w:cstheme="minorEastAsia"/>
                <w:sz w:val="24"/>
              </w:rPr>
              <w:t>投标文件采购需求中标</w:t>
            </w:r>
            <w:bookmarkStart w:id="219" w:name="OLE_LINK3"/>
            <w:bookmarkStart w:id="220" w:name="OLE_LINK14"/>
            <w:r>
              <w:rPr>
                <w:rFonts w:hint="eastAsia" w:asciiTheme="minorEastAsia" w:hAnsiTheme="minorEastAsia" w:cstheme="minorEastAsia"/>
                <w:sz w:val="24"/>
              </w:rPr>
              <w:t>△</w:t>
            </w:r>
            <w:bookmarkEnd w:id="219"/>
            <w:bookmarkEnd w:id="220"/>
            <w:r>
              <w:rPr>
                <w:rFonts w:hint="eastAsia" w:asciiTheme="minorEastAsia" w:hAnsiTheme="minorEastAsia" w:cstheme="minorEastAsia"/>
                <w:sz w:val="24"/>
              </w:rPr>
              <w:t>项为重要技术指标（共10项），有一项满足的得2分，全部满足的得20分。</w:t>
            </w:r>
          </w:p>
          <w:p w14:paraId="17ABCE3B">
            <w:pPr>
              <w:overflowPunct w:val="0"/>
              <w:spacing w:line="500" w:lineRule="exact"/>
              <w:ind w:firstLine="480" w:firstLineChars="200"/>
              <w:jc w:val="left"/>
              <w:rPr>
                <w:rFonts w:asciiTheme="minorEastAsia" w:hAnsiTheme="minorEastAsia" w:cstheme="minorEastAsia"/>
                <w:sz w:val="24"/>
              </w:rPr>
            </w:pPr>
            <w:r>
              <w:rPr>
                <w:rFonts w:hint="eastAsia" w:asciiTheme="minorEastAsia" w:hAnsiTheme="minorEastAsia" w:cstheme="minorEastAsia"/>
                <w:sz w:val="24"/>
              </w:rPr>
              <w:t>注：根据《技术要求响应及偏离表》进行评审。</w:t>
            </w:r>
          </w:p>
        </w:tc>
      </w:tr>
      <w:tr w14:paraId="4BC3FD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81" w:type="dxa"/>
            <w:vAlign w:val="center"/>
          </w:tcPr>
          <w:p w14:paraId="45BDB3C8">
            <w:pPr>
              <w:jc w:val="center"/>
              <w:rPr>
                <w:rFonts w:ascii="宋体" w:hAnsi="宋体" w:eastAsia="宋体" w:cs="宋体"/>
                <w:sz w:val="24"/>
              </w:rPr>
            </w:pPr>
            <w:r>
              <w:rPr>
                <w:rFonts w:hint="eastAsia" w:ascii="宋体" w:hAnsi="宋体" w:eastAsia="宋体" w:cs="宋体"/>
                <w:sz w:val="24"/>
              </w:rPr>
              <w:t>4</w:t>
            </w:r>
          </w:p>
        </w:tc>
        <w:tc>
          <w:tcPr>
            <w:tcW w:w="1181" w:type="dxa"/>
            <w:shd w:val="clear" w:color="auto" w:fill="auto"/>
            <w:vAlign w:val="center"/>
          </w:tcPr>
          <w:p w14:paraId="437F546A">
            <w:pPr>
              <w:jc w:val="center"/>
              <w:rPr>
                <w:rFonts w:ascii="宋体" w:hAnsi="宋体" w:cs="宋体"/>
                <w:sz w:val="24"/>
              </w:rPr>
            </w:pPr>
            <w:r>
              <w:rPr>
                <w:rFonts w:hint="eastAsia" w:ascii="宋体" w:hAnsi="宋体" w:cs="宋体"/>
                <w:sz w:val="24"/>
              </w:rPr>
              <w:t>视频演示</w:t>
            </w:r>
          </w:p>
        </w:tc>
        <w:tc>
          <w:tcPr>
            <w:tcW w:w="834" w:type="dxa"/>
            <w:shd w:val="clear" w:color="auto" w:fill="auto"/>
            <w:vAlign w:val="center"/>
          </w:tcPr>
          <w:p w14:paraId="3DF8993C">
            <w:pPr>
              <w:jc w:val="center"/>
              <w:rPr>
                <w:rFonts w:ascii="宋体" w:hAnsi="宋体" w:cs="宋体"/>
                <w:sz w:val="24"/>
              </w:rPr>
            </w:pPr>
            <w:r>
              <w:rPr>
                <w:rFonts w:hint="eastAsia" w:ascii="宋体" w:hAnsi="宋体" w:eastAsia="宋体" w:cs="宋体"/>
                <w:sz w:val="24"/>
              </w:rPr>
              <w:t>12分</w:t>
            </w:r>
          </w:p>
        </w:tc>
        <w:tc>
          <w:tcPr>
            <w:tcW w:w="6057" w:type="dxa"/>
            <w:shd w:val="clear" w:color="auto" w:fill="auto"/>
            <w:vAlign w:val="center"/>
          </w:tcPr>
          <w:p w14:paraId="4FE88957">
            <w:pPr>
              <w:widowControl/>
              <w:spacing w:line="560" w:lineRule="exact"/>
              <w:ind w:firstLine="482"/>
              <w:jc w:val="left"/>
              <w:rPr>
                <w:rFonts w:asciiTheme="minorEastAsia" w:hAnsiTheme="minorEastAsia" w:cstheme="minorEastAsia"/>
                <w:sz w:val="24"/>
                <w:szCs w:val="20"/>
              </w:rPr>
            </w:pPr>
            <w:r>
              <w:rPr>
                <w:rFonts w:hint="eastAsia" w:asciiTheme="minorEastAsia" w:hAnsiTheme="minorEastAsia" w:cstheme="minorEastAsia"/>
                <w:sz w:val="24"/>
                <w:szCs w:val="20"/>
              </w:rPr>
              <w:t>投标人提供智慧游戏一体机、智慧体测一体机设备及设备工艺、防护与运维设计的视频演示情况综合评分，每满足一小项，得1.5分，最多得12分。不演示或演示不完整，不得分。</w:t>
            </w:r>
          </w:p>
          <w:p w14:paraId="2633217F">
            <w:pPr>
              <w:widowControl/>
              <w:spacing w:line="560" w:lineRule="exact"/>
              <w:ind w:firstLine="482"/>
              <w:jc w:val="left"/>
              <w:rPr>
                <w:rFonts w:asciiTheme="minorEastAsia" w:hAnsiTheme="minorEastAsia" w:cstheme="minorEastAsia"/>
                <w:sz w:val="24"/>
                <w:szCs w:val="20"/>
              </w:rPr>
            </w:pPr>
            <w:r>
              <w:rPr>
                <w:rFonts w:hint="eastAsia" w:asciiTheme="minorEastAsia" w:hAnsiTheme="minorEastAsia" w:cstheme="minorEastAsia"/>
                <w:sz w:val="24"/>
                <w:szCs w:val="20"/>
              </w:rPr>
              <w:t>1.智慧显示大屏（含市级、校级平台)（3分）</w:t>
            </w:r>
          </w:p>
          <w:p w14:paraId="5F2A5484">
            <w:pPr>
              <w:widowControl/>
              <w:spacing w:line="560" w:lineRule="exact"/>
              <w:ind w:firstLine="482"/>
              <w:jc w:val="left"/>
              <w:rPr>
                <w:rFonts w:asciiTheme="minorEastAsia" w:hAnsiTheme="minorEastAsia" w:cstheme="minorEastAsia"/>
                <w:sz w:val="24"/>
                <w:szCs w:val="20"/>
              </w:rPr>
            </w:pPr>
            <w:r>
              <w:rPr>
                <w:rFonts w:hint="eastAsia" w:asciiTheme="minorEastAsia" w:hAnsiTheme="minorEastAsia" w:cstheme="minorEastAsia"/>
                <w:sz w:val="24"/>
                <w:szCs w:val="20"/>
              </w:rPr>
              <w:t>投标人须提供校级平台在大屏上展示情况的演示视频，应显示：</w:t>
            </w:r>
          </w:p>
          <w:p w14:paraId="43067A66">
            <w:pPr>
              <w:widowControl/>
              <w:spacing w:line="560" w:lineRule="exact"/>
              <w:ind w:firstLine="482"/>
              <w:jc w:val="left"/>
              <w:rPr>
                <w:rFonts w:asciiTheme="minorEastAsia" w:hAnsiTheme="minorEastAsia" w:cstheme="minorEastAsia"/>
                <w:sz w:val="24"/>
                <w:szCs w:val="20"/>
              </w:rPr>
            </w:pPr>
            <w:r>
              <w:rPr>
                <w:rFonts w:hint="eastAsia" w:asciiTheme="minorEastAsia" w:hAnsiTheme="minorEastAsia" w:cstheme="minorEastAsia"/>
                <w:sz w:val="24"/>
                <w:szCs w:val="20"/>
              </w:rPr>
              <w:t>①学生个人运动数据分析、运动建议或分析报告；（1.5分）</w:t>
            </w:r>
          </w:p>
          <w:p w14:paraId="29FCC443">
            <w:pPr>
              <w:widowControl/>
              <w:spacing w:line="560" w:lineRule="exact"/>
              <w:ind w:firstLine="482"/>
              <w:jc w:val="left"/>
              <w:rPr>
                <w:rFonts w:asciiTheme="minorEastAsia" w:hAnsiTheme="minorEastAsia" w:cstheme="minorEastAsia"/>
                <w:sz w:val="24"/>
                <w:szCs w:val="20"/>
              </w:rPr>
            </w:pPr>
            <w:r>
              <w:rPr>
                <w:rFonts w:hint="eastAsia" w:asciiTheme="minorEastAsia" w:hAnsiTheme="minorEastAsia" w:cstheme="minorEastAsia"/>
                <w:sz w:val="24"/>
                <w:szCs w:val="20"/>
              </w:rPr>
              <w:t>②按照设定评价标准对学生体育测试项目进行成绩评价，根据管理员、教师等不同角色设置数据查看、数据导出等管理权限内容。（1.5分）</w:t>
            </w:r>
          </w:p>
          <w:p w14:paraId="2B8567C0">
            <w:pPr>
              <w:widowControl/>
              <w:spacing w:line="560" w:lineRule="exact"/>
              <w:ind w:firstLine="482"/>
              <w:jc w:val="left"/>
              <w:rPr>
                <w:rFonts w:asciiTheme="minorEastAsia" w:hAnsiTheme="minorEastAsia" w:cstheme="minorEastAsia"/>
                <w:sz w:val="24"/>
                <w:szCs w:val="20"/>
              </w:rPr>
            </w:pPr>
            <w:r>
              <w:rPr>
                <w:rFonts w:hint="eastAsia" w:asciiTheme="minorEastAsia" w:hAnsiTheme="minorEastAsia" w:cstheme="minorEastAsia"/>
                <w:sz w:val="24"/>
                <w:szCs w:val="20"/>
              </w:rPr>
              <w:t>2.</w:t>
            </w:r>
            <w:bookmarkStart w:id="221" w:name="OLE_LINK47"/>
            <w:bookmarkStart w:id="222" w:name="OLE_LINK48"/>
            <w:r>
              <w:rPr>
                <w:rFonts w:hint="eastAsia" w:asciiTheme="minorEastAsia" w:hAnsiTheme="minorEastAsia" w:cstheme="minorEastAsia"/>
                <w:sz w:val="24"/>
                <w:szCs w:val="20"/>
              </w:rPr>
              <w:t xml:space="preserve"> 智慧操场</w:t>
            </w:r>
            <w:bookmarkEnd w:id="221"/>
            <w:bookmarkEnd w:id="222"/>
            <w:r>
              <w:rPr>
                <w:rFonts w:hint="eastAsia" w:asciiTheme="minorEastAsia" w:hAnsiTheme="minorEastAsia" w:cstheme="minorEastAsia"/>
                <w:sz w:val="24"/>
                <w:szCs w:val="20"/>
              </w:rPr>
              <w:t>（3分）</w:t>
            </w:r>
          </w:p>
          <w:p w14:paraId="61BFBE47">
            <w:pPr>
              <w:widowControl/>
              <w:spacing w:line="560" w:lineRule="exact"/>
              <w:ind w:firstLine="482"/>
              <w:jc w:val="left"/>
              <w:rPr>
                <w:rFonts w:asciiTheme="minorEastAsia" w:hAnsiTheme="minorEastAsia" w:cstheme="minorEastAsia"/>
                <w:sz w:val="24"/>
                <w:szCs w:val="20"/>
              </w:rPr>
            </w:pPr>
            <w:bookmarkStart w:id="223" w:name="OLE_LINK53"/>
            <w:bookmarkStart w:id="224" w:name="OLE_LINK49"/>
            <w:r>
              <w:rPr>
                <w:rFonts w:hint="eastAsia" w:asciiTheme="minorEastAsia" w:hAnsiTheme="minorEastAsia" w:cstheme="minorEastAsia"/>
                <w:sz w:val="24"/>
                <w:szCs w:val="20"/>
              </w:rPr>
              <w:t xml:space="preserve"> 投标人须提供智慧操场应用视频演示，视频应体现：成绩记录反馈及违规动作检测能力，短跑项目起点支持识别踩线违规并实时语音提示。</w:t>
            </w:r>
          </w:p>
          <w:p w14:paraId="2ACBAA8F">
            <w:pPr>
              <w:widowControl/>
              <w:spacing w:line="560" w:lineRule="exact"/>
              <w:ind w:firstLine="482"/>
              <w:jc w:val="left"/>
              <w:rPr>
                <w:rFonts w:asciiTheme="minorEastAsia" w:hAnsiTheme="minorEastAsia" w:cstheme="minorEastAsia"/>
                <w:sz w:val="24"/>
                <w:szCs w:val="20"/>
              </w:rPr>
            </w:pPr>
            <w:r>
              <w:rPr>
                <w:rFonts w:hint="eastAsia" w:asciiTheme="minorEastAsia" w:hAnsiTheme="minorEastAsia" w:cstheme="minorEastAsia"/>
                <w:sz w:val="24"/>
                <w:szCs w:val="20"/>
              </w:rPr>
              <w:t>①学生通过终点后，终点成绩显示屏可立即显示成绩并语音播报，学生每次经过检测点，终点成绩显示屏实时更新学生跑步用时和累计跑步距离（1.5分）</w:t>
            </w:r>
          </w:p>
          <w:p w14:paraId="4B67B92D">
            <w:pPr>
              <w:widowControl/>
              <w:spacing w:line="560" w:lineRule="exact"/>
              <w:ind w:firstLine="482"/>
              <w:jc w:val="left"/>
              <w:rPr>
                <w:rFonts w:asciiTheme="minorEastAsia" w:hAnsiTheme="minorEastAsia" w:cstheme="minorEastAsia"/>
                <w:sz w:val="24"/>
                <w:szCs w:val="20"/>
              </w:rPr>
            </w:pPr>
            <w:r>
              <w:rPr>
                <w:rFonts w:hint="eastAsia" w:asciiTheme="minorEastAsia" w:hAnsiTheme="minorEastAsia" w:cstheme="minorEastAsia"/>
                <w:sz w:val="24"/>
                <w:szCs w:val="20"/>
              </w:rPr>
              <w:t>②至少支持识别和提示抢跑违规、串道违规等无成绩原因，中长跑项目起点支持识别踩线违规并实时语音提示（1.5分</w:t>
            </w:r>
            <w:bookmarkEnd w:id="223"/>
            <w:bookmarkEnd w:id="224"/>
            <w:r>
              <w:rPr>
                <w:rFonts w:hint="eastAsia" w:asciiTheme="minorEastAsia" w:hAnsiTheme="minorEastAsia" w:cstheme="minorEastAsia"/>
                <w:sz w:val="24"/>
                <w:szCs w:val="20"/>
              </w:rPr>
              <w:t>）</w:t>
            </w:r>
          </w:p>
          <w:p w14:paraId="5D07EA17">
            <w:pPr>
              <w:widowControl/>
              <w:spacing w:line="560" w:lineRule="exact"/>
              <w:ind w:firstLine="482"/>
              <w:jc w:val="left"/>
              <w:rPr>
                <w:rFonts w:asciiTheme="minorEastAsia" w:hAnsiTheme="minorEastAsia" w:cstheme="minorEastAsia"/>
                <w:sz w:val="24"/>
                <w:szCs w:val="20"/>
              </w:rPr>
            </w:pPr>
            <w:r>
              <w:rPr>
                <w:rFonts w:hint="eastAsia" w:asciiTheme="minorEastAsia" w:hAnsiTheme="minorEastAsia" w:cstheme="minorEastAsia"/>
                <w:sz w:val="24"/>
                <w:szCs w:val="20"/>
              </w:rPr>
              <w:t>3.智慧游戏一体机（3分）</w:t>
            </w:r>
          </w:p>
          <w:p w14:paraId="4CA44E8F">
            <w:pPr>
              <w:widowControl/>
              <w:spacing w:line="560" w:lineRule="exact"/>
              <w:ind w:firstLine="482"/>
              <w:jc w:val="left"/>
              <w:rPr>
                <w:rFonts w:asciiTheme="minorEastAsia" w:hAnsiTheme="minorEastAsia" w:cstheme="minorEastAsia"/>
                <w:sz w:val="24"/>
                <w:szCs w:val="20"/>
              </w:rPr>
            </w:pPr>
            <w:bookmarkStart w:id="225" w:name="OLE_LINK26"/>
            <w:bookmarkStart w:id="226" w:name="OLE_LINK27"/>
            <w:r>
              <w:rPr>
                <w:rFonts w:hint="eastAsia" w:asciiTheme="minorEastAsia" w:hAnsiTheme="minorEastAsia" w:cstheme="minorEastAsia"/>
                <w:sz w:val="24"/>
                <w:szCs w:val="20"/>
              </w:rPr>
              <w:t>投标人须提供智慧游戏一体机应用视频演示，视频应体现：</w:t>
            </w:r>
            <w:bookmarkEnd w:id="225"/>
            <w:bookmarkEnd w:id="226"/>
            <w:r>
              <w:rPr>
                <w:rFonts w:hint="eastAsia" w:asciiTheme="minorEastAsia" w:hAnsiTheme="minorEastAsia" w:cstheme="minorEastAsia"/>
                <w:sz w:val="24"/>
                <w:szCs w:val="20"/>
              </w:rPr>
              <w:t>①活动创建、项目选择、学生参与、成绩记录、排行展示或结果反馈；（1.5分）</w:t>
            </w:r>
          </w:p>
          <w:p w14:paraId="59F016A7">
            <w:pPr>
              <w:widowControl/>
              <w:spacing w:line="560" w:lineRule="exact"/>
              <w:ind w:firstLine="482"/>
              <w:jc w:val="left"/>
              <w:rPr>
                <w:rFonts w:asciiTheme="minorEastAsia" w:hAnsiTheme="minorEastAsia" w:cstheme="minorEastAsia"/>
                <w:sz w:val="24"/>
                <w:szCs w:val="20"/>
              </w:rPr>
            </w:pPr>
            <w:r>
              <w:rPr>
                <w:rFonts w:hint="eastAsia" w:asciiTheme="minorEastAsia" w:hAnsiTheme="minorEastAsia" w:cstheme="minorEastAsia"/>
                <w:sz w:val="24"/>
                <w:szCs w:val="20"/>
              </w:rPr>
              <w:t>②活动管理流程设计合理，操作便利，学生参与比赛的交互界面友好等过程。（1.5分）</w:t>
            </w:r>
          </w:p>
          <w:p w14:paraId="553E3FA8">
            <w:pPr>
              <w:widowControl/>
              <w:spacing w:line="560" w:lineRule="exact"/>
              <w:ind w:firstLine="482"/>
              <w:jc w:val="left"/>
              <w:rPr>
                <w:rFonts w:asciiTheme="minorEastAsia" w:hAnsiTheme="minorEastAsia" w:cstheme="minorEastAsia"/>
                <w:sz w:val="24"/>
                <w:szCs w:val="20"/>
              </w:rPr>
            </w:pPr>
            <w:r>
              <w:rPr>
                <w:rFonts w:hint="eastAsia" w:asciiTheme="minorEastAsia" w:hAnsiTheme="minorEastAsia" w:cstheme="minorEastAsia"/>
                <w:sz w:val="24"/>
                <w:szCs w:val="20"/>
              </w:rPr>
              <w:t>4.智慧体测一体机（3分）</w:t>
            </w:r>
          </w:p>
          <w:p w14:paraId="68D82F5A">
            <w:pPr>
              <w:widowControl/>
              <w:spacing w:line="560" w:lineRule="exact"/>
              <w:ind w:firstLine="482"/>
              <w:jc w:val="left"/>
              <w:rPr>
                <w:rFonts w:asciiTheme="minorEastAsia" w:hAnsiTheme="minorEastAsia" w:cstheme="minorEastAsia"/>
                <w:sz w:val="24"/>
                <w:szCs w:val="20"/>
              </w:rPr>
            </w:pPr>
            <w:r>
              <w:rPr>
                <w:rFonts w:hint="eastAsia" w:asciiTheme="minorEastAsia" w:hAnsiTheme="minorEastAsia" w:cstheme="minorEastAsia"/>
                <w:sz w:val="24"/>
                <w:szCs w:val="20"/>
              </w:rPr>
              <w:t>投标人须提供所投智慧体测一体机的视频演示材料。视频应重点展示：①身高体重、肺活量、坐位体前屈3类项目测试过程；（1.5分）</w:t>
            </w:r>
          </w:p>
          <w:p w14:paraId="12AF0097">
            <w:pPr>
              <w:widowControl/>
              <w:spacing w:line="560" w:lineRule="exact"/>
              <w:ind w:firstLine="482"/>
              <w:jc w:val="left"/>
              <w:rPr>
                <w:rFonts w:asciiTheme="minorEastAsia" w:hAnsiTheme="minorEastAsia" w:cstheme="minorEastAsia"/>
                <w:sz w:val="24"/>
                <w:szCs w:val="20"/>
              </w:rPr>
            </w:pPr>
            <w:r>
              <w:rPr>
                <w:rFonts w:hint="eastAsia" w:asciiTheme="minorEastAsia" w:hAnsiTheme="minorEastAsia" w:cstheme="minorEastAsia"/>
                <w:sz w:val="24"/>
                <w:szCs w:val="20"/>
              </w:rPr>
              <w:t>②呈现学生运动画面、系统识别界面、异常提示弹窗、实时成绩面板及最终结果反馈页面。（1.5分）</w:t>
            </w:r>
          </w:p>
          <w:p w14:paraId="6890C721">
            <w:pPr>
              <w:widowControl/>
              <w:spacing w:line="560" w:lineRule="exact"/>
              <w:ind w:firstLine="482"/>
              <w:jc w:val="left"/>
              <w:rPr>
                <w:rFonts w:asciiTheme="minorEastAsia" w:hAnsiTheme="minorEastAsia" w:cstheme="minorEastAsia"/>
                <w:sz w:val="24"/>
                <w:szCs w:val="20"/>
              </w:rPr>
            </w:pPr>
            <w:r>
              <w:rPr>
                <w:rFonts w:hint="eastAsia" w:asciiTheme="minorEastAsia" w:hAnsiTheme="minorEastAsia" w:cstheme="minorEastAsia"/>
                <w:sz w:val="24"/>
                <w:szCs w:val="20"/>
              </w:rPr>
              <w:t>投标人需按照招标文件规定的演示内容制作演示视频文件，对智慧体育设施的参数提供相应的演示视频，演示视频中的演示形式须是目前正在运行的真实环境或模拟环境。视频文件的格式为*.mp4 或*.avi，投标人须将视频文件分段压缩为*.zip 文件上传(单个文件不得大于 50M，所有文件总共不得大于300M)。文件上传方式见《操作手册》规定，上传的演示视频将作为投标文件的组成部分，视频时长总计不超过15分钟。</w:t>
            </w:r>
          </w:p>
        </w:tc>
      </w:tr>
      <w:tr w14:paraId="633C6B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81" w:type="dxa"/>
            <w:vAlign w:val="center"/>
          </w:tcPr>
          <w:p w14:paraId="5781A6D0">
            <w:pPr>
              <w:jc w:val="center"/>
              <w:rPr>
                <w:rFonts w:ascii="宋体" w:hAnsi="宋体" w:eastAsia="宋体" w:cs="宋体"/>
                <w:sz w:val="24"/>
              </w:rPr>
            </w:pPr>
            <w:r>
              <w:rPr>
                <w:rFonts w:hint="eastAsia" w:ascii="宋体" w:hAnsi="宋体" w:eastAsia="宋体" w:cs="宋体"/>
                <w:sz w:val="24"/>
              </w:rPr>
              <w:t>5</w:t>
            </w:r>
          </w:p>
        </w:tc>
        <w:tc>
          <w:tcPr>
            <w:tcW w:w="1181" w:type="dxa"/>
            <w:vAlign w:val="center"/>
          </w:tcPr>
          <w:p w14:paraId="77891F70">
            <w:pPr>
              <w:jc w:val="center"/>
              <w:rPr>
                <w:rFonts w:ascii="宋体" w:hAnsi="宋体" w:cs="宋体"/>
                <w:strike/>
                <w:sz w:val="24"/>
              </w:rPr>
            </w:pPr>
            <w:r>
              <w:rPr>
                <w:rFonts w:hint="eastAsia" w:ascii="宋体" w:hAnsi="宋体" w:cs="宋体"/>
                <w:sz w:val="24"/>
              </w:rPr>
              <w:t>深化方案</w:t>
            </w:r>
          </w:p>
        </w:tc>
        <w:tc>
          <w:tcPr>
            <w:tcW w:w="834" w:type="dxa"/>
            <w:vAlign w:val="center"/>
          </w:tcPr>
          <w:p w14:paraId="3B0B9411">
            <w:pPr>
              <w:jc w:val="center"/>
              <w:rPr>
                <w:rFonts w:ascii="宋体" w:hAnsi="宋体" w:eastAsia="宋体" w:cs="宋体"/>
                <w:strike/>
                <w:sz w:val="24"/>
              </w:rPr>
            </w:pPr>
            <w:r>
              <w:rPr>
                <w:rFonts w:hint="eastAsia" w:ascii="宋体" w:hAnsi="宋体" w:eastAsia="宋体" w:cs="宋体"/>
                <w:sz w:val="24"/>
              </w:rPr>
              <w:t>6分</w:t>
            </w:r>
          </w:p>
        </w:tc>
        <w:tc>
          <w:tcPr>
            <w:tcW w:w="6057" w:type="dxa"/>
            <w:vAlign w:val="center"/>
          </w:tcPr>
          <w:p w14:paraId="10A3B2D9">
            <w:pPr>
              <w:overflowPunct w:val="0"/>
              <w:spacing w:line="500" w:lineRule="exact"/>
              <w:ind w:firstLine="480" w:firstLineChars="200"/>
              <w:jc w:val="left"/>
              <w:rPr>
                <w:rFonts w:asciiTheme="minorEastAsia" w:hAnsiTheme="minorEastAsia" w:cstheme="minorEastAsia"/>
                <w:sz w:val="24"/>
              </w:rPr>
            </w:pPr>
            <w:r>
              <w:rPr>
                <w:rFonts w:hint="eastAsia" w:asciiTheme="minorEastAsia" w:hAnsiTheme="minorEastAsia" w:cstheme="minorEastAsia"/>
                <w:sz w:val="24"/>
              </w:rPr>
              <w:t>供应商根据本项目第四章“深化设计方案”，方案内容至少包含：①数据融合与平台对接能力方案；②智慧操场部署合理性方案；③室内一体机空间设计等深化方案。方案优于项目需求的得6分；满足项目需求的得5分；不满足或无此项内容的本项不得分。</w:t>
            </w:r>
          </w:p>
          <w:p w14:paraId="12AFD06E">
            <w:pPr>
              <w:overflowPunct w:val="0"/>
              <w:spacing w:line="500" w:lineRule="exact"/>
              <w:ind w:firstLine="480" w:firstLineChars="200"/>
              <w:jc w:val="left"/>
              <w:rPr>
                <w:rFonts w:asciiTheme="minorEastAsia" w:hAnsiTheme="minorEastAsia" w:cstheme="minorEastAsia"/>
                <w:sz w:val="24"/>
              </w:rPr>
            </w:pPr>
            <w:r>
              <w:rPr>
                <w:rFonts w:hint="eastAsia" w:asciiTheme="minorEastAsia" w:hAnsiTheme="minorEastAsia" w:cstheme="minorEastAsia"/>
                <w:sz w:val="24"/>
              </w:rPr>
              <w:t>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p>
        </w:tc>
      </w:tr>
      <w:tr w14:paraId="6E61E4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81" w:type="dxa"/>
            <w:vAlign w:val="center"/>
          </w:tcPr>
          <w:p w14:paraId="1BAB54F7">
            <w:pPr>
              <w:jc w:val="center"/>
              <w:rPr>
                <w:rFonts w:ascii="宋体" w:hAnsi="宋体" w:cs="宋体"/>
                <w:sz w:val="24"/>
              </w:rPr>
            </w:pPr>
            <w:r>
              <w:rPr>
                <w:rFonts w:hint="eastAsia" w:ascii="宋体" w:hAnsi="宋体" w:eastAsia="宋体" w:cs="宋体"/>
                <w:sz w:val="24"/>
              </w:rPr>
              <w:t>6</w:t>
            </w:r>
          </w:p>
        </w:tc>
        <w:tc>
          <w:tcPr>
            <w:tcW w:w="1181" w:type="dxa"/>
            <w:vAlign w:val="center"/>
          </w:tcPr>
          <w:p w14:paraId="4ED8E78F">
            <w:pPr>
              <w:jc w:val="center"/>
              <w:rPr>
                <w:rFonts w:ascii="宋体" w:hAnsi="宋体" w:cs="宋体"/>
                <w:sz w:val="24"/>
              </w:rPr>
            </w:pPr>
            <w:bookmarkStart w:id="227" w:name="OLE_LINK31"/>
            <w:r>
              <w:rPr>
                <w:rFonts w:hint="eastAsia" w:ascii="宋体" w:hAnsi="宋体" w:eastAsia="宋体" w:cs="宋体"/>
                <w:sz w:val="24"/>
              </w:rPr>
              <w:t>项目实施方案</w:t>
            </w:r>
            <w:bookmarkEnd w:id="227"/>
          </w:p>
        </w:tc>
        <w:tc>
          <w:tcPr>
            <w:tcW w:w="834" w:type="dxa"/>
            <w:vAlign w:val="center"/>
          </w:tcPr>
          <w:p w14:paraId="44E8A81F">
            <w:pPr>
              <w:jc w:val="center"/>
              <w:rPr>
                <w:rFonts w:ascii="宋体" w:hAnsi="宋体" w:cs="宋体"/>
                <w:sz w:val="24"/>
              </w:rPr>
            </w:pPr>
            <w:r>
              <w:rPr>
                <w:rFonts w:hint="eastAsia" w:ascii="宋体" w:hAnsi="宋体" w:eastAsia="宋体" w:cs="宋体"/>
                <w:sz w:val="24"/>
              </w:rPr>
              <w:t>6分</w:t>
            </w:r>
          </w:p>
        </w:tc>
        <w:tc>
          <w:tcPr>
            <w:tcW w:w="6057" w:type="dxa"/>
          </w:tcPr>
          <w:p w14:paraId="65A0DDA8">
            <w:pPr>
              <w:overflowPunct w:val="0"/>
              <w:spacing w:line="500" w:lineRule="exact"/>
              <w:ind w:firstLine="480" w:firstLineChars="200"/>
              <w:jc w:val="left"/>
              <w:rPr>
                <w:rFonts w:asciiTheme="minorEastAsia" w:hAnsiTheme="minorEastAsia" w:cstheme="minorEastAsia"/>
                <w:sz w:val="24"/>
              </w:rPr>
            </w:pPr>
            <w:r>
              <w:rPr>
                <w:rFonts w:hint="eastAsia" w:asciiTheme="minorEastAsia" w:hAnsiTheme="minorEastAsia" w:cstheme="minorEastAsia"/>
                <w:sz w:val="24"/>
              </w:rPr>
              <w:t>供应商根据本项目第四章“项目实施方案”，方案内容至少包含：①项目总体概述；②供货组织架构与人员配置；③包装与运输方案；④到货验收方案。方案优于项目需求的得6分；满足项目需求的得5分；不满足或无此项内容的本项不得分。</w:t>
            </w:r>
          </w:p>
          <w:p w14:paraId="548D7666">
            <w:pPr>
              <w:overflowPunct w:val="0"/>
              <w:spacing w:line="500" w:lineRule="exact"/>
              <w:ind w:firstLine="480" w:firstLineChars="200"/>
              <w:jc w:val="left"/>
              <w:rPr>
                <w:rFonts w:asciiTheme="minorEastAsia" w:hAnsiTheme="minorEastAsia" w:cstheme="minorEastAsia"/>
                <w:sz w:val="24"/>
              </w:rPr>
            </w:pPr>
            <w:r>
              <w:rPr>
                <w:rFonts w:hint="eastAsia" w:asciiTheme="minorEastAsia" w:hAnsiTheme="minorEastAsia" w:cstheme="minorEastAsia"/>
                <w:sz w:val="24"/>
              </w:rPr>
              <w:t>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p>
        </w:tc>
      </w:tr>
      <w:tr w14:paraId="733C1D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50" w:hRule="atLeast"/>
          <w:jc w:val="center"/>
        </w:trPr>
        <w:tc>
          <w:tcPr>
            <w:tcW w:w="581" w:type="dxa"/>
            <w:vAlign w:val="center"/>
          </w:tcPr>
          <w:p w14:paraId="65200670">
            <w:pPr>
              <w:jc w:val="center"/>
              <w:rPr>
                <w:rFonts w:ascii="宋体" w:hAnsi="宋体" w:eastAsia="宋体" w:cs="宋体"/>
                <w:sz w:val="24"/>
              </w:rPr>
            </w:pPr>
            <w:r>
              <w:rPr>
                <w:rFonts w:hint="eastAsia" w:ascii="宋体" w:hAnsi="宋体" w:eastAsia="宋体" w:cs="宋体"/>
                <w:sz w:val="24"/>
              </w:rPr>
              <w:t>7</w:t>
            </w:r>
          </w:p>
        </w:tc>
        <w:tc>
          <w:tcPr>
            <w:tcW w:w="1181" w:type="dxa"/>
            <w:vAlign w:val="center"/>
          </w:tcPr>
          <w:p w14:paraId="276306F9">
            <w:pPr>
              <w:jc w:val="center"/>
              <w:rPr>
                <w:rFonts w:ascii="宋体" w:hAnsi="宋体" w:eastAsia="宋体" w:cs="宋体"/>
                <w:sz w:val="24"/>
              </w:rPr>
            </w:pPr>
            <w:r>
              <w:rPr>
                <w:rFonts w:hint="eastAsia" w:ascii="宋体" w:hAnsi="宋体" w:eastAsia="宋体" w:cs="宋体"/>
                <w:sz w:val="24"/>
              </w:rPr>
              <w:t>数据存储方案</w:t>
            </w:r>
          </w:p>
        </w:tc>
        <w:tc>
          <w:tcPr>
            <w:tcW w:w="834" w:type="dxa"/>
            <w:vAlign w:val="center"/>
          </w:tcPr>
          <w:p w14:paraId="1648A2B1">
            <w:pPr>
              <w:jc w:val="center"/>
              <w:rPr>
                <w:rFonts w:ascii="宋体" w:hAnsi="宋体" w:eastAsia="宋体" w:cs="宋体"/>
                <w:sz w:val="24"/>
              </w:rPr>
            </w:pPr>
          </w:p>
          <w:p w14:paraId="09E6CB9E">
            <w:pPr>
              <w:jc w:val="center"/>
              <w:rPr>
                <w:rFonts w:ascii="宋体" w:hAnsi="宋体" w:eastAsia="宋体" w:cs="宋体"/>
                <w:sz w:val="24"/>
              </w:rPr>
            </w:pPr>
          </w:p>
          <w:p w14:paraId="34B2777F">
            <w:pPr>
              <w:jc w:val="center"/>
              <w:rPr>
                <w:rFonts w:ascii="宋体" w:hAnsi="宋体" w:eastAsia="宋体" w:cs="宋体"/>
                <w:sz w:val="24"/>
              </w:rPr>
            </w:pPr>
            <w:r>
              <w:rPr>
                <w:rFonts w:hint="eastAsia" w:ascii="宋体" w:hAnsi="宋体" w:eastAsia="宋体" w:cs="宋体"/>
                <w:sz w:val="24"/>
              </w:rPr>
              <w:t>6分</w:t>
            </w:r>
          </w:p>
          <w:p w14:paraId="439AECCD">
            <w:pPr>
              <w:jc w:val="center"/>
              <w:rPr>
                <w:rFonts w:ascii="宋体" w:hAnsi="宋体" w:eastAsia="宋体" w:cs="宋体"/>
                <w:sz w:val="24"/>
              </w:rPr>
            </w:pPr>
          </w:p>
          <w:p w14:paraId="207CCCAD">
            <w:pPr>
              <w:jc w:val="center"/>
              <w:rPr>
                <w:rFonts w:ascii="宋体" w:hAnsi="宋体" w:eastAsia="宋体" w:cs="宋体"/>
                <w:sz w:val="24"/>
              </w:rPr>
            </w:pPr>
          </w:p>
          <w:p w14:paraId="09830546">
            <w:pPr>
              <w:jc w:val="center"/>
              <w:rPr>
                <w:rFonts w:ascii="宋体" w:hAnsi="宋体" w:eastAsia="宋体" w:cs="宋体"/>
                <w:sz w:val="24"/>
              </w:rPr>
            </w:pPr>
          </w:p>
        </w:tc>
        <w:tc>
          <w:tcPr>
            <w:tcW w:w="6057" w:type="dxa"/>
          </w:tcPr>
          <w:p w14:paraId="4B788F47">
            <w:pPr>
              <w:overflowPunct w:val="0"/>
              <w:spacing w:line="500" w:lineRule="exact"/>
              <w:ind w:firstLine="480" w:firstLineChars="200"/>
              <w:jc w:val="left"/>
              <w:rPr>
                <w:rFonts w:asciiTheme="minorEastAsia" w:hAnsiTheme="minorEastAsia" w:cstheme="minorEastAsia"/>
                <w:sz w:val="24"/>
              </w:rPr>
            </w:pPr>
            <w:r>
              <w:rPr>
                <w:rFonts w:hint="eastAsia" w:asciiTheme="minorEastAsia" w:hAnsiTheme="minorEastAsia" w:cstheme="minorEastAsia"/>
                <w:sz w:val="24"/>
              </w:rPr>
              <w:t>供应商根据本项目第四章“数据存储方案”，方案内容至少包含：①数据对接与共享方案；②软硬件产品提供与集成方案；③网络安全与等保合规方案；④日常运维方案等内容。方案优于项目需求的得6分；满足项目需求的得5分；不满足或无此项内容的本项不得分。</w:t>
            </w:r>
          </w:p>
          <w:p w14:paraId="0E96D89C">
            <w:pPr>
              <w:overflowPunct w:val="0"/>
              <w:spacing w:line="500" w:lineRule="exact"/>
              <w:ind w:firstLine="480" w:firstLineChars="200"/>
              <w:jc w:val="left"/>
              <w:rPr>
                <w:rFonts w:asciiTheme="minorEastAsia" w:hAnsiTheme="minorEastAsia" w:cstheme="minorEastAsia"/>
                <w:sz w:val="24"/>
              </w:rPr>
            </w:pPr>
            <w:r>
              <w:rPr>
                <w:rFonts w:hint="eastAsia" w:asciiTheme="minorEastAsia" w:hAnsiTheme="minorEastAsia" w:cstheme="minorEastAsia"/>
                <w:sz w:val="24"/>
              </w:rPr>
              <w:t>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p>
        </w:tc>
      </w:tr>
      <w:tr w14:paraId="6397A1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81" w:type="dxa"/>
            <w:vAlign w:val="center"/>
          </w:tcPr>
          <w:p w14:paraId="1344E51E">
            <w:pPr>
              <w:jc w:val="center"/>
              <w:rPr>
                <w:rFonts w:ascii="宋体" w:hAnsi="宋体" w:cs="宋体"/>
                <w:sz w:val="24"/>
              </w:rPr>
            </w:pPr>
            <w:r>
              <w:rPr>
                <w:rFonts w:hint="eastAsia" w:ascii="宋体" w:hAnsi="宋体" w:eastAsia="宋体" w:cs="宋体"/>
                <w:sz w:val="24"/>
              </w:rPr>
              <w:t>8</w:t>
            </w:r>
          </w:p>
        </w:tc>
        <w:tc>
          <w:tcPr>
            <w:tcW w:w="1181" w:type="dxa"/>
            <w:vAlign w:val="center"/>
          </w:tcPr>
          <w:p w14:paraId="2BF99E53">
            <w:pPr>
              <w:jc w:val="center"/>
              <w:rPr>
                <w:rFonts w:ascii="宋体" w:hAnsi="宋体" w:cs="宋体"/>
                <w:sz w:val="24"/>
              </w:rPr>
            </w:pPr>
            <w:r>
              <w:rPr>
                <w:rFonts w:hint="eastAsia" w:ascii="宋体" w:hAnsi="宋体" w:eastAsia="宋体" w:cs="宋体"/>
                <w:sz w:val="24"/>
              </w:rPr>
              <w:t>售后服务方案</w:t>
            </w:r>
          </w:p>
        </w:tc>
        <w:tc>
          <w:tcPr>
            <w:tcW w:w="834" w:type="dxa"/>
            <w:vAlign w:val="center"/>
          </w:tcPr>
          <w:p w14:paraId="14C27B8B">
            <w:pPr>
              <w:jc w:val="center"/>
              <w:rPr>
                <w:rFonts w:ascii="宋体" w:hAnsi="宋体" w:cs="宋体"/>
                <w:sz w:val="24"/>
              </w:rPr>
            </w:pPr>
            <w:r>
              <w:rPr>
                <w:rFonts w:hint="eastAsia" w:ascii="宋体" w:hAnsi="宋体" w:eastAsia="宋体" w:cs="宋体"/>
                <w:sz w:val="24"/>
              </w:rPr>
              <w:t>6分</w:t>
            </w:r>
          </w:p>
        </w:tc>
        <w:tc>
          <w:tcPr>
            <w:tcW w:w="6057" w:type="dxa"/>
            <w:vAlign w:val="center"/>
          </w:tcPr>
          <w:p w14:paraId="75FFC512">
            <w:pPr>
              <w:overflowPunct w:val="0"/>
              <w:spacing w:line="500" w:lineRule="exact"/>
              <w:ind w:firstLine="480" w:firstLineChars="200"/>
              <w:jc w:val="left"/>
              <w:rPr>
                <w:rFonts w:asciiTheme="minorEastAsia" w:hAnsiTheme="minorEastAsia" w:cstheme="minorEastAsia"/>
                <w:sz w:val="24"/>
              </w:rPr>
            </w:pPr>
            <w:r>
              <w:rPr>
                <w:rFonts w:hint="eastAsia" w:asciiTheme="minorEastAsia" w:hAnsiTheme="minorEastAsia" w:cstheme="minorEastAsia"/>
                <w:sz w:val="24"/>
              </w:rPr>
              <w:t>供应商根据本项目第四章“售后服务方案”，方案内容至少包含：①质保期服务承诺；②培训服务方案；③超质保期服务；④备品备件供应；⑤服务质量保障。方案优于项目需求的得6分；满足项目需求的得5分；不满足或无此项内容的本项不得分。</w:t>
            </w:r>
          </w:p>
          <w:p w14:paraId="7B18B0EB">
            <w:pPr>
              <w:overflowPunct w:val="0"/>
              <w:spacing w:line="500" w:lineRule="exact"/>
              <w:ind w:firstLine="480" w:firstLineChars="200"/>
              <w:jc w:val="left"/>
              <w:rPr>
                <w:rFonts w:asciiTheme="minorEastAsia" w:hAnsiTheme="minorEastAsia" w:cstheme="minorEastAsia"/>
                <w:sz w:val="24"/>
              </w:rPr>
            </w:pPr>
            <w:r>
              <w:rPr>
                <w:rFonts w:hint="eastAsia" w:asciiTheme="minorEastAsia" w:hAnsiTheme="minorEastAsia" w:cstheme="minorEastAsia"/>
                <w:sz w:val="24"/>
              </w:rPr>
              <w:t>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p>
        </w:tc>
      </w:tr>
      <w:tr w14:paraId="539058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81" w:type="dxa"/>
            <w:vMerge w:val="restart"/>
            <w:vAlign w:val="center"/>
          </w:tcPr>
          <w:p w14:paraId="17E9B638">
            <w:pPr>
              <w:jc w:val="center"/>
              <w:rPr>
                <w:rFonts w:ascii="宋体" w:hAnsi="宋体" w:cs="宋体"/>
                <w:sz w:val="24"/>
              </w:rPr>
            </w:pPr>
            <w:r>
              <w:rPr>
                <w:rFonts w:hint="eastAsia" w:ascii="宋体" w:hAnsi="宋体" w:eastAsia="宋体" w:cs="宋体"/>
                <w:sz w:val="24"/>
              </w:rPr>
              <w:t>9</w:t>
            </w:r>
          </w:p>
        </w:tc>
        <w:tc>
          <w:tcPr>
            <w:tcW w:w="1181" w:type="dxa"/>
            <w:vMerge w:val="restart"/>
            <w:vAlign w:val="center"/>
          </w:tcPr>
          <w:p w14:paraId="6EF65130">
            <w:pPr>
              <w:jc w:val="center"/>
              <w:rPr>
                <w:rFonts w:ascii="宋体" w:hAnsi="宋体" w:cs="宋体"/>
                <w:sz w:val="24"/>
              </w:rPr>
            </w:pPr>
            <w:r>
              <w:rPr>
                <w:rFonts w:ascii="宋体" w:hAnsi="宋体" w:eastAsia="宋体" w:cs="宋体"/>
                <w:sz w:val="24"/>
              </w:rPr>
              <w:t>节能环保</w:t>
            </w:r>
          </w:p>
        </w:tc>
        <w:tc>
          <w:tcPr>
            <w:tcW w:w="834" w:type="dxa"/>
            <w:vMerge w:val="restart"/>
            <w:vAlign w:val="center"/>
          </w:tcPr>
          <w:p w14:paraId="31EE0037">
            <w:pPr>
              <w:jc w:val="center"/>
              <w:rPr>
                <w:rFonts w:ascii="宋体" w:hAnsi="宋体" w:cs="宋体"/>
                <w:sz w:val="24"/>
              </w:rPr>
            </w:pPr>
            <w:r>
              <w:rPr>
                <w:rFonts w:hint="eastAsia" w:ascii="宋体" w:hAnsi="宋体" w:eastAsia="宋体" w:cs="宋体"/>
                <w:sz w:val="24"/>
              </w:rPr>
              <w:t>2分</w:t>
            </w:r>
          </w:p>
        </w:tc>
        <w:tc>
          <w:tcPr>
            <w:tcW w:w="6057" w:type="dxa"/>
            <w:vAlign w:val="center"/>
          </w:tcPr>
          <w:p w14:paraId="4197FB12">
            <w:pPr>
              <w:overflowPunct w:val="0"/>
              <w:spacing w:line="500" w:lineRule="exact"/>
              <w:ind w:firstLine="480" w:firstLineChars="200"/>
              <w:jc w:val="left"/>
              <w:rPr>
                <w:rFonts w:asciiTheme="minorEastAsia" w:hAnsiTheme="minorEastAsia" w:cstheme="minorEastAsia"/>
                <w:sz w:val="24"/>
              </w:rPr>
            </w:pPr>
            <w:r>
              <w:rPr>
                <w:rFonts w:hint="eastAsia" w:asciiTheme="minorEastAsia" w:hAnsiTheme="minorEastAsia" w:cstheme="minorEastAsia"/>
                <w:sz w:val="24"/>
              </w:rPr>
              <w:t>投标产品属于财政部、国家发展改革委公布的“节能产品品目清单”范围内的，投标人提供国家确定的认证机构出具的、处于有效期之内的该节能产品认证证书的，有1个得0.5分，最多得1分。如投标产品均属于政府强制采购节能产品品目清单范围内，本项不得分。（提供证书扫描件，并加盖投标单位公章。）</w:t>
            </w:r>
          </w:p>
        </w:tc>
      </w:tr>
      <w:tr w14:paraId="02DC8E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81" w:type="dxa"/>
            <w:vMerge w:val="continue"/>
            <w:vAlign w:val="center"/>
          </w:tcPr>
          <w:p w14:paraId="4ACE9038">
            <w:pPr>
              <w:jc w:val="center"/>
              <w:rPr>
                <w:rFonts w:ascii="宋体" w:hAnsi="宋体" w:eastAsia="宋体" w:cs="宋体"/>
                <w:sz w:val="24"/>
              </w:rPr>
            </w:pPr>
          </w:p>
        </w:tc>
        <w:tc>
          <w:tcPr>
            <w:tcW w:w="1181" w:type="dxa"/>
            <w:vMerge w:val="continue"/>
            <w:vAlign w:val="center"/>
          </w:tcPr>
          <w:p w14:paraId="3CB9EDE1">
            <w:pPr>
              <w:jc w:val="center"/>
              <w:rPr>
                <w:rFonts w:ascii="宋体" w:hAnsi="宋体" w:cs="宋体"/>
                <w:sz w:val="24"/>
              </w:rPr>
            </w:pPr>
          </w:p>
        </w:tc>
        <w:tc>
          <w:tcPr>
            <w:tcW w:w="834" w:type="dxa"/>
            <w:vMerge w:val="continue"/>
            <w:vAlign w:val="center"/>
          </w:tcPr>
          <w:p w14:paraId="7BAECAF8">
            <w:pPr>
              <w:jc w:val="center"/>
              <w:rPr>
                <w:rFonts w:ascii="宋体" w:hAnsi="宋体" w:eastAsia="宋体" w:cs="宋体"/>
                <w:sz w:val="24"/>
              </w:rPr>
            </w:pPr>
          </w:p>
        </w:tc>
        <w:tc>
          <w:tcPr>
            <w:tcW w:w="6057" w:type="dxa"/>
            <w:vAlign w:val="center"/>
          </w:tcPr>
          <w:p w14:paraId="06543654">
            <w:pPr>
              <w:overflowPunct w:val="0"/>
              <w:spacing w:line="500" w:lineRule="exact"/>
              <w:ind w:firstLine="480" w:firstLineChars="200"/>
              <w:jc w:val="left"/>
              <w:rPr>
                <w:rFonts w:asciiTheme="minorEastAsia" w:hAnsiTheme="minorEastAsia" w:cstheme="minorEastAsia"/>
                <w:sz w:val="24"/>
              </w:rPr>
            </w:pPr>
            <w:r>
              <w:rPr>
                <w:rFonts w:hint="eastAsia" w:asciiTheme="minorEastAsia" w:hAnsiTheme="minorEastAsia" w:cstheme="minorEastAsia"/>
                <w:sz w:val="24"/>
              </w:rPr>
              <w:t>投标产品属于财政部、生态环境部公布的“环境标志产品品目清单”范围内的，投标人提供国家确定的认证机构出具的、处于有效期内的该环保产品认证证书的，有1个得0.5分，最多得1分。（提供证书扫描件，并加盖投标单位公章。）</w:t>
            </w:r>
          </w:p>
        </w:tc>
      </w:tr>
      <w:tr w14:paraId="213CA8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81" w:type="dxa"/>
            <w:vAlign w:val="center"/>
          </w:tcPr>
          <w:p w14:paraId="2CBA05BC">
            <w:pPr>
              <w:jc w:val="center"/>
              <w:rPr>
                <w:rFonts w:ascii="宋体" w:hAnsi="宋体" w:eastAsia="宋体" w:cs="宋体"/>
                <w:kern w:val="2"/>
                <w:sz w:val="24"/>
              </w:rPr>
            </w:pPr>
            <w:r>
              <w:rPr>
                <w:rFonts w:hint="eastAsia" w:ascii="宋体" w:hAnsi="宋体" w:eastAsia="宋体" w:cs="宋体"/>
                <w:kern w:val="2"/>
                <w:sz w:val="24"/>
              </w:rPr>
              <w:t>10</w:t>
            </w:r>
          </w:p>
        </w:tc>
        <w:tc>
          <w:tcPr>
            <w:tcW w:w="1181" w:type="dxa"/>
            <w:vAlign w:val="center"/>
          </w:tcPr>
          <w:p w14:paraId="5DFC2A42">
            <w:pPr>
              <w:jc w:val="center"/>
              <w:rPr>
                <w:rFonts w:ascii="宋体" w:hAnsi="宋体" w:cs="宋体"/>
                <w:kern w:val="2"/>
                <w:sz w:val="24"/>
              </w:rPr>
            </w:pPr>
            <w:bookmarkStart w:id="228" w:name="OLE_LINK97"/>
            <w:r>
              <w:rPr>
                <w:rFonts w:hint="eastAsia" w:ascii="宋体" w:hAnsi="宋体" w:cs="宋体"/>
                <w:kern w:val="2"/>
                <w:sz w:val="24"/>
              </w:rPr>
              <w:t>质保期</w:t>
            </w:r>
          </w:p>
          <w:p w14:paraId="4B0BDEEE">
            <w:pPr>
              <w:jc w:val="center"/>
              <w:rPr>
                <w:rFonts w:ascii="宋体" w:hAnsi="宋体" w:cs="宋体"/>
                <w:kern w:val="2"/>
                <w:sz w:val="24"/>
              </w:rPr>
            </w:pPr>
            <w:r>
              <w:rPr>
                <w:rFonts w:hint="eastAsia" w:ascii="宋体" w:hAnsi="宋体" w:cs="宋体"/>
                <w:kern w:val="2"/>
                <w:sz w:val="24"/>
              </w:rPr>
              <w:t>承诺</w:t>
            </w:r>
            <w:bookmarkEnd w:id="228"/>
          </w:p>
        </w:tc>
        <w:tc>
          <w:tcPr>
            <w:tcW w:w="834" w:type="dxa"/>
            <w:vAlign w:val="center"/>
          </w:tcPr>
          <w:p w14:paraId="03839274">
            <w:pPr>
              <w:jc w:val="center"/>
              <w:rPr>
                <w:rFonts w:ascii="宋体" w:hAnsi="宋体" w:eastAsia="宋体" w:cs="宋体"/>
                <w:kern w:val="2"/>
                <w:sz w:val="24"/>
              </w:rPr>
            </w:pPr>
            <w:r>
              <w:rPr>
                <w:rFonts w:hint="eastAsia" w:ascii="宋体" w:hAnsi="宋体" w:eastAsia="宋体" w:cs="宋体"/>
                <w:kern w:val="2"/>
                <w:sz w:val="24"/>
              </w:rPr>
              <w:t>2分</w:t>
            </w:r>
          </w:p>
        </w:tc>
        <w:tc>
          <w:tcPr>
            <w:tcW w:w="6057" w:type="dxa"/>
            <w:vAlign w:val="center"/>
          </w:tcPr>
          <w:p w14:paraId="2B3D1D9A">
            <w:pPr>
              <w:overflowPunct w:val="0"/>
              <w:spacing w:line="500" w:lineRule="exact"/>
              <w:ind w:firstLine="480" w:firstLineChars="200"/>
              <w:jc w:val="left"/>
              <w:rPr>
                <w:rFonts w:asciiTheme="minorEastAsia" w:hAnsiTheme="minorEastAsia" w:cstheme="minorEastAsia"/>
                <w:sz w:val="24"/>
              </w:rPr>
            </w:pPr>
            <w:bookmarkStart w:id="229" w:name="OLE_LINK80"/>
            <w:bookmarkStart w:id="230" w:name="OLE_LINK81"/>
            <w:r>
              <w:rPr>
                <w:rFonts w:hint="eastAsia" w:asciiTheme="minorEastAsia" w:hAnsiTheme="minorEastAsia" w:cstheme="minorEastAsia"/>
                <w:sz w:val="24"/>
              </w:rPr>
              <w:t>免费质保期（软件至少5年，硬件至少3年）基础上，软件、硬件每同时增加一年免费上门质保服务承诺得1分，最高得2分。软件、硬件不同时增加不得分。</w:t>
            </w:r>
          </w:p>
          <w:p w14:paraId="2A95D8C0">
            <w:pPr>
              <w:overflowPunct w:val="0"/>
              <w:spacing w:line="500" w:lineRule="exact"/>
              <w:ind w:firstLine="480" w:firstLineChars="200"/>
              <w:jc w:val="left"/>
              <w:rPr>
                <w:rFonts w:asciiTheme="minorEastAsia" w:hAnsiTheme="minorEastAsia" w:cstheme="minorEastAsia"/>
                <w:sz w:val="24"/>
              </w:rPr>
            </w:pPr>
            <w:r>
              <w:rPr>
                <w:rFonts w:hint="eastAsia" w:asciiTheme="minorEastAsia" w:hAnsiTheme="minorEastAsia" w:cstheme="minorEastAsia"/>
                <w:sz w:val="24"/>
              </w:rPr>
              <w:t>（免费质保期是指覆盖本项目所投设备硬件、软件系统、平台授权、特征库授权及相关配套服务的免费质保期限。质保期内，上门调试、故障维修、核心部件更换、软件升级、授权维护等费用均由投标人承担，采购人及学校不再另行支付费用。）</w:t>
            </w:r>
            <w:bookmarkEnd w:id="229"/>
            <w:bookmarkEnd w:id="230"/>
          </w:p>
          <w:p w14:paraId="340D712A">
            <w:pPr>
              <w:overflowPunct w:val="0"/>
              <w:spacing w:line="500" w:lineRule="exact"/>
              <w:ind w:firstLine="480" w:firstLineChars="200"/>
              <w:jc w:val="left"/>
              <w:rPr>
                <w:rFonts w:asciiTheme="minorEastAsia" w:hAnsiTheme="minorEastAsia" w:cstheme="minorEastAsia"/>
                <w:sz w:val="24"/>
              </w:rPr>
            </w:pPr>
            <w:r>
              <w:rPr>
                <w:rFonts w:hint="eastAsia" w:asciiTheme="minorEastAsia" w:hAnsiTheme="minorEastAsia" w:cstheme="minorEastAsia"/>
                <w:sz w:val="24"/>
              </w:rPr>
              <w:t>注：</w:t>
            </w:r>
            <w:r>
              <w:rPr>
                <w:rFonts w:hint="eastAsia" w:asciiTheme="minorEastAsia" w:hAnsiTheme="minorEastAsia" w:cstheme="minorEastAsia"/>
                <w:b/>
                <w:sz w:val="24"/>
              </w:rPr>
              <w:t>提供质保服务承诺书</w:t>
            </w:r>
            <w:r>
              <w:rPr>
                <w:rFonts w:hint="eastAsia" w:asciiTheme="minorEastAsia" w:hAnsiTheme="minorEastAsia" w:cstheme="minorEastAsia"/>
                <w:sz w:val="24"/>
              </w:rPr>
              <w:t>，承诺书格式自拟，未提供或未按要求提供的不得分。</w:t>
            </w:r>
          </w:p>
        </w:tc>
      </w:tr>
      <w:tr w14:paraId="06DBAA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81" w:type="dxa"/>
            <w:vAlign w:val="center"/>
          </w:tcPr>
          <w:p w14:paraId="224829A6">
            <w:pPr>
              <w:jc w:val="center"/>
              <w:rPr>
                <w:rFonts w:ascii="宋体" w:hAnsi="宋体" w:eastAsia="宋体" w:cs="宋体"/>
                <w:kern w:val="2"/>
                <w:sz w:val="24"/>
              </w:rPr>
            </w:pPr>
            <w:r>
              <w:rPr>
                <w:rFonts w:hint="eastAsia" w:ascii="宋体" w:hAnsi="宋体" w:eastAsia="宋体" w:cs="宋体"/>
                <w:kern w:val="2"/>
                <w:sz w:val="24"/>
              </w:rPr>
              <w:t>11</w:t>
            </w:r>
          </w:p>
        </w:tc>
        <w:tc>
          <w:tcPr>
            <w:tcW w:w="1181" w:type="dxa"/>
            <w:vAlign w:val="center"/>
          </w:tcPr>
          <w:p w14:paraId="507B4C7F">
            <w:pPr>
              <w:jc w:val="center"/>
              <w:rPr>
                <w:rFonts w:asciiTheme="minorEastAsia" w:hAnsiTheme="minorEastAsia" w:cstheme="minorEastAsia"/>
                <w:sz w:val="24"/>
              </w:rPr>
            </w:pPr>
            <w:r>
              <w:rPr>
                <w:rFonts w:hint="eastAsia" w:asciiTheme="minorEastAsia" w:hAnsiTheme="minorEastAsia" w:cstheme="minorEastAsia"/>
                <w:sz w:val="24"/>
              </w:rPr>
              <w:t>企业资质</w:t>
            </w:r>
          </w:p>
        </w:tc>
        <w:tc>
          <w:tcPr>
            <w:tcW w:w="834" w:type="dxa"/>
            <w:vAlign w:val="center"/>
          </w:tcPr>
          <w:p w14:paraId="2AB2F921">
            <w:pPr>
              <w:jc w:val="center"/>
              <w:rPr>
                <w:rFonts w:asciiTheme="minorEastAsia" w:hAnsiTheme="minorEastAsia" w:cstheme="minorEastAsia"/>
                <w:sz w:val="24"/>
              </w:rPr>
            </w:pPr>
            <w:r>
              <w:rPr>
                <w:rFonts w:hint="eastAsia" w:asciiTheme="minorEastAsia" w:hAnsiTheme="minorEastAsia" w:cstheme="minorEastAsia"/>
                <w:sz w:val="24"/>
              </w:rPr>
              <w:t>3分</w:t>
            </w:r>
          </w:p>
        </w:tc>
        <w:tc>
          <w:tcPr>
            <w:tcW w:w="6057" w:type="dxa"/>
            <w:vAlign w:val="center"/>
          </w:tcPr>
          <w:p w14:paraId="4FB97E1F">
            <w:pPr>
              <w:overflowPunct w:val="0"/>
              <w:spacing w:line="500" w:lineRule="exact"/>
              <w:ind w:firstLine="480" w:firstLineChars="200"/>
              <w:jc w:val="left"/>
              <w:rPr>
                <w:rFonts w:asciiTheme="minorEastAsia" w:hAnsiTheme="minorEastAsia" w:cstheme="minorEastAsia"/>
                <w:sz w:val="24"/>
              </w:rPr>
            </w:pPr>
            <w:bookmarkStart w:id="231" w:name="OLE_LINK42"/>
            <w:bookmarkStart w:id="232" w:name="OLE_LINK43"/>
            <w:r>
              <w:rPr>
                <w:rFonts w:hint="eastAsia" w:asciiTheme="minorEastAsia" w:hAnsiTheme="minorEastAsia" w:cstheme="minorEastAsia"/>
                <w:sz w:val="24"/>
              </w:rPr>
              <w:t>投标人具备质量管理体系认证证书、信息技术服务管理体系认证证书、环境管理体系认证证书的，有1项得1分，满分3分。</w:t>
            </w:r>
            <w:bookmarkEnd w:id="231"/>
            <w:bookmarkEnd w:id="232"/>
          </w:p>
          <w:p w14:paraId="3E2C9486">
            <w:pPr>
              <w:overflowPunct w:val="0"/>
              <w:spacing w:line="500" w:lineRule="exact"/>
              <w:ind w:firstLine="480" w:firstLineChars="200"/>
              <w:jc w:val="left"/>
              <w:rPr>
                <w:rFonts w:asciiTheme="minorEastAsia" w:hAnsiTheme="minorEastAsia" w:cstheme="minorEastAsia"/>
                <w:sz w:val="24"/>
                <w:lang w:val="zh-CN"/>
              </w:rPr>
            </w:pPr>
            <w:r>
              <w:rPr>
                <w:rFonts w:hint="eastAsia" w:asciiTheme="minorEastAsia" w:hAnsiTheme="minorEastAsia" w:cstheme="minorEastAsia"/>
                <w:sz w:val="24"/>
                <w:lang w:val="zh-CN"/>
              </w:rPr>
              <w:t>注：投标时提供上述证书的彩色扫描件，同时须提供上述证书在全国认证认可信息公共服务平台（http://cx.cnca.cn/CertECloud/index/index/page?currentPosition=）查询页面完整截图，投标人应当确保证书开标当天处于有效期内，否则不予认可。以上材料均须加盖投标人公章，否则不予认可，不提供不得分。</w:t>
            </w:r>
          </w:p>
        </w:tc>
      </w:tr>
      <w:tr w14:paraId="14E53B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81" w:type="dxa"/>
            <w:vAlign w:val="center"/>
          </w:tcPr>
          <w:p w14:paraId="39A8C9F5">
            <w:pPr>
              <w:jc w:val="center"/>
              <w:rPr>
                <w:rFonts w:ascii="宋体" w:hAnsi="宋体" w:eastAsia="宋体" w:cs="宋体"/>
                <w:kern w:val="2"/>
                <w:sz w:val="24"/>
              </w:rPr>
            </w:pPr>
            <w:r>
              <w:rPr>
                <w:rFonts w:hint="eastAsia" w:ascii="宋体" w:hAnsi="宋体" w:eastAsia="宋体" w:cs="宋体"/>
                <w:kern w:val="2"/>
                <w:sz w:val="24"/>
              </w:rPr>
              <w:t>12</w:t>
            </w:r>
          </w:p>
        </w:tc>
        <w:tc>
          <w:tcPr>
            <w:tcW w:w="1181" w:type="dxa"/>
            <w:vAlign w:val="center"/>
          </w:tcPr>
          <w:p w14:paraId="6939B2EA">
            <w:pPr>
              <w:jc w:val="center"/>
              <w:rPr>
                <w:rFonts w:asciiTheme="minorEastAsia" w:hAnsiTheme="minorEastAsia" w:cstheme="minorEastAsia"/>
                <w:sz w:val="24"/>
              </w:rPr>
            </w:pPr>
            <w:r>
              <w:rPr>
                <w:rFonts w:hint="eastAsia" w:asciiTheme="minorEastAsia" w:hAnsiTheme="minorEastAsia" w:cstheme="minorEastAsia"/>
                <w:sz w:val="24"/>
              </w:rPr>
              <w:t>项目成员资质与</w:t>
            </w:r>
          </w:p>
          <w:p w14:paraId="61360C9D">
            <w:pPr>
              <w:jc w:val="center"/>
              <w:rPr>
                <w:rFonts w:asciiTheme="minorEastAsia" w:hAnsiTheme="minorEastAsia" w:cstheme="minorEastAsia"/>
                <w:sz w:val="24"/>
              </w:rPr>
            </w:pPr>
            <w:r>
              <w:rPr>
                <w:rFonts w:hint="eastAsia" w:asciiTheme="minorEastAsia" w:hAnsiTheme="minorEastAsia" w:cstheme="minorEastAsia"/>
                <w:sz w:val="24"/>
              </w:rPr>
              <w:t>能力</w:t>
            </w:r>
          </w:p>
        </w:tc>
        <w:tc>
          <w:tcPr>
            <w:tcW w:w="834" w:type="dxa"/>
            <w:vAlign w:val="center"/>
          </w:tcPr>
          <w:p w14:paraId="232D621C">
            <w:pPr>
              <w:jc w:val="center"/>
              <w:rPr>
                <w:rFonts w:asciiTheme="minorEastAsia" w:hAnsiTheme="minorEastAsia" w:cstheme="minorEastAsia"/>
                <w:sz w:val="24"/>
              </w:rPr>
            </w:pPr>
            <w:r>
              <w:rPr>
                <w:rFonts w:hint="eastAsia" w:asciiTheme="minorEastAsia" w:hAnsiTheme="minorEastAsia" w:cstheme="minorEastAsia"/>
                <w:sz w:val="24"/>
              </w:rPr>
              <w:t>4分</w:t>
            </w:r>
          </w:p>
        </w:tc>
        <w:tc>
          <w:tcPr>
            <w:tcW w:w="6057" w:type="dxa"/>
            <w:vAlign w:val="center"/>
          </w:tcPr>
          <w:p w14:paraId="76FEE138">
            <w:pPr>
              <w:overflowPunct w:val="0"/>
              <w:spacing w:line="500" w:lineRule="exact"/>
              <w:ind w:firstLine="480" w:firstLineChars="200"/>
              <w:jc w:val="left"/>
              <w:rPr>
                <w:rFonts w:hint="eastAsia" w:asciiTheme="minorEastAsia" w:hAnsiTheme="minorEastAsia" w:cstheme="minorEastAsia"/>
                <w:sz w:val="24"/>
              </w:rPr>
            </w:pPr>
            <w:bookmarkStart w:id="233" w:name="OLE_LINK60"/>
          </w:p>
          <w:p w14:paraId="7105BA46">
            <w:pPr>
              <w:overflowPunct w:val="0"/>
              <w:spacing w:line="500" w:lineRule="exact"/>
              <w:ind w:firstLine="480" w:firstLineChars="200"/>
              <w:jc w:val="left"/>
              <w:rPr>
                <w:rFonts w:hint="eastAsia" w:asciiTheme="minorEastAsia" w:hAnsiTheme="minorEastAsia" w:cstheme="minorEastAsia"/>
                <w:sz w:val="24"/>
              </w:rPr>
            </w:pPr>
          </w:p>
          <w:p w14:paraId="450847F0">
            <w:pPr>
              <w:overflowPunct w:val="0"/>
              <w:spacing w:line="500" w:lineRule="exact"/>
              <w:ind w:firstLine="480" w:firstLineChars="200"/>
              <w:jc w:val="left"/>
              <w:rPr>
                <w:rFonts w:hint="eastAsia" w:asciiTheme="minorEastAsia" w:hAnsiTheme="minorEastAsia" w:cstheme="minorEastAsia"/>
                <w:sz w:val="24"/>
              </w:rPr>
            </w:pPr>
          </w:p>
          <w:p w14:paraId="36C77FEC">
            <w:pPr>
              <w:overflowPunct w:val="0"/>
              <w:spacing w:line="500" w:lineRule="exact"/>
              <w:ind w:firstLine="480" w:firstLineChars="200"/>
              <w:jc w:val="left"/>
              <w:rPr>
                <w:rFonts w:hint="eastAsia" w:asciiTheme="minorEastAsia" w:hAnsiTheme="minorEastAsia" w:cstheme="minorEastAsia"/>
                <w:sz w:val="24"/>
              </w:rPr>
            </w:pPr>
          </w:p>
          <w:p w14:paraId="3DFEB514">
            <w:pPr>
              <w:overflowPunct w:val="0"/>
              <w:spacing w:line="500" w:lineRule="exact"/>
              <w:ind w:firstLine="480" w:firstLineChars="200"/>
              <w:jc w:val="left"/>
              <w:rPr>
                <w:rFonts w:hint="eastAsia" w:asciiTheme="minorEastAsia" w:hAnsiTheme="minorEastAsia" w:cstheme="minorEastAsia"/>
                <w:sz w:val="24"/>
              </w:rPr>
            </w:pPr>
          </w:p>
          <w:p w14:paraId="24A55884">
            <w:pPr>
              <w:overflowPunct w:val="0"/>
              <w:spacing w:line="500" w:lineRule="exact"/>
              <w:ind w:firstLine="480" w:firstLineChars="200"/>
              <w:jc w:val="left"/>
              <w:rPr>
                <w:rFonts w:hint="eastAsia" w:asciiTheme="minorEastAsia" w:hAnsiTheme="minorEastAsia" w:cstheme="minorEastAsia"/>
                <w:sz w:val="24"/>
              </w:rPr>
            </w:pPr>
          </w:p>
          <w:p w14:paraId="785F703F">
            <w:pPr>
              <w:overflowPunct w:val="0"/>
              <w:spacing w:line="500" w:lineRule="exact"/>
              <w:ind w:firstLine="480" w:firstLineChars="200"/>
              <w:jc w:val="left"/>
              <w:rPr>
                <w:rFonts w:hint="eastAsia" w:asciiTheme="minorEastAsia" w:hAnsiTheme="minorEastAsia" w:cstheme="minorEastAsia"/>
                <w:sz w:val="24"/>
              </w:rPr>
            </w:pPr>
          </w:p>
          <w:p w14:paraId="0F20A7FE">
            <w:pPr>
              <w:overflowPunct w:val="0"/>
              <w:spacing w:line="500" w:lineRule="exact"/>
              <w:ind w:firstLine="480" w:firstLineChars="200"/>
              <w:jc w:val="left"/>
              <w:rPr>
                <w:rFonts w:hint="eastAsia" w:asciiTheme="minorEastAsia" w:hAnsiTheme="minorEastAsia" w:cstheme="minorEastAsia"/>
                <w:sz w:val="24"/>
              </w:rPr>
            </w:pPr>
          </w:p>
          <w:p w14:paraId="2D2562E3">
            <w:pPr>
              <w:overflowPunct w:val="0"/>
              <w:spacing w:line="500" w:lineRule="exact"/>
              <w:ind w:firstLine="480" w:firstLineChars="200"/>
              <w:jc w:val="left"/>
              <w:rPr>
                <w:rFonts w:hint="eastAsia" w:asciiTheme="minorEastAsia" w:hAnsiTheme="minorEastAsia" w:cstheme="minorEastAsia"/>
                <w:sz w:val="24"/>
              </w:rPr>
            </w:pPr>
          </w:p>
          <w:p w14:paraId="40E7384C">
            <w:pPr>
              <w:overflowPunct w:val="0"/>
              <w:spacing w:line="500" w:lineRule="exact"/>
              <w:ind w:firstLine="480" w:firstLineChars="200"/>
              <w:jc w:val="left"/>
              <w:rPr>
                <w:rFonts w:hint="eastAsia" w:asciiTheme="minorEastAsia" w:hAnsiTheme="minorEastAsia" w:cstheme="minorEastAsia"/>
                <w:sz w:val="24"/>
              </w:rPr>
            </w:pPr>
          </w:p>
          <w:p w14:paraId="2E4DDA90">
            <w:pPr>
              <w:overflowPunct w:val="0"/>
              <w:spacing w:line="500" w:lineRule="exact"/>
              <w:ind w:firstLine="480" w:firstLineChars="200"/>
              <w:jc w:val="left"/>
              <w:rPr>
                <w:rFonts w:hint="eastAsia" w:asciiTheme="minorEastAsia" w:hAnsiTheme="minorEastAsia" w:cstheme="minorEastAsia"/>
                <w:sz w:val="24"/>
              </w:rPr>
            </w:pPr>
          </w:p>
          <w:p w14:paraId="66E73A48">
            <w:pPr>
              <w:overflowPunct w:val="0"/>
              <w:spacing w:line="500" w:lineRule="exact"/>
              <w:ind w:firstLine="480" w:firstLineChars="200"/>
              <w:jc w:val="left"/>
              <w:rPr>
                <w:rFonts w:hint="eastAsia" w:asciiTheme="minorEastAsia" w:hAnsiTheme="minorEastAsia" w:cstheme="minorEastAsia"/>
                <w:sz w:val="24"/>
              </w:rPr>
            </w:pPr>
          </w:p>
          <w:p w14:paraId="044DBC2F">
            <w:pPr>
              <w:overflowPunct w:val="0"/>
              <w:spacing w:line="500" w:lineRule="exact"/>
              <w:ind w:firstLine="480" w:firstLineChars="200"/>
              <w:jc w:val="left"/>
              <w:rPr>
                <w:rFonts w:hint="eastAsia" w:asciiTheme="minorEastAsia" w:hAnsiTheme="minorEastAsia" w:cstheme="minorEastAsia"/>
                <w:sz w:val="24"/>
              </w:rPr>
            </w:pPr>
          </w:p>
          <w:p w14:paraId="3767FC4A">
            <w:pPr>
              <w:overflowPunct w:val="0"/>
              <w:spacing w:line="500" w:lineRule="exact"/>
              <w:ind w:firstLine="480" w:firstLineChars="200"/>
              <w:jc w:val="left"/>
              <w:rPr>
                <w:rFonts w:asciiTheme="minorEastAsia" w:hAnsiTheme="minorEastAsia" w:cstheme="minorEastAsia"/>
                <w:sz w:val="24"/>
              </w:rPr>
            </w:pPr>
            <w:bookmarkStart w:id="234" w:name="OLE_LINK33"/>
            <w:r>
              <w:rPr>
                <w:rFonts w:hint="eastAsia" w:asciiTheme="minorEastAsia" w:hAnsiTheme="minorEastAsia" w:cstheme="minorEastAsia"/>
                <w:sz w:val="24"/>
              </w:rPr>
              <w:t>（1）项目团队经理（1人）具有人社部门颁发的电子信息类专业高级工程师职称证书，满足得1分，其他得0分。</w:t>
            </w:r>
          </w:p>
          <w:p w14:paraId="21654B06">
            <w:pPr>
              <w:overflowPunct w:val="0"/>
              <w:spacing w:line="500" w:lineRule="exact"/>
              <w:ind w:firstLine="480" w:firstLineChars="200"/>
              <w:jc w:val="left"/>
              <w:rPr>
                <w:rFonts w:asciiTheme="minorEastAsia" w:hAnsiTheme="minorEastAsia" w:cstheme="minorEastAsia"/>
                <w:sz w:val="24"/>
              </w:rPr>
            </w:pPr>
            <w:r>
              <w:rPr>
                <w:rFonts w:hint="eastAsia" w:asciiTheme="minorEastAsia" w:hAnsiTheme="minorEastAsia" w:cstheme="minorEastAsia"/>
                <w:sz w:val="24"/>
              </w:rPr>
              <w:t>（2）项目团队人员要求：</w:t>
            </w:r>
          </w:p>
          <w:p w14:paraId="3B20BD54">
            <w:pPr>
              <w:overflowPunct w:val="0"/>
              <w:spacing w:line="500" w:lineRule="exact"/>
              <w:ind w:firstLine="480" w:firstLineChars="200"/>
              <w:jc w:val="left"/>
              <w:rPr>
                <w:rFonts w:asciiTheme="minorEastAsia" w:hAnsiTheme="minorEastAsia" w:cstheme="minorEastAsia"/>
                <w:sz w:val="24"/>
              </w:rPr>
            </w:pPr>
            <w:r>
              <w:rPr>
                <w:rFonts w:hint="eastAsia" w:asciiTheme="minorEastAsia" w:hAnsiTheme="minorEastAsia" w:cstheme="minorEastAsia"/>
                <w:sz w:val="24"/>
              </w:rPr>
              <w:t>①至少有1名具有“中国信息安全测评中心”颁发的注册信息安全管理人员（CISP）证书，满足得1分，其他得0分。</w:t>
            </w:r>
          </w:p>
          <w:p w14:paraId="4FFBCAF9">
            <w:pPr>
              <w:overflowPunct w:val="0"/>
              <w:spacing w:line="500" w:lineRule="exact"/>
              <w:ind w:firstLine="480" w:firstLineChars="200"/>
              <w:jc w:val="left"/>
              <w:rPr>
                <w:rFonts w:asciiTheme="minorEastAsia" w:hAnsiTheme="minorEastAsia" w:cstheme="minorEastAsia"/>
                <w:sz w:val="24"/>
              </w:rPr>
            </w:pPr>
            <w:r>
              <w:rPr>
                <w:rFonts w:hint="eastAsia" w:asciiTheme="minorEastAsia" w:hAnsiTheme="minorEastAsia" w:cstheme="minorEastAsia"/>
                <w:sz w:val="24"/>
              </w:rPr>
              <w:t>②至少有1名具有“人力资源和社会保障部”和“工业和信息化部”联合颁发的</w:t>
            </w:r>
            <w:bookmarkStart w:id="235" w:name="OLE_LINK28"/>
            <w:bookmarkStart w:id="236" w:name="OLE_LINK29"/>
            <w:r>
              <w:rPr>
                <w:rFonts w:hint="eastAsia" w:asciiTheme="minorEastAsia" w:hAnsiTheme="minorEastAsia" w:cstheme="minorEastAsia"/>
                <w:sz w:val="24"/>
              </w:rPr>
              <w:t>系统集成项目管理工程</w:t>
            </w:r>
            <w:bookmarkEnd w:id="235"/>
            <w:bookmarkEnd w:id="236"/>
            <w:r>
              <w:rPr>
                <w:rFonts w:hint="eastAsia" w:asciiTheme="minorEastAsia" w:hAnsiTheme="minorEastAsia" w:cstheme="minorEastAsia"/>
                <w:sz w:val="24"/>
              </w:rPr>
              <w:t>师认证证书，满足得1分，其他得0分。</w:t>
            </w:r>
          </w:p>
          <w:p w14:paraId="2989A4E3">
            <w:pPr>
              <w:overflowPunct w:val="0"/>
              <w:spacing w:line="500" w:lineRule="exact"/>
              <w:ind w:firstLine="480" w:firstLineChars="200"/>
              <w:jc w:val="left"/>
              <w:rPr>
                <w:rFonts w:asciiTheme="minorEastAsia" w:hAnsiTheme="minorEastAsia" w:cstheme="minorEastAsia"/>
                <w:sz w:val="24"/>
              </w:rPr>
            </w:pPr>
            <w:r>
              <w:rPr>
                <w:rFonts w:hint="eastAsia" w:asciiTheme="minorEastAsia" w:hAnsiTheme="minorEastAsia" w:cstheme="minorEastAsia"/>
                <w:sz w:val="24"/>
              </w:rPr>
              <w:t>③至少有1名具有“人力资源和社会保障部”和“工业和信息化部”联合颁发的网络工程师认证证书，满足得1分，其他得0分。</w:t>
            </w:r>
          </w:p>
          <w:bookmarkEnd w:id="233"/>
          <w:bookmarkEnd w:id="234"/>
          <w:p w14:paraId="01210C4C">
            <w:pPr>
              <w:overflowPunct w:val="0"/>
              <w:spacing w:line="500" w:lineRule="exact"/>
              <w:ind w:firstLine="480" w:firstLineChars="200"/>
              <w:jc w:val="left"/>
              <w:rPr>
                <w:rFonts w:asciiTheme="minorEastAsia" w:hAnsiTheme="minorEastAsia" w:cstheme="minorEastAsia"/>
                <w:sz w:val="24"/>
              </w:rPr>
            </w:pPr>
            <w:r>
              <w:rPr>
                <w:rFonts w:hint="eastAsia" w:asciiTheme="minorEastAsia" w:hAnsiTheme="minorEastAsia" w:cstheme="minorEastAsia"/>
                <w:sz w:val="24"/>
              </w:rPr>
              <w:t>注：投标人需提供加盖公章的有效期内证书扫描件，以及该人员在投标截日期前3个月内任意一个月通过供应商缴纳的社保证明。同一人员有多项证书不允许重复使用、不重复得分。</w:t>
            </w:r>
          </w:p>
        </w:tc>
      </w:tr>
      <w:bookmarkEnd w:id="216"/>
      <w:bookmarkEnd w:id="217"/>
      <w:bookmarkEnd w:id="218"/>
    </w:tbl>
    <w:p w14:paraId="1ADD7FCC">
      <w:pPr>
        <w:widowControl/>
        <w:rPr>
          <w:rFonts w:ascii="黑体" w:hAnsi="宋体" w:eastAsia="黑体" w:cs="黑体"/>
          <w:sz w:val="44"/>
          <w:szCs w:val="44"/>
        </w:rPr>
      </w:pPr>
      <w:r>
        <w:rPr>
          <w:rFonts w:hint="eastAsia" w:ascii="黑体" w:hAnsi="宋体" w:eastAsia="黑体" w:cs="黑体"/>
          <w:sz w:val="44"/>
          <w:szCs w:val="44"/>
        </w:rPr>
        <w:br w:type="page" w:clear="all"/>
      </w:r>
    </w:p>
    <w:p w14:paraId="68061B1D">
      <w:pPr>
        <w:widowControl/>
        <w:pBdr>
          <w:top w:val="none" w:color="000000" w:sz="0" w:space="0"/>
          <w:left w:val="none" w:color="000000" w:sz="0" w:space="0"/>
          <w:bottom w:val="none" w:color="000000" w:sz="0" w:space="0"/>
          <w:right w:val="none" w:color="000000" w:sz="0" w:space="0"/>
        </w:pBdr>
        <w:jc w:val="center"/>
        <w:outlineLvl w:val="0"/>
        <w:rPr>
          <w:rFonts w:ascii="黑体" w:hAnsi="黑体" w:eastAsia="黑体" w:cs="黑体"/>
          <w:sz w:val="44"/>
          <w:szCs w:val="44"/>
        </w:rPr>
      </w:pPr>
      <w:bookmarkStart w:id="237" w:name="_Toc4818"/>
    </w:p>
    <w:p w14:paraId="7A8B7CF5">
      <w:pPr>
        <w:widowControl/>
        <w:pBdr>
          <w:top w:val="none" w:color="000000" w:sz="0" w:space="0"/>
          <w:left w:val="none" w:color="000000" w:sz="0" w:space="0"/>
          <w:bottom w:val="none" w:color="000000" w:sz="0" w:space="0"/>
          <w:right w:val="none" w:color="000000" w:sz="0" w:space="0"/>
        </w:pBdr>
        <w:jc w:val="center"/>
        <w:outlineLvl w:val="0"/>
        <w:rPr>
          <w:rFonts w:ascii="微软雅黑" w:eastAsia="微软雅黑" w:cs="宋体" w:hAnsiTheme="minorEastAsia"/>
          <w:sz w:val="44"/>
          <w:szCs w:val="44"/>
        </w:rPr>
      </w:pPr>
      <w:r>
        <w:rPr>
          <w:rFonts w:hint="eastAsia" w:ascii="黑体" w:hAnsi="黑体" w:eastAsia="黑体" w:cs="黑体"/>
          <w:sz w:val="44"/>
          <w:szCs w:val="44"/>
        </w:rPr>
        <w:t>第六章 投标文件格式</w:t>
      </w:r>
      <w:bookmarkEnd w:id="237"/>
    </w:p>
    <w:p w14:paraId="6CC08433">
      <w:pPr>
        <w:widowControl/>
        <w:rPr>
          <w:rFonts w:cs="Times New Roman" w:asciiTheme="minorEastAsia" w:hAnsiTheme="minorEastAsia"/>
          <w:b/>
          <w:sz w:val="72"/>
          <w:szCs w:val="72"/>
        </w:rPr>
      </w:pPr>
    </w:p>
    <w:p w14:paraId="13584990">
      <w:pPr>
        <w:widowControl/>
        <w:rPr>
          <w:rFonts w:cs="Times New Roman" w:asciiTheme="minorEastAsia" w:hAnsiTheme="minorEastAsia"/>
          <w:b/>
          <w:sz w:val="72"/>
          <w:szCs w:val="72"/>
        </w:rPr>
      </w:pPr>
    </w:p>
    <w:p w14:paraId="5BF8357B">
      <w:pPr>
        <w:pStyle w:val="16"/>
      </w:pPr>
    </w:p>
    <w:p w14:paraId="5A4EE53A">
      <w:pPr>
        <w:widowControl/>
        <w:jc w:val="center"/>
        <w:rPr>
          <w:rFonts w:asciiTheme="minorEastAsia" w:hAnsiTheme="minorEastAsia" w:cstheme="minorEastAsia"/>
          <w:b/>
          <w:sz w:val="84"/>
          <w:szCs w:val="84"/>
        </w:rPr>
      </w:pPr>
      <w:r>
        <w:rPr>
          <w:rFonts w:hint="eastAsia" w:asciiTheme="minorEastAsia" w:hAnsiTheme="minorEastAsia" w:cstheme="minorEastAsia"/>
          <w:b/>
          <w:sz w:val="84"/>
          <w:szCs w:val="84"/>
        </w:rPr>
        <w:t>投 标 文 件</w:t>
      </w:r>
    </w:p>
    <w:p w14:paraId="5BAD9B5F">
      <w:pPr>
        <w:widowControl/>
        <w:rPr>
          <w:rFonts w:cs="Times New Roman" w:asciiTheme="minorEastAsia" w:hAnsiTheme="minorEastAsia"/>
          <w:sz w:val="24"/>
        </w:rPr>
      </w:pPr>
    </w:p>
    <w:p w14:paraId="6CD33C4B">
      <w:pPr>
        <w:widowControl/>
        <w:rPr>
          <w:rFonts w:cs="Times New Roman" w:asciiTheme="minorEastAsia" w:hAnsiTheme="minorEastAsia"/>
          <w:sz w:val="24"/>
        </w:rPr>
      </w:pPr>
    </w:p>
    <w:p w14:paraId="18688383">
      <w:pPr>
        <w:widowControl/>
        <w:rPr>
          <w:rFonts w:cs="Times New Roman" w:asciiTheme="minorEastAsia" w:hAnsiTheme="minorEastAsia"/>
          <w:sz w:val="24"/>
        </w:rPr>
      </w:pPr>
    </w:p>
    <w:p w14:paraId="0769EC46">
      <w:pPr>
        <w:widowControl/>
        <w:rPr>
          <w:rFonts w:cs="Times New Roman" w:asciiTheme="minorEastAsia" w:hAnsiTheme="minorEastAsia"/>
          <w:sz w:val="24"/>
        </w:rPr>
      </w:pPr>
    </w:p>
    <w:p w14:paraId="7F0402DA">
      <w:pPr>
        <w:pStyle w:val="16"/>
        <w:rPr>
          <w:rFonts w:asciiTheme="minorEastAsia" w:hAnsiTheme="minorEastAsia"/>
          <w:sz w:val="24"/>
        </w:rPr>
      </w:pPr>
    </w:p>
    <w:p w14:paraId="3D8AF1B4"/>
    <w:p w14:paraId="3FE770CF">
      <w:pPr>
        <w:pStyle w:val="16"/>
        <w:rPr>
          <w:rFonts w:asciiTheme="minorEastAsia" w:hAnsiTheme="minorEastAsia"/>
          <w:sz w:val="24"/>
        </w:rPr>
      </w:pPr>
    </w:p>
    <w:p w14:paraId="300FEC03">
      <w:pPr>
        <w:pStyle w:val="16"/>
      </w:pPr>
    </w:p>
    <w:p w14:paraId="4398452E">
      <w:pPr>
        <w:widowControl/>
        <w:rPr>
          <w:rFonts w:cs="Times New Roman" w:asciiTheme="minorEastAsia" w:hAnsiTheme="minorEastAsia"/>
          <w:sz w:val="24"/>
        </w:rPr>
      </w:pPr>
    </w:p>
    <w:p w14:paraId="467453E3">
      <w:pPr>
        <w:widowControl/>
        <w:spacing w:line="360" w:lineRule="auto"/>
        <w:ind w:firstLine="1134"/>
        <w:rPr>
          <w:rFonts w:asciiTheme="minorEastAsia" w:hAnsiTheme="minorEastAsia" w:cstheme="minorEastAsia"/>
          <w:b/>
          <w:spacing w:val="46"/>
          <w:sz w:val="24"/>
          <w:u w:val="single"/>
        </w:rPr>
      </w:pPr>
      <w:r>
        <w:rPr>
          <w:rFonts w:hint="eastAsia" w:asciiTheme="minorEastAsia" w:hAnsiTheme="minorEastAsia" w:cstheme="minorEastAsia"/>
          <w:b/>
          <w:spacing w:val="46"/>
          <w:sz w:val="36"/>
          <w:szCs w:val="36"/>
        </w:rPr>
        <w:t>项目名称：</w:t>
      </w:r>
      <w:r>
        <w:rPr>
          <w:rFonts w:hint="eastAsia" w:asciiTheme="minorEastAsia" w:hAnsiTheme="minorEastAsia" w:cstheme="minorEastAsia"/>
          <w:b/>
          <w:spacing w:val="46"/>
          <w:sz w:val="36"/>
          <w:szCs w:val="36"/>
          <w:u w:val="single"/>
        </w:rPr>
        <w:t xml:space="preserve">               </w:t>
      </w:r>
    </w:p>
    <w:p w14:paraId="62540907">
      <w:pPr>
        <w:widowControl/>
        <w:spacing w:line="360" w:lineRule="auto"/>
        <w:ind w:firstLine="1134"/>
        <w:rPr>
          <w:rFonts w:asciiTheme="minorEastAsia" w:hAnsiTheme="minorEastAsia" w:cstheme="minorEastAsia"/>
          <w:b/>
          <w:spacing w:val="46"/>
          <w:sz w:val="24"/>
          <w:u w:val="single"/>
        </w:rPr>
      </w:pPr>
      <w:r>
        <w:rPr>
          <w:rFonts w:hint="eastAsia" w:asciiTheme="minorEastAsia" w:hAnsiTheme="minorEastAsia" w:cstheme="minorEastAsia"/>
          <w:b/>
          <w:spacing w:val="46"/>
          <w:sz w:val="36"/>
          <w:szCs w:val="36"/>
        </w:rPr>
        <w:t>项目编号：</w:t>
      </w:r>
      <w:r>
        <w:rPr>
          <w:rFonts w:hint="eastAsia" w:asciiTheme="minorEastAsia" w:hAnsiTheme="minorEastAsia" w:cstheme="minorEastAsia"/>
          <w:b/>
          <w:spacing w:val="46"/>
          <w:sz w:val="36"/>
          <w:szCs w:val="36"/>
          <w:u w:val="single"/>
        </w:rPr>
        <w:t xml:space="preserve">               </w:t>
      </w:r>
    </w:p>
    <w:p w14:paraId="7BBF830F">
      <w:pPr>
        <w:widowControl/>
        <w:spacing w:line="360" w:lineRule="auto"/>
        <w:ind w:firstLine="1134"/>
        <w:outlineLvl w:val="1"/>
        <w:rPr>
          <w:rFonts w:asciiTheme="minorEastAsia" w:hAnsiTheme="minorEastAsia" w:cstheme="minorEastAsia"/>
          <w:b/>
          <w:sz w:val="24"/>
        </w:rPr>
      </w:pPr>
      <w:r>
        <w:rPr>
          <w:rFonts w:hint="eastAsia" w:asciiTheme="minorEastAsia" w:hAnsiTheme="minorEastAsia" w:cstheme="minorEastAsia"/>
          <w:b/>
          <w:sz w:val="36"/>
          <w:szCs w:val="36"/>
        </w:rPr>
        <w:t>投标人名称：</w:t>
      </w:r>
      <w:r>
        <w:rPr>
          <w:rFonts w:hint="eastAsia" w:asciiTheme="minorEastAsia" w:hAnsiTheme="minorEastAsia" w:cstheme="minorEastAsia"/>
          <w:b/>
          <w:sz w:val="36"/>
          <w:szCs w:val="36"/>
          <w:u w:val="single"/>
        </w:rPr>
        <w:t xml:space="preserve"> （加盖CA电子公章）   </w:t>
      </w:r>
    </w:p>
    <w:p w14:paraId="0A2063F7">
      <w:pPr>
        <w:widowControl/>
        <w:spacing w:line="360" w:lineRule="auto"/>
        <w:ind w:firstLine="1134"/>
        <w:rPr>
          <w:rFonts w:ascii="黑体" w:hAnsi="黑体" w:cs="Times New Roman"/>
          <w:bCs/>
          <w:sz w:val="24"/>
          <w:u w:val="single"/>
        </w:rPr>
      </w:pPr>
      <w:r>
        <w:rPr>
          <w:rFonts w:hint="eastAsia" w:asciiTheme="minorEastAsia" w:hAnsiTheme="minorEastAsia" w:cstheme="minorEastAsia"/>
          <w:b/>
          <w:sz w:val="36"/>
          <w:szCs w:val="36"/>
        </w:rPr>
        <w:t>日   期：</w:t>
      </w:r>
      <w:r>
        <w:rPr>
          <w:rFonts w:hint="eastAsia" w:asciiTheme="minorEastAsia" w:hAnsiTheme="minorEastAsia" w:cstheme="minorEastAsia"/>
          <w:b/>
          <w:sz w:val="36"/>
          <w:szCs w:val="36"/>
          <w:u w:val="single"/>
        </w:rPr>
        <w:t xml:space="preserve">                       </w:t>
      </w:r>
    </w:p>
    <w:p w14:paraId="7D178B56">
      <w:pPr>
        <w:widowControl/>
        <w:jc w:val="left"/>
        <w:rPr>
          <w:rFonts w:cs="Times New Roman" w:asciiTheme="minorEastAsia" w:hAnsiTheme="minorEastAsia"/>
          <w:b/>
          <w:bCs/>
          <w:sz w:val="36"/>
          <w:szCs w:val="36"/>
        </w:rPr>
      </w:pPr>
      <w:r>
        <w:rPr>
          <w:rFonts w:cs="Times New Roman" w:asciiTheme="minorEastAsia" w:hAnsiTheme="minorEastAsia"/>
          <w:b/>
          <w:bCs/>
          <w:sz w:val="36"/>
          <w:szCs w:val="36"/>
        </w:rPr>
        <w:br w:type="page" w:clear="all"/>
      </w:r>
    </w:p>
    <w:p w14:paraId="02FAE10F">
      <w:pPr>
        <w:widowControl/>
        <w:spacing w:before="120"/>
        <w:jc w:val="center"/>
        <w:rPr>
          <w:rFonts w:asciiTheme="minorEastAsia" w:hAnsiTheme="minorEastAsia" w:cstheme="minorEastAsia"/>
          <w:b/>
          <w:bCs/>
          <w:sz w:val="32"/>
          <w:szCs w:val="32"/>
        </w:rPr>
      </w:pPr>
      <w:r>
        <w:rPr>
          <w:rFonts w:hint="eastAsia" w:asciiTheme="minorEastAsia" w:hAnsiTheme="minorEastAsia" w:cstheme="minorEastAsia"/>
          <w:b/>
          <w:bCs/>
          <w:sz w:val="32"/>
          <w:szCs w:val="32"/>
        </w:rPr>
        <w:t>投标文件目录</w:t>
      </w:r>
    </w:p>
    <w:p w14:paraId="4A84F015">
      <w:pPr>
        <w:widowControl/>
        <w:spacing w:line="560" w:lineRule="exact"/>
        <w:ind w:firstLine="561"/>
        <w:outlineLvl w:val="1"/>
        <w:rPr>
          <w:rFonts w:asciiTheme="minorEastAsia" w:hAnsiTheme="minorEastAsia" w:cstheme="minorEastAsia"/>
          <w:sz w:val="24"/>
        </w:rPr>
      </w:pPr>
      <w:r>
        <w:rPr>
          <w:rFonts w:hint="eastAsia" w:asciiTheme="minorEastAsia" w:hAnsiTheme="minorEastAsia" w:cstheme="minorEastAsia"/>
          <w:sz w:val="24"/>
        </w:rPr>
        <w:t>一、法人或者其他组织的营业执照等证明文件，自然人的身份证明</w:t>
      </w:r>
    </w:p>
    <w:p w14:paraId="53B200C4">
      <w:pPr>
        <w:widowControl/>
        <w:spacing w:line="560" w:lineRule="exact"/>
        <w:ind w:firstLine="561"/>
        <w:rPr>
          <w:rFonts w:asciiTheme="minorEastAsia" w:hAnsiTheme="minorEastAsia" w:cstheme="minorEastAsia"/>
          <w:sz w:val="24"/>
        </w:rPr>
      </w:pPr>
      <w:r>
        <w:rPr>
          <w:rFonts w:hint="eastAsia" w:asciiTheme="minorEastAsia" w:hAnsiTheme="minorEastAsia" w:cstheme="minorEastAsia"/>
          <w:sz w:val="24"/>
        </w:rPr>
        <w:t>二、上一年度的财务状况报告（至少提供资产负债表、利润表、现金流量表，投标人成立不满一年无需提供）</w:t>
      </w:r>
    </w:p>
    <w:p w14:paraId="598DC829">
      <w:pPr>
        <w:widowControl/>
        <w:spacing w:line="560" w:lineRule="exact"/>
        <w:ind w:firstLine="561"/>
        <w:outlineLvl w:val="1"/>
        <w:rPr>
          <w:rFonts w:asciiTheme="minorEastAsia" w:hAnsiTheme="minorEastAsia" w:cstheme="minorEastAsia"/>
          <w:sz w:val="24"/>
        </w:rPr>
      </w:pPr>
      <w:r>
        <w:rPr>
          <w:rFonts w:hint="eastAsia" w:asciiTheme="minorEastAsia" w:hAnsiTheme="minorEastAsia" w:cstheme="minorEastAsia"/>
          <w:sz w:val="24"/>
        </w:rPr>
        <w:t>三、具备履行合同所必需的设备和专业技术能力的书面声明</w:t>
      </w:r>
    </w:p>
    <w:p w14:paraId="605032C6">
      <w:pPr>
        <w:widowControl/>
        <w:spacing w:line="560" w:lineRule="exact"/>
        <w:ind w:firstLine="561"/>
        <w:rPr>
          <w:rFonts w:asciiTheme="minorEastAsia" w:hAnsiTheme="minorEastAsia" w:cstheme="minorEastAsia"/>
          <w:sz w:val="24"/>
        </w:rPr>
      </w:pPr>
      <w:r>
        <w:rPr>
          <w:rFonts w:hint="eastAsia" w:asciiTheme="minorEastAsia" w:hAnsiTheme="minorEastAsia" w:cstheme="minorEastAsia"/>
          <w:sz w:val="24"/>
        </w:rPr>
        <w:t>四、依法缴纳税收和社会保障资金的相关材料（提交投标文件截止时间前一年内至少一个月依法缴纳税收及缴纳社会保障资金的证明材料。投标人依法享受缓缴、免缴税收、社会保障资金的提供证明材料）</w:t>
      </w:r>
    </w:p>
    <w:p w14:paraId="01E230E9">
      <w:pPr>
        <w:widowControl/>
        <w:spacing w:line="560" w:lineRule="exact"/>
        <w:ind w:firstLine="561"/>
        <w:rPr>
          <w:rFonts w:asciiTheme="minorEastAsia" w:hAnsiTheme="minorEastAsia" w:cstheme="minorEastAsia"/>
          <w:sz w:val="24"/>
        </w:rPr>
      </w:pPr>
      <w:r>
        <w:rPr>
          <w:rFonts w:hint="eastAsia" w:asciiTheme="minorEastAsia" w:hAnsiTheme="minorEastAsia" w:cstheme="minorEastAsia"/>
          <w:sz w:val="24"/>
        </w:rPr>
        <w:t>五、参加政府采购活动前3年内在经营活动中没有重大违法记录的书面声明</w:t>
      </w:r>
    </w:p>
    <w:p w14:paraId="71C6D055">
      <w:pPr>
        <w:widowControl/>
        <w:spacing w:line="560" w:lineRule="exact"/>
        <w:ind w:firstLine="561"/>
        <w:rPr>
          <w:rFonts w:asciiTheme="minorEastAsia" w:hAnsiTheme="minorEastAsia" w:cstheme="minorEastAsia"/>
          <w:sz w:val="24"/>
        </w:rPr>
      </w:pPr>
      <w:r>
        <w:rPr>
          <w:rFonts w:hint="eastAsia" w:asciiTheme="minorEastAsia" w:hAnsiTheme="minorEastAsia" w:cstheme="minorEastAsia"/>
          <w:sz w:val="24"/>
        </w:rPr>
        <w:t>六、特定资格要求的证明文件（如果本项目设置特定资格要求，则需要提供）</w:t>
      </w:r>
    </w:p>
    <w:p w14:paraId="7613FDA6">
      <w:pPr>
        <w:widowControl/>
        <w:spacing w:line="560" w:lineRule="exact"/>
        <w:ind w:firstLine="561"/>
        <w:rPr>
          <w:rFonts w:asciiTheme="minorEastAsia" w:hAnsiTheme="minorEastAsia" w:cstheme="minorEastAsia"/>
          <w:sz w:val="24"/>
        </w:rPr>
      </w:pPr>
      <w:r>
        <w:rPr>
          <w:rFonts w:hint="eastAsia" w:asciiTheme="minorEastAsia" w:hAnsiTheme="minorEastAsia" w:cstheme="minorEastAsia"/>
          <w:sz w:val="24"/>
        </w:rPr>
        <w:t>七、法人授权书</w:t>
      </w:r>
    </w:p>
    <w:p w14:paraId="3CF4511B">
      <w:pPr>
        <w:widowControl/>
        <w:spacing w:line="560" w:lineRule="exact"/>
        <w:ind w:firstLine="561"/>
        <w:rPr>
          <w:rFonts w:asciiTheme="minorEastAsia" w:hAnsiTheme="minorEastAsia" w:cstheme="minorEastAsia"/>
          <w:sz w:val="24"/>
        </w:rPr>
      </w:pPr>
      <w:r>
        <w:rPr>
          <w:rFonts w:hint="eastAsia" w:asciiTheme="minorEastAsia" w:hAnsiTheme="minorEastAsia" w:cstheme="minorEastAsia"/>
          <w:sz w:val="24"/>
        </w:rPr>
        <w:t>八、投标函</w:t>
      </w:r>
    </w:p>
    <w:p w14:paraId="1742FADD">
      <w:pPr>
        <w:widowControl/>
        <w:spacing w:line="560" w:lineRule="exact"/>
        <w:ind w:firstLine="561"/>
        <w:rPr>
          <w:rFonts w:asciiTheme="minorEastAsia" w:hAnsiTheme="minorEastAsia" w:cstheme="minorEastAsia"/>
          <w:sz w:val="24"/>
        </w:rPr>
      </w:pPr>
      <w:r>
        <w:rPr>
          <w:rFonts w:hint="eastAsia" w:asciiTheme="minorEastAsia" w:hAnsiTheme="minorEastAsia" w:cstheme="minorEastAsia"/>
          <w:sz w:val="24"/>
        </w:rPr>
        <w:t>九、中小企业声明函</w:t>
      </w:r>
    </w:p>
    <w:p w14:paraId="5E59252F">
      <w:pPr>
        <w:widowControl/>
        <w:spacing w:line="560" w:lineRule="exact"/>
        <w:ind w:firstLine="561"/>
        <w:rPr>
          <w:rFonts w:asciiTheme="minorEastAsia" w:hAnsiTheme="minorEastAsia" w:cstheme="minorEastAsia"/>
          <w:sz w:val="24"/>
        </w:rPr>
      </w:pPr>
      <w:r>
        <w:rPr>
          <w:rFonts w:hint="eastAsia" w:asciiTheme="minorEastAsia" w:hAnsiTheme="minorEastAsia" w:cstheme="minorEastAsia"/>
          <w:sz w:val="24"/>
        </w:rPr>
        <w:t>十、残疾人福利性单位声明函</w:t>
      </w:r>
    </w:p>
    <w:p w14:paraId="683B3C59">
      <w:pPr>
        <w:widowControl/>
        <w:spacing w:line="560" w:lineRule="exact"/>
        <w:ind w:firstLine="561"/>
        <w:rPr>
          <w:rFonts w:asciiTheme="minorEastAsia" w:hAnsiTheme="minorEastAsia" w:cstheme="minorEastAsia"/>
          <w:sz w:val="24"/>
        </w:rPr>
      </w:pPr>
      <w:r>
        <w:rPr>
          <w:rFonts w:hint="eastAsia" w:asciiTheme="minorEastAsia" w:hAnsiTheme="minorEastAsia" w:cstheme="minorEastAsia"/>
          <w:sz w:val="24"/>
        </w:rPr>
        <w:t>十一、关于符合本国产品标准的声明函</w:t>
      </w:r>
    </w:p>
    <w:p w14:paraId="5405A93E">
      <w:pPr>
        <w:widowControl/>
        <w:spacing w:line="560" w:lineRule="exact"/>
        <w:ind w:firstLine="561"/>
        <w:rPr>
          <w:rFonts w:asciiTheme="minorEastAsia" w:hAnsiTheme="minorEastAsia" w:cstheme="minorEastAsia"/>
          <w:sz w:val="24"/>
        </w:rPr>
      </w:pPr>
      <w:r>
        <w:rPr>
          <w:rFonts w:hint="eastAsia" w:asciiTheme="minorEastAsia" w:hAnsiTheme="minorEastAsia" w:cstheme="minorEastAsia"/>
          <w:sz w:val="24"/>
        </w:rPr>
        <w:t>十二、投标分项报价表</w:t>
      </w:r>
    </w:p>
    <w:p w14:paraId="49061493">
      <w:pPr>
        <w:widowControl/>
        <w:spacing w:line="560" w:lineRule="exact"/>
        <w:ind w:firstLine="561"/>
        <w:rPr>
          <w:rFonts w:asciiTheme="minorEastAsia" w:hAnsiTheme="minorEastAsia" w:cstheme="minorEastAsia"/>
          <w:sz w:val="24"/>
        </w:rPr>
      </w:pPr>
      <w:r>
        <w:rPr>
          <w:rFonts w:hint="eastAsia" w:asciiTheme="minorEastAsia" w:hAnsiTheme="minorEastAsia" w:cstheme="minorEastAsia"/>
          <w:sz w:val="24"/>
        </w:rPr>
        <w:t>十三、技术要求响应及偏离表</w:t>
      </w:r>
    </w:p>
    <w:p w14:paraId="69F838E4">
      <w:pPr>
        <w:widowControl/>
        <w:spacing w:line="560" w:lineRule="exact"/>
        <w:ind w:firstLine="561"/>
        <w:rPr>
          <w:rFonts w:asciiTheme="minorEastAsia" w:hAnsiTheme="minorEastAsia" w:cstheme="minorEastAsia"/>
          <w:sz w:val="24"/>
        </w:rPr>
      </w:pPr>
      <w:r>
        <w:rPr>
          <w:rFonts w:hint="eastAsia" w:asciiTheme="minorEastAsia" w:hAnsiTheme="minorEastAsia" w:cstheme="minorEastAsia"/>
          <w:sz w:val="24"/>
        </w:rPr>
        <w:t>十四、商务要求响应及偏离表</w:t>
      </w:r>
    </w:p>
    <w:p w14:paraId="125E5D06">
      <w:pPr>
        <w:widowControl/>
        <w:spacing w:line="560" w:lineRule="exact"/>
        <w:ind w:firstLine="561"/>
        <w:rPr>
          <w:rFonts w:asciiTheme="minorEastAsia" w:hAnsiTheme="minorEastAsia" w:cstheme="minorEastAsia"/>
          <w:sz w:val="24"/>
        </w:rPr>
      </w:pPr>
      <w:r>
        <w:rPr>
          <w:rFonts w:hint="eastAsia" w:asciiTheme="minorEastAsia" w:hAnsiTheme="minorEastAsia" w:cstheme="minorEastAsia"/>
          <w:sz w:val="24"/>
        </w:rPr>
        <w:t>十五、开标一览表</w:t>
      </w:r>
    </w:p>
    <w:p w14:paraId="7478AB10">
      <w:pPr>
        <w:widowControl/>
        <w:spacing w:line="560" w:lineRule="exact"/>
        <w:ind w:firstLine="561"/>
        <w:rPr>
          <w:rFonts w:asciiTheme="minorEastAsia" w:hAnsiTheme="minorEastAsia" w:cstheme="minorEastAsia"/>
          <w:sz w:val="24"/>
        </w:rPr>
      </w:pPr>
      <w:r>
        <w:rPr>
          <w:rFonts w:hint="eastAsia" w:asciiTheme="minorEastAsia" w:hAnsiTheme="minorEastAsia" w:cstheme="minorEastAsia"/>
          <w:sz w:val="24"/>
        </w:rPr>
        <w:t>十六、</w:t>
      </w:r>
      <w:r>
        <w:rPr>
          <w:rFonts w:hint="eastAsia" w:ascii="宋体" w:hAnsi="宋体" w:eastAsia="宋体" w:cs="宋体"/>
          <w:sz w:val="24"/>
        </w:rPr>
        <w:t>技术方案、服务承诺、培训承诺等</w:t>
      </w:r>
    </w:p>
    <w:p w14:paraId="5D44C91B">
      <w:pPr>
        <w:widowControl/>
        <w:spacing w:line="560" w:lineRule="exact"/>
        <w:ind w:firstLine="561"/>
        <w:rPr>
          <w:rFonts w:asciiTheme="minorEastAsia" w:hAnsiTheme="minorEastAsia" w:cstheme="minorEastAsia"/>
          <w:sz w:val="24"/>
        </w:rPr>
      </w:pPr>
      <w:r>
        <w:rPr>
          <w:rFonts w:hint="eastAsia" w:asciiTheme="minorEastAsia" w:hAnsiTheme="minorEastAsia" w:cstheme="minorEastAsia"/>
          <w:sz w:val="24"/>
        </w:rPr>
        <w:t>十七、盐城市政府</w:t>
      </w:r>
      <w:r>
        <w:rPr>
          <w:rFonts w:hint="eastAsia" w:ascii="宋体" w:hAnsi="宋体" w:eastAsia="宋体" w:cs="宋体"/>
          <w:sz w:val="24"/>
        </w:rPr>
        <w:t>采购</w:t>
      </w:r>
      <w:r>
        <w:rPr>
          <w:rFonts w:hint="eastAsia" w:asciiTheme="minorEastAsia" w:hAnsiTheme="minorEastAsia" w:cstheme="minorEastAsia"/>
          <w:sz w:val="24"/>
        </w:rPr>
        <w:t>事前信用承诺书</w:t>
      </w:r>
    </w:p>
    <w:p w14:paraId="0BD98DD9">
      <w:pPr>
        <w:rPr>
          <w:rFonts w:asciiTheme="minorEastAsia" w:hAnsiTheme="minorEastAsia" w:cstheme="minorEastAsia"/>
          <w:sz w:val="24"/>
        </w:rPr>
      </w:pPr>
      <w:r>
        <w:rPr>
          <w:rFonts w:hint="eastAsia" w:asciiTheme="minorEastAsia" w:hAnsiTheme="minorEastAsia" w:cstheme="minorEastAsia"/>
          <w:sz w:val="24"/>
        </w:rPr>
        <w:br w:type="page" w:clear="all"/>
      </w:r>
    </w:p>
    <w:p w14:paraId="1EE820EA">
      <w:pPr>
        <w:pStyle w:val="267"/>
        <w:spacing w:beforeAutospacing="0" w:afterAutospacing="0" w:line="400" w:lineRule="exact"/>
        <w:jc w:val="center"/>
        <w:outlineLvl w:val="1"/>
        <w:rPr>
          <w:rFonts w:ascii="黑体" w:hAnsi="黑体" w:eastAsia="黑体" w:cs="黑体"/>
          <w:i/>
          <w:color w:val="auto"/>
          <w:sz w:val="32"/>
          <w:szCs w:val="32"/>
          <w:u w:val="single"/>
        </w:rPr>
      </w:pPr>
      <w:r>
        <w:rPr>
          <w:rFonts w:hint="eastAsia" w:ascii="黑体" w:hAnsi="黑体" w:eastAsia="黑体" w:cs="黑体"/>
          <w:i/>
          <w:color w:val="auto"/>
          <w:sz w:val="32"/>
          <w:szCs w:val="32"/>
          <w:u w:val="single"/>
        </w:rPr>
        <w:t>一、法人或者其他组织的营业执照等证明文件，自然人的   身份证明</w:t>
      </w:r>
    </w:p>
    <w:p w14:paraId="3D4041C9">
      <w:pPr>
        <w:widowControl/>
        <w:spacing w:before="120"/>
        <w:rPr>
          <w:rFonts w:asciiTheme="minorEastAsia" w:hAnsiTheme="minorEastAsia" w:cstheme="minorEastAsia"/>
          <w:b/>
          <w:bCs/>
          <w:sz w:val="32"/>
          <w:szCs w:val="32"/>
        </w:rPr>
      </w:pPr>
    </w:p>
    <w:p w14:paraId="597B1451">
      <w:pPr>
        <w:widowControl/>
        <w:jc w:val="left"/>
        <w:rPr>
          <w:rFonts w:ascii="微软雅黑" w:hAnsi="宋体" w:eastAsia="微软雅黑" w:cs="黑体"/>
          <w:iCs/>
          <w:sz w:val="30"/>
          <w:szCs w:val="30"/>
        </w:rPr>
      </w:pPr>
      <w:r>
        <w:rPr>
          <w:rFonts w:ascii="微软雅黑" w:hAnsi="宋体" w:eastAsia="微软雅黑" w:cs="黑体"/>
          <w:iCs/>
          <w:sz w:val="30"/>
          <w:szCs w:val="30"/>
        </w:rPr>
        <w:br w:type="page" w:clear="all"/>
      </w:r>
    </w:p>
    <w:p w14:paraId="79304A26">
      <w:pPr>
        <w:widowControl/>
        <w:spacing w:before="120" w:line="360" w:lineRule="auto"/>
        <w:jc w:val="center"/>
        <w:rPr>
          <w:rFonts w:ascii="黑体" w:hAnsi="黑体" w:eastAsia="黑体" w:cs="黑体"/>
          <w:i/>
          <w:sz w:val="32"/>
          <w:szCs w:val="32"/>
          <w:u w:val="single"/>
        </w:rPr>
      </w:pPr>
      <w:r>
        <w:rPr>
          <w:rFonts w:hint="eastAsia" w:ascii="黑体" w:hAnsi="黑体" w:eastAsia="黑体" w:cs="黑体"/>
          <w:i/>
          <w:sz w:val="32"/>
          <w:szCs w:val="32"/>
          <w:u w:val="single"/>
        </w:rPr>
        <w:t>二、上一年度的财务状况报告</w:t>
      </w:r>
    </w:p>
    <w:p w14:paraId="37645731">
      <w:pPr>
        <w:widowControl/>
        <w:tabs>
          <w:tab w:val="left" w:pos="1331"/>
        </w:tabs>
        <w:spacing w:line="360" w:lineRule="auto"/>
        <w:jc w:val="center"/>
        <w:rPr>
          <w:rFonts w:ascii="宋体" w:hAnsi="宋体" w:eastAsia="宋体" w:cs="宋体"/>
          <w:iCs/>
          <w:sz w:val="24"/>
        </w:rPr>
      </w:pPr>
      <w:r>
        <w:rPr>
          <w:rFonts w:hint="eastAsia" w:ascii="宋体" w:hAnsi="宋体" w:eastAsia="宋体" w:cs="宋体"/>
          <w:iCs/>
          <w:sz w:val="24"/>
        </w:rPr>
        <w:t>（至少提供资产负债表、利润表、现金流量表，投标人成立不满一年无需提供）</w:t>
      </w:r>
    </w:p>
    <w:p w14:paraId="06072CF0">
      <w:pPr>
        <w:pStyle w:val="36"/>
        <w:widowControl/>
        <w:spacing w:line="360" w:lineRule="auto"/>
        <w:jc w:val="both"/>
        <w:rPr>
          <w:rFonts w:ascii="宋体" w:hAnsi="宋体" w:eastAsia="宋体" w:cs="宋体"/>
        </w:rPr>
      </w:pPr>
    </w:p>
    <w:p w14:paraId="7390CE50">
      <w:pPr>
        <w:widowControl/>
        <w:jc w:val="left"/>
        <w:rPr>
          <w:rFonts w:ascii="微软雅黑" w:hAnsi="宋体" w:eastAsia="微软雅黑" w:cs="黑体"/>
          <w:iCs/>
          <w:sz w:val="30"/>
          <w:szCs w:val="30"/>
        </w:rPr>
      </w:pPr>
      <w:r>
        <w:rPr>
          <w:rFonts w:ascii="微软雅黑" w:hAnsi="宋体" w:eastAsia="微软雅黑" w:cs="黑体"/>
          <w:iCs/>
          <w:sz w:val="30"/>
          <w:szCs w:val="30"/>
        </w:rPr>
        <w:br w:type="page" w:clear="all"/>
      </w:r>
    </w:p>
    <w:p w14:paraId="56F609D7">
      <w:pPr>
        <w:widowControl/>
        <w:spacing w:before="120"/>
        <w:jc w:val="center"/>
        <w:rPr>
          <w:rFonts w:ascii="黑体" w:hAnsi="黑体" w:eastAsia="黑体" w:cs="黑体"/>
          <w:i/>
          <w:sz w:val="32"/>
          <w:szCs w:val="32"/>
          <w:u w:val="single"/>
        </w:rPr>
      </w:pPr>
      <w:r>
        <w:rPr>
          <w:rFonts w:hint="eastAsia" w:ascii="黑体" w:hAnsi="黑体" w:eastAsia="黑体" w:cs="黑体"/>
          <w:i/>
          <w:sz w:val="32"/>
          <w:szCs w:val="32"/>
          <w:u w:val="single"/>
        </w:rPr>
        <w:t>三、具备履行合同所必需的设备和专业技术能力的书面声明</w:t>
      </w:r>
    </w:p>
    <w:p w14:paraId="27B439B2">
      <w:pPr>
        <w:pStyle w:val="36"/>
        <w:widowControl/>
        <w:spacing w:line="560" w:lineRule="exact"/>
        <w:ind w:firstLine="480"/>
        <w:jc w:val="both"/>
        <w:rPr>
          <w:rFonts w:asciiTheme="minorEastAsia" w:hAnsiTheme="minorEastAsia" w:cstheme="minorEastAsia"/>
        </w:rPr>
      </w:pPr>
      <w:r>
        <w:rPr>
          <w:rFonts w:hint="eastAsia" w:asciiTheme="minorEastAsia" w:hAnsiTheme="minorEastAsia" w:cstheme="minorEastAsia"/>
        </w:rPr>
        <w:t>我单位郑重声明：我单位具备履行本项采购合同所必需的设备和专业技术能力，为履行本项采购合同我公司具备如下主要设备和主要专业技术能力：</w:t>
      </w:r>
    </w:p>
    <w:p w14:paraId="752C70F5">
      <w:pPr>
        <w:pStyle w:val="36"/>
        <w:widowControl/>
        <w:ind w:firstLine="480"/>
        <w:jc w:val="both"/>
        <w:rPr>
          <w:rFonts w:asciiTheme="minorEastAsia" w:hAnsiTheme="minorEastAsia" w:cstheme="minorEastAsia"/>
        </w:rPr>
      </w:pPr>
      <w:r>
        <w:rPr>
          <w:rFonts w:hint="eastAsia" w:asciiTheme="minorEastAsia" w:hAnsiTheme="minorEastAsia" w:cstheme="minorEastAsia"/>
        </w:rPr>
        <w:t>主要设备有：</w:t>
      </w:r>
      <w:r>
        <w:rPr>
          <w:rFonts w:hint="eastAsia" w:asciiTheme="minorEastAsia" w:hAnsiTheme="minorEastAsia" w:cstheme="minorEastAsia"/>
          <w:u w:val="single"/>
        </w:rPr>
        <w:t xml:space="preserve">              </w:t>
      </w:r>
      <w:r>
        <w:rPr>
          <w:rFonts w:hint="eastAsia" w:asciiTheme="minorEastAsia" w:hAnsiTheme="minorEastAsia" w:cstheme="minorEastAsia"/>
        </w:rPr>
        <w:t>。</w:t>
      </w:r>
    </w:p>
    <w:p w14:paraId="4769F550">
      <w:pPr>
        <w:pStyle w:val="36"/>
        <w:widowControl/>
        <w:ind w:firstLine="480"/>
        <w:jc w:val="both"/>
        <w:rPr>
          <w:rFonts w:ascii="微软雅黑" w:hAnsi="宋体" w:eastAsia="微软雅黑" w:cs="宋体"/>
          <w:iCs/>
        </w:rPr>
      </w:pPr>
      <w:r>
        <w:rPr>
          <w:rFonts w:hint="eastAsia" w:asciiTheme="minorEastAsia" w:hAnsiTheme="minorEastAsia" w:cstheme="minorEastAsia"/>
        </w:rPr>
        <w:t>主要专业技术能力有：</w:t>
      </w:r>
      <w:r>
        <w:rPr>
          <w:rFonts w:hint="eastAsia" w:asciiTheme="minorEastAsia" w:hAnsiTheme="minorEastAsia" w:cstheme="minorEastAsia"/>
          <w:u w:val="single"/>
        </w:rPr>
        <w:t xml:space="preserve">     </w:t>
      </w:r>
      <w:r>
        <w:rPr>
          <w:rFonts w:hint="eastAsia" w:asciiTheme="minorEastAsia" w:hAnsiTheme="minorEastAsia" w:cstheme="minorEastAsia"/>
        </w:rPr>
        <w:t>。</w:t>
      </w:r>
    </w:p>
    <w:p w14:paraId="21C96B10">
      <w:pPr>
        <w:widowControl/>
        <w:jc w:val="left"/>
        <w:rPr>
          <w:rFonts w:ascii="微软雅黑" w:hAnsi="宋体" w:eastAsia="微软雅黑" w:cs="黑体"/>
          <w:iCs/>
          <w:sz w:val="30"/>
          <w:szCs w:val="30"/>
        </w:rPr>
      </w:pPr>
      <w:r>
        <w:rPr>
          <w:rFonts w:ascii="微软雅黑" w:hAnsi="宋体" w:eastAsia="微软雅黑" w:cs="黑体"/>
          <w:iCs/>
          <w:sz w:val="30"/>
          <w:szCs w:val="30"/>
        </w:rPr>
        <w:br w:type="page" w:clear="all"/>
      </w:r>
    </w:p>
    <w:p w14:paraId="068ABDD5">
      <w:pPr>
        <w:widowControl/>
        <w:spacing w:before="120"/>
        <w:jc w:val="center"/>
        <w:rPr>
          <w:rFonts w:ascii="黑体" w:hAnsi="黑体" w:eastAsia="黑体" w:cs="黑体"/>
          <w:i/>
          <w:sz w:val="32"/>
          <w:szCs w:val="32"/>
          <w:u w:val="single"/>
        </w:rPr>
      </w:pPr>
      <w:r>
        <w:rPr>
          <w:rFonts w:hint="eastAsia" w:ascii="黑体" w:hAnsi="黑体" w:eastAsia="黑体" w:cs="黑体"/>
          <w:i/>
          <w:sz w:val="32"/>
          <w:szCs w:val="32"/>
          <w:u w:val="single"/>
        </w:rPr>
        <w:t>四、依法缴纳税收和社会保障资金的相关材料</w:t>
      </w:r>
    </w:p>
    <w:p w14:paraId="7AF88BA3">
      <w:pPr>
        <w:pStyle w:val="36"/>
        <w:widowControl/>
        <w:spacing w:beforeAutospacing="0" w:afterAutospacing="0" w:line="500" w:lineRule="exact"/>
        <w:ind w:firstLine="480"/>
        <w:jc w:val="both"/>
        <w:rPr>
          <w:rFonts w:ascii="宋体" w:hAnsi="宋体" w:eastAsia="宋体" w:cs="宋体"/>
        </w:rPr>
      </w:pPr>
      <w:r>
        <w:rPr>
          <w:rFonts w:hint="eastAsia" w:asciiTheme="minorEastAsia" w:hAnsiTheme="minorEastAsia" w:cstheme="minorEastAsia"/>
        </w:rPr>
        <w:t>提供提交响应文件截止时间前一年内至少一个月依法缴纳税收及缴纳社会保障资金的证明材料。供应商依法享受缓缴、免缴税收、社会保障资金的提供证明材料。</w:t>
      </w:r>
    </w:p>
    <w:p w14:paraId="724AF890">
      <w:pPr>
        <w:widowControl/>
        <w:spacing w:line="500" w:lineRule="exact"/>
        <w:jc w:val="left"/>
        <w:rPr>
          <w:rFonts w:ascii="微软雅黑" w:hAnsi="宋体" w:eastAsia="微软雅黑" w:cs="黑体"/>
          <w:iCs/>
          <w:sz w:val="30"/>
          <w:szCs w:val="30"/>
        </w:rPr>
      </w:pPr>
      <w:r>
        <w:rPr>
          <w:rFonts w:ascii="微软雅黑" w:hAnsi="宋体" w:eastAsia="微软雅黑" w:cs="黑体"/>
          <w:iCs/>
          <w:sz w:val="30"/>
          <w:szCs w:val="30"/>
        </w:rPr>
        <w:br w:type="page" w:clear="all"/>
      </w:r>
    </w:p>
    <w:p w14:paraId="36F7ED69">
      <w:pPr>
        <w:widowControl/>
        <w:spacing w:before="120"/>
        <w:jc w:val="center"/>
        <w:rPr>
          <w:rFonts w:ascii="黑体" w:hAnsi="黑体" w:eastAsia="黑体" w:cs="黑体"/>
          <w:i/>
          <w:sz w:val="32"/>
          <w:szCs w:val="32"/>
          <w:u w:val="single"/>
        </w:rPr>
      </w:pPr>
      <w:r>
        <w:rPr>
          <w:rFonts w:hint="eastAsia" w:ascii="黑体" w:hAnsi="黑体" w:eastAsia="黑体" w:cs="黑体"/>
          <w:i/>
          <w:sz w:val="32"/>
          <w:szCs w:val="32"/>
          <w:u w:val="single"/>
        </w:rPr>
        <w:t>五、参加政府采购活动前3年内在经营活动中没有重大违法记录的书面声明</w:t>
      </w:r>
    </w:p>
    <w:p w14:paraId="0CA02671">
      <w:pPr>
        <w:pStyle w:val="36"/>
        <w:widowControl/>
        <w:spacing w:line="500" w:lineRule="exact"/>
        <w:jc w:val="center"/>
        <w:rPr>
          <w:rFonts w:asciiTheme="minorEastAsia" w:hAnsiTheme="minorEastAsia" w:cstheme="minorEastAsia"/>
          <w:b/>
        </w:rPr>
      </w:pPr>
      <w:r>
        <w:rPr>
          <w:rFonts w:hint="eastAsia" w:asciiTheme="minorEastAsia" w:hAnsiTheme="minorEastAsia" w:cstheme="minorEastAsia"/>
          <w:b/>
          <w:sz w:val="44"/>
          <w:szCs w:val="44"/>
        </w:rPr>
        <w:t>声  明</w:t>
      </w:r>
    </w:p>
    <w:p w14:paraId="7564BE6D">
      <w:pPr>
        <w:pStyle w:val="36"/>
        <w:widowControl/>
        <w:spacing w:line="500" w:lineRule="exact"/>
        <w:ind w:firstLine="480"/>
        <w:jc w:val="both"/>
        <w:rPr>
          <w:rFonts w:asciiTheme="minorEastAsia" w:hAnsiTheme="minorEastAsia" w:cstheme="minorEastAsia"/>
        </w:rPr>
      </w:pPr>
      <w:r>
        <w:rPr>
          <w:rFonts w:hint="eastAsia" w:asciiTheme="minorEastAsia" w:hAnsiTheme="minorEastAsia" w:cstheme="minorEastAsia"/>
        </w:rPr>
        <w:t>我单位郑重声明：参加本次政府采购活动前 3 年内，我单位在经营活动中没有因违法经营受到刑事处罚或者责令停产停业、吊销许可证或者执照、较大数额罚款等行政处罚。</w:t>
      </w:r>
    </w:p>
    <w:p w14:paraId="5412D351">
      <w:pPr>
        <w:pStyle w:val="36"/>
        <w:widowControl/>
        <w:spacing w:line="560" w:lineRule="exact"/>
        <w:jc w:val="both"/>
        <w:rPr>
          <w:rFonts w:asciiTheme="minorEastAsia" w:hAnsiTheme="minorEastAsia" w:cstheme="minorEastAsia"/>
        </w:rPr>
      </w:pPr>
    </w:p>
    <w:p w14:paraId="2BACA2E8">
      <w:pPr>
        <w:widowControl/>
        <w:jc w:val="left"/>
        <w:rPr>
          <w:rFonts w:ascii="微软雅黑" w:hAnsi="宋体" w:eastAsia="微软雅黑" w:cs="黑体"/>
          <w:iCs/>
          <w:sz w:val="30"/>
          <w:szCs w:val="30"/>
        </w:rPr>
      </w:pPr>
      <w:r>
        <w:rPr>
          <w:rFonts w:ascii="微软雅黑" w:hAnsi="宋体" w:eastAsia="微软雅黑" w:cs="黑体"/>
          <w:iCs/>
          <w:sz w:val="30"/>
          <w:szCs w:val="30"/>
        </w:rPr>
        <w:br w:type="page" w:clear="all"/>
      </w:r>
    </w:p>
    <w:p w14:paraId="160C07ED">
      <w:pPr>
        <w:widowControl/>
        <w:spacing w:before="120" w:line="360" w:lineRule="exact"/>
        <w:jc w:val="center"/>
        <w:rPr>
          <w:rFonts w:ascii="黑体" w:hAnsi="黑体" w:eastAsia="黑体" w:cs="黑体"/>
          <w:i/>
          <w:sz w:val="32"/>
          <w:szCs w:val="32"/>
          <w:u w:val="single"/>
        </w:rPr>
      </w:pPr>
      <w:r>
        <w:rPr>
          <w:rFonts w:hint="eastAsia" w:ascii="黑体" w:hAnsi="黑体" w:eastAsia="黑体" w:cs="黑体"/>
          <w:i/>
          <w:sz w:val="32"/>
          <w:szCs w:val="32"/>
          <w:u w:val="single"/>
        </w:rPr>
        <w:t>六、特定资格要求的证明文件</w:t>
      </w:r>
    </w:p>
    <w:p w14:paraId="1BD12F00">
      <w:pPr>
        <w:pStyle w:val="36"/>
        <w:widowControl/>
        <w:spacing w:afterAutospacing="0" w:line="360" w:lineRule="exact"/>
        <w:jc w:val="center"/>
        <w:rPr>
          <w:rFonts w:ascii="宋体" w:hAnsi="宋体" w:eastAsia="宋体" w:cs="宋体"/>
        </w:rPr>
      </w:pPr>
      <w:r>
        <w:rPr>
          <w:rFonts w:hint="eastAsia" w:ascii="宋体" w:hAnsi="宋体" w:eastAsia="宋体" w:cs="宋体"/>
        </w:rPr>
        <w:t>如果本项目申请人的特定资格要求中要求提供的，必须提供。</w:t>
      </w:r>
    </w:p>
    <w:p w14:paraId="3DD046DD">
      <w:pPr>
        <w:widowControl/>
        <w:jc w:val="left"/>
        <w:rPr>
          <w:rFonts w:cs="Times New Roman" w:asciiTheme="minorEastAsia" w:hAnsiTheme="minorEastAsia"/>
          <w:sz w:val="32"/>
          <w:szCs w:val="32"/>
        </w:rPr>
      </w:pPr>
      <w:r>
        <w:rPr>
          <w:rFonts w:asciiTheme="minorEastAsia" w:hAnsiTheme="minorEastAsia"/>
        </w:rPr>
        <w:br w:type="page" w:clear="all"/>
      </w:r>
    </w:p>
    <w:p w14:paraId="4B3932C4">
      <w:pPr>
        <w:widowControl/>
        <w:spacing w:before="120"/>
        <w:jc w:val="center"/>
        <w:rPr>
          <w:rFonts w:ascii="黑体" w:hAnsi="黑体" w:eastAsia="黑体" w:cs="黑体"/>
          <w:i/>
          <w:sz w:val="32"/>
          <w:szCs w:val="32"/>
          <w:u w:val="single"/>
        </w:rPr>
      </w:pPr>
      <w:r>
        <w:rPr>
          <w:rFonts w:hint="eastAsia" w:ascii="黑体" w:hAnsi="黑体" w:eastAsia="黑体" w:cs="黑体"/>
          <w:i/>
          <w:sz w:val="32"/>
          <w:szCs w:val="32"/>
          <w:u w:val="single"/>
        </w:rPr>
        <w:t>七、法人授权书</w:t>
      </w:r>
    </w:p>
    <w:p w14:paraId="1E94B8FA">
      <w:pPr>
        <w:pStyle w:val="36"/>
        <w:widowControl/>
        <w:spacing w:line="560" w:lineRule="exact"/>
        <w:ind w:firstLine="480"/>
        <w:jc w:val="both"/>
        <w:rPr>
          <w:rFonts w:asciiTheme="minorEastAsia" w:hAnsiTheme="minorEastAsia" w:cstheme="minorEastAsia"/>
        </w:rPr>
      </w:pPr>
      <w:r>
        <w:rPr>
          <w:rFonts w:hint="eastAsia" w:asciiTheme="minorEastAsia" w:hAnsiTheme="minorEastAsia" w:cstheme="minorEastAsia"/>
        </w:rPr>
        <w:t>本授权书声明：</w:t>
      </w:r>
      <w:r>
        <w:rPr>
          <w:rFonts w:hint="eastAsia" w:asciiTheme="minorEastAsia" w:hAnsiTheme="minorEastAsia" w:cstheme="minorEastAsia"/>
          <w:u w:val="single"/>
        </w:rPr>
        <w:t xml:space="preserve">               </w:t>
      </w:r>
      <w:r>
        <w:rPr>
          <w:rFonts w:hint="eastAsia" w:asciiTheme="minorEastAsia" w:hAnsiTheme="minorEastAsia" w:cstheme="minorEastAsia"/>
        </w:rPr>
        <w:t>（供应商名称）授权</w:t>
      </w:r>
      <w:r>
        <w:rPr>
          <w:rFonts w:hint="eastAsia" w:asciiTheme="minorEastAsia" w:hAnsiTheme="minorEastAsia" w:cstheme="minorEastAsia"/>
          <w:u w:val="single"/>
        </w:rPr>
        <w:t xml:space="preserve">            </w:t>
      </w:r>
      <w:r>
        <w:rPr>
          <w:rFonts w:hint="eastAsia" w:asciiTheme="minorEastAsia" w:hAnsiTheme="minorEastAsia" w:cstheme="minorEastAsia"/>
        </w:rPr>
        <w:t>（被授权人的姓名）为我方就</w:t>
      </w:r>
      <w:r>
        <w:rPr>
          <w:rFonts w:hint="eastAsia" w:asciiTheme="minorEastAsia" w:hAnsiTheme="minorEastAsia" w:cstheme="minorEastAsia"/>
          <w:u w:val="single"/>
        </w:rPr>
        <w:t>JSZC-320900-JZCG-G2026-0051</w:t>
      </w:r>
      <w:r>
        <w:rPr>
          <w:rFonts w:hint="eastAsia" w:asciiTheme="minorEastAsia" w:hAnsiTheme="minorEastAsia" w:cstheme="minorEastAsia"/>
        </w:rPr>
        <w:t>号</w:t>
      </w:r>
      <w:r>
        <w:rPr>
          <w:rFonts w:hint="eastAsia" w:asciiTheme="minorEastAsia" w:hAnsiTheme="minorEastAsia" w:cstheme="minorEastAsia"/>
          <w:u w:val="single"/>
        </w:rPr>
        <w:t>盐城市市直部分学校智慧体育设施采购项目</w:t>
      </w:r>
      <w:r>
        <w:rPr>
          <w:rFonts w:hint="eastAsia" w:asciiTheme="minorEastAsia" w:hAnsiTheme="minorEastAsia" w:cstheme="minorEastAsia"/>
        </w:rPr>
        <w:t>采购活动的合法代理人，以本单位名义全权处理一切与该项目采购有关的事务。</w:t>
      </w:r>
    </w:p>
    <w:p w14:paraId="10702EA8">
      <w:pPr>
        <w:pStyle w:val="36"/>
        <w:widowControl/>
        <w:spacing w:line="400" w:lineRule="exact"/>
        <w:ind w:firstLine="480"/>
        <w:jc w:val="both"/>
        <w:rPr>
          <w:rFonts w:asciiTheme="minorEastAsia" w:hAnsiTheme="minorEastAsia" w:cstheme="minorEastAsia"/>
        </w:rPr>
      </w:pPr>
      <w:r>
        <w:rPr>
          <w:rFonts w:hint="eastAsia" w:asciiTheme="minorEastAsia" w:hAnsiTheme="minorEastAsia" w:cstheme="minorEastAsia"/>
        </w:rPr>
        <w:t>本授权书于</w:t>
      </w:r>
      <w:r>
        <w:rPr>
          <w:rFonts w:hint="eastAsia" w:asciiTheme="minorEastAsia" w:hAnsiTheme="minorEastAsia" w:cstheme="minorEastAsia"/>
          <w:u w:val="single"/>
        </w:rPr>
        <w:t xml:space="preserve">       </w:t>
      </w:r>
      <w:r>
        <w:rPr>
          <w:rFonts w:hint="eastAsia" w:asciiTheme="minorEastAsia" w:hAnsiTheme="minorEastAsia" w:cstheme="minorEastAsia"/>
        </w:rPr>
        <w:t>年</w:t>
      </w:r>
      <w:r>
        <w:rPr>
          <w:rFonts w:hint="eastAsia" w:asciiTheme="minorEastAsia" w:hAnsiTheme="minorEastAsia" w:cstheme="minorEastAsia"/>
          <w:u w:val="single"/>
        </w:rPr>
        <w:t xml:space="preserve">     </w:t>
      </w:r>
      <w:r>
        <w:rPr>
          <w:rFonts w:hint="eastAsia" w:asciiTheme="minorEastAsia" w:hAnsiTheme="minorEastAsia" w:cstheme="minorEastAsia"/>
        </w:rPr>
        <w:t>月</w:t>
      </w:r>
      <w:r>
        <w:rPr>
          <w:rFonts w:hint="eastAsia" w:asciiTheme="minorEastAsia" w:hAnsiTheme="minorEastAsia" w:cstheme="minorEastAsia"/>
          <w:u w:val="single"/>
        </w:rPr>
        <w:t xml:space="preserve">     </w:t>
      </w:r>
      <w:r>
        <w:rPr>
          <w:rFonts w:hint="eastAsia" w:asciiTheme="minorEastAsia" w:hAnsiTheme="minorEastAsia" w:cstheme="minorEastAsia"/>
        </w:rPr>
        <w:t>日起生效，特此声明。</w:t>
      </w:r>
    </w:p>
    <w:p w14:paraId="2CD1712B">
      <w:pPr>
        <w:pStyle w:val="36"/>
        <w:widowControl/>
        <w:tabs>
          <w:tab w:val="left" w:pos="360"/>
        </w:tabs>
        <w:spacing w:line="400" w:lineRule="exact"/>
        <w:ind w:firstLine="480"/>
        <w:jc w:val="both"/>
        <w:rPr>
          <w:rFonts w:asciiTheme="minorEastAsia" w:hAnsiTheme="minorEastAsia" w:cstheme="minorEastAsia"/>
        </w:rPr>
      </w:pPr>
      <w:r>
        <w:rPr>
          <w:rFonts w:hint="eastAsia" w:asciiTheme="minorEastAsia" w:hAnsiTheme="minorEastAsia" w:cstheme="minorEastAsia"/>
        </w:rPr>
        <w:t>被授权人身份证号码：</w:t>
      </w:r>
      <w:r>
        <w:rPr>
          <w:rFonts w:hint="eastAsia" w:asciiTheme="minorEastAsia" w:hAnsiTheme="minorEastAsia" w:cstheme="minorEastAsia"/>
          <w:u w:val="single"/>
        </w:rPr>
        <w:t xml:space="preserve">                     </w:t>
      </w:r>
    </w:p>
    <w:p w14:paraId="3D483E4D">
      <w:pPr>
        <w:pStyle w:val="36"/>
        <w:widowControl/>
        <w:tabs>
          <w:tab w:val="left" w:pos="360"/>
        </w:tabs>
        <w:spacing w:line="400" w:lineRule="exact"/>
        <w:ind w:firstLine="480"/>
        <w:jc w:val="both"/>
        <w:rPr>
          <w:rFonts w:asciiTheme="minorEastAsia" w:hAnsiTheme="minorEastAsia" w:cstheme="minorEastAsia"/>
        </w:rPr>
      </w:pPr>
      <w:r>
        <w:rPr>
          <w:rFonts w:hint="eastAsia" w:asciiTheme="minorEastAsia" w:hAnsiTheme="minorEastAsia" w:cstheme="minorEastAsia"/>
        </w:rPr>
        <w:t>被授权人联系电话：</w:t>
      </w:r>
      <w:r>
        <w:rPr>
          <w:rFonts w:hint="eastAsia" w:asciiTheme="minorEastAsia" w:hAnsiTheme="minorEastAsia" w:cstheme="minorEastAsia"/>
          <w:u w:val="single"/>
        </w:rPr>
        <w:t xml:space="preserve">（手机）               </w:t>
      </w:r>
    </w:p>
    <w:p w14:paraId="228FC4CA">
      <w:pPr>
        <w:pStyle w:val="36"/>
        <w:widowControl/>
        <w:tabs>
          <w:tab w:val="left" w:pos="360"/>
        </w:tabs>
        <w:spacing w:line="400" w:lineRule="exact"/>
        <w:ind w:firstLine="480"/>
        <w:jc w:val="both"/>
        <w:rPr>
          <w:rFonts w:asciiTheme="minorEastAsia" w:hAnsiTheme="minorEastAsia" w:cstheme="minorEastAsia"/>
        </w:rPr>
      </w:pPr>
      <w:r>
        <w:rPr>
          <w:rFonts w:hint="eastAsia" w:asciiTheme="minorEastAsia" w:hAnsiTheme="minorEastAsia" w:cstheme="minorEastAsia"/>
        </w:rPr>
        <w:t>授权单位名称：</w:t>
      </w:r>
      <w:r>
        <w:rPr>
          <w:rFonts w:hint="eastAsia" w:asciiTheme="minorEastAsia" w:hAnsiTheme="minorEastAsia" w:cstheme="minorEastAsia"/>
          <w:u w:val="single"/>
        </w:rPr>
        <w:t xml:space="preserve">    （加盖CA电子公章）         </w:t>
      </w:r>
    </w:p>
    <w:p w14:paraId="67988669">
      <w:pPr>
        <w:pStyle w:val="36"/>
        <w:widowControl/>
        <w:tabs>
          <w:tab w:val="left" w:pos="360"/>
        </w:tabs>
        <w:spacing w:line="400" w:lineRule="exact"/>
        <w:ind w:firstLine="480"/>
        <w:jc w:val="both"/>
        <w:rPr>
          <w:rFonts w:asciiTheme="minorEastAsia" w:hAnsiTheme="minorEastAsia" w:cstheme="minorEastAsia"/>
        </w:rPr>
      </w:pPr>
      <w:r>
        <w:rPr>
          <w:rFonts w:hint="eastAsia" w:asciiTheme="minorEastAsia" w:hAnsiTheme="minorEastAsia" w:cstheme="minorEastAsia"/>
        </w:rPr>
        <w:t>单位地址：</w:t>
      </w:r>
      <w:r>
        <w:rPr>
          <w:rFonts w:hint="eastAsia" w:asciiTheme="minorEastAsia" w:hAnsiTheme="minorEastAsia" w:cstheme="minorEastAsia"/>
          <w:u w:val="single"/>
        </w:rPr>
        <w:t xml:space="preserve">                               </w:t>
      </w:r>
    </w:p>
    <w:p w14:paraId="5E7C7E72">
      <w:pPr>
        <w:pStyle w:val="36"/>
        <w:widowControl/>
        <w:tabs>
          <w:tab w:val="left" w:pos="360"/>
        </w:tabs>
        <w:spacing w:line="400" w:lineRule="exact"/>
        <w:ind w:firstLine="480"/>
        <w:jc w:val="both"/>
        <w:rPr>
          <w:rFonts w:asciiTheme="minorEastAsia" w:hAnsiTheme="minorEastAsia" w:cstheme="minorEastAsia"/>
        </w:rPr>
      </w:pPr>
      <w:r>
        <w:rPr>
          <w:rFonts w:hint="eastAsia" w:asciiTheme="minorEastAsia" w:hAnsiTheme="minorEastAsia" w:cstheme="minorEastAsia"/>
        </w:rPr>
        <w:t>日    期：</w:t>
      </w:r>
      <w:r>
        <w:rPr>
          <w:rFonts w:hint="eastAsia" w:asciiTheme="minorEastAsia" w:hAnsiTheme="minorEastAsia" w:cstheme="minorEastAsia"/>
          <w:u w:val="single"/>
        </w:rPr>
        <w:t xml:space="preserve">                                   </w:t>
      </w:r>
    </w:p>
    <w:p w14:paraId="61B49190">
      <w:pPr>
        <w:widowControl/>
        <w:rPr>
          <w:rFonts w:ascii="微软雅黑" w:hAnsi="宋体" w:eastAsia="微软雅黑" w:cs="黑体"/>
          <w:iCs/>
          <w:sz w:val="30"/>
          <w:szCs w:val="30"/>
        </w:rPr>
      </w:pPr>
      <w:r>
        <w:rPr>
          <w:rFonts w:ascii="微软雅黑" w:hAnsi="宋体" w:eastAsia="微软雅黑" w:cs="黑体"/>
          <w:iCs/>
          <w:sz w:val="30"/>
          <w:szCs w:val="30"/>
        </w:rPr>
        <w:br w:type="page" w:clear="all"/>
      </w:r>
    </w:p>
    <w:p w14:paraId="0AE02FA6">
      <w:pPr>
        <w:widowControl/>
        <w:spacing w:before="120"/>
        <w:jc w:val="center"/>
        <w:rPr>
          <w:rFonts w:ascii="黑体" w:hAnsi="黑体" w:eastAsia="黑体" w:cs="黑体"/>
          <w:i/>
          <w:sz w:val="32"/>
          <w:szCs w:val="32"/>
          <w:u w:val="single"/>
        </w:rPr>
      </w:pPr>
      <w:r>
        <w:rPr>
          <w:rFonts w:hint="eastAsia" w:ascii="黑体" w:hAnsi="黑体" w:eastAsia="黑体" w:cs="黑体"/>
          <w:i/>
          <w:sz w:val="32"/>
          <w:szCs w:val="32"/>
          <w:u w:val="single"/>
        </w:rPr>
        <w:t>八、投标函</w:t>
      </w:r>
    </w:p>
    <w:p w14:paraId="0D44617F">
      <w:pPr>
        <w:widowControl/>
        <w:spacing w:line="500" w:lineRule="exact"/>
        <w:jc w:val="left"/>
        <w:rPr>
          <w:rFonts w:ascii="宋体" w:hAnsi="宋体" w:cs="宋体"/>
          <w:sz w:val="24"/>
        </w:rPr>
      </w:pPr>
      <w:r>
        <w:rPr>
          <w:rFonts w:hint="eastAsia" w:ascii="宋体" w:hAnsi="宋体" w:cs="宋体"/>
          <w:sz w:val="24"/>
        </w:rPr>
        <w:t>致：盐城市政府采购中心</w:t>
      </w:r>
    </w:p>
    <w:p w14:paraId="5B77C089">
      <w:pPr>
        <w:widowControl/>
        <w:spacing w:line="500" w:lineRule="exact"/>
        <w:ind w:firstLine="480"/>
        <w:jc w:val="left"/>
        <w:rPr>
          <w:rFonts w:ascii="宋体" w:hAnsi="宋体" w:cs="宋体"/>
          <w:sz w:val="24"/>
        </w:rPr>
      </w:pPr>
      <w:r>
        <w:rPr>
          <w:rFonts w:hint="eastAsia" w:ascii="宋体" w:hAnsi="宋体" w:cs="宋体"/>
          <w:sz w:val="24"/>
        </w:rPr>
        <w:t>根据贵方的</w:t>
      </w:r>
      <w:r>
        <w:rPr>
          <w:rFonts w:hint="eastAsia" w:ascii="宋体" w:hAnsi="宋体" w:cs="宋体"/>
          <w:sz w:val="24"/>
          <w:u w:val="single"/>
        </w:rPr>
        <w:t xml:space="preserve"> JSZC-320900-JZCG-G2026-0051</w:t>
      </w:r>
      <w:r>
        <w:rPr>
          <w:rFonts w:hint="eastAsia" w:ascii="宋体" w:hAnsi="宋体" w:cs="宋体"/>
          <w:sz w:val="24"/>
        </w:rPr>
        <w:t>号招标文件，正式授权下述签字人______(姓名)代表我方______________（投标人的名称），全权处理本次项目投标的有关事宜。</w:t>
      </w:r>
    </w:p>
    <w:p w14:paraId="6AF633CC">
      <w:pPr>
        <w:widowControl/>
        <w:spacing w:line="500" w:lineRule="exact"/>
        <w:ind w:firstLine="480"/>
        <w:jc w:val="left"/>
        <w:rPr>
          <w:rFonts w:ascii="宋体" w:hAnsi="宋体" w:cs="宋体"/>
          <w:sz w:val="24"/>
        </w:rPr>
      </w:pPr>
      <w:r>
        <w:rPr>
          <w:rFonts w:hint="eastAsia" w:ascii="宋体" w:hAnsi="宋体" w:cs="宋体"/>
          <w:sz w:val="24"/>
        </w:rPr>
        <w:t>据此函，__________签字人兹宣布同意如下：</w:t>
      </w:r>
    </w:p>
    <w:p w14:paraId="151E4E33">
      <w:pPr>
        <w:widowControl/>
        <w:spacing w:line="500" w:lineRule="exact"/>
        <w:ind w:firstLine="480"/>
        <w:rPr>
          <w:rFonts w:ascii="宋体" w:hAnsi="宋体" w:cs="宋体"/>
          <w:sz w:val="24"/>
        </w:rPr>
      </w:pPr>
      <w:r>
        <w:rPr>
          <w:rFonts w:hint="eastAsia" w:ascii="宋体" w:hAnsi="宋体" w:cs="宋体"/>
          <w:sz w:val="24"/>
        </w:rPr>
        <w:t>1.按招标文件规定的各项要求，向买方提供所需货物（包含与货物相关的服务）。</w:t>
      </w:r>
    </w:p>
    <w:p w14:paraId="2BE5E9FE">
      <w:pPr>
        <w:widowControl/>
        <w:spacing w:line="500" w:lineRule="exact"/>
        <w:ind w:firstLine="480"/>
        <w:rPr>
          <w:rFonts w:ascii="宋体" w:hAnsi="宋体" w:cs="宋体"/>
          <w:sz w:val="24"/>
        </w:rPr>
      </w:pPr>
      <w:r>
        <w:rPr>
          <w:rFonts w:hint="eastAsia" w:ascii="宋体" w:hAnsi="宋体" w:cs="宋体"/>
          <w:sz w:val="24"/>
        </w:rPr>
        <w:t>2.我们完全理解贵方不一定将合同授予最低报价的投标人。</w:t>
      </w:r>
    </w:p>
    <w:p w14:paraId="249E1C16">
      <w:pPr>
        <w:widowControl/>
        <w:spacing w:line="500" w:lineRule="exact"/>
        <w:ind w:firstLine="480"/>
        <w:rPr>
          <w:rFonts w:ascii="宋体" w:hAnsi="宋体" w:cs="宋体"/>
          <w:sz w:val="24"/>
        </w:rPr>
      </w:pPr>
      <w:r>
        <w:rPr>
          <w:rFonts w:hint="eastAsia" w:ascii="宋体" w:hAnsi="宋体" w:cs="宋体"/>
          <w:sz w:val="24"/>
        </w:rPr>
        <w:t>3.我们已详细审核全部招标文件及其有效补充文件，我们知道必须放弃提出含糊不清或误解问题的权利。</w:t>
      </w:r>
    </w:p>
    <w:p w14:paraId="4DA36CB9">
      <w:pPr>
        <w:widowControl/>
        <w:spacing w:line="500" w:lineRule="exact"/>
        <w:ind w:firstLine="480"/>
        <w:rPr>
          <w:rFonts w:ascii="宋体" w:hAnsi="宋体" w:cs="宋体"/>
          <w:sz w:val="24"/>
        </w:rPr>
      </w:pPr>
      <w:r>
        <w:rPr>
          <w:rFonts w:hint="eastAsia" w:ascii="宋体" w:hAnsi="宋体" w:cs="宋体"/>
          <w:sz w:val="24"/>
        </w:rPr>
        <w:t>4.我们同意从规定的开标日期起遵循本投标文件，并在规定的投标有效期期满之前均具有约束力。</w:t>
      </w:r>
    </w:p>
    <w:p w14:paraId="78E87AED">
      <w:pPr>
        <w:widowControl/>
        <w:spacing w:line="500" w:lineRule="exact"/>
        <w:ind w:firstLine="480"/>
        <w:rPr>
          <w:rFonts w:ascii="宋体" w:hAnsi="宋体" w:cs="宋体"/>
          <w:sz w:val="24"/>
        </w:rPr>
      </w:pPr>
      <w:r>
        <w:rPr>
          <w:rFonts w:hint="eastAsia" w:ascii="宋体" w:hAnsi="宋体" w:cs="宋体"/>
          <w:sz w:val="24"/>
        </w:rPr>
        <w:t>5.同意向贵方提供贵方可能另外要求的与投标有关的任何证据或资料，并保证我方已提供和将要提供的文件是真实的、准确的。</w:t>
      </w:r>
    </w:p>
    <w:p w14:paraId="5218AA95">
      <w:pPr>
        <w:widowControl/>
        <w:spacing w:line="500" w:lineRule="exact"/>
        <w:ind w:firstLine="480"/>
        <w:rPr>
          <w:rFonts w:ascii="宋体" w:hAnsi="宋体" w:cs="宋体"/>
          <w:sz w:val="24"/>
        </w:rPr>
      </w:pPr>
      <w:r>
        <w:rPr>
          <w:rFonts w:hint="eastAsia" w:ascii="宋体" w:hAnsi="宋体" w:cs="宋体"/>
          <w:sz w:val="24"/>
        </w:rPr>
        <w:t>6.一旦我方中标，我方将根据招标文件的规定，严格履行合同的责任和义务，并保证在招标文件规定的时间内完成项目，交付买方验收、使用。</w:t>
      </w:r>
    </w:p>
    <w:p w14:paraId="2E5736E2">
      <w:pPr>
        <w:widowControl/>
        <w:spacing w:line="500" w:lineRule="exact"/>
        <w:ind w:firstLine="480"/>
        <w:jc w:val="left"/>
        <w:outlineLvl w:val="2"/>
        <w:rPr>
          <w:rFonts w:ascii="宋体" w:hAnsi="宋体" w:cs="宋体"/>
          <w:sz w:val="24"/>
        </w:rPr>
      </w:pPr>
      <w:r>
        <w:rPr>
          <w:rFonts w:hint="eastAsia" w:ascii="宋体" w:hAnsi="宋体" w:cs="宋体"/>
          <w:sz w:val="24"/>
        </w:rPr>
        <w:t>7.与本投标有关的正式通讯地址为：</w:t>
      </w:r>
    </w:p>
    <w:p w14:paraId="57C0CDF2">
      <w:pPr>
        <w:widowControl/>
        <w:spacing w:line="500" w:lineRule="exact"/>
        <w:ind w:firstLine="480"/>
        <w:jc w:val="left"/>
        <w:rPr>
          <w:rFonts w:ascii="宋体" w:hAnsi="宋体" w:cs="宋体"/>
          <w:sz w:val="24"/>
        </w:rPr>
      </w:pPr>
      <w:r>
        <w:rPr>
          <w:rFonts w:hint="eastAsia" w:ascii="宋体" w:hAnsi="宋体" w:cs="宋体"/>
          <w:sz w:val="24"/>
        </w:rPr>
        <w:t>地      址：</w:t>
      </w:r>
    </w:p>
    <w:p w14:paraId="1527BAE1">
      <w:pPr>
        <w:widowControl/>
        <w:spacing w:line="500" w:lineRule="exact"/>
        <w:ind w:firstLine="480"/>
        <w:jc w:val="left"/>
        <w:rPr>
          <w:rFonts w:ascii="宋体" w:hAnsi="宋体" w:cs="宋体"/>
          <w:sz w:val="24"/>
        </w:rPr>
      </w:pPr>
      <w:r>
        <w:rPr>
          <w:rFonts w:hint="eastAsia" w:ascii="宋体" w:hAnsi="宋体" w:cs="宋体"/>
          <w:sz w:val="24"/>
        </w:rPr>
        <w:t>邮      编：</w:t>
      </w:r>
    </w:p>
    <w:p w14:paraId="423F69C1">
      <w:pPr>
        <w:widowControl/>
        <w:spacing w:line="500" w:lineRule="exact"/>
        <w:ind w:firstLine="480"/>
        <w:jc w:val="left"/>
        <w:rPr>
          <w:rFonts w:ascii="宋体" w:hAnsi="宋体" w:cs="宋体"/>
          <w:sz w:val="24"/>
        </w:rPr>
      </w:pPr>
      <w:r>
        <w:rPr>
          <w:rFonts w:hint="eastAsia" w:ascii="宋体" w:hAnsi="宋体" w:cs="宋体"/>
          <w:sz w:val="24"/>
        </w:rPr>
        <w:t>电      话：</w:t>
      </w:r>
    </w:p>
    <w:p w14:paraId="110AA909">
      <w:pPr>
        <w:widowControl/>
        <w:spacing w:line="500" w:lineRule="exact"/>
        <w:ind w:firstLine="480"/>
        <w:jc w:val="left"/>
        <w:rPr>
          <w:rFonts w:ascii="宋体" w:hAnsi="宋体" w:cs="宋体"/>
          <w:sz w:val="24"/>
        </w:rPr>
      </w:pPr>
      <w:r>
        <w:rPr>
          <w:rFonts w:hint="eastAsia" w:ascii="宋体" w:hAnsi="宋体" w:cs="宋体"/>
          <w:sz w:val="24"/>
        </w:rPr>
        <w:t>传       真：</w:t>
      </w:r>
    </w:p>
    <w:p w14:paraId="227CA3E1">
      <w:pPr>
        <w:widowControl/>
        <w:spacing w:line="500" w:lineRule="exact"/>
        <w:ind w:firstLine="480"/>
        <w:jc w:val="left"/>
        <w:rPr>
          <w:rFonts w:ascii="宋体" w:hAnsi="宋体" w:cs="宋体"/>
          <w:sz w:val="24"/>
        </w:rPr>
      </w:pPr>
      <w:r>
        <w:rPr>
          <w:rFonts w:hint="eastAsia" w:ascii="宋体" w:hAnsi="宋体" w:cs="宋体"/>
          <w:sz w:val="24"/>
        </w:rPr>
        <w:t>投标人开户行：</w:t>
      </w:r>
    </w:p>
    <w:p w14:paraId="076BD6FF">
      <w:pPr>
        <w:widowControl/>
        <w:spacing w:line="500" w:lineRule="exact"/>
        <w:ind w:firstLine="480"/>
        <w:jc w:val="left"/>
        <w:rPr>
          <w:rFonts w:ascii="宋体" w:hAnsi="宋体" w:cs="宋体"/>
          <w:sz w:val="24"/>
        </w:rPr>
      </w:pPr>
      <w:r>
        <w:rPr>
          <w:rFonts w:hint="eastAsia" w:ascii="宋体" w:hAnsi="宋体" w:cs="宋体"/>
          <w:sz w:val="24"/>
        </w:rPr>
        <w:t>账       号：</w:t>
      </w:r>
    </w:p>
    <w:p w14:paraId="0AA26E42">
      <w:pPr>
        <w:widowControl/>
        <w:spacing w:line="500" w:lineRule="exact"/>
        <w:ind w:firstLine="480"/>
        <w:jc w:val="left"/>
      </w:pPr>
      <w:r>
        <w:rPr>
          <w:rFonts w:hint="eastAsia" w:ascii="宋体" w:hAnsi="宋体" w:cs="宋体"/>
          <w:sz w:val="24"/>
        </w:rPr>
        <w:t>日      期：______年____月____日</w:t>
      </w:r>
      <w:r>
        <w:t> </w:t>
      </w:r>
    </w:p>
    <w:p w14:paraId="6F6418FB">
      <w:pPr>
        <w:widowControl/>
        <w:jc w:val="left"/>
        <w:rPr>
          <w:rFonts w:ascii="黑体" w:hAnsi="黑体" w:eastAsia="黑体" w:cs="黑体"/>
          <w:i/>
          <w:sz w:val="32"/>
          <w:szCs w:val="32"/>
        </w:rPr>
      </w:pPr>
      <w:r>
        <w:rPr>
          <w:rFonts w:ascii="黑体" w:hAnsi="黑体" w:eastAsia="黑体" w:cs="黑体"/>
          <w:i/>
          <w:sz w:val="32"/>
          <w:szCs w:val="32"/>
        </w:rPr>
        <w:br w:type="page" w:clear="all"/>
      </w:r>
    </w:p>
    <w:p w14:paraId="5FBD47C2">
      <w:pPr>
        <w:widowControl/>
        <w:spacing w:before="120"/>
        <w:jc w:val="center"/>
        <w:rPr>
          <w:rFonts w:ascii="黑体" w:hAnsi="黑体" w:eastAsia="黑体" w:cs="黑体"/>
          <w:i/>
          <w:sz w:val="32"/>
          <w:szCs w:val="32"/>
          <w:u w:val="single"/>
        </w:rPr>
      </w:pPr>
      <w:r>
        <w:rPr>
          <w:rFonts w:hint="eastAsia" w:ascii="黑体" w:hAnsi="黑体" w:eastAsia="黑体" w:cs="黑体"/>
          <w:i/>
          <w:sz w:val="32"/>
          <w:szCs w:val="32"/>
          <w:u w:val="single"/>
        </w:rPr>
        <w:t>九、中小企业声明函（货物）</w:t>
      </w:r>
    </w:p>
    <w:p w14:paraId="71B9C350">
      <w:pPr>
        <w:widowControl/>
        <w:pBdr>
          <w:top w:val="none" w:color="000000" w:sz="0" w:space="0"/>
          <w:left w:val="none" w:color="000000" w:sz="0" w:space="0"/>
          <w:bottom w:val="none" w:color="000000" w:sz="0" w:space="0"/>
          <w:right w:val="none" w:color="000000" w:sz="0" w:space="0"/>
        </w:pBdr>
        <w:spacing w:line="519" w:lineRule="atLeast"/>
        <w:ind w:firstLine="480"/>
        <w:rPr>
          <w:rFonts w:ascii="宋体" w:hAnsi="宋体" w:cs="宋体"/>
          <w:sz w:val="24"/>
        </w:rPr>
      </w:pPr>
      <w:r>
        <w:rPr>
          <w:rFonts w:ascii="宋体" w:hAnsi="宋体" w:cs="宋体"/>
          <w:sz w:val="24"/>
        </w:rPr>
        <w:t>本公司（联合体）郑重声明，根据《政府采购促进中小企业发展管理办法》(财库</w:t>
      </w:r>
      <w:r>
        <w:rPr>
          <w:rFonts w:hint="eastAsia" w:ascii="宋体" w:hAnsi="宋体" w:cs="宋体"/>
          <w:sz w:val="24"/>
        </w:rPr>
        <w:t>〔2020〕46号</w:t>
      </w:r>
      <w:r>
        <w:rPr>
          <w:rFonts w:ascii="宋体" w:hAnsi="宋体" w:cs="宋体"/>
          <w:sz w:val="24"/>
        </w:rPr>
        <w:t>)的规定，本公司（联合体）参加盐城市政府采购中心组织的</w:t>
      </w:r>
      <w:r>
        <w:rPr>
          <w:rFonts w:hint="eastAsia" w:ascii="宋体" w:hAnsi="宋体" w:eastAsia="宋体" w:cs="宋体"/>
          <w:sz w:val="24"/>
          <w:szCs w:val="20"/>
          <w:u w:val="single"/>
        </w:rPr>
        <w:t>盐城市教育局</w:t>
      </w:r>
      <w:r>
        <w:rPr>
          <w:rFonts w:hint="eastAsia" w:ascii="宋体" w:hAnsi="宋体" w:cs="宋体"/>
          <w:sz w:val="24"/>
        </w:rPr>
        <w:t>，</w:t>
      </w:r>
      <w:r>
        <w:rPr>
          <w:rFonts w:ascii="宋体" w:hAnsi="宋体" w:cs="宋体"/>
          <w:sz w:val="24"/>
        </w:rPr>
        <w:t>采购编号为</w:t>
      </w:r>
      <w:r>
        <w:rPr>
          <w:rFonts w:hint="eastAsia" w:ascii="宋体" w:hAnsi="宋体" w:cs="宋体"/>
          <w:sz w:val="24"/>
          <w:u w:val="single"/>
        </w:rPr>
        <w:t>JSZC-320900-JZCG-G2026-0051</w:t>
      </w:r>
      <w:r>
        <w:rPr>
          <w:rFonts w:ascii="宋体" w:hAnsi="宋体" w:cs="宋体"/>
          <w:sz w:val="24"/>
        </w:rPr>
        <w:t>，</w:t>
      </w:r>
      <w:r>
        <w:rPr>
          <w:rFonts w:hint="eastAsia" w:ascii="宋体" w:hAnsi="宋体" w:cs="宋体"/>
          <w:sz w:val="24"/>
          <w:u w:val="single"/>
        </w:rPr>
        <w:t>盐城市市直部分学校智慧体育设施采购项目</w:t>
      </w:r>
      <w:r>
        <w:rPr>
          <w:rFonts w:ascii="宋体" w:hAnsi="宋体" w:cs="宋体"/>
          <w:sz w:val="24"/>
        </w:rPr>
        <w:t>的采购活动，提供的货物全部由符合政策要</w:t>
      </w:r>
      <w:r>
        <w:rPr>
          <w:rFonts w:hint="eastAsia" w:ascii="宋体" w:hAnsi="宋体" w:cs="宋体"/>
          <w:sz w:val="24"/>
        </w:rPr>
        <w:t>求的</w:t>
      </w:r>
      <w:r>
        <w:rPr>
          <w:rFonts w:ascii="宋体" w:hAnsi="宋体" w:cs="宋体"/>
          <w:sz w:val="24"/>
        </w:rPr>
        <w:t>中小企业制造。根据《工业和信息化部、国家统计局、国家发展和改革委员会、财政部关于印发中小企业划型标准规定的通知》(工信部联企业</w:t>
      </w:r>
      <w:r>
        <w:rPr>
          <w:rFonts w:hint="eastAsia" w:ascii="宋体" w:hAnsi="宋体" w:cs="宋体"/>
          <w:sz w:val="24"/>
        </w:rPr>
        <w:t>〔2011〕300号</w:t>
      </w:r>
      <w:r>
        <w:rPr>
          <w:rFonts w:ascii="宋体" w:hAnsi="宋体" w:cs="宋体"/>
          <w:sz w:val="24"/>
        </w:rPr>
        <w:t>)的规定，相关企业（含联合体中的小微企业、签订分包意向协议的小微企业）的具体情况如下：</w:t>
      </w:r>
    </w:p>
    <w:p w14:paraId="1FE23E1A">
      <w:pPr>
        <w:widowControl/>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sz w:val="24"/>
        </w:rPr>
        <w:t>1.</w:t>
      </w:r>
      <w:r>
        <w:rPr>
          <w:rFonts w:ascii="宋体" w:hAnsi="宋体" w:cs="宋体"/>
          <w:i/>
          <w:sz w:val="24"/>
          <w:u w:val="single"/>
        </w:rPr>
        <w:t>（标的名称）</w:t>
      </w:r>
      <w:r>
        <w:rPr>
          <w:rFonts w:ascii="宋体" w:hAnsi="宋体" w:cs="宋体"/>
          <w:sz w:val="24"/>
        </w:rPr>
        <w:t>，属于</w:t>
      </w:r>
      <w:r>
        <w:rPr>
          <w:rFonts w:ascii="宋体" w:hAnsi="宋体" w:cs="宋体"/>
          <w:i/>
          <w:sz w:val="24"/>
          <w:u w:val="single"/>
        </w:rPr>
        <w:t>（采购文件中明确的所属行业）</w:t>
      </w:r>
      <w:r>
        <w:rPr>
          <w:rFonts w:ascii="宋体" w:hAnsi="宋体" w:cs="宋体"/>
          <w:sz w:val="24"/>
        </w:rPr>
        <w:t>行业；</w:t>
      </w:r>
      <w:r>
        <w:rPr>
          <w:rFonts w:hint="eastAsia" w:ascii="宋体" w:hAnsi="宋体" w:cs="宋体"/>
          <w:sz w:val="24"/>
        </w:rPr>
        <w:t>制造商为</w:t>
      </w:r>
      <w:r>
        <w:rPr>
          <w:rFonts w:ascii="宋体" w:hAnsi="宋体" w:cs="宋体"/>
          <w:sz w:val="24"/>
        </w:rPr>
        <w:t>（</w:t>
      </w:r>
      <w:r>
        <w:rPr>
          <w:rFonts w:ascii="宋体" w:hAnsi="宋体" w:cs="宋体"/>
          <w:i/>
          <w:sz w:val="24"/>
          <w:u w:val="single"/>
        </w:rPr>
        <w:t>企业名称</w:t>
      </w:r>
      <w:r>
        <w:rPr>
          <w:rFonts w:ascii="宋体" w:hAnsi="宋体" w:cs="宋体"/>
          <w:sz w:val="24"/>
        </w:rPr>
        <w:t>），从业人员</w:t>
      </w:r>
      <w:r>
        <w:rPr>
          <w:rFonts w:ascii="宋体" w:hAnsi="宋体" w:cs="宋体"/>
          <w:sz w:val="24"/>
          <w:u w:val="single"/>
        </w:rPr>
        <w:t xml:space="preserve">     </w:t>
      </w:r>
      <w:r>
        <w:rPr>
          <w:rFonts w:ascii="宋体" w:hAnsi="宋体" w:cs="宋体"/>
          <w:sz w:val="24"/>
        </w:rPr>
        <w:t>人，营业收入为</w:t>
      </w:r>
      <w:r>
        <w:rPr>
          <w:rFonts w:ascii="宋体" w:hAnsi="宋体" w:cs="宋体"/>
          <w:sz w:val="24"/>
          <w:u w:val="single"/>
        </w:rPr>
        <w:t>     </w:t>
      </w:r>
      <w:r>
        <w:rPr>
          <w:rFonts w:ascii="宋体" w:hAnsi="宋体" w:cs="宋体"/>
          <w:sz w:val="24"/>
        </w:rPr>
        <w:t>万元，资产总额为</w:t>
      </w:r>
      <w:r>
        <w:rPr>
          <w:rFonts w:ascii="宋体" w:hAnsi="宋体" w:cs="宋体"/>
          <w:sz w:val="24"/>
          <w:u w:val="single"/>
        </w:rPr>
        <w:t>    </w:t>
      </w:r>
      <w:r>
        <w:rPr>
          <w:rFonts w:ascii="宋体" w:hAnsi="宋体" w:cs="宋体"/>
          <w:sz w:val="24"/>
        </w:rPr>
        <w:t>万元，属于（</w:t>
      </w:r>
      <w:r>
        <w:rPr>
          <w:rFonts w:ascii="宋体" w:hAnsi="宋体" w:cs="宋体"/>
          <w:i/>
          <w:sz w:val="24"/>
          <w:u w:val="single"/>
        </w:rPr>
        <w:t>中型企业、小型企业、微型企业</w:t>
      </w:r>
      <w:r>
        <w:rPr>
          <w:rFonts w:ascii="宋体" w:hAnsi="宋体" w:cs="宋体"/>
          <w:sz w:val="24"/>
        </w:rPr>
        <w:t>）；</w:t>
      </w:r>
    </w:p>
    <w:p w14:paraId="297338AC">
      <w:pPr>
        <w:widowControl/>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sz w:val="24"/>
        </w:rPr>
        <w:t>2.</w:t>
      </w:r>
      <w:r>
        <w:rPr>
          <w:rFonts w:ascii="宋体" w:hAnsi="宋体" w:cs="宋体"/>
          <w:i/>
          <w:sz w:val="24"/>
          <w:u w:val="single"/>
        </w:rPr>
        <w:t>（标的名称）</w:t>
      </w:r>
      <w:r>
        <w:rPr>
          <w:rFonts w:ascii="宋体" w:hAnsi="宋体" w:cs="宋体"/>
          <w:sz w:val="24"/>
        </w:rPr>
        <w:t>，属于</w:t>
      </w:r>
      <w:r>
        <w:rPr>
          <w:rFonts w:ascii="宋体" w:hAnsi="宋体" w:cs="宋体"/>
          <w:i/>
          <w:sz w:val="24"/>
          <w:u w:val="single"/>
        </w:rPr>
        <w:t>（采购文件中明确的所属行业）</w:t>
      </w:r>
      <w:r>
        <w:rPr>
          <w:rFonts w:ascii="宋体" w:hAnsi="宋体" w:cs="宋体"/>
          <w:sz w:val="24"/>
        </w:rPr>
        <w:t>行业；</w:t>
      </w:r>
      <w:r>
        <w:rPr>
          <w:rFonts w:hint="eastAsia" w:ascii="宋体" w:hAnsi="宋体" w:cs="宋体"/>
          <w:sz w:val="24"/>
        </w:rPr>
        <w:t>制造商为</w:t>
      </w:r>
      <w:r>
        <w:rPr>
          <w:rFonts w:ascii="宋体" w:hAnsi="宋体" w:cs="宋体"/>
          <w:sz w:val="24"/>
        </w:rPr>
        <w:t>（</w:t>
      </w:r>
      <w:r>
        <w:rPr>
          <w:rFonts w:ascii="宋体" w:hAnsi="宋体" w:cs="宋体"/>
          <w:i/>
          <w:sz w:val="24"/>
          <w:u w:val="single"/>
        </w:rPr>
        <w:t>企业名称</w:t>
      </w:r>
      <w:r>
        <w:rPr>
          <w:rFonts w:ascii="宋体" w:hAnsi="宋体" w:cs="宋体"/>
          <w:sz w:val="24"/>
        </w:rPr>
        <w:t>），从业人员</w:t>
      </w:r>
      <w:r>
        <w:rPr>
          <w:rFonts w:ascii="宋体" w:hAnsi="宋体" w:cs="宋体"/>
          <w:sz w:val="24"/>
          <w:u w:val="single"/>
        </w:rPr>
        <w:t xml:space="preserve">     </w:t>
      </w:r>
      <w:r>
        <w:rPr>
          <w:rFonts w:ascii="宋体" w:hAnsi="宋体" w:cs="宋体"/>
          <w:sz w:val="24"/>
        </w:rPr>
        <w:t>人，营业收入为</w:t>
      </w:r>
      <w:r>
        <w:rPr>
          <w:rFonts w:ascii="宋体" w:hAnsi="宋体" w:cs="宋体"/>
          <w:sz w:val="24"/>
          <w:u w:val="single"/>
        </w:rPr>
        <w:t>     </w:t>
      </w:r>
      <w:r>
        <w:rPr>
          <w:rFonts w:ascii="宋体" w:hAnsi="宋体" w:cs="宋体"/>
          <w:sz w:val="24"/>
        </w:rPr>
        <w:t>万元，资产总额为</w:t>
      </w:r>
      <w:r>
        <w:rPr>
          <w:rFonts w:ascii="宋体" w:hAnsi="宋体" w:cs="宋体"/>
          <w:sz w:val="24"/>
          <w:u w:val="single"/>
        </w:rPr>
        <w:t>    </w:t>
      </w:r>
      <w:r>
        <w:rPr>
          <w:rFonts w:ascii="宋体" w:hAnsi="宋体" w:cs="宋体"/>
          <w:sz w:val="24"/>
        </w:rPr>
        <w:t>万元，属于（</w:t>
      </w:r>
      <w:r>
        <w:rPr>
          <w:rFonts w:ascii="宋体" w:hAnsi="宋体" w:cs="宋体"/>
          <w:i/>
          <w:sz w:val="24"/>
          <w:u w:val="single"/>
        </w:rPr>
        <w:t>中型企业、小型企业、微型企业</w:t>
      </w:r>
      <w:r>
        <w:rPr>
          <w:rFonts w:ascii="宋体" w:hAnsi="宋体" w:cs="宋体"/>
          <w:sz w:val="24"/>
        </w:rPr>
        <w:t>）；</w:t>
      </w:r>
    </w:p>
    <w:p w14:paraId="225A2B23">
      <w:pPr>
        <w:widowControl/>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sz w:val="24"/>
        </w:rPr>
        <w:t>……</w:t>
      </w:r>
    </w:p>
    <w:p w14:paraId="43980993">
      <w:pPr>
        <w:widowControl/>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sz w:val="24"/>
        </w:rPr>
        <w:t>以上企业，不属于大企业的分支机构，不存在控股股东为大企业的情形，也不存在与大企业的负责人为同一人的情形。</w:t>
      </w:r>
    </w:p>
    <w:p w14:paraId="4D74A7A6">
      <w:pPr>
        <w:widowControl/>
        <w:pBdr>
          <w:top w:val="none" w:color="000000" w:sz="0" w:space="0"/>
          <w:left w:val="none" w:color="000000" w:sz="0" w:space="0"/>
          <w:bottom w:val="none" w:color="000000" w:sz="0" w:space="0"/>
          <w:right w:val="none" w:color="000000" w:sz="0" w:space="0"/>
        </w:pBdr>
        <w:spacing w:line="519" w:lineRule="atLeast"/>
        <w:ind w:firstLine="480"/>
        <w:outlineLvl w:val="2"/>
      </w:pPr>
      <w:r>
        <w:rPr>
          <w:rFonts w:ascii="宋体" w:hAnsi="宋体" w:cs="宋体"/>
          <w:sz w:val="24"/>
        </w:rPr>
        <w:t>本企业对上述声明内容的真实性负责。如有虚假，将依法承担相应责任</w:t>
      </w:r>
      <w:r>
        <w:rPr>
          <w:rFonts w:hint="eastAsia" w:ascii="宋体" w:hAnsi="宋体" w:cs="宋体"/>
          <w:sz w:val="24"/>
        </w:rPr>
        <w:t>。</w:t>
      </w:r>
    </w:p>
    <w:p w14:paraId="56F7C26C">
      <w:pPr>
        <w:widowControl/>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sz w:val="24"/>
        </w:rPr>
        <w:t> </w:t>
      </w:r>
    </w:p>
    <w:p w14:paraId="0AFCCB78">
      <w:pPr>
        <w:widowControl/>
        <w:pBdr>
          <w:top w:val="none" w:color="000000" w:sz="0" w:space="0"/>
          <w:left w:val="none" w:color="000000" w:sz="0" w:space="0"/>
          <w:bottom w:val="none" w:color="000000" w:sz="0" w:space="0"/>
          <w:right w:val="none" w:color="000000" w:sz="0" w:space="0"/>
        </w:pBdr>
        <w:spacing w:line="519" w:lineRule="atLeast"/>
        <w:ind w:firstLine="480"/>
        <w:jc w:val="right"/>
      </w:pPr>
      <w:r>
        <w:rPr>
          <w:rFonts w:ascii="宋体" w:hAnsi="宋体" w:cs="宋体"/>
          <w:sz w:val="24"/>
        </w:rPr>
        <w:t>企业名称（加盖CA电子公章）：</w:t>
      </w:r>
    </w:p>
    <w:p w14:paraId="6D4AD02E">
      <w:pPr>
        <w:widowControl/>
        <w:pBdr>
          <w:top w:val="none" w:color="000000" w:sz="0" w:space="0"/>
          <w:left w:val="none" w:color="000000" w:sz="0" w:space="0"/>
          <w:bottom w:val="none" w:color="000000" w:sz="0" w:space="0"/>
          <w:right w:val="none" w:color="000000" w:sz="0" w:space="0"/>
        </w:pBdr>
        <w:spacing w:line="519" w:lineRule="atLeast"/>
        <w:ind w:firstLine="480"/>
        <w:jc w:val="right"/>
      </w:pPr>
      <w:r>
        <w:rPr>
          <w:rFonts w:ascii="宋体" w:hAnsi="宋体" w:cs="宋体"/>
          <w:sz w:val="24"/>
        </w:rPr>
        <w:t>日期：</w:t>
      </w:r>
    </w:p>
    <w:p w14:paraId="1C17CF49">
      <w:pPr>
        <w:widowControl/>
        <w:pBdr>
          <w:top w:val="none" w:color="000000" w:sz="0" w:space="0"/>
          <w:left w:val="none" w:color="000000" w:sz="0" w:space="0"/>
          <w:bottom w:val="none" w:color="000000" w:sz="0" w:space="0"/>
          <w:right w:val="none" w:color="000000" w:sz="0" w:space="0"/>
        </w:pBdr>
        <w:spacing w:line="499" w:lineRule="atLeast"/>
        <w:ind w:firstLine="480"/>
      </w:pPr>
      <w:r>
        <w:rPr>
          <w:rFonts w:ascii="宋体" w:hAnsi="宋体" w:eastAsia="宋体" w:cs="宋体"/>
          <w:sz w:val="24"/>
        </w:rPr>
        <w:t>备注1：从业人员、营业收入、资产总额填报上一年度数据，无上一年度数据的新成立企业可不填报。</w:t>
      </w:r>
    </w:p>
    <w:p w14:paraId="251A9671">
      <w:pPr>
        <w:widowControl/>
        <w:pBdr>
          <w:top w:val="none" w:color="000000" w:sz="0" w:space="0"/>
          <w:left w:val="none" w:color="000000" w:sz="0" w:space="0"/>
          <w:bottom w:val="none" w:color="000000" w:sz="0" w:space="0"/>
          <w:right w:val="none" w:color="000000" w:sz="0" w:space="0"/>
        </w:pBdr>
        <w:spacing w:line="499" w:lineRule="atLeast"/>
        <w:ind w:firstLine="480"/>
      </w:pPr>
      <w:r>
        <w:rPr>
          <w:rFonts w:ascii="宋体" w:hAnsi="宋体" w:eastAsia="宋体" w:cs="宋体"/>
          <w:sz w:val="24"/>
        </w:rPr>
        <w:t>备注2：供应商如不提供此声明函，价格将不做相应扣除（如项目全面面向中小企业，则资格审查不通过）。</w:t>
      </w:r>
    </w:p>
    <w:p w14:paraId="439E3CD1">
      <w:pPr>
        <w:pStyle w:val="36"/>
        <w:widowControl/>
        <w:tabs>
          <w:tab w:val="left" w:pos="4864"/>
        </w:tabs>
        <w:spacing w:line="0" w:lineRule="atLeast"/>
        <w:ind w:right="1560" w:firstLine="120"/>
        <w:jc w:val="center"/>
        <w:rPr>
          <w:rFonts w:ascii="黑体" w:hAnsi="黑体" w:eastAsia="黑体" w:cs="黑体"/>
          <w:i/>
          <w:sz w:val="32"/>
          <w:szCs w:val="32"/>
        </w:rPr>
      </w:pPr>
      <w:r>
        <w:rPr>
          <w:rFonts w:ascii="黑体" w:hAnsi="黑体" w:eastAsia="黑体" w:cs="黑体"/>
          <w:i/>
          <w:sz w:val="32"/>
          <w:szCs w:val="32"/>
        </w:rPr>
        <w:br w:type="page" w:clear="all"/>
      </w:r>
    </w:p>
    <w:p w14:paraId="4C714E62">
      <w:pPr>
        <w:widowControl/>
        <w:spacing w:before="120"/>
        <w:jc w:val="center"/>
        <w:rPr>
          <w:rFonts w:ascii="黑体" w:hAnsi="黑体" w:eastAsia="黑体" w:cs="黑体"/>
          <w:i/>
          <w:sz w:val="32"/>
          <w:szCs w:val="32"/>
          <w:u w:val="single"/>
        </w:rPr>
      </w:pPr>
      <w:r>
        <w:rPr>
          <w:rFonts w:hint="eastAsia" w:ascii="黑体" w:hAnsi="黑体" w:eastAsia="黑体" w:cs="黑体"/>
          <w:i/>
          <w:sz w:val="32"/>
          <w:szCs w:val="32"/>
          <w:u w:val="single"/>
        </w:rPr>
        <w:t>十、残疾人福利性单位声明函</w:t>
      </w:r>
    </w:p>
    <w:p w14:paraId="0F1FD1B8">
      <w:pPr>
        <w:widowControl/>
        <w:spacing w:line="560" w:lineRule="exact"/>
        <w:ind w:firstLine="480"/>
        <w:jc w:val="left"/>
        <w:rPr>
          <w:rFonts w:ascii="宋体" w:hAnsi="宋体" w:cs="宋体"/>
          <w:sz w:val="24"/>
        </w:rPr>
      </w:pPr>
      <w:r>
        <w:rPr>
          <w:rFonts w:hint="eastAsia" w:ascii="宋体" w:hAnsi="宋体" w:cs="宋体"/>
          <w:sz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4"/>
          <w:szCs w:val="20"/>
          <w:u w:val="single"/>
        </w:rPr>
        <w:t>盐城市教育局</w:t>
      </w:r>
      <w:r>
        <w:rPr>
          <w:rFonts w:hint="eastAsia" w:ascii="宋体" w:hAnsi="宋体" w:cs="宋体"/>
          <w:sz w:val="24"/>
        </w:rPr>
        <w:t>单位的采购文件编号为</w:t>
      </w:r>
      <w:r>
        <w:rPr>
          <w:rFonts w:hint="eastAsia" w:ascii="宋体" w:hAnsi="宋体" w:cs="宋体"/>
          <w:sz w:val="24"/>
          <w:u w:val="single"/>
        </w:rPr>
        <w:t>JSZC-320900-JZCG-G2026-0051</w:t>
      </w:r>
      <w:r>
        <w:rPr>
          <w:rFonts w:hint="eastAsia" w:ascii="宋体" w:hAnsi="宋体" w:cs="宋体"/>
          <w:sz w:val="24"/>
        </w:rPr>
        <w:t>的</w:t>
      </w:r>
      <w:r>
        <w:rPr>
          <w:rFonts w:hint="eastAsia" w:ascii="宋体" w:hAnsi="宋体" w:cs="宋体"/>
          <w:sz w:val="24"/>
          <w:u w:val="single"/>
        </w:rPr>
        <w:t>盐城市市直部分学校智慧体育设施采购项目</w:t>
      </w:r>
      <w:r>
        <w:rPr>
          <w:rFonts w:hint="eastAsia" w:ascii="宋体" w:hAnsi="宋体" w:cs="宋体"/>
          <w:sz w:val="24"/>
        </w:rPr>
        <w:t>采购活动提供本单位制造的货物，或者提供其他残疾人福利性单位制造的货物（不包括使用非残疾人福利性单位注册商标的货物）。</w:t>
      </w:r>
    </w:p>
    <w:p w14:paraId="205A6E16">
      <w:pPr>
        <w:widowControl/>
        <w:spacing w:line="560" w:lineRule="exact"/>
        <w:ind w:firstLine="480"/>
        <w:jc w:val="left"/>
        <w:rPr>
          <w:rFonts w:ascii="宋体" w:hAnsi="宋体" w:cs="宋体"/>
          <w:sz w:val="24"/>
        </w:rPr>
      </w:pPr>
      <w:r>
        <w:rPr>
          <w:rFonts w:hint="eastAsia" w:ascii="宋体" w:hAnsi="宋体" w:cs="宋体"/>
          <w:sz w:val="24"/>
        </w:rPr>
        <w:t>本单位对上述声明的真实性负责。如有虚假，将依法承担相应责任。</w:t>
      </w:r>
    </w:p>
    <w:p w14:paraId="775E1147">
      <w:pPr>
        <w:widowControl/>
        <w:spacing w:line="560" w:lineRule="exact"/>
        <w:ind w:firstLine="482"/>
        <w:jc w:val="left"/>
        <w:rPr>
          <w:rFonts w:ascii="宋体" w:hAnsi="宋体" w:cs="宋体"/>
          <w:sz w:val="24"/>
        </w:rPr>
      </w:pPr>
    </w:p>
    <w:p w14:paraId="09CFA07B">
      <w:pPr>
        <w:widowControl/>
        <w:pBdr>
          <w:top w:val="none" w:color="000000" w:sz="0" w:space="0"/>
          <w:left w:val="none" w:color="000000" w:sz="0" w:space="0"/>
          <w:bottom w:val="none" w:color="000000" w:sz="0" w:space="0"/>
          <w:right w:val="none" w:color="000000" w:sz="0" w:space="0"/>
        </w:pBdr>
        <w:spacing w:line="499" w:lineRule="atLeast"/>
        <w:ind w:firstLine="480"/>
        <w:rPr>
          <w:rFonts w:ascii="宋体" w:hAnsi="宋体" w:eastAsia="宋体" w:cs="宋体"/>
          <w:sz w:val="24"/>
        </w:rPr>
      </w:pPr>
      <w:r>
        <w:rPr>
          <w:rFonts w:ascii="宋体" w:hAnsi="宋体" w:eastAsia="宋体" w:cs="宋体"/>
          <w:sz w:val="24"/>
        </w:rPr>
        <w:t>备注：1、供应商如不提供此声明函，价格将不做相应扣除（如项目全面面向中小企业，则资格审查不通过）。2、中标人为残疾人福利单位的，此声明函将随中标结果同时公告，接受社会监督</w:t>
      </w:r>
      <w:r>
        <w:rPr>
          <w:rFonts w:hint="eastAsia" w:ascii="宋体" w:hAnsi="宋体" w:eastAsia="宋体" w:cs="宋体"/>
          <w:sz w:val="24"/>
        </w:rPr>
        <w:t>。</w:t>
      </w:r>
    </w:p>
    <w:p w14:paraId="0FED082D">
      <w:pPr>
        <w:widowControl/>
        <w:spacing w:line="520" w:lineRule="exact"/>
        <w:ind w:firstLine="480"/>
        <w:jc w:val="left"/>
        <w:rPr>
          <w:rFonts w:ascii="宋体" w:hAnsi="宋体" w:cs="宋体"/>
          <w:sz w:val="24"/>
        </w:rPr>
      </w:pPr>
    </w:p>
    <w:p w14:paraId="50D3C8AF">
      <w:pPr>
        <w:widowControl/>
        <w:spacing w:line="520" w:lineRule="exact"/>
        <w:ind w:firstLine="480"/>
        <w:jc w:val="left"/>
        <w:rPr>
          <w:rFonts w:ascii="宋体" w:hAnsi="宋体" w:cs="宋体"/>
          <w:sz w:val="24"/>
        </w:rPr>
      </w:pPr>
    </w:p>
    <w:p w14:paraId="02AE2AE0">
      <w:pPr>
        <w:widowControl/>
        <w:spacing w:line="520" w:lineRule="exact"/>
        <w:ind w:right="480" w:firstLine="480"/>
        <w:jc w:val="right"/>
        <w:rPr>
          <w:rFonts w:ascii="宋体" w:hAnsi="宋体" w:cs="宋体"/>
          <w:sz w:val="24"/>
        </w:rPr>
      </w:pPr>
      <w:r>
        <w:rPr>
          <w:rFonts w:hint="eastAsia" w:ascii="宋体" w:hAnsi="宋体" w:cs="宋体"/>
          <w:sz w:val="24"/>
        </w:rPr>
        <w:t>企业名称（加盖CA电子公章）：</w:t>
      </w:r>
    </w:p>
    <w:p w14:paraId="3478F2A1">
      <w:pPr>
        <w:widowControl/>
        <w:spacing w:line="520" w:lineRule="exact"/>
        <w:ind w:right="480" w:firstLine="480"/>
        <w:jc w:val="right"/>
      </w:pPr>
      <w:r>
        <w:rPr>
          <w:rFonts w:hint="eastAsia" w:ascii="宋体" w:hAnsi="宋体" w:cs="宋体"/>
          <w:sz w:val="24"/>
        </w:rPr>
        <w:t>日  期：</w:t>
      </w:r>
    </w:p>
    <w:p w14:paraId="3DBD63A4">
      <w:pPr>
        <w:widowControl/>
        <w:rPr>
          <w:rFonts w:ascii="微软雅黑" w:hAnsi="宋体" w:eastAsia="微软雅黑" w:cs="黑体"/>
          <w:iCs/>
          <w:sz w:val="30"/>
          <w:szCs w:val="30"/>
        </w:rPr>
      </w:pPr>
      <w:r>
        <w:rPr>
          <w:rFonts w:ascii="微软雅黑" w:hAnsi="宋体" w:eastAsia="微软雅黑" w:cs="黑体"/>
          <w:iCs/>
          <w:sz w:val="30"/>
          <w:szCs w:val="30"/>
        </w:rPr>
        <w:br w:type="page" w:clear="all"/>
      </w:r>
    </w:p>
    <w:p w14:paraId="391A5944">
      <w:pPr>
        <w:pStyle w:val="36"/>
        <w:spacing w:beforeAutospacing="0" w:afterAutospacing="0"/>
        <w:jc w:val="center"/>
      </w:pPr>
      <w:r>
        <w:rPr>
          <w:rFonts w:hint="eastAsia" w:ascii="黑体" w:hAnsi="黑体" w:eastAsia="黑体" w:cs="黑体"/>
          <w:i/>
          <w:sz w:val="32"/>
          <w:szCs w:val="32"/>
          <w:u w:val="single"/>
        </w:rPr>
        <w:t>十一、关于符合本国产品标准的声明函</w:t>
      </w:r>
    </w:p>
    <w:p w14:paraId="5512DFD2">
      <w:pPr>
        <w:pStyle w:val="36"/>
        <w:spacing w:beforeAutospacing="0" w:afterAutospacing="0"/>
        <w:ind w:firstLine="420"/>
        <w:jc w:val="both"/>
      </w:pPr>
      <w:r>
        <w:rPr>
          <w:rFonts w:ascii="Arial" w:hAnsi="Arial" w:cs="Arial"/>
          <w:color w:val="FF0000"/>
        </w:rPr>
        <w:t> </w:t>
      </w:r>
    </w:p>
    <w:p w14:paraId="72F77175">
      <w:pPr>
        <w:pStyle w:val="36"/>
        <w:spacing w:beforeAutospacing="0" w:afterAutospacing="0" w:line="360" w:lineRule="auto"/>
        <w:ind w:firstLine="420"/>
        <w:jc w:val="both"/>
      </w:pPr>
      <w:r>
        <w:rPr>
          <w:rFonts w:ascii="宋体" w:hAnsi="宋体" w:eastAsia="宋体" w:cs="宋体"/>
        </w:rPr>
        <w:t>本公司（单位）郑重声明，根据《国务院办公厅关于在政府采购中实施本国产品标准及相关政策的通知》（国办发〔2025〕34号）的规定，本公司（单位）提供的以下产品属于本国产品。具体情况如下：</w:t>
      </w:r>
    </w:p>
    <w:p w14:paraId="56D97FFD">
      <w:pPr>
        <w:pStyle w:val="36"/>
        <w:spacing w:before="30" w:beforeAutospacing="0" w:after="30" w:afterAutospacing="0" w:line="360" w:lineRule="auto"/>
        <w:ind w:firstLine="420"/>
        <w:jc w:val="both"/>
      </w:pPr>
      <w:r>
        <w:rPr>
          <w:rFonts w:ascii="宋体" w:hAnsi="宋体" w:eastAsia="宋体" w:cs="宋体"/>
          <w:shd w:val="clear" w:color="auto" w:fill="FFFFFF"/>
        </w:rPr>
        <w:t>1.</w:t>
      </w:r>
      <w:r>
        <w:rPr>
          <w:rFonts w:ascii="宋体" w:hAnsi="宋体" w:eastAsia="宋体" w:cs="宋体"/>
          <w:u w:val="single"/>
          <w:shd w:val="clear" w:color="auto" w:fill="FFFFFF"/>
        </w:rPr>
        <w:t>（产品名称1）</w:t>
      </w:r>
      <w:r>
        <w:rPr>
          <w:rFonts w:ascii="宋体" w:hAnsi="宋体" w:eastAsia="宋体" w:cs="宋体"/>
          <w:shd w:val="clear" w:color="auto" w:fill="FFFFFF"/>
          <w:vertAlign w:val="superscript"/>
        </w:rPr>
        <w:t>1</w:t>
      </w:r>
      <w:r>
        <w:rPr>
          <w:rFonts w:ascii="宋体" w:hAnsi="宋体" w:eastAsia="宋体" w:cs="宋体"/>
          <w:shd w:val="clear" w:color="auto" w:fill="FFFFFF"/>
        </w:rPr>
        <w:t>，生产厂为</w:t>
      </w:r>
      <w:r>
        <w:rPr>
          <w:rFonts w:ascii="宋体" w:hAnsi="宋体" w:eastAsia="宋体" w:cs="宋体"/>
          <w:u w:val="single"/>
          <w:shd w:val="clear" w:color="auto" w:fill="FFFFFF"/>
        </w:rPr>
        <w:t>（厂名）</w:t>
      </w:r>
      <w:r>
        <w:rPr>
          <w:rFonts w:ascii="宋体" w:hAnsi="宋体" w:eastAsia="宋体" w:cs="宋体"/>
          <w:shd w:val="clear" w:color="auto" w:fill="FFFFFF"/>
          <w:vertAlign w:val="superscript"/>
        </w:rPr>
        <w:t>2</w:t>
      </w:r>
      <w:r>
        <w:rPr>
          <w:rFonts w:ascii="宋体" w:hAnsi="宋体" w:eastAsia="宋体" w:cs="宋体"/>
          <w:shd w:val="clear" w:color="auto" w:fill="FFFFFF"/>
        </w:rPr>
        <w:t>，厂址为</w:t>
      </w:r>
      <w:r>
        <w:rPr>
          <w:rFonts w:ascii="宋体" w:hAnsi="宋体" w:eastAsia="宋体" w:cs="宋体"/>
          <w:u w:val="single"/>
          <w:shd w:val="clear" w:color="auto" w:fill="FFFFFF"/>
        </w:rPr>
        <w:t>（生产厂址）</w:t>
      </w:r>
      <w:r>
        <w:rPr>
          <w:rFonts w:ascii="宋体" w:hAnsi="宋体" w:eastAsia="宋体" w:cs="宋体"/>
          <w:shd w:val="clear" w:color="auto" w:fill="FFFFFF"/>
        </w:rPr>
        <w:t>。</w:t>
      </w:r>
      <w:r>
        <w:rPr>
          <w:rFonts w:ascii="宋体" w:hAnsi="宋体" w:eastAsia="宋体" w:cs="宋体"/>
          <w:strike/>
          <w:u w:val="single"/>
          <w:shd w:val="clear" w:color="auto" w:fill="FFFFFF"/>
        </w:rPr>
        <w:t> （产品名称1）</w:t>
      </w:r>
      <w:r>
        <w:rPr>
          <w:rFonts w:ascii="宋体" w:hAnsi="宋体" w:eastAsia="宋体" w:cs="宋体"/>
          <w:u w:val="single"/>
          <w:shd w:val="clear" w:color="auto" w:fill="FFFFFF"/>
        </w:rPr>
        <w:t> </w:t>
      </w:r>
      <w:r>
        <w:rPr>
          <w:rFonts w:ascii="宋体" w:hAnsi="宋体" w:eastAsia="宋体" w:cs="宋体"/>
          <w:shd w:val="clear" w:color="auto" w:fill="FFFFFF"/>
        </w:rPr>
        <w:t>的中国境内生产的组件成本占比≥</w:t>
      </w:r>
      <w:r>
        <w:rPr>
          <w:rFonts w:ascii="宋体" w:hAnsi="宋体" w:eastAsia="宋体" w:cs="宋体"/>
          <w:strike/>
          <w:u w:val="single"/>
          <w:shd w:val="clear" w:color="auto" w:fill="FFFFFF"/>
        </w:rPr>
        <w:t>（规定比例）</w:t>
      </w:r>
      <w:r>
        <w:rPr>
          <w:rFonts w:ascii="宋体" w:hAnsi="宋体" w:eastAsia="宋体" w:cs="宋体"/>
          <w:strike/>
          <w:shd w:val="clear" w:color="auto" w:fill="FFFFFF"/>
          <w:vertAlign w:val="superscript"/>
        </w:rPr>
        <w:t>3</w:t>
      </w:r>
      <w:r>
        <w:rPr>
          <w:rFonts w:ascii="宋体" w:hAnsi="宋体" w:eastAsia="宋体" w:cs="宋体"/>
          <w:shd w:val="clear" w:color="auto" w:fill="FFFFFF"/>
        </w:rPr>
        <w:t>。</w:t>
      </w:r>
      <w:r>
        <w:rPr>
          <w:rFonts w:ascii="宋体" w:hAnsi="宋体" w:eastAsia="宋体" w:cs="宋体"/>
          <w:strike/>
          <w:u w:val="single"/>
          <w:shd w:val="clear" w:color="auto" w:fill="FFFFFF"/>
        </w:rPr>
        <w:t>（产品名称1）</w:t>
      </w:r>
      <w:r>
        <w:rPr>
          <w:rFonts w:ascii="宋体" w:hAnsi="宋体" w:eastAsia="宋体" w:cs="宋体"/>
          <w:shd w:val="clear" w:color="auto" w:fill="FFFFFF"/>
        </w:rPr>
        <w:t>的</w:t>
      </w:r>
      <w:r>
        <w:rPr>
          <w:rFonts w:ascii="宋体" w:hAnsi="宋体" w:eastAsia="宋体" w:cs="宋体"/>
          <w:strike/>
          <w:u w:val="single"/>
          <w:shd w:val="clear" w:color="auto" w:fill="FFFFFF"/>
        </w:rPr>
        <w:t>（关键组件）</w:t>
      </w:r>
      <w:r>
        <w:rPr>
          <w:rFonts w:ascii="宋体" w:hAnsi="宋体" w:eastAsia="宋体" w:cs="宋体"/>
          <w:strike/>
          <w:shd w:val="clear" w:color="auto" w:fill="FFFFFF"/>
          <w:vertAlign w:val="superscript"/>
        </w:rPr>
        <w:t>4</w:t>
      </w:r>
      <w:r>
        <w:rPr>
          <w:rFonts w:ascii="宋体" w:hAnsi="宋体" w:eastAsia="宋体" w:cs="宋体"/>
          <w:shd w:val="clear" w:color="auto" w:fill="FFFFFF"/>
        </w:rPr>
        <w:t>在中国境内生产。</w:t>
      </w:r>
      <w:r>
        <w:rPr>
          <w:rFonts w:ascii="宋体" w:hAnsi="宋体" w:eastAsia="宋体" w:cs="宋体"/>
          <w:strike/>
          <w:u w:val="single"/>
          <w:shd w:val="clear" w:color="auto" w:fill="FFFFFF"/>
        </w:rPr>
        <w:t>（产品名称1）</w:t>
      </w:r>
      <w:r>
        <w:rPr>
          <w:rFonts w:ascii="宋体" w:hAnsi="宋体" w:eastAsia="宋体" w:cs="宋体"/>
          <w:shd w:val="clear" w:color="auto" w:fill="FFFFFF"/>
        </w:rPr>
        <w:t>的</w:t>
      </w:r>
      <w:r>
        <w:rPr>
          <w:rFonts w:ascii="宋体" w:hAnsi="宋体" w:eastAsia="宋体" w:cs="宋体"/>
          <w:strike/>
          <w:u w:val="single"/>
          <w:shd w:val="clear" w:color="auto" w:fill="FFFFFF"/>
        </w:rPr>
        <w:t>（关键工序）</w:t>
      </w:r>
      <w:r>
        <w:rPr>
          <w:rFonts w:ascii="宋体" w:hAnsi="宋体" w:eastAsia="宋体" w:cs="宋体"/>
          <w:strike/>
          <w:shd w:val="clear" w:color="auto" w:fill="FFFFFF"/>
          <w:vertAlign w:val="superscript"/>
        </w:rPr>
        <w:t>5</w:t>
      </w:r>
      <w:r>
        <w:rPr>
          <w:rFonts w:ascii="宋体" w:hAnsi="宋体" w:eastAsia="宋体" w:cs="宋体"/>
          <w:shd w:val="clear" w:color="auto" w:fill="FFFFFF"/>
        </w:rPr>
        <w:t>在中国境内完成。</w:t>
      </w:r>
    </w:p>
    <w:p w14:paraId="5C3E932A">
      <w:pPr>
        <w:pStyle w:val="36"/>
        <w:spacing w:before="30" w:beforeAutospacing="0" w:after="30" w:afterAutospacing="0" w:line="360" w:lineRule="auto"/>
        <w:ind w:firstLine="420"/>
        <w:jc w:val="both"/>
      </w:pPr>
      <w:r>
        <w:rPr>
          <w:rFonts w:ascii="宋体" w:hAnsi="宋体" w:eastAsia="宋体" w:cs="宋体"/>
          <w:shd w:val="clear" w:color="auto" w:fill="FFFFFF"/>
        </w:rPr>
        <w:t>2.</w:t>
      </w:r>
      <w:r>
        <w:rPr>
          <w:rFonts w:ascii="宋体" w:hAnsi="宋体" w:eastAsia="宋体" w:cs="宋体"/>
          <w:u w:val="single"/>
          <w:shd w:val="clear" w:color="auto" w:fill="FFFFFF"/>
        </w:rPr>
        <w:t>（产品名称2）</w:t>
      </w:r>
      <w:r>
        <w:rPr>
          <w:rFonts w:ascii="宋体" w:hAnsi="宋体" w:eastAsia="宋体" w:cs="宋体"/>
          <w:shd w:val="clear" w:color="auto" w:fill="FFFFFF"/>
        </w:rPr>
        <w:t>，生产厂为</w:t>
      </w:r>
      <w:r>
        <w:rPr>
          <w:rFonts w:ascii="宋体" w:hAnsi="宋体" w:eastAsia="宋体" w:cs="宋体"/>
          <w:u w:val="single"/>
          <w:shd w:val="clear" w:color="auto" w:fill="FFFFFF"/>
        </w:rPr>
        <w:t>（厂名）</w:t>
      </w:r>
      <w:r>
        <w:rPr>
          <w:rFonts w:ascii="宋体" w:hAnsi="宋体" w:eastAsia="宋体" w:cs="宋体"/>
          <w:shd w:val="clear" w:color="auto" w:fill="FFFFFF"/>
        </w:rPr>
        <w:t>，厂址为</w:t>
      </w:r>
      <w:r>
        <w:rPr>
          <w:rFonts w:ascii="宋体" w:hAnsi="宋体" w:eastAsia="宋体" w:cs="宋体"/>
          <w:u w:val="single"/>
          <w:shd w:val="clear" w:color="auto" w:fill="FFFFFF"/>
        </w:rPr>
        <w:t>（生产厂址）</w:t>
      </w:r>
      <w:r>
        <w:rPr>
          <w:rFonts w:ascii="宋体" w:hAnsi="宋体" w:eastAsia="宋体" w:cs="宋体"/>
          <w:shd w:val="clear" w:color="auto" w:fill="FFFFFF"/>
        </w:rPr>
        <w:t>。</w:t>
      </w:r>
      <w:r>
        <w:rPr>
          <w:rFonts w:ascii="宋体" w:hAnsi="宋体" w:eastAsia="宋体" w:cs="宋体"/>
          <w:strike/>
          <w:u w:val="single"/>
          <w:shd w:val="clear" w:color="auto" w:fill="FFFFFF"/>
        </w:rPr>
        <w:t>（产品名称2）</w:t>
      </w:r>
      <w:r>
        <w:rPr>
          <w:rFonts w:ascii="宋体" w:hAnsi="宋体" w:eastAsia="宋体" w:cs="宋体"/>
          <w:shd w:val="clear" w:color="auto" w:fill="FFFFFF"/>
        </w:rPr>
        <w:t>的中国境内生产的组件成本占比≥</w:t>
      </w:r>
      <w:r>
        <w:rPr>
          <w:rFonts w:ascii="宋体" w:hAnsi="宋体" w:eastAsia="宋体" w:cs="宋体"/>
          <w:strike/>
          <w:u w:val="single"/>
          <w:shd w:val="clear" w:color="auto" w:fill="FFFFFF"/>
        </w:rPr>
        <w:t>（规定比例）</w:t>
      </w:r>
      <w:r>
        <w:rPr>
          <w:rFonts w:ascii="宋体" w:hAnsi="宋体" w:eastAsia="宋体" w:cs="宋体"/>
          <w:shd w:val="clear" w:color="auto" w:fill="FFFFFF"/>
        </w:rPr>
        <w:t>。</w:t>
      </w:r>
      <w:r>
        <w:rPr>
          <w:rFonts w:ascii="宋体" w:hAnsi="宋体" w:eastAsia="宋体" w:cs="宋体"/>
          <w:strike/>
          <w:u w:val="single"/>
          <w:shd w:val="clear" w:color="auto" w:fill="FFFFFF"/>
        </w:rPr>
        <w:t>（产品名称2）</w:t>
      </w:r>
      <w:r>
        <w:rPr>
          <w:rFonts w:ascii="宋体" w:hAnsi="宋体" w:eastAsia="宋体" w:cs="宋体"/>
          <w:shd w:val="clear" w:color="auto" w:fill="FFFFFF"/>
        </w:rPr>
        <w:t>的</w:t>
      </w:r>
      <w:r>
        <w:rPr>
          <w:rFonts w:ascii="宋体" w:hAnsi="宋体" w:eastAsia="宋体" w:cs="宋体"/>
          <w:strike/>
          <w:u w:val="single"/>
          <w:shd w:val="clear" w:color="auto" w:fill="FFFFFF"/>
        </w:rPr>
        <w:t>（关键组件）</w:t>
      </w:r>
      <w:r>
        <w:rPr>
          <w:rFonts w:ascii="宋体" w:hAnsi="宋体" w:eastAsia="宋体" w:cs="宋体"/>
          <w:shd w:val="clear" w:color="auto" w:fill="FFFFFF"/>
        </w:rPr>
        <w:t>在中国境内生产。</w:t>
      </w:r>
      <w:r>
        <w:rPr>
          <w:rFonts w:ascii="宋体" w:hAnsi="宋体" w:eastAsia="宋体" w:cs="宋体"/>
          <w:strike/>
          <w:u w:val="single"/>
          <w:shd w:val="clear" w:color="auto" w:fill="FFFFFF"/>
        </w:rPr>
        <w:t>（产品名称1）</w:t>
      </w:r>
      <w:r>
        <w:rPr>
          <w:rFonts w:ascii="宋体" w:hAnsi="宋体" w:eastAsia="宋体" w:cs="宋体"/>
          <w:shd w:val="clear" w:color="auto" w:fill="FFFFFF"/>
        </w:rPr>
        <w:t>的</w:t>
      </w:r>
      <w:r>
        <w:rPr>
          <w:rFonts w:ascii="宋体" w:hAnsi="宋体" w:eastAsia="宋体" w:cs="宋体"/>
          <w:strike/>
          <w:u w:val="single"/>
          <w:shd w:val="clear" w:color="auto" w:fill="FFFFFF"/>
        </w:rPr>
        <w:t>（关键工序）</w:t>
      </w:r>
      <w:r>
        <w:rPr>
          <w:rFonts w:ascii="宋体" w:hAnsi="宋体" w:eastAsia="宋体" w:cs="宋体"/>
          <w:shd w:val="clear" w:color="auto" w:fill="FFFFFF"/>
        </w:rPr>
        <w:t>在中国境内完成。</w:t>
      </w:r>
    </w:p>
    <w:p w14:paraId="17B11F73">
      <w:pPr>
        <w:pStyle w:val="36"/>
        <w:spacing w:before="30" w:beforeAutospacing="0" w:after="30" w:afterAutospacing="0" w:line="360" w:lineRule="auto"/>
        <w:ind w:firstLine="420"/>
        <w:jc w:val="both"/>
      </w:pPr>
      <w:r>
        <w:rPr>
          <w:rFonts w:ascii="宋体" w:hAnsi="宋体" w:eastAsia="宋体" w:cs="宋体"/>
          <w:shd w:val="clear" w:color="auto" w:fill="FFFFFF"/>
        </w:rPr>
        <w:t>……</w:t>
      </w:r>
    </w:p>
    <w:p w14:paraId="3FA74C1C">
      <w:pPr>
        <w:pStyle w:val="36"/>
        <w:spacing w:before="30" w:beforeAutospacing="0" w:after="30" w:afterAutospacing="0" w:line="360" w:lineRule="auto"/>
        <w:ind w:right="480"/>
        <w:rPr>
          <w:rFonts w:ascii="宋体" w:hAnsi="宋体" w:eastAsia="宋体" w:cs="宋体"/>
          <w:shd w:val="clear" w:color="auto" w:fill="FFFFFF"/>
        </w:rPr>
      </w:pPr>
      <w:r>
        <w:rPr>
          <w:rFonts w:ascii="宋体" w:hAnsi="宋体" w:eastAsia="宋体" w:cs="宋体"/>
          <w:shd w:val="clear" w:color="auto" w:fill="FFFFFF"/>
        </w:rPr>
        <w:t>本公司（单位）对上述声明内容的真实性负责。如有虚假，愿承担相应法律责任。</w:t>
      </w:r>
      <w:r>
        <w:rPr>
          <w:rFonts w:hint="eastAsia" w:ascii="宋体" w:hAnsi="宋体" w:eastAsia="宋体" w:cs="宋体"/>
          <w:shd w:val="clear" w:color="auto" w:fill="FFFFFF"/>
        </w:rPr>
        <w:t xml:space="preserve"> </w:t>
      </w:r>
    </w:p>
    <w:p w14:paraId="4482C038">
      <w:pPr>
        <w:pStyle w:val="36"/>
        <w:spacing w:before="30" w:beforeAutospacing="0" w:after="30" w:afterAutospacing="0" w:line="360" w:lineRule="auto"/>
        <w:ind w:right="480"/>
        <w:jc w:val="center"/>
      </w:pPr>
      <w:r>
        <w:rPr>
          <w:rFonts w:hint="eastAsia" w:ascii="宋体" w:hAnsi="宋体" w:eastAsia="宋体" w:cs="宋体"/>
          <w:shd w:val="clear" w:color="auto" w:fill="FFFFFF"/>
        </w:rPr>
        <w:t xml:space="preserve">                                           </w:t>
      </w:r>
      <w:r>
        <w:rPr>
          <w:rFonts w:ascii="宋体" w:hAnsi="宋体" w:eastAsia="宋体" w:cs="宋体"/>
          <w:shd w:val="clear" w:color="auto" w:fill="FFFFFF"/>
        </w:rPr>
        <w:t>公司（单位）名称（盖章）：</w:t>
      </w:r>
    </w:p>
    <w:p w14:paraId="0C2CED34">
      <w:pPr>
        <w:pStyle w:val="36"/>
        <w:spacing w:before="30" w:beforeAutospacing="0" w:after="30" w:afterAutospacing="0" w:line="360" w:lineRule="auto"/>
        <w:jc w:val="both"/>
      </w:pPr>
      <w:r>
        <w:rPr>
          <w:rFonts w:ascii="宋体" w:hAnsi="宋体" w:eastAsia="宋体" w:cs="宋体"/>
          <w:shd w:val="clear" w:color="auto" w:fill="FFFFFF"/>
        </w:rPr>
        <w:t>                       日期：　   年　  月　  日</w:t>
      </w:r>
    </w:p>
    <w:p w14:paraId="4A5BF9C4">
      <w:pPr>
        <w:pStyle w:val="36"/>
        <w:spacing w:before="30" w:beforeAutospacing="0" w:after="30" w:afterAutospacing="0" w:line="360" w:lineRule="auto"/>
        <w:jc w:val="both"/>
        <w:rPr>
          <w:b/>
          <w:bCs/>
        </w:rPr>
      </w:pPr>
      <w:r>
        <w:rPr>
          <w:rFonts w:ascii="宋体" w:hAnsi="宋体" w:eastAsia="宋体" w:cs="宋体"/>
          <w:b/>
          <w:bCs/>
          <w:shd w:val="clear" w:color="auto" w:fill="FFFFFF"/>
        </w:rPr>
        <w:t>1.产品如有型号，请在“产品名称”栏一并填写。</w:t>
      </w:r>
    </w:p>
    <w:p w14:paraId="11806CA1">
      <w:pPr>
        <w:pStyle w:val="36"/>
        <w:spacing w:before="30" w:beforeAutospacing="0" w:after="30" w:afterAutospacing="0" w:line="360" w:lineRule="auto"/>
        <w:jc w:val="both"/>
        <w:rPr>
          <w:b/>
          <w:bCs/>
        </w:rPr>
      </w:pPr>
      <w:r>
        <w:rPr>
          <w:rFonts w:ascii="宋体" w:hAnsi="宋体" w:eastAsia="宋体" w:cs="宋体"/>
          <w:b/>
          <w:bCs/>
          <w:shd w:val="clear" w:color="auto" w:fill="FFFFFF"/>
        </w:rPr>
        <w:t>2.生产厂名与厂址应与生产厂营业执照载明的相关信息保持一致。</w:t>
      </w:r>
    </w:p>
    <w:p w14:paraId="11AE761E">
      <w:pPr>
        <w:pStyle w:val="36"/>
        <w:spacing w:before="30" w:beforeAutospacing="0" w:after="30" w:afterAutospacing="0" w:line="360" w:lineRule="auto"/>
        <w:jc w:val="both"/>
        <w:rPr>
          <w:b/>
          <w:bCs/>
        </w:rPr>
      </w:pPr>
      <w:r>
        <w:rPr>
          <w:rFonts w:ascii="宋体" w:hAnsi="宋体" w:eastAsia="宋体" w:cs="宋体"/>
          <w:b/>
          <w:bCs/>
          <w:shd w:val="clear" w:color="auto" w:fill="FFFFFF"/>
        </w:rPr>
        <w:t>3.该产品的中国境内生产的组件成本占比相关要求实施前，“规定比例”栏可不填，下同。</w:t>
      </w:r>
    </w:p>
    <w:p w14:paraId="48A47FDE">
      <w:pPr>
        <w:pStyle w:val="36"/>
        <w:spacing w:before="30" w:beforeAutospacing="0" w:after="30" w:afterAutospacing="0" w:line="360" w:lineRule="auto"/>
        <w:jc w:val="both"/>
        <w:rPr>
          <w:b/>
          <w:bCs/>
        </w:rPr>
      </w:pPr>
      <w:r>
        <w:rPr>
          <w:rFonts w:ascii="宋体" w:hAnsi="宋体" w:eastAsia="宋体" w:cs="宋体"/>
          <w:b/>
          <w:bCs/>
          <w:shd w:val="clear" w:color="auto" w:fill="FFFFFF"/>
        </w:rPr>
        <w:t>4.该产品的关键组件要求实施前，“关键组件”栏可不填，下同。</w:t>
      </w:r>
    </w:p>
    <w:p w14:paraId="243C5DE8">
      <w:pPr>
        <w:pStyle w:val="36"/>
        <w:spacing w:before="30" w:beforeAutospacing="0" w:after="30" w:afterAutospacing="0" w:line="360" w:lineRule="auto"/>
        <w:jc w:val="both"/>
        <w:rPr>
          <w:b/>
          <w:bCs/>
        </w:rPr>
      </w:pPr>
      <w:r>
        <w:rPr>
          <w:rFonts w:ascii="宋体" w:hAnsi="宋体" w:eastAsia="宋体" w:cs="宋体"/>
          <w:b/>
          <w:bCs/>
          <w:shd w:val="clear" w:color="auto" w:fill="FFFFFF"/>
        </w:rPr>
        <w:t>5.该产品的关键工序要求实施前，“关键工序”栏可不填，下同。</w:t>
      </w:r>
    </w:p>
    <w:p w14:paraId="640D6132">
      <w:pPr>
        <w:pStyle w:val="36"/>
        <w:spacing w:before="30" w:beforeAutospacing="0" w:after="30" w:afterAutospacing="0" w:line="360" w:lineRule="auto"/>
        <w:jc w:val="both"/>
        <w:rPr>
          <w:rFonts w:ascii="宋体" w:hAnsi="宋体" w:eastAsia="宋体" w:cs="宋体"/>
          <w:b/>
          <w:bCs/>
          <w:shd w:val="clear" w:color="auto" w:fill="FFFFFF"/>
        </w:rPr>
      </w:pPr>
      <w:r>
        <w:rPr>
          <w:rFonts w:ascii="宋体" w:hAnsi="宋体" w:eastAsia="宋体" w:cs="宋体"/>
          <w:b/>
          <w:bCs/>
          <w:shd w:val="clear" w:color="auto" w:fill="FFFFFF"/>
        </w:rPr>
        <w:t>6.用</w:t>
      </w:r>
      <w:r>
        <w:rPr>
          <w:rFonts w:hint="eastAsia" w:ascii="宋体" w:hAnsi="宋体" w:eastAsia="宋体" w:cs="宋体"/>
          <w:b/>
          <w:bCs/>
          <w:shd w:val="clear" w:color="auto" w:fill="FFFFFF"/>
        </w:rPr>
        <w:t>横</w:t>
      </w:r>
      <w:r>
        <w:rPr>
          <w:rFonts w:ascii="宋体" w:hAnsi="宋体" w:eastAsia="宋体" w:cs="宋体"/>
          <w:b/>
          <w:bCs/>
          <w:shd w:val="clear" w:color="auto" w:fill="FFFFFF"/>
        </w:rPr>
        <w:t>线划除的地方无需填写。</w:t>
      </w:r>
    </w:p>
    <w:p w14:paraId="3D1EFD1D">
      <w:pPr>
        <w:spacing w:line="360" w:lineRule="auto"/>
        <w:rPr>
          <w:b/>
          <w:bCs/>
        </w:rPr>
      </w:pPr>
      <w:r>
        <w:rPr>
          <w:rFonts w:hint="eastAsia" w:ascii="宋体" w:hAnsi="宋体" w:eastAsia="宋体" w:cs="宋体"/>
          <w:b/>
          <w:bCs/>
          <w:sz w:val="24"/>
        </w:rPr>
        <w:t>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sz w:val="24"/>
          <w:u w:val="single"/>
        </w:rPr>
        <w:t>故，如供应商所提供产品为本国产品的，应当对其提供的产品出具《关于符合本国产品标准的声明函》（以下简称《声明函》），不出具《声明函》的，不享受政府采购对本国产品的支持政策。</w:t>
      </w:r>
    </w:p>
    <w:p w14:paraId="73B0FA54">
      <w:pPr>
        <w:widowControl/>
        <w:spacing w:before="120"/>
        <w:jc w:val="center"/>
        <w:rPr>
          <w:rFonts w:ascii="黑体" w:hAnsi="黑体" w:eastAsia="黑体" w:cs="黑体"/>
          <w:i/>
          <w:sz w:val="32"/>
          <w:szCs w:val="32"/>
          <w:u w:val="single"/>
        </w:rPr>
      </w:pPr>
      <w:r>
        <w:rPr>
          <w:rFonts w:hint="eastAsia" w:ascii="黑体" w:hAnsi="黑体" w:eastAsia="黑体" w:cs="黑体"/>
          <w:i/>
          <w:sz w:val="32"/>
          <w:szCs w:val="32"/>
          <w:u w:val="single"/>
        </w:rPr>
        <w:t>十二、投标分项报价表</w:t>
      </w:r>
    </w:p>
    <w:p w14:paraId="5749F8C9">
      <w:pPr>
        <w:pStyle w:val="16"/>
      </w:pPr>
    </w:p>
    <w:tbl>
      <w:tblPr>
        <w:tblStyle w:val="40"/>
        <w:tblW w:w="86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9"/>
        <w:gridCol w:w="1568"/>
        <w:gridCol w:w="980"/>
        <w:gridCol w:w="980"/>
        <w:gridCol w:w="980"/>
        <w:gridCol w:w="1280"/>
        <w:gridCol w:w="1157"/>
        <w:gridCol w:w="1012"/>
      </w:tblGrid>
      <w:tr w14:paraId="4B629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739" w:type="dxa"/>
            <w:shd w:val="clear" w:color="auto" w:fill="auto"/>
            <w:vAlign w:val="center"/>
          </w:tcPr>
          <w:p w14:paraId="48441988">
            <w:pPr>
              <w:widowControl/>
              <w:rPr>
                <w:rFonts w:ascii="Calibri" w:hAnsi="Calibri" w:eastAsia="宋体" w:cs="宋体"/>
                <w:color w:val="000000"/>
                <w:sz w:val="24"/>
              </w:rPr>
            </w:pPr>
            <w:bookmarkStart w:id="238" w:name="RANGE!A2"/>
            <w:bookmarkEnd w:id="238"/>
            <w:r>
              <w:rPr>
                <w:rFonts w:hint="eastAsia" w:ascii="宋体" w:hAnsi="宋体" w:eastAsia="宋体" w:cs="宋体"/>
                <w:color w:val="000000"/>
                <w:sz w:val="24"/>
              </w:rPr>
              <w:t>序号</w:t>
            </w:r>
          </w:p>
        </w:tc>
        <w:tc>
          <w:tcPr>
            <w:tcW w:w="1568" w:type="dxa"/>
            <w:shd w:val="clear" w:color="auto" w:fill="auto"/>
            <w:vAlign w:val="center"/>
          </w:tcPr>
          <w:p w14:paraId="60FCA9A6">
            <w:pPr>
              <w:widowControl/>
              <w:jc w:val="center"/>
              <w:rPr>
                <w:rFonts w:ascii="宋体" w:hAnsi="宋体" w:eastAsia="宋体" w:cs="宋体"/>
                <w:color w:val="000000"/>
                <w:sz w:val="24"/>
              </w:rPr>
            </w:pPr>
            <w:r>
              <w:rPr>
                <w:rFonts w:hint="eastAsia" w:ascii="宋体" w:hAnsi="宋体" w:eastAsia="宋体" w:cs="宋体"/>
                <w:color w:val="000000"/>
                <w:sz w:val="24"/>
              </w:rPr>
              <w:t>产品名称</w:t>
            </w:r>
          </w:p>
        </w:tc>
        <w:tc>
          <w:tcPr>
            <w:tcW w:w="980" w:type="dxa"/>
            <w:shd w:val="clear" w:color="auto" w:fill="auto"/>
            <w:vAlign w:val="center"/>
          </w:tcPr>
          <w:p w14:paraId="4A025B45">
            <w:pPr>
              <w:widowControl/>
              <w:jc w:val="center"/>
              <w:rPr>
                <w:rFonts w:ascii="宋体" w:hAnsi="宋体" w:eastAsia="宋体" w:cs="宋体"/>
                <w:color w:val="000000"/>
                <w:sz w:val="24"/>
              </w:rPr>
            </w:pPr>
            <w:r>
              <w:rPr>
                <w:rFonts w:hint="eastAsia" w:ascii="宋体" w:hAnsi="宋体" w:eastAsia="宋体" w:cs="宋体"/>
                <w:color w:val="000000"/>
                <w:sz w:val="24"/>
              </w:rPr>
              <w:t>品牌及型号</w:t>
            </w:r>
          </w:p>
        </w:tc>
        <w:tc>
          <w:tcPr>
            <w:tcW w:w="980" w:type="dxa"/>
            <w:shd w:val="clear" w:color="auto" w:fill="auto"/>
            <w:vAlign w:val="center"/>
          </w:tcPr>
          <w:p w14:paraId="1B275863">
            <w:pPr>
              <w:widowControl/>
              <w:jc w:val="center"/>
              <w:rPr>
                <w:rFonts w:ascii="宋体" w:hAnsi="宋体" w:eastAsia="宋体" w:cs="宋体"/>
                <w:color w:val="000000"/>
                <w:sz w:val="24"/>
              </w:rPr>
            </w:pPr>
            <w:r>
              <w:rPr>
                <w:rFonts w:hint="eastAsia" w:ascii="宋体" w:hAnsi="宋体" w:eastAsia="宋体" w:cs="宋体"/>
                <w:color w:val="000000"/>
                <w:sz w:val="24"/>
              </w:rPr>
              <w:t>交付期</w:t>
            </w:r>
          </w:p>
        </w:tc>
        <w:tc>
          <w:tcPr>
            <w:tcW w:w="980" w:type="dxa"/>
            <w:shd w:val="clear" w:color="auto" w:fill="auto"/>
            <w:vAlign w:val="center"/>
          </w:tcPr>
          <w:p w14:paraId="769A4BAA">
            <w:pPr>
              <w:widowControl/>
              <w:jc w:val="center"/>
              <w:rPr>
                <w:rFonts w:ascii="宋体" w:hAnsi="宋体" w:eastAsia="宋体" w:cs="宋体"/>
                <w:color w:val="000000"/>
                <w:sz w:val="24"/>
              </w:rPr>
            </w:pPr>
            <w:r>
              <w:rPr>
                <w:rFonts w:hint="eastAsia" w:ascii="宋体" w:hAnsi="宋体" w:eastAsia="宋体" w:cs="宋体"/>
                <w:color w:val="000000"/>
                <w:sz w:val="24"/>
              </w:rPr>
              <w:t>数量</w:t>
            </w:r>
          </w:p>
        </w:tc>
        <w:tc>
          <w:tcPr>
            <w:tcW w:w="1280" w:type="dxa"/>
            <w:shd w:val="clear" w:color="auto" w:fill="auto"/>
            <w:vAlign w:val="center"/>
          </w:tcPr>
          <w:p w14:paraId="4F633673">
            <w:pPr>
              <w:widowControl/>
              <w:jc w:val="center"/>
              <w:rPr>
                <w:rFonts w:ascii="宋体" w:hAnsi="宋体" w:eastAsia="宋体" w:cs="宋体"/>
                <w:color w:val="000000"/>
                <w:sz w:val="24"/>
              </w:rPr>
            </w:pPr>
            <w:r>
              <w:rPr>
                <w:rFonts w:hint="eastAsia" w:ascii="宋体" w:hAnsi="宋体" w:eastAsia="宋体" w:cs="宋体"/>
                <w:color w:val="000000"/>
                <w:sz w:val="24"/>
              </w:rPr>
              <w:t>分项单价</w:t>
            </w:r>
          </w:p>
        </w:tc>
        <w:tc>
          <w:tcPr>
            <w:tcW w:w="1157" w:type="dxa"/>
            <w:shd w:val="clear" w:color="auto" w:fill="auto"/>
            <w:vAlign w:val="center"/>
          </w:tcPr>
          <w:p w14:paraId="73259E0C">
            <w:pPr>
              <w:widowControl/>
              <w:jc w:val="center"/>
              <w:rPr>
                <w:rFonts w:ascii="宋体" w:hAnsi="宋体" w:eastAsia="宋体" w:cs="宋体"/>
                <w:color w:val="000000"/>
                <w:sz w:val="24"/>
              </w:rPr>
            </w:pPr>
            <w:r>
              <w:rPr>
                <w:rFonts w:hint="eastAsia" w:ascii="宋体" w:hAnsi="宋体" w:eastAsia="宋体" w:cs="宋体"/>
                <w:color w:val="000000"/>
                <w:sz w:val="24"/>
              </w:rPr>
              <w:t>分项</w:t>
            </w:r>
          </w:p>
          <w:p w14:paraId="4EF4A06E">
            <w:pPr>
              <w:widowControl/>
              <w:jc w:val="center"/>
              <w:rPr>
                <w:rFonts w:ascii="宋体" w:hAnsi="宋体" w:eastAsia="宋体" w:cs="宋体"/>
                <w:color w:val="000000"/>
                <w:sz w:val="24"/>
              </w:rPr>
            </w:pPr>
            <w:r>
              <w:rPr>
                <w:rFonts w:hint="eastAsia" w:ascii="宋体" w:hAnsi="宋体" w:eastAsia="宋体" w:cs="宋体"/>
                <w:color w:val="000000"/>
                <w:sz w:val="24"/>
              </w:rPr>
              <w:t>总价</w:t>
            </w:r>
          </w:p>
        </w:tc>
        <w:tc>
          <w:tcPr>
            <w:tcW w:w="1012" w:type="dxa"/>
            <w:shd w:val="clear" w:color="auto" w:fill="auto"/>
            <w:vAlign w:val="center"/>
          </w:tcPr>
          <w:p w14:paraId="71755C3D">
            <w:pPr>
              <w:widowControl/>
              <w:jc w:val="center"/>
              <w:rPr>
                <w:rFonts w:ascii="宋体" w:hAnsi="宋体" w:eastAsia="宋体" w:cs="宋体"/>
                <w:color w:val="000000"/>
                <w:sz w:val="24"/>
              </w:rPr>
            </w:pPr>
            <w:r>
              <w:rPr>
                <w:rFonts w:hint="eastAsia" w:ascii="宋体" w:hAnsi="宋体" w:eastAsia="宋体" w:cs="宋体"/>
                <w:color w:val="000000"/>
                <w:sz w:val="24"/>
              </w:rPr>
              <w:t>备注</w:t>
            </w:r>
          </w:p>
        </w:tc>
      </w:tr>
      <w:tr w14:paraId="25AA7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739" w:type="dxa"/>
            <w:shd w:val="clear" w:color="auto" w:fill="auto"/>
            <w:vAlign w:val="center"/>
          </w:tcPr>
          <w:p w14:paraId="23810875">
            <w:pPr>
              <w:widowControl/>
              <w:jc w:val="center"/>
              <w:rPr>
                <w:rFonts w:ascii="宋体" w:hAnsi="宋体" w:eastAsia="宋体" w:cs="宋体"/>
                <w:color w:val="000000"/>
                <w:sz w:val="24"/>
              </w:rPr>
            </w:pPr>
            <w:r>
              <w:rPr>
                <w:rFonts w:hint="eastAsia" w:ascii="宋体" w:hAnsi="宋体" w:eastAsia="宋体" w:cs="宋体"/>
                <w:color w:val="000000"/>
                <w:sz w:val="24"/>
              </w:rPr>
              <w:t>1</w:t>
            </w:r>
          </w:p>
        </w:tc>
        <w:tc>
          <w:tcPr>
            <w:tcW w:w="1568" w:type="dxa"/>
            <w:shd w:val="clear" w:color="auto" w:fill="auto"/>
            <w:vAlign w:val="center"/>
          </w:tcPr>
          <w:p w14:paraId="15270935">
            <w:pPr>
              <w:widowControl/>
              <w:jc w:val="center"/>
              <w:rPr>
                <w:rFonts w:ascii="宋体" w:hAnsi="宋体" w:eastAsia="宋体" w:cs="宋体"/>
                <w:color w:val="000000"/>
                <w:sz w:val="24"/>
              </w:rPr>
            </w:pPr>
            <w:r>
              <w:rPr>
                <w:rFonts w:hint="eastAsia" w:ascii="宋体" w:hAnsi="宋体" w:eastAsia="宋体" w:cs="宋体"/>
                <w:color w:val="000000"/>
                <w:sz w:val="24"/>
              </w:rPr>
              <w:t>智慧展示大屏</w:t>
            </w:r>
          </w:p>
        </w:tc>
        <w:tc>
          <w:tcPr>
            <w:tcW w:w="980" w:type="dxa"/>
            <w:shd w:val="clear" w:color="auto" w:fill="auto"/>
            <w:vAlign w:val="center"/>
          </w:tcPr>
          <w:p w14:paraId="76764E47">
            <w:pPr>
              <w:widowControl/>
              <w:jc w:val="center"/>
              <w:rPr>
                <w:rFonts w:ascii="Calibri" w:hAnsi="Calibri" w:eastAsia="宋体" w:cs="宋体"/>
                <w:color w:val="000000"/>
                <w:sz w:val="24"/>
              </w:rPr>
            </w:pPr>
          </w:p>
        </w:tc>
        <w:tc>
          <w:tcPr>
            <w:tcW w:w="980" w:type="dxa"/>
            <w:shd w:val="clear" w:color="auto" w:fill="auto"/>
            <w:vAlign w:val="center"/>
          </w:tcPr>
          <w:p w14:paraId="786F01A3">
            <w:pPr>
              <w:widowControl/>
              <w:jc w:val="center"/>
              <w:rPr>
                <w:rFonts w:ascii="Calibri" w:hAnsi="Calibri" w:eastAsia="宋体" w:cs="宋体"/>
                <w:color w:val="000000"/>
                <w:sz w:val="24"/>
              </w:rPr>
            </w:pPr>
          </w:p>
        </w:tc>
        <w:tc>
          <w:tcPr>
            <w:tcW w:w="980" w:type="dxa"/>
            <w:shd w:val="clear" w:color="auto" w:fill="auto"/>
            <w:vAlign w:val="center"/>
          </w:tcPr>
          <w:p w14:paraId="6E528F52">
            <w:pPr>
              <w:widowControl/>
              <w:jc w:val="center"/>
              <w:rPr>
                <w:rFonts w:ascii="Calibri" w:hAnsi="Calibri" w:eastAsia="宋体" w:cs="宋体"/>
                <w:color w:val="000000"/>
                <w:sz w:val="24"/>
              </w:rPr>
            </w:pPr>
            <w:r>
              <w:rPr>
                <w:rFonts w:ascii="Calibri" w:hAnsi="Calibri" w:eastAsia="宋体" w:cs="宋体"/>
                <w:color w:val="000000"/>
                <w:sz w:val="24"/>
              </w:rPr>
              <w:t>8</w:t>
            </w:r>
          </w:p>
        </w:tc>
        <w:tc>
          <w:tcPr>
            <w:tcW w:w="1280" w:type="dxa"/>
            <w:shd w:val="clear" w:color="auto" w:fill="auto"/>
            <w:vAlign w:val="center"/>
          </w:tcPr>
          <w:p w14:paraId="467842F4">
            <w:pPr>
              <w:widowControl/>
              <w:jc w:val="center"/>
              <w:rPr>
                <w:rFonts w:ascii="Calibri" w:hAnsi="Calibri" w:eastAsia="宋体" w:cs="宋体"/>
                <w:color w:val="000000"/>
                <w:sz w:val="24"/>
              </w:rPr>
            </w:pPr>
          </w:p>
        </w:tc>
        <w:tc>
          <w:tcPr>
            <w:tcW w:w="1157" w:type="dxa"/>
            <w:shd w:val="clear" w:color="auto" w:fill="auto"/>
            <w:vAlign w:val="center"/>
          </w:tcPr>
          <w:p w14:paraId="30DB3B8F">
            <w:pPr>
              <w:widowControl/>
              <w:jc w:val="center"/>
              <w:rPr>
                <w:rFonts w:ascii="Calibri" w:hAnsi="Calibri" w:eastAsia="宋体" w:cs="宋体"/>
                <w:color w:val="000000"/>
                <w:sz w:val="24"/>
              </w:rPr>
            </w:pPr>
          </w:p>
        </w:tc>
        <w:tc>
          <w:tcPr>
            <w:tcW w:w="1012" w:type="dxa"/>
            <w:shd w:val="clear" w:color="auto" w:fill="auto"/>
            <w:vAlign w:val="center"/>
          </w:tcPr>
          <w:p w14:paraId="571EC07F">
            <w:pPr>
              <w:widowControl/>
              <w:jc w:val="center"/>
              <w:rPr>
                <w:rFonts w:ascii="Calibri" w:hAnsi="Calibri" w:eastAsia="宋体" w:cs="宋体"/>
                <w:color w:val="000000"/>
                <w:sz w:val="24"/>
              </w:rPr>
            </w:pPr>
          </w:p>
        </w:tc>
      </w:tr>
      <w:tr w14:paraId="16822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3" w:hRule="atLeast"/>
          <w:jc w:val="center"/>
        </w:trPr>
        <w:tc>
          <w:tcPr>
            <w:tcW w:w="739" w:type="dxa"/>
            <w:shd w:val="clear" w:color="auto" w:fill="auto"/>
            <w:vAlign w:val="center"/>
          </w:tcPr>
          <w:p w14:paraId="2F820FBA">
            <w:pPr>
              <w:widowControl/>
              <w:jc w:val="center"/>
              <w:rPr>
                <w:rFonts w:ascii="宋体" w:hAnsi="宋体" w:eastAsia="宋体" w:cs="宋体"/>
                <w:color w:val="000000"/>
                <w:sz w:val="24"/>
              </w:rPr>
            </w:pPr>
            <w:r>
              <w:rPr>
                <w:rFonts w:hint="eastAsia" w:ascii="宋体" w:hAnsi="宋体" w:eastAsia="宋体" w:cs="宋体"/>
                <w:color w:val="000000"/>
                <w:sz w:val="24"/>
              </w:rPr>
              <w:t>2</w:t>
            </w:r>
          </w:p>
        </w:tc>
        <w:tc>
          <w:tcPr>
            <w:tcW w:w="1568" w:type="dxa"/>
            <w:shd w:val="clear" w:color="auto" w:fill="auto"/>
            <w:vAlign w:val="center"/>
          </w:tcPr>
          <w:p w14:paraId="3999762A">
            <w:pPr>
              <w:widowControl/>
              <w:jc w:val="center"/>
              <w:rPr>
                <w:rFonts w:ascii="宋体" w:hAnsi="宋体" w:eastAsia="宋体" w:cs="宋体"/>
                <w:color w:val="000000"/>
                <w:sz w:val="24"/>
              </w:rPr>
            </w:pPr>
            <w:r>
              <w:rPr>
                <w:rFonts w:hint="eastAsia" w:ascii="宋体" w:hAnsi="宋体" w:eastAsia="宋体" w:cs="宋体"/>
                <w:color w:val="000000"/>
                <w:sz w:val="24"/>
              </w:rPr>
              <w:t>智慧操场（250米及以下操场）</w:t>
            </w:r>
          </w:p>
        </w:tc>
        <w:tc>
          <w:tcPr>
            <w:tcW w:w="980" w:type="dxa"/>
            <w:shd w:val="clear" w:color="auto" w:fill="auto"/>
            <w:vAlign w:val="center"/>
          </w:tcPr>
          <w:p w14:paraId="2CBAE3BC">
            <w:pPr>
              <w:widowControl/>
              <w:jc w:val="center"/>
              <w:rPr>
                <w:rFonts w:ascii="Calibri" w:hAnsi="Calibri" w:eastAsia="宋体" w:cs="宋体"/>
                <w:color w:val="000000"/>
                <w:sz w:val="24"/>
              </w:rPr>
            </w:pPr>
          </w:p>
        </w:tc>
        <w:tc>
          <w:tcPr>
            <w:tcW w:w="980" w:type="dxa"/>
            <w:shd w:val="clear" w:color="auto" w:fill="auto"/>
            <w:vAlign w:val="center"/>
          </w:tcPr>
          <w:p w14:paraId="7D5108D7">
            <w:pPr>
              <w:widowControl/>
              <w:jc w:val="center"/>
              <w:rPr>
                <w:rFonts w:ascii="Calibri" w:hAnsi="Calibri" w:eastAsia="宋体" w:cs="宋体"/>
                <w:color w:val="000000"/>
                <w:sz w:val="24"/>
              </w:rPr>
            </w:pPr>
          </w:p>
        </w:tc>
        <w:tc>
          <w:tcPr>
            <w:tcW w:w="980" w:type="dxa"/>
            <w:shd w:val="clear" w:color="auto" w:fill="auto"/>
            <w:vAlign w:val="center"/>
          </w:tcPr>
          <w:p w14:paraId="459E83E1">
            <w:pPr>
              <w:widowControl/>
              <w:jc w:val="center"/>
              <w:rPr>
                <w:rFonts w:ascii="Calibri" w:hAnsi="Calibri" w:eastAsia="宋体" w:cs="宋体"/>
                <w:color w:val="000000"/>
                <w:sz w:val="24"/>
              </w:rPr>
            </w:pPr>
            <w:r>
              <w:rPr>
                <w:rFonts w:ascii="Calibri" w:hAnsi="Calibri" w:eastAsia="宋体" w:cs="宋体"/>
                <w:color w:val="000000"/>
                <w:sz w:val="24"/>
              </w:rPr>
              <w:t>4</w:t>
            </w:r>
          </w:p>
        </w:tc>
        <w:tc>
          <w:tcPr>
            <w:tcW w:w="1280" w:type="dxa"/>
            <w:shd w:val="clear" w:color="auto" w:fill="auto"/>
            <w:vAlign w:val="center"/>
          </w:tcPr>
          <w:p w14:paraId="62880120">
            <w:pPr>
              <w:widowControl/>
              <w:jc w:val="center"/>
              <w:rPr>
                <w:rFonts w:ascii="Calibri" w:hAnsi="Calibri" w:eastAsia="宋体" w:cs="宋体"/>
                <w:color w:val="000000"/>
                <w:sz w:val="24"/>
              </w:rPr>
            </w:pPr>
          </w:p>
        </w:tc>
        <w:tc>
          <w:tcPr>
            <w:tcW w:w="1157" w:type="dxa"/>
            <w:shd w:val="clear" w:color="auto" w:fill="auto"/>
            <w:vAlign w:val="center"/>
          </w:tcPr>
          <w:p w14:paraId="1BFC7621">
            <w:pPr>
              <w:widowControl/>
              <w:jc w:val="center"/>
              <w:rPr>
                <w:rFonts w:ascii="Calibri" w:hAnsi="Calibri" w:eastAsia="宋体" w:cs="宋体"/>
                <w:color w:val="000000"/>
                <w:sz w:val="24"/>
              </w:rPr>
            </w:pPr>
          </w:p>
        </w:tc>
        <w:tc>
          <w:tcPr>
            <w:tcW w:w="1012" w:type="dxa"/>
            <w:shd w:val="clear" w:color="auto" w:fill="auto"/>
            <w:vAlign w:val="center"/>
          </w:tcPr>
          <w:p w14:paraId="0CB70EAE">
            <w:pPr>
              <w:widowControl/>
              <w:jc w:val="center"/>
              <w:rPr>
                <w:rFonts w:ascii="Calibri" w:hAnsi="Calibri" w:eastAsia="宋体" w:cs="宋体"/>
                <w:color w:val="000000"/>
                <w:sz w:val="24"/>
              </w:rPr>
            </w:pPr>
          </w:p>
        </w:tc>
      </w:tr>
      <w:tr w14:paraId="53B7E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3" w:hRule="atLeast"/>
          <w:jc w:val="center"/>
        </w:trPr>
        <w:tc>
          <w:tcPr>
            <w:tcW w:w="739" w:type="dxa"/>
            <w:shd w:val="clear" w:color="auto" w:fill="auto"/>
            <w:vAlign w:val="center"/>
          </w:tcPr>
          <w:p w14:paraId="2D92814A">
            <w:pPr>
              <w:widowControl/>
              <w:jc w:val="center"/>
              <w:rPr>
                <w:rFonts w:ascii="宋体" w:hAnsi="宋体" w:eastAsia="宋体" w:cs="宋体"/>
                <w:color w:val="000000"/>
                <w:sz w:val="24"/>
              </w:rPr>
            </w:pPr>
            <w:r>
              <w:rPr>
                <w:rFonts w:hint="eastAsia" w:ascii="宋体" w:hAnsi="宋体" w:eastAsia="宋体" w:cs="宋体"/>
                <w:color w:val="000000"/>
                <w:sz w:val="24"/>
              </w:rPr>
              <w:t>3</w:t>
            </w:r>
          </w:p>
        </w:tc>
        <w:tc>
          <w:tcPr>
            <w:tcW w:w="1568" w:type="dxa"/>
            <w:shd w:val="clear" w:color="auto" w:fill="auto"/>
            <w:vAlign w:val="center"/>
          </w:tcPr>
          <w:p w14:paraId="757A0FA4">
            <w:pPr>
              <w:widowControl/>
              <w:jc w:val="center"/>
              <w:rPr>
                <w:rFonts w:ascii="宋体" w:hAnsi="宋体" w:eastAsia="宋体" w:cs="宋体"/>
                <w:color w:val="000000"/>
                <w:sz w:val="24"/>
              </w:rPr>
            </w:pPr>
            <w:r>
              <w:rPr>
                <w:rFonts w:hint="eastAsia" w:ascii="宋体" w:hAnsi="宋体" w:eastAsia="宋体" w:cs="宋体"/>
                <w:color w:val="000000"/>
                <w:sz w:val="24"/>
              </w:rPr>
              <w:t>智慧操场（400米操场）</w:t>
            </w:r>
          </w:p>
        </w:tc>
        <w:tc>
          <w:tcPr>
            <w:tcW w:w="980" w:type="dxa"/>
            <w:shd w:val="clear" w:color="auto" w:fill="auto"/>
            <w:vAlign w:val="center"/>
          </w:tcPr>
          <w:p w14:paraId="666E27D2">
            <w:pPr>
              <w:widowControl/>
              <w:jc w:val="center"/>
              <w:rPr>
                <w:rFonts w:ascii="Calibri" w:hAnsi="Calibri" w:eastAsia="宋体" w:cs="宋体"/>
                <w:color w:val="000000"/>
                <w:sz w:val="24"/>
              </w:rPr>
            </w:pPr>
          </w:p>
        </w:tc>
        <w:tc>
          <w:tcPr>
            <w:tcW w:w="980" w:type="dxa"/>
            <w:shd w:val="clear" w:color="auto" w:fill="auto"/>
            <w:vAlign w:val="center"/>
          </w:tcPr>
          <w:p w14:paraId="3B9CDCAA">
            <w:pPr>
              <w:widowControl/>
              <w:jc w:val="center"/>
              <w:rPr>
                <w:rFonts w:ascii="Calibri" w:hAnsi="Calibri" w:eastAsia="宋体" w:cs="宋体"/>
                <w:color w:val="000000"/>
                <w:sz w:val="24"/>
              </w:rPr>
            </w:pPr>
          </w:p>
        </w:tc>
        <w:tc>
          <w:tcPr>
            <w:tcW w:w="980" w:type="dxa"/>
            <w:shd w:val="clear" w:color="auto" w:fill="auto"/>
            <w:vAlign w:val="center"/>
          </w:tcPr>
          <w:p w14:paraId="205E5238">
            <w:pPr>
              <w:widowControl/>
              <w:jc w:val="center"/>
              <w:rPr>
                <w:rFonts w:ascii="Calibri" w:hAnsi="Calibri" w:eastAsia="宋体" w:cs="宋体"/>
                <w:color w:val="000000"/>
                <w:sz w:val="24"/>
              </w:rPr>
            </w:pPr>
            <w:r>
              <w:rPr>
                <w:rFonts w:ascii="Calibri" w:hAnsi="Calibri" w:eastAsia="宋体" w:cs="宋体"/>
                <w:color w:val="000000"/>
                <w:sz w:val="24"/>
              </w:rPr>
              <w:t>3</w:t>
            </w:r>
          </w:p>
        </w:tc>
        <w:tc>
          <w:tcPr>
            <w:tcW w:w="1280" w:type="dxa"/>
            <w:shd w:val="clear" w:color="auto" w:fill="auto"/>
            <w:vAlign w:val="center"/>
          </w:tcPr>
          <w:p w14:paraId="5186FE47">
            <w:pPr>
              <w:widowControl/>
              <w:jc w:val="center"/>
              <w:rPr>
                <w:rFonts w:ascii="Calibri" w:hAnsi="Calibri" w:eastAsia="宋体" w:cs="宋体"/>
                <w:color w:val="000000"/>
                <w:sz w:val="24"/>
              </w:rPr>
            </w:pPr>
          </w:p>
        </w:tc>
        <w:tc>
          <w:tcPr>
            <w:tcW w:w="1157" w:type="dxa"/>
            <w:shd w:val="clear" w:color="auto" w:fill="auto"/>
            <w:vAlign w:val="center"/>
          </w:tcPr>
          <w:p w14:paraId="37C59E6E">
            <w:pPr>
              <w:widowControl/>
              <w:jc w:val="center"/>
              <w:rPr>
                <w:rFonts w:ascii="Calibri" w:hAnsi="Calibri" w:eastAsia="宋体" w:cs="宋体"/>
                <w:color w:val="000000"/>
                <w:sz w:val="24"/>
              </w:rPr>
            </w:pPr>
          </w:p>
        </w:tc>
        <w:tc>
          <w:tcPr>
            <w:tcW w:w="1012" w:type="dxa"/>
            <w:shd w:val="clear" w:color="auto" w:fill="auto"/>
            <w:vAlign w:val="center"/>
          </w:tcPr>
          <w:p w14:paraId="3AE6CFD1">
            <w:pPr>
              <w:widowControl/>
              <w:jc w:val="center"/>
              <w:rPr>
                <w:rFonts w:ascii="Calibri" w:hAnsi="Calibri" w:eastAsia="宋体" w:cs="宋体"/>
                <w:color w:val="000000"/>
                <w:sz w:val="24"/>
              </w:rPr>
            </w:pPr>
          </w:p>
        </w:tc>
      </w:tr>
      <w:tr w14:paraId="6704E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739" w:type="dxa"/>
            <w:shd w:val="clear" w:color="auto" w:fill="auto"/>
            <w:vAlign w:val="center"/>
          </w:tcPr>
          <w:p w14:paraId="4FA0CFB8">
            <w:pPr>
              <w:widowControl/>
              <w:jc w:val="center"/>
              <w:rPr>
                <w:rFonts w:ascii="宋体" w:hAnsi="宋体" w:eastAsia="宋体" w:cs="宋体"/>
                <w:color w:val="000000"/>
                <w:sz w:val="24"/>
              </w:rPr>
            </w:pPr>
            <w:r>
              <w:rPr>
                <w:rFonts w:hint="eastAsia" w:ascii="宋体" w:hAnsi="宋体" w:eastAsia="宋体" w:cs="宋体"/>
                <w:color w:val="000000"/>
                <w:sz w:val="24"/>
              </w:rPr>
              <w:t>4</w:t>
            </w:r>
          </w:p>
        </w:tc>
        <w:tc>
          <w:tcPr>
            <w:tcW w:w="1568" w:type="dxa"/>
            <w:shd w:val="clear" w:color="auto" w:fill="auto"/>
            <w:vAlign w:val="center"/>
          </w:tcPr>
          <w:p w14:paraId="1128CFAF">
            <w:pPr>
              <w:widowControl/>
              <w:jc w:val="center"/>
              <w:rPr>
                <w:rFonts w:ascii="宋体" w:hAnsi="宋体" w:eastAsia="宋体" w:cs="宋体"/>
                <w:color w:val="000000"/>
                <w:sz w:val="24"/>
              </w:rPr>
            </w:pPr>
            <w:r>
              <w:rPr>
                <w:rFonts w:hint="eastAsia" w:ascii="宋体" w:hAnsi="宋体" w:eastAsia="宋体" w:cs="宋体"/>
                <w:color w:val="000000"/>
                <w:sz w:val="24"/>
              </w:rPr>
              <w:t>智慧游戏一体机</w:t>
            </w:r>
          </w:p>
        </w:tc>
        <w:tc>
          <w:tcPr>
            <w:tcW w:w="980" w:type="dxa"/>
            <w:shd w:val="clear" w:color="auto" w:fill="auto"/>
            <w:vAlign w:val="center"/>
          </w:tcPr>
          <w:p w14:paraId="49A9D842">
            <w:pPr>
              <w:widowControl/>
              <w:jc w:val="center"/>
              <w:rPr>
                <w:rFonts w:ascii="Calibri" w:hAnsi="Calibri" w:eastAsia="宋体" w:cs="宋体"/>
                <w:color w:val="000000"/>
                <w:sz w:val="24"/>
              </w:rPr>
            </w:pPr>
          </w:p>
        </w:tc>
        <w:tc>
          <w:tcPr>
            <w:tcW w:w="980" w:type="dxa"/>
            <w:shd w:val="clear" w:color="auto" w:fill="auto"/>
            <w:vAlign w:val="center"/>
          </w:tcPr>
          <w:p w14:paraId="4A65965D">
            <w:pPr>
              <w:widowControl/>
              <w:jc w:val="center"/>
              <w:rPr>
                <w:rFonts w:ascii="Calibri" w:hAnsi="Calibri" w:eastAsia="宋体" w:cs="宋体"/>
                <w:color w:val="000000"/>
                <w:sz w:val="24"/>
              </w:rPr>
            </w:pPr>
          </w:p>
        </w:tc>
        <w:tc>
          <w:tcPr>
            <w:tcW w:w="980" w:type="dxa"/>
            <w:shd w:val="clear" w:color="auto" w:fill="auto"/>
            <w:vAlign w:val="center"/>
          </w:tcPr>
          <w:p w14:paraId="15F8CBDC">
            <w:pPr>
              <w:widowControl/>
              <w:jc w:val="center"/>
              <w:rPr>
                <w:rFonts w:ascii="Calibri" w:hAnsi="Calibri" w:eastAsia="宋体" w:cs="宋体"/>
                <w:color w:val="000000"/>
                <w:sz w:val="24"/>
              </w:rPr>
            </w:pPr>
            <w:r>
              <w:rPr>
                <w:rFonts w:hint="eastAsia" w:ascii="Calibri" w:hAnsi="Calibri" w:eastAsia="宋体" w:cs="宋体"/>
                <w:color w:val="000000"/>
                <w:sz w:val="24"/>
              </w:rPr>
              <w:t>9</w:t>
            </w:r>
          </w:p>
        </w:tc>
        <w:tc>
          <w:tcPr>
            <w:tcW w:w="1280" w:type="dxa"/>
            <w:shd w:val="clear" w:color="auto" w:fill="auto"/>
            <w:vAlign w:val="center"/>
          </w:tcPr>
          <w:p w14:paraId="4DBFFAFA">
            <w:pPr>
              <w:widowControl/>
              <w:jc w:val="center"/>
              <w:rPr>
                <w:rFonts w:ascii="Calibri" w:hAnsi="Calibri" w:eastAsia="宋体" w:cs="宋体"/>
                <w:color w:val="000000"/>
                <w:sz w:val="24"/>
              </w:rPr>
            </w:pPr>
          </w:p>
        </w:tc>
        <w:tc>
          <w:tcPr>
            <w:tcW w:w="1157" w:type="dxa"/>
            <w:shd w:val="clear" w:color="auto" w:fill="auto"/>
            <w:vAlign w:val="center"/>
          </w:tcPr>
          <w:p w14:paraId="5DE8ABCA">
            <w:pPr>
              <w:widowControl/>
              <w:jc w:val="center"/>
              <w:rPr>
                <w:rFonts w:ascii="Calibri" w:hAnsi="Calibri" w:eastAsia="宋体" w:cs="宋体"/>
                <w:color w:val="000000"/>
                <w:sz w:val="24"/>
              </w:rPr>
            </w:pPr>
          </w:p>
        </w:tc>
        <w:tc>
          <w:tcPr>
            <w:tcW w:w="1012" w:type="dxa"/>
            <w:shd w:val="clear" w:color="auto" w:fill="auto"/>
            <w:vAlign w:val="center"/>
          </w:tcPr>
          <w:p w14:paraId="218F64B8">
            <w:pPr>
              <w:widowControl/>
              <w:jc w:val="center"/>
              <w:rPr>
                <w:rFonts w:ascii="Calibri" w:hAnsi="Calibri" w:eastAsia="宋体" w:cs="宋体"/>
                <w:color w:val="000000"/>
                <w:sz w:val="24"/>
              </w:rPr>
            </w:pPr>
          </w:p>
        </w:tc>
      </w:tr>
      <w:tr w14:paraId="4B417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739" w:type="dxa"/>
            <w:shd w:val="clear" w:color="auto" w:fill="auto"/>
            <w:vAlign w:val="center"/>
          </w:tcPr>
          <w:p w14:paraId="18FE70FC">
            <w:pPr>
              <w:widowControl/>
              <w:jc w:val="center"/>
              <w:rPr>
                <w:rFonts w:ascii="宋体" w:hAnsi="宋体" w:eastAsia="宋体" w:cs="宋体"/>
                <w:color w:val="000000"/>
                <w:sz w:val="24"/>
              </w:rPr>
            </w:pPr>
            <w:r>
              <w:rPr>
                <w:rFonts w:hint="eastAsia" w:ascii="宋体" w:hAnsi="宋体" w:eastAsia="宋体" w:cs="宋体"/>
                <w:color w:val="000000"/>
                <w:sz w:val="24"/>
              </w:rPr>
              <w:t>5</w:t>
            </w:r>
          </w:p>
        </w:tc>
        <w:tc>
          <w:tcPr>
            <w:tcW w:w="1568" w:type="dxa"/>
            <w:shd w:val="clear" w:color="auto" w:fill="auto"/>
            <w:vAlign w:val="center"/>
          </w:tcPr>
          <w:p w14:paraId="55CFE2A5">
            <w:pPr>
              <w:widowControl/>
              <w:jc w:val="center"/>
              <w:rPr>
                <w:rFonts w:ascii="宋体" w:hAnsi="宋体" w:eastAsia="宋体" w:cs="宋体"/>
                <w:color w:val="000000"/>
                <w:sz w:val="24"/>
              </w:rPr>
            </w:pPr>
            <w:r>
              <w:rPr>
                <w:rFonts w:hint="eastAsia" w:ascii="宋体" w:hAnsi="宋体" w:eastAsia="宋体" w:cs="宋体"/>
                <w:color w:val="000000"/>
                <w:sz w:val="24"/>
              </w:rPr>
              <w:t>智慧体测一体机</w:t>
            </w:r>
          </w:p>
        </w:tc>
        <w:tc>
          <w:tcPr>
            <w:tcW w:w="980" w:type="dxa"/>
            <w:shd w:val="clear" w:color="auto" w:fill="auto"/>
            <w:vAlign w:val="center"/>
          </w:tcPr>
          <w:p w14:paraId="59B97E22">
            <w:pPr>
              <w:widowControl/>
              <w:jc w:val="center"/>
              <w:rPr>
                <w:rFonts w:ascii="Calibri" w:hAnsi="Calibri" w:eastAsia="宋体" w:cs="宋体"/>
                <w:color w:val="000000"/>
                <w:sz w:val="24"/>
              </w:rPr>
            </w:pPr>
          </w:p>
        </w:tc>
        <w:tc>
          <w:tcPr>
            <w:tcW w:w="980" w:type="dxa"/>
            <w:shd w:val="clear" w:color="auto" w:fill="auto"/>
            <w:vAlign w:val="center"/>
          </w:tcPr>
          <w:p w14:paraId="61BE410B">
            <w:pPr>
              <w:widowControl/>
              <w:jc w:val="center"/>
              <w:rPr>
                <w:rFonts w:ascii="Calibri" w:hAnsi="Calibri" w:eastAsia="宋体" w:cs="宋体"/>
                <w:color w:val="000000"/>
                <w:sz w:val="24"/>
              </w:rPr>
            </w:pPr>
          </w:p>
        </w:tc>
        <w:tc>
          <w:tcPr>
            <w:tcW w:w="980" w:type="dxa"/>
            <w:shd w:val="clear" w:color="auto" w:fill="auto"/>
            <w:vAlign w:val="center"/>
          </w:tcPr>
          <w:p w14:paraId="4C380502">
            <w:pPr>
              <w:widowControl/>
              <w:jc w:val="center"/>
              <w:rPr>
                <w:rFonts w:ascii="Calibri" w:hAnsi="Calibri" w:eastAsia="宋体" w:cs="宋体"/>
                <w:color w:val="000000"/>
                <w:sz w:val="24"/>
              </w:rPr>
            </w:pPr>
            <w:r>
              <w:rPr>
                <w:rFonts w:hint="eastAsia" w:ascii="Calibri" w:hAnsi="Calibri" w:eastAsia="宋体" w:cs="宋体"/>
                <w:color w:val="000000"/>
                <w:sz w:val="24"/>
              </w:rPr>
              <w:t>9</w:t>
            </w:r>
          </w:p>
        </w:tc>
        <w:tc>
          <w:tcPr>
            <w:tcW w:w="1280" w:type="dxa"/>
            <w:shd w:val="clear" w:color="auto" w:fill="auto"/>
            <w:vAlign w:val="center"/>
          </w:tcPr>
          <w:p w14:paraId="13B4D2E9">
            <w:pPr>
              <w:widowControl/>
              <w:jc w:val="center"/>
              <w:rPr>
                <w:rFonts w:ascii="Calibri" w:hAnsi="Calibri" w:eastAsia="宋体" w:cs="宋体"/>
                <w:color w:val="000000"/>
                <w:sz w:val="24"/>
              </w:rPr>
            </w:pPr>
          </w:p>
        </w:tc>
        <w:tc>
          <w:tcPr>
            <w:tcW w:w="1157" w:type="dxa"/>
            <w:shd w:val="clear" w:color="auto" w:fill="auto"/>
            <w:vAlign w:val="center"/>
          </w:tcPr>
          <w:p w14:paraId="39A794C5">
            <w:pPr>
              <w:widowControl/>
              <w:jc w:val="center"/>
              <w:rPr>
                <w:rFonts w:ascii="Calibri" w:hAnsi="Calibri" w:eastAsia="宋体" w:cs="宋体"/>
                <w:color w:val="000000"/>
                <w:sz w:val="24"/>
              </w:rPr>
            </w:pPr>
          </w:p>
        </w:tc>
        <w:tc>
          <w:tcPr>
            <w:tcW w:w="1012" w:type="dxa"/>
            <w:shd w:val="clear" w:color="auto" w:fill="auto"/>
            <w:vAlign w:val="center"/>
          </w:tcPr>
          <w:p w14:paraId="13B853D3">
            <w:pPr>
              <w:widowControl/>
              <w:jc w:val="center"/>
              <w:rPr>
                <w:rFonts w:ascii="Calibri" w:hAnsi="Calibri" w:eastAsia="宋体" w:cs="宋体"/>
                <w:color w:val="000000"/>
                <w:sz w:val="24"/>
              </w:rPr>
            </w:pPr>
          </w:p>
        </w:tc>
      </w:tr>
      <w:tr w14:paraId="5BC91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739" w:type="dxa"/>
            <w:shd w:val="clear" w:color="auto" w:fill="auto"/>
            <w:vAlign w:val="center"/>
          </w:tcPr>
          <w:p w14:paraId="6DA24D73">
            <w:pPr>
              <w:widowControl/>
              <w:jc w:val="center"/>
              <w:rPr>
                <w:rFonts w:ascii="宋体" w:hAnsi="宋体" w:eastAsia="宋体" w:cs="宋体"/>
                <w:color w:val="000000"/>
                <w:sz w:val="24"/>
              </w:rPr>
            </w:pPr>
            <w:r>
              <w:rPr>
                <w:rFonts w:hint="eastAsia" w:ascii="宋体" w:hAnsi="宋体" w:eastAsia="宋体" w:cs="宋体"/>
                <w:color w:val="000000"/>
                <w:sz w:val="24"/>
              </w:rPr>
              <w:t>…</w:t>
            </w:r>
          </w:p>
        </w:tc>
        <w:tc>
          <w:tcPr>
            <w:tcW w:w="1568" w:type="dxa"/>
            <w:shd w:val="clear" w:color="auto" w:fill="auto"/>
            <w:vAlign w:val="center"/>
          </w:tcPr>
          <w:p w14:paraId="6B1E005E">
            <w:pPr>
              <w:widowControl/>
              <w:jc w:val="center"/>
              <w:rPr>
                <w:rFonts w:ascii="宋体" w:hAnsi="宋体" w:eastAsia="宋体" w:cs="宋体"/>
                <w:color w:val="000000"/>
                <w:sz w:val="24"/>
              </w:rPr>
            </w:pPr>
            <w:r>
              <w:rPr>
                <w:rFonts w:hint="eastAsia" w:ascii="宋体" w:hAnsi="宋体" w:eastAsia="宋体" w:cs="宋体"/>
                <w:color w:val="000000"/>
                <w:sz w:val="24"/>
              </w:rPr>
              <w:t>……</w:t>
            </w:r>
          </w:p>
        </w:tc>
        <w:tc>
          <w:tcPr>
            <w:tcW w:w="980" w:type="dxa"/>
            <w:shd w:val="clear" w:color="auto" w:fill="auto"/>
            <w:vAlign w:val="center"/>
          </w:tcPr>
          <w:p w14:paraId="307B87ED">
            <w:pPr>
              <w:widowControl/>
              <w:jc w:val="center"/>
              <w:rPr>
                <w:rFonts w:ascii="Calibri" w:hAnsi="Calibri" w:eastAsia="宋体" w:cs="宋体"/>
                <w:color w:val="000000"/>
                <w:sz w:val="24"/>
              </w:rPr>
            </w:pPr>
          </w:p>
        </w:tc>
        <w:tc>
          <w:tcPr>
            <w:tcW w:w="980" w:type="dxa"/>
            <w:shd w:val="clear" w:color="auto" w:fill="auto"/>
            <w:vAlign w:val="center"/>
          </w:tcPr>
          <w:p w14:paraId="5E02D86D">
            <w:pPr>
              <w:widowControl/>
              <w:jc w:val="center"/>
              <w:rPr>
                <w:rFonts w:ascii="Calibri" w:hAnsi="Calibri" w:eastAsia="宋体" w:cs="宋体"/>
                <w:color w:val="000000"/>
                <w:sz w:val="24"/>
              </w:rPr>
            </w:pPr>
          </w:p>
        </w:tc>
        <w:tc>
          <w:tcPr>
            <w:tcW w:w="980" w:type="dxa"/>
            <w:shd w:val="clear" w:color="auto" w:fill="auto"/>
            <w:vAlign w:val="center"/>
          </w:tcPr>
          <w:p w14:paraId="2E724426">
            <w:pPr>
              <w:widowControl/>
              <w:jc w:val="center"/>
              <w:rPr>
                <w:rFonts w:ascii="Calibri" w:hAnsi="Calibri" w:eastAsia="宋体" w:cs="宋体"/>
                <w:color w:val="000000"/>
                <w:sz w:val="24"/>
              </w:rPr>
            </w:pPr>
          </w:p>
        </w:tc>
        <w:tc>
          <w:tcPr>
            <w:tcW w:w="1280" w:type="dxa"/>
            <w:shd w:val="clear" w:color="auto" w:fill="auto"/>
            <w:vAlign w:val="center"/>
          </w:tcPr>
          <w:p w14:paraId="60CEE26C">
            <w:pPr>
              <w:widowControl/>
              <w:jc w:val="center"/>
              <w:rPr>
                <w:rFonts w:ascii="Calibri" w:hAnsi="Calibri" w:eastAsia="宋体" w:cs="宋体"/>
                <w:color w:val="000000"/>
                <w:sz w:val="24"/>
              </w:rPr>
            </w:pPr>
          </w:p>
        </w:tc>
        <w:tc>
          <w:tcPr>
            <w:tcW w:w="1157" w:type="dxa"/>
            <w:shd w:val="clear" w:color="auto" w:fill="auto"/>
            <w:vAlign w:val="center"/>
          </w:tcPr>
          <w:p w14:paraId="7B1B8AB8">
            <w:pPr>
              <w:widowControl/>
              <w:jc w:val="center"/>
              <w:rPr>
                <w:rFonts w:ascii="Calibri" w:hAnsi="Calibri" w:eastAsia="宋体" w:cs="宋体"/>
                <w:color w:val="000000"/>
                <w:sz w:val="24"/>
              </w:rPr>
            </w:pPr>
          </w:p>
        </w:tc>
        <w:tc>
          <w:tcPr>
            <w:tcW w:w="1012" w:type="dxa"/>
            <w:shd w:val="clear" w:color="auto" w:fill="auto"/>
            <w:vAlign w:val="center"/>
          </w:tcPr>
          <w:p w14:paraId="4F3887CE">
            <w:pPr>
              <w:widowControl/>
              <w:jc w:val="center"/>
              <w:rPr>
                <w:rFonts w:ascii="Calibri" w:hAnsi="Calibri" w:eastAsia="宋体" w:cs="宋体"/>
                <w:color w:val="000000"/>
                <w:sz w:val="24"/>
              </w:rPr>
            </w:pPr>
          </w:p>
        </w:tc>
      </w:tr>
      <w:tr w14:paraId="4F494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7684" w:type="dxa"/>
            <w:gridSpan w:val="7"/>
            <w:shd w:val="clear" w:color="auto" w:fill="auto"/>
            <w:vAlign w:val="center"/>
          </w:tcPr>
          <w:p w14:paraId="4AA16742">
            <w:pPr>
              <w:widowControl/>
              <w:jc w:val="center"/>
              <w:rPr>
                <w:rFonts w:ascii="宋体" w:hAnsi="宋体" w:eastAsia="宋体" w:cs="宋体"/>
                <w:color w:val="000000"/>
                <w:sz w:val="24"/>
              </w:rPr>
            </w:pPr>
            <w:r>
              <w:rPr>
                <w:rFonts w:hint="eastAsia" w:ascii="宋体" w:hAnsi="宋体" w:eastAsia="宋体" w:cs="宋体"/>
                <w:color w:val="000000"/>
                <w:sz w:val="24"/>
              </w:rPr>
              <w:t>投标总报价（人民币：元）</w:t>
            </w:r>
          </w:p>
        </w:tc>
        <w:tc>
          <w:tcPr>
            <w:tcW w:w="1012" w:type="dxa"/>
            <w:shd w:val="clear" w:color="auto" w:fill="auto"/>
            <w:vAlign w:val="center"/>
          </w:tcPr>
          <w:p w14:paraId="09FA5A8A">
            <w:pPr>
              <w:widowControl/>
              <w:jc w:val="center"/>
              <w:rPr>
                <w:rFonts w:ascii="Calibri" w:hAnsi="Calibri" w:eastAsia="宋体" w:cs="宋体"/>
                <w:color w:val="000000"/>
                <w:sz w:val="24"/>
              </w:rPr>
            </w:pPr>
          </w:p>
        </w:tc>
      </w:tr>
      <w:tr w14:paraId="7FFA5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jc w:val="center"/>
        </w:trPr>
        <w:tc>
          <w:tcPr>
            <w:tcW w:w="8696" w:type="dxa"/>
            <w:gridSpan w:val="8"/>
            <w:shd w:val="clear" w:color="auto" w:fill="auto"/>
            <w:vAlign w:val="center"/>
          </w:tcPr>
          <w:p w14:paraId="35381FC1">
            <w:pPr>
              <w:widowControl/>
              <w:rPr>
                <w:rFonts w:ascii="宋体" w:hAnsi="宋体" w:eastAsia="宋体" w:cs="宋体"/>
                <w:color w:val="FF0000"/>
                <w:sz w:val="24"/>
              </w:rPr>
            </w:pPr>
            <w:r>
              <w:rPr>
                <w:rFonts w:hint="eastAsia" w:ascii="宋体" w:hAnsi="宋体" w:eastAsia="宋体" w:cs="宋体"/>
                <w:sz w:val="24"/>
              </w:rPr>
              <w:t>本采购包中提供的符合本国产品标准的产品成本之和占该采购包提供的全部产品成本之和的比例为</w:t>
            </w:r>
            <w:r>
              <w:rPr>
                <w:rFonts w:hint="eastAsia" w:ascii="宋体" w:hAnsi="宋体" w:eastAsia="宋体" w:cs="宋体"/>
                <w:sz w:val="24"/>
                <w:u w:val="single"/>
              </w:rPr>
              <w:t>***</w:t>
            </w:r>
            <w:r>
              <w:rPr>
                <w:rFonts w:hint="eastAsia" w:ascii="宋体" w:hAnsi="宋体" w:eastAsia="宋体" w:cs="宋体"/>
                <w:sz w:val="24"/>
              </w:rPr>
              <w:t>%。</w:t>
            </w:r>
          </w:p>
        </w:tc>
      </w:tr>
    </w:tbl>
    <w:p w14:paraId="75F0CDE5">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备注：</w:t>
      </w:r>
    </w:p>
    <w:p w14:paraId="3048FB32">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1.投标报价采用总承包方式，“投标总报价”应包括所投货物（包含与货物相关的服务）费用、本地化部署费用、安装调试费、测试验收费、培训费、运行维护费用、税金、国际国内运输保险、报关清关、开证、办理全套免税手续费用及其他有关的为完成本项目发生的所有费用，招标文件中另有规定的除外。</w:t>
      </w:r>
    </w:p>
    <w:p w14:paraId="4E4A58A2">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2.“投标分项报价表”中“投标总报价”数额应当与“开标一览表”中“投标总报价”数额一致。</w:t>
      </w:r>
    </w:p>
    <w:p w14:paraId="5230CD68">
      <w:pPr>
        <w:widowControl/>
        <w:spacing w:line="560" w:lineRule="exact"/>
        <w:ind w:firstLine="482"/>
        <w:jc w:val="left"/>
        <w:rPr>
          <w:rFonts w:ascii="宋体" w:hAnsi="宋体" w:eastAsia="宋体" w:cs="宋体"/>
          <w:sz w:val="24"/>
          <w:szCs w:val="20"/>
        </w:rPr>
      </w:pPr>
      <w:r>
        <w:rPr>
          <w:rFonts w:hint="eastAsia" w:ascii="宋体" w:hAnsi="宋体" w:eastAsia="宋体" w:cs="宋体"/>
          <w:sz w:val="24"/>
          <w:szCs w:val="20"/>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2E91B2FB">
      <w:pPr>
        <w:widowControl/>
        <w:spacing w:before="120" w:line="400" w:lineRule="exact"/>
        <w:jc w:val="center"/>
        <w:rPr>
          <w:rFonts w:ascii="黑体" w:hAnsi="黑体" w:eastAsia="黑体" w:cs="黑体"/>
          <w:i/>
          <w:sz w:val="32"/>
          <w:szCs w:val="32"/>
          <w:u w:val="single"/>
        </w:rPr>
      </w:pPr>
      <w:r>
        <w:rPr>
          <w:rFonts w:hint="eastAsia" w:ascii="黑体" w:hAnsi="黑体" w:eastAsia="黑体" w:cs="黑体"/>
          <w:i/>
          <w:sz w:val="32"/>
          <w:szCs w:val="32"/>
          <w:u w:val="single"/>
        </w:rPr>
        <w:t>十三、技术要求响应及偏离表</w:t>
      </w:r>
    </w:p>
    <w:tbl>
      <w:tblPr>
        <w:tblStyle w:val="40"/>
        <w:tblpPr w:leftFromText="180" w:rightFromText="180" w:vertAnchor="text" w:horzAnchor="page" w:tblpXSpec="center" w:tblpY="390"/>
        <w:tblW w:w="89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6"/>
        <w:gridCol w:w="3260"/>
        <w:gridCol w:w="2031"/>
        <w:gridCol w:w="1555"/>
        <w:gridCol w:w="1323"/>
      </w:tblGrid>
      <w:tr w14:paraId="7878E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6" w:hRule="atLeast"/>
          <w:jc w:val="center"/>
        </w:trPr>
        <w:tc>
          <w:tcPr>
            <w:tcW w:w="806" w:type="dxa"/>
            <w:vAlign w:val="center"/>
          </w:tcPr>
          <w:p w14:paraId="42C8B7CF">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序号</w:t>
            </w:r>
          </w:p>
        </w:tc>
        <w:tc>
          <w:tcPr>
            <w:tcW w:w="3260" w:type="dxa"/>
            <w:vAlign w:val="center"/>
          </w:tcPr>
          <w:p w14:paraId="598052B7">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招标文件要求</w:t>
            </w:r>
          </w:p>
        </w:tc>
        <w:tc>
          <w:tcPr>
            <w:tcW w:w="2031" w:type="dxa"/>
            <w:vAlign w:val="center"/>
          </w:tcPr>
          <w:p w14:paraId="4999D4E4">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投标响应情况</w:t>
            </w:r>
          </w:p>
        </w:tc>
        <w:tc>
          <w:tcPr>
            <w:tcW w:w="1555" w:type="dxa"/>
            <w:vAlign w:val="center"/>
          </w:tcPr>
          <w:p w14:paraId="154D5D1A">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超出、符合或偏离</w:t>
            </w:r>
          </w:p>
        </w:tc>
        <w:tc>
          <w:tcPr>
            <w:tcW w:w="1323" w:type="dxa"/>
            <w:vAlign w:val="center"/>
          </w:tcPr>
          <w:p w14:paraId="4304C712">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证明材料</w:t>
            </w:r>
          </w:p>
        </w:tc>
      </w:tr>
      <w:tr w14:paraId="25F77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806" w:type="dxa"/>
            <w:vAlign w:val="center"/>
          </w:tcPr>
          <w:p w14:paraId="58666E8C">
            <w:pPr>
              <w:widowControl/>
              <w:spacing w:line="400" w:lineRule="exact"/>
              <w:jc w:val="center"/>
              <w:rPr>
                <w:rFonts w:asciiTheme="minorEastAsia" w:hAnsiTheme="minorEastAsia" w:cstheme="minorEastAsia"/>
                <w:sz w:val="24"/>
              </w:rPr>
            </w:pPr>
          </w:p>
        </w:tc>
        <w:tc>
          <w:tcPr>
            <w:tcW w:w="3260" w:type="dxa"/>
            <w:vAlign w:val="center"/>
          </w:tcPr>
          <w:p w14:paraId="5C3F1C36">
            <w:pPr>
              <w:widowControl/>
              <w:spacing w:line="500" w:lineRule="exact"/>
              <w:jc w:val="left"/>
              <w:rPr>
                <w:rFonts w:asciiTheme="minorEastAsia" w:hAnsiTheme="minorEastAsia" w:cstheme="minorEastAsia"/>
                <w:sz w:val="24"/>
              </w:rPr>
            </w:pPr>
          </w:p>
        </w:tc>
        <w:tc>
          <w:tcPr>
            <w:tcW w:w="2031" w:type="dxa"/>
            <w:vAlign w:val="center"/>
          </w:tcPr>
          <w:p w14:paraId="410FC66F">
            <w:pPr>
              <w:widowControl/>
              <w:spacing w:line="500" w:lineRule="exact"/>
              <w:jc w:val="left"/>
              <w:rPr>
                <w:rFonts w:asciiTheme="minorEastAsia" w:hAnsiTheme="minorEastAsia" w:cstheme="minorEastAsia"/>
                <w:sz w:val="24"/>
              </w:rPr>
            </w:pPr>
          </w:p>
        </w:tc>
        <w:tc>
          <w:tcPr>
            <w:tcW w:w="1555" w:type="dxa"/>
            <w:vAlign w:val="center"/>
          </w:tcPr>
          <w:p w14:paraId="76410E07">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　</w:t>
            </w:r>
          </w:p>
        </w:tc>
        <w:tc>
          <w:tcPr>
            <w:tcW w:w="1323" w:type="dxa"/>
            <w:vAlign w:val="center"/>
          </w:tcPr>
          <w:p w14:paraId="3AB60107">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　</w:t>
            </w:r>
          </w:p>
        </w:tc>
      </w:tr>
      <w:tr w14:paraId="77577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806" w:type="dxa"/>
            <w:vAlign w:val="center"/>
          </w:tcPr>
          <w:p w14:paraId="215826CE">
            <w:pPr>
              <w:widowControl/>
              <w:spacing w:line="400" w:lineRule="exact"/>
              <w:jc w:val="center"/>
              <w:rPr>
                <w:rFonts w:asciiTheme="minorEastAsia" w:hAnsiTheme="minorEastAsia" w:cstheme="minorEastAsia"/>
                <w:sz w:val="24"/>
              </w:rPr>
            </w:pPr>
          </w:p>
        </w:tc>
        <w:tc>
          <w:tcPr>
            <w:tcW w:w="3260" w:type="dxa"/>
            <w:vAlign w:val="center"/>
          </w:tcPr>
          <w:p w14:paraId="4D3A135C">
            <w:pPr>
              <w:widowControl/>
              <w:spacing w:line="500" w:lineRule="exact"/>
              <w:jc w:val="left"/>
              <w:rPr>
                <w:rFonts w:asciiTheme="minorEastAsia" w:hAnsiTheme="minorEastAsia" w:cstheme="minorEastAsia"/>
                <w:sz w:val="24"/>
              </w:rPr>
            </w:pPr>
          </w:p>
        </w:tc>
        <w:tc>
          <w:tcPr>
            <w:tcW w:w="2031" w:type="dxa"/>
            <w:vAlign w:val="center"/>
          </w:tcPr>
          <w:p w14:paraId="21EA5770">
            <w:pPr>
              <w:widowControl/>
              <w:spacing w:line="500" w:lineRule="exact"/>
              <w:jc w:val="left"/>
              <w:rPr>
                <w:rFonts w:asciiTheme="minorEastAsia" w:hAnsiTheme="minorEastAsia" w:cstheme="minorEastAsia"/>
                <w:sz w:val="24"/>
              </w:rPr>
            </w:pPr>
          </w:p>
        </w:tc>
        <w:tc>
          <w:tcPr>
            <w:tcW w:w="1555" w:type="dxa"/>
            <w:vAlign w:val="center"/>
          </w:tcPr>
          <w:p w14:paraId="615467BD">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　</w:t>
            </w:r>
          </w:p>
        </w:tc>
        <w:tc>
          <w:tcPr>
            <w:tcW w:w="1323" w:type="dxa"/>
            <w:vAlign w:val="center"/>
          </w:tcPr>
          <w:p w14:paraId="347D2E67">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　</w:t>
            </w:r>
          </w:p>
        </w:tc>
      </w:tr>
      <w:tr w14:paraId="18953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806" w:type="dxa"/>
            <w:vAlign w:val="center"/>
          </w:tcPr>
          <w:p w14:paraId="33708DA8">
            <w:pPr>
              <w:widowControl/>
              <w:spacing w:line="400" w:lineRule="exact"/>
              <w:jc w:val="center"/>
              <w:rPr>
                <w:rFonts w:asciiTheme="minorEastAsia" w:hAnsiTheme="minorEastAsia" w:cstheme="minorEastAsia"/>
                <w:sz w:val="24"/>
              </w:rPr>
            </w:pPr>
          </w:p>
        </w:tc>
        <w:tc>
          <w:tcPr>
            <w:tcW w:w="3260" w:type="dxa"/>
            <w:vAlign w:val="center"/>
          </w:tcPr>
          <w:p w14:paraId="37DFAA29">
            <w:pPr>
              <w:widowControl/>
              <w:spacing w:line="500" w:lineRule="exact"/>
              <w:jc w:val="left"/>
              <w:rPr>
                <w:rFonts w:asciiTheme="minorEastAsia" w:hAnsiTheme="minorEastAsia" w:cstheme="minorEastAsia"/>
                <w:sz w:val="24"/>
              </w:rPr>
            </w:pPr>
          </w:p>
        </w:tc>
        <w:tc>
          <w:tcPr>
            <w:tcW w:w="2031" w:type="dxa"/>
            <w:vAlign w:val="center"/>
          </w:tcPr>
          <w:p w14:paraId="553327F5">
            <w:pPr>
              <w:widowControl/>
              <w:spacing w:line="500" w:lineRule="exact"/>
              <w:jc w:val="left"/>
              <w:rPr>
                <w:rFonts w:asciiTheme="minorEastAsia" w:hAnsiTheme="minorEastAsia" w:cstheme="minorEastAsia"/>
                <w:sz w:val="24"/>
              </w:rPr>
            </w:pPr>
          </w:p>
        </w:tc>
        <w:tc>
          <w:tcPr>
            <w:tcW w:w="1555" w:type="dxa"/>
            <w:vAlign w:val="center"/>
          </w:tcPr>
          <w:p w14:paraId="7160D7BA">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　</w:t>
            </w:r>
          </w:p>
        </w:tc>
        <w:tc>
          <w:tcPr>
            <w:tcW w:w="1323" w:type="dxa"/>
            <w:vAlign w:val="center"/>
          </w:tcPr>
          <w:p w14:paraId="10D48F1A">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　</w:t>
            </w:r>
          </w:p>
        </w:tc>
      </w:tr>
      <w:tr w14:paraId="1907B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806" w:type="dxa"/>
            <w:vAlign w:val="center"/>
          </w:tcPr>
          <w:p w14:paraId="1EC838CA">
            <w:pPr>
              <w:widowControl/>
              <w:spacing w:line="400" w:lineRule="exact"/>
              <w:jc w:val="center"/>
              <w:rPr>
                <w:rFonts w:asciiTheme="minorEastAsia" w:hAnsiTheme="minorEastAsia" w:cstheme="minorEastAsia"/>
                <w:sz w:val="24"/>
              </w:rPr>
            </w:pPr>
          </w:p>
        </w:tc>
        <w:tc>
          <w:tcPr>
            <w:tcW w:w="3260" w:type="dxa"/>
            <w:vAlign w:val="center"/>
          </w:tcPr>
          <w:p w14:paraId="6647C359">
            <w:pPr>
              <w:widowControl/>
              <w:spacing w:line="500" w:lineRule="exact"/>
              <w:jc w:val="left"/>
              <w:rPr>
                <w:rFonts w:asciiTheme="minorEastAsia" w:hAnsiTheme="minorEastAsia" w:cstheme="minorEastAsia"/>
                <w:sz w:val="24"/>
              </w:rPr>
            </w:pPr>
          </w:p>
        </w:tc>
        <w:tc>
          <w:tcPr>
            <w:tcW w:w="2031" w:type="dxa"/>
            <w:vAlign w:val="center"/>
          </w:tcPr>
          <w:p w14:paraId="7991E265">
            <w:pPr>
              <w:widowControl/>
              <w:spacing w:line="500" w:lineRule="exact"/>
              <w:jc w:val="left"/>
              <w:rPr>
                <w:rFonts w:asciiTheme="minorEastAsia" w:hAnsiTheme="minorEastAsia" w:cstheme="minorEastAsia"/>
                <w:sz w:val="24"/>
              </w:rPr>
            </w:pPr>
          </w:p>
        </w:tc>
        <w:tc>
          <w:tcPr>
            <w:tcW w:w="1555" w:type="dxa"/>
            <w:vAlign w:val="center"/>
          </w:tcPr>
          <w:p w14:paraId="678EB90B">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　</w:t>
            </w:r>
          </w:p>
        </w:tc>
        <w:tc>
          <w:tcPr>
            <w:tcW w:w="1323" w:type="dxa"/>
            <w:vAlign w:val="center"/>
          </w:tcPr>
          <w:p w14:paraId="1DC86ED1">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　</w:t>
            </w:r>
          </w:p>
        </w:tc>
      </w:tr>
      <w:tr w14:paraId="7D743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806" w:type="dxa"/>
            <w:vAlign w:val="center"/>
          </w:tcPr>
          <w:p w14:paraId="258CE764">
            <w:pPr>
              <w:widowControl/>
              <w:spacing w:line="400" w:lineRule="exact"/>
              <w:jc w:val="center"/>
              <w:rPr>
                <w:rFonts w:asciiTheme="minorEastAsia" w:hAnsiTheme="minorEastAsia" w:cstheme="minorEastAsia"/>
                <w:sz w:val="24"/>
              </w:rPr>
            </w:pPr>
          </w:p>
        </w:tc>
        <w:tc>
          <w:tcPr>
            <w:tcW w:w="3260" w:type="dxa"/>
            <w:vAlign w:val="center"/>
          </w:tcPr>
          <w:p w14:paraId="63174315">
            <w:pPr>
              <w:widowControl/>
              <w:spacing w:line="500" w:lineRule="exact"/>
              <w:jc w:val="left"/>
              <w:rPr>
                <w:rFonts w:asciiTheme="minorEastAsia" w:hAnsiTheme="minorEastAsia" w:cstheme="minorEastAsia"/>
                <w:sz w:val="24"/>
              </w:rPr>
            </w:pPr>
          </w:p>
        </w:tc>
        <w:tc>
          <w:tcPr>
            <w:tcW w:w="2031" w:type="dxa"/>
            <w:vAlign w:val="center"/>
          </w:tcPr>
          <w:p w14:paraId="33EF2437">
            <w:pPr>
              <w:widowControl/>
              <w:spacing w:line="500" w:lineRule="exact"/>
              <w:jc w:val="left"/>
              <w:rPr>
                <w:rFonts w:asciiTheme="minorEastAsia" w:hAnsiTheme="minorEastAsia" w:cstheme="minorEastAsia"/>
                <w:sz w:val="24"/>
              </w:rPr>
            </w:pPr>
          </w:p>
        </w:tc>
        <w:tc>
          <w:tcPr>
            <w:tcW w:w="1555" w:type="dxa"/>
            <w:vAlign w:val="center"/>
          </w:tcPr>
          <w:p w14:paraId="611A5E53">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　</w:t>
            </w:r>
          </w:p>
        </w:tc>
        <w:tc>
          <w:tcPr>
            <w:tcW w:w="1323" w:type="dxa"/>
            <w:vAlign w:val="center"/>
          </w:tcPr>
          <w:p w14:paraId="16F68929">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　</w:t>
            </w:r>
          </w:p>
        </w:tc>
      </w:tr>
      <w:tr w14:paraId="6B9C3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806" w:type="dxa"/>
            <w:vAlign w:val="center"/>
          </w:tcPr>
          <w:p w14:paraId="4CD4DA49">
            <w:pPr>
              <w:widowControl/>
              <w:spacing w:line="400" w:lineRule="exact"/>
              <w:jc w:val="center"/>
              <w:rPr>
                <w:rFonts w:asciiTheme="minorEastAsia" w:hAnsiTheme="minorEastAsia" w:cstheme="minorEastAsia"/>
                <w:sz w:val="24"/>
              </w:rPr>
            </w:pPr>
          </w:p>
        </w:tc>
        <w:tc>
          <w:tcPr>
            <w:tcW w:w="3260" w:type="dxa"/>
            <w:vAlign w:val="center"/>
          </w:tcPr>
          <w:p w14:paraId="63AA0942">
            <w:pPr>
              <w:widowControl/>
              <w:spacing w:line="500" w:lineRule="exact"/>
              <w:jc w:val="left"/>
              <w:rPr>
                <w:rFonts w:asciiTheme="minorEastAsia" w:hAnsiTheme="minorEastAsia" w:cstheme="minorEastAsia"/>
                <w:sz w:val="24"/>
              </w:rPr>
            </w:pPr>
          </w:p>
        </w:tc>
        <w:tc>
          <w:tcPr>
            <w:tcW w:w="2031" w:type="dxa"/>
            <w:vAlign w:val="center"/>
          </w:tcPr>
          <w:p w14:paraId="7FCA3769">
            <w:pPr>
              <w:widowControl/>
              <w:spacing w:line="500" w:lineRule="exact"/>
              <w:jc w:val="left"/>
              <w:rPr>
                <w:rFonts w:asciiTheme="minorEastAsia" w:hAnsiTheme="minorEastAsia" w:cstheme="minorEastAsia"/>
                <w:sz w:val="24"/>
              </w:rPr>
            </w:pPr>
          </w:p>
        </w:tc>
        <w:tc>
          <w:tcPr>
            <w:tcW w:w="1555" w:type="dxa"/>
            <w:vAlign w:val="center"/>
          </w:tcPr>
          <w:p w14:paraId="38D1D5FE">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　</w:t>
            </w:r>
          </w:p>
        </w:tc>
        <w:tc>
          <w:tcPr>
            <w:tcW w:w="1323" w:type="dxa"/>
            <w:vAlign w:val="center"/>
          </w:tcPr>
          <w:p w14:paraId="24AB747F">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　</w:t>
            </w:r>
          </w:p>
        </w:tc>
      </w:tr>
      <w:tr w14:paraId="09DA7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806" w:type="dxa"/>
            <w:vAlign w:val="center"/>
          </w:tcPr>
          <w:p w14:paraId="6443D2FD">
            <w:pPr>
              <w:widowControl/>
              <w:spacing w:line="400" w:lineRule="exact"/>
              <w:jc w:val="center"/>
              <w:rPr>
                <w:rFonts w:asciiTheme="minorEastAsia" w:hAnsiTheme="minorEastAsia" w:cstheme="minorEastAsia"/>
                <w:sz w:val="24"/>
              </w:rPr>
            </w:pPr>
          </w:p>
        </w:tc>
        <w:tc>
          <w:tcPr>
            <w:tcW w:w="3260" w:type="dxa"/>
            <w:vAlign w:val="center"/>
          </w:tcPr>
          <w:p w14:paraId="69C5CBA7">
            <w:pPr>
              <w:widowControl/>
              <w:spacing w:line="500" w:lineRule="exact"/>
              <w:jc w:val="center"/>
              <w:rPr>
                <w:rFonts w:asciiTheme="minorEastAsia" w:hAnsiTheme="minorEastAsia" w:cstheme="minorEastAsia"/>
                <w:sz w:val="24"/>
              </w:rPr>
            </w:pPr>
            <w:r>
              <w:rPr>
                <w:rFonts w:hint="eastAsia" w:asciiTheme="minorEastAsia" w:hAnsiTheme="minorEastAsia" w:cstheme="minorEastAsia"/>
                <w:sz w:val="24"/>
              </w:rPr>
              <w:t>……</w:t>
            </w:r>
          </w:p>
        </w:tc>
        <w:tc>
          <w:tcPr>
            <w:tcW w:w="2031" w:type="dxa"/>
            <w:vAlign w:val="center"/>
          </w:tcPr>
          <w:p w14:paraId="50B5D1A8">
            <w:pPr>
              <w:widowControl/>
              <w:spacing w:line="500" w:lineRule="exact"/>
              <w:jc w:val="left"/>
              <w:rPr>
                <w:rFonts w:asciiTheme="minorEastAsia" w:hAnsiTheme="minorEastAsia" w:cstheme="minorEastAsia"/>
                <w:sz w:val="24"/>
              </w:rPr>
            </w:pPr>
          </w:p>
        </w:tc>
        <w:tc>
          <w:tcPr>
            <w:tcW w:w="1555" w:type="dxa"/>
            <w:vAlign w:val="center"/>
          </w:tcPr>
          <w:p w14:paraId="1FD39D34">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　</w:t>
            </w:r>
          </w:p>
        </w:tc>
        <w:tc>
          <w:tcPr>
            <w:tcW w:w="1323" w:type="dxa"/>
            <w:vAlign w:val="center"/>
          </w:tcPr>
          <w:p w14:paraId="269138AD">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　</w:t>
            </w:r>
          </w:p>
        </w:tc>
      </w:tr>
    </w:tbl>
    <w:p w14:paraId="183E9CC4">
      <w:pPr>
        <w:pStyle w:val="36"/>
        <w:widowControl/>
        <w:rPr>
          <w:rFonts w:asciiTheme="minorEastAsia" w:hAnsiTheme="minorEastAsia" w:cstheme="minorEastAsia"/>
        </w:rPr>
      </w:pPr>
      <w:r>
        <w:rPr>
          <w:rFonts w:hint="eastAsia" w:asciiTheme="minorEastAsia" w:hAnsiTheme="minorEastAsia" w:cstheme="minorEastAsia"/>
        </w:rPr>
        <w:t>注：行数不够，可自行添加。</w:t>
      </w:r>
      <w:r>
        <w:rPr>
          <w:rFonts w:asciiTheme="minorEastAsia" w:hAnsiTheme="minorEastAsia"/>
        </w:rPr>
        <w:br w:type="page" w:clear="all"/>
      </w:r>
    </w:p>
    <w:p w14:paraId="2A2A20EC">
      <w:pPr>
        <w:widowControl/>
        <w:spacing w:before="120" w:line="400" w:lineRule="exact"/>
        <w:jc w:val="center"/>
        <w:rPr>
          <w:rFonts w:ascii="黑体" w:hAnsi="黑体" w:eastAsia="黑体" w:cs="黑体"/>
          <w:i/>
          <w:sz w:val="32"/>
          <w:szCs w:val="32"/>
          <w:u w:val="single"/>
        </w:rPr>
      </w:pPr>
      <w:r>
        <w:rPr>
          <w:rFonts w:hint="eastAsia" w:ascii="黑体" w:hAnsi="黑体" w:eastAsia="黑体" w:cs="黑体"/>
          <w:i/>
          <w:sz w:val="32"/>
          <w:szCs w:val="32"/>
          <w:u w:val="single"/>
        </w:rPr>
        <w:t>十四、商务要求响应及偏离表</w:t>
      </w:r>
    </w:p>
    <w:tbl>
      <w:tblPr>
        <w:tblStyle w:val="40"/>
        <w:tblpPr w:leftFromText="180" w:rightFromText="180" w:vertAnchor="text" w:horzAnchor="page" w:tblpX="1738" w:tblpY="390"/>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1"/>
        <w:gridCol w:w="1900"/>
        <w:gridCol w:w="2006"/>
        <w:gridCol w:w="2304"/>
        <w:gridCol w:w="1514"/>
      </w:tblGrid>
      <w:tr w14:paraId="4B208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71" w:type="dxa"/>
            <w:vAlign w:val="center"/>
          </w:tcPr>
          <w:p w14:paraId="5B84E90D">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序号</w:t>
            </w:r>
          </w:p>
        </w:tc>
        <w:tc>
          <w:tcPr>
            <w:tcW w:w="1900" w:type="dxa"/>
            <w:vAlign w:val="center"/>
          </w:tcPr>
          <w:p w14:paraId="676F247F">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招标文件要求</w:t>
            </w:r>
          </w:p>
        </w:tc>
        <w:tc>
          <w:tcPr>
            <w:tcW w:w="2006" w:type="dxa"/>
            <w:vAlign w:val="center"/>
          </w:tcPr>
          <w:p w14:paraId="7AB9A0EA">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投标响应情况</w:t>
            </w:r>
          </w:p>
        </w:tc>
        <w:tc>
          <w:tcPr>
            <w:tcW w:w="2304" w:type="dxa"/>
            <w:vAlign w:val="center"/>
          </w:tcPr>
          <w:p w14:paraId="34CD0F3C">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超出、符合或偏离</w:t>
            </w:r>
          </w:p>
        </w:tc>
        <w:tc>
          <w:tcPr>
            <w:tcW w:w="1514" w:type="dxa"/>
            <w:vAlign w:val="center"/>
          </w:tcPr>
          <w:p w14:paraId="06661142">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证明材料</w:t>
            </w:r>
          </w:p>
        </w:tc>
      </w:tr>
      <w:tr w14:paraId="12939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71" w:type="dxa"/>
            <w:vAlign w:val="center"/>
          </w:tcPr>
          <w:p w14:paraId="648DC1AD">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　</w:t>
            </w:r>
          </w:p>
        </w:tc>
        <w:tc>
          <w:tcPr>
            <w:tcW w:w="1900" w:type="dxa"/>
            <w:vAlign w:val="center"/>
          </w:tcPr>
          <w:p w14:paraId="3F35D0AD">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　</w:t>
            </w:r>
          </w:p>
        </w:tc>
        <w:tc>
          <w:tcPr>
            <w:tcW w:w="2006" w:type="dxa"/>
            <w:vAlign w:val="center"/>
          </w:tcPr>
          <w:p w14:paraId="58E70850">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　</w:t>
            </w:r>
          </w:p>
        </w:tc>
        <w:tc>
          <w:tcPr>
            <w:tcW w:w="2304" w:type="dxa"/>
            <w:vAlign w:val="center"/>
          </w:tcPr>
          <w:p w14:paraId="79371311">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　</w:t>
            </w:r>
          </w:p>
        </w:tc>
        <w:tc>
          <w:tcPr>
            <w:tcW w:w="1514" w:type="dxa"/>
            <w:vAlign w:val="center"/>
          </w:tcPr>
          <w:p w14:paraId="6C022A31">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　</w:t>
            </w:r>
          </w:p>
        </w:tc>
      </w:tr>
      <w:tr w14:paraId="15D82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71" w:type="dxa"/>
            <w:vAlign w:val="center"/>
          </w:tcPr>
          <w:p w14:paraId="550FA6B9">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　</w:t>
            </w:r>
          </w:p>
        </w:tc>
        <w:tc>
          <w:tcPr>
            <w:tcW w:w="1900" w:type="dxa"/>
            <w:vAlign w:val="center"/>
          </w:tcPr>
          <w:p w14:paraId="701E0227">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　</w:t>
            </w:r>
          </w:p>
        </w:tc>
        <w:tc>
          <w:tcPr>
            <w:tcW w:w="2006" w:type="dxa"/>
            <w:vAlign w:val="center"/>
          </w:tcPr>
          <w:p w14:paraId="30188DEB">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　</w:t>
            </w:r>
          </w:p>
        </w:tc>
        <w:tc>
          <w:tcPr>
            <w:tcW w:w="2304" w:type="dxa"/>
            <w:vAlign w:val="center"/>
          </w:tcPr>
          <w:p w14:paraId="1E033654">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　</w:t>
            </w:r>
          </w:p>
        </w:tc>
        <w:tc>
          <w:tcPr>
            <w:tcW w:w="1514" w:type="dxa"/>
            <w:vAlign w:val="center"/>
          </w:tcPr>
          <w:p w14:paraId="3B2FB534">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　</w:t>
            </w:r>
          </w:p>
        </w:tc>
      </w:tr>
      <w:tr w14:paraId="67F8E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71" w:type="dxa"/>
            <w:vAlign w:val="center"/>
          </w:tcPr>
          <w:p w14:paraId="0228CD47">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　</w:t>
            </w:r>
          </w:p>
        </w:tc>
        <w:tc>
          <w:tcPr>
            <w:tcW w:w="1900" w:type="dxa"/>
            <w:vAlign w:val="center"/>
          </w:tcPr>
          <w:p w14:paraId="3D267D20">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　</w:t>
            </w:r>
          </w:p>
        </w:tc>
        <w:tc>
          <w:tcPr>
            <w:tcW w:w="2006" w:type="dxa"/>
            <w:vAlign w:val="center"/>
          </w:tcPr>
          <w:p w14:paraId="66E30FFD">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　</w:t>
            </w:r>
          </w:p>
        </w:tc>
        <w:tc>
          <w:tcPr>
            <w:tcW w:w="2304" w:type="dxa"/>
            <w:vAlign w:val="center"/>
          </w:tcPr>
          <w:p w14:paraId="565C8B14">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　</w:t>
            </w:r>
          </w:p>
        </w:tc>
        <w:tc>
          <w:tcPr>
            <w:tcW w:w="1514" w:type="dxa"/>
            <w:vAlign w:val="center"/>
          </w:tcPr>
          <w:p w14:paraId="3457942A">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　</w:t>
            </w:r>
          </w:p>
        </w:tc>
      </w:tr>
      <w:tr w14:paraId="7558A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71" w:type="dxa"/>
            <w:vAlign w:val="center"/>
          </w:tcPr>
          <w:p w14:paraId="7FD74DF4">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　</w:t>
            </w:r>
          </w:p>
        </w:tc>
        <w:tc>
          <w:tcPr>
            <w:tcW w:w="1900" w:type="dxa"/>
            <w:vAlign w:val="center"/>
          </w:tcPr>
          <w:p w14:paraId="3980E4F0">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　</w:t>
            </w:r>
          </w:p>
        </w:tc>
        <w:tc>
          <w:tcPr>
            <w:tcW w:w="2006" w:type="dxa"/>
            <w:vAlign w:val="center"/>
          </w:tcPr>
          <w:p w14:paraId="691BB789">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　</w:t>
            </w:r>
          </w:p>
        </w:tc>
        <w:tc>
          <w:tcPr>
            <w:tcW w:w="2304" w:type="dxa"/>
            <w:vAlign w:val="center"/>
          </w:tcPr>
          <w:p w14:paraId="72ABDD68">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　</w:t>
            </w:r>
          </w:p>
        </w:tc>
        <w:tc>
          <w:tcPr>
            <w:tcW w:w="1514" w:type="dxa"/>
            <w:vAlign w:val="center"/>
          </w:tcPr>
          <w:p w14:paraId="70DF4E86">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　</w:t>
            </w:r>
          </w:p>
        </w:tc>
      </w:tr>
      <w:tr w14:paraId="1E187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71" w:type="dxa"/>
            <w:vAlign w:val="center"/>
          </w:tcPr>
          <w:p w14:paraId="6A6BDD42">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　</w:t>
            </w:r>
          </w:p>
        </w:tc>
        <w:tc>
          <w:tcPr>
            <w:tcW w:w="1900" w:type="dxa"/>
            <w:vAlign w:val="center"/>
          </w:tcPr>
          <w:p w14:paraId="5F24CCDC">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　</w:t>
            </w:r>
          </w:p>
        </w:tc>
        <w:tc>
          <w:tcPr>
            <w:tcW w:w="2006" w:type="dxa"/>
            <w:vAlign w:val="center"/>
          </w:tcPr>
          <w:p w14:paraId="735AB647">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　</w:t>
            </w:r>
          </w:p>
        </w:tc>
        <w:tc>
          <w:tcPr>
            <w:tcW w:w="2304" w:type="dxa"/>
            <w:vAlign w:val="center"/>
          </w:tcPr>
          <w:p w14:paraId="2490C54B">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　</w:t>
            </w:r>
          </w:p>
        </w:tc>
        <w:tc>
          <w:tcPr>
            <w:tcW w:w="1514" w:type="dxa"/>
            <w:vAlign w:val="center"/>
          </w:tcPr>
          <w:p w14:paraId="3051413C">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　</w:t>
            </w:r>
          </w:p>
        </w:tc>
      </w:tr>
      <w:tr w14:paraId="0BFDB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71" w:type="dxa"/>
            <w:vAlign w:val="center"/>
          </w:tcPr>
          <w:p w14:paraId="1AB5381B">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　</w:t>
            </w:r>
          </w:p>
        </w:tc>
        <w:tc>
          <w:tcPr>
            <w:tcW w:w="1900" w:type="dxa"/>
            <w:vAlign w:val="center"/>
          </w:tcPr>
          <w:p w14:paraId="2EC8CF09">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　</w:t>
            </w:r>
          </w:p>
        </w:tc>
        <w:tc>
          <w:tcPr>
            <w:tcW w:w="2006" w:type="dxa"/>
            <w:vAlign w:val="center"/>
          </w:tcPr>
          <w:p w14:paraId="4F0E5896">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　</w:t>
            </w:r>
          </w:p>
        </w:tc>
        <w:tc>
          <w:tcPr>
            <w:tcW w:w="2304" w:type="dxa"/>
            <w:vAlign w:val="center"/>
          </w:tcPr>
          <w:p w14:paraId="2818606C">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　</w:t>
            </w:r>
          </w:p>
        </w:tc>
        <w:tc>
          <w:tcPr>
            <w:tcW w:w="1514" w:type="dxa"/>
            <w:vAlign w:val="center"/>
          </w:tcPr>
          <w:p w14:paraId="294DE5BA">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　</w:t>
            </w:r>
          </w:p>
        </w:tc>
      </w:tr>
      <w:tr w14:paraId="6B196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971" w:type="dxa"/>
            <w:vAlign w:val="center"/>
          </w:tcPr>
          <w:p w14:paraId="094CD946">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　</w:t>
            </w:r>
          </w:p>
        </w:tc>
        <w:tc>
          <w:tcPr>
            <w:tcW w:w="1900" w:type="dxa"/>
            <w:vAlign w:val="center"/>
          </w:tcPr>
          <w:p w14:paraId="449FF827">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　</w:t>
            </w:r>
          </w:p>
        </w:tc>
        <w:tc>
          <w:tcPr>
            <w:tcW w:w="2006" w:type="dxa"/>
            <w:vAlign w:val="center"/>
          </w:tcPr>
          <w:p w14:paraId="1F5E2970">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　</w:t>
            </w:r>
          </w:p>
        </w:tc>
        <w:tc>
          <w:tcPr>
            <w:tcW w:w="2304" w:type="dxa"/>
            <w:vAlign w:val="center"/>
          </w:tcPr>
          <w:p w14:paraId="1C7FF1B7">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　</w:t>
            </w:r>
          </w:p>
        </w:tc>
        <w:tc>
          <w:tcPr>
            <w:tcW w:w="1514" w:type="dxa"/>
            <w:vAlign w:val="center"/>
          </w:tcPr>
          <w:p w14:paraId="11E1FA50">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　</w:t>
            </w:r>
          </w:p>
        </w:tc>
      </w:tr>
      <w:tr w14:paraId="2CC7F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trPr>
        <w:tc>
          <w:tcPr>
            <w:tcW w:w="971" w:type="dxa"/>
            <w:vAlign w:val="center"/>
          </w:tcPr>
          <w:p w14:paraId="7CA93B8C">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　</w:t>
            </w:r>
          </w:p>
        </w:tc>
        <w:tc>
          <w:tcPr>
            <w:tcW w:w="1900" w:type="dxa"/>
            <w:vAlign w:val="center"/>
          </w:tcPr>
          <w:p w14:paraId="2A0F6953">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w:t>
            </w:r>
          </w:p>
        </w:tc>
        <w:tc>
          <w:tcPr>
            <w:tcW w:w="2006" w:type="dxa"/>
            <w:vAlign w:val="center"/>
          </w:tcPr>
          <w:p w14:paraId="3A5D7514">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　</w:t>
            </w:r>
          </w:p>
        </w:tc>
        <w:tc>
          <w:tcPr>
            <w:tcW w:w="2304" w:type="dxa"/>
            <w:vAlign w:val="center"/>
          </w:tcPr>
          <w:p w14:paraId="53F398FF">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　</w:t>
            </w:r>
          </w:p>
        </w:tc>
        <w:tc>
          <w:tcPr>
            <w:tcW w:w="1514" w:type="dxa"/>
            <w:vAlign w:val="center"/>
          </w:tcPr>
          <w:p w14:paraId="7D0F04BF">
            <w:pPr>
              <w:widowControl/>
              <w:spacing w:line="400" w:lineRule="exact"/>
              <w:jc w:val="center"/>
              <w:rPr>
                <w:rFonts w:asciiTheme="minorEastAsia" w:hAnsiTheme="minorEastAsia" w:cstheme="minorEastAsia"/>
                <w:sz w:val="24"/>
              </w:rPr>
            </w:pPr>
            <w:r>
              <w:rPr>
                <w:rFonts w:hint="eastAsia" w:asciiTheme="minorEastAsia" w:hAnsiTheme="minorEastAsia" w:cstheme="minorEastAsia"/>
                <w:sz w:val="24"/>
              </w:rPr>
              <w:t>　</w:t>
            </w:r>
          </w:p>
        </w:tc>
      </w:tr>
    </w:tbl>
    <w:p w14:paraId="610866DE">
      <w:pPr>
        <w:pStyle w:val="36"/>
        <w:widowControl/>
        <w:rPr>
          <w:rFonts w:ascii="微软雅黑" w:hAnsi="宋体" w:eastAsia="微软雅黑" w:cs="黑体"/>
          <w:iCs/>
          <w:sz w:val="30"/>
          <w:szCs w:val="30"/>
        </w:rPr>
      </w:pPr>
      <w:r>
        <w:rPr>
          <w:rFonts w:hint="eastAsia" w:asciiTheme="minorEastAsia" w:hAnsiTheme="minorEastAsia" w:cstheme="minorEastAsia"/>
        </w:rPr>
        <w:t>注：行数不够，可自行添加。</w:t>
      </w:r>
    </w:p>
    <w:p w14:paraId="5EDA4B25">
      <w:pPr>
        <w:widowControl/>
        <w:jc w:val="left"/>
        <w:rPr>
          <w:rFonts w:cs="Times New Roman" w:asciiTheme="minorEastAsia" w:hAnsiTheme="minorEastAsia"/>
          <w:sz w:val="32"/>
          <w:szCs w:val="32"/>
        </w:rPr>
      </w:pPr>
      <w:r>
        <w:rPr>
          <w:rFonts w:asciiTheme="minorEastAsia" w:hAnsiTheme="minorEastAsia"/>
        </w:rPr>
        <w:br w:type="page" w:clear="all"/>
      </w:r>
    </w:p>
    <w:p w14:paraId="5C7F9B36">
      <w:pPr>
        <w:widowControl/>
        <w:spacing w:before="120" w:line="400" w:lineRule="exact"/>
        <w:jc w:val="center"/>
        <w:rPr>
          <w:rFonts w:ascii="黑体" w:hAnsi="黑体" w:eastAsia="黑体" w:cs="黑体"/>
          <w:i/>
          <w:sz w:val="32"/>
          <w:szCs w:val="32"/>
          <w:u w:val="single"/>
        </w:rPr>
      </w:pPr>
      <w:r>
        <w:rPr>
          <w:rFonts w:hint="eastAsia" w:ascii="黑体" w:hAnsi="黑体" w:eastAsia="黑体" w:cs="黑体"/>
          <w:i/>
          <w:sz w:val="32"/>
          <w:szCs w:val="32"/>
          <w:u w:val="single"/>
        </w:rPr>
        <w:t>十五、开标一览表</w:t>
      </w:r>
    </w:p>
    <w:p w14:paraId="62901422">
      <w:pPr>
        <w:widowControl/>
        <w:pBdr>
          <w:top w:val="none" w:color="000000" w:sz="0" w:space="0"/>
          <w:left w:val="none" w:color="000000" w:sz="0" w:space="0"/>
          <w:bottom w:val="none" w:color="000000" w:sz="0" w:space="0"/>
          <w:right w:val="none" w:color="000000" w:sz="0" w:space="0"/>
        </w:pBdr>
        <w:spacing w:before="50" w:after="50"/>
        <w:jc w:val="center"/>
        <w:rPr>
          <w:sz w:val="22"/>
          <w:szCs w:val="22"/>
        </w:rPr>
      </w:pPr>
    </w:p>
    <w:p w14:paraId="0C95055B">
      <w:pPr>
        <w:widowControl/>
        <w:pBdr>
          <w:top w:val="none" w:color="000000" w:sz="0" w:space="0"/>
          <w:left w:val="none" w:color="000000" w:sz="0" w:space="0"/>
          <w:bottom w:val="none" w:color="000000" w:sz="0" w:space="0"/>
          <w:right w:val="none" w:color="000000" w:sz="0" w:space="0"/>
        </w:pBdr>
        <w:spacing w:before="100" w:after="100" w:line="360" w:lineRule="auto"/>
        <w:rPr>
          <w:rFonts w:ascii="宋体" w:hAnsi="宋体" w:eastAsia="宋体" w:cs="宋体"/>
        </w:rPr>
      </w:pPr>
      <w:r>
        <w:rPr>
          <w:rFonts w:hint="eastAsia" w:ascii="宋体" w:hAnsi="宋体" w:eastAsia="宋体" w:cs="宋体"/>
          <w:color w:val="000000"/>
          <w:sz w:val="24"/>
        </w:rPr>
        <w:t>投标人全称（CA公章）：供应商名称</w:t>
      </w:r>
    </w:p>
    <w:p w14:paraId="58095518">
      <w:pPr>
        <w:widowControl/>
        <w:pBdr>
          <w:top w:val="none" w:color="000000" w:sz="0" w:space="0"/>
          <w:left w:val="none" w:color="000000" w:sz="0" w:space="0"/>
          <w:bottom w:val="none" w:color="000000" w:sz="0" w:space="0"/>
          <w:right w:val="none" w:color="000000" w:sz="0" w:space="0"/>
        </w:pBdr>
        <w:spacing w:before="100" w:after="100" w:line="360" w:lineRule="auto"/>
        <w:rPr>
          <w:rFonts w:ascii="宋体" w:hAnsi="宋体" w:eastAsia="宋体" w:cs="宋体"/>
        </w:rPr>
      </w:pPr>
      <w:r>
        <w:rPr>
          <w:rFonts w:hint="eastAsia" w:ascii="宋体" w:hAnsi="宋体" w:eastAsia="宋体" w:cs="宋体"/>
          <w:color w:val="000000"/>
          <w:sz w:val="24"/>
        </w:rPr>
        <w:t>项目名称：盐城市市直部分学校智慧体育设施采购项目</w:t>
      </w:r>
    </w:p>
    <w:p w14:paraId="3D3C38F0">
      <w:pPr>
        <w:widowControl/>
        <w:pBdr>
          <w:top w:val="none" w:color="000000" w:sz="0" w:space="0"/>
          <w:left w:val="none" w:color="000000" w:sz="0" w:space="0"/>
          <w:bottom w:val="none" w:color="000000" w:sz="0" w:space="0"/>
          <w:right w:val="none" w:color="000000" w:sz="0" w:space="0"/>
        </w:pBdr>
        <w:spacing w:before="100" w:after="100" w:line="360" w:lineRule="auto"/>
        <w:rPr>
          <w:rFonts w:ascii="宋体" w:hAnsi="宋体" w:eastAsia="宋体" w:cs="宋体"/>
        </w:rPr>
      </w:pPr>
      <w:r>
        <w:rPr>
          <w:rFonts w:hint="eastAsia" w:ascii="宋体" w:hAnsi="宋体" w:eastAsia="宋体" w:cs="宋体"/>
          <w:color w:val="000000"/>
          <w:sz w:val="24"/>
        </w:rPr>
        <w:t>项目编号：JSZC-320900-JZCG-G2026-0051</w:t>
      </w:r>
    </w:p>
    <w:p w14:paraId="7C554414">
      <w:pPr>
        <w:widowControl/>
        <w:pBdr>
          <w:top w:val="none" w:color="000000" w:sz="0" w:space="0"/>
          <w:left w:val="none" w:color="000000" w:sz="0" w:space="0"/>
          <w:bottom w:val="none" w:color="000000" w:sz="0" w:space="0"/>
          <w:right w:val="none" w:color="000000" w:sz="0" w:space="0"/>
        </w:pBdr>
        <w:spacing w:before="100" w:after="100" w:line="360" w:lineRule="auto"/>
        <w:rPr>
          <w:rFonts w:ascii="宋体" w:hAnsi="宋体" w:eastAsia="宋体" w:cs="宋体"/>
        </w:rPr>
      </w:pPr>
      <w:r>
        <w:rPr>
          <w:rFonts w:hint="eastAsia" w:ascii="宋体" w:hAnsi="宋体" w:eastAsia="宋体" w:cs="宋体"/>
          <w:color w:val="000000"/>
          <w:sz w:val="24"/>
        </w:rPr>
        <w:t>分包号：/</w:t>
      </w:r>
    </w:p>
    <w:tbl>
      <w:tblPr>
        <w:tblStyle w:val="41"/>
        <w:tblW w:w="8700"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527"/>
        <w:gridCol w:w="4173"/>
      </w:tblGrid>
      <w:tr w14:paraId="35533C5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33" w:hRule="atLeast"/>
          <w:jc w:val="center"/>
        </w:trPr>
        <w:tc>
          <w:tcPr>
            <w:tcW w:w="4527" w:type="dxa"/>
            <w:tcBorders>
              <w:top w:val="single" w:color="000000" w:sz="8" w:space="0"/>
              <w:left w:val="single" w:color="000000" w:sz="8" w:space="0"/>
              <w:bottom w:val="single" w:color="000000" w:sz="8" w:space="0"/>
              <w:right w:val="single" w:color="000000" w:sz="8" w:space="0"/>
            </w:tcBorders>
            <w:tcMar>
              <w:top w:w="15" w:type="dxa"/>
              <w:left w:w="15" w:type="dxa"/>
              <w:bottom w:w="15" w:type="dxa"/>
              <w:right w:w="15" w:type="dxa"/>
            </w:tcMar>
            <w:vAlign w:val="center"/>
          </w:tcPr>
          <w:p w14:paraId="6282CC23">
            <w:pPr>
              <w:widowControl/>
              <w:pBdr>
                <w:top w:val="none" w:color="000000" w:sz="0" w:space="0"/>
                <w:left w:val="none" w:color="000000" w:sz="0" w:space="0"/>
                <w:bottom w:val="none" w:color="000000" w:sz="0" w:space="0"/>
                <w:right w:val="none" w:color="000000" w:sz="0" w:space="0"/>
              </w:pBdr>
              <w:spacing w:before="100" w:after="100"/>
              <w:jc w:val="center"/>
              <w:rPr>
                <w:rFonts w:ascii="宋体" w:hAnsi="宋体" w:eastAsia="宋体" w:cs="宋体"/>
              </w:rPr>
            </w:pPr>
            <w:r>
              <w:rPr>
                <w:rFonts w:hint="eastAsia" w:ascii="宋体" w:hAnsi="宋体" w:eastAsia="宋体" w:cs="宋体"/>
                <w:color w:val="000000"/>
                <w:sz w:val="24"/>
              </w:rPr>
              <w:t>投标货物名称</w:t>
            </w:r>
          </w:p>
        </w:tc>
        <w:tc>
          <w:tcPr>
            <w:tcW w:w="4173" w:type="dxa"/>
            <w:tcBorders>
              <w:top w:val="single" w:color="000000" w:sz="8" w:space="0"/>
              <w:left w:val="single" w:color="000000" w:sz="8" w:space="0"/>
              <w:bottom w:val="single" w:color="000000" w:sz="8" w:space="0"/>
              <w:right w:val="single" w:color="000000" w:sz="8" w:space="0"/>
            </w:tcBorders>
            <w:tcMar>
              <w:top w:w="15" w:type="dxa"/>
              <w:left w:w="15" w:type="dxa"/>
              <w:bottom w:w="15" w:type="dxa"/>
              <w:right w:w="15" w:type="dxa"/>
            </w:tcMar>
            <w:vAlign w:val="center"/>
          </w:tcPr>
          <w:p w14:paraId="7E8CFFC5">
            <w:pPr>
              <w:widowControl/>
              <w:pBdr>
                <w:top w:val="none" w:color="000000" w:sz="0" w:space="0"/>
                <w:left w:val="none" w:color="000000" w:sz="0" w:space="0"/>
                <w:bottom w:val="none" w:color="000000" w:sz="0" w:space="0"/>
                <w:right w:val="none" w:color="000000" w:sz="0" w:space="0"/>
              </w:pBdr>
              <w:spacing w:before="100" w:after="100"/>
              <w:jc w:val="center"/>
              <w:rPr>
                <w:rFonts w:ascii="宋体" w:hAnsi="宋体" w:eastAsia="宋体" w:cs="宋体"/>
              </w:rPr>
            </w:pPr>
            <w:r>
              <w:rPr>
                <w:rFonts w:hint="eastAsia" w:ascii="宋体" w:hAnsi="宋体" w:eastAsia="宋体" w:cs="宋体"/>
                <w:color w:val="000000"/>
                <w:sz w:val="24"/>
              </w:rPr>
              <w:t>总价（小写）</w:t>
            </w:r>
          </w:p>
        </w:tc>
      </w:tr>
      <w:tr w14:paraId="2B37342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48" w:hRule="atLeast"/>
          <w:jc w:val="center"/>
        </w:trPr>
        <w:tc>
          <w:tcPr>
            <w:tcW w:w="4527" w:type="dxa"/>
            <w:tcBorders>
              <w:top w:val="single" w:color="000000" w:sz="8" w:space="0"/>
              <w:left w:val="single" w:color="000000" w:sz="8" w:space="0"/>
              <w:bottom w:val="single" w:color="000000" w:sz="8" w:space="0"/>
              <w:right w:val="single" w:color="000000" w:sz="8" w:space="0"/>
            </w:tcBorders>
            <w:tcMar>
              <w:top w:w="15" w:type="dxa"/>
              <w:left w:w="15" w:type="dxa"/>
              <w:bottom w:w="15" w:type="dxa"/>
              <w:right w:w="15" w:type="dxa"/>
            </w:tcMar>
            <w:vAlign w:val="center"/>
          </w:tcPr>
          <w:p w14:paraId="6693C903">
            <w:pPr>
              <w:widowControl/>
              <w:pBdr>
                <w:top w:val="none" w:color="000000" w:sz="0" w:space="0"/>
                <w:left w:val="none" w:color="000000" w:sz="0" w:space="0"/>
                <w:bottom w:val="none" w:color="000000" w:sz="0" w:space="0"/>
                <w:right w:val="none" w:color="000000" w:sz="0" w:space="0"/>
              </w:pBdr>
              <w:spacing w:before="100" w:after="100"/>
              <w:jc w:val="center"/>
              <w:rPr>
                <w:rFonts w:ascii="宋体" w:hAnsi="宋体" w:eastAsia="宋体" w:cs="宋体"/>
              </w:rPr>
            </w:pPr>
            <w:r>
              <w:rPr>
                <w:rFonts w:hint="eastAsia" w:ascii="宋体" w:hAnsi="宋体" w:eastAsia="宋体" w:cs="宋体"/>
                <w:color w:val="000000"/>
                <w:sz w:val="24"/>
              </w:rPr>
              <w:t>投标产品名称</w:t>
            </w:r>
          </w:p>
        </w:tc>
        <w:tc>
          <w:tcPr>
            <w:tcW w:w="4173" w:type="dxa"/>
            <w:tcBorders>
              <w:top w:val="single" w:color="000000" w:sz="8" w:space="0"/>
              <w:left w:val="single" w:color="000000" w:sz="8" w:space="0"/>
              <w:bottom w:val="single" w:color="000000" w:sz="8" w:space="0"/>
              <w:right w:val="single" w:color="000000" w:sz="8" w:space="0"/>
            </w:tcBorders>
            <w:tcMar>
              <w:top w:w="15" w:type="dxa"/>
              <w:left w:w="15" w:type="dxa"/>
              <w:bottom w:w="15" w:type="dxa"/>
              <w:right w:w="15" w:type="dxa"/>
            </w:tcMar>
            <w:vAlign w:val="center"/>
          </w:tcPr>
          <w:p w14:paraId="686A925A">
            <w:pPr>
              <w:widowControl/>
              <w:pBdr>
                <w:top w:val="none" w:color="000000" w:sz="0" w:space="0"/>
                <w:left w:val="none" w:color="000000" w:sz="0" w:space="0"/>
                <w:bottom w:val="none" w:color="000000" w:sz="0" w:space="0"/>
                <w:right w:val="none" w:color="000000" w:sz="0" w:space="0"/>
              </w:pBdr>
              <w:spacing w:before="100" w:after="100"/>
              <w:jc w:val="center"/>
              <w:rPr>
                <w:rFonts w:ascii="宋体" w:hAnsi="宋体" w:eastAsia="宋体" w:cs="宋体"/>
              </w:rPr>
            </w:pPr>
            <w:r>
              <w:rPr>
                <w:rFonts w:hint="eastAsia" w:ascii="宋体" w:hAnsi="宋体" w:eastAsia="宋体" w:cs="宋体"/>
                <w:color w:val="000000"/>
                <w:sz w:val="24"/>
              </w:rPr>
              <w:t xml:space="preserve"> 元</w:t>
            </w:r>
          </w:p>
        </w:tc>
      </w:tr>
      <w:tr w14:paraId="3EC4879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104" w:hRule="atLeast"/>
          <w:jc w:val="center"/>
        </w:trPr>
        <w:tc>
          <w:tcPr>
            <w:tcW w:w="4527" w:type="dxa"/>
            <w:tcBorders>
              <w:top w:val="single" w:color="000000" w:sz="8" w:space="0"/>
              <w:left w:val="single" w:color="000000" w:sz="8" w:space="0"/>
              <w:bottom w:val="single" w:color="000000" w:sz="8" w:space="0"/>
              <w:right w:val="single" w:color="000000" w:sz="8" w:space="0"/>
            </w:tcBorders>
            <w:tcMar>
              <w:top w:w="15" w:type="dxa"/>
              <w:left w:w="15" w:type="dxa"/>
              <w:bottom w:w="15" w:type="dxa"/>
              <w:right w:w="15" w:type="dxa"/>
            </w:tcMar>
            <w:vAlign w:val="center"/>
          </w:tcPr>
          <w:p w14:paraId="50463F45">
            <w:pPr>
              <w:widowControl/>
              <w:pBdr>
                <w:top w:val="none" w:color="000000" w:sz="0" w:space="0"/>
                <w:left w:val="none" w:color="000000" w:sz="0" w:space="0"/>
                <w:bottom w:val="none" w:color="000000" w:sz="0" w:space="0"/>
                <w:right w:val="none" w:color="000000" w:sz="0" w:space="0"/>
              </w:pBdr>
              <w:spacing w:before="100" w:after="100"/>
              <w:jc w:val="center"/>
              <w:rPr>
                <w:rFonts w:ascii="宋体" w:hAnsi="宋体" w:eastAsia="宋体" w:cs="宋体"/>
              </w:rPr>
            </w:pPr>
            <w:r>
              <w:rPr>
                <w:rFonts w:hint="eastAsia" w:ascii="宋体" w:hAnsi="宋体" w:eastAsia="宋体" w:cs="宋体"/>
                <w:color w:val="000000"/>
                <w:sz w:val="24"/>
              </w:rPr>
              <w:t>产品品牌：</w:t>
            </w:r>
          </w:p>
        </w:tc>
        <w:tc>
          <w:tcPr>
            <w:tcW w:w="4173" w:type="dxa"/>
            <w:tcBorders>
              <w:top w:val="single" w:color="000000" w:sz="8" w:space="0"/>
              <w:left w:val="single" w:color="000000" w:sz="8" w:space="0"/>
              <w:bottom w:val="single" w:color="000000" w:sz="8" w:space="0"/>
              <w:right w:val="single" w:color="000000" w:sz="8" w:space="0"/>
            </w:tcBorders>
            <w:tcMar>
              <w:top w:w="15" w:type="dxa"/>
              <w:left w:w="15" w:type="dxa"/>
              <w:bottom w:w="15" w:type="dxa"/>
              <w:right w:w="15" w:type="dxa"/>
            </w:tcMar>
            <w:vAlign w:val="center"/>
          </w:tcPr>
          <w:p w14:paraId="3686F6D1">
            <w:pPr>
              <w:widowControl/>
              <w:pBdr>
                <w:top w:val="none" w:color="000000" w:sz="0" w:space="0"/>
                <w:left w:val="none" w:color="000000" w:sz="0" w:space="0"/>
                <w:bottom w:val="none" w:color="000000" w:sz="0" w:space="0"/>
                <w:right w:val="none" w:color="000000" w:sz="0" w:space="0"/>
              </w:pBdr>
              <w:spacing w:before="100" w:after="100"/>
              <w:rPr>
                <w:rFonts w:ascii="宋体" w:hAnsi="宋体" w:eastAsia="宋体" w:cs="宋体"/>
              </w:rPr>
            </w:pPr>
          </w:p>
        </w:tc>
      </w:tr>
    </w:tbl>
    <w:p w14:paraId="5479A41A">
      <w:pPr>
        <w:widowControl/>
        <w:pBdr>
          <w:top w:val="none" w:color="000000" w:sz="0" w:space="0"/>
          <w:left w:val="none" w:color="000000" w:sz="0" w:space="0"/>
          <w:bottom w:val="none" w:color="000000" w:sz="0" w:space="0"/>
          <w:right w:val="none" w:color="000000" w:sz="0" w:space="0"/>
        </w:pBdr>
        <w:spacing w:before="100" w:after="100"/>
      </w:pPr>
    </w:p>
    <w:p w14:paraId="1D9D9F19">
      <w:pPr>
        <w:widowControl/>
        <w:pBdr>
          <w:top w:val="none" w:color="000000" w:sz="0" w:space="0"/>
          <w:left w:val="none" w:color="000000" w:sz="0" w:space="0"/>
          <w:bottom w:val="none" w:color="000000" w:sz="0" w:space="0"/>
          <w:right w:val="none" w:color="000000" w:sz="0" w:space="0"/>
        </w:pBdr>
        <w:spacing w:before="100" w:after="100"/>
        <w:jc w:val="right"/>
        <w:rPr>
          <w:rFonts w:ascii="宋体" w:hAnsi="宋体" w:eastAsia="宋体" w:cs="宋体"/>
          <w:sz w:val="24"/>
          <w:szCs w:val="21"/>
        </w:rPr>
      </w:pPr>
      <w:r>
        <w:rPr>
          <w:rFonts w:ascii="宋体" w:hAnsi="宋体" w:eastAsia="宋体" w:cs="宋体"/>
          <w:color w:val="000000"/>
          <w:sz w:val="24"/>
        </w:rPr>
        <w:t>日期：</w:t>
      </w:r>
      <w:r>
        <w:rPr>
          <w:rFonts w:ascii="Calibri" w:hAnsi="Calibri" w:eastAsia="Calibri" w:cs="Calibri"/>
          <w:color w:val="000000"/>
          <w:sz w:val="24"/>
        </w:rPr>
        <w:t xml:space="preserve">   </w:t>
      </w:r>
      <w:r>
        <w:rPr>
          <w:rFonts w:hint="eastAsia" w:ascii="Calibri" w:hAnsi="Calibri" w:eastAsia="宋体" w:cs="Calibri"/>
          <w:color w:val="000000"/>
          <w:sz w:val="24"/>
        </w:rPr>
        <w:t xml:space="preserve">  </w:t>
      </w:r>
      <w:r>
        <w:rPr>
          <w:rFonts w:ascii="宋体" w:hAnsi="宋体" w:eastAsia="宋体" w:cs="宋体"/>
          <w:color w:val="000000"/>
          <w:sz w:val="24"/>
        </w:rPr>
        <w:t>年   月   日</w:t>
      </w:r>
    </w:p>
    <w:p w14:paraId="4B4A4F13">
      <w:pPr>
        <w:widowControl/>
        <w:rPr>
          <w:rFonts w:ascii="黑体" w:hAnsi="黑体" w:eastAsia="黑体" w:cs="黑体"/>
          <w:i/>
          <w:sz w:val="32"/>
          <w:szCs w:val="32"/>
          <w:u w:val="single"/>
        </w:rPr>
      </w:pPr>
      <w:r>
        <w:rPr>
          <w:rFonts w:hint="eastAsia" w:ascii="黑体" w:hAnsi="黑体" w:eastAsia="黑体" w:cs="黑体"/>
          <w:i/>
          <w:sz w:val="32"/>
          <w:szCs w:val="32"/>
          <w:u w:val="single"/>
        </w:rPr>
        <w:br w:type="page" w:clear="all"/>
      </w:r>
    </w:p>
    <w:p w14:paraId="6D8D54C2">
      <w:pPr>
        <w:widowControl/>
        <w:spacing w:before="120" w:line="400" w:lineRule="exact"/>
        <w:jc w:val="center"/>
        <w:rPr>
          <w:rFonts w:ascii="黑体" w:hAnsi="黑体" w:eastAsia="黑体" w:cs="黑体"/>
          <w:i/>
          <w:sz w:val="32"/>
          <w:szCs w:val="32"/>
          <w:u w:val="single"/>
        </w:rPr>
      </w:pPr>
      <w:r>
        <w:rPr>
          <w:rFonts w:hint="eastAsia" w:ascii="黑体" w:hAnsi="黑体" w:eastAsia="黑体" w:cs="黑体"/>
          <w:i/>
          <w:sz w:val="32"/>
          <w:szCs w:val="32"/>
          <w:u w:val="single"/>
        </w:rPr>
        <w:t>十六、技术方案、服务承诺、培训承诺等</w:t>
      </w:r>
    </w:p>
    <w:p w14:paraId="1AB1248D">
      <w:pPr>
        <w:widowControl/>
        <w:spacing w:before="120" w:line="400" w:lineRule="exact"/>
        <w:jc w:val="center"/>
        <w:rPr>
          <w:rFonts w:ascii="黑体" w:hAnsi="黑体" w:eastAsia="黑体" w:cs="黑体"/>
          <w:i/>
          <w:sz w:val="32"/>
          <w:szCs w:val="32"/>
          <w:u w:val="single"/>
        </w:rPr>
      </w:pPr>
    </w:p>
    <w:p w14:paraId="64449A99">
      <w:pPr>
        <w:widowControl/>
        <w:spacing w:line="499" w:lineRule="atLeast"/>
        <w:jc w:val="center"/>
        <w:rPr>
          <w:rFonts w:cs="Times New Roman" w:asciiTheme="minorEastAsia" w:hAnsiTheme="minorEastAsia"/>
          <w:sz w:val="32"/>
          <w:szCs w:val="32"/>
        </w:rPr>
      </w:pPr>
    </w:p>
    <w:p w14:paraId="744F9881">
      <w:pPr>
        <w:widowControl/>
        <w:spacing w:line="499" w:lineRule="atLeast"/>
        <w:jc w:val="center"/>
        <w:rPr>
          <w:rFonts w:cs="Times New Roman" w:asciiTheme="minorEastAsia" w:hAnsiTheme="minorEastAsia"/>
          <w:sz w:val="32"/>
          <w:szCs w:val="32"/>
        </w:rPr>
      </w:pPr>
    </w:p>
    <w:p w14:paraId="6EDFD993">
      <w:pPr>
        <w:widowControl/>
        <w:spacing w:line="499" w:lineRule="atLeast"/>
        <w:jc w:val="center"/>
        <w:rPr>
          <w:rFonts w:cs="Times New Roman" w:asciiTheme="minorEastAsia" w:hAnsiTheme="minorEastAsia"/>
          <w:sz w:val="32"/>
          <w:szCs w:val="32"/>
        </w:rPr>
      </w:pPr>
    </w:p>
    <w:p w14:paraId="6CAED79C">
      <w:pPr>
        <w:widowControl/>
        <w:rPr>
          <w:rFonts w:cs="Times New Roman" w:asciiTheme="minorEastAsia" w:hAnsiTheme="minorEastAsia"/>
          <w:sz w:val="32"/>
          <w:szCs w:val="32"/>
        </w:rPr>
      </w:pPr>
      <w:r>
        <w:rPr>
          <w:rFonts w:cs="Times New Roman" w:asciiTheme="minorEastAsia" w:hAnsiTheme="minorEastAsia"/>
          <w:sz w:val="32"/>
          <w:szCs w:val="32"/>
        </w:rPr>
        <w:br w:type="page" w:clear="all"/>
      </w:r>
    </w:p>
    <w:p w14:paraId="47BD8D24">
      <w:pPr>
        <w:widowControl/>
        <w:spacing w:before="120" w:line="400" w:lineRule="exact"/>
        <w:jc w:val="center"/>
        <w:rPr>
          <w:rFonts w:ascii="黑体" w:hAnsi="黑体" w:eastAsia="黑体" w:cs="黑体"/>
          <w:i/>
          <w:sz w:val="32"/>
          <w:szCs w:val="32"/>
          <w:u w:val="single"/>
        </w:rPr>
      </w:pPr>
      <w:r>
        <w:rPr>
          <w:rFonts w:hint="eastAsia" w:ascii="黑体" w:hAnsi="黑体" w:eastAsia="黑体" w:cs="黑体"/>
          <w:i/>
          <w:sz w:val="32"/>
          <w:szCs w:val="32"/>
          <w:u w:val="single"/>
        </w:rPr>
        <w:t>十七、盐城市政府采购事前信用承诺书</w:t>
      </w:r>
    </w:p>
    <w:p w14:paraId="02F8D3C0">
      <w:pPr>
        <w:widowControl/>
        <w:spacing w:line="520" w:lineRule="exact"/>
        <w:ind w:firstLine="440"/>
        <w:rPr>
          <w:sz w:val="24"/>
        </w:rPr>
      </w:pPr>
      <w:r>
        <w:rPr>
          <w:rFonts w:hint="eastAsia"/>
          <w:sz w:val="24"/>
        </w:rPr>
        <w:t>为营造我市公开、公平、公正、诚实守信的政府采购交易环境，树立诚信守法的投标人形象，本人代表本单位作出以下承诺：</w:t>
      </w:r>
    </w:p>
    <w:p w14:paraId="4B1BD13B">
      <w:pPr>
        <w:widowControl/>
        <w:spacing w:line="520" w:lineRule="exact"/>
        <w:ind w:firstLine="440"/>
        <w:rPr>
          <w:sz w:val="24"/>
        </w:rPr>
      </w:pPr>
      <w:r>
        <w:rPr>
          <w:rFonts w:hint="eastAsia"/>
          <w:sz w:val="24"/>
        </w:rPr>
        <w:t>（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199AA425">
      <w:pPr>
        <w:widowControl/>
        <w:spacing w:line="520" w:lineRule="exact"/>
        <w:ind w:firstLine="440"/>
        <w:rPr>
          <w:sz w:val="24"/>
        </w:rPr>
      </w:pPr>
      <w:r>
        <w:rPr>
          <w:rFonts w:hint="eastAsia"/>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5902AF3F">
      <w:pPr>
        <w:widowControl/>
        <w:spacing w:line="520" w:lineRule="exact"/>
        <w:ind w:firstLine="440"/>
        <w:rPr>
          <w:sz w:val="24"/>
        </w:rPr>
      </w:pPr>
      <w:r>
        <w:rPr>
          <w:rFonts w:hint="eastAsia"/>
          <w:sz w:val="24"/>
        </w:rPr>
        <w:t xml:space="preserve">（三）严格依照国家和省、市关于政府采购的法律、法规、规章、规范性文件，参加政府采购投标活动；积极履行社会责任，促进廉政建设； </w:t>
      </w:r>
    </w:p>
    <w:p w14:paraId="087D4F60">
      <w:pPr>
        <w:widowControl/>
        <w:spacing w:line="520" w:lineRule="exact"/>
        <w:ind w:firstLine="440"/>
        <w:rPr>
          <w:sz w:val="24"/>
        </w:rPr>
      </w:pPr>
      <w:r>
        <w:rPr>
          <w:rFonts w:hint="eastAsia"/>
          <w:sz w:val="24"/>
        </w:rPr>
        <w:t>（四）严格遵守即时信息公示规定，及时维护和更新盐城市政府采购网中与本单位相关的信息；</w:t>
      </w:r>
    </w:p>
    <w:p w14:paraId="2D711120">
      <w:pPr>
        <w:widowControl/>
        <w:spacing w:line="520" w:lineRule="exact"/>
        <w:ind w:firstLine="440"/>
        <w:rPr>
          <w:sz w:val="24"/>
        </w:rPr>
      </w:pPr>
      <w:r>
        <w:rPr>
          <w:rFonts w:hint="eastAsia"/>
          <w:sz w:val="24"/>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649562BC">
      <w:pPr>
        <w:widowControl/>
        <w:spacing w:line="520" w:lineRule="exact"/>
        <w:ind w:firstLine="440"/>
        <w:outlineLvl w:val="2"/>
        <w:rPr>
          <w:sz w:val="24"/>
        </w:rPr>
      </w:pPr>
      <w:r>
        <w:rPr>
          <w:rFonts w:hint="eastAsia"/>
          <w:sz w:val="24"/>
        </w:rPr>
        <w:t>（六）自觉接受政府、行业组织、社会公众、新闻舆论的监督；</w:t>
      </w:r>
    </w:p>
    <w:p w14:paraId="10A8FF25">
      <w:pPr>
        <w:widowControl/>
        <w:spacing w:line="520" w:lineRule="exact"/>
        <w:ind w:firstLine="440"/>
        <w:rPr>
          <w:sz w:val="24"/>
        </w:rPr>
      </w:pPr>
      <w:r>
        <w:rPr>
          <w:rFonts w:hint="eastAsia"/>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5EFFA238">
      <w:pPr>
        <w:widowControl/>
        <w:spacing w:line="520" w:lineRule="exact"/>
        <w:ind w:firstLine="440"/>
        <w:outlineLvl w:val="2"/>
        <w:rPr>
          <w:sz w:val="24"/>
        </w:rPr>
      </w:pPr>
      <w:r>
        <w:rPr>
          <w:rFonts w:hint="eastAsia"/>
          <w:sz w:val="24"/>
        </w:rPr>
        <w:t>（八）本人已认真阅读了上述承诺，并向本单位员工做了宣传教育。</w:t>
      </w:r>
    </w:p>
    <w:p w14:paraId="2160F382">
      <w:pPr>
        <w:widowControl/>
        <w:spacing w:line="520" w:lineRule="exact"/>
        <w:rPr>
          <w:sz w:val="24"/>
        </w:rPr>
      </w:pPr>
    </w:p>
    <w:p w14:paraId="6EC7711B">
      <w:pPr>
        <w:widowControl/>
        <w:spacing w:line="520" w:lineRule="exact"/>
        <w:ind w:firstLine="440"/>
        <w:jc w:val="right"/>
        <w:rPr>
          <w:sz w:val="24"/>
        </w:rPr>
      </w:pPr>
      <w:r>
        <w:rPr>
          <w:rFonts w:hint="eastAsia"/>
          <w:sz w:val="24"/>
        </w:rPr>
        <w:t>法定代表人（签名）：</w:t>
      </w:r>
    </w:p>
    <w:p w14:paraId="70E6701C">
      <w:pPr>
        <w:widowControl/>
        <w:spacing w:line="520" w:lineRule="exact"/>
        <w:ind w:firstLine="440"/>
        <w:jc w:val="right"/>
        <w:rPr>
          <w:sz w:val="24"/>
        </w:rPr>
      </w:pPr>
      <w:r>
        <w:rPr>
          <w:rFonts w:hint="eastAsia"/>
          <w:sz w:val="24"/>
        </w:rPr>
        <w:t>单位名称（盖章）：</w:t>
      </w:r>
    </w:p>
    <w:p w14:paraId="31EBF576">
      <w:pPr>
        <w:widowControl/>
        <w:spacing w:line="520" w:lineRule="exact"/>
        <w:jc w:val="center"/>
        <w:rPr>
          <w:sz w:val="24"/>
        </w:rPr>
      </w:pPr>
      <w:r>
        <w:rPr>
          <w:rFonts w:hint="eastAsia"/>
          <w:sz w:val="24"/>
        </w:rPr>
        <w:t xml:space="preserve">                                                          年  月  日</w:t>
      </w:r>
    </w:p>
    <w:p w14:paraId="49CCD333">
      <w:pPr>
        <w:widowControl/>
        <w:spacing w:line="520" w:lineRule="exact"/>
        <w:rPr>
          <w:rFonts w:cs="Times New Roman" w:asciiTheme="minorEastAsia" w:hAnsiTheme="minorEastAsia"/>
          <w:sz w:val="32"/>
          <w:szCs w:val="32"/>
        </w:rPr>
      </w:pPr>
      <w:r>
        <w:rPr>
          <w:rFonts w:asciiTheme="minorEastAsia" w:hAnsiTheme="minorEastAsia"/>
        </w:rPr>
        <w:br w:type="page" w:clear="all"/>
      </w:r>
    </w:p>
    <w:p w14:paraId="6E0122C7">
      <w:pPr>
        <w:widowControl/>
        <w:spacing w:before="120" w:line="400" w:lineRule="exact"/>
        <w:jc w:val="center"/>
        <w:rPr>
          <w:rFonts w:ascii="黑体" w:hAnsi="黑体" w:eastAsia="黑体" w:cs="黑体"/>
          <w:i/>
          <w:sz w:val="32"/>
          <w:szCs w:val="32"/>
          <w:u w:val="single"/>
        </w:rPr>
      </w:pPr>
      <w:r>
        <w:rPr>
          <w:rFonts w:hint="eastAsia" w:ascii="黑体" w:hAnsi="黑体" w:eastAsia="黑体" w:cs="黑体"/>
          <w:i/>
          <w:sz w:val="32"/>
          <w:szCs w:val="32"/>
          <w:u w:val="single"/>
        </w:rPr>
        <w:t>质疑函范本</w:t>
      </w:r>
    </w:p>
    <w:p w14:paraId="5D981931">
      <w:pPr>
        <w:pStyle w:val="36"/>
        <w:widowControl/>
        <w:ind w:firstLine="482"/>
        <w:jc w:val="both"/>
        <w:outlineLvl w:val="1"/>
        <w:rPr>
          <w:rFonts w:asciiTheme="minorEastAsia" w:hAnsiTheme="minorEastAsia" w:cstheme="minorEastAsia"/>
          <w:b/>
        </w:rPr>
      </w:pPr>
      <w:r>
        <w:rPr>
          <w:rFonts w:hint="eastAsia" w:asciiTheme="minorEastAsia" w:hAnsiTheme="minorEastAsia" w:cstheme="minorEastAsia"/>
          <w:b/>
        </w:rPr>
        <w:t>一、质疑供应商基本信息</w:t>
      </w:r>
    </w:p>
    <w:p w14:paraId="76670BD1">
      <w:pPr>
        <w:pStyle w:val="36"/>
        <w:widowControl/>
        <w:ind w:firstLine="482"/>
        <w:jc w:val="both"/>
        <w:rPr>
          <w:rFonts w:asciiTheme="minorEastAsia" w:hAnsiTheme="minorEastAsia" w:cstheme="minorEastAsia"/>
          <w:b/>
          <w:bCs/>
        </w:rPr>
      </w:pPr>
      <w:r>
        <w:rPr>
          <w:rFonts w:hint="eastAsia" w:asciiTheme="minorEastAsia" w:hAnsiTheme="minorEastAsia" w:cstheme="minorEastAsia"/>
          <w:bCs/>
        </w:rPr>
        <w:t>质疑供应商：</w:t>
      </w:r>
      <w:r>
        <w:rPr>
          <w:rFonts w:hint="eastAsia" w:asciiTheme="minorEastAsia" w:hAnsiTheme="minorEastAsia" w:cstheme="minorEastAsia"/>
          <w:bCs/>
          <w:u w:val="single"/>
        </w:rPr>
        <w:t xml:space="preserve">                                            </w:t>
      </w:r>
    </w:p>
    <w:p w14:paraId="7C125B45">
      <w:pPr>
        <w:pStyle w:val="36"/>
        <w:widowControl/>
        <w:ind w:firstLine="482"/>
        <w:jc w:val="both"/>
        <w:rPr>
          <w:rFonts w:asciiTheme="minorEastAsia" w:hAnsiTheme="minorEastAsia" w:cstheme="minorEastAsia"/>
          <w:b/>
          <w:bCs/>
          <w:u w:val="single"/>
        </w:rPr>
      </w:pPr>
      <w:r>
        <w:rPr>
          <w:rFonts w:hint="eastAsia" w:asciiTheme="minorEastAsia" w:hAnsiTheme="minorEastAsia" w:cstheme="minorEastAsia"/>
          <w:bCs/>
        </w:rPr>
        <w:t>地址：</w:t>
      </w:r>
      <w:r>
        <w:rPr>
          <w:rFonts w:hint="eastAsia" w:asciiTheme="minorEastAsia" w:hAnsiTheme="minorEastAsia" w:cstheme="minorEastAsia"/>
          <w:bCs/>
          <w:u w:val="single"/>
        </w:rPr>
        <w:t>                                              </w:t>
      </w:r>
    </w:p>
    <w:p w14:paraId="55D02200">
      <w:pPr>
        <w:pStyle w:val="36"/>
        <w:widowControl/>
        <w:ind w:firstLine="482"/>
        <w:jc w:val="both"/>
        <w:rPr>
          <w:rFonts w:asciiTheme="minorEastAsia" w:hAnsiTheme="minorEastAsia" w:cstheme="minorEastAsia"/>
        </w:rPr>
      </w:pPr>
      <w:r>
        <w:rPr>
          <w:rFonts w:hint="eastAsia" w:asciiTheme="minorEastAsia" w:hAnsiTheme="minorEastAsia" w:cstheme="minorEastAsia"/>
          <w:bCs/>
        </w:rPr>
        <w:t>邮编：</w:t>
      </w:r>
      <w:r>
        <w:rPr>
          <w:rFonts w:hint="eastAsia" w:asciiTheme="minorEastAsia" w:hAnsiTheme="minorEastAsia" w:cstheme="minorEastAsia"/>
          <w:u w:val="single"/>
        </w:rPr>
        <w:t xml:space="preserve">                                                              </w:t>
      </w:r>
    </w:p>
    <w:p w14:paraId="3ECA7382">
      <w:pPr>
        <w:pStyle w:val="36"/>
        <w:widowControl/>
        <w:ind w:firstLine="482"/>
        <w:jc w:val="both"/>
        <w:rPr>
          <w:rFonts w:asciiTheme="minorEastAsia" w:hAnsiTheme="minorEastAsia" w:cstheme="minorEastAsia"/>
          <w:b/>
          <w:bCs/>
          <w:u w:val="single"/>
        </w:rPr>
      </w:pPr>
      <w:r>
        <w:rPr>
          <w:rFonts w:hint="eastAsia" w:asciiTheme="minorEastAsia" w:hAnsiTheme="minorEastAsia" w:cstheme="minorEastAsia"/>
          <w:bCs/>
        </w:rPr>
        <w:t>联系人：</w:t>
      </w:r>
      <w:r>
        <w:rPr>
          <w:rFonts w:hint="eastAsia" w:asciiTheme="minorEastAsia" w:hAnsiTheme="minorEastAsia" w:cstheme="minorEastAsia"/>
          <w:bCs/>
          <w:u w:val="single"/>
        </w:rPr>
        <w:t>                                             </w:t>
      </w:r>
    </w:p>
    <w:p w14:paraId="483C4145">
      <w:pPr>
        <w:pStyle w:val="36"/>
        <w:widowControl/>
        <w:ind w:firstLine="482"/>
        <w:jc w:val="both"/>
        <w:rPr>
          <w:rFonts w:asciiTheme="minorEastAsia" w:hAnsiTheme="minorEastAsia" w:cstheme="minorEastAsia"/>
          <w:b/>
          <w:bCs/>
        </w:rPr>
      </w:pPr>
      <w:r>
        <w:rPr>
          <w:rFonts w:hint="eastAsia" w:asciiTheme="minorEastAsia" w:hAnsiTheme="minorEastAsia" w:cstheme="minorEastAsia"/>
          <w:bCs/>
        </w:rPr>
        <w:t>联系电话：</w:t>
      </w:r>
      <w:r>
        <w:rPr>
          <w:rFonts w:hint="eastAsia" w:asciiTheme="minorEastAsia" w:hAnsiTheme="minorEastAsia" w:cstheme="minorEastAsia"/>
          <w:bCs/>
          <w:u w:val="single"/>
        </w:rPr>
        <w:t>                                            </w:t>
      </w:r>
    </w:p>
    <w:p w14:paraId="31A5FC7E">
      <w:pPr>
        <w:pStyle w:val="36"/>
        <w:widowControl/>
        <w:ind w:firstLine="482"/>
        <w:jc w:val="both"/>
        <w:rPr>
          <w:rFonts w:asciiTheme="minorEastAsia" w:hAnsiTheme="minorEastAsia" w:cstheme="minorEastAsia"/>
          <w:b/>
          <w:bCs/>
        </w:rPr>
      </w:pPr>
      <w:r>
        <w:rPr>
          <w:rFonts w:hint="eastAsia" w:asciiTheme="minorEastAsia" w:hAnsiTheme="minorEastAsia" w:cstheme="minorEastAsia"/>
          <w:bCs/>
        </w:rPr>
        <w:t>授权代表：</w:t>
      </w:r>
      <w:r>
        <w:rPr>
          <w:rFonts w:hint="eastAsia" w:asciiTheme="minorEastAsia" w:hAnsiTheme="minorEastAsia" w:cstheme="minorEastAsia"/>
          <w:bCs/>
          <w:u w:val="single"/>
        </w:rPr>
        <w:t>                                           </w:t>
      </w:r>
    </w:p>
    <w:p w14:paraId="20A176C4">
      <w:pPr>
        <w:pStyle w:val="36"/>
        <w:widowControl/>
        <w:ind w:firstLine="482"/>
        <w:jc w:val="both"/>
        <w:rPr>
          <w:rFonts w:asciiTheme="minorEastAsia" w:hAnsiTheme="minorEastAsia" w:cstheme="minorEastAsia"/>
          <w:b/>
          <w:bCs/>
        </w:rPr>
      </w:pPr>
      <w:r>
        <w:rPr>
          <w:rFonts w:hint="eastAsia" w:asciiTheme="minorEastAsia" w:hAnsiTheme="minorEastAsia" w:cstheme="minorEastAsia"/>
          <w:bCs/>
        </w:rPr>
        <w:t>联系电话：</w:t>
      </w:r>
      <w:r>
        <w:rPr>
          <w:rFonts w:hint="eastAsia" w:asciiTheme="minorEastAsia" w:hAnsiTheme="minorEastAsia" w:cstheme="minorEastAsia"/>
          <w:bCs/>
          <w:u w:val="single"/>
        </w:rPr>
        <w:t xml:space="preserve">                                                        </w:t>
      </w:r>
    </w:p>
    <w:p w14:paraId="0756D100">
      <w:pPr>
        <w:pStyle w:val="36"/>
        <w:widowControl/>
        <w:ind w:firstLine="482"/>
        <w:jc w:val="both"/>
        <w:rPr>
          <w:rFonts w:asciiTheme="minorEastAsia" w:hAnsiTheme="minorEastAsia" w:cstheme="minorEastAsia"/>
          <w:b/>
          <w:bCs/>
          <w:u w:val="single"/>
        </w:rPr>
      </w:pPr>
      <w:r>
        <w:rPr>
          <w:rFonts w:hint="eastAsia" w:asciiTheme="minorEastAsia" w:hAnsiTheme="minorEastAsia" w:cstheme="minorEastAsia"/>
          <w:bCs/>
        </w:rPr>
        <w:t>地址：</w:t>
      </w:r>
      <w:r>
        <w:rPr>
          <w:rFonts w:hint="eastAsia" w:asciiTheme="minorEastAsia" w:hAnsiTheme="minorEastAsia" w:cstheme="minorEastAsia"/>
          <w:bCs/>
          <w:u w:val="single"/>
        </w:rPr>
        <w:t xml:space="preserve">                                                            </w:t>
      </w:r>
    </w:p>
    <w:p w14:paraId="39C38218">
      <w:pPr>
        <w:pStyle w:val="36"/>
        <w:widowControl/>
        <w:ind w:firstLine="482"/>
        <w:jc w:val="both"/>
        <w:rPr>
          <w:rFonts w:asciiTheme="minorEastAsia" w:hAnsiTheme="minorEastAsia" w:cstheme="minorEastAsia"/>
          <w:b/>
          <w:bCs/>
        </w:rPr>
      </w:pPr>
      <w:r>
        <w:rPr>
          <w:rFonts w:hint="eastAsia" w:asciiTheme="minorEastAsia" w:hAnsiTheme="minorEastAsia" w:cstheme="minorEastAsia"/>
          <w:bCs/>
        </w:rPr>
        <w:t>邮编：</w:t>
      </w:r>
      <w:r>
        <w:rPr>
          <w:rFonts w:hint="eastAsia" w:asciiTheme="minorEastAsia" w:hAnsiTheme="minorEastAsia" w:cstheme="minorEastAsia"/>
          <w:bCs/>
          <w:u w:val="single"/>
        </w:rPr>
        <w:t xml:space="preserve">                                                            </w:t>
      </w:r>
    </w:p>
    <w:p w14:paraId="0EEAA9A6">
      <w:pPr>
        <w:pStyle w:val="36"/>
        <w:widowControl/>
        <w:ind w:firstLine="482"/>
        <w:jc w:val="both"/>
        <w:outlineLvl w:val="1"/>
        <w:rPr>
          <w:rFonts w:asciiTheme="minorEastAsia" w:hAnsiTheme="minorEastAsia" w:cstheme="minorEastAsia"/>
          <w:b/>
        </w:rPr>
      </w:pPr>
      <w:r>
        <w:rPr>
          <w:rFonts w:hint="eastAsia" w:asciiTheme="minorEastAsia" w:hAnsiTheme="minorEastAsia" w:cstheme="minorEastAsia"/>
          <w:b/>
        </w:rPr>
        <w:t>二、质疑项目基本情况</w:t>
      </w:r>
    </w:p>
    <w:p w14:paraId="13D9B42E">
      <w:pPr>
        <w:pStyle w:val="36"/>
        <w:widowControl/>
        <w:ind w:firstLine="482"/>
        <w:jc w:val="both"/>
        <w:rPr>
          <w:rFonts w:asciiTheme="minorEastAsia" w:hAnsiTheme="minorEastAsia" w:cstheme="minorEastAsia"/>
          <w:b/>
          <w:bCs/>
        </w:rPr>
      </w:pPr>
      <w:r>
        <w:rPr>
          <w:rFonts w:hint="eastAsia" w:asciiTheme="minorEastAsia" w:hAnsiTheme="minorEastAsia" w:cstheme="minorEastAsia"/>
          <w:bCs/>
        </w:rPr>
        <w:t>质疑项目的名称：</w:t>
      </w:r>
      <w:r>
        <w:rPr>
          <w:rFonts w:hint="eastAsia" w:asciiTheme="minorEastAsia" w:hAnsiTheme="minorEastAsia" w:cstheme="minorEastAsia"/>
          <w:bCs/>
          <w:u w:val="single"/>
        </w:rPr>
        <w:t xml:space="preserve">                                                   </w:t>
      </w:r>
    </w:p>
    <w:p w14:paraId="51830929">
      <w:pPr>
        <w:pStyle w:val="36"/>
        <w:widowControl/>
        <w:ind w:firstLine="482"/>
        <w:jc w:val="both"/>
        <w:rPr>
          <w:rFonts w:asciiTheme="minorEastAsia" w:hAnsiTheme="minorEastAsia" w:cstheme="minorEastAsia"/>
          <w:b/>
          <w:bCs/>
          <w:u w:val="single"/>
        </w:rPr>
      </w:pPr>
      <w:r>
        <w:rPr>
          <w:rFonts w:hint="eastAsia" w:asciiTheme="minorEastAsia" w:hAnsiTheme="minorEastAsia" w:cstheme="minorEastAsia"/>
          <w:bCs/>
        </w:rPr>
        <w:t>质疑项目的编号：</w:t>
      </w:r>
      <w:r>
        <w:rPr>
          <w:rFonts w:hint="eastAsia" w:asciiTheme="minorEastAsia" w:hAnsiTheme="minorEastAsia" w:cstheme="minorEastAsia"/>
          <w:bCs/>
          <w:u w:val="single"/>
        </w:rPr>
        <w:t>                                          </w:t>
      </w:r>
    </w:p>
    <w:p w14:paraId="509C57AA">
      <w:pPr>
        <w:pStyle w:val="36"/>
        <w:widowControl/>
        <w:ind w:firstLine="482"/>
        <w:jc w:val="both"/>
        <w:rPr>
          <w:rFonts w:asciiTheme="minorEastAsia" w:hAnsiTheme="minorEastAsia" w:cstheme="minorEastAsia"/>
          <w:b/>
          <w:bCs/>
        </w:rPr>
      </w:pPr>
      <w:r>
        <w:rPr>
          <w:rFonts w:hint="eastAsia" w:asciiTheme="minorEastAsia" w:hAnsiTheme="minorEastAsia" w:cstheme="minorEastAsia"/>
          <w:bCs/>
        </w:rPr>
        <w:t>包号：</w:t>
      </w:r>
      <w:r>
        <w:rPr>
          <w:rFonts w:hint="eastAsia" w:asciiTheme="minorEastAsia" w:hAnsiTheme="minorEastAsia" w:cstheme="minorEastAsia"/>
          <w:bCs/>
          <w:u w:val="single"/>
        </w:rPr>
        <w:t>                                               </w:t>
      </w:r>
    </w:p>
    <w:p w14:paraId="5A3051E7">
      <w:pPr>
        <w:pStyle w:val="36"/>
        <w:widowControl/>
        <w:ind w:firstLine="482"/>
        <w:jc w:val="both"/>
        <w:rPr>
          <w:rFonts w:asciiTheme="minorEastAsia" w:hAnsiTheme="minorEastAsia" w:cstheme="minorEastAsia"/>
          <w:b/>
          <w:bCs/>
        </w:rPr>
      </w:pPr>
      <w:r>
        <w:rPr>
          <w:rFonts w:hint="eastAsia" w:asciiTheme="minorEastAsia" w:hAnsiTheme="minorEastAsia" w:cstheme="minorEastAsia"/>
          <w:bCs/>
        </w:rPr>
        <w:t>采购人名称：</w:t>
      </w:r>
      <w:r>
        <w:rPr>
          <w:rFonts w:hint="eastAsia" w:asciiTheme="minorEastAsia" w:hAnsiTheme="minorEastAsia" w:cstheme="minorEastAsia"/>
          <w:bCs/>
          <w:u w:val="single"/>
        </w:rPr>
        <w:t>                                             </w:t>
      </w:r>
    </w:p>
    <w:p w14:paraId="050D6D99">
      <w:pPr>
        <w:pStyle w:val="36"/>
        <w:widowControl/>
        <w:ind w:firstLine="482"/>
        <w:jc w:val="both"/>
        <w:rPr>
          <w:rFonts w:asciiTheme="minorEastAsia" w:hAnsiTheme="minorEastAsia" w:cstheme="minorEastAsia"/>
          <w:b/>
          <w:bCs/>
        </w:rPr>
      </w:pPr>
      <w:r>
        <w:rPr>
          <w:rFonts w:hint="eastAsia" w:asciiTheme="minorEastAsia" w:hAnsiTheme="minorEastAsia" w:cstheme="minorEastAsia"/>
          <w:bCs/>
        </w:rPr>
        <w:t>采购文件获取日期：</w:t>
      </w:r>
      <w:r>
        <w:rPr>
          <w:rFonts w:hint="eastAsia" w:asciiTheme="minorEastAsia" w:hAnsiTheme="minorEastAsia" w:cstheme="minorEastAsia"/>
          <w:bCs/>
          <w:u w:val="single"/>
        </w:rPr>
        <w:t>                                          </w:t>
      </w:r>
    </w:p>
    <w:p w14:paraId="4EDAAE8B">
      <w:pPr>
        <w:pStyle w:val="36"/>
        <w:widowControl/>
        <w:ind w:firstLine="482"/>
        <w:jc w:val="both"/>
        <w:outlineLvl w:val="1"/>
        <w:rPr>
          <w:rFonts w:asciiTheme="minorEastAsia" w:hAnsiTheme="minorEastAsia" w:cstheme="minorEastAsia"/>
          <w:b/>
        </w:rPr>
      </w:pPr>
      <w:r>
        <w:rPr>
          <w:rFonts w:hint="eastAsia" w:asciiTheme="minorEastAsia" w:hAnsiTheme="minorEastAsia" w:cstheme="minorEastAsia"/>
          <w:b/>
        </w:rPr>
        <w:t>三、质疑事项具体内容</w:t>
      </w:r>
    </w:p>
    <w:p w14:paraId="0C399EF4">
      <w:pPr>
        <w:pStyle w:val="36"/>
        <w:widowControl/>
        <w:ind w:firstLine="482"/>
        <w:jc w:val="both"/>
        <w:rPr>
          <w:rFonts w:asciiTheme="minorEastAsia" w:hAnsiTheme="minorEastAsia" w:cstheme="minorEastAsia"/>
          <w:b/>
          <w:bCs/>
        </w:rPr>
      </w:pPr>
      <w:r>
        <w:rPr>
          <w:rFonts w:hint="eastAsia" w:asciiTheme="minorEastAsia" w:hAnsiTheme="minorEastAsia" w:cstheme="minorEastAsia"/>
          <w:bCs/>
        </w:rPr>
        <w:t>质疑事项1：</w:t>
      </w:r>
      <w:r>
        <w:rPr>
          <w:rFonts w:hint="eastAsia" w:asciiTheme="minorEastAsia" w:hAnsiTheme="minorEastAsia" w:cstheme="minorEastAsia"/>
          <w:bCs/>
          <w:u w:val="single"/>
        </w:rPr>
        <w:t>                                              </w:t>
      </w:r>
    </w:p>
    <w:p w14:paraId="7F2186BC">
      <w:pPr>
        <w:pStyle w:val="36"/>
        <w:widowControl/>
        <w:ind w:firstLine="482"/>
        <w:rPr>
          <w:rFonts w:asciiTheme="minorEastAsia" w:hAnsiTheme="minorEastAsia" w:cstheme="minorEastAsia"/>
          <w:b/>
          <w:bCs/>
        </w:rPr>
      </w:pPr>
      <w:r>
        <w:rPr>
          <w:rFonts w:hint="eastAsia" w:asciiTheme="minorEastAsia" w:hAnsiTheme="minorEastAsia" w:cstheme="minorEastAsia"/>
          <w:bCs/>
        </w:rPr>
        <w:t>事实依据：</w:t>
      </w:r>
      <w:r>
        <w:rPr>
          <w:rFonts w:hint="eastAsia" w:asciiTheme="minorEastAsia" w:hAnsiTheme="minorEastAsia" w:cstheme="minorEastAsia"/>
          <w:bCs/>
          <w:u w:val="single"/>
        </w:rPr>
        <w:t>                                             </w:t>
      </w:r>
    </w:p>
    <w:p w14:paraId="6324F839">
      <w:pPr>
        <w:pStyle w:val="36"/>
        <w:widowControl/>
        <w:ind w:firstLine="482"/>
        <w:jc w:val="both"/>
        <w:rPr>
          <w:rFonts w:asciiTheme="minorEastAsia" w:hAnsiTheme="minorEastAsia" w:cstheme="minorEastAsia"/>
          <w:b/>
          <w:bCs/>
        </w:rPr>
      </w:pPr>
      <w:r>
        <w:rPr>
          <w:rFonts w:hint="eastAsia" w:asciiTheme="minorEastAsia" w:hAnsiTheme="minorEastAsia" w:cstheme="minorEastAsia"/>
          <w:bCs/>
        </w:rPr>
        <w:t>法律依据：</w:t>
      </w:r>
      <w:r>
        <w:rPr>
          <w:rFonts w:hint="eastAsia" w:asciiTheme="minorEastAsia" w:hAnsiTheme="minorEastAsia" w:cstheme="minorEastAsia"/>
          <w:bCs/>
          <w:u w:val="single"/>
        </w:rPr>
        <w:t>                                             </w:t>
      </w:r>
    </w:p>
    <w:p w14:paraId="27941AF1">
      <w:pPr>
        <w:pStyle w:val="36"/>
        <w:widowControl/>
        <w:ind w:firstLine="482"/>
        <w:jc w:val="both"/>
        <w:rPr>
          <w:rFonts w:asciiTheme="minorEastAsia" w:hAnsiTheme="minorEastAsia" w:cstheme="minorEastAsia"/>
          <w:b/>
          <w:bCs/>
        </w:rPr>
      </w:pPr>
      <w:r>
        <w:rPr>
          <w:rFonts w:hint="eastAsia" w:asciiTheme="minorEastAsia" w:hAnsiTheme="minorEastAsia" w:cstheme="minorEastAsia"/>
          <w:bCs/>
        </w:rPr>
        <w:t>质疑事项2</w:t>
      </w:r>
    </w:p>
    <w:p w14:paraId="33852D83">
      <w:pPr>
        <w:pStyle w:val="36"/>
        <w:widowControl/>
        <w:ind w:firstLine="482"/>
        <w:jc w:val="both"/>
        <w:rPr>
          <w:rFonts w:asciiTheme="minorEastAsia" w:hAnsiTheme="minorEastAsia" w:cstheme="minorEastAsia"/>
          <w:b/>
          <w:bCs/>
        </w:rPr>
      </w:pPr>
      <w:r>
        <w:rPr>
          <w:rFonts w:hint="eastAsia" w:asciiTheme="minorEastAsia" w:hAnsiTheme="minorEastAsia" w:cstheme="minorEastAsia"/>
          <w:bCs/>
        </w:rPr>
        <w:t>……</w:t>
      </w:r>
    </w:p>
    <w:p w14:paraId="1C39235F">
      <w:pPr>
        <w:pStyle w:val="36"/>
        <w:widowControl/>
        <w:ind w:firstLine="482"/>
        <w:jc w:val="both"/>
        <w:outlineLvl w:val="1"/>
        <w:rPr>
          <w:rFonts w:asciiTheme="minorEastAsia" w:hAnsiTheme="minorEastAsia" w:cstheme="minorEastAsia"/>
          <w:b/>
        </w:rPr>
      </w:pPr>
      <w:r>
        <w:rPr>
          <w:rFonts w:hint="eastAsia" w:asciiTheme="minorEastAsia" w:hAnsiTheme="minorEastAsia" w:cstheme="minorEastAsia"/>
          <w:b/>
        </w:rPr>
        <w:t>四、与质疑事项相关的质疑请求</w:t>
      </w:r>
    </w:p>
    <w:p w14:paraId="79DF8039">
      <w:pPr>
        <w:pStyle w:val="36"/>
        <w:widowControl/>
        <w:ind w:firstLine="482"/>
        <w:jc w:val="both"/>
        <w:rPr>
          <w:rFonts w:asciiTheme="minorEastAsia" w:hAnsiTheme="minorEastAsia" w:cstheme="minorEastAsia"/>
          <w:b/>
          <w:bCs/>
        </w:rPr>
      </w:pPr>
      <w:r>
        <w:rPr>
          <w:rFonts w:hint="eastAsia" w:asciiTheme="minorEastAsia" w:hAnsiTheme="minorEastAsia" w:cstheme="minorEastAsia"/>
          <w:bCs/>
        </w:rPr>
        <w:t>请求：</w:t>
      </w:r>
      <w:r>
        <w:rPr>
          <w:rFonts w:hint="eastAsia" w:asciiTheme="minorEastAsia" w:hAnsiTheme="minorEastAsia" w:cstheme="minorEastAsia"/>
          <w:bCs/>
          <w:u w:val="single"/>
        </w:rPr>
        <w:t xml:space="preserve">                                                              </w:t>
      </w:r>
    </w:p>
    <w:p w14:paraId="6E9F6991">
      <w:pPr>
        <w:pStyle w:val="36"/>
        <w:widowControl/>
        <w:ind w:firstLine="482"/>
        <w:jc w:val="both"/>
        <w:rPr>
          <w:rFonts w:asciiTheme="minorEastAsia" w:hAnsiTheme="minorEastAsia" w:cstheme="minorEastAsia"/>
          <w:b/>
          <w:bCs/>
        </w:rPr>
      </w:pPr>
      <w:r>
        <w:rPr>
          <w:rFonts w:hint="eastAsia" w:asciiTheme="minorEastAsia" w:hAnsiTheme="minorEastAsia" w:cstheme="minorEastAsia"/>
          <w:bCs/>
        </w:rPr>
        <w:t>签字（签章）：        公章：             日期：   </w:t>
      </w:r>
    </w:p>
    <w:p w14:paraId="192CCCD3">
      <w:pPr>
        <w:widowControl/>
        <w:spacing w:line="520" w:lineRule="exact"/>
        <w:ind w:firstLine="440"/>
        <w:rPr>
          <w:sz w:val="24"/>
        </w:rPr>
      </w:pPr>
      <w:r>
        <w:rPr>
          <w:rFonts w:hint="eastAsia"/>
          <w:sz w:val="24"/>
        </w:rPr>
        <w:t>质疑函制作说明：</w:t>
      </w:r>
    </w:p>
    <w:p w14:paraId="604F2AA4">
      <w:pPr>
        <w:widowControl/>
        <w:spacing w:line="520" w:lineRule="exact"/>
        <w:ind w:firstLine="440"/>
        <w:outlineLvl w:val="2"/>
        <w:rPr>
          <w:rFonts w:ascii="宋体" w:hAnsi="宋体" w:eastAsia="宋体" w:cs="宋体"/>
          <w:sz w:val="24"/>
        </w:rPr>
      </w:pPr>
      <w:r>
        <w:rPr>
          <w:rFonts w:hint="eastAsia" w:ascii="宋体" w:hAnsi="宋体" w:eastAsia="宋体" w:cs="宋体"/>
          <w:sz w:val="24"/>
        </w:rPr>
        <w:t>1.供应商提出质疑时，应提交质疑函和必要的证明材料。</w:t>
      </w:r>
    </w:p>
    <w:p w14:paraId="2AA85EFB">
      <w:pPr>
        <w:widowControl/>
        <w:spacing w:line="520" w:lineRule="exact"/>
        <w:ind w:firstLine="440"/>
        <w:rPr>
          <w:rFonts w:ascii="宋体" w:hAnsi="宋体" w:eastAsia="宋体" w:cs="宋体"/>
          <w:sz w:val="24"/>
        </w:rPr>
      </w:pPr>
      <w:r>
        <w:rPr>
          <w:rFonts w:hint="eastAsia" w:ascii="宋体" w:hAnsi="宋体" w:eastAsia="宋体" w:cs="宋体"/>
          <w:sz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ED9BB79">
      <w:pPr>
        <w:widowControl/>
        <w:spacing w:line="520" w:lineRule="exact"/>
        <w:ind w:firstLine="440"/>
        <w:rPr>
          <w:rFonts w:ascii="宋体" w:hAnsi="宋体" w:eastAsia="宋体" w:cs="宋体"/>
          <w:sz w:val="24"/>
        </w:rPr>
      </w:pPr>
      <w:r>
        <w:rPr>
          <w:rFonts w:hint="eastAsia" w:ascii="宋体" w:hAnsi="宋体" w:eastAsia="宋体" w:cs="宋体"/>
          <w:sz w:val="24"/>
        </w:rPr>
        <w:t>3.质疑供应商若对项目的某一分包进行质疑，质疑函中应列明具体分包号。</w:t>
      </w:r>
    </w:p>
    <w:p w14:paraId="3F879250">
      <w:pPr>
        <w:widowControl/>
        <w:spacing w:line="520" w:lineRule="exact"/>
        <w:ind w:firstLine="440"/>
        <w:rPr>
          <w:rFonts w:ascii="宋体" w:hAnsi="宋体" w:eastAsia="宋体" w:cs="宋体"/>
          <w:sz w:val="24"/>
        </w:rPr>
      </w:pPr>
      <w:r>
        <w:rPr>
          <w:rFonts w:hint="eastAsia" w:ascii="宋体" w:hAnsi="宋体" w:eastAsia="宋体" w:cs="宋体"/>
          <w:sz w:val="24"/>
        </w:rPr>
        <w:t>4.质疑函的质疑事项应具体、明确，并有必要的事实依据和法律依据。</w:t>
      </w:r>
    </w:p>
    <w:p w14:paraId="7786AF12">
      <w:pPr>
        <w:widowControl/>
        <w:spacing w:line="520" w:lineRule="exact"/>
        <w:ind w:firstLine="440"/>
        <w:outlineLvl w:val="2"/>
        <w:rPr>
          <w:rFonts w:ascii="宋体" w:hAnsi="宋体" w:eastAsia="宋体" w:cs="宋体"/>
          <w:sz w:val="24"/>
        </w:rPr>
      </w:pPr>
      <w:r>
        <w:rPr>
          <w:rFonts w:hint="eastAsia" w:ascii="宋体" w:hAnsi="宋体" w:eastAsia="宋体" w:cs="宋体"/>
          <w:sz w:val="24"/>
        </w:rPr>
        <w:t>5.质疑函的质疑请求应与质疑事项相关。</w:t>
      </w:r>
    </w:p>
    <w:p w14:paraId="3071AECF">
      <w:pPr>
        <w:widowControl/>
        <w:spacing w:line="520" w:lineRule="exact"/>
        <w:ind w:firstLine="440"/>
      </w:pPr>
      <w:r>
        <w:rPr>
          <w:rFonts w:hint="eastAsia" w:ascii="宋体" w:hAnsi="宋体" w:eastAsia="宋体" w:cs="宋体"/>
          <w:sz w:val="24"/>
        </w:rPr>
        <w:t>6.质疑供应商为自然人的，质疑函应由本人签字；质疑供应商为法人或者其他组织的，质疑函应由法定代表人、主要负责人，或者其授权代表签字或者盖章，并加盖公章。</w:t>
      </w:r>
      <w:bookmarkEnd w:id="6"/>
      <w:bookmarkEnd w:id="30"/>
      <w:bookmarkEnd w:id="31"/>
      <w:bookmarkEnd w:id="32"/>
      <w:bookmarkEnd w:id="33"/>
      <w:bookmarkEnd w:id="34"/>
      <w:bookmarkEnd w:id="35"/>
      <w:bookmarkEnd w:id="36"/>
      <w:bookmarkEnd w:id="37"/>
      <w:bookmarkEnd w:id="38"/>
      <w:bookmarkEnd w:id="39"/>
      <w:bookmarkEnd w:id="40"/>
      <w:bookmarkEnd w:id="41"/>
      <w:bookmarkEnd w:id="156"/>
      <w:bookmarkEnd w:id="163"/>
    </w:p>
    <w:sectPr>
      <w:footerReference r:id="rId5" w:type="default"/>
      <w:pgSz w:w="11906" w:h="16838"/>
      <w:pgMar w:top="1440" w:right="1633" w:bottom="1440" w:left="1633" w:header="851" w:footer="992" w:gutter="0"/>
      <w:pgNumType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华文楷体">
    <w:altName w:val="宋体"/>
    <w:panose1 w:val="00000000000000000000"/>
    <w:charset w:val="86"/>
    <w:family w:val="auto"/>
    <w:pitch w:val="default"/>
    <w:sig w:usb0="00000000" w:usb1="00000000" w:usb2="00000000" w:usb3="00000000" w:csb0="0004009F" w:csb1="DFD70000"/>
  </w:font>
  <w:font w:name="hakuyoxingshu7000">
    <w:altName w:val="Segoe Print"/>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隶书">
    <w:altName w:val="微软雅黑"/>
    <w:panose1 w:val="00000000000000000000"/>
    <w:charset w:val="86"/>
    <w:family w:val="auto"/>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华文中宋">
    <w:altName w:val="宋体"/>
    <w:panose1 w:val="00000000000000000000"/>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FD3E01">
    <w:pPr>
      <w:pStyle w:val="24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EF4F83">
    <w:pPr>
      <w:pStyle w:val="24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72110" cy="147955"/>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146952" cy="139526"/>
                      </a:xfrm>
                      <a:prstGeom prst="rect">
                        <a:avLst/>
                      </a:prstGeom>
                      <a:noFill/>
                      <a:ln w="6350">
                        <a:noFill/>
                      </a:ln>
                      <a:effectLst/>
                    </wps:spPr>
                    <wps:txbx>
                      <w:txbxContent>
                        <w:p w14:paraId="42FA3A46">
                          <w:pPr>
                            <w:pStyle w:val="25"/>
                          </w:pPr>
                          <w:r>
                            <w:fldChar w:fldCharType="begin"/>
                          </w:r>
                          <w:r>
                            <w:instrText xml:space="preserve"> PAGE  \* MERGEFORMAT </w:instrText>
                          </w:r>
                          <w:r>
                            <w:fldChar w:fldCharType="separate"/>
                          </w:r>
                          <w:r>
                            <w:t>104</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2" o:spid="_x0000_s1026" o:spt="202" type="#_x0000_t202" style="position:absolute;left:0pt;margin-top:0pt;height:11.65pt;width:29.3pt;mso-position-horizontal:center;mso-position-horizontal-relative:margin;z-index:251659264;mso-width-relative:page;mso-height-relative:page;" filled="f" stroked="f" coordsize="21600,21600" o:gfxdata="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XUtnNNMAAAADAQAADwAAAAAAAAABACAAAAAiAAAA&#10;ZHJzL2Rvd25yZXYueG1sUEsBAhQAFAAAAAgAh07iQP7PWe9FAgAAfQQAAA4AAAAAAAAAAQAgAAAA&#10;IgEAAGRycy9lMm9Eb2MueG1sUEsFBgAAAAAGAAYAWQEAANkFAAAAAA==&#10;">
              <v:fill on="f" focussize="0,0"/>
              <v:stroke on="f" weight="0.5pt"/>
              <v:imagedata o:title=""/>
              <o:lock v:ext="edit" aspectratio="f"/>
              <v:textbox inset="0mm,0mm,0mm,0mm">
                <w:txbxContent>
                  <w:p w14:paraId="42FA3A46">
                    <w:pPr>
                      <w:pStyle w:val="25"/>
                    </w:pPr>
                    <w:r>
                      <w:fldChar w:fldCharType="begin"/>
                    </w:r>
                    <w:r>
                      <w:instrText xml:space="preserve"> PAGE  \* MERGEFORMAT </w:instrText>
                    </w:r>
                    <w:r>
                      <w:fldChar w:fldCharType="separate"/>
                    </w:r>
                    <w:r>
                      <w:t>104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FF834D">
    <w:pPr>
      <w:pStyle w:val="264"/>
      <w:spacing w:line="400" w:lineRule="exact"/>
      <w:ind w:firstLine="600"/>
    </w:pPr>
    <w:r>
      <w:rPr>
        <w:rFonts w:eastAsia="隶书"/>
        <w:spacing w:val="40"/>
        <w:sz w:val="22"/>
        <w:szCs w:val="22"/>
      </w:rPr>
      <w:t>盐城市政府采购</w:t>
    </w:r>
    <w:r>
      <w:rPr>
        <w:rFonts w:hint="eastAsia"/>
        <w:sz w:val="22"/>
        <w:szCs w:val="22"/>
      </w:rPr>
      <w:t>（</w:t>
    </w:r>
    <w:r>
      <w:rPr>
        <w:rFonts w:hint="eastAsia" w:ascii="宋体" w:hAnsi="宋体" w:eastAsia="宋体" w:cs="宋体"/>
        <w:b/>
        <w:bCs/>
        <w:sz w:val="22"/>
        <w:szCs w:val="22"/>
      </w:rPr>
      <w:t>JSZC-320900-JZCG-G2026-0051</w:t>
    </w:r>
    <w:r>
      <w:rPr>
        <w:rFonts w:hint="eastAsia"/>
        <w:sz w:val="22"/>
        <w:szCs w:val="22"/>
      </w:rPr>
      <w:t>）</w:t>
    </w:r>
    <w:r>
      <w:rPr>
        <w:rFonts w:eastAsia="隶书"/>
        <w:spacing w:val="40"/>
        <w:sz w:val="22"/>
        <w:szCs w:val="22"/>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121995"/>
    <w:multiLevelType w:val="singleLevel"/>
    <w:tmpl w:val="8A121995"/>
    <w:lvl w:ilvl="0" w:tentative="0">
      <w:start w:val="1"/>
      <w:numFmt w:val="decimal"/>
      <w:suff w:val="nothing"/>
      <w:lvlText w:val="%1、"/>
      <w:lvlJc w:val="left"/>
    </w:lvl>
  </w:abstractNum>
  <w:abstractNum w:abstractNumId="1">
    <w:nsid w:val="A232DE56"/>
    <w:multiLevelType w:val="multilevel"/>
    <w:tmpl w:val="A232DE56"/>
    <w:lvl w:ilvl="0" w:tentative="0">
      <w:start w:val="1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D53D5D8A"/>
    <w:multiLevelType w:val="multilevel"/>
    <w:tmpl w:val="D53D5D8A"/>
    <w:lvl w:ilvl="0" w:tentative="0">
      <w:start w:val="7"/>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47EC4A0D"/>
    <w:multiLevelType w:val="multilevel"/>
    <w:tmpl w:val="47EC4A0D"/>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7B7D8CDE"/>
    <w:multiLevelType w:val="multilevel"/>
    <w:tmpl w:val="7B7D8CDE"/>
    <w:lvl w:ilvl="0" w:tentative="0">
      <w:start w:val="5"/>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noPunctuationKerning w:val="1"/>
  <w:characterSpacingControl w:val="doNotCompress"/>
  <w:hdrShapeDefaults>
    <o:shapelayout v:ext="edit">
      <o:idmap v:ext="edit" data="1"/>
    </o:shapelayout>
  </w:hdrShapeDefaults>
  <w:compat>
    <w:balanceSingleByteDoubleByteWidth/>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742A"/>
    <w:rsid w:val="00033925"/>
    <w:rsid w:val="0004637E"/>
    <w:rsid w:val="0005007F"/>
    <w:rsid w:val="00066044"/>
    <w:rsid w:val="000831F7"/>
    <w:rsid w:val="000D67DA"/>
    <w:rsid w:val="00124388"/>
    <w:rsid w:val="00226D9A"/>
    <w:rsid w:val="00283E5B"/>
    <w:rsid w:val="00332F1D"/>
    <w:rsid w:val="00375B40"/>
    <w:rsid w:val="003870FE"/>
    <w:rsid w:val="00394AC9"/>
    <w:rsid w:val="004231A6"/>
    <w:rsid w:val="004A40B5"/>
    <w:rsid w:val="004D33DD"/>
    <w:rsid w:val="0063279F"/>
    <w:rsid w:val="00660CB7"/>
    <w:rsid w:val="00671EAB"/>
    <w:rsid w:val="00677EB3"/>
    <w:rsid w:val="006D4642"/>
    <w:rsid w:val="006D4F25"/>
    <w:rsid w:val="00724E2D"/>
    <w:rsid w:val="0074742A"/>
    <w:rsid w:val="007C6290"/>
    <w:rsid w:val="0082307A"/>
    <w:rsid w:val="008A5766"/>
    <w:rsid w:val="0092388E"/>
    <w:rsid w:val="009353AA"/>
    <w:rsid w:val="0095473D"/>
    <w:rsid w:val="009D1B3E"/>
    <w:rsid w:val="00A03F63"/>
    <w:rsid w:val="00A070E8"/>
    <w:rsid w:val="00A3371A"/>
    <w:rsid w:val="00AE5AD9"/>
    <w:rsid w:val="00AE7101"/>
    <w:rsid w:val="00B33EFD"/>
    <w:rsid w:val="00B96BFF"/>
    <w:rsid w:val="00BC6722"/>
    <w:rsid w:val="00C15AF3"/>
    <w:rsid w:val="00C5500A"/>
    <w:rsid w:val="00C964CB"/>
    <w:rsid w:val="00CB6621"/>
    <w:rsid w:val="00CB7C12"/>
    <w:rsid w:val="00D477B0"/>
    <w:rsid w:val="00D51C21"/>
    <w:rsid w:val="00DC48AF"/>
    <w:rsid w:val="00E000DC"/>
    <w:rsid w:val="00E14614"/>
    <w:rsid w:val="00ED31F3"/>
    <w:rsid w:val="00F50859"/>
    <w:rsid w:val="00F83D74"/>
    <w:rsid w:val="033B649D"/>
    <w:rsid w:val="058D598A"/>
    <w:rsid w:val="05DA7A44"/>
    <w:rsid w:val="05EB76B7"/>
    <w:rsid w:val="07F9539B"/>
    <w:rsid w:val="0AC05D10"/>
    <w:rsid w:val="0BFC04EC"/>
    <w:rsid w:val="0D305579"/>
    <w:rsid w:val="0DD203DE"/>
    <w:rsid w:val="0F1E2159"/>
    <w:rsid w:val="1C8772C8"/>
    <w:rsid w:val="1CA473E9"/>
    <w:rsid w:val="1F444440"/>
    <w:rsid w:val="2010073A"/>
    <w:rsid w:val="204A64FA"/>
    <w:rsid w:val="21AD6BE5"/>
    <w:rsid w:val="24A3442A"/>
    <w:rsid w:val="274E7E31"/>
    <w:rsid w:val="28F811E9"/>
    <w:rsid w:val="2A306009"/>
    <w:rsid w:val="2B6E4F01"/>
    <w:rsid w:val="2C824E57"/>
    <w:rsid w:val="2F3675CE"/>
    <w:rsid w:val="2F9037FD"/>
    <w:rsid w:val="31837ABD"/>
    <w:rsid w:val="321A3B53"/>
    <w:rsid w:val="349124F1"/>
    <w:rsid w:val="35BA68D3"/>
    <w:rsid w:val="3A1514CF"/>
    <w:rsid w:val="3BEE2461"/>
    <w:rsid w:val="3C033CD5"/>
    <w:rsid w:val="3E90381A"/>
    <w:rsid w:val="3F125FDD"/>
    <w:rsid w:val="3FD436BE"/>
    <w:rsid w:val="40112738"/>
    <w:rsid w:val="43616F57"/>
    <w:rsid w:val="4545197D"/>
    <w:rsid w:val="480C5CBF"/>
    <w:rsid w:val="4ABB39CC"/>
    <w:rsid w:val="4B7A3887"/>
    <w:rsid w:val="4BC338E1"/>
    <w:rsid w:val="4BEE392E"/>
    <w:rsid w:val="4C6A6D6A"/>
    <w:rsid w:val="4C995F8F"/>
    <w:rsid w:val="4D9D385D"/>
    <w:rsid w:val="4E6879C7"/>
    <w:rsid w:val="4EDA5244"/>
    <w:rsid w:val="530D73E1"/>
    <w:rsid w:val="54103247"/>
    <w:rsid w:val="561C1D07"/>
    <w:rsid w:val="569F41A2"/>
    <w:rsid w:val="587A4EC7"/>
    <w:rsid w:val="5C441314"/>
    <w:rsid w:val="5C7834CB"/>
    <w:rsid w:val="5CC06F24"/>
    <w:rsid w:val="5DA36C6E"/>
    <w:rsid w:val="5DF41210"/>
    <w:rsid w:val="631E51F7"/>
    <w:rsid w:val="65FC33BF"/>
    <w:rsid w:val="67A27EB6"/>
    <w:rsid w:val="68D8170E"/>
    <w:rsid w:val="691C0CBD"/>
    <w:rsid w:val="6A8B2F63"/>
    <w:rsid w:val="6DA13ECF"/>
    <w:rsid w:val="6F2B261F"/>
    <w:rsid w:val="6FC65AEC"/>
    <w:rsid w:val="72281098"/>
    <w:rsid w:val="73247AB1"/>
    <w:rsid w:val="739A5FC5"/>
    <w:rsid w:val="747B7BA5"/>
    <w:rsid w:val="76164029"/>
    <w:rsid w:val="78C53AE4"/>
    <w:rsid w:val="7AAF05A8"/>
    <w:rsid w:val="7C0130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qFormat="1" w:uiPriority="99" w:name="annotation text"/>
    <w:lsdException w:qFormat="1" w:uiPriority="99"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4"/>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Cs w:val="21"/>
    </w:rPr>
  </w:style>
  <w:style w:type="character" w:default="1" w:styleId="42">
    <w:name w:val="Default Paragraph Font"/>
    <w:semiHidden/>
    <w:unhideWhenUsed/>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link w:val="247"/>
    <w:unhideWhenUsed/>
    <w:qFormat/>
    <w:uiPriority w:val="0"/>
    <w:pPr>
      <w:ind w:firstLine="420"/>
    </w:pPr>
    <w:rPr>
      <w:rFonts w:ascii="Calibri" w:hAnsi="Calibri" w:eastAsia="宋体" w:cs="Times New Roman"/>
      <w:sz w:val="20"/>
      <w:szCs w:val="20"/>
    </w:rPr>
  </w:style>
  <w:style w:type="paragraph" w:styleId="13">
    <w:name w:val="caption"/>
    <w:basedOn w:val="1"/>
    <w:next w:val="1"/>
    <w:semiHidden/>
    <w:unhideWhenUsed/>
    <w:qFormat/>
    <w:uiPriority w:val="35"/>
    <w:pPr>
      <w:spacing w:line="276" w:lineRule="auto"/>
    </w:pPr>
    <w:rPr>
      <w:b/>
      <w:bCs/>
      <w:color w:val="5B9BD5" w:themeColor="accent1"/>
      <w:sz w:val="18"/>
      <w:szCs w:val="18"/>
    </w:rPr>
  </w:style>
  <w:style w:type="paragraph" w:styleId="14">
    <w:name w:val="toa heading"/>
    <w:basedOn w:val="1"/>
    <w:next w:val="1"/>
    <w:unhideWhenUsed/>
    <w:qFormat/>
    <w:uiPriority w:val="99"/>
    <w:pPr>
      <w:spacing w:before="120"/>
    </w:pPr>
    <w:rPr>
      <w:rFonts w:ascii="Cambria" w:hAnsi="Cambria" w:eastAsia="宋体" w:cs="Times New Roman"/>
      <w:sz w:val="24"/>
      <w:szCs w:val="21"/>
    </w:rPr>
  </w:style>
  <w:style w:type="paragraph" w:styleId="15">
    <w:name w:val="annotation text"/>
    <w:basedOn w:val="1"/>
    <w:semiHidden/>
    <w:unhideWhenUsed/>
    <w:qFormat/>
    <w:uiPriority w:val="99"/>
    <w:pPr>
      <w:jc w:val="left"/>
    </w:pPr>
  </w:style>
  <w:style w:type="paragraph" w:styleId="16">
    <w:name w:val="Body Text"/>
    <w:basedOn w:val="1"/>
    <w:next w:val="1"/>
    <w:link w:val="249"/>
    <w:unhideWhenUsed/>
    <w:qFormat/>
    <w:uiPriority w:val="99"/>
    <w:rPr>
      <w:rFonts w:ascii="楷体" w:hAnsi="Arial" w:eastAsia="楷体" w:cs="Times New Roman"/>
      <w:sz w:val="28"/>
      <w:szCs w:val="28"/>
    </w:rPr>
  </w:style>
  <w:style w:type="paragraph" w:styleId="17">
    <w:name w:val="Body Text Indent"/>
    <w:basedOn w:val="1"/>
    <w:qFormat/>
    <w:uiPriority w:val="0"/>
    <w:pPr>
      <w:spacing w:after="120"/>
      <w:ind w:left="420"/>
    </w:pPr>
  </w:style>
  <w:style w:type="paragraph" w:styleId="18">
    <w:name w:val="index 4"/>
    <w:basedOn w:val="1"/>
    <w:next w:val="1"/>
    <w:qFormat/>
    <w:uiPriority w:val="0"/>
    <w:pPr>
      <w:spacing w:line="360" w:lineRule="auto"/>
      <w:ind w:left="600"/>
    </w:pPr>
    <w:rPr>
      <w:sz w:val="24"/>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Plain Text"/>
    <w:basedOn w:val="1"/>
    <w:link w:val="246"/>
    <w:unhideWhenUsed/>
    <w:qFormat/>
    <w:uiPriority w:val="0"/>
    <w:rPr>
      <w:rFonts w:ascii="宋体" w:hAnsi="Courier New" w:eastAsia="宋体" w:cs="Times New Roman"/>
      <w:szCs w:val="21"/>
    </w:rPr>
  </w:style>
  <w:style w:type="paragraph" w:styleId="22">
    <w:name w:val="toc 8"/>
    <w:basedOn w:val="1"/>
    <w:next w:val="1"/>
    <w:unhideWhenUsed/>
    <w:qFormat/>
    <w:uiPriority w:val="39"/>
    <w:pPr>
      <w:spacing w:after="57"/>
      <w:ind w:left="1984"/>
    </w:pPr>
  </w:style>
  <w:style w:type="paragraph" w:styleId="23">
    <w:name w:val="endnote text"/>
    <w:basedOn w:val="1"/>
    <w:link w:val="237"/>
    <w:semiHidden/>
    <w:unhideWhenUsed/>
    <w:qFormat/>
    <w:uiPriority w:val="99"/>
    <w:rPr>
      <w:sz w:val="20"/>
    </w:rPr>
  </w:style>
  <w:style w:type="paragraph" w:styleId="24">
    <w:name w:val="Balloon Text"/>
    <w:basedOn w:val="1"/>
    <w:link w:val="251"/>
    <w:qFormat/>
    <w:uiPriority w:val="0"/>
    <w:rPr>
      <w:sz w:val="18"/>
      <w:szCs w:val="18"/>
    </w:rPr>
  </w:style>
  <w:style w:type="paragraph" w:styleId="25">
    <w:name w:val="footer"/>
    <w:basedOn w:val="1"/>
    <w:unhideWhenUsed/>
    <w:qFormat/>
    <w:uiPriority w:val="99"/>
    <w:pPr>
      <w:tabs>
        <w:tab w:val="center" w:pos="4153"/>
        <w:tab w:val="right" w:pos="8306"/>
      </w:tabs>
      <w:jc w:val="left"/>
    </w:pPr>
    <w:rPr>
      <w:sz w:val="18"/>
      <w:szCs w:val="18"/>
    </w:rPr>
  </w:style>
  <w:style w:type="paragraph" w:styleId="26">
    <w:name w:val="envelope return"/>
    <w:basedOn w:val="1"/>
    <w:qFormat/>
    <w:uiPriority w:val="0"/>
    <w:pPr>
      <w:spacing w:line="360" w:lineRule="auto"/>
    </w:pPr>
    <w:rPr>
      <w:rFonts w:ascii="Arial" w:hAnsi="Arial" w:eastAsia="仿宋" w:cs="Arial"/>
      <w:sz w:val="28"/>
      <w:szCs w:val="21"/>
    </w:rPr>
  </w:style>
  <w:style w:type="paragraph" w:styleId="27">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pPr>
    <w:rPr>
      <w:sz w:val="18"/>
    </w:rPr>
  </w:style>
  <w:style w:type="paragraph" w:styleId="28">
    <w:name w:val="toc 1"/>
    <w:basedOn w:val="1"/>
    <w:next w:val="1"/>
    <w:unhideWhenUsed/>
    <w:qFormat/>
    <w:uiPriority w:val="39"/>
    <w:pPr>
      <w:spacing w:after="57"/>
    </w:pPr>
  </w:style>
  <w:style w:type="paragraph" w:styleId="29">
    <w:name w:val="toc 4"/>
    <w:basedOn w:val="1"/>
    <w:next w:val="1"/>
    <w:unhideWhenUsed/>
    <w:qFormat/>
    <w:uiPriority w:val="39"/>
    <w:pPr>
      <w:spacing w:after="57"/>
      <w:ind w:left="850"/>
    </w:pPr>
  </w:style>
  <w:style w:type="paragraph" w:styleId="30">
    <w:name w:val="Subtitle"/>
    <w:basedOn w:val="1"/>
    <w:next w:val="1"/>
    <w:link w:val="102"/>
    <w:qFormat/>
    <w:uiPriority w:val="11"/>
    <w:pPr>
      <w:spacing w:before="200" w:after="200"/>
    </w:pPr>
    <w:rPr>
      <w:sz w:val="24"/>
    </w:rPr>
  </w:style>
  <w:style w:type="paragraph" w:styleId="31">
    <w:name w:val="footnote text"/>
    <w:basedOn w:val="1"/>
    <w:link w:val="236"/>
    <w:semiHidden/>
    <w:unhideWhenUsed/>
    <w:qFormat/>
    <w:uiPriority w:val="99"/>
    <w:pPr>
      <w:spacing w:after="40"/>
    </w:pPr>
    <w:rPr>
      <w:sz w:val="18"/>
    </w:rPr>
  </w:style>
  <w:style w:type="paragraph" w:styleId="32">
    <w:name w:val="toc 6"/>
    <w:basedOn w:val="1"/>
    <w:next w:val="1"/>
    <w:unhideWhenUsed/>
    <w:qFormat/>
    <w:uiPriority w:val="39"/>
    <w:pPr>
      <w:spacing w:after="57"/>
      <w:ind w:left="1417"/>
    </w:pPr>
  </w:style>
  <w:style w:type="paragraph" w:styleId="33">
    <w:name w:val="table of figures"/>
    <w:basedOn w:val="1"/>
    <w:next w:val="1"/>
    <w:unhideWhenUsed/>
    <w:qFormat/>
    <w:uiPriority w:val="99"/>
  </w:style>
  <w:style w:type="paragraph" w:styleId="34">
    <w:name w:val="toc 2"/>
    <w:basedOn w:val="1"/>
    <w:next w:val="1"/>
    <w:unhideWhenUsed/>
    <w:qFormat/>
    <w:uiPriority w:val="39"/>
    <w:pPr>
      <w:spacing w:after="57"/>
      <w:ind w:left="283"/>
    </w:pPr>
  </w:style>
  <w:style w:type="paragraph" w:styleId="35">
    <w:name w:val="toc 9"/>
    <w:basedOn w:val="1"/>
    <w:next w:val="1"/>
    <w:unhideWhenUsed/>
    <w:qFormat/>
    <w:uiPriority w:val="39"/>
    <w:pPr>
      <w:spacing w:after="57"/>
      <w:ind w:left="2268"/>
    </w:pPr>
  </w:style>
  <w:style w:type="paragraph" w:styleId="36">
    <w:name w:val="Normal (Web)"/>
    <w:basedOn w:val="1"/>
    <w:qFormat/>
    <w:uiPriority w:val="0"/>
    <w:pPr>
      <w:spacing w:beforeAutospacing="1" w:afterAutospacing="1"/>
      <w:jc w:val="left"/>
    </w:pPr>
    <w:rPr>
      <w:rFonts w:cs="Times New Roman"/>
      <w:sz w:val="24"/>
    </w:rPr>
  </w:style>
  <w:style w:type="paragraph" w:styleId="37">
    <w:name w:val="Title"/>
    <w:basedOn w:val="1"/>
    <w:next w:val="1"/>
    <w:link w:val="101"/>
    <w:qFormat/>
    <w:uiPriority w:val="10"/>
    <w:pPr>
      <w:spacing w:before="300" w:after="200"/>
      <w:contextualSpacing/>
    </w:pPr>
    <w:rPr>
      <w:sz w:val="48"/>
      <w:szCs w:val="48"/>
    </w:rPr>
  </w:style>
  <w:style w:type="paragraph" w:styleId="38">
    <w:name w:val="Body Text First Indent"/>
    <w:basedOn w:val="16"/>
    <w:next w:val="1"/>
    <w:qFormat/>
    <w:uiPriority w:val="0"/>
    <w:pPr>
      <w:spacing w:line="360" w:lineRule="auto"/>
      <w:ind w:firstLine="200"/>
    </w:pPr>
    <w:rPr>
      <w:rFonts w:ascii="仿宋" w:hAnsi="Times New Roman" w:eastAsia="仿宋"/>
      <w:sz w:val="30"/>
      <w:szCs w:val="30"/>
    </w:rPr>
  </w:style>
  <w:style w:type="paragraph" w:styleId="39">
    <w:name w:val="Body Text First Indent 2"/>
    <w:basedOn w:val="17"/>
    <w:link w:val="271"/>
    <w:qFormat/>
    <w:uiPriority w:val="0"/>
    <w:pPr>
      <w:spacing w:line="360" w:lineRule="auto"/>
      <w:ind w:firstLine="420"/>
    </w:pPr>
    <w:rPr>
      <w:rFonts w:ascii="宋体" w:eastAsia="仿宋"/>
      <w:sz w:val="24"/>
      <w:szCs w:val="21"/>
    </w:rPr>
  </w:style>
  <w:style w:type="table" w:styleId="41">
    <w:name w:val="Table Grid"/>
    <w:basedOn w:val="40"/>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3">
    <w:name w:val="Strong"/>
    <w:basedOn w:val="42"/>
    <w:qFormat/>
    <w:uiPriority w:val="22"/>
    <w:rPr>
      <w:b/>
      <w:bCs/>
    </w:rPr>
  </w:style>
  <w:style w:type="character" w:styleId="44">
    <w:name w:val="endnote reference"/>
    <w:basedOn w:val="42"/>
    <w:semiHidden/>
    <w:unhideWhenUsed/>
    <w:qFormat/>
    <w:uiPriority w:val="99"/>
    <w:rPr>
      <w:vertAlign w:val="superscript"/>
    </w:rPr>
  </w:style>
  <w:style w:type="character" w:styleId="45">
    <w:name w:val="Hyperlink"/>
    <w:unhideWhenUsed/>
    <w:qFormat/>
    <w:uiPriority w:val="99"/>
    <w:rPr>
      <w:color w:val="0563C1" w:themeColor="hyperlink"/>
      <w:u w:val="single"/>
    </w:rPr>
  </w:style>
  <w:style w:type="character" w:styleId="46">
    <w:name w:val="footnote reference"/>
    <w:basedOn w:val="42"/>
    <w:unhideWhenUsed/>
    <w:qFormat/>
    <w:uiPriority w:val="99"/>
    <w:rPr>
      <w:vertAlign w:val="superscript"/>
    </w:rPr>
  </w:style>
  <w:style w:type="paragraph" w:customStyle="1" w:styleId="47">
    <w:name w:val="样式 标题 3 + (中文) 黑体 小四 非加粗 段前: 7.8 磅 段后: 0 磅 行距: 固定值 20 磅_0"/>
    <w:basedOn w:val="1"/>
    <w:qFormat/>
    <w:uiPriority w:val="0"/>
    <w:pPr>
      <w:keepNext/>
      <w:keepLines/>
      <w:spacing w:line="400" w:lineRule="exact"/>
      <w:outlineLvl w:val="2"/>
    </w:pPr>
    <w:rPr>
      <w:rFonts w:eastAsia="黑体" w:cs="宋体"/>
      <w:szCs w:val="21"/>
    </w:rPr>
  </w:style>
  <w:style w:type="table" w:customStyle="1" w:styleId="48">
    <w:name w:val="Plain Table 1"/>
    <w:basedOn w:val="4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9">
    <w:name w:val="Plain Table 2"/>
    <w:basedOn w:val="40"/>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0">
    <w:name w:val="Plain Table 3"/>
    <w:basedOn w:val="40"/>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1">
    <w:name w:val="Plain Table 4"/>
    <w:basedOn w:val="40"/>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2">
    <w:name w:val="Plain Table 5"/>
    <w:basedOn w:val="40"/>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3">
    <w:name w:val="Grid Table 1 Light"/>
    <w:basedOn w:val="40"/>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4">
    <w:name w:val="Grid Table 2"/>
    <w:basedOn w:val="4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5">
    <w:name w:val="Grid Table 3"/>
    <w:basedOn w:val="4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6">
    <w:name w:val="Grid Table 4"/>
    <w:basedOn w:val="40"/>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7">
    <w:name w:val="Grid Table 5 Dark"/>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58">
    <w:name w:val="Grid Table 6 Colorful"/>
    <w:basedOn w:val="40"/>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7E7E7E" w:themeColor="text1" w:themeTint="80"/>
      </w:rPr>
      <w:tcPr>
        <w:tcBorders>
          <w:bottom w:val="single" w:color="7E7E7E" w:themeColor="text1" w:themeTint="80" w:sz="12" w:space="0"/>
        </w:tcBorders>
      </w:tcPr>
    </w:tblStylePr>
    <w:tblStylePr w:type="lastRow">
      <w:rPr>
        <w:b/>
        <w:color w:val="7E7E7E" w:themeColor="text1" w:themeTint="80"/>
      </w:rPr>
    </w:tblStylePr>
    <w:tblStylePr w:type="firstCol">
      <w:rPr>
        <w:b/>
        <w:color w:val="7E7E7E" w:themeColor="text1" w:themeTint="80"/>
      </w:rPr>
    </w:tblStylePr>
    <w:tblStylePr w:type="lastCol">
      <w:rPr>
        <w:b/>
        <w:color w:val="7E7E7E" w:themeColor="text1"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Tint="80"/>
        <w:sz w:val="22"/>
      </w:rPr>
      <w:tcPr>
        <w:shd w:val="clear" w:color="CACACA" w:themeColor="text1" w:themeTint="34" w:fill="CACACA" w:themeFill="text1" w:themeFillTint="34"/>
      </w:tcPr>
    </w:tblStylePr>
    <w:tblStylePr w:type="band2Horz">
      <w:rPr>
        <w:rFonts w:ascii="Arial" w:hAnsi="Arial"/>
        <w:color w:val="7E7E7E" w:themeColor="text1" w:themeTint="80"/>
        <w:sz w:val="22"/>
      </w:rPr>
    </w:tblStylePr>
  </w:style>
  <w:style w:type="table" w:customStyle="1" w:styleId="59">
    <w:name w:val="Grid Table 7 Colorful"/>
    <w:basedOn w:val="40"/>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Tint="80"/>
        <w:sz w:val="22"/>
      </w:rPr>
      <w:tcPr>
        <w:shd w:val="clear" w:color="F1F1F1" w:themeColor="text1" w:themeTint="0D" w:fill="F1F1F1" w:themeFill="text1" w:themeFillTint="0D"/>
      </w:tcPr>
    </w:tblStylePr>
    <w:tblStylePr w:type="band2Horz">
      <w:rPr>
        <w:rFonts w:ascii="Arial" w:hAnsi="Arial"/>
        <w:color w:val="7E7E7E" w:themeColor="text1" w:themeTint="80"/>
        <w:sz w:val="22"/>
      </w:rPr>
    </w:tblStylePr>
  </w:style>
  <w:style w:type="table" w:customStyle="1" w:styleId="60">
    <w:name w:val="List Table 1 Light"/>
    <w:basedOn w:val="40"/>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1">
    <w:name w:val="List Table 2"/>
    <w:basedOn w:val="40"/>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2">
    <w:name w:val="List Table 3"/>
    <w:basedOn w:val="4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3">
    <w:name w:val="List Table 4"/>
    <w:basedOn w:val="4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4">
    <w:name w:val="List Table 5 Dark"/>
    <w:basedOn w:val="40"/>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5">
    <w:name w:val="List Table 6 Colorful"/>
    <w:basedOn w:val="40"/>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66">
    <w:name w:val="List Table 7 Colorful"/>
    <w:basedOn w:val="40"/>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Tint="80"/>
        <w:sz w:val="22"/>
      </w:rPr>
      <w:tcPr>
        <w:shd w:val="clear" w:color="BEBEBE" w:themeColor="text1" w:themeTint="40" w:fill="BEBEBE" w:themeFill="text1" w:themeFillTint="40"/>
      </w:tcPr>
    </w:tblStylePr>
    <w:tblStylePr w:type="band2Horz">
      <w:rPr>
        <w:rFonts w:ascii="Arial" w:hAnsi="Arial"/>
        <w:color w:val="7E7E7E" w:themeColor="text1" w:themeTint="80"/>
        <w:sz w:val="22"/>
      </w:rPr>
    </w:tblStylePr>
  </w:style>
  <w:style w:type="paragraph" w:customStyle="1" w:styleId="67">
    <w:name w:val="TOC 标题1"/>
    <w:unhideWhenUsed/>
    <w:qFormat/>
    <w:uiPriority w:val="39"/>
    <w:rPr>
      <w:rFonts w:ascii="Times New Roman" w:hAnsi="Times New Roman" w:eastAsia="宋体" w:cs="Times New Roman"/>
      <w:lang w:val="en-US" w:eastAsia="zh-CN" w:bidi="ar-SA"/>
    </w:rPr>
  </w:style>
  <w:style w:type="paragraph" w:customStyle="1" w:styleId="68">
    <w:name w:val="style4"/>
    <w:basedOn w:val="1"/>
    <w:next w:val="69"/>
    <w:qFormat/>
    <w:uiPriority w:val="0"/>
    <w:pPr>
      <w:widowControl/>
      <w:spacing w:before="280" w:after="280"/>
    </w:pPr>
    <w:rPr>
      <w:rFonts w:ascii="宋体" w:hAnsi="Calibri" w:eastAsia="宋体" w:cs="Times New Roman"/>
      <w:sz w:val="18"/>
    </w:rPr>
  </w:style>
  <w:style w:type="paragraph" w:customStyle="1" w:styleId="69">
    <w:name w:val="2"/>
    <w:next w:val="1"/>
    <w:qFormat/>
    <w:uiPriority w:val="0"/>
    <w:pPr>
      <w:widowControl w:val="0"/>
      <w:jc w:val="both"/>
    </w:pPr>
    <w:rPr>
      <w:rFonts w:ascii="Calibri" w:hAnsi="Calibri" w:eastAsia="宋体" w:cs="Times New Roman"/>
      <w:sz w:val="21"/>
      <w:szCs w:val="22"/>
      <w:lang w:val="en-US" w:eastAsia="zh-CN" w:bidi="ar-SA"/>
    </w:rPr>
  </w:style>
  <w:style w:type="character" w:customStyle="1" w:styleId="70">
    <w:name w:val="标题 3 Char"/>
    <w:basedOn w:val="42"/>
    <w:semiHidden/>
    <w:qFormat/>
    <w:uiPriority w:val="0"/>
    <w:rPr>
      <w:rFonts w:asciiTheme="minorHAnsi" w:hAnsiTheme="minorHAnsi" w:eastAsiaTheme="minorEastAsia" w:cstheme="minorBidi"/>
      <w:b/>
      <w:bCs/>
      <w:sz w:val="32"/>
      <w:szCs w:val="32"/>
    </w:rPr>
  </w:style>
  <w:style w:type="character" w:customStyle="1" w:styleId="71">
    <w:name w:val="Heading 1 Char"/>
    <w:basedOn w:val="42"/>
    <w:link w:val="72"/>
    <w:qFormat/>
    <w:uiPriority w:val="9"/>
    <w:rPr>
      <w:rFonts w:ascii="Arial" w:hAnsi="Arial" w:eastAsia="Arial" w:cs="Arial"/>
      <w:sz w:val="40"/>
      <w:szCs w:val="40"/>
    </w:rPr>
  </w:style>
  <w:style w:type="paragraph" w:customStyle="1" w:styleId="72">
    <w:name w:val="Heading 11"/>
    <w:basedOn w:val="1"/>
    <w:next w:val="1"/>
    <w:link w:val="71"/>
    <w:qFormat/>
    <w:uiPriority w:val="9"/>
    <w:pPr>
      <w:keepNext/>
      <w:keepLines/>
      <w:spacing w:before="480" w:after="200"/>
      <w:outlineLvl w:val="0"/>
    </w:pPr>
    <w:rPr>
      <w:rFonts w:ascii="Arial" w:hAnsi="Arial" w:eastAsia="Arial" w:cs="Arial"/>
      <w:sz w:val="40"/>
      <w:szCs w:val="40"/>
    </w:rPr>
  </w:style>
  <w:style w:type="paragraph" w:customStyle="1" w:styleId="73">
    <w:name w:val="正文首行缩进11"/>
    <w:basedOn w:val="1"/>
    <w:next w:val="1"/>
    <w:unhideWhenUsed/>
    <w:qFormat/>
    <w:uiPriority w:val="99"/>
    <w:pPr>
      <w:ind w:firstLine="420"/>
    </w:pPr>
    <w:rPr>
      <w:rFonts w:ascii="Times New Roman" w:hAnsi="Times New Roman"/>
    </w:rPr>
  </w:style>
  <w:style w:type="paragraph" w:customStyle="1" w:styleId="74">
    <w:name w:val="TOC 标题111"/>
    <w:unhideWhenUsed/>
    <w:qFormat/>
    <w:uiPriority w:val="39"/>
    <w:rPr>
      <w:rFonts w:ascii="Times New Roman" w:hAnsi="Times New Roman" w:eastAsia="宋体" w:cs="Times New Roman"/>
      <w:lang w:val="en-US" w:eastAsia="zh-CN" w:bidi="ar-SA"/>
    </w:rPr>
  </w:style>
  <w:style w:type="character" w:customStyle="1" w:styleId="75">
    <w:name w:val="Title Char"/>
    <w:basedOn w:val="42"/>
    <w:qFormat/>
    <w:uiPriority w:val="10"/>
    <w:rPr>
      <w:sz w:val="48"/>
      <w:szCs w:val="48"/>
    </w:rPr>
  </w:style>
  <w:style w:type="character" w:customStyle="1" w:styleId="76">
    <w:name w:val="Subtitle Char"/>
    <w:basedOn w:val="42"/>
    <w:qFormat/>
    <w:uiPriority w:val="11"/>
    <w:rPr>
      <w:sz w:val="24"/>
      <w:szCs w:val="24"/>
    </w:rPr>
  </w:style>
  <w:style w:type="character" w:customStyle="1" w:styleId="77">
    <w:name w:val="Quote Char"/>
    <w:qFormat/>
    <w:uiPriority w:val="29"/>
    <w:rPr>
      <w:i/>
    </w:rPr>
  </w:style>
  <w:style w:type="character" w:customStyle="1" w:styleId="78">
    <w:name w:val="Intense Quote Char"/>
    <w:qFormat/>
    <w:uiPriority w:val="30"/>
    <w:rPr>
      <w:i/>
    </w:rPr>
  </w:style>
  <w:style w:type="character" w:customStyle="1" w:styleId="79">
    <w:name w:val="Footnote Text Char"/>
    <w:qFormat/>
    <w:uiPriority w:val="99"/>
    <w:rPr>
      <w:sz w:val="18"/>
    </w:rPr>
  </w:style>
  <w:style w:type="character" w:customStyle="1" w:styleId="80">
    <w:name w:val="Endnote Text Char"/>
    <w:qFormat/>
    <w:uiPriority w:val="99"/>
    <w:rPr>
      <w:sz w:val="20"/>
    </w:rPr>
  </w:style>
  <w:style w:type="paragraph" w:customStyle="1" w:styleId="81">
    <w:name w:val="标题 11"/>
    <w:basedOn w:val="1"/>
    <w:next w:val="1"/>
    <w:qFormat/>
    <w:uiPriority w:val="9"/>
    <w:pPr>
      <w:keepNext/>
      <w:keepLines/>
      <w:spacing w:before="340" w:after="330" w:line="576" w:lineRule="auto"/>
      <w:outlineLvl w:val="0"/>
    </w:pPr>
    <w:rPr>
      <w:b/>
      <w:sz w:val="44"/>
    </w:rPr>
  </w:style>
  <w:style w:type="paragraph" w:customStyle="1" w:styleId="82">
    <w:name w:val="标题 21"/>
    <w:basedOn w:val="1"/>
    <w:link w:val="256"/>
    <w:qFormat/>
    <w:uiPriority w:val="9"/>
    <w:pPr>
      <w:widowControl/>
      <w:spacing w:before="100" w:beforeAutospacing="1" w:after="100" w:afterAutospacing="1"/>
      <w:jc w:val="left"/>
      <w:outlineLvl w:val="1"/>
    </w:pPr>
    <w:rPr>
      <w:rFonts w:ascii="宋体" w:hAnsi="宋体" w:eastAsia="宋体" w:cs="宋体"/>
      <w:b/>
      <w:bCs/>
      <w:sz w:val="36"/>
      <w:szCs w:val="36"/>
    </w:rPr>
  </w:style>
  <w:style w:type="paragraph" w:customStyle="1" w:styleId="83">
    <w:name w:val="页脚1"/>
    <w:basedOn w:val="1"/>
    <w:link w:val="255"/>
    <w:semiHidden/>
    <w:unhideWhenUsed/>
    <w:qFormat/>
    <w:uiPriority w:val="99"/>
    <w:pPr>
      <w:tabs>
        <w:tab w:val="center" w:pos="4153"/>
        <w:tab w:val="right" w:pos="8306"/>
      </w:tabs>
      <w:jc w:val="left"/>
    </w:pPr>
    <w:rPr>
      <w:sz w:val="18"/>
      <w:szCs w:val="18"/>
    </w:rPr>
  </w:style>
  <w:style w:type="paragraph" w:customStyle="1" w:styleId="84">
    <w:name w:val="页眉1"/>
    <w:basedOn w:val="1"/>
    <w:link w:val="254"/>
    <w:semiHidden/>
    <w:unhideWhenUsed/>
    <w:qFormat/>
    <w:uiPriority w:val="99"/>
    <w:pPr>
      <w:pBdr>
        <w:bottom w:val="single" w:color="auto" w:sz="6" w:space="1"/>
      </w:pBdr>
      <w:tabs>
        <w:tab w:val="center" w:pos="4153"/>
        <w:tab w:val="right" w:pos="8306"/>
      </w:tabs>
      <w:jc w:val="center"/>
    </w:pPr>
    <w:rPr>
      <w:sz w:val="18"/>
      <w:szCs w:val="18"/>
    </w:rPr>
  </w:style>
  <w:style w:type="character" w:customStyle="1" w:styleId="85">
    <w:name w:val="Heading 2 Char"/>
    <w:basedOn w:val="42"/>
    <w:qFormat/>
    <w:uiPriority w:val="9"/>
    <w:rPr>
      <w:rFonts w:ascii="Arial" w:hAnsi="Arial" w:eastAsia="Arial" w:cs="Arial"/>
      <w:sz w:val="34"/>
    </w:rPr>
  </w:style>
  <w:style w:type="character" w:customStyle="1" w:styleId="86">
    <w:name w:val="Heading 3 Char"/>
    <w:basedOn w:val="42"/>
    <w:qFormat/>
    <w:uiPriority w:val="9"/>
    <w:rPr>
      <w:rFonts w:ascii="Arial" w:hAnsi="Arial" w:eastAsia="Arial" w:cs="Arial"/>
      <w:sz w:val="30"/>
      <w:szCs w:val="30"/>
    </w:rPr>
  </w:style>
  <w:style w:type="paragraph" w:customStyle="1" w:styleId="87">
    <w:name w:val="标题 41"/>
    <w:basedOn w:val="1"/>
    <w:next w:val="1"/>
    <w:link w:val="88"/>
    <w:unhideWhenUsed/>
    <w:qFormat/>
    <w:uiPriority w:val="9"/>
    <w:pPr>
      <w:keepNext/>
      <w:keepLines/>
      <w:spacing w:before="320" w:after="200"/>
      <w:outlineLvl w:val="3"/>
    </w:pPr>
    <w:rPr>
      <w:rFonts w:ascii="Arial" w:hAnsi="Arial" w:eastAsia="Arial" w:cs="Arial"/>
      <w:b/>
      <w:bCs/>
      <w:sz w:val="26"/>
      <w:szCs w:val="26"/>
    </w:rPr>
  </w:style>
  <w:style w:type="character" w:customStyle="1" w:styleId="88">
    <w:name w:val="Heading 4 Char"/>
    <w:basedOn w:val="42"/>
    <w:link w:val="87"/>
    <w:qFormat/>
    <w:uiPriority w:val="9"/>
    <w:rPr>
      <w:rFonts w:ascii="Arial" w:hAnsi="Arial" w:eastAsia="Arial" w:cs="Arial"/>
      <w:b/>
      <w:bCs/>
      <w:sz w:val="26"/>
      <w:szCs w:val="26"/>
    </w:rPr>
  </w:style>
  <w:style w:type="paragraph" w:customStyle="1" w:styleId="89">
    <w:name w:val="标题 51"/>
    <w:basedOn w:val="1"/>
    <w:next w:val="1"/>
    <w:link w:val="90"/>
    <w:unhideWhenUsed/>
    <w:qFormat/>
    <w:uiPriority w:val="9"/>
    <w:pPr>
      <w:keepNext/>
      <w:keepLines/>
      <w:spacing w:before="320" w:after="200"/>
      <w:outlineLvl w:val="4"/>
    </w:pPr>
    <w:rPr>
      <w:rFonts w:ascii="Arial" w:hAnsi="Arial" w:eastAsia="Arial" w:cs="Arial"/>
      <w:b/>
      <w:bCs/>
      <w:sz w:val="24"/>
    </w:rPr>
  </w:style>
  <w:style w:type="character" w:customStyle="1" w:styleId="90">
    <w:name w:val="Heading 5 Char"/>
    <w:basedOn w:val="42"/>
    <w:link w:val="89"/>
    <w:qFormat/>
    <w:uiPriority w:val="9"/>
    <w:rPr>
      <w:rFonts w:ascii="Arial" w:hAnsi="Arial" w:eastAsia="Arial" w:cs="Arial"/>
      <w:b/>
      <w:bCs/>
      <w:sz w:val="24"/>
      <w:szCs w:val="24"/>
    </w:rPr>
  </w:style>
  <w:style w:type="paragraph" w:customStyle="1" w:styleId="91">
    <w:name w:val="标题 61"/>
    <w:basedOn w:val="1"/>
    <w:next w:val="1"/>
    <w:link w:val="92"/>
    <w:unhideWhenUsed/>
    <w:qFormat/>
    <w:uiPriority w:val="9"/>
    <w:pPr>
      <w:keepNext/>
      <w:keepLines/>
      <w:spacing w:before="320" w:after="200"/>
      <w:outlineLvl w:val="5"/>
    </w:pPr>
    <w:rPr>
      <w:rFonts w:ascii="Arial" w:hAnsi="Arial" w:eastAsia="Arial" w:cs="Arial"/>
      <w:b/>
      <w:bCs/>
      <w:sz w:val="22"/>
      <w:szCs w:val="22"/>
    </w:rPr>
  </w:style>
  <w:style w:type="character" w:customStyle="1" w:styleId="92">
    <w:name w:val="Heading 6 Char"/>
    <w:basedOn w:val="42"/>
    <w:link w:val="91"/>
    <w:qFormat/>
    <w:uiPriority w:val="9"/>
    <w:rPr>
      <w:rFonts w:ascii="Arial" w:hAnsi="Arial" w:eastAsia="Arial" w:cs="Arial"/>
      <w:b/>
      <w:bCs/>
      <w:sz w:val="22"/>
      <w:szCs w:val="22"/>
    </w:rPr>
  </w:style>
  <w:style w:type="paragraph" w:customStyle="1" w:styleId="93">
    <w:name w:val="标题 71"/>
    <w:basedOn w:val="1"/>
    <w:next w:val="1"/>
    <w:link w:val="94"/>
    <w:unhideWhenUsed/>
    <w:qFormat/>
    <w:uiPriority w:val="9"/>
    <w:pPr>
      <w:keepNext/>
      <w:keepLines/>
      <w:spacing w:before="320" w:after="200"/>
      <w:outlineLvl w:val="6"/>
    </w:pPr>
    <w:rPr>
      <w:rFonts w:ascii="Arial" w:hAnsi="Arial" w:eastAsia="Arial" w:cs="Arial"/>
      <w:b/>
      <w:bCs/>
      <w:i/>
      <w:iCs/>
      <w:sz w:val="22"/>
      <w:szCs w:val="22"/>
    </w:rPr>
  </w:style>
  <w:style w:type="character" w:customStyle="1" w:styleId="94">
    <w:name w:val="Heading 7 Char"/>
    <w:basedOn w:val="42"/>
    <w:link w:val="93"/>
    <w:qFormat/>
    <w:uiPriority w:val="9"/>
    <w:rPr>
      <w:rFonts w:ascii="Arial" w:hAnsi="Arial" w:eastAsia="Arial" w:cs="Arial"/>
      <w:b/>
      <w:bCs/>
      <w:i/>
      <w:iCs/>
      <w:sz w:val="22"/>
      <w:szCs w:val="22"/>
    </w:rPr>
  </w:style>
  <w:style w:type="paragraph" w:customStyle="1" w:styleId="95">
    <w:name w:val="标题 81"/>
    <w:basedOn w:val="1"/>
    <w:next w:val="1"/>
    <w:link w:val="96"/>
    <w:unhideWhenUsed/>
    <w:qFormat/>
    <w:uiPriority w:val="9"/>
    <w:pPr>
      <w:keepNext/>
      <w:keepLines/>
      <w:spacing w:before="320" w:after="200"/>
      <w:outlineLvl w:val="7"/>
    </w:pPr>
    <w:rPr>
      <w:rFonts w:ascii="Arial" w:hAnsi="Arial" w:eastAsia="Arial" w:cs="Arial"/>
      <w:i/>
      <w:iCs/>
      <w:sz w:val="22"/>
      <w:szCs w:val="22"/>
    </w:rPr>
  </w:style>
  <w:style w:type="character" w:customStyle="1" w:styleId="96">
    <w:name w:val="Heading 8 Char"/>
    <w:basedOn w:val="42"/>
    <w:link w:val="95"/>
    <w:qFormat/>
    <w:uiPriority w:val="9"/>
    <w:rPr>
      <w:rFonts w:ascii="Arial" w:hAnsi="Arial" w:eastAsia="Arial" w:cs="Arial"/>
      <w:i/>
      <w:iCs/>
      <w:sz w:val="22"/>
      <w:szCs w:val="22"/>
    </w:rPr>
  </w:style>
  <w:style w:type="paragraph" w:customStyle="1" w:styleId="97">
    <w:name w:val="标题 91"/>
    <w:basedOn w:val="1"/>
    <w:next w:val="1"/>
    <w:link w:val="98"/>
    <w:unhideWhenUsed/>
    <w:qFormat/>
    <w:uiPriority w:val="9"/>
    <w:pPr>
      <w:keepNext/>
      <w:keepLines/>
      <w:spacing w:before="320" w:after="200"/>
      <w:outlineLvl w:val="8"/>
    </w:pPr>
    <w:rPr>
      <w:rFonts w:ascii="Arial" w:hAnsi="Arial" w:eastAsia="Arial" w:cs="Arial"/>
      <w:i/>
      <w:iCs/>
      <w:szCs w:val="21"/>
    </w:rPr>
  </w:style>
  <w:style w:type="character" w:customStyle="1" w:styleId="98">
    <w:name w:val="Heading 9 Char"/>
    <w:basedOn w:val="42"/>
    <w:link w:val="97"/>
    <w:qFormat/>
    <w:uiPriority w:val="9"/>
    <w:rPr>
      <w:rFonts w:ascii="Arial" w:hAnsi="Arial" w:eastAsia="Arial" w:cs="Arial"/>
      <w:i/>
      <w:iCs/>
      <w:sz w:val="21"/>
      <w:szCs w:val="21"/>
    </w:rPr>
  </w:style>
  <w:style w:type="paragraph" w:styleId="99">
    <w:name w:val="List Paragraph"/>
    <w:basedOn w:val="1"/>
    <w:qFormat/>
    <w:uiPriority w:val="34"/>
    <w:pPr>
      <w:ind w:left="720"/>
      <w:contextualSpacing/>
    </w:pPr>
  </w:style>
  <w:style w:type="paragraph" w:styleId="100">
    <w:name w:val="No Spacing"/>
    <w:qFormat/>
    <w:uiPriority w:val="1"/>
    <w:rPr>
      <w:rFonts w:ascii="Times New Roman" w:hAnsi="Times New Roman" w:eastAsia="宋体" w:cs="Times New Roman"/>
      <w:lang w:val="en-US" w:eastAsia="zh-CN" w:bidi="ar-SA"/>
    </w:rPr>
  </w:style>
  <w:style w:type="character" w:customStyle="1" w:styleId="101">
    <w:name w:val="标题 Char"/>
    <w:basedOn w:val="42"/>
    <w:link w:val="37"/>
    <w:qFormat/>
    <w:uiPriority w:val="10"/>
    <w:rPr>
      <w:sz w:val="48"/>
      <w:szCs w:val="48"/>
    </w:rPr>
  </w:style>
  <w:style w:type="character" w:customStyle="1" w:styleId="102">
    <w:name w:val="副标题 Char"/>
    <w:basedOn w:val="42"/>
    <w:link w:val="30"/>
    <w:qFormat/>
    <w:uiPriority w:val="11"/>
    <w:rPr>
      <w:sz w:val="24"/>
      <w:szCs w:val="24"/>
    </w:rPr>
  </w:style>
  <w:style w:type="paragraph" w:styleId="103">
    <w:name w:val="Quote"/>
    <w:basedOn w:val="1"/>
    <w:next w:val="1"/>
    <w:link w:val="104"/>
    <w:qFormat/>
    <w:uiPriority w:val="29"/>
    <w:pPr>
      <w:ind w:left="720" w:right="720"/>
    </w:pPr>
    <w:rPr>
      <w:i/>
    </w:rPr>
  </w:style>
  <w:style w:type="character" w:customStyle="1" w:styleId="104">
    <w:name w:val="引用 Char"/>
    <w:link w:val="103"/>
    <w:qFormat/>
    <w:uiPriority w:val="29"/>
    <w:rPr>
      <w:i/>
    </w:rPr>
  </w:style>
  <w:style w:type="paragraph" w:styleId="105">
    <w:name w:val="Intense Quote"/>
    <w:basedOn w:val="1"/>
    <w:next w:val="1"/>
    <w:link w:val="10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6">
    <w:name w:val="明显引用 Char"/>
    <w:link w:val="105"/>
    <w:qFormat/>
    <w:uiPriority w:val="30"/>
    <w:rPr>
      <w:i/>
    </w:rPr>
  </w:style>
  <w:style w:type="character" w:customStyle="1" w:styleId="107">
    <w:name w:val="Header Char"/>
    <w:basedOn w:val="42"/>
    <w:qFormat/>
    <w:uiPriority w:val="99"/>
  </w:style>
  <w:style w:type="character" w:customStyle="1" w:styleId="108">
    <w:name w:val="Footer Char"/>
    <w:basedOn w:val="42"/>
    <w:qFormat/>
    <w:uiPriority w:val="99"/>
  </w:style>
  <w:style w:type="paragraph" w:customStyle="1" w:styleId="109">
    <w:name w:val="题注1"/>
    <w:basedOn w:val="1"/>
    <w:next w:val="1"/>
    <w:semiHidden/>
    <w:unhideWhenUsed/>
    <w:qFormat/>
    <w:uiPriority w:val="35"/>
    <w:pPr>
      <w:spacing w:line="276" w:lineRule="auto"/>
    </w:pPr>
    <w:rPr>
      <w:b/>
      <w:bCs/>
      <w:color w:val="5B9BD5" w:themeColor="accent1"/>
      <w:sz w:val="18"/>
      <w:szCs w:val="18"/>
    </w:rPr>
  </w:style>
  <w:style w:type="character" w:customStyle="1" w:styleId="110">
    <w:name w:val="Caption Char"/>
    <w:qFormat/>
    <w:uiPriority w:val="99"/>
  </w:style>
  <w:style w:type="table" w:customStyle="1" w:styleId="111">
    <w:name w:val="Table Grid Light"/>
    <w:basedOn w:val="4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12">
    <w:name w:val="无格式表格 11"/>
    <w:basedOn w:val="4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13">
    <w:name w:val="无格式表格 21"/>
    <w:basedOn w:val="40"/>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14">
    <w:name w:val="无格式表格 31"/>
    <w:basedOn w:val="40"/>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5">
    <w:name w:val="无格式表格 41"/>
    <w:basedOn w:val="40"/>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6">
    <w:name w:val="无格式表格 51"/>
    <w:basedOn w:val="40"/>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7">
    <w:name w:val="网格表 1 浅色1"/>
    <w:basedOn w:val="40"/>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8">
    <w:name w:val="Grid Table 1 Light - Accent 1"/>
    <w:basedOn w:val="40"/>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108" w:type="dxa"/>
        <w:bottom w:w="0" w:type="dxa"/>
        <w:right w:w="108" w:type="dxa"/>
      </w:tblCellMar>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19">
    <w:name w:val="Grid Table 1 Light - Accent 2"/>
    <w:basedOn w:val="40"/>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20">
    <w:name w:val="Grid Table 1 Light - Accent 3"/>
    <w:basedOn w:val="40"/>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21">
    <w:name w:val="Grid Table 1 Light - Accent 4"/>
    <w:basedOn w:val="40"/>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22">
    <w:name w:val="Grid Table 1 Light - Accent 5"/>
    <w:basedOn w:val="40"/>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top w:w="0" w:type="dxa"/>
        <w:left w:w="108" w:type="dxa"/>
        <w:bottom w:w="0" w:type="dxa"/>
        <w:right w:w="108" w:type="dxa"/>
      </w:tblCellMar>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23">
    <w:name w:val="Grid Table 1 Light - Accent 6"/>
    <w:basedOn w:val="40"/>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24">
    <w:name w:val="网格表 21"/>
    <w:basedOn w:val="4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5">
    <w:name w:val="Grid Table 2 - Accent 1"/>
    <w:basedOn w:val="40"/>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26">
    <w:name w:val="Grid Table 2 - Accent 2"/>
    <w:basedOn w:val="40"/>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7">
    <w:name w:val="Grid Table 2 - Accent 3"/>
    <w:basedOn w:val="40"/>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8">
    <w:name w:val="Grid Table 2 - Accent 4"/>
    <w:basedOn w:val="40"/>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9">
    <w:name w:val="Grid Table 2 - Accent 5"/>
    <w:basedOn w:val="40"/>
    <w:qFormat/>
    <w:uiPriority w:val="99"/>
    <w:tblPr>
      <w:tblBorders>
        <w:bottom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30">
    <w:name w:val="Grid Table 2 - Accent 6"/>
    <w:basedOn w:val="40"/>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1">
    <w:name w:val="网格表 31"/>
    <w:basedOn w:val="4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2">
    <w:name w:val="Grid Table 3 - Accent 1"/>
    <w:basedOn w:val="40"/>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33">
    <w:name w:val="Grid Table 3 - Accent 2"/>
    <w:basedOn w:val="40"/>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4">
    <w:name w:val="Grid Table 3 - Accent 3"/>
    <w:basedOn w:val="40"/>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5">
    <w:name w:val="Grid Table 3 - Accent 4"/>
    <w:basedOn w:val="40"/>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6">
    <w:name w:val="Grid Table 3 - Accent 5"/>
    <w:basedOn w:val="40"/>
    <w:qFormat/>
    <w:uiPriority w:val="99"/>
    <w:tblPr>
      <w:tblBorders>
        <w:bottom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37">
    <w:name w:val="Grid Table 3 - Accent 6"/>
    <w:basedOn w:val="40"/>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8">
    <w:name w:val="网格表 41"/>
    <w:basedOn w:val="40"/>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9">
    <w:name w:val="Grid Table 4 - Accent 1"/>
    <w:basedOn w:val="40"/>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40">
    <w:name w:val="Grid Table 4 - Accent 2"/>
    <w:basedOn w:val="40"/>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41">
    <w:name w:val="Grid Table 4 - Accent 3"/>
    <w:basedOn w:val="40"/>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42">
    <w:name w:val="Grid Table 4 - Accent 4"/>
    <w:basedOn w:val="40"/>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43">
    <w:name w:val="Grid Table 4 - Accent 5"/>
    <w:basedOn w:val="40"/>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44">
    <w:name w:val="Grid Table 4 - Accent 6"/>
    <w:basedOn w:val="40"/>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45">
    <w:name w:val="网格表 5 深色1"/>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6">
    <w:name w:val="Grid Table 5 Dark- Accent 1"/>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47">
    <w:name w:val="Grid Table 5 Dark - Accent 2"/>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48">
    <w:name w:val="Grid Table 5 Dark - Accent 3"/>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49">
    <w:name w:val="Grid Table 5 Dark- Accent 4"/>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50">
    <w:name w:val="Grid Table 5 Dark - Accent 5"/>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51">
    <w:name w:val="Grid Table 5 Dark - Accent 6"/>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52">
    <w:name w:val="网格表 6 彩色1"/>
    <w:basedOn w:val="40"/>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7E7E7E" w:themeColor="text1" w:themeTint="80"/>
      </w:rPr>
      <w:tcPr>
        <w:tcBorders>
          <w:bottom w:val="single" w:color="7E7E7E" w:themeColor="text1" w:themeTint="80" w:sz="12" w:space="0"/>
        </w:tcBorders>
      </w:tcPr>
    </w:tblStylePr>
    <w:tblStylePr w:type="lastRow">
      <w:rPr>
        <w:b/>
        <w:color w:val="7E7E7E" w:themeColor="text1" w:themeTint="80"/>
      </w:rPr>
    </w:tblStylePr>
    <w:tblStylePr w:type="firstCol">
      <w:rPr>
        <w:b/>
        <w:color w:val="7E7E7E" w:themeColor="text1" w:themeTint="80"/>
      </w:rPr>
    </w:tblStylePr>
    <w:tblStylePr w:type="lastCol">
      <w:rPr>
        <w:b/>
        <w:color w:val="7E7E7E" w:themeColor="text1"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Tint="80"/>
        <w:sz w:val="22"/>
      </w:rPr>
      <w:tcPr>
        <w:shd w:val="clear" w:color="CACACA" w:themeColor="text1" w:themeTint="34" w:fill="CACACA" w:themeFill="text1" w:themeFillTint="34"/>
      </w:tcPr>
    </w:tblStylePr>
    <w:tblStylePr w:type="band2Horz">
      <w:rPr>
        <w:rFonts w:ascii="Arial" w:hAnsi="Arial"/>
        <w:color w:val="7E7E7E" w:themeColor="text1" w:themeTint="80"/>
        <w:sz w:val="22"/>
      </w:rPr>
    </w:tblStylePr>
  </w:style>
  <w:style w:type="table" w:customStyle="1" w:styleId="153">
    <w:name w:val="Grid Table 6 Colorful - Accent 1"/>
    <w:basedOn w:val="40"/>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top w:w="0" w:type="dxa"/>
        <w:left w:w="108" w:type="dxa"/>
        <w:bottom w:w="0" w:type="dxa"/>
        <w:right w:w="108" w:type="dxa"/>
      </w:tblCellMar>
    </w:tblPr>
    <w:tblStylePr w:type="firstRow">
      <w:rPr>
        <w:b/>
        <w:color w:val="ACCCE9" w:themeColor="accent1" w:themeTint="80"/>
      </w:rPr>
      <w:tcPr>
        <w:tcBorders>
          <w:bottom w:val="single" w:color="ACCCE9" w:themeColor="accent1" w:themeTint="80" w:sz="12" w:space="0"/>
        </w:tcBorders>
      </w:tcPr>
    </w:tblStylePr>
    <w:tblStylePr w:type="lastRow">
      <w:rPr>
        <w:b/>
        <w:color w:val="ACCCE9" w:themeColor="accent1" w:themeTint="80"/>
      </w:rPr>
    </w:tblStylePr>
    <w:tblStylePr w:type="firstCol">
      <w:rPr>
        <w:b/>
        <w:color w:val="ACCCE9" w:themeColor="accent1" w:themeTint="80"/>
      </w:rPr>
    </w:tblStylePr>
    <w:tblStylePr w:type="lastCol">
      <w:rPr>
        <w:b/>
        <w:color w:val="ACCCE9" w:themeColor="accent1" w:themeTint="80"/>
      </w:rPr>
    </w:tblStylePr>
    <w:tblStylePr w:type="band1Vert">
      <w:tcPr>
        <w:shd w:val="clear" w:color="DDEAF6" w:themeColor="accent1" w:themeTint="34" w:fill="DDEAF6" w:themeFill="accent1" w:themeFillTint="34"/>
      </w:tcPr>
    </w:tblStyle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2Horz">
      <w:rPr>
        <w:rFonts w:ascii="Arial" w:hAnsi="Arial"/>
        <w:color w:val="ACCCE9" w:themeColor="accent1" w:themeTint="80"/>
        <w:sz w:val="22"/>
      </w:rPr>
    </w:tblStylePr>
  </w:style>
  <w:style w:type="table" w:customStyle="1" w:styleId="154">
    <w:name w:val="Grid Table 6 Colorful - Accent 2"/>
    <w:basedOn w:val="40"/>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rPr>
      <w:tcPr>
        <w:tcBorders>
          <w:bottom w:val="single" w:color="F4B285" w:themeColor="accent2" w:themeTint="97" w:sz="12" w:space="0"/>
        </w:tcBorders>
      </w:tcPr>
    </w:tblStylePr>
    <w:tblStylePr w:type="lastRow">
      <w:rPr>
        <w:b/>
        <w:color w:val="F4B285" w:themeColor="accent2" w:themeTint="96"/>
      </w:rPr>
    </w:tblStylePr>
    <w:tblStylePr w:type="firstCol">
      <w:rPr>
        <w:b/>
        <w:color w:val="F4B285" w:themeColor="accent2" w:themeTint="96"/>
      </w:rPr>
    </w:tblStylePr>
    <w:tblStylePr w:type="lastCol">
      <w:rPr>
        <w:b/>
        <w:color w:val="F4B285" w:themeColor="accent2" w:themeTint="96"/>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155">
    <w:name w:val="Grid Table 6 Colorful - Accent 3"/>
    <w:basedOn w:val="40"/>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A5A5A5" w:themeColor="accent3"/>
      </w:rPr>
      <w:tcPr>
        <w:tcBorders>
          <w:bottom w:val="single" w:color="A5A5A5" w:themeColor="accent3" w:themeTint="FE" w:sz="12" w:space="0"/>
        </w:tcBorders>
      </w:tcPr>
    </w:tblStylePr>
    <w:tblStylePr w:type="lastRow">
      <w:rPr>
        <w:b/>
        <w:color w:val="A5A5A5" w:themeColor="accent3"/>
      </w:rPr>
    </w:tblStylePr>
    <w:tblStylePr w:type="firstCol">
      <w:rPr>
        <w:b/>
        <w:color w:val="A5A5A5" w:themeColor="accent3"/>
      </w:rPr>
    </w:tblStylePr>
    <w:tblStylePr w:type="lastCol">
      <w:rPr>
        <w:b/>
        <w:color w:val="A5A5A5" w:themeColor="accent3"/>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r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156">
    <w:name w:val="Grid Table 6 Colorful - Accent 4"/>
    <w:basedOn w:val="40"/>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FFD965" w:themeColor="accent4" w:themeTint="99"/>
      </w:rPr>
      <w:tcPr>
        <w:tcBorders>
          <w:bottom w:val="single" w:color="FFD864" w:themeColor="accent4" w:themeTint="9A" w:sz="12" w:space="0"/>
        </w:tcBorders>
      </w:tcPr>
    </w:tblStylePr>
    <w:tblStylePr w:type="lastRow">
      <w:rPr>
        <w:b/>
        <w:color w:val="FFD965" w:themeColor="accent4" w:themeTint="99"/>
      </w:rPr>
    </w:tblStylePr>
    <w:tblStylePr w:type="firstCol">
      <w:rPr>
        <w:b/>
        <w:color w:val="FFD965" w:themeColor="accent4" w:themeTint="99"/>
      </w:rPr>
    </w:tblStylePr>
    <w:tblStylePr w:type="lastCol">
      <w:rPr>
        <w:b/>
        <w:color w:val="FFD965" w:themeColor="accent4" w:themeTint="99"/>
      </w:rPr>
    </w:tblStylePr>
    <w:tblStylePr w:type="band1Vert">
      <w:tcPr>
        <w:shd w:val="clear" w:color="FEF2CA" w:themeColor="accent4" w:themeTint="34" w:fill="FEF2CA" w:themeFill="accent4" w:themeFillTint="34"/>
      </w:tcPr>
    </w:tblStyle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2Horz">
      <w:rPr>
        <w:rFonts w:ascii="Arial" w:hAnsi="Arial"/>
        <w:color w:val="FFD965" w:themeColor="accent4" w:themeTint="99"/>
        <w:sz w:val="22"/>
      </w:rPr>
    </w:tblStylePr>
  </w:style>
  <w:style w:type="table" w:customStyle="1" w:styleId="157">
    <w:name w:val="Grid Table 6 Colorful - Accent 5"/>
    <w:basedOn w:val="40"/>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244174" w:themeColor="accent5" w:themeShade="94"/>
      </w:rPr>
      <w:tcPr>
        <w:tcBorders>
          <w:bottom w:val="single" w:color="4472C4" w:themeColor="accent5" w:sz="12" w:space="0"/>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2Horz">
      <w:rPr>
        <w:rFonts w:ascii="Arial" w:hAnsi="Arial"/>
        <w:color w:val="244174" w:themeColor="accent5" w:themeShade="94"/>
        <w:sz w:val="22"/>
      </w:rPr>
    </w:tblStylePr>
  </w:style>
  <w:style w:type="table" w:customStyle="1" w:styleId="158">
    <w:name w:val="Grid Table 6 Colorful - Accent 6"/>
    <w:basedOn w:val="40"/>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244174" w:themeColor="accent5" w:themeShade="94"/>
      </w:rPr>
      <w:tcPr>
        <w:tcBorders>
          <w:bottom w:val="single" w:color="70AD47" w:themeColor="accent6" w:sz="12" w:space="0"/>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2Horz">
      <w:rPr>
        <w:rFonts w:ascii="Arial" w:hAnsi="Arial"/>
        <w:color w:val="244174" w:themeColor="accent5" w:themeShade="94"/>
        <w:sz w:val="22"/>
      </w:rPr>
    </w:tblStylePr>
  </w:style>
  <w:style w:type="table" w:customStyle="1" w:styleId="159">
    <w:name w:val="网格表 7 彩色1"/>
    <w:basedOn w:val="40"/>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Tint="80"/>
        <w:sz w:val="22"/>
      </w:rPr>
      <w:tcPr>
        <w:shd w:val="clear" w:color="F1F1F1" w:themeColor="text1" w:themeTint="0D" w:fill="F1F1F1" w:themeFill="text1" w:themeFillTint="0D"/>
      </w:tcPr>
    </w:tblStylePr>
    <w:tblStylePr w:type="band2Horz">
      <w:rPr>
        <w:rFonts w:ascii="Arial" w:hAnsi="Arial"/>
        <w:color w:val="7E7E7E" w:themeColor="text1" w:themeTint="80"/>
        <w:sz w:val="22"/>
      </w:rPr>
    </w:tblStylePr>
  </w:style>
  <w:style w:type="table" w:customStyle="1" w:styleId="160">
    <w:name w:val="Grid Table 7 Colorful - Accent 1"/>
    <w:basedOn w:val="40"/>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top w:w="0" w:type="dxa"/>
        <w:left w:w="108" w:type="dxa"/>
        <w:bottom w:w="0" w:type="dxa"/>
        <w:right w:w="108" w:type="dxa"/>
      </w:tblCellMar>
    </w:tblPr>
    <w:tblStylePr w:type="firstRow">
      <w:rPr>
        <w:rFonts w:ascii="Arial" w:hAnsi="Arial"/>
        <w:b/>
        <w:color w:val="ACCCE9" w:themeColor="accent1" w:themeTint="80"/>
        <w:sz w:val="22"/>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CCCE9" w:themeColor="accent1" w:themeTint="80"/>
        <w:sz w:val="22"/>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CCCE9" w:themeColor="accent1" w:themeTint="80"/>
        <w:sz w:val="22"/>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CCCE9" w:themeColor="accent1" w:themeTint="80"/>
        <w:sz w:val="22"/>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2Horz">
      <w:rPr>
        <w:rFonts w:ascii="Arial" w:hAnsi="Arial"/>
        <w:color w:val="ACCCE9" w:themeColor="accent1" w:themeTint="80"/>
        <w:sz w:val="22"/>
      </w:rPr>
    </w:tblStylePr>
  </w:style>
  <w:style w:type="table" w:customStyle="1" w:styleId="161">
    <w:name w:val="Grid Table 7 Colorful - Accent 2"/>
    <w:basedOn w:val="40"/>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rFonts w:ascii="Arial" w:hAnsi="Arial"/>
        <w:b/>
        <w:color w:val="F4B285" w:themeColor="accent2" w:themeTint="96"/>
        <w:sz w:val="22"/>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162">
    <w:name w:val="Grid Table 7 Colorful - Accent 3"/>
    <w:basedOn w:val="40"/>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rFonts w:ascii="Arial" w:hAnsi="Arial"/>
        <w:b/>
        <w:color w:val="A5A5A5" w:themeColor="accent3"/>
        <w:sz w:val="22"/>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r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163">
    <w:name w:val="Grid Table 7 Colorful - Accent 4"/>
    <w:basedOn w:val="40"/>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rFonts w:ascii="Arial" w:hAnsi="Arial"/>
        <w:b/>
        <w:color w:val="FFD965" w:themeColor="accent4" w:themeTint="99"/>
        <w:sz w:val="22"/>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5" w:themeColor="accent4" w:themeTint="99"/>
        <w:sz w:val="22"/>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5" w:themeColor="accent4" w:themeTint="99"/>
        <w:sz w:val="22"/>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5" w:themeColor="accent4" w:themeTint="99"/>
        <w:sz w:val="22"/>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2Horz">
      <w:rPr>
        <w:rFonts w:ascii="Arial" w:hAnsi="Arial"/>
        <w:color w:val="FFD965" w:themeColor="accent4" w:themeTint="99"/>
        <w:sz w:val="22"/>
      </w:rPr>
    </w:tblStylePr>
  </w:style>
  <w:style w:type="table" w:customStyle="1" w:styleId="164">
    <w:name w:val="Grid Table 7 Colorful - Accent 5"/>
    <w:basedOn w:val="40"/>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108" w:type="dxa"/>
        <w:bottom w:w="0" w:type="dxa"/>
        <w:right w:w="108" w:type="dxa"/>
      </w:tblCellMar>
    </w:tblPr>
    <w:tblStylePr w:type="firstRow">
      <w:rPr>
        <w:rFonts w:ascii="Arial" w:hAnsi="Arial"/>
        <w:b/>
        <w:color w:val="24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4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4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2Horz">
      <w:rPr>
        <w:rFonts w:ascii="Arial" w:hAnsi="Arial"/>
        <w:color w:val="244174" w:themeColor="accent5" w:themeShade="94"/>
        <w:sz w:val="22"/>
      </w:rPr>
    </w:tblStylePr>
  </w:style>
  <w:style w:type="table" w:customStyle="1" w:styleId="165">
    <w:name w:val="Grid Table 7 Colorful - Accent 6"/>
    <w:basedOn w:val="40"/>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66">
    <w:name w:val="清单表 1 浅色1"/>
    <w:basedOn w:val="40"/>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7">
    <w:name w:val="List Table 1 Light - Accent 1"/>
    <w:basedOn w:val="40"/>
    <w:qFormat/>
    <w:uiPriority w:val="99"/>
    <w:tblPr>
      <w:tblCellMar>
        <w:top w:w="0" w:type="dxa"/>
        <w:left w:w="108" w:type="dxa"/>
        <w:bottom w:w="0" w:type="dxa"/>
        <w:right w:w="108" w:type="dxa"/>
      </w:tblCellMar>
    </w:tbl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68">
    <w:name w:val="List Table 1 Light - Accent 2"/>
    <w:basedOn w:val="40"/>
    <w:qFormat/>
    <w:uiPriority w:val="99"/>
    <w:tblPr>
      <w:tblCellMar>
        <w:top w:w="0" w:type="dxa"/>
        <w:left w:w="108" w:type="dxa"/>
        <w:bottom w:w="0" w:type="dxa"/>
        <w:right w:w="108" w:type="dxa"/>
      </w:tblCellMar>
    </w:tbl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69">
    <w:name w:val="List Table 1 Light - Accent 3"/>
    <w:basedOn w:val="40"/>
    <w:qFormat/>
    <w:uiPriority w:val="99"/>
    <w:tblPr>
      <w:tblCellMar>
        <w:top w:w="0" w:type="dxa"/>
        <w:left w:w="108" w:type="dxa"/>
        <w:bottom w:w="0" w:type="dxa"/>
        <w:right w:w="108" w:type="dxa"/>
      </w:tblCellMar>
    </w:tbl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70">
    <w:name w:val="List Table 1 Light - Accent 4"/>
    <w:basedOn w:val="40"/>
    <w:qFormat/>
    <w:uiPriority w:val="99"/>
    <w:tblPr>
      <w:tblCellMar>
        <w:top w:w="0" w:type="dxa"/>
        <w:left w:w="108" w:type="dxa"/>
        <w:bottom w:w="0" w:type="dxa"/>
        <w:right w:w="108" w:type="dxa"/>
      </w:tblCellMar>
    </w:tbl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71">
    <w:name w:val="List Table 1 Light - Accent 5"/>
    <w:basedOn w:val="40"/>
    <w:qFormat/>
    <w:uiPriority w:val="99"/>
    <w:tblPr>
      <w:tblCellMar>
        <w:top w:w="0" w:type="dxa"/>
        <w:left w:w="108" w:type="dxa"/>
        <w:bottom w:w="0" w:type="dxa"/>
        <w:right w:w="108" w:type="dxa"/>
      </w:tblCellMar>
    </w:tbl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72">
    <w:name w:val="List Table 1 Light - Accent 6"/>
    <w:basedOn w:val="40"/>
    <w:qFormat/>
    <w:uiPriority w:val="99"/>
    <w:tblPr>
      <w:tblCellMar>
        <w:top w:w="0" w:type="dxa"/>
        <w:left w:w="108" w:type="dxa"/>
        <w:bottom w:w="0" w:type="dxa"/>
        <w:right w:w="108" w:type="dxa"/>
      </w:tblCellMar>
    </w:tbl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73">
    <w:name w:val="清单表 21"/>
    <w:basedOn w:val="40"/>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4">
    <w:name w:val="List Table 2 - Accent 1"/>
    <w:basedOn w:val="40"/>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75">
    <w:name w:val="List Table 2 - Accent 2"/>
    <w:basedOn w:val="40"/>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76">
    <w:name w:val="List Table 2 - Accent 3"/>
    <w:basedOn w:val="40"/>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77">
    <w:name w:val="List Table 2 - Accent 4"/>
    <w:basedOn w:val="40"/>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78">
    <w:name w:val="List Table 2 - Accent 5"/>
    <w:basedOn w:val="40"/>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79">
    <w:name w:val="List Table 2 - Accent 6"/>
    <w:basedOn w:val="40"/>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80">
    <w:name w:val="清单表 31"/>
    <w:basedOn w:val="4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81">
    <w:name w:val="List Table 3 - Accent 1"/>
    <w:basedOn w:val="40"/>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82">
    <w:name w:val="List Table 3 - Accent 2"/>
    <w:basedOn w:val="40"/>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83">
    <w:name w:val="List Table 3 - Accent 3"/>
    <w:basedOn w:val="40"/>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84">
    <w:name w:val="List Table 3 - Accent 4"/>
    <w:basedOn w:val="40"/>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85">
    <w:name w:val="List Table 3 - Accent 5"/>
    <w:basedOn w:val="40"/>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86">
    <w:name w:val="List Table 3 - Accent 6"/>
    <w:basedOn w:val="40"/>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87">
    <w:name w:val="清单表 41"/>
    <w:basedOn w:val="4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8">
    <w:name w:val="List Table 4 - Accent 1"/>
    <w:basedOn w:val="40"/>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89">
    <w:name w:val="List Table 4 - Accent 2"/>
    <w:basedOn w:val="40"/>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90">
    <w:name w:val="List Table 4 - Accent 3"/>
    <w:basedOn w:val="40"/>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91">
    <w:name w:val="List Table 4 - Accent 4"/>
    <w:basedOn w:val="40"/>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92">
    <w:name w:val="List Table 4 - Accent 5"/>
    <w:basedOn w:val="40"/>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93">
    <w:name w:val="List Table 4 - Accent 6"/>
    <w:basedOn w:val="40"/>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94">
    <w:name w:val="清单表 5 深色1"/>
    <w:basedOn w:val="40"/>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95">
    <w:name w:val="List Table 5 Dark - Accent 1"/>
    <w:basedOn w:val="40"/>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96">
    <w:name w:val="List Table 5 Dark - Accent 2"/>
    <w:basedOn w:val="40"/>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97">
    <w:name w:val="List Table 5 Dark - Accent 3"/>
    <w:basedOn w:val="40"/>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98">
    <w:name w:val="List Table 5 Dark - Accent 4"/>
    <w:basedOn w:val="40"/>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99">
    <w:name w:val="List Table 5 Dark - Accent 5"/>
    <w:basedOn w:val="40"/>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200">
    <w:name w:val="List Table 5 Dark - Accent 6"/>
    <w:basedOn w:val="40"/>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201">
    <w:name w:val="清单表 6 彩色1"/>
    <w:basedOn w:val="40"/>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202">
    <w:name w:val="List Table 6 Colorful - Accent 1"/>
    <w:basedOn w:val="40"/>
    <w:qFormat/>
    <w:uiPriority w:val="99"/>
    <w:tblPr>
      <w:tblBorders>
        <w:top w:val="single" w:color="5B9BD5" w:themeColor="accent1" w:sz="4" w:space="0"/>
        <w:bottom w:val="single" w:color="5B9BD5" w:themeColor="accent1" w:sz="4" w:space="0"/>
      </w:tblBorders>
      <w:tblCellMar>
        <w:top w:w="0" w:type="dxa"/>
        <w:left w:w="108" w:type="dxa"/>
        <w:bottom w:w="0" w:type="dxa"/>
        <w:right w:w="108" w:type="dxa"/>
      </w:tblCellMar>
    </w:tblPr>
    <w:tblStylePr w:type="firstRow">
      <w:rPr>
        <w:b/>
        <w:color w:val="235A8C" w:themeColor="accent1" w:themeShade="94"/>
      </w:rPr>
      <w:tcPr>
        <w:tcBorders>
          <w:bottom w:val="single" w:color="5B9BD5" w:themeColor="accent1" w:sz="4" w:space="0"/>
        </w:tcBorders>
      </w:tcPr>
    </w:tblStylePr>
    <w:tblStylePr w:type="lastRow">
      <w:rPr>
        <w:b/>
        <w:color w:val="235A8C" w:themeColor="accent1" w:themeShade="94"/>
      </w:rPr>
      <w:tcPr>
        <w:tcBorders>
          <w:top w:val="single" w:color="5B9BD5" w:themeColor="accent1" w:sz="4" w:space="0"/>
        </w:tcBorders>
      </w:tcPr>
    </w:tblStylePr>
    <w:tblStylePr w:type="firstCol">
      <w:rPr>
        <w:b/>
        <w:color w:val="235A8C" w:themeColor="accent1" w:themeShade="94"/>
      </w:rPr>
    </w:tblStylePr>
    <w:tblStylePr w:type="lastCol">
      <w:rPr>
        <w:b/>
        <w:color w:val="235A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2Horz">
      <w:rPr>
        <w:rFonts w:ascii="Arial" w:hAnsi="Arial"/>
        <w:color w:val="235A8C" w:themeColor="accent1" w:themeShade="94"/>
        <w:sz w:val="22"/>
      </w:rPr>
    </w:tblStylePr>
  </w:style>
  <w:style w:type="table" w:customStyle="1" w:styleId="203">
    <w:name w:val="List Table 6 Colorful - Accent 2"/>
    <w:basedOn w:val="40"/>
    <w:qFormat/>
    <w:uiPriority w:val="99"/>
    <w:tblPr>
      <w:tblBorders>
        <w:top w:val="single" w:color="F4B285" w:themeColor="accent2" w:themeTint="97" w:sz="4" w:space="0"/>
        <w:bottom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rPr>
      <w:tcPr>
        <w:tcBorders>
          <w:bottom w:val="single" w:color="F4B285" w:themeColor="accent2" w:themeTint="97" w:sz="4" w:space="0"/>
        </w:tcBorders>
      </w:tcPr>
    </w:tblStylePr>
    <w:tblStylePr w:type="lastRow">
      <w:rPr>
        <w:b/>
        <w:color w:val="F4B285" w:themeColor="accent2" w:themeTint="96"/>
      </w:rPr>
      <w:tcPr>
        <w:tcBorders>
          <w:top w:val="single" w:color="F4B285" w:themeColor="accent2" w:themeTint="97" w:sz="4" w:space="0"/>
        </w:tcBorders>
      </w:tcPr>
    </w:tblStylePr>
    <w:tblStylePr w:type="firstCol">
      <w:rPr>
        <w:b/>
        <w:color w:val="F4B285" w:themeColor="accent2" w:themeTint="96"/>
      </w:rPr>
    </w:tblStylePr>
    <w:tblStylePr w:type="lastCol">
      <w:rPr>
        <w:b/>
        <w:color w:val="F4B285" w:themeColor="accent2" w:themeTint="96"/>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204">
    <w:name w:val="List Table 6 Colorful - Accent 3"/>
    <w:basedOn w:val="40"/>
    <w:qFormat/>
    <w:uiPriority w:val="99"/>
    <w:tblPr>
      <w:tblBorders>
        <w:top w:val="single" w:color="C9C9C9" w:themeColor="accent3" w:themeTint="98" w:sz="4" w:space="0"/>
        <w:bottom w:val="single" w:color="C9C9C9" w:themeColor="accent3" w:themeTint="98" w:sz="4" w:space="0"/>
      </w:tblBorders>
      <w:tblCellMar>
        <w:top w:w="0" w:type="dxa"/>
        <w:left w:w="108" w:type="dxa"/>
        <w:bottom w:w="0" w:type="dxa"/>
        <w:right w:w="108" w:type="dxa"/>
      </w:tblCellMar>
    </w:tblPr>
    <w:tblStylePr w:type="firstRow">
      <w:rPr>
        <w:b/>
        <w:color w:val="C8C8C8" w:themeColor="accent3" w:themeTint="99"/>
      </w:rPr>
      <w:tcPr>
        <w:tcBorders>
          <w:bottom w:val="single" w:color="C9C9C9" w:themeColor="accent3" w:themeTint="98" w:sz="4" w:space="0"/>
        </w:tcBorders>
      </w:tcPr>
    </w:tblStylePr>
    <w:tblStylePr w:type="lastRow">
      <w:rPr>
        <w:b/>
        <w:color w:val="C8C8C8" w:themeColor="accent3" w:themeTint="99"/>
      </w:rPr>
      <w:tcPr>
        <w:tcBorders>
          <w:top w:val="single" w:color="C9C9C9" w:themeColor="accent3" w:themeTint="98" w:sz="4" w:space="0"/>
        </w:tcBorders>
      </w:tcPr>
    </w:tblStylePr>
    <w:tblStylePr w:type="firstCol">
      <w:rPr>
        <w:b/>
        <w:color w:val="C8C8C8" w:themeColor="accent3" w:themeTint="99"/>
      </w:rPr>
    </w:tblStylePr>
    <w:tblStylePr w:type="lastCol">
      <w:rPr>
        <w:b/>
        <w:color w:val="C8C8C8" w:themeColor="accent3" w:themeTint="99"/>
      </w:rPr>
    </w:tblStylePr>
    <w:tblStylePr w:type="band1Vert">
      <w:tcPr>
        <w:shd w:val="clear" w:color="E8E8E8" w:themeColor="accent3" w:themeTint="40" w:fill="E8E8E8" w:themeFill="accent3" w:themeFillTint="40"/>
      </w:tcPr>
    </w:tblStyle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2Horz">
      <w:rPr>
        <w:rFonts w:ascii="Arial" w:hAnsi="Arial"/>
        <w:color w:val="C8C8C8" w:themeColor="accent3" w:themeTint="99"/>
        <w:sz w:val="22"/>
      </w:rPr>
    </w:tblStylePr>
  </w:style>
  <w:style w:type="table" w:customStyle="1" w:styleId="205">
    <w:name w:val="List Table 6 Colorful - Accent 4"/>
    <w:basedOn w:val="40"/>
    <w:qFormat/>
    <w:uiPriority w:val="99"/>
    <w:tblPr>
      <w:tblBorders>
        <w:top w:val="single" w:color="FFD864" w:themeColor="accent4" w:themeTint="9A" w:sz="4" w:space="0"/>
        <w:bottom w:val="single" w:color="FFD864" w:themeColor="accent4" w:themeTint="9A" w:sz="4" w:space="0"/>
      </w:tblBorders>
      <w:tblCellMar>
        <w:top w:w="0" w:type="dxa"/>
        <w:left w:w="108" w:type="dxa"/>
        <w:bottom w:w="0" w:type="dxa"/>
        <w:right w:w="108" w:type="dxa"/>
      </w:tblCellMar>
    </w:tblPr>
    <w:tblStylePr w:type="firstRow">
      <w:rPr>
        <w:b/>
        <w:color w:val="FFD965" w:themeColor="accent4" w:themeTint="99"/>
      </w:rPr>
      <w:tcPr>
        <w:tcBorders>
          <w:bottom w:val="single" w:color="FFD864" w:themeColor="accent4" w:themeTint="9A" w:sz="4" w:space="0"/>
        </w:tcBorders>
      </w:tcPr>
    </w:tblStylePr>
    <w:tblStylePr w:type="lastRow">
      <w:rPr>
        <w:b/>
        <w:color w:val="FFD965" w:themeColor="accent4" w:themeTint="99"/>
      </w:rPr>
      <w:tcPr>
        <w:tcBorders>
          <w:top w:val="single" w:color="FFD864" w:themeColor="accent4" w:themeTint="9A" w:sz="4" w:space="0"/>
        </w:tcBorders>
      </w:tcPr>
    </w:tblStylePr>
    <w:tblStylePr w:type="firstCol">
      <w:rPr>
        <w:b/>
        <w:color w:val="FFD965" w:themeColor="accent4" w:themeTint="99"/>
      </w:rPr>
    </w:tblStylePr>
    <w:tblStylePr w:type="lastCol">
      <w:rPr>
        <w:b/>
        <w:color w:val="FFD965" w:themeColor="accent4" w:themeTint="99"/>
      </w:rPr>
    </w:tblStylePr>
    <w:tblStylePr w:type="band1Vert">
      <w:tcPr>
        <w:shd w:val="clear" w:color="FFEFBE" w:themeColor="accent4" w:themeTint="40" w:fill="FFEFBE" w:themeFill="accent4" w:themeFillTint="40"/>
      </w:tcPr>
    </w:tblStyle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2Horz">
      <w:rPr>
        <w:rFonts w:ascii="Arial" w:hAnsi="Arial"/>
        <w:color w:val="FFD965" w:themeColor="accent4" w:themeTint="99"/>
        <w:sz w:val="22"/>
      </w:rPr>
    </w:tblStylePr>
  </w:style>
  <w:style w:type="table" w:customStyle="1" w:styleId="206">
    <w:name w:val="List Table 6 Colorful - Accent 5"/>
    <w:basedOn w:val="40"/>
    <w:qFormat/>
    <w:uiPriority w:val="99"/>
    <w:tblPr>
      <w:tblBorders>
        <w:top w:val="single" w:color="8EA9DB" w:themeColor="accent5" w:themeTint="9A" w:sz="4" w:space="0"/>
        <w:bottom w:val="single" w:color="8EA9DB" w:themeColor="accent5" w:themeTint="9A" w:sz="4" w:space="0"/>
      </w:tblBorders>
      <w:tblCellMar>
        <w:top w:w="0" w:type="dxa"/>
        <w:left w:w="108" w:type="dxa"/>
        <w:bottom w:w="0" w:type="dxa"/>
        <w:right w:w="108" w:type="dxa"/>
      </w:tblCellMar>
    </w:tblPr>
    <w:tblStylePr w:type="firstRow">
      <w:rPr>
        <w:b/>
        <w:color w:val="8EAADB" w:themeColor="accent5" w:themeTint="99"/>
      </w:rPr>
      <w:tcPr>
        <w:tcBorders>
          <w:bottom w:val="single" w:color="8EA9DB" w:themeColor="accent5" w:themeTint="9A" w:sz="4" w:space="0"/>
        </w:tcBorders>
      </w:tcPr>
    </w:tblStylePr>
    <w:tblStylePr w:type="lastRow">
      <w:rPr>
        <w:b/>
        <w:color w:val="8EAADB" w:themeColor="accent5" w:themeTint="99"/>
      </w:rPr>
      <w:tcPr>
        <w:tcBorders>
          <w:top w:val="single" w:color="8EA9DB" w:themeColor="accent5" w:themeTint="9A" w:sz="4" w:space="0"/>
        </w:tcBorders>
      </w:tcPr>
    </w:tblStylePr>
    <w:tblStylePr w:type="firstCol">
      <w:rPr>
        <w:b/>
        <w:color w:val="8EAADB" w:themeColor="accent5" w:themeTint="99"/>
      </w:rPr>
    </w:tblStylePr>
    <w:tblStylePr w:type="lastCol">
      <w:rPr>
        <w:b/>
        <w:color w:val="8EAADB" w:themeColor="accent5" w:themeTint="99"/>
      </w:rPr>
    </w:tblStylePr>
    <w:tblStylePr w:type="band1Vert">
      <w:tcPr>
        <w:shd w:val="clear" w:color="D0DBF0" w:themeColor="accent5" w:themeTint="40" w:fill="D0DBF0" w:themeFill="accent5" w:themeFillTint="40"/>
      </w:tcPr>
    </w:tblStyle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2Horz">
      <w:rPr>
        <w:rFonts w:ascii="Arial" w:hAnsi="Arial"/>
        <w:color w:val="8EAADB" w:themeColor="accent5" w:themeTint="99"/>
        <w:sz w:val="22"/>
      </w:rPr>
    </w:tblStylePr>
  </w:style>
  <w:style w:type="table" w:customStyle="1" w:styleId="207">
    <w:name w:val="List Table 6 Colorful - Accent 6"/>
    <w:basedOn w:val="40"/>
    <w:qFormat/>
    <w:uiPriority w:val="99"/>
    <w:tblPr>
      <w:tblBorders>
        <w:top w:val="single" w:color="A9D08E" w:themeColor="accent6" w:themeTint="98" w:sz="4" w:space="0"/>
        <w:bottom w:val="single" w:color="A9D08E" w:themeColor="accent6" w:themeTint="98" w:sz="4" w:space="0"/>
      </w:tblBorders>
      <w:tblCellMar>
        <w:top w:w="0" w:type="dxa"/>
        <w:left w:w="108" w:type="dxa"/>
        <w:bottom w:w="0" w:type="dxa"/>
        <w:right w:w="108" w:type="dxa"/>
      </w:tblCellMar>
    </w:tblPr>
    <w:tblStylePr w:type="firstRow">
      <w:rPr>
        <w:b/>
        <w:color w:val="A8D08D" w:themeColor="accent6" w:themeTint="99"/>
      </w:rPr>
      <w:tcPr>
        <w:tcBorders>
          <w:bottom w:val="single" w:color="A9D08E" w:themeColor="accent6" w:themeTint="98" w:sz="4" w:space="0"/>
        </w:tcBorders>
      </w:tcPr>
    </w:tblStylePr>
    <w:tblStylePr w:type="lastRow">
      <w:rPr>
        <w:b/>
        <w:color w:val="A8D08D" w:themeColor="accent6" w:themeTint="99"/>
      </w:rPr>
      <w:tcPr>
        <w:tcBorders>
          <w:top w:val="single" w:color="A9D08E" w:themeColor="accent6" w:themeTint="98" w:sz="4" w:space="0"/>
        </w:tcBorders>
      </w:tcPr>
    </w:tblStylePr>
    <w:tblStylePr w:type="firstCol">
      <w:rPr>
        <w:b/>
        <w:color w:val="A8D08D" w:themeColor="accent6" w:themeTint="99"/>
      </w:rPr>
    </w:tblStylePr>
    <w:tblStylePr w:type="lastCol">
      <w:rPr>
        <w:b/>
        <w:color w:val="A8D08D" w:themeColor="accent6" w:themeTint="99"/>
      </w:rPr>
    </w:tblStylePr>
    <w:tblStylePr w:type="band1Vert">
      <w:tcPr>
        <w:shd w:val="clear" w:color="DAEBCF" w:themeColor="accent6" w:themeTint="40" w:fill="DAEBCF" w:themeFill="accent6" w:themeFillTint="40"/>
      </w:tcPr>
    </w:tblStyle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208">
    <w:name w:val="清单表 7 彩色1"/>
    <w:basedOn w:val="40"/>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Tint="80"/>
        <w:sz w:val="22"/>
      </w:rPr>
      <w:tcPr>
        <w:shd w:val="clear" w:color="BEBEBE" w:themeColor="text1" w:themeTint="40" w:fill="BEBEBE" w:themeFill="text1" w:themeFillTint="40"/>
      </w:tcPr>
    </w:tblStylePr>
    <w:tblStylePr w:type="band2Horz">
      <w:rPr>
        <w:rFonts w:ascii="Arial" w:hAnsi="Arial"/>
        <w:color w:val="7E7E7E" w:themeColor="text1" w:themeTint="80"/>
        <w:sz w:val="22"/>
      </w:rPr>
    </w:tblStylePr>
  </w:style>
  <w:style w:type="table" w:customStyle="1" w:styleId="209">
    <w:name w:val="List Table 7 Colorful - Accent 1"/>
    <w:basedOn w:val="40"/>
    <w:qFormat/>
    <w:uiPriority w:val="99"/>
    <w:tblPr>
      <w:tblBorders>
        <w:right w:val="single" w:color="5B9BD5" w:themeColor="accent1" w:sz="4" w:space="0"/>
      </w:tblBorders>
      <w:tblCellMar>
        <w:top w:w="0" w:type="dxa"/>
        <w:left w:w="108" w:type="dxa"/>
        <w:bottom w:w="0" w:type="dxa"/>
        <w:right w:w="108" w:type="dxa"/>
      </w:tblCellMar>
    </w:tblPr>
    <w:tblStylePr w:type="firstRow">
      <w:rPr>
        <w:rFonts w:ascii="Arial" w:hAnsi="Arial"/>
        <w:i/>
        <w:color w:val="235A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35A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5A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35A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2Horz">
      <w:rPr>
        <w:rFonts w:ascii="Arial" w:hAnsi="Arial"/>
        <w:color w:val="235A8C" w:themeColor="accent1" w:themeShade="94"/>
        <w:sz w:val="22"/>
      </w:rPr>
    </w:tblStylePr>
  </w:style>
  <w:style w:type="table" w:customStyle="1" w:styleId="210">
    <w:name w:val="List Table 7 Colorful - Accent 2"/>
    <w:basedOn w:val="40"/>
    <w:qFormat/>
    <w:uiPriority w:val="99"/>
    <w:tblPr>
      <w:tblBorders>
        <w:right w:val="single" w:color="F4B285" w:themeColor="accent2" w:themeTint="97" w:sz="4" w:space="0"/>
      </w:tblBorders>
      <w:tblCellMar>
        <w:top w:w="0" w:type="dxa"/>
        <w:left w:w="108" w:type="dxa"/>
        <w:bottom w:w="0" w:type="dxa"/>
        <w:right w:w="108" w:type="dxa"/>
      </w:tblCellMar>
    </w:tblPr>
    <w:tblStylePr w:type="firstRow">
      <w:rPr>
        <w:rFonts w:ascii="Arial" w:hAnsi="Arial"/>
        <w:i/>
        <w:color w:val="F4B285" w:themeColor="accent2" w:themeTint="96"/>
        <w:sz w:val="22"/>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211">
    <w:name w:val="List Table 7 Colorful - Accent 3"/>
    <w:basedOn w:val="40"/>
    <w:qFormat/>
    <w:uiPriority w:val="99"/>
    <w:tblPr>
      <w:tblBorders>
        <w:right w:val="single" w:color="C9C9C9" w:themeColor="accent3" w:themeTint="98" w:sz="4" w:space="0"/>
      </w:tblBorders>
      <w:tblCellMar>
        <w:top w:w="0" w:type="dxa"/>
        <w:left w:w="108" w:type="dxa"/>
        <w:bottom w:w="0" w:type="dxa"/>
        <w:right w:w="108" w:type="dxa"/>
      </w:tblCellMar>
    </w:tblPr>
    <w:tblStylePr w:type="firstRow">
      <w:rPr>
        <w:rFonts w:ascii="Arial" w:hAnsi="Arial"/>
        <w:i/>
        <w:color w:val="C8C8C8" w:themeColor="accent3" w:themeTint="99"/>
        <w:sz w:val="22"/>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8C8C8" w:themeColor="accent3" w:themeTint="99"/>
        <w:sz w:val="22"/>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8C8C8" w:themeColor="accent3" w:themeTint="99"/>
        <w:sz w:val="22"/>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8C8C8" w:themeColor="accent3" w:themeTint="99"/>
        <w:sz w:val="22"/>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2Horz">
      <w:rPr>
        <w:rFonts w:ascii="Arial" w:hAnsi="Arial"/>
        <w:color w:val="C8C8C8" w:themeColor="accent3" w:themeTint="99"/>
        <w:sz w:val="22"/>
      </w:rPr>
    </w:tblStylePr>
  </w:style>
  <w:style w:type="table" w:customStyle="1" w:styleId="212">
    <w:name w:val="List Table 7 Colorful - Accent 4"/>
    <w:basedOn w:val="40"/>
    <w:qFormat/>
    <w:uiPriority w:val="99"/>
    <w:tblPr>
      <w:tblBorders>
        <w:right w:val="single" w:color="FFD864" w:themeColor="accent4" w:themeTint="9A" w:sz="4" w:space="0"/>
      </w:tblBorders>
      <w:tblCellMar>
        <w:top w:w="0" w:type="dxa"/>
        <w:left w:w="108" w:type="dxa"/>
        <w:bottom w:w="0" w:type="dxa"/>
        <w:right w:w="108" w:type="dxa"/>
      </w:tblCellMar>
    </w:tblPr>
    <w:tblStylePr w:type="firstRow">
      <w:rPr>
        <w:rFonts w:ascii="Arial" w:hAnsi="Arial"/>
        <w:i/>
        <w:color w:val="FFD965" w:themeColor="accent4" w:themeTint="99"/>
        <w:sz w:val="22"/>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5" w:themeColor="accent4" w:themeTint="99"/>
        <w:sz w:val="22"/>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5" w:themeColor="accent4" w:themeTint="99"/>
        <w:sz w:val="22"/>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5" w:themeColor="accent4" w:themeTint="99"/>
        <w:sz w:val="22"/>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2Horz">
      <w:rPr>
        <w:rFonts w:ascii="Arial" w:hAnsi="Arial"/>
        <w:color w:val="FFD965" w:themeColor="accent4" w:themeTint="99"/>
        <w:sz w:val="22"/>
      </w:rPr>
    </w:tblStylePr>
  </w:style>
  <w:style w:type="table" w:customStyle="1" w:styleId="213">
    <w:name w:val="List Table 7 Colorful - Accent 5"/>
    <w:basedOn w:val="40"/>
    <w:qFormat/>
    <w:uiPriority w:val="99"/>
    <w:tblPr>
      <w:tblBorders>
        <w:right w:val="single" w:color="8EA9DB" w:themeColor="accent5" w:themeTint="9A" w:sz="4" w:space="0"/>
      </w:tblBorders>
      <w:tblCellMar>
        <w:top w:w="0" w:type="dxa"/>
        <w:left w:w="108" w:type="dxa"/>
        <w:bottom w:w="0" w:type="dxa"/>
        <w:right w:w="108" w:type="dxa"/>
      </w:tblCellMar>
    </w:tblPr>
    <w:tblStylePr w:type="firstRow">
      <w:rPr>
        <w:rFonts w:ascii="Arial" w:hAnsi="Arial"/>
        <w:i/>
        <w:color w:val="8EAADB" w:themeColor="accent5" w:themeTint="99"/>
        <w:sz w:val="22"/>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EAADB" w:themeColor="accent5" w:themeTint="99"/>
        <w:sz w:val="22"/>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EAADB" w:themeColor="accent5" w:themeTint="99"/>
        <w:sz w:val="22"/>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EAADB" w:themeColor="accent5" w:themeTint="99"/>
        <w:sz w:val="22"/>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2Horz">
      <w:rPr>
        <w:rFonts w:ascii="Arial" w:hAnsi="Arial"/>
        <w:color w:val="8EAADB" w:themeColor="accent5" w:themeTint="99"/>
        <w:sz w:val="22"/>
      </w:rPr>
    </w:tblStylePr>
  </w:style>
  <w:style w:type="table" w:customStyle="1" w:styleId="214">
    <w:name w:val="List Table 7 Colorful - Accent 6"/>
    <w:basedOn w:val="40"/>
    <w:qFormat/>
    <w:uiPriority w:val="99"/>
    <w:tblPr>
      <w:tblBorders>
        <w:right w:val="single" w:color="A9D08E" w:themeColor="accent6" w:themeTint="98" w:sz="4" w:space="0"/>
      </w:tblBorders>
      <w:tblCellMar>
        <w:top w:w="0" w:type="dxa"/>
        <w:left w:w="108" w:type="dxa"/>
        <w:bottom w:w="0" w:type="dxa"/>
        <w:right w:w="108" w:type="dxa"/>
      </w:tblCellMar>
    </w:tblPr>
    <w:tblStylePr w:type="firstRow">
      <w:rPr>
        <w:rFonts w:ascii="Arial" w:hAnsi="Arial"/>
        <w:i/>
        <w:color w:val="A8D08D" w:themeColor="accent6" w:themeTint="99"/>
        <w:sz w:val="22"/>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8D08D" w:themeColor="accent6" w:themeTint="99"/>
        <w:sz w:val="22"/>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8D08D" w:themeColor="accent6" w:themeTint="99"/>
        <w:sz w:val="22"/>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8D08D" w:themeColor="accent6" w:themeTint="99"/>
        <w:sz w:val="22"/>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215">
    <w:name w:val="Lined - Accent"/>
    <w:basedOn w:val="40"/>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6">
    <w:name w:val="Lined - Accent 1"/>
    <w:basedOn w:val="40"/>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17">
    <w:name w:val="Lined - Accent 2"/>
    <w:basedOn w:val="40"/>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18">
    <w:name w:val="Lined - Accent 3"/>
    <w:basedOn w:val="40"/>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19">
    <w:name w:val="Lined - Accent 4"/>
    <w:basedOn w:val="40"/>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20">
    <w:name w:val="Lined - Accent 5"/>
    <w:basedOn w:val="40"/>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21">
    <w:name w:val="Lined - Accent 6"/>
    <w:basedOn w:val="40"/>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22">
    <w:name w:val="Bordered &amp; Lined - Accent"/>
    <w:basedOn w:val="40"/>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3">
    <w:name w:val="Bordered &amp; Lined - Accent 1"/>
    <w:basedOn w:val="40"/>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24">
    <w:name w:val="Bordered &amp; Lined - Accent 2"/>
    <w:basedOn w:val="40"/>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25">
    <w:name w:val="Bordered &amp; Lined - Accent 3"/>
    <w:basedOn w:val="40"/>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26">
    <w:name w:val="Bordered &amp; Lined - Accent 4"/>
    <w:basedOn w:val="40"/>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27">
    <w:name w:val="Bordered &amp; Lined - Accent 5"/>
    <w:basedOn w:val="40"/>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28">
    <w:name w:val="Bordered &amp; Lined - Accent 6"/>
    <w:basedOn w:val="40"/>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29">
    <w:name w:val="Bordered"/>
    <w:basedOn w:val="40"/>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30">
    <w:name w:val="Bordered - Accent 1"/>
    <w:basedOn w:val="40"/>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231">
    <w:name w:val="Bordered - Accent 2"/>
    <w:basedOn w:val="40"/>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32">
    <w:name w:val="Bordered - Accent 3"/>
    <w:basedOn w:val="40"/>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33">
    <w:name w:val="Bordered - Accent 4"/>
    <w:basedOn w:val="40"/>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34">
    <w:name w:val="Bordered - Accent 5"/>
    <w:basedOn w:val="40"/>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35">
    <w:name w:val="Bordered - Accent 6"/>
    <w:basedOn w:val="40"/>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36">
    <w:name w:val="脚注文本 Char"/>
    <w:link w:val="31"/>
    <w:qFormat/>
    <w:uiPriority w:val="99"/>
    <w:rPr>
      <w:sz w:val="18"/>
    </w:rPr>
  </w:style>
  <w:style w:type="character" w:customStyle="1" w:styleId="237">
    <w:name w:val="尾注文本 Char"/>
    <w:link w:val="23"/>
    <w:qFormat/>
    <w:uiPriority w:val="99"/>
    <w:rPr>
      <w:sz w:val="20"/>
    </w:rPr>
  </w:style>
  <w:style w:type="paragraph" w:customStyle="1" w:styleId="238">
    <w:name w:val="TOC 标题11"/>
    <w:unhideWhenUsed/>
    <w:qFormat/>
    <w:uiPriority w:val="39"/>
    <w:rPr>
      <w:rFonts w:ascii="Times New Roman" w:hAnsi="Times New Roman" w:eastAsia="宋体" w:cs="Times New Roman"/>
      <w:lang w:val="en-US" w:eastAsia="zh-CN" w:bidi="ar-SA"/>
    </w:rPr>
  </w:style>
  <w:style w:type="paragraph" w:customStyle="1" w:styleId="239">
    <w:name w:val="Heading 21"/>
    <w:basedOn w:val="1"/>
    <w:next w:val="1"/>
    <w:link w:val="253"/>
    <w:unhideWhenUsed/>
    <w:qFormat/>
    <w:uiPriority w:val="0"/>
    <w:pPr>
      <w:spacing w:beforeAutospacing="1" w:afterAutospacing="1"/>
      <w:jc w:val="left"/>
      <w:outlineLvl w:val="1"/>
    </w:pPr>
    <w:rPr>
      <w:rFonts w:hint="eastAsia" w:ascii="宋体" w:hAnsi="宋体" w:eastAsia="宋体" w:cs="Times New Roman"/>
      <w:b/>
      <w:bCs/>
      <w:sz w:val="36"/>
      <w:szCs w:val="36"/>
    </w:rPr>
  </w:style>
  <w:style w:type="paragraph" w:customStyle="1" w:styleId="240">
    <w:name w:val="标题 31"/>
    <w:basedOn w:val="1"/>
    <w:next w:val="12"/>
    <w:link w:val="248"/>
    <w:qFormat/>
    <w:uiPriority w:val="0"/>
    <w:pPr>
      <w:keepNext/>
      <w:keepLines/>
      <w:spacing w:before="260" w:after="260" w:line="416" w:lineRule="auto"/>
      <w:outlineLvl w:val="2"/>
    </w:pPr>
    <w:rPr>
      <w:rFonts w:ascii="Times New Roman" w:hAnsi="Times New Roman" w:eastAsia="宋体" w:cs="Times New Roman"/>
      <w:b/>
      <w:bCs/>
      <w:sz w:val="32"/>
      <w:szCs w:val="32"/>
    </w:rPr>
  </w:style>
  <w:style w:type="paragraph" w:customStyle="1" w:styleId="241">
    <w:name w:val="Footer1"/>
    <w:basedOn w:val="1"/>
    <w:link w:val="244"/>
    <w:qFormat/>
    <w:uiPriority w:val="99"/>
    <w:pPr>
      <w:tabs>
        <w:tab w:val="center" w:pos="4153"/>
        <w:tab w:val="right" w:pos="8306"/>
      </w:tabs>
      <w:jc w:val="left"/>
    </w:pPr>
    <w:rPr>
      <w:sz w:val="18"/>
      <w:szCs w:val="18"/>
    </w:rPr>
  </w:style>
  <w:style w:type="paragraph" w:customStyle="1" w:styleId="242">
    <w:name w:val="Header1"/>
    <w:basedOn w:val="1"/>
    <w:link w:val="243"/>
    <w:qFormat/>
    <w:uiPriority w:val="99"/>
    <w:pPr>
      <w:pBdr>
        <w:bottom w:val="single" w:color="auto" w:sz="6" w:space="1"/>
      </w:pBdr>
      <w:tabs>
        <w:tab w:val="center" w:pos="4153"/>
        <w:tab w:val="right" w:pos="8306"/>
      </w:tabs>
      <w:jc w:val="center"/>
    </w:pPr>
    <w:rPr>
      <w:sz w:val="18"/>
      <w:szCs w:val="18"/>
    </w:rPr>
  </w:style>
  <w:style w:type="character" w:customStyle="1" w:styleId="243">
    <w:name w:val="页眉 Char"/>
    <w:basedOn w:val="42"/>
    <w:link w:val="242"/>
    <w:qFormat/>
    <w:uiPriority w:val="99"/>
    <w:rPr>
      <w:rFonts w:asciiTheme="minorHAnsi" w:hAnsiTheme="minorHAnsi" w:eastAsiaTheme="minorEastAsia" w:cstheme="minorBidi"/>
      <w:sz w:val="18"/>
      <w:szCs w:val="18"/>
    </w:rPr>
  </w:style>
  <w:style w:type="character" w:customStyle="1" w:styleId="244">
    <w:name w:val="页脚 Char"/>
    <w:basedOn w:val="42"/>
    <w:link w:val="241"/>
    <w:qFormat/>
    <w:uiPriority w:val="99"/>
    <w:rPr>
      <w:rFonts w:asciiTheme="minorHAnsi" w:hAnsiTheme="minorHAnsi" w:eastAsiaTheme="minorEastAsia" w:cstheme="minorBidi"/>
      <w:sz w:val="18"/>
      <w:szCs w:val="18"/>
    </w:rPr>
  </w:style>
  <w:style w:type="paragraph" w:customStyle="1" w:styleId="245">
    <w:name w:val="!BECC正文"/>
    <w:basedOn w:val="1"/>
    <w:qFormat/>
    <w:uiPriority w:val="0"/>
    <w:pPr>
      <w:tabs>
        <w:tab w:val="left" w:pos="0"/>
      </w:tabs>
      <w:spacing w:line="360" w:lineRule="auto"/>
      <w:ind w:firstLine="200"/>
      <w:contextualSpacing/>
    </w:pPr>
    <w:rPr>
      <w:rFonts w:ascii="Times New Roman" w:hAnsi="Times New Roman" w:eastAsia="宋体" w:cs="Times New Roman"/>
      <w:sz w:val="24"/>
    </w:rPr>
  </w:style>
  <w:style w:type="character" w:customStyle="1" w:styleId="246">
    <w:name w:val="纯文本 Char"/>
    <w:basedOn w:val="42"/>
    <w:link w:val="21"/>
    <w:qFormat/>
    <w:uiPriority w:val="0"/>
    <w:rPr>
      <w:rFonts w:ascii="宋体" w:hAnsi="Courier New"/>
      <w:sz w:val="21"/>
      <w:szCs w:val="21"/>
    </w:rPr>
  </w:style>
  <w:style w:type="character" w:customStyle="1" w:styleId="247">
    <w:name w:val="正文缩进 Char"/>
    <w:link w:val="12"/>
    <w:qFormat/>
    <w:uiPriority w:val="0"/>
    <w:rPr>
      <w:rFonts w:ascii="Calibri" w:hAnsi="Calibri"/>
    </w:rPr>
  </w:style>
  <w:style w:type="character" w:customStyle="1" w:styleId="248">
    <w:name w:val="标题 3 Char1"/>
    <w:link w:val="240"/>
    <w:qFormat/>
    <w:uiPriority w:val="0"/>
    <w:rPr>
      <w:b/>
      <w:bCs/>
      <w:sz w:val="32"/>
      <w:szCs w:val="32"/>
    </w:rPr>
  </w:style>
  <w:style w:type="character" w:customStyle="1" w:styleId="249">
    <w:name w:val="正文文本 Char"/>
    <w:basedOn w:val="42"/>
    <w:link w:val="16"/>
    <w:qFormat/>
    <w:uiPriority w:val="99"/>
    <w:rPr>
      <w:rFonts w:ascii="楷体" w:hAnsi="Arial" w:eastAsia="楷体"/>
      <w:sz w:val="28"/>
      <w:szCs w:val="28"/>
    </w:rPr>
  </w:style>
  <w:style w:type="paragraph" w:customStyle="1" w:styleId="250">
    <w:name w:val="*正文"/>
    <w:basedOn w:val="1"/>
    <w:qFormat/>
    <w:uiPriority w:val="0"/>
    <w:pPr>
      <w:widowControl/>
      <w:spacing w:line="300" w:lineRule="auto"/>
      <w:ind w:firstLine="480"/>
      <w:jc w:val="left"/>
    </w:pPr>
    <w:rPr>
      <w:rFonts w:ascii="宋体" w:hAnsi="宋体" w:eastAsia="宋体" w:cs="Times New Roman"/>
      <w:sz w:val="20"/>
    </w:rPr>
  </w:style>
  <w:style w:type="character" w:customStyle="1" w:styleId="251">
    <w:name w:val="批注框文本 Char"/>
    <w:basedOn w:val="42"/>
    <w:link w:val="24"/>
    <w:qFormat/>
    <w:uiPriority w:val="0"/>
    <w:rPr>
      <w:rFonts w:asciiTheme="minorHAnsi" w:hAnsiTheme="minorHAnsi" w:eastAsiaTheme="minorEastAsia" w:cstheme="minorBidi"/>
      <w:sz w:val="18"/>
      <w:szCs w:val="18"/>
    </w:rPr>
  </w:style>
  <w:style w:type="paragraph" w:customStyle="1" w:styleId="252">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character" w:customStyle="1" w:styleId="253">
    <w:name w:val="标题 2 Char"/>
    <w:basedOn w:val="42"/>
    <w:link w:val="239"/>
    <w:qFormat/>
    <w:uiPriority w:val="9"/>
    <w:rPr>
      <w:rFonts w:ascii="宋体" w:hAnsi="宋体"/>
      <w:b/>
      <w:bCs/>
      <w:sz w:val="36"/>
      <w:szCs w:val="36"/>
    </w:rPr>
  </w:style>
  <w:style w:type="character" w:customStyle="1" w:styleId="254">
    <w:name w:val="页眉 Char1"/>
    <w:basedOn w:val="42"/>
    <w:link w:val="84"/>
    <w:semiHidden/>
    <w:qFormat/>
    <w:uiPriority w:val="99"/>
    <w:rPr>
      <w:rFonts w:asciiTheme="minorHAnsi" w:hAnsiTheme="minorHAnsi" w:eastAsiaTheme="minorEastAsia" w:cstheme="minorBidi"/>
      <w:sz w:val="18"/>
      <w:szCs w:val="18"/>
    </w:rPr>
  </w:style>
  <w:style w:type="character" w:customStyle="1" w:styleId="255">
    <w:name w:val="页脚 Char1"/>
    <w:basedOn w:val="42"/>
    <w:link w:val="83"/>
    <w:semiHidden/>
    <w:qFormat/>
    <w:uiPriority w:val="99"/>
    <w:rPr>
      <w:rFonts w:asciiTheme="minorHAnsi" w:hAnsiTheme="minorHAnsi" w:eastAsiaTheme="minorEastAsia" w:cstheme="minorBidi"/>
      <w:sz w:val="18"/>
      <w:szCs w:val="18"/>
    </w:rPr>
  </w:style>
  <w:style w:type="character" w:customStyle="1" w:styleId="256">
    <w:name w:val="标题 2 Char1"/>
    <w:basedOn w:val="42"/>
    <w:link w:val="82"/>
    <w:semiHidden/>
    <w:qFormat/>
    <w:uiPriority w:val="9"/>
    <w:rPr>
      <w:rFonts w:asciiTheme="majorHAnsi" w:hAnsiTheme="majorHAnsi" w:eastAsiaTheme="majorEastAsia" w:cstheme="majorBidi"/>
      <w:b/>
      <w:bCs/>
      <w:sz w:val="32"/>
      <w:szCs w:val="32"/>
    </w:rPr>
  </w:style>
  <w:style w:type="paragraph" w:customStyle="1" w:styleId="257">
    <w:name w:val="text"/>
    <w:basedOn w:val="1"/>
    <w:qFormat/>
    <w:uiPriority w:val="0"/>
    <w:pPr>
      <w:widowControl/>
      <w:spacing w:before="100" w:beforeAutospacing="1" w:after="100" w:afterAutospacing="1"/>
      <w:jc w:val="left"/>
    </w:pPr>
    <w:rPr>
      <w:rFonts w:ascii="宋体" w:hAnsi="宋体" w:eastAsia="宋体" w:cs="宋体"/>
      <w:sz w:val="24"/>
    </w:rPr>
  </w:style>
  <w:style w:type="paragraph" w:customStyle="1" w:styleId="258">
    <w:name w:val="正文首行缩进 21"/>
    <w:basedOn w:val="1"/>
    <w:qFormat/>
    <w:uiPriority w:val="0"/>
    <w:pPr>
      <w:spacing w:after="120"/>
      <w:ind w:left="420" w:firstLine="420"/>
    </w:pPr>
  </w:style>
  <w:style w:type="paragraph" w:customStyle="1" w:styleId="259">
    <w:name w:val="正文缩进1"/>
    <w:basedOn w:val="1"/>
    <w:qFormat/>
    <w:uiPriority w:val="0"/>
    <w:pPr>
      <w:widowControl/>
      <w:ind w:firstLine="420"/>
      <w:jc w:val="left"/>
    </w:pPr>
  </w:style>
  <w:style w:type="paragraph" w:customStyle="1" w:styleId="260">
    <w:name w:val="Default"/>
    <w:basedOn w:val="1"/>
    <w:qFormat/>
    <w:uiPriority w:val="0"/>
    <w:pPr>
      <w:jc w:val="left"/>
    </w:pPr>
    <w:rPr>
      <w:rFonts w:ascii="宋体" w:hAnsi="Calibri" w:cs="宋体"/>
      <w:color w:val="000000"/>
      <w:sz w:val="24"/>
    </w:rPr>
  </w:style>
  <w:style w:type="paragraph" w:customStyle="1" w:styleId="261">
    <w:name w:val="TOC 71"/>
    <w:next w:val="1"/>
    <w:qFormat/>
    <w:uiPriority w:val="0"/>
    <w:pPr>
      <w:ind w:left="2550"/>
      <w:jc w:val="both"/>
    </w:pPr>
    <w:rPr>
      <w:rFonts w:ascii="Times New Roman" w:hAnsi="Times New Roman" w:eastAsia="宋体" w:cs="Times New Roman"/>
      <w:sz w:val="21"/>
      <w:szCs w:val="22"/>
      <w:lang w:val="en-US" w:eastAsia="zh-CN" w:bidi="ar-SA"/>
    </w:rPr>
  </w:style>
  <w:style w:type="paragraph" w:customStyle="1" w:styleId="262">
    <w:name w:val="Table Text"/>
    <w:basedOn w:val="1"/>
    <w:semiHidden/>
    <w:qFormat/>
    <w:uiPriority w:val="0"/>
    <w:rPr>
      <w:rFonts w:ascii="宋体" w:hAnsi="宋体" w:eastAsia="宋体" w:cs="宋体"/>
      <w:sz w:val="24"/>
    </w:rPr>
  </w:style>
  <w:style w:type="table" w:customStyle="1" w:styleId="263">
    <w:name w:val="Table Normal"/>
    <w:unhideWhenUsed/>
    <w:qFormat/>
    <w:uiPriority w:val="0"/>
    <w:tblPr>
      <w:tblCellMar>
        <w:top w:w="0" w:type="dxa"/>
        <w:left w:w="0" w:type="dxa"/>
        <w:bottom w:w="0" w:type="dxa"/>
        <w:right w:w="0" w:type="dxa"/>
      </w:tblCellMar>
    </w:tblPr>
  </w:style>
  <w:style w:type="paragraph" w:customStyle="1" w:styleId="264">
    <w:name w:val="页眉12"/>
    <w:basedOn w:val="1"/>
    <w:qFormat/>
    <w:uiPriority w:val="0"/>
    <w:pPr>
      <w:pBdr>
        <w:bottom w:val="single" w:color="000000" w:sz="6" w:space="1"/>
      </w:pBdr>
      <w:tabs>
        <w:tab w:val="center" w:pos="4153"/>
        <w:tab w:val="right" w:pos="8306"/>
      </w:tabs>
      <w:jc w:val="center"/>
    </w:pPr>
    <w:rPr>
      <w:sz w:val="18"/>
      <w:szCs w:val="18"/>
    </w:rPr>
  </w:style>
  <w:style w:type="paragraph" w:customStyle="1" w:styleId="265">
    <w:name w:val="正文文本 2111"/>
    <w:basedOn w:val="1"/>
    <w:qFormat/>
    <w:uiPriority w:val="99"/>
    <w:pPr>
      <w:jc w:val="center"/>
    </w:pPr>
    <w:rPr>
      <w:b/>
      <w:bCs/>
      <w:sz w:val="20"/>
      <w:szCs w:val="20"/>
    </w:rPr>
  </w:style>
  <w:style w:type="paragraph" w:customStyle="1" w:styleId="266">
    <w:name w:val="普通正文"/>
    <w:basedOn w:val="1"/>
    <w:qFormat/>
    <w:uiPriority w:val="0"/>
    <w:pPr>
      <w:spacing w:before="120" w:after="120" w:line="360" w:lineRule="auto"/>
      <w:ind w:firstLine="480"/>
      <w:jc w:val="left"/>
    </w:pPr>
    <w:rPr>
      <w:rFonts w:ascii="Arial" w:hAnsi="Arial" w:eastAsia="等线" w:cs="Arial"/>
      <w:sz w:val="24"/>
    </w:rPr>
  </w:style>
  <w:style w:type="paragraph" w:customStyle="1" w:styleId="267">
    <w:name w:val="普通(网站)1"/>
    <w:basedOn w:val="1"/>
    <w:qFormat/>
    <w:uiPriority w:val="0"/>
    <w:pPr>
      <w:widowControl/>
      <w:spacing w:before="100" w:beforeAutospacing="1" w:after="100" w:afterAutospacing="1" w:line="360" w:lineRule="auto"/>
      <w:ind w:firstLine="420"/>
      <w:jc w:val="left"/>
    </w:pPr>
    <w:rPr>
      <w:rFonts w:ascii="宋体" w:hAnsi="宋体" w:eastAsia="宋体" w:cs="宋体"/>
      <w:color w:val="000000"/>
      <w:sz w:val="24"/>
      <w:szCs w:val="21"/>
    </w:rPr>
  </w:style>
  <w:style w:type="paragraph" w:customStyle="1" w:styleId="268">
    <w:name w:val="Normal1"/>
    <w:qFormat/>
    <w:uiPriority w:val="0"/>
    <w:pPr>
      <w:widowControl w:val="0"/>
      <w:spacing w:line="360" w:lineRule="atLeast"/>
    </w:pPr>
    <w:rPr>
      <w:rFonts w:ascii="宋体" w:hAnsi="Calibri" w:eastAsia="宋体" w:cs="Times New Roman"/>
      <w:b/>
      <w:position w:val="-10"/>
      <w:sz w:val="24"/>
      <w:lang w:val="en-US" w:eastAsia="zh-CN" w:bidi="ar-SA"/>
    </w:rPr>
  </w:style>
  <w:style w:type="paragraph" w:customStyle="1" w:styleId="269">
    <w:name w:val="正文文本1"/>
    <w:basedOn w:val="1"/>
    <w:qFormat/>
    <w:uiPriority w:val="0"/>
    <w:pPr>
      <w:spacing w:after="120"/>
    </w:pPr>
    <w:rPr>
      <w:rFonts w:ascii="Times New Roman" w:hAnsi="Times New Roman" w:eastAsia="宋体" w:cs="Times New Roman"/>
      <w:szCs w:val="21"/>
    </w:rPr>
  </w:style>
  <w:style w:type="paragraph" w:customStyle="1" w:styleId="270">
    <w:name w:val="批注文字1"/>
    <w:basedOn w:val="1"/>
    <w:qFormat/>
    <w:uiPriority w:val="0"/>
    <w:pPr>
      <w:jc w:val="left"/>
    </w:pPr>
    <w:rPr>
      <w:rFonts w:ascii="Times New Roman" w:hAnsi="Times New Roman" w:eastAsia="宋体" w:cs="Times New Roman"/>
    </w:rPr>
  </w:style>
  <w:style w:type="character" w:customStyle="1" w:styleId="271">
    <w:name w:val="正文首行缩进 2 Char"/>
    <w:basedOn w:val="42"/>
    <w:link w:val="39"/>
    <w:qFormat/>
    <w:uiPriority w:val="0"/>
    <w:rPr>
      <w:rFonts w:ascii="宋体" w:eastAsia="仿宋" w:hAnsiTheme="minorHAnsi" w:cstheme="minorBidi"/>
      <w:sz w:val="24"/>
      <w:szCs w:val="21"/>
    </w:rPr>
  </w:style>
  <w:style w:type="paragraph" w:customStyle="1" w:styleId="272">
    <w:name w:val="宋体正文排版"/>
    <w:basedOn w:val="1"/>
    <w:link w:val="273"/>
    <w:qFormat/>
    <w:uiPriority w:val="0"/>
    <w:pPr>
      <w:widowControl/>
      <w:spacing w:line="360" w:lineRule="auto"/>
      <w:ind w:firstLine="883"/>
    </w:pPr>
    <w:rPr>
      <w:rFonts w:ascii="宋体" w:hAnsi="宋体" w:eastAsia="宋体" w:cs="Times New Roman"/>
      <w:color w:val="000000"/>
      <w:sz w:val="28"/>
      <w:szCs w:val="28"/>
      <w:lang w:eastAsia="en-US"/>
    </w:rPr>
  </w:style>
  <w:style w:type="character" w:customStyle="1" w:styleId="273">
    <w:name w:val="我的正文排版四号字 Char"/>
    <w:link w:val="272"/>
    <w:qFormat/>
    <w:uiPriority w:val="0"/>
    <w:rPr>
      <w:rFonts w:ascii="宋体" w:hAnsi="宋体"/>
      <w:color w:val="000000"/>
      <w:sz w:val="28"/>
      <w:szCs w:val="28"/>
      <w:lang w:eastAsia="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106</Pages>
  <Words>11519</Words>
  <Characters>12451</Characters>
  <Lines>390</Lines>
  <Paragraphs>109</Paragraphs>
  <TotalTime>64</TotalTime>
  <ScaleCrop>false</ScaleCrop>
  <LinksUpToDate>false</LinksUpToDate>
  <CharactersWithSpaces>12535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2026-08-09T14:44:00Z</dcterms:created>
  <dc:creator>正式环境陈艳测试账号</dc:creator>
  <cp:lastModifiedBy>盐城市亭湖区爱清红色文化教育基地</cp:lastModifiedBy>
  <cp:lastPrinted>2026-08-06T06:45:00Z</cp:lastPrinted>
  <dcterms:modified xsi:type="dcterms:W3CDTF">2026-08-10T01:52:14Z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135165A1BA24498AA2D20F7E3329FA70_13</vt:lpwstr>
  </property>
  <property fmtid="{D5CDD505-2E9C-101B-9397-08002B2CF9AE}" pid="4" name="KSOTemplateDocerSaveRecord">
    <vt:lpwstr>eyJoZGlkIjoiODZkZDhiMGRhNjI0MjMyZGNiZjBmZTUwZmY4Yjk1MjEiLCJ1c2VySWQiOiIxNjcxNDc2OTEwIn0=</vt:lpwstr>
  </property>
</Properties>
</file>