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9"/>
        <w:ind w:firstLine="0"/>
        <w:jc w:val="center"/>
        <w:rPr>
          <w:rFonts w:hint="eastAsia" w:ascii="Arial" w:hAnsi="Arial" w:eastAsia="黑体" w:cs="Times New Roman"/>
          <w:b/>
          <w:bCs/>
          <w:color w:val="000000"/>
          <w:sz w:val="84"/>
        </w:rPr>
        <w:outlineLvl w:val="0"/>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cs="Times New Roman"/>
          <w:b/>
          <w:bCs/>
          <w:color w:val="000000"/>
          <w:sz w:val="32"/>
          <w:szCs w:val="24"/>
          <w:u w:val="single"/>
          <w:lang w:val="en-US" w:eastAsia="zh-CN"/>
        </w:rPr>
        <w:outlineLvl w:val="0"/>
      </w:pPr>
      <w:r>
        <w:rPr>
          <w:rFonts w:hint="eastAsia" w:ascii="Arial" w:hAnsi="Arial" w:eastAsia="宋体" w:cs="Times New Roman"/>
          <w:b/>
          <w:bCs/>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南京市口腔医院疑难复杂会诊系统 </w:t>
      </w:r>
      <w:r>
        <w:rPr>
          <w:rFonts w:hint="eastAsia" w:ascii="Arial" w:hAnsi="Arial" w:cs="Times New Roman"/>
          <w:b/>
          <w:bCs/>
          <w:color w:val="000000"/>
          <w:sz w:val="32"/>
          <w:szCs w:val="24"/>
          <w:u w:val="single"/>
          <w:lang w:val="en-US" w:eastAsia="zh-CN"/>
        </w:rPr>
      </w:r>
      <w:r/>
    </w:p>
    <w:p>
      <w:pPr>
        <w:pStyle w:val="867"/>
        <w:ind w:firstLine="1606"/>
        <w:jc w:val="left"/>
        <w:spacing w:before="120" w:after="120" w:line="360" w:lineRule="auto"/>
        <w:rPr>
          <w:color w:val="000000"/>
        </w:rPr>
        <w:outlineLvl w:val="0"/>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JSZC-320100-JZCG-C2026-0211</w:t>
      </w:r>
      <w:r>
        <w:rPr>
          <w:color w:val="000000"/>
        </w:rPr>
      </w:r>
      <w:r/>
    </w:p>
    <w:p>
      <w:pPr>
        <w:pStyle w:val="867"/>
        <w:jc w:val="center"/>
        <w:rPr>
          <w:rFonts w:hint="eastAsia" w:ascii="Times New Roman" w:hAnsi="Times New Roman" w:eastAsia="宋体" w:cs="Times New Roman"/>
          <w:b/>
          <w:color w:val="000000"/>
          <w:sz w:val="30"/>
          <w:szCs w:val="30"/>
          <w:lang w:eastAsia="zh-CN"/>
        </w:rPr>
        <w:outlineLvl w:val="0"/>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ind w:left="0" w:right="0"/>
        <w:jc w:val="center"/>
        <w:keepLines w:val="0"/>
        <w:keepNext w:val="0"/>
        <w:spacing w:before="0" w:beforeAutospacing="0" w:after="0" w:afterAutospacing="0"/>
        <w:widowControl w:val="off"/>
        <w:outlineLvl w:val="1"/>
        <w:suppressLineNumbers w:val="0"/>
      </w:pPr>
      <w:r/>
      <w:r/>
    </w:p>
    <w:p>
      <w:pPr>
        <w:pStyle w:val="867"/>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959"/>
        <w:ind w:firstLine="0"/>
        <w:jc w:val="center"/>
        <w:rPr>
          <w:rFonts w:hint="eastAsia" w:ascii="Arial" w:hAnsi="Arial" w:eastAsia="宋体" w:cs="Times New Roman"/>
          <w:b/>
          <w:bCs/>
          <w:sz w:val="32"/>
          <w:lang w:eastAsia="zh-CN"/>
        </w:rPr>
        <w:outlineLvl w:val="1"/>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7"/>
        <w:ind w:firstLine="0"/>
        <w:jc w:val="center"/>
        <w:rPr>
          <w:rFonts w:hint="eastAsia" w:ascii="Times New Roman" w:hAnsi="Times New Roman" w:eastAsia="宋体" w:cs="Times New Roman"/>
          <w:b/>
          <w:bCs w:val="0"/>
          <w:color w:val="000000"/>
          <w:sz w:val="32"/>
          <w:szCs w:val="32"/>
          <w:u w:val="none"/>
          <w:lang w:val="en-US" w:eastAsia="zh-CN"/>
        </w:rPr>
        <w:outlineLvl w:val="1"/>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7</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7"/>
        <w:jc w:val="center"/>
        <w:spacing w:before="120" w:after="120" w:line="360" w:lineRule="auto"/>
        <w:rPr>
          <w:rFonts w:hint="eastAsia" w:ascii="Arial" w:hAnsi="Arial"/>
          <w:sz w:val="24"/>
          <w:szCs w:val="24"/>
        </w:rPr>
      </w:pPr>
      <w:r>
        <w:rPr>
          <w:rFonts w:hint="eastAsia" w:ascii="Arial" w:hAnsi="Arial"/>
          <w:sz w:val="24"/>
          <w:szCs w:val="24"/>
        </w:rPr>
      </w:r>
      <w:r/>
    </w:p>
    <w:p>
      <w:pPr>
        <w:pStyle w:val="867"/>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7"/>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7"/>
        <w:spacing w:line="480" w:lineRule="auto"/>
        <w:rPr>
          <w:rFonts w:hint="eastAsia" w:ascii="仿宋_GB2312" w:hAnsi="Arial" w:eastAsia="仿宋_GB2312"/>
          <w:b/>
          <w:sz w:val="28"/>
          <w:szCs w:val="21"/>
        </w:rPr>
      </w:pPr>
      <w:r/>
      <w:bookmarkStart w:id="0" w:name="_Toc16938516"/>
      <w:r/>
      <w:bookmarkStart w:id="1" w:name="_Toc120614210"/>
      <w:r/>
      <w:bookmarkStart w:id="2" w:name="_Toc479757206"/>
      <w:r/>
      <w:bookmarkStart w:id="3" w:name="_Toc523127445"/>
      <w:r/>
      <w:bookmarkStart w:id="4" w:name="_Toc20823272"/>
      <w:r/>
      <w:bookmarkStart w:id="5" w:name="_Toc513029200"/>
      <w:r>
        <w:rPr>
          <w:rFonts w:hint="eastAsia" w:ascii="仿宋_GB2312" w:hAnsi="Arial" w:eastAsia="仿宋_GB2312"/>
          <w:b/>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w:t>
      </w:r>
      <w:r>
        <w:rPr>
          <w:rFonts w:hint="eastAsia" w:ascii="方正小标宋简体" w:hAnsi="方正小标宋简体" w:eastAsia="方正小标宋简体" w:cs="方正小标宋简体"/>
          <w:color w:val="000000"/>
          <w:sz w:val="36"/>
          <w:szCs w:val="36"/>
          <w:lang w:val="en-US"/>
        </w:rPr>
        <w:t xml:space="preserve"> </w:t>
      </w:r>
      <w:r>
        <w:rPr>
          <w:rFonts w:hint="eastAsia" w:ascii="方正小标宋简体" w:hAnsi="方正小标宋简体" w:eastAsia="方正小标宋简体" w:cs="方正小标宋简体"/>
          <w:color w:val="000000"/>
          <w:sz w:val="36"/>
          <w:szCs w:val="36"/>
          <w:lang w:val="en-US"/>
        </w:rPr>
        <w:t xml:space="preserve"> 磋商邀请</w:t>
      </w:r>
      <w:r>
        <w:rPr>
          <w:rFonts w:hint="eastAsia" w:ascii="方正小标宋简体" w:hAnsi="方正小标宋简体" w:eastAsia="方正小标宋简体" w:cs="方正小标宋简体"/>
          <w:color w:val="000000"/>
          <w:sz w:val="36"/>
          <w:szCs w:val="36"/>
          <w:lang w:val="en-US"/>
        </w:rPr>
      </w:r>
      <w:r/>
    </w:p>
    <w:p>
      <w:pPr>
        <w:pStyle w:val="867"/>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南京市口腔医院</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南京市口腔医院疑难复杂会诊系统（</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s="Times New Roman"/>
          <w:color w:val="000000"/>
          <w:sz w:val="24"/>
          <w:szCs w:val="24"/>
          <w:lang w:val="en-US" w:eastAsia="zh-CN"/>
        </w:rPr>
        <w:t xml:space="preserve">JSZC-320100-JZCG-C2026-0211</w:t>
      </w:r>
      <w:r>
        <w:rPr>
          <w:rFonts w:ascii="宋体" w:hAnsi="宋体"/>
          <w:color w:val="000000"/>
          <w:sz w:val="24"/>
          <w:szCs w:val="24"/>
        </w:rPr>
      </w:r>
      <w:r/>
    </w:p>
    <w:p>
      <w:pPr>
        <w:pStyle w:val="867"/>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南京市口腔医院疑难复杂会诊系统</w:t>
      </w:r>
      <w:r>
        <w:rPr>
          <w:rFonts w:hint="eastAsia" w:ascii="宋体" w:hAnsi="宋体" w:eastAsia="宋体"/>
          <w:color w:val="000000"/>
          <w:sz w:val="24"/>
          <w:szCs w:val="24"/>
          <w:lang w:eastAsia="zh-CN"/>
        </w:rPr>
      </w:r>
      <w:r/>
    </w:p>
    <w:p>
      <w:pPr>
        <w:pStyle w:val="867"/>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9.5万元</w:t>
      </w:r>
      <w:r>
        <w:rPr>
          <w:rFonts w:hint="eastAsia" w:ascii="宋体" w:hAnsi="宋体"/>
          <w:color w:val="000000"/>
          <w:sz w:val="24"/>
          <w:szCs w:val="24"/>
          <w:lang w:val="en-US" w:eastAsia="zh-CN"/>
        </w:rPr>
      </w:r>
      <w:r/>
    </w:p>
    <w:p>
      <w:pPr>
        <w:pStyle w:val="867"/>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最高限价：9.5万元</w:t>
      </w:r>
      <w:r>
        <w:rPr>
          <w:rFonts w:hint="eastAsia" w:ascii="宋体" w:hAnsi="宋体"/>
          <w:color w:val="000000"/>
          <w:sz w:val="24"/>
          <w:szCs w:val="24"/>
          <w:lang w:val="en-US" w:eastAsia="zh-CN"/>
        </w:rPr>
      </w:r>
      <w:r/>
    </w:p>
    <w:p>
      <w:pPr>
        <w:pStyle w:val="867"/>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南京市口腔医院需建设一套功能完善的疑难复杂会诊管理系统，实现远程会诊业务的全流程线上化管理。系统覆盖远程会诊申请、审批、会议组织、在线协作、诊疗决策等核心环节，支持PC端与移动医护端双端操作。通过与院内患者360视图对接，实现患者就诊数据的跨端共享，最终旨在提升远程会诊效率、规范会诊流程、保障诊疗质量，为患者提供更优质的远程诊疗服务。</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867"/>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合同履行总周期425天，其中合同签订之日起60天内完成系统开发与验收，系统运维服务期限为365天。</w:t>
      </w:r>
      <w:r>
        <w:rPr>
          <w:rFonts w:ascii="宋体" w:hAnsi="宋体" w:eastAsia="宋体" w:cs="宋体"/>
          <w:color w:val="000000"/>
          <w:sz w:val="24"/>
          <w:szCs w:val="24"/>
          <w:highlight w:val="yellow"/>
          <w:lang w:val="en-US"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color w:val="000000"/>
          <w:sz w:val="24"/>
          <w:szCs w:val="24"/>
        </w:rPr>
        <w:outlineLvl w:val="2"/>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867"/>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ind w:firstLine="480"/>
        <w:pageBreakBefore w:val="0"/>
        <w:spacing w:line="240" w:lineRule="auto"/>
        <w:widowControl w:val="off"/>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2026年8月3日14时00分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sz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67"/>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7"/>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7"/>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color w:val="000000"/>
          <w:sz w:val="24"/>
          <w:lang w:val="zh-CN"/>
        </w:rPr>
        <w:t xml:space="preserve">采购人《质疑函》收件人：程老师，收件地址：南京市玄武区中央路30号1号楼7楼708室，联系电话：025-83620164。</w:t>
      </w:r>
      <w:r>
        <w:rPr>
          <w:rFonts w:ascii="宋体" w:hAnsi="宋体" w:eastAsia="宋体" w:cs="Times New Roman"/>
          <w:b w:val="0"/>
          <w:bCs w:val="0"/>
          <w:color w:val="000000"/>
          <w:sz w:val="24"/>
          <w:lang w:val="en-US" w:eastAsia="zh-CN"/>
        </w:rPr>
      </w:r>
      <w:r/>
    </w:p>
    <w:p>
      <w:pPr>
        <w:pStyle w:val="867"/>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938"/>
        <w:ind w:firstLine="600"/>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称：南京市口腔医院         </w:t>
      </w:r>
      <w:r>
        <w:rPr>
          <w:rFonts w:hint="eastAsia" w:ascii="宋体" w:hAnsi="宋体" w:eastAsia="宋体" w:cs="Times New Roman"/>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址：南京市玄武区中央路30号    </w:t>
      </w:r>
      <w:r>
        <w:rPr>
          <w:rFonts w:hint="eastAsia" w:ascii="宋体" w:hAnsi="宋体" w:eastAsia="宋体" w:cs="Times New Roman"/>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联系人：程老师 </w:t>
      </w:r>
      <w:r>
        <w:rPr>
          <w:rFonts w:hint="eastAsia" w:ascii="宋体" w:hAnsi="宋体" w:eastAsia="宋体" w:cs="Times New Roman"/>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联系电话：025-83620164 </w:t>
      </w:r>
      <w:r>
        <w:rPr>
          <w:rFonts w:hint="eastAsia" w:ascii="宋体" w:hAnsi="宋体" w:eastAsia="宋体" w:cs="Times New Roman"/>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outlineLvl w:val="2"/>
      </w:pPr>
      <w:r/>
      <w:bookmarkStart w:id="6" w:name="_Toc28359009"/>
      <w:r/>
      <w:bookmarkStart w:id="7" w:name="_Toc28359086"/>
      <w:r>
        <w:rPr>
          <w:rFonts w:hint="eastAsia" w:ascii="宋体" w:hAnsi="宋体" w:eastAsia="宋体" w:cs="Times New Roman"/>
          <w:color w:val="000000"/>
          <w:sz w:val="24"/>
          <w:szCs w:val="24"/>
          <w:u w:val="none"/>
          <w:lang w:val="en-US" w:eastAsia="zh-CN"/>
        </w:rPr>
        <w:t xml:space="preserve">2.交易中心</w:t>
      </w:r>
      <w:bookmarkEnd w:id="6"/>
      <w:r/>
      <w:bookmarkEnd w:id="7"/>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联系电话：025-68505993</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ascii="宋体" w:hAnsi="宋体" w:eastAsia="宋体" w:cs="Times New Roman"/>
          <w:color w:val="243f61"/>
          <w:sz w:val="24"/>
          <w:szCs w:val="24"/>
          <w:u w:val="none"/>
          <w:lang w:val="en-US" w:eastAsia="zh-CN"/>
        </w:rPr>
      </w:pPr>
      <w:r>
        <w:rPr>
          <w:rFonts w:ascii="宋体" w:hAnsi="宋体" w:eastAsia="宋体" w:cs="Times New Roman"/>
          <w:color w:val="243f61"/>
          <w:sz w:val="24"/>
          <w:szCs w:val="24"/>
          <w:u w:val="none"/>
          <w:lang w:val="en-US" w:eastAsia="zh-CN"/>
        </w:rPr>
      </w:r>
      <w:r/>
    </w:p>
    <w:p>
      <w:pPr>
        <w:pStyle w:val="867"/>
        <w:ind w:right="0" w:firstLine="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bookmarkStart w:id="8" w:name="_Toc20823275"/>
      <w:r/>
      <w:bookmarkStart w:id="9" w:name="_Toc120614214"/>
      <w:r/>
      <w:bookmarkStart w:id="10" w:name="_Toc513029203"/>
      <w:r/>
      <w:bookmarkStart w:id="11" w:name="_Toc16938519"/>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7"/>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w:t>
      </w:r>
      <w:r>
        <w:rPr>
          <w:rFonts w:hint="eastAsia" w:ascii="宋体" w:hAnsi="宋体" w:cs="Times New Roman"/>
          <w:color w:val="000000"/>
          <w:sz w:val="24"/>
          <w:szCs w:val="21"/>
          <w:lang w:val="en-US" w:eastAsia="zh-CN"/>
        </w:rPr>
        <w:t xml:space="preserve">违法</w:t>
      </w:r>
      <w:r>
        <w:rPr>
          <w:rFonts w:hint="eastAsia" w:ascii="宋体" w:hAnsi="宋体" w:eastAsia="宋体" w:cs="Times New Roman"/>
          <w:color w:val="000000"/>
          <w:sz w:val="24"/>
          <w:szCs w:val="21"/>
          <w:lang w:val="en-US" w:eastAsia="zh-CN"/>
        </w:rPr>
        <w:t xml:space="preserve">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w:t>
      </w:r>
      <w:r>
        <w:rPr>
          <w:rFonts w:hint="eastAsia" w:ascii="宋体" w:hAnsi="宋体" w:cs="Times New Roman"/>
          <w:color w:val="000000"/>
          <w:sz w:val="24"/>
          <w:szCs w:val="21"/>
          <w:lang w:val="en-US" w:eastAsia="zh-CN"/>
        </w:rPr>
        <w:t xml:space="preserve">展</w:t>
      </w:r>
      <w:r>
        <w:rPr>
          <w:rFonts w:hint="eastAsia" w:ascii="宋体" w:hAnsi="宋体" w:eastAsia="宋体" w:cs="Times New Roman"/>
          <w:color w:val="000000"/>
          <w:sz w:val="24"/>
          <w:szCs w:val="21"/>
          <w:lang w:val="zh-CN" w:eastAsia="zh-CN"/>
        </w:rPr>
        <w:t xml:space="preserve">改</w:t>
      </w:r>
      <w:r>
        <w:rPr>
          <w:rFonts w:hint="eastAsia" w:ascii="宋体" w:hAnsi="宋体" w:cs="Times New Roman"/>
          <w:color w:val="000000"/>
          <w:sz w:val="24"/>
          <w:szCs w:val="21"/>
          <w:lang w:val="en-US" w:eastAsia="zh-CN"/>
        </w:rPr>
        <w:t xml:space="preserve">革</w:t>
      </w:r>
      <w:r>
        <w:rPr>
          <w:rFonts w:hint="eastAsia" w:ascii="宋体" w:hAnsi="宋体" w:eastAsia="宋体" w:cs="Times New Roman"/>
          <w:color w:val="000000"/>
          <w:sz w:val="24"/>
          <w:szCs w:val="21"/>
          <w:lang w:val="zh-CN" w:eastAsia="zh-CN"/>
        </w:rPr>
        <w:t xml:space="preserve">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w:t>
      </w:r>
      <w:r>
        <w:rPr>
          <w:rFonts w:hint="eastAsia" w:ascii="宋体" w:hAnsi="宋体" w:cs="Times New Roman"/>
          <w:color w:val="000000"/>
          <w:sz w:val="24"/>
          <w:szCs w:val="21"/>
          <w:lang w:val="en-US" w:eastAsia="zh-CN"/>
        </w:rPr>
        <w:t xml:space="preserve">1</w:t>
      </w:r>
      <w:r>
        <w:rPr>
          <w:rFonts w:hint="eastAsia" w:ascii="宋体" w:hAnsi="宋体" w:eastAsia="宋体" w:cs="Times New Roman"/>
          <w:color w:val="000000"/>
          <w:sz w:val="24"/>
          <w:szCs w:val="21"/>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cs="宋体"/>
          <w:sz w:val="24"/>
          <w:szCs w:val="24"/>
          <w:lang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outlineLvl w:val="2"/>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outlineLvl w:val="2"/>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outlineLvl w:val="2"/>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7"/>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79"/>
        <w:ind w:left="0" w:firstLine="0"/>
        <w:keepLines w:val="0"/>
        <w:keepNext w:val="0"/>
        <w:pageBreakBefore w:val="0"/>
        <w:spacing w:line="240" w:lineRule="auto"/>
        <w:widowControl w:val="off"/>
        <w:rPr>
          <w:rFonts w:hint="eastAsia"/>
          <w:lang w:eastAsia="zh-CN"/>
        </w:rPr>
      </w:pPr>
      <w:r>
        <w:rPr>
          <w:rFonts w:hint="eastAsia"/>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w:t>
      </w:r>
      <w:r>
        <w:rPr>
          <w:rFonts w:ascii="宋体" w:hAnsi="宋体" w:cs="Courier New"/>
          <w:color w:val="000000"/>
          <w:sz w:val="24"/>
          <w:szCs w:val="24"/>
        </w:rPr>
        <w:t xml:space="preserve">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w:t>
      </w:r>
      <w:r>
        <w:rPr>
          <w:rFonts w:hint="eastAsia" w:ascii="宋体" w:hAnsi="宋体" w:eastAsia="宋体" w:cs="宋体"/>
          <w:color w:val="000000"/>
          <w:sz w:val="24"/>
          <w:szCs w:val="24"/>
          <w:lang w:val="en-US" w:eastAsia="zh-CN"/>
        </w:rPr>
        <w:t xml:space="preserve">磋商</w:t>
      </w:r>
      <w:r>
        <w:rPr>
          <w:rFonts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响应</w:t>
      </w:r>
      <w:r>
        <w:rPr>
          <w:rFonts w:ascii="宋体" w:hAnsi="宋体" w:eastAsia="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hint="eastAsia" w:hAnsi="宋体" w:eastAsia="宋体" w:cs="Courier New"/>
          <w:color w:val="000000"/>
          <w:sz w:val="24"/>
          <w:szCs w:val="24"/>
        </w:rPr>
        <w:t xml:space="preserve">。</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lang w:val="en-US" w:eastAsia="zh-CN"/>
        </w:rPr>
        <w:t xml:space="preserve">.1.1 合同签订且服务团队人员到位后，甲方支付合同总价款的30%作为预付款，该预付款在支付系统开发费用时予以扣除。</w:t>
      </w:r>
      <w:r>
        <w:rPr>
          <w:rFonts w:hint="eastAsia"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lang w:val="en-US" w:eastAsia="zh-CN"/>
        </w:rPr>
        <w:t xml:space="preserve">.1.2 软件完全交付并上线正式运行，经甲方验收合格后，支付剩余系统开发费用。</w:t>
      </w:r>
      <w:r>
        <w:rPr>
          <w:rFonts w:hint="eastAsia"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lang w:val="en-US" w:eastAsia="zh-CN"/>
        </w:rPr>
        <w:t xml:space="preserve">.1.3 系统验收合格后进入</w:t>
      </w:r>
      <w:r>
        <w:rPr>
          <w:rFonts w:hint="eastAsia" w:ascii="宋体" w:hAnsi="宋体" w:cs="Courier New"/>
          <w:color w:val="000000"/>
          <w:sz w:val="24"/>
          <w:szCs w:val="24"/>
          <w:highlight w:val="none"/>
          <w:lang w:val="en-US" w:eastAsia="zh-CN"/>
        </w:rPr>
        <w:t xml:space="preserve">运维</w:t>
      </w:r>
      <w:r>
        <w:rPr>
          <w:rFonts w:hint="eastAsia" w:ascii="宋体" w:hAnsi="宋体" w:eastAsia="宋体" w:cs="Courier New"/>
          <w:color w:val="000000"/>
          <w:sz w:val="24"/>
          <w:szCs w:val="24"/>
          <w:highlight w:val="none"/>
          <w:lang w:val="en-US" w:eastAsia="zh-CN"/>
        </w:rPr>
        <w:t xml:space="preserve">期，乙方</w:t>
      </w:r>
      <w:r>
        <w:rPr>
          <w:rFonts w:hint="eastAsia" w:ascii="宋体" w:hAnsi="宋体" w:cs="Courier New"/>
          <w:color w:val="000000"/>
          <w:sz w:val="24"/>
          <w:szCs w:val="24"/>
          <w:highlight w:val="none"/>
          <w:lang w:val="en-US" w:eastAsia="zh-CN"/>
        </w:rPr>
        <w:t xml:space="preserve">运维</w:t>
      </w:r>
      <w:r>
        <w:rPr>
          <w:rFonts w:hint="eastAsia" w:ascii="宋体" w:hAnsi="宋体" w:eastAsia="宋体" w:cs="Courier New"/>
          <w:color w:val="000000"/>
          <w:sz w:val="24"/>
          <w:szCs w:val="24"/>
          <w:highlight w:val="none"/>
          <w:lang w:val="en-US" w:eastAsia="zh-CN"/>
        </w:rPr>
        <w:t xml:space="preserve">满半年，经甲方考核合格后支付系统</w:t>
      </w:r>
      <w:r>
        <w:rPr>
          <w:rFonts w:hint="eastAsia" w:ascii="宋体" w:hAnsi="宋体" w:cs="Courier New"/>
          <w:color w:val="000000"/>
          <w:sz w:val="24"/>
          <w:szCs w:val="24"/>
          <w:highlight w:val="none"/>
          <w:lang w:val="en-US" w:eastAsia="zh-CN"/>
        </w:rPr>
        <w:t xml:space="preserve">运维</w:t>
      </w:r>
      <w:r>
        <w:rPr>
          <w:rFonts w:hint="eastAsia" w:ascii="宋体" w:hAnsi="宋体" w:eastAsia="宋体" w:cs="Courier New"/>
          <w:color w:val="000000"/>
          <w:sz w:val="24"/>
          <w:szCs w:val="24"/>
          <w:highlight w:val="none"/>
          <w:lang w:val="en-US" w:eastAsia="zh-CN"/>
        </w:rPr>
        <w:t xml:space="preserve">费用的50%；乙方</w:t>
      </w:r>
      <w:r>
        <w:rPr>
          <w:rFonts w:hint="eastAsia" w:ascii="宋体" w:hAnsi="宋体" w:cs="Courier New"/>
          <w:color w:val="000000"/>
          <w:sz w:val="24"/>
          <w:szCs w:val="24"/>
          <w:highlight w:val="none"/>
          <w:lang w:val="en-US" w:eastAsia="zh-CN"/>
        </w:rPr>
        <w:t xml:space="preserve">运维</w:t>
      </w:r>
      <w:r>
        <w:rPr>
          <w:rFonts w:hint="eastAsia" w:ascii="宋体" w:hAnsi="宋体" w:eastAsia="宋体" w:cs="Courier New"/>
          <w:color w:val="000000"/>
          <w:sz w:val="24"/>
          <w:szCs w:val="24"/>
          <w:highlight w:val="none"/>
          <w:lang w:val="en-US" w:eastAsia="zh-CN"/>
        </w:rPr>
        <w:t xml:space="preserve">满一年，经甲方考核合格后支付至系统</w:t>
      </w:r>
      <w:r>
        <w:rPr>
          <w:rFonts w:hint="eastAsia" w:ascii="宋体" w:hAnsi="宋体" w:cs="Courier New"/>
          <w:color w:val="000000"/>
          <w:sz w:val="24"/>
          <w:szCs w:val="24"/>
          <w:highlight w:val="none"/>
          <w:lang w:val="en-US" w:eastAsia="zh-CN"/>
        </w:rPr>
        <w:t xml:space="preserve">运维</w:t>
      </w:r>
      <w:r>
        <w:rPr>
          <w:rFonts w:hint="eastAsia" w:ascii="宋体" w:hAnsi="宋体" w:eastAsia="宋体" w:cs="Courier New"/>
          <w:color w:val="000000"/>
          <w:sz w:val="24"/>
          <w:szCs w:val="24"/>
          <w:highlight w:val="none"/>
          <w:lang w:val="en-US" w:eastAsia="zh-CN"/>
        </w:rPr>
        <w:t xml:space="preserve">费用的100%。（</w:t>
      </w:r>
      <w:r>
        <w:rPr>
          <w:rFonts w:hint="eastAsia" w:ascii="宋体" w:hAnsi="宋体" w:cs="Courier New"/>
          <w:color w:val="000000"/>
          <w:sz w:val="24"/>
          <w:szCs w:val="24"/>
          <w:highlight w:val="none"/>
          <w:lang w:val="en-US" w:eastAsia="zh-CN"/>
        </w:rPr>
        <w:t xml:space="preserve">运维</w:t>
      </w:r>
      <w:r>
        <w:rPr>
          <w:rFonts w:hint="eastAsia" w:ascii="宋体" w:hAnsi="宋体" w:eastAsia="宋体" w:cs="Courier New"/>
          <w:color w:val="000000"/>
          <w:sz w:val="24"/>
          <w:szCs w:val="24"/>
          <w:highlight w:val="none"/>
          <w:lang w:val="en-US" w:eastAsia="zh-CN"/>
        </w:rPr>
        <w:t xml:space="preserve">要求详见</w:t>
      </w:r>
      <w:r>
        <w:rPr>
          <w:rFonts w:hint="eastAsia" w:ascii="宋体" w:hAnsi="宋体" w:cs="Courier New"/>
          <w:color w:val="000000"/>
          <w:sz w:val="24"/>
          <w:szCs w:val="24"/>
          <w:highlight w:val="none"/>
          <w:lang w:val="en-US" w:eastAsia="zh-CN"/>
        </w:rPr>
        <w:t xml:space="preserve">采购文件</w:t>
      </w:r>
      <w:r>
        <w:rPr>
          <w:rFonts w:hint="eastAsia" w:ascii="宋体" w:hAnsi="宋体" w:eastAsia="宋体" w:cs="Courier New"/>
          <w:color w:val="000000"/>
          <w:sz w:val="24"/>
          <w:szCs w:val="24"/>
          <w:highlight w:val="none"/>
          <w:lang w:val="en-US" w:eastAsia="zh-CN"/>
        </w:rPr>
        <w:t xml:space="preserve">，全部达到为考核合格）</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cs="Courier New"/>
          <w:color w:val="000000"/>
          <w:sz w:val="24"/>
          <w:szCs w:val="24"/>
          <w:u w:val="single"/>
          <w:lang w:val="en-US" w:eastAsia="zh-CN"/>
        </w:rPr>
        <w:t xml:space="preserve">万分之五</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cs="Courier New"/>
          <w:color w:val="000000"/>
          <w:sz w:val="24"/>
          <w:szCs w:val="24"/>
          <w:u w:val="single"/>
          <w:lang w:val="en-US" w:eastAsia="zh-CN"/>
        </w:rPr>
        <w:t xml:space="preserve">万分之五</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08"/>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8"/>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3" w:name="_Toc20823346"/>
      <w:r/>
      <w:bookmarkStart w:id="14" w:name="_Toc16938590"/>
      <w:r/>
      <w:bookmarkStart w:id="15" w:name="_Hlt16619350"/>
      <w:r/>
      <w:bookmarkStart w:id="16" w:name="_Toc120614244"/>
      <w:r/>
      <w:bookmarkStart w:id="17" w:name="_Toc462564139"/>
      <w:r/>
      <w:bookmarkStart w:id="18" w:name="_Toc479757211"/>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口腔医院需建设一套功能完善的疑难复杂会诊管理系统，实现远程会诊业务的全流程线上化管理。系统覆盖远程会诊申请、审批、会议组织、在线协作、诊疗决策等核心环节，支持PC端与移动医护端双端操作。通过与院内患者360视图对接，实现患者就诊数据的跨端共享，最终旨在提升远程会诊效率、规范会诊流程、保障诊疗质量，为患者提供更优质的远程诊疗服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5"/>
        <w:tblW w:w="516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1"/>
        <w:gridCol w:w="1364"/>
        <w:gridCol w:w="758"/>
        <w:gridCol w:w="719"/>
        <w:gridCol w:w="1056"/>
        <w:gridCol w:w="1069"/>
        <w:gridCol w:w="1329"/>
        <w:gridCol w:w="1099"/>
        <w:gridCol w:w="1133"/>
        <w:gridCol w:w="1010"/>
      </w:tblGrid>
      <w:tr>
        <w:trPr>
          <w:trHeight w:val="470"/>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67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7"/>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6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trHeight w:val="597"/>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675" w:type="dxa"/>
            <w:vAlign w:val="center"/>
            <w:textDirection w:val="lrTb"/>
            <w:noWrap w:val="false"/>
          </w:tcPr>
          <w:p>
            <w:pPr>
              <w:pStyle w:val="867"/>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南京市口腔医院疑难复杂会诊系统</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85500</w:t>
            </w:r>
            <w:r>
              <w:rPr>
                <w:rFonts w:ascii="宋体" w:hAnsi="宋体" w:eastAsia="宋体" w:cs="Times New Roman"/>
                <w:bCs/>
                <w:color w:val="000000"/>
                <w:sz w:val="24"/>
                <w:szCs w:val="24"/>
                <w:lang w:val="en-US" w:eastAsia="zh-CN"/>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56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r>
      <w:tr>
        <w:trPr>
          <w:trHeight w:val="597"/>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675" w:type="dxa"/>
            <w:vAlign w:val="center"/>
            <w:textDirection w:val="lrTb"/>
            <w:noWrap w:val="false"/>
          </w:tcPr>
          <w:p>
            <w:pPr>
              <w:pStyle w:val="867"/>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运维服务</w:t>
            </w:r>
            <w:r>
              <w:rPr>
                <w:rFonts w:ascii="宋体" w:hAnsi="宋体" w:eastAsia="宋体" w:cs="宋体"/>
                <w:bCs/>
                <w:color w:val="000000"/>
                <w:sz w:val="24"/>
                <w:szCs w:val="24"/>
                <w:lang w:val="en-US" w:eastAsia="zh-CN"/>
              </w:rPr>
            </w:r>
            <w:r/>
          </w:p>
        </w:tc>
        <w:tc>
          <w:tcPr>
            <w:tcW w:w="375"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56"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ascii="宋体" w:hAnsi="宋体" w:eastAsia="宋体" w:cs="宋体"/>
                <w:bCs/>
                <w:color w:val="000000"/>
                <w:sz w:val="24"/>
                <w:szCs w:val="24"/>
                <w:lang w:val="en-US" w:eastAsia="zh-CN"/>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529"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9500</w:t>
            </w:r>
            <w:r>
              <w:rPr>
                <w:rFonts w:ascii="宋体" w:hAnsi="宋体" w:eastAsia="宋体" w:cs="Times New Roman"/>
                <w:bCs/>
                <w:color w:val="000000"/>
                <w:sz w:val="24"/>
                <w:szCs w:val="24"/>
                <w:lang w:val="en-US" w:eastAsia="zh-CN"/>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bidi="ar-SA"/>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561"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c>
          <w:tcPr>
            <w:tcW w:w="500"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r>
    </w:tbl>
    <w:p>
      <w:pPr>
        <w:pStyle w:val="867"/>
        <w:ind w:firstLine="480"/>
        <w:keepLines w:val="0"/>
        <w:keepNext w:val="0"/>
        <w:pageBreakBefore w:val="0"/>
        <w:spacing w:line="264" w:lineRule="auto"/>
        <w:widowControl/>
        <w:rPr>
          <w:rFonts w:hint="eastAsia" w:ascii="宋体" w:hAnsi="宋体" w:eastAsia="宋体" w:cs="宋体"/>
          <w:b/>
          <w:bCs w:val="0"/>
          <w:color w:val="000000"/>
          <w:sz w:val="24"/>
          <w:szCs w:val="24"/>
          <w:highlight w:val="none"/>
        </w:rPr>
        <w:outlineLvl w:val="9"/>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1" w:name="_Toc120614281"/>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本次采购的疑难复杂会诊管理系统，应包含以下核心模块：</w:t>
      </w:r>
      <w:r>
        <w:rPr>
          <w:rFonts w:hint="eastAsia" w:ascii="宋体" w:hAnsi="宋体" w:eastAsia="宋体" w:cs="宋体"/>
          <w:sz w:val="24"/>
          <w:szCs w:val="24"/>
          <w:lang w:val="en-US"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531"/>
        <w:gridCol w:w="1900"/>
        <w:gridCol w:w="6531"/>
      </w:tblGrid>
      <w:tr>
        <w:trPr>
          <w:trHeight w:val="430"/>
        </w:trPr>
        <w:tc>
          <w:tcPr>
            <w:gridSpan w:val="3"/>
            <w:tcBorders>
              <w:top w:val="single" w:color="000000" w:sz="4" w:space="0"/>
              <w:left w:val="single" w:color="000000" w:sz="8" w:space="0"/>
              <w:bottom w:val="single" w:color="000000" w:sz="4" w:space="0"/>
              <w:right w:val="single" w:color="000000" w:sz="4" w:space="0"/>
            </w:tcBorders>
            <w:tcW w:w="9962" w:type="dxa"/>
            <w:vAlign w:val="center"/>
            <w:textDirection w:val="lrTb"/>
            <w:noWrap w:val="false"/>
          </w:tcPr>
          <w:p>
            <w:pPr>
              <w:pStyle w:val="996"/>
              <w:jc w:val="center"/>
              <w:spacing w:line="320" w:lineRule="exact"/>
              <w:rPr>
                <w:b/>
                <w:bCs/>
              </w:rPr>
            </w:pPr>
            <w:r>
              <w:rPr>
                <w:b/>
                <w:bCs/>
              </w:rPr>
              <w:t xml:space="preserve">一、医护端移动应用（APP）</w:t>
            </w:r>
            <w:r>
              <w:rPr>
                <w:b/>
                <w:bCs/>
              </w:rPr>
            </w:r>
            <w:r/>
          </w:p>
        </w:tc>
      </w:tr>
      <w:tr>
        <w:trPr>
          <w:trHeight w:val="600"/>
        </w:trPr>
        <w:tc>
          <w:tcPr>
            <w:tcBorders>
              <w:top w:val="single" w:color="000000" w:sz="4" w:space="0"/>
              <w:left w:val="single" w:color="000000" w:sz="8" w:space="0"/>
              <w:bottom w:val="single" w:color="000000" w:sz="4" w:space="0"/>
              <w:right w:val="single" w:color="000000" w:sz="4" w:space="0"/>
            </w:tcBorders>
            <w:tcW w:w="1531" w:type="dxa"/>
            <w:vAlign w:val="center"/>
            <w:textDirection w:val="lrTb"/>
            <w:noWrap w:val="false"/>
          </w:tcPr>
          <w:p>
            <w:pPr>
              <w:pStyle w:val="996"/>
              <w:jc w:val="center"/>
              <w:spacing w:line="320" w:lineRule="exact"/>
              <w:rPr>
                <w:b/>
                <w:bCs/>
              </w:rPr>
            </w:pPr>
            <w:r>
              <w:rPr>
                <w:b/>
                <w:bCs/>
              </w:rPr>
              <w:t xml:space="preserve">一级模块</w:t>
            </w:r>
            <w:r>
              <w:rPr>
                <w:b/>
                <w:bCs/>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tcPr>
          <w:p>
            <w:pPr>
              <w:pStyle w:val="996"/>
              <w:jc w:val="center"/>
              <w:spacing w:line="320" w:lineRule="exact"/>
              <w:rPr>
                <w:b/>
                <w:bCs/>
              </w:rPr>
            </w:pPr>
            <w:r>
              <w:rPr>
                <w:b/>
                <w:bCs/>
              </w:rPr>
              <w:t xml:space="preserve">二级模块</w:t>
            </w:r>
            <w:r>
              <w:rPr>
                <w:b/>
                <w:bCs/>
              </w:r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b/>
                <w:bCs/>
              </w:rPr>
            </w:pPr>
            <w:r>
              <w:rPr>
                <w:b/>
                <w:bCs/>
              </w:rPr>
              <w:t xml:space="preserve">功能参数</w:t>
            </w:r>
            <w:r>
              <w:rPr>
                <w:b/>
                <w:bCs/>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pStyle w:val="996"/>
              <w:jc w:val="center"/>
              <w:spacing w:line="320" w:lineRule="exact"/>
            </w:pPr>
            <w:r>
              <w:t xml:space="preserve">消息</w:t>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消息提醒</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支持“会诊审批通知、会议通知”等消息提醒医生</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支持医生点击消息查看详情，并跳转关联相关业务操作</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pStyle w:val="996"/>
              <w:jc w:val="center"/>
              <w:spacing w:line="320" w:lineRule="exact"/>
            </w:pPr>
            <w:r>
              <w:t xml:space="preserve">工作台-远程会诊</w:t>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首页</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rPr>
                <w:rFonts w:hint="eastAsia"/>
              </w:rPr>
              <w:t xml:space="preserve">★</w:t>
            </w:r>
            <w:r>
              <w:t xml:space="preserve">支持医生查看待审批会诊</w:t>
            </w:r>
            <w:r>
              <w:rPr>
                <w:rFonts w:hint="eastAsia"/>
                <w:lang w:eastAsia="zh-CN"/>
              </w:rPr>
              <w:t xml:space="preserve">，</w:t>
            </w:r>
            <w:r>
              <w:t xml:space="preserve">并对会诊进行审批处理</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支持医生查看我申请的会诊及会诊的审批进度等数据</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支持按日期查看会诊安排</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会议</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支持查看已通知的会议及已结束的会议列表</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支持根据会诊类型、会诊组、我的角色、时间筛选等条件对会议进行筛选展示</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支持查看会诊详情内容，包括申请信息、患者信息、会诊科室与专家</w:t>
            </w:r>
            <w:r>
              <w:rPr>
                <w:rFonts w:hint="eastAsia"/>
              </w:rPr>
              <w:t xml:space="preserve">、</w:t>
            </w:r>
            <w:r>
              <w:t xml:space="preserve">设置组长和主评等</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支持对会议进行操作，包括开始会议、签到、取消、结束、通知等</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支持在会议中自动录屏存为视频文件</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支持组长填写结论时截选各个专家的意见</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新建</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支持新建会诊申请</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支持选择不同科室的多名会诊专家</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支持只选择会诊科室，不指定医生</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支持填写期望会诊时间和会诊目的</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患者信息管理</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支持新建会诊患者</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支持对患者的信息进行编辑，补充相关信息，包括基本信息</w:t>
            </w:r>
            <w:r>
              <w:rPr>
                <w:rFonts w:hint="eastAsia"/>
                <w:lang w:eastAsia="zh-CN"/>
              </w:rPr>
              <w:t xml:space="preserve">、</w:t>
            </w:r>
            <w:r>
              <w:t xml:space="preserve">病情</w:t>
            </w:r>
            <w:r>
              <w:rPr>
                <w:rFonts w:hint="eastAsia"/>
                <w:lang w:eastAsia="zh-CN"/>
              </w:rPr>
              <w:t xml:space="preserve">、</w:t>
            </w:r>
            <w:r>
              <w:t xml:space="preserve">病史和既往史等</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支持填写并上传补充患者外院病历资料（照片或PDF）：院外病历资料、检查报告、检验报告等</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支持在会议开始前审核或者修改病人信息</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病例</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支持查看候诊患者、已就诊患者及已移出患者列表</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支持查看患者的详细数据，如基本信息、初步诊断、会议详情等</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审批</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支持查看待审批会诊</w:t>
            </w:r>
            <w:r>
              <w:rPr>
                <w:rFonts w:hint="eastAsia"/>
                <w:lang w:eastAsia="zh-CN"/>
              </w:rPr>
              <w:t xml:space="preserve">，</w:t>
            </w:r>
            <w:r>
              <w:t xml:space="preserve">并对会诊进行审批处理</w:t>
            </w:r>
            <w:r>
              <w:rPr>
                <w:rFonts w:hint="eastAsia"/>
                <w:lang w:eastAsia="zh-CN"/>
              </w:rPr>
              <w:t xml:space="preserve">。</w:t>
            </w:r>
            <w:r>
              <w:rPr>
                <w:rFonts w:hint="eastAsia" w:eastAsia="宋体"/>
                <w:lang w:eastAsia="zh-CN"/>
              </w:rPr>
            </w:r>
            <w:r/>
          </w:p>
        </w:tc>
      </w:tr>
      <w:tr>
        <w:trPr>
          <w:trHeight w:val="605"/>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支持选择会诊类型</w:t>
            </w:r>
            <w:r>
              <w:rPr>
                <w:rFonts w:hint="eastAsia"/>
                <w:lang w:val="en-US" w:eastAsia="zh-CN"/>
              </w:rPr>
              <w:t xml:space="preserve">，</w:t>
            </w:r>
            <w:r>
              <w:t xml:space="preserve">安排会诊时间和会诊专家</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支持查看我申请的会诊及我协助的会诊等数据</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支持查看患者基础信息</w:t>
            </w:r>
            <w:r>
              <w:rPr>
                <w:rFonts w:hint="eastAsia"/>
                <w:lang w:eastAsia="zh-CN"/>
              </w:rPr>
              <w:t xml:space="preserve">。</w:t>
            </w:r>
            <w:r>
              <w:rPr>
                <w:rFonts w:hint="eastAsia" w:eastAsia="宋体"/>
                <w:lang w:eastAsia="zh-CN"/>
              </w:rPr>
            </w:r>
            <w:r/>
          </w:p>
        </w:tc>
      </w:tr>
      <w:tr>
        <w:trPr>
          <w:trHeight w:val="600"/>
        </w:trPr>
        <w:tc>
          <w:tcPr>
            <w:gridSpan w:val="3"/>
            <w:tcBorders>
              <w:top w:val="single" w:color="000000" w:sz="4" w:space="0"/>
              <w:left w:val="single" w:color="000000" w:sz="8" w:space="0"/>
              <w:bottom w:val="single" w:color="000000" w:sz="4" w:space="0"/>
              <w:right w:val="single" w:color="000000" w:sz="4" w:space="0"/>
            </w:tcBorders>
            <w:tcW w:w="9962" w:type="dxa"/>
            <w:vAlign w:val="center"/>
            <w:textDirection w:val="lrTb"/>
            <w:noWrap w:val="false"/>
          </w:tcPr>
          <w:p>
            <w:pPr>
              <w:pStyle w:val="996"/>
              <w:jc w:val="center"/>
              <w:spacing w:line="320" w:lineRule="exact"/>
              <w:rPr>
                <w:b/>
                <w:bCs/>
              </w:rPr>
            </w:pPr>
            <w:r>
              <w:rPr>
                <w:b/>
                <w:bCs/>
              </w:rPr>
              <w:t xml:space="preserve">二、患者端移动应用（</w:t>
            </w:r>
            <w:r>
              <w:rPr>
                <w:rFonts w:hint="eastAsia"/>
                <w:b/>
                <w:bCs/>
              </w:rPr>
              <w:t xml:space="preserve">微信</w:t>
            </w:r>
            <w:r>
              <w:rPr>
                <w:b/>
                <w:bCs/>
              </w:rPr>
              <w:t xml:space="preserve">小程序）</w:t>
            </w:r>
            <w:r>
              <w:rPr>
                <w:b/>
                <w:bCs/>
              </w:rPr>
            </w:r>
            <w:r/>
          </w:p>
        </w:tc>
      </w:tr>
      <w:tr>
        <w:trPr>
          <w:trHeight w:val="600"/>
        </w:trPr>
        <w:tc>
          <w:tcPr>
            <w:tcBorders>
              <w:top w:val="single" w:color="000000" w:sz="4" w:space="0"/>
              <w:left w:val="single" w:color="000000" w:sz="8" w:space="0"/>
              <w:bottom w:val="single" w:color="000000" w:sz="4" w:space="0"/>
              <w:right w:val="single" w:color="000000" w:sz="4" w:space="0"/>
            </w:tcBorders>
            <w:tcW w:w="1531" w:type="dxa"/>
            <w:vAlign w:val="center"/>
            <w:textDirection w:val="lrTb"/>
            <w:noWrap w:val="false"/>
          </w:tcPr>
          <w:p>
            <w:pPr>
              <w:pStyle w:val="996"/>
              <w:jc w:val="center"/>
              <w:spacing w:line="320" w:lineRule="exact"/>
              <w:rPr>
                <w:b/>
                <w:bCs/>
              </w:rPr>
            </w:pPr>
            <w:r>
              <w:rPr>
                <w:b/>
                <w:bCs/>
              </w:rPr>
              <w:t xml:space="preserve">一级模块</w:t>
            </w:r>
            <w:r>
              <w:rPr>
                <w:b/>
                <w:bCs/>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tcPr>
          <w:p>
            <w:pPr>
              <w:pStyle w:val="996"/>
              <w:jc w:val="center"/>
              <w:spacing w:line="320" w:lineRule="exact"/>
              <w:rPr>
                <w:b/>
                <w:bCs/>
              </w:rPr>
            </w:pPr>
            <w:r>
              <w:rPr>
                <w:b/>
                <w:bCs/>
              </w:rPr>
              <w:t xml:space="preserve">二级模块</w:t>
            </w:r>
            <w:r>
              <w:rPr>
                <w:b/>
                <w:bCs/>
              </w:r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b/>
                <w:bCs/>
              </w:rPr>
            </w:pPr>
            <w:r>
              <w:rPr>
                <w:b/>
                <w:bCs/>
              </w:rPr>
              <w:t xml:space="preserve">功能参数</w:t>
            </w:r>
            <w:r>
              <w:rPr>
                <w:b/>
                <w:bCs/>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996"/>
              <w:jc w:val="center"/>
              <w:spacing w:line="320" w:lineRule="exact"/>
            </w:pPr>
            <w:r>
              <w:t xml:space="preserve">消息</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消息提醒</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rPr>
                <w:rFonts w:hint="eastAsia"/>
              </w:rPr>
              <w:t xml:space="preserve">★</w:t>
            </w:r>
            <w:r>
              <w:t xml:space="preserve">支持会诊通知、账单通知、参会通知等信息提醒</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996"/>
              <w:jc w:val="center"/>
              <w:spacing w:line="320" w:lineRule="exact"/>
            </w:pPr>
            <w:r>
              <w:rPr>
                <w:rFonts w:hint="eastAsia"/>
              </w:rPr>
              <w:t xml:space="preserve">会议</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视频会议</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支持通过推送的通知，点击链接输入账号密码后，一键加入视频会议</w:t>
            </w:r>
            <w:r>
              <w:rPr>
                <w:rFonts w:hint="eastAsia"/>
                <w:lang w:eastAsia="zh-CN"/>
              </w:rPr>
              <w:t xml:space="preserve">。</w:t>
            </w:r>
            <w:r>
              <w:rPr>
                <w:rFonts w:hint="eastAsia" w:eastAsia="宋体"/>
                <w:lang w:eastAsia="zh-CN"/>
              </w:rPr>
            </w:r>
            <w:r/>
          </w:p>
        </w:tc>
      </w:tr>
      <w:tr>
        <w:trPr>
          <w:trHeight w:val="600"/>
        </w:trPr>
        <w:tc>
          <w:tcPr>
            <w:gridSpan w:val="3"/>
            <w:tcBorders>
              <w:top w:val="single" w:color="000000" w:sz="4" w:space="0"/>
              <w:left w:val="single" w:color="000000" w:sz="8" w:space="0"/>
              <w:bottom w:val="single" w:color="000000" w:sz="4" w:space="0"/>
              <w:right w:val="single" w:color="000000" w:sz="4" w:space="0"/>
            </w:tcBorders>
            <w:tcW w:w="9962" w:type="dxa"/>
            <w:vAlign w:val="center"/>
            <w:textDirection w:val="lrTb"/>
            <w:noWrap w:val="false"/>
          </w:tcPr>
          <w:p>
            <w:pPr>
              <w:pStyle w:val="996"/>
              <w:jc w:val="center"/>
              <w:spacing w:line="320" w:lineRule="exact"/>
              <w:rPr>
                <w:b/>
                <w:bCs/>
              </w:rPr>
            </w:pPr>
            <w:r>
              <w:rPr>
                <w:b/>
                <w:bCs/>
              </w:rPr>
              <w:t xml:space="preserve">三、管理后台（web端）</w:t>
            </w:r>
            <w:r>
              <w:rPr>
                <w:b/>
                <w:bCs/>
              </w:rPr>
            </w:r>
            <w:r/>
          </w:p>
        </w:tc>
      </w:tr>
      <w:tr>
        <w:trPr>
          <w:trHeight w:val="600"/>
        </w:trPr>
        <w:tc>
          <w:tcPr>
            <w:tcBorders>
              <w:top w:val="single" w:color="000000" w:sz="4" w:space="0"/>
              <w:left w:val="single" w:color="000000" w:sz="8" w:space="0"/>
              <w:bottom w:val="single" w:color="000000" w:sz="4" w:space="0"/>
              <w:right w:val="single" w:color="000000" w:sz="4" w:space="0"/>
            </w:tcBorders>
            <w:tcW w:w="1531" w:type="dxa"/>
            <w:vAlign w:val="center"/>
            <w:textDirection w:val="lrTb"/>
            <w:noWrap w:val="false"/>
          </w:tcPr>
          <w:p>
            <w:pPr>
              <w:pStyle w:val="996"/>
              <w:jc w:val="center"/>
              <w:spacing w:line="320" w:lineRule="exact"/>
              <w:rPr>
                <w:b/>
                <w:bCs/>
              </w:rPr>
            </w:pPr>
            <w:r>
              <w:rPr>
                <w:b/>
                <w:bCs/>
              </w:rPr>
              <w:t xml:space="preserve">一级模块</w:t>
            </w:r>
            <w:r>
              <w:rPr>
                <w:b/>
                <w:bCs/>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tcPr>
          <w:p>
            <w:pPr>
              <w:pStyle w:val="996"/>
              <w:jc w:val="center"/>
              <w:spacing w:line="320" w:lineRule="exact"/>
              <w:rPr>
                <w:b/>
                <w:bCs/>
              </w:rPr>
            </w:pPr>
            <w:r>
              <w:rPr>
                <w:b/>
                <w:bCs/>
              </w:rPr>
              <w:t xml:space="preserve">二级模块</w:t>
            </w:r>
            <w:r>
              <w:rPr>
                <w:b/>
                <w:bCs/>
              </w:r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b/>
                <w:bCs/>
              </w:rPr>
            </w:pPr>
            <w:r>
              <w:rPr>
                <w:b/>
                <w:bCs/>
              </w:rPr>
              <w:t xml:space="preserve">功能参数</w:t>
            </w:r>
            <w:r>
              <w:rPr>
                <w:b/>
                <w:bCs/>
              </w:rPr>
            </w:r>
            <w:r/>
          </w:p>
        </w:tc>
      </w:tr>
      <w:tr>
        <w:trPr>
          <w:trHeight w:val="600"/>
        </w:trPr>
        <w:tc>
          <w:tcPr>
            <w:tcBorders>
              <w:top w:val="single" w:color="000000" w:sz="4" w:space="0"/>
              <w:left w:val="single" w:color="000000" w:sz="4" w:space="0"/>
              <w:bottom w:val="none" w:color="000000" w:sz="4" w:space="0"/>
              <w:right w:val="single" w:color="000000" w:sz="4" w:space="0"/>
            </w:tcBorders>
            <w:tcW w:w="1531" w:type="dxa"/>
            <w:vAlign w:val="center"/>
            <w:vMerge w:val="restart"/>
            <w:textDirection w:val="lrTb"/>
            <w:noWrap w:val="false"/>
          </w:tcPr>
          <w:p>
            <w:pPr>
              <w:pStyle w:val="996"/>
              <w:jc w:val="center"/>
              <w:spacing w:line="320" w:lineRule="exact"/>
            </w:pPr>
            <w:r>
              <w:t xml:space="preserve">系统登录</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登录/退出</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支持手机号+密码登录</w:t>
            </w:r>
            <w:r>
              <w:rPr>
                <w:rFonts w:hint="eastAsia"/>
                <w:lang w:eastAsia="zh-CN"/>
              </w:rPr>
              <w:t xml:space="preserve">。</w:t>
            </w:r>
            <w:r/>
          </w:p>
        </w:tc>
      </w:tr>
      <w:tr>
        <w:trPr>
          <w:trHeight w:val="600"/>
        </w:trPr>
        <w:tc>
          <w:tcPr>
            <w:tcBorders>
              <w:top w:val="single" w:color="000000" w:sz="4" w:space="0"/>
              <w:left w:val="single" w:color="000000" w:sz="4" w:space="0"/>
              <w:bottom w:val="non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登录日志</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支持查看会诊医生的登录日志</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pStyle w:val="996"/>
              <w:jc w:val="center"/>
              <w:spacing w:line="320" w:lineRule="exact"/>
            </w:pPr>
            <w:r>
              <w:t xml:space="preserve">首页</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日历</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rPr>
                <w:rFonts w:hint="eastAsia"/>
              </w:rPr>
              <w:t xml:space="preserve">★</w:t>
            </w:r>
            <w:r>
              <w:t xml:space="preserve">根据日历展示对应日期的远程会诊会议</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待办事项</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可查看待审批的会诊，并对会诊进行审批处理</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可查看已通知的会议，并对会议进行操作</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pStyle w:val="996"/>
              <w:jc w:val="center"/>
              <w:spacing w:line="320" w:lineRule="exact"/>
            </w:pPr>
            <w:r>
              <w:t xml:space="preserve">会议</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草稿</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支持查看草稿</w:t>
            </w:r>
            <w:r>
              <w:rPr>
                <w:rFonts w:hint="eastAsia"/>
                <w:lang w:eastAsia="zh-CN"/>
              </w:rPr>
              <w:t xml:space="preserve">（</w:t>
            </w:r>
            <w:r>
              <w:rPr>
                <w:rFonts w:hint="eastAsia"/>
                <w:lang w:val="en-US" w:eastAsia="zh-CN"/>
              </w:rPr>
              <w:t xml:space="preserve">待创建的</w:t>
            </w:r>
            <w:r>
              <w:rPr>
                <w:rFonts w:hint="eastAsia"/>
                <w:lang w:eastAsia="zh-CN"/>
              </w:rPr>
              <w:t xml:space="preserve">）</w:t>
            </w:r>
            <w:r>
              <w:t xml:space="preserve">会议、并进行编辑等处理</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已通知</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可查看已通知的会议及详细数据，可对会议进行处理</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支持根据会诊类型、会诊组、时间筛选等条件对会议进行筛选展示</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支持查看会诊详情内容，包括申请信息、患者信息、会诊科室与专家等</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支持对会议进行操作，包括开始会议、签到、取消、结束、通知等</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支持在会议中自动录屏存为视频文件</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支持组长填写结论时</w:t>
            </w:r>
            <w:r>
              <w:rPr>
                <w:rFonts w:hint="eastAsia"/>
                <w:lang w:val="en-US" w:eastAsia="zh-CN"/>
              </w:rPr>
              <w:t xml:space="preserve">截选</w:t>
            </w:r>
            <w:r>
              <w:t xml:space="preserve">各个专家的意见</w:t>
            </w:r>
            <w:r>
              <w:rPr>
                <w:rFonts w:hint="eastAsia"/>
              </w:rPr>
              <w:t xml:space="preserve">；</w:t>
            </w:r>
            <w:r>
              <w:rPr>
                <w:rFonts w:hint="eastAsia"/>
                <w:lang w:bidi="ar"/>
              </w:rPr>
              <w:t xml:space="preserve">支持从预设模板中导入并填写会诊内容，提交后支持一键打印会诊报告</w:t>
            </w:r>
            <w:r>
              <w:rPr>
                <w:rFonts w:hint="eastAsia"/>
                <w:lang w:eastAsia="zh-CN" w:bidi="ar"/>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已结束</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可查看已结束的会议及详细数据</w:t>
            </w:r>
            <w:r>
              <w:rPr>
                <w:rFonts w:hint="eastAsia"/>
                <w:lang w:eastAsia="zh-CN"/>
              </w:rPr>
              <w:t xml:space="preserve">。</w:t>
            </w:r>
            <w:r>
              <w:rPr>
                <w:rFonts w:hint="eastAsia" w:eastAsia="宋体"/>
                <w:lang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pStyle w:val="996"/>
              <w:jc w:val="center"/>
              <w:spacing w:line="320" w:lineRule="exact"/>
            </w:pPr>
            <w:r>
              <w:t xml:space="preserve">病例</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候诊病例</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可查看候诊中的病例，包括姓名、会诊类型、会诊组、编号、年龄、会诊目的等，还可以查看会诊的详细数据</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已就诊</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可查看已就诊的病例，包括姓名、会诊类型、会诊组、编号、年龄、会诊目的等，还可以查看会诊的详细数据</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已移出</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可查看移出的病例，包括姓名、会诊类型、会诊组、编号、年龄、会诊目的、移出原因等，还可以查看会诊审批的详细数据</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pStyle w:val="996"/>
              <w:jc w:val="center"/>
              <w:spacing w:line="320" w:lineRule="exact"/>
            </w:pPr>
            <w:r>
              <w:t xml:space="preserve">审批</w:t>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新增会诊申请</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rPr>
                <w:rFonts w:hint="eastAsia"/>
              </w:rPr>
              <w:t xml:space="preserve">★</w:t>
            </w:r>
            <w:r>
              <w:t xml:space="preserve">支持新建会诊申请</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支持选择我的患者或者科室患者</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支持选择不同科室的多名会诊专家</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支持只选择会诊科室，不指定医生</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支持填写期望会诊时间和会诊目的</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支持填写并上传补充病历资料</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草稿</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支持查看医生的会诊草稿，并支持继续编辑</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我提交的</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支持查看医生提交的会诊申请，并支持查看会诊申请的进度等详细数据</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我审批的</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支持查看待审批会诊</w:t>
            </w:r>
            <w:r>
              <w:rPr>
                <w:rFonts w:hint="eastAsia"/>
                <w:lang w:eastAsia="zh-CN"/>
              </w:rPr>
              <w:t xml:space="preserve">，</w:t>
            </w:r>
            <w:r>
              <w:t xml:space="preserve">并对会诊进行审批处理</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支持安排会诊时间和会诊专家，并设置组长和主评</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支持查看我申请的会诊及我协助的会诊等数据</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pStyle w:val="996"/>
              <w:jc w:val="center"/>
              <w:spacing w:line="320" w:lineRule="exact"/>
            </w:pPr>
            <w:r>
              <w:t xml:space="preserve">会诊室</w:t>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会诊室</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可查看已创建好的会诊室，包括会诊室名称、地址、备注等信息，并可对会诊室进行编辑、删除等处理</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可新建会诊室，新建时填写名称、地址、备注等</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pStyle w:val="996"/>
              <w:jc w:val="center"/>
              <w:spacing w:line="320" w:lineRule="exact"/>
            </w:pPr>
            <w:r>
              <w:t xml:space="preserve">用户</w:t>
            </w:r>
            <w:r/>
          </w:p>
        </w:tc>
        <w:tc>
          <w:tcPr>
            <w:tcBorders>
              <w:top w:val="single" w:color="000000" w:sz="4" w:space="0"/>
              <w:left w:val="single" w:color="000000" w:sz="4" w:space="0"/>
              <w:bottom w:val="single" w:color="000000" w:sz="4" w:space="0"/>
              <w:right w:val="single" w:color="000000" w:sz="4" w:space="0"/>
            </w:tcBorders>
            <w:tcW w:w="1900" w:type="dxa"/>
            <w:vAlign w:val="center"/>
            <w:vMerge w:val="restart"/>
            <w:textDirection w:val="lrTb"/>
            <w:noWrap w:val="false"/>
          </w:tcPr>
          <w:p>
            <w:pPr>
              <w:pStyle w:val="996"/>
              <w:jc w:val="center"/>
              <w:spacing w:line="320" w:lineRule="exact"/>
            </w:pPr>
            <w:r>
              <w:t xml:space="preserve">用户</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可查看系统内所有用户列表，包括工号、名称、科室、角色及手机号码；并可编辑、删除该用户</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1900" w:type="dxa"/>
            <w:vAlign w:val="center"/>
            <w:vMerge w:val="continue"/>
            <w:textDirection w:val="lrTb"/>
            <w:noWrap w:val="false"/>
          </w:tcPr>
          <w:p>
            <w:pPr>
              <w:pStyle w:val="996"/>
              <w:jc w:val="center"/>
              <w:spacing w:line="320" w:lineRule="exact"/>
            </w:p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可新增用户，新增时需要选择用户并分配角色</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996"/>
              <w:jc w:val="center"/>
              <w:spacing w:line="320" w:lineRule="exact"/>
            </w:pPr>
            <w:r>
              <w:t xml:space="preserve">角色</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角色</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pPr>
            <w:r>
              <w:t xml:space="preserve">可查看角色名称、创建时间、权限分配等</w:t>
            </w:r>
            <w:r>
              <w:rPr>
                <w:rFonts w:hint="eastAsia"/>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996"/>
              <w:jc w:val="center"/>
              <w:spacing w:line="320" w:lineRule="exact"/>
            </w:pPr>
            <w:r>
              <w:t xml:space="preserve">会诊组</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996"/>
              <w:jc w:val="center"/>
              <w:spacing w:line="320" w:lineRule="exact"/>
            </w:pPr>
            <w:r>
              <w:t xml:space="preserve">会诊组</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可新增会诊组，新增时需要填写会诊类型、科室、名称及简介等</w:t>
            </w:r>
            <w:r>
              <w:rPr>
                <w:rFonts w:hint="eastAsia"/>
                <w:lang w:eastAsia="zh-CN"/>
              </w:rPr>
              <w:t xml:space="preserve">。</w:t>
            </w:r>
            <w:r>
              <w:rPr>
                <w:rFonts w:hint="eastAsia" w:eastAsia="宋体"/>
                <w:lang w:eastAsia="zh-CN"/>
              </w:rPr>
            </w:r>
            <w:r/>
          </w:p>
        </w:tc>
      </w:tr>
      <w:tr>
        <w:trPr>
          <w:trHeight w:val="915"/>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996"/>
              <w:jc w:val="center"/>
              <w:spacing w:line="320" w:lineRule="exact"/>
            </w:pPr>
            <w:r>
              <w:t xml:space="preserve">工作量统计</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tcPr>
          <w:p>
            <w:pPr>
              <w:pStyle w:val="996"/>
              <w:jc w:val="center"/>
              <w:spacing w:line="320" w:lineRule="exact"/>
            </w:pPr>
            <w:r>
              <w:t xml:space="preserve">数据统计</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996"/>
              <w:jc w:val="center"/>
              <w:spacing w:line="320" w:lineRule="exact"/>
              <w:rPr>
                <w:rFonts w:hint="eastAsia" w:eastAsia="宋体"/>
                <w:lang w:eastAsia="zh-CN"/>
              </w:rPr>
            </w:pPr>
            <w:r>
              <w:t xml:space="preserve">总会诊量统计，会诊病例个数统计</w:t>
            </w:r>
            <w:r>
              <w:rPr>
                <w:rFonts w:hint="eastAsia"/>
              </w:rPr>
              <w:t xml:space="preserve">等数据指标</w:t>
            </w:r>
            <w:r>
              <w:rPr>
                <w:rFonts w:hint="eastAsia"/>
                <w:lang w:eastAsia="zh-CN"/>
              </w:rPr>
              <w:t xml:space="preserve">。</w:t>
            </w:r>
            <w:r>
              <w:rPr>
                <w:rFonts w:hint="eastAsia" w:eastAsia="宋体"/>
                <w:lang w:eastAsia="zh-CN"/>
              </w:rPr>
            </w:r>
            <w:r/>
          </w:p>
        </w:tc>
      </w:tr>
      <w:tr>
        <w:trPr>
          <w:trHeight w:val="600"/>
        </w:trPr>
        <w:tc>
          <w:tcPr>
            <w:gridSpan w:val="3"/>
            <w:tcBorders>
              <w:top w:val="single" w:color="000000" w:sz="4" w:space="0"/>
              <w:left w:val="single" w:color="000000" w:sz="4" w:space="0"/>
              <w:bottom w:val="single" w:color="000000" w:sz="4" w:space="0"/>
              <w:right w:val="single" w:color="000000" w:sz="4" w:space="0"/>
            </w:tcBorders>
            <w:tcW w:w="9962" w:type="dxa"/>
            <w:vAlign w:val="center"/>
            <w:textDirection w:val="lrTb"/>
            <w:noWrap w:val="false"/>
          </w:tcPr>
          <w:p>
            <w:pPr>
              <w:pStyle w:val="996"/>
              <w:jc w:val="center"/>
              <w:spacing w:line="320" w:lineRule="exact"/>
              <w:rPr>
                <w:b/>
                <w:bCs/>
              </w:rPr>
            </w:pPr>
            <w:r>
              <w:rPr>
                <w:b/>
                <w:bCs/>
              </w:rPr>
              <w:t xml:space="preserve">四、系统对接</w:t>
            </w:r>
            <w:r>
              <w:rPr>
                <w:b/>
                <w:bCs/>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996"/>
              <w:jc w:val="center"/>
              <w:spacing w:line="320" w:lineRule="exact"/>
              <w:rPr>
                <w:b/>
                <w:bCs/>
              </w:rPr>
            </w:pPr>
            <w:r>
              <w:rPr>
                <w:b/>
                <w:bCs/>
              </w:rPr>
              <w:t xml:space="preserve">一级模块</w:t>
            </w:r>
            <w:r>
              <w:rPr>
                <w:b/>
                <w:bCs/>
              </w:rPr>
            </w:r>
            <w:r/>
          </w:p>
        </w:tc>
        <w:tc>
          <w:tcPr>
            <w:gridSpan w:val="2"/>
            <w:tcBorders>
              <w:top w:val="single" w:color="000000" w:sz="4" w:space="0"/>
              <w:left w:val="single" w:color="000000" w:sz="4" w:space="0"/>
              <w:bottom w:val="single" w:color="000000" w:sz="4" w:space="0"/>
              <w:right w:val="single" w:color="000000" w:sz="4" w:space="0"/>
            </w:tcBorders>
            <w:tcW w:w="8431" w:type="dxa"/>
            <w:vAlign w:val="center"/>
            <w:textDirection w:val="lrTb"/>
            <w:noWrap/>
          </w:tcPr>
          <w:p>
            <w:pPr>
              <w:pStyle w:val="996"/>
              <w:jc w:val="center"/>
              <w:spacing w:line="320" w:lineRule="exact"/>
              <w:rPr>
                <w:b/>
                <w:bCs/>
              </w:rPr>
            </w:pPr>
            <w:r>
              <w:rPr>
                <w:b/>
                <w:bCs/>
              </w:rPr>
              <w:t xml:space="preserve">功能参数</w:t>
            </w:r>
            <w:r>
              <w:rPr>
                <w:b/>
                <w:bCs/>
              </w:rPr>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996"/>
              <w:jc w:val="center"/>
              <w:spacing w:line="320" w:lineRule="exact"/>
            </w:pPr>
            <w:r>
              <w:rPr>
                <w:rFonts w:hint="eastAsia"/>
              </w:rPr>
              <w:t xml:space="preserve">院内数据获取</w:t>
            </w:r>
            <w:r/>
          </w:p>
        </w:tc>
        <w:tc>
          <w:tcPr>
            <w:gridSpan w:val="2"/>
            <w:tcBorders>
              <w:top w:val="single" w:color="000000" w:sz="4" w:space="0"/>
              <w:left w:val="single" w:color="000000" w:sz="4" w:space="0"/>
              <w:bottom w:val="single" w:color="000000" w:sz="4" w:space="0"/>
              <w:right w:val="single" w:color="000000" w:sz="4" w:space="0"/>
            </w:tcBorders>
            <w:tcW w:w="8431" w:type="dxa"/>
            <w:vAlign w:val="center"/>
            <w:textDirection w:val="lrTb"/>
            <w:noWrap/>
          </w:tcPr>
          <w:p>
            <w:pPr>
              <w:pStyle w:val="996"/>
              <w:jc w:val="center"/>
              <w:spacing w:line="320" w:lineRule="exact"/>
            </w:pPr>
            <w:r>
              <w:t xml:space="preserve">对接院内移动患者360视图，支持在会诊发起及会诊过程中，实时查阅患者在本院的完整就诊资料，</w:t>
            </w:r>
            <w:r>
              <w:rPr>
                <w:rFonts w:hint="eastAsia"/>
              </w:rPr>
              <w:t xml:space="preserve">如</w:t>
            </w:r>
            <w:r>
              <w:t xml:space="preserve">病历记录、医嘱信息、诊断结果等。</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996"/>
              <w:jc w:val="center"/>
              <w:spacing w:line="320" w:lineRule="exact"/>
            </w:pPr>
            <w:r>
              <w:rPr>
                <w:rFonts w:hint="eastAsia"/>
              </w:rPr>
              <w:t xml:space="preserve">医生端APP</w:t>
            </w:r>
            <w:r/>
          </w:p>
        </w:tc>
        <w:tc>
          <w:tcPr>
            <w:gridSpan w:val="2"/>
            <w:tcBorders>
              <w:top w:val="single" w:color="000000" w:sz="4" w:space="0"/>
              <w:left w:val="single" w:color="000000" w:sz="4" w:space="0"/>
              <w:bottom w:val="single" w:color="000000" w:sz="4" w:space="0"/>
              <w:right w:val="single" w:color="000000" w:sz="4" w:space="0"/>
            </w:tcBorders>
            <w:tcW w:w="8431" w:type="dxa"/>
            <w:vAlign w:val="center"/>
            <w:textDirection w:val="lrTb"/>
            <w:noWrap/>
          </w:tcPr>
          <w:p>
            <w:pPr>
              <w:pStyle w:val="996"/>
              <w:jc w:val="center"/>
              <w:spacing w:line="320" w:lineRule="exact"/>
            </w:pPr>
            <w:r>
              <w:t xml:space="preserve">以统一鉴权、单点登录方式，集成至我院现有互联网医院医生端APP中，实现医生移动办公的一体化入口。</w:t>
            </w:r>
            <w:r/>
          </w:p>
        </w:tc>
      </w:tr>
      <w:tr>
        <w:trPr>
          <w:trHeight w:val="600"/>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996"/>
              <w:jc w:val="center"/>
              <w:spacing w:line="320" w:lineRule="exact"/>
            </w:pPr>
            <w:r>
              <w:rPr>
                <w:rFonts w:hint="eastAsia"/>
              </w:rPr>
              <w:t xml:space="preserve">患者端</w:t>
            </w:r>
            <w:r/>
          </w:p>
        </w:tc>
        <w:tc>
          <w:tcPr>
            <w:gridSpan w:val="2"/>
            <w:tcBorders>
              <w:top w:val="single" w:color="000000" w:sz="4" w:space="0"/>
              <w:left w:val="single" w:color="000000" w:sz="4" w:space="0"/>
              <w:bottom w:val="single" w:color="000000" w:sz="4" w:space="0"/>
              <w:right w:val="single" w:color="000000" w:sz="4" w:space="0"/>
            </w:tcBorders>
            <w:tcW w:w="8431" w:type="dxa"/>
            <w:vAlign w:val="center"/>
            <w:textDirection w:val="lrTb"/>
            <w:noWrap/>
          </w:tcPr>
          <w:p>
            <w:pPr>
              <w:pStyle w:val="996"/>
              <w:jc w:val="center"/>
              <w:spacing w:line="320" w:lineRule="exact"/>
            </w:pPr>
            <w:r>
              <w:t xml:space="preserve">以统一鉴权、单点登录方式，集成至我院患者智慧服务平台微信小程序中，为患者提供便捷、安全的服务体验。</w:t>
            </w:r>
            <w:r/>
          </w:p>
        </w:tc>
      </w:tr>
    </w:tbl>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）本项目报价分为系统开发费用和</w:t>
      </w:r>
      <w:r>
        <w:rPr>
          <w:rFonts w:hint="eastAsia" w:ascii="宋体" w:hAnsi="宋体" w:eastAsia="宋体" w:cs="宋体"/>
          <w:color w:val="000000"/>
          <w:sz w:val="24"/>
          <w:szCs w:val="24"/>
          <w:lang w:val="en-US" w:eastAsia="zh-CN"/>
        </w:rPr>
        <w:t xml:space="preserve">运维</w:t>
      </w:r>
      <w:r>
        <w:rPr>
          <w:rFonts w:hint="eastAsia" w:ascii="宋体" w:hAnsi="宋体" w:eastAsia="宋体" w:cs="宋体"/>
          <w:color w:val="000000"/>
          <w:sz w:val="24"/>
          <w:szCs w:val="24"/>
          <w:lang w:eastAsia="zh-CN"/>
        </w:rPr>
        <w:t xml:space="preserve">费用，其中</w:t>
      </w:r>
      <w:r>
        <w:rPr>
          <w:rFonts w:hint="eastAsia" w:ascii="宋体" w:hAnsi="宋体" w:eastAsia="宋体" w:cs="宋体"/>
          <w:color w:val="000000"/>
          <w:sz w:val="24"/>
          <w:szCs w:val="24"/>
          <w:lang w:val="en-US" w:eastAsia="zh-CN"/>
        </w:rPr>
        <w:t xml:space="preserve">运维</w:t>
      </w:r>
      <w:r>
        <w:rPr>
          <w:rFonts w:hint="eastAsia" w:ascii="宋体" w:hAnsi="宋体" w:eastAsia="宋体" w:cs="宋体"/>
          <w:color w:val="000000"/>
          <w:sz w:val="24"/>
          <w:szCs w:val="24"/>
          <w:lang w:eastAsia="zh-CN"/>
        </w:rPr>
        <w:t xml:space="preserve">费用不超过总报价的10%。</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val="en-US" w:eastAsia="zh-CN"/>
        </w:rPr>
        <w:t xml:space="preserve">磋商文件</w:t>
      </w:r>
      <w:r>
        <w:rPr>
          <w:rFonts w:hint="eastAsia" w:ascii="宋体" w:hAnsi="宋体" w:eastAsia="宋体" w:cs="宋体"/>
          <w:color w:val="000000"/>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ascii="宋体" w:hAnsi="宋体" w:eastAsia="宋体" w:cs="宋体"/>
          <w:color w:val="000000"/>
          <w:sz w:val="24"/>
          <w:szCs w:val="24"/>
          <w:lang w:val="en-US" w:eastAsia="zh-CN"/>
        </w:rPr>
        <w:t xml:space="preserve">（1）</w:t>
      </w:r>
      <w:r>
        <w:rPr>
          <w:rFonts w:hint="eastAsia" w:ascii="宋体" w:hAnsi="宋体" w:eastAsia="宋体" w:cs="Times New Roman"/>
          <w:color w:val="000000"/>
          <w:sz w:val="24"/>
          <w:szCs w:val="24"/>
          <w:lang w:val="en-US" w:eastAsia="zh-CN"/>
        </w:rPr>
        <w:t xml:space="preserve">服务要求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①供应商应对照采购文件要求，书面说明已对采购人的需求做出了实质性的响应，或申明与需求的偏差和例外。</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②如果发生因供应商安全措施不力造成的事故或者其他工作失误，由此所产生的一切责任由供应商承担。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③如因供应商投入人员过少原因，造成无法在承诺工期内完成服务，由此产生的一切责任由供应商承担。</w:t>
      </w:r>
      <w:r>
        <w:rPr>
          <w:rFonts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（2）验收要求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（3）运维要求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供应商应确保本次采购所有项目安全稳定运行，并提供1年运维期（自验收报告签字确认日起，开始进入运维期）。</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运维期内，本合同项目所有技术和服务发生任何非人为故障，由供应商负责系统恢复。</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运维期内，对采购人提出的合理服务要求，供应商必须及时进行电话、邮件及远程网络支持，并在2小时内到场服务，小型故障4小时内恢复，严重故障24小时内恢复，并及时有效提供解决方案。如不到场，采购人有权自行处理，相关费用由供应商负责。</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供应商须提供定期回访服务，对采购人提出的合理优化建议应提供升级服务。</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所有的服务方式均为供应商上门保修，即由供应商派员到系统使用现场进行故障恢复，由此产生的一切费用均由供应商承担。</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（4）人员要求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项目经理：1人，具有信息化项目管理工作经验，项目开发期间须驻场服务，不得兼任其他项目工作。</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（5）知识产权及保密要求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满足采购人需求的、完整的、可最终良好运行的系统。</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提供项目的最终版本部署包及产品永久授权。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（6）建设成果要求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①项目启动阶段：项目实施方案。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②业务需求分析阶段：需求调研方案、需求分析说明书。</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⑥运行维护阶段：系统维护方案、系统维护手册、系统运行维护记录。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（7）信创适配要求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项目涉及的软件、硬件产品满足信创要求。</w:t>
      </w:r>
      <w:r>
        <w:rPr>
          <w:rFonts w:hint="eastAsia" w:ascii="宋体" w:hAnsi="宋体" w:eastAsia="宋体" w:cs="Times New Roman"/>
          <w:color w:val="000000"/>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（8）网络安全等级保护测评要求</w:t>
      </w:r>
      <w:r>
        <w:rPr>
          <w:rFonts w:hint="eastAsia" w:ascii="宋体" w:hAnsi="宋体" w:eastAsia="宋体" w:cs="Times New Roman"/>
          <w:color w:val="000000"/>
          <w:sz w:val="24"/>
          <w:szCs w:val="24"/>
          <w:lang w:val="en-US" w:eastAsia="zh-CN"/>
        </w:rPr>
      </w:r>
      <w:r/>
    </w:p>
    <w:p>
      <w:pPr>
        <w:pStyle w:val="867"/>
        <w:ind w:firstLine="480"/>
        <w:spacing w:line="264"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供应商配合采购人，做好系统通过等保测评相关准备工作。</w:t>
      </w:r>
      <w:r>
        <w:rPr>
          <w:rFonts w:ascii="宋体" w:hAnsi="宋体" w:eastAsia="宋体" w:cs="Times New Roman"/>
          <w:color w:val="000000"/>
          <w:sz w:val="24"/>
          <w:szCs w:val="24"/>
          <w:lang w:val="en-US" w:eastAsia="zh-CN"/>
        </w:rPr>
      </w:r>
      <w:r/>
    </w:p>
    <w:p>
      <w:pPr>
        <w:pStyle w:val="867"/>
        <w:numPr>
          <w:ilvl w:val="0"/>
          <w:numId w:val="0"/>
        </w:numPr>
        <w:ind w:firstLine="48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（9）网络安全和数据安全要求，外包网络安全管理要求</w:t>
      </w:r>
      <w:r>
        <w:rPr>
          <w:rFonts w:hint="eastAsia" w:ascii="宋体" w:hAnsi="宋体" w:eastAsia="宋体" w:cs="Times New Roman"/>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符合网络安全和密码应用要求，符合国家安全可靠应用政策规定。</w:t>
      </w:r>
      <w:r>
        <w:rPr>
          <w:rFonts w:hint="eastAsia" w:ascii="宋体" w:hAnsi="宋体" w:eastAsia="宋体" w:cs="宋体"/>
          <w:bCs/>
          <w:color w:val="000000"/>
          <w:sz w:val="24"/>
          <w:szCs w:val="24"/>
          <w:lang w:val="en-US" w:eastAsia="zh-CN"/>
        </w:rPr>
      </w:r>
      <w:r/>
    </w:p>
    <w:p>
      <w:pPr>
        <w:pStyle w:val="867"/>
        <w:ind w:firstLine="48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（10）培训要求</w:t>
      </w:r>
      <w:r>
        <w:rPr>
          <w:rFonts w:hint="eastAsia" w:ascii="宋体" w:hAnsi="宋体" w:eastAsia="宋体" w:cs="Times New Roman"/>
          <w:color w:val="000000"/>
          <w:sz w:val="24"/>
          <w:szCs w:val="24"/>
          <w:lang w:val="en-US" w:eastAsia="zh-CN"/>
        </w:rPr>
      </w:r>
      <w:r/>
    </w:p>
    <w:p>
      <w:pPr>
        <w:pStyle w:val="867"/>
        <w:ind w:firstLine="48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供应商须为系统使用人员提供不少于两次培训，并达到使用人员可以正常使用的效果。</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ascii="宋体" w:hAnsi="宋体" w:eastAsia="宋体" w:cs="宋体"/>
          <w:color w:val="000000"/>
          <w:sz w:val="24"/>
          <w:szCs w:val="24"/>
          <w:lang w:eastAsia="zh-CN"/>
        </w:rPr>
        <w:t xml:space="preserve">合同履行总周期425天，其中合同签订之日起60天内完成系统开发与验收，系统运维服务期限为365天</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2"/>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7"/>
        <w:rPr>
          <w:rFonts w:hint="eastAsia"/>
          <w:lang w:val="en-US" w:eastAsia="zh-CN"/>
        </w:rPr>
      </w:pPr>
      <w:r>
        <w:rPr>
          <w:rFonts w:hint="eastAsia"/>
          <w:lang w:val="en-US" w:eastAsia="zh-CN"/>
        </w:rPr>
      </w:r>
      <w:r/>
    </w:p>
    <w:p>
      <w:pPr>
        <w:pStyle w:val="938"/>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38"/>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38"/>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38"/>
        <w:rPr>
          <w:rFonts w:hint="eastAsia"/>
          <w:lang w:val="en-US" w:eastAsia="zh-CN"/>
        </w:rPr>
      </w:pPr>
      <w:r>
        <w:rPr>
          <w:rFonts w:hint="eastAsia"/>
          <w:lang w:val="en-US" w:eastAsia="zh-CN"/>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w:t>
      </w:r>
      <w:r>
        <w:rPr>
          <w:rFonts w:hint="eastAsia" w:ascii="宋体" w:hAnsi="宋体" w:eastAsia="宋体" w:cs="宋体"/>
          <w:color w:val="000000"/>
          <w:sz w:val="24"/>
          <w:szCs w:val="24"/>
        </w:rPr>
        <w:t xml:space="preserve">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highlight w:val="yellow"/>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w:t>
      </w:r>
      <w:r>
        <w:rPr>
          <w:rFonts w:hint="eastAsia" w:ascii="宋体" w:hAnsi="宋体"/>
          <w:sz w:val="24"/>
          <w:szCs w:val="24"/>
          <w:highlight w:val="none"/>
          <w:u w:val="none"/>
          <w:lang w:val="en-US" w:eastAsia="zh-CN"/>
        </w:rPr>
        <w:t xml:space="preserve">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残疾人福利单位、监狱企业属于小型、微型企业的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yellow"/>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7"/>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2"/>
                <w:lang w:eastAsia="zh-CN"/>
              </w:rPr>
            </w:pPr>
            <w:r>
              <w:rPr>
                <w:rFonts w:hint="eastAsia" w:ascii="Times New Roman" w:hAnsi="Times New Roman" w:eastAsia="宋体" w:cs="Times New Roman"/>
                <w:color w:val="000000"/>
                <w:lang w:val="en-US" w:eastAsia="zh-CN"/>
              </w:rPr>
              <w:t xml:space="preserve">产品技术参数</w:t>
            </w:r>
            <w:r>
              <w:rPr>
                <w:rFonts w:hint="eastAsia" w:ascii="宋体" w:hAnsi="宋体" w:eastAsia="宋体" w:cs="宋体"/>
                <w:color w:val="000000"/>
                <w:spacing w:val="-2"/>
                <w:lang w:eastAsia="zh-CN"/>
              </w:rPr>
            </w:r>
            <w:r/>
          </w:p>
        </w:tc>
        <w:tc>
          <w:tcPr>
            <w:tcW w:w="6330" w:type="dxa"/>
            <w:vAlign w:val="center"/>
            <w:textDirection w:val="lrTb"/>
            <w:noWrap w:val="false"/>
          </w:tcPr>
          <w:p>
            <w:pPr>
              <w:pStyle w:val="867"/>
              <w:jc w:val="left"/>
              <w:keepLines w:val="0"/>
              <w:keepNext w:val="0"/>
              <w:pageBreakBefore w:val="0"/>
              <w:spacing w:line="264" w:lineRule="auto"/>
              <w:widowControl/>
              <w:rPr>
                <w:color w:val="000000"/>
              </w:rPr>
            </w:pPr>
            <w:r>
              <w:rPr>
                <w:rFonts w:hint="eastAsia" w:ascii="宋体" w:hAnsi="宋体" w:eastAsia="宋体" w:cs="宋体"/>
                <w:color w:val="000000"/>
                <w:lang w:val="en-US" w:eastAsia="zh-CN"/>
              </w:rPr>
              <w:t xml:space="preserve">产品</w:t>
            </w:r>
            <w:r>
              <w:rPr>
                <w:rFonts w:ascii="宋体" w:hAnsi="宋体" w:eastAsia="宋体" w:cs="宋体"/>
                <w:color w:val="000000"/>
                <w:lang w:val="en-US" w:eastAsia="zh-CN"/>
              </w:rPr>
              <w:t xml:space="preserve">技术参数全部满足</w:t>
            </w:r>
            <w:r>
              <w:rPr>
                <w:rFonts w:hint="eastAsia" w:ascii="宋体" w:hAnsi="宋体" w:eastAsia="宋体" w:cs="宋体"/>
                <w:color w:val="000000"/>
                <w:lang w:val="en-US" w:eastAsia="zh-CN"/>
              </w:rPr>
              <w:t xml:space="preserve">磋商文件</w:t>
            </w:r>
            <w:r>
              <w:rPr>
                <w:rFonts w:ascii="宋体" w:hAnsi="宋体" w:eastAsia="宋体" w:cs="宋体"/>
                <w:color w:val="000000"/>
                <w:lang w:val="en-US" w:eastAsia="zh-CN"/>
              </w:rPr>
              <w:t xml:space="preserve">要求的得满分</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打★指标为必须满足项，如有负偏离将作为无效</w:t>
            </w:r>
            <w:r>
              <w:rPr>
                <w:rFonts w:hint="eastAsia" w:ascii="宋体" w:hAnsi="宋体" w:eastAsia="宋体" w:cs="宋体"/>
                <w:color w:val="000000"/>
                <w:lang w:val="en-US" w:eastAsia="zh-CN"/>
              </w:rPr>
              <w:t xml:space="preserve">响应，非打★</w:t>
            </w:r>
            <w:r>
              <w:rPr>
                <w:rFonts w:ascii="宋体" w:hAnsi="宋体" w:eastAsia="宋体" w:cs="宋体"/>
                <w:color w:val="000000"/>
                <w:lang w:val="en-US" w:eastAsia="zh-CN"/>
              </w:rPr>
              <w:t xml:space="preserve">指标</w:t>
            </w:r>
            <w:r>
              <w:rPr>
                <w:rFonts w:hint="eastAsia" w:ascii="宋体" w:hAnsi="宋体" w:eastAsia="宋体" w:cs="宋体"/>
                <w:color w:val="000000"/>
                <w:lang w:val="en-US" w:eastAsia="zh-CN"/>
              </w:rPr>
              <w:t xml:space="preserve">（60项）</w:t>
            </w:r>
            <w:r>
              <w:rPr>
                <w:rFonts w:hint="eastAsia" w:ascii="宋体" w:hAnsi="宋体" w:eastAsia="宋体" w:cs="宋体"/>
                <w:color w:val="000000"/>
                <w:sz w:val="21"/>
                <w:szCs w:val="21"/>
                <w:lang w:val="en-US" w:eastAsia="zh-CN"/>
              </w:rPr>
              <w:t xml:space="preserve">有1项负偏离扣0.5分。</w:t>
            </w:r>
            <w:r>
              <w:rPr>
                <w:color w:val="000000"/>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pacing w:val="0"/>
              </w:rPr>
            </w:pPr>
            <w:r>
              <w:rPr>
                <w:rFonts w:hint="eastAsia" w:ascii="Times New Roman" w:hAnsi="Times New Roman" w:eastAsia="宋体" w:cs="Times New Roman"/>
                <w:color w:val="000000"/>
                <w:lang w:val="en-US" w:eastAsia="zh-CN"/>
              </w:rPr>
              <w:t xml:space="preserve">总体技术方案</w:t>
            </w:r>
            <w:r>
              <w:rPr>
                <w:rFonts w:hint="eastAsia" w:ascii="Times New Roman" w:hAnsi="Times New Roman" w:eastAsia="宋体" w:cs="Times New Roman"/>
                <w:color w:val="000000"/>
                <w:spacing w:val="0"/>
              </w:rPr>
            </w:r>
            <w:r/>
          </w:p>
        </w:tc>
        <w:tc>
          <w:tcPr>
            <w:tcW w:w="6330" w:type="dxa"/>
            <w:vAlign w:val="center"/>
            <w:textDirection w:val="lrTb"/>
            <w:noWrap w:val="false"/>
          </w:tcPr>
          <w:p>
            <w:pPr>
              <w:pStyle w:val="867"/>
              <w:rPr>
                <w:rFonts w:hint="eastAsia"/>
                <w:color w:val="000000"/>
                <w:sz w:val="21"/>
                <w:szCs w:val="21"/>
                <w:lang w:val="en-US" w:eastAsia="zh-CN" w:bidi="ar-SA"/>
              </w:rPr>
            </w:pPr>
            <w:r/>
            <w:bookmarkStart w:id="23" w:name="OLE_LINK5"/>
            <w:r>
              <w:rPr>
                <w:rFonts w:hint="eastAsia"/>
                <w:color w:val="000000"/>
                <w:sz w:val="21"/>
                <w:szCs w:val="21"/>
                <w:lang w:val="en-US" w:eastAsia="zh-CN" w:bidi="ar-SA"/>
              </w:rPr>
              <w:t xml:space="preserve">根据本项目采购需求编制方案，内容包含：1.总体架构和性能设计；2.技术路线和业务逻辑流程设计；3.用户界面和应用功能设计；4.系统部署和安全防护设计。以上每项内容逐项评分：</w:t>
            </w:r>
            <w:r>
              <w:rPr>
                <w:rFonts w:hint="eastAsia"/>
                <w:color w:val="000000"/>
                <w:sz w:val="21"/>
                <w:szCs w:val="21"/>
                <w:lang w:val="en-US" w:eastAsia="zh-CN" w:bidi="ar-SA"/>
              </w:rPr>
            </w:r>
            <w:r/>
          </w:p>
          <w:p>
            <w:pPr>
              <w:pStyle w:val="867"/>
              <w:rPr>
                <w:rFonts w:hint="eastAsia"/>
                <w:color w:val="000000"/>
                <w:sz w:val="21"/>
                <w:szCs w:val="21"/>
                <w:lang w:val="en-US" w:eastAsia="zh-CN" w:bidi="ar-SA"/>
              </w:rPr>
            </w:pPr>
            <w:r>
              <w:rPr>
                <w:rFonts w:hint="eastAsia"/>
                <w:color w:val="000000"/>
                <w:sz w:val="21"/>
                <w:szCs w:val="21"/>
                <w:lang w:val="en-US" w:eastAsia="zh-CN" w:bidi="ar-SA"/>
              </w:rPr>
              <w:t xml:space="preserve">方案设计科学、覆盖全部功能点，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lang w:val="en-US" w:eastAsia="zh-CN" w:bidi="ar-SA"/>
              </w:rPr>
            </w:r>
            <w:r/>
          </w:p>
          <w:p>
            <w:pPr>
              <w:pStyle w:val="895"/>
              <w:spacing w:line="264" w:lineRule="auto"/>
              <w:rPr>
                <w:color w:val="000000"/>
                <w:lang w:val="en-US" w:eastAsia="zh-CN"/>
              </w:rPr>
            </w:pPr>
            <w:r>
              <w:rPr>
                <w:rFonts w:hint="eastAsia"/>
                <w:color w:val="000000"/>
                <w:sz w:val="21"/>
                <w:szCs w:val="21"/>
                <w:lang w:val="en-US" w:eastAsia="zh-CN" w:bidi="ar-SA"/>
              </w:rPr>
              <w:t xml:space="preserve">上述每项内容符合得2分；部分符合得1分；不符合或不提供不得分。</w:t>
            </w:r>
            <w:bookmarkEnd w:id="23"/>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8</w:t>
            </w:r>
            <w:r>
              <w:rPr>
                <w:rFonts w:ascii="宋体" w:hAnsi="宋体" w:eastAsia="宋体" w:cs="宋体"/>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4"/>
                <w:lang w:eastAsia="zh-CN"/>
              </w:rPr>
              <w:t xml:space="preserve">主观分</w:t>
            </w:r>
            <w:r>
              <w:rPr>
                <w:rFonts w:ascii="宋体" w:hAnsi="宋体" w:eastAsia="宋体" w:cs="宋体"/>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项目实施方案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67"/>
              <w:spacing w:line="264" w:lineRule="auto"/>
              <w:rPr>
                <w:rFonts w:hint="eastAsia"/>
                <w:color w:val="000000"/>
                <w:lang w:val="en-US" w:eastAsia="zh-CN"/>
              </w:rPr>
            </w:pPr>
            <w:r>
              <w:rPr>
                <w:rFonts w:hint="eastAsia"/>
                <w:color w:val="000000"/>
                <w:lang w:val="en-US" w:eastAsia="zh-CN"/>
              </w:rPr>
              <w:t xml:space="preserve">根据本项目采购需求编制方案，内容包含：1.实施流程；2.实施进度安排；3.保障措施；4.验收措施。以上每项内容逐项评分：</w:t>
            </w:r>
            <w:r>
              <w:rPr>
                <w:rFonts w:hint="eastAsia"/>
                <w:color w:val="000000"/>
                <w:lang w:val="en-US" w:eastAsia="zh-CN"/>
              </w:rPr>
            </w:r>
            <w:r/>
          </w:p>
          <w:p>
            <w:pPr>
              <w:pStyle w:val="867"/>
              <w:spacing w:line="264" w:lineRule="auto"/>
              <w:rPr>
                <w:rFonts w:hint="eastAsia"/>
                <w:color w:val="000000"/>
                <w:lang w:val="en-US" w:eastAsia="zh-CN"/>
              </w:rPr>
            </w:pPr>
            <w:r>
              <w:rPr>
                <w:rFonts w:hint="eastAsia"/>
                <w:color w:val="000000"/>
                <w:lang w:val="en-US" w:eastAsia="zh-CN"/>
              </w:rPr>
              <w:t xml:space="preserve">方案内容全面、流程清晰、措施有力，且专门针对本项目，契合采购需求视为符合；方案内容属于通用类，非专门针对本项目，部分契合采购需求视为部分符合；方案内容非专门针对本项目，脱离采购需求视为不符合。</w:t>
            </w:r>
            <w:r>
              <w:rPr>
                <w:rFonts w:hint="eastAsia"/>
                <w:color w:val="000000"/>
                <w:lang w:val="en-US" w:eastAsia="zh-CN"/>
              </w:rPr>
            </w:r>
            <w:r/>
          </w:p>
          <w:p>
            <w:pPr>
              <w:pStyle w:val="867"/>
              <w:spacing w:line="264" w:lineRule="auto"/>
              <w:rPr>
                <w:rFonts w:hint="eastAsia"/>
                <w:color w:val="000000"/>
                <w:lang w:val="en-US" w:eastAsia="zh-CN"/>
              </w:rPr>
            </w:pPr>
            <w:r>
              <w:rPr>
                <w:rFonts w:hint="eastAsia"/>
                <w:color w:val="000000"/>
                <w:lang w:val="en-US" w:eastAsia="zh-CN"/>
              </w:rPr>
              <w:t xml:space="preserve">上述每项内容符合得2分；部分符合得1分；不符合或不提供不得分。</w:t>
            </w:r>
            <w:r>
              <w:rPr>
                <w:rFonts w:hint="eastAsia"/>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8</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lang w:eastAsia="zh-CN"/>
              </w:rPr>
              <w:t xml:space="preserve">主观分</w:t>
            </w:r>
            <w:r>
              <w:rPr>
                <w:rFonts w:hint="eastAsia" w:ascii="宋体" w:hAnsi="宋体" w:eastAsia="宋体" w:cs="宋体"/>
                <w:sz w:val="21"/>
                <w:szCs w:val="21"/>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79"/>
              <w:ind w:left="0"/>
              <w:spacing w:line="264" w:lineRule="auto"/>
              <w:rPr>
                <w:rFonts w:ascii="宋体" w:hAnsi="宋体" w:eastAsia="宋体" w:cs="宋体"/>
                <w:color w:val="000000"/>
                <w:sz w:val="21"/>
                <w:szCs w:val="22"/>
                <w:lang w:val="zh-CN" w:eastAsia="zh-CN" w:bidi="ar-SA"/>
              </w:rPr>
            </w:pPr>
            <w:r>
              <w:rPr>
                <w:rFonts w:ascii="宋体" w:hAnsi="宋体" w:eastAsia="宋体" w:cs="宋体"/>
                <w:color w:val="000000"/>
                <w:sz w:val="21"/>
                <w:szCs w:val="22"/>
                <w:lang w:val="zh-CN" w:eastAsia="zh-CN" w:bidi="ar-SA"/>
              </w:rPr>
              <w:t xml:space="preserve">根据本项目采购需求编制方案，内容包含：1.服务措施；2.应急举措；3.服务流程；4.服务保障体系。以上每项内容逐项评分：</w:t>
            </w:r>
            <w:r>
              <w:rPr>
                <w:rFonts w:ascii="宋体" w:hAnsi="宋体" w:eastAsia="宋体" w:cs="宋体"/>
                <w:color w:val="000000"/>
                <w:sz w:val="21"/>
                <w:szCs w:val="22"/>
                <w:lang w:val="zh-CN" w:eastAsia="zh-CN" w:bidi="ar-SA"/>
              </w:rPr>
            </w:r>
            <w:r/>
          </w:p>
          <w:p>
            <w:pPr>
              <w:pStyle w:val="879"/>
              <w:ind w:left="0"/>
              <w:spacing w:line="264" w:lineRule="auto"/>
              <w:rPr>
                <w:rFonts w:ascii="宋体" w:hAnsi="宋体" w:eastAsia="宋体" w:cs="宋体"/>
                <w:color w:val="000000"/>
                <w:sz w:val="21"/>
                <w:szCs w:val="22"/>
                <w:lang w:val="zh-CN" w:eastAsia="zh-CN" w:bidi="ar-SA"/>
              </w:rPr>
            </w:pPr>
            <w:r>
              <w:rPr>
                <w:rFonts w:ascii="宋体" w:hAnsi="宋体" w:eastAsia="宋体" w:cs="宋体"/>
                <w:color w:val="000000"/>
                <w:sz w:val="21"/>
                <w:szCs w:val="22"/>
                <w:lang w:val="zh-CN" w:eastAsia="zh-CN" w:bidi="ar-SA"/>
              </w:rPr>
              <w:t xml:space="preserve">方案内容全面、措施有力，且专门针对本项目，契合采购需求视为符合；方案内容属于通用类，非专门针对本项目，部分契合采购需求视为部分符合；方案内容非专门针对本项目，脱离采购需求视为不符合。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2"/>
                <w:lang w:val="zh-CN" w:eastAsia="zh-CN" w:bidi="ar-SA"/>
              </w:rPr>
            </w:r>
            <w:r/>
          </w:p>
          <w:p>
            <w:pPr>
              <w:pStyle w:val="879"/>
              <w:ind w:left="0"/>
              <w:spacing w:line="264" w:lineRule="auto"/>
              <w:rPr>
                <w:color w:val="000000"/>
                <w:lang w:val="zh-CN" w:eastAsia="zh-CN"/>
              </w:rPr>
            </w:pPr>
            <w:r>
              <w:rPr>
                <w:rFonts w:ascii="宋体" w:hAnsi="宋体" w:eastAsia="宋体" w:cs="宋体"/>
                <w:color w:val="000000"/>
                <w:sz w:val="21"/>
                <w:szCs w:val="22"/>
                <w:lang w:val="zh-CN" w:eastAsia="zh-CN" w:bidi="ar-SA"/>
              </w:rPr>
              <w:t xml:space="preserve">上述每项内容符合得2分；部分符合得1分；不符合或不提供不得分。</w:t>
            </w:r>
            <w:r>
              <w:rPr>
                <w:color w:val="000000"/>
                <w:lang w:val="zh-CN"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8</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2"/>
                <w:lang w:val="en-US" w:eastAsia="zh-CN"/>
              </w:rPr>
            </w:pPr>
            <w:r>
              <w:rPr>
                <w:rFonts w:hint="eastAsia" w:ascii="Times New Roman" w:hAnsi="Times New Roman" w:eastAsia="宋体" w:cs="Times New Roman"/>
                <w:color w:val="000000"/>
                <w:sz w:val="21"/>
                <w:szCs w:val="21"/>
                <w:highlight w:val="none"/>
                <w:lang w:val="en-US" w:eastAsia="zh-CN"/>
              </w:rPr>
              <w:t xml:space="preserve">培训方案</w:t>
            </w:r>
            <w:r>
              <w:rPr>
                <w:rFonts w:hint="eastAsia" w:ascii="宋体" w:hAnsi="宋体" w:eastAsia="宋体" w:cs="宋体"/>
                <w:color w:val="000000"/>
                <w:spacing w:val="-2"/>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根据本项目采购需求编制方案，内容包含：1.培训计划；2.培训内容；3.培训方式；4.培训质量保障措施。以上每项内容逐项评分：</w:t>
            </w:r>
            <w:r>
              <w:rPr>
                <w:rFonts w:hint="eastAsia" w:ascii="宋体" w:hAnsi="宋体" w:eastAsia="宋体" w:cs="宋体"/>
                <w:color w:val="000000"/>
                <w:lang w:val="en-US" w:eastAsia="zh-CN"/>
              </w:rPr>
            </w:r>
            <w:r/>
          </w:p>
          <w:p>
            <w:pPr>
              <w:pStyle w:val="867"/>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方案内容详实、安排合理，且专门针对本项目，契合采购需求视为符合；方案内容属于通用类，非专门针对本项目，部分契合采购需求视为部分符合；方案内容非专门针对本项目，脱离采购需求视为不符合。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lang w:val="en-US" w:eastAsia="zh-CN"/>
              </w:rPr>
            </w:r>
            <w:r/>
          </w:p>
          <w:p>
            <w:pPr>
              <w:pStyle w:val="867"/>
              <w:jc w:val="left"/>
              <w:keepLines w:val="0"/>
              <w:keepNext w:val="0"/>
              <w:pageBreakBefore w:val="0"/>
              <w:spacing w:line="264" w:lineRule="auto"/>
              <w:widowControl w:val="off"/>
              <w:rPr>
                <w:rFonts w:hint="eastAsia" w:ascii="宋体" w:hAnsi="宋体" w:eastAsia="宋体" w:cs="宋体"/>
                <w:color w:val="000000"/>
                <w:spacing w:val="-2"/>
                <w:lang w:val="en-US" w:eastAsia="zh-CN"/>
              </w:rPr>
            </w:pPr>
            <w:r>
              <w:rPr>
                <w:rFonts w:hint="eastAsia" w:ascii="宋体" w:hAnsi="宋体" w:eastAsia="宋体" w:cs="宋体"/>
                <w:color w:val="000000"/>
                <w:lang w:val="en-US" w:eastAsia="zh-CN"/>
              </w:rPr>
              <w:t xml:space="preserve">上述每项内容符合得2分；部分符合得1分；不符合或不提供不得分。</w:t>
            </w:r>
            <w:r>
              <w:rPr>
                <w:rFonts w:hint="eastAsia" w:ascii="宋体" w:hAnsi="宋体" w:eastAsia="宋体" w:cs="宋体"/>
                <w:color w:val="000000"/>
                <w:spacing w:val="-2"/>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8</w:t>
            </w:r>
            <w:r>
              <w:rPr>
                <w:rFonts w:ascii="宋体" w:hAnsi="宋体" w:eastAsia="宋体" w:cs="宋体"/>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4.业绩</w:t>
            </w:r>
            <w:r>
              <w:rPr>
                <w:rFonts w:ascii="宋体" w:hAnsi="宋体" w:eastAsia="宋体" w:cs="宋体"/>
                <w:color w:val="000000"/>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color w:val="000000"/>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color w:val="000000"/>
                <w:spacing w:val="-2"/>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color w:val="000000"/>
                <w:lang w:val="en-US" w:eastAsia="zh-CN"/>
              </w:rPr>
              <w:t xml:space="preserve">供应商提供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23</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日（含）以来类似项目业绩</w:t>
            </w:r>
            <w:r>
              <w:rPr>
                <w:rFonts w:hint="eastAsia" w:ascii="宋体" w:hAnsi="宋体" w:eastAsia="宋体" w:cs="宋体"/>
                <w:color w:val="000000"/>
                <w:lang w:val="en-US" w:eastAsia="zh-CN"/>
              </w:rPr>
              <w:t xml:space="preserve">（如会诊系统、电子病历系统等项目）</w:t>
            </w:r>
            <w:r>
              <w:rPr>
                <w:rFonts w:ascii="宋体" w:hAnsi="宋体" w:eastAsia="宋体" w:cs="宋体"/>
                <w:color w:val="000000"/>
                <w:lang w:val="en-US" w:eastAsia="zh-CN"/>
              </w:rPr>
              <w:t xml:space="preserve">，每提供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w:t>
            </w:r>
            <w:r>
              <w:rPr>
                <w:rFonts w:hint="eastAsia" w:ascii="宋体" w:hAnsi="宋体" w:eastAsia="宋体" w:cs="宋体"/>
                <w:color w:val="000000"/>
                <w:lang w:val="en-US" w:eastAsia="zh-CN"/>
              </w:rPr>
              <w:t xml:space="preserve">，最多得6分</w:t>
            </w:r>
            <w:r>
              <w:rPr>
                <w:rFonts w:ascii="宋体" w:hAnsi="宋体" w:eastAsia="宋体" w:cs="宋体"/>
                <w:color w:val="000000"/>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lang w:val="en-US" w:eastAsia="zh-CN"/>
              </w:rPr>
              <w:t xml:space="preserve">提供有效合同，合同</w:t>
            </w:r>
            <w:r>
              <w:rPr>
                <w:rFonts w:hint="eastAsia" w:ascii="宋体" w:hAnsi="宋体" w:eastAsia="宋体" w:cs="宋体"/>
                <w:color w:val="000000"/>
                <w:lang w:val="en-US" w:eastAsia="zh-CN"/>
              </w:rPr>
              <w:t xml:space="preserve">页</w:t>
            </w:r>
            <w:r>
              <w:rPr>
                <w:rFonts w:ascii="宋体" w:hAnsi="宋体" w:eastAsia="宋体" w:cs="宋体"/>
                <w:color w:val="000000"/>
                <w:lang w:val="en-US" w:eastAsia="zh-CN"/>
              </w:rPr>
              <w:t xml:space="preserve">须清晰可见相应内容</w:t>
            </w:r>
            <w:r>
              <w:rPr>
                <w:rFonts w:ascii="宋体" w:hAnsi="宋体" w:eastAsia="宋体" w:cs="宋体"/>
                <w:color w:val="000000"/>
                <w:sz w:val="21"/>
                <w:szCs w:val="22"/>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5.履约能力</w:t>
            </w:r>
            <w:r>
              <w:rPr>
                <w:rFonts w:ascii="宋体" w:hAnsi="宋体" w:eastAsia="宋体" w:cs="宋体"/>
                <w:color w:val="000000"/>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供应商拟投入本项目的项目经理具有信息系统项目管理师（高级）证书，得2分。</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color w:val="000000"/>
                <w:lang w:val="en-US" w:eastAsia="zh-CN"/>
              </w:rPr>
            </w:pPr>
            <w:r>
              <w:rPr>
                <w:rFonts w:hint="eastAsia" w:ascii="宋体" w:hAnsi="宋体" w:eastAsia="宋体" w:cs="宋体"/>
                <w:color w:val="000000"/>
                <w:lang w:val="en-US" w:eastAsia="zh-CN"/>
              </w:rPr>
              <w:t xml:space="preserve">（提供人员证书及供应商为其缴纳的2026年1月以来任意一个月的社保证明材料，缺一不可）</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2</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7"/>
        <w:keepLines w:val="0"/>
        <w:keepNext w:val="0"/>
        <w:pageBreakBefore w:val="0"/>
        <w:spacing w:line="264" w:lineRule="auto"/>
        <w:widowControl w:val="off"/>
        <w:rPr>
          <w:rFonts w:hint="eastAsia"/>
        </w:rPr>
      </w:pPr>
      <w:r>
        <w:rPr>
          <w:rFonts w:hint="eastAsia"/>
        </w:rPr>
      </w:r>
      <w:r/>
    </w:p>
    <w:p>
      <w:pPr>
        <w:pStyle w:val="867"/>
        <w:keepLines w:val="0"/>
        <w:keepNext w:val="0"/>
        <w:pageBreakBefore w:val="0"/>
        <w:spacing w:line="288" w:lineRule="auto"/>
        <w:widowControl w:val="off"/>
        <w:rPr>
          <w:rFonts w:hint="eastAsia"/>
        </w:rPr>
      </w:pPr>
      <w:r>
        <w:rPr>
          <w:rFonts w:hint="eastAsia"/>
        </w:rPr>
      </w:r>
      <w:r/>
    </w:p>
    <w:p>
      <w:pPr>
        <w:pStyle w:val="879"/>
        <w:keepLines w:val="0"/>
        <w:keepNext w:val="0"/>
        <w:pageBreakBefore w:val="0"/>
        <w:spacing w:line="288" w:lineRule="auto"/>
        <w:widowControl w:val="off"/>
        <w:rPr>
          <w:rFonts w:hint="eastAsia"/>
        </w:rPr>
      </w:pPr>
      <w:r>
        <w:rPr>
          <w:rFonts w:hint="eastAsia"/>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7"/>
        <w:jc w:val="center"/>
        <w:rPr>
          <w:rFonts w:hint="eastAsia" w:ascii="宋体" w:hAnsi="宋体"/>
          <w:b/>
          <w:sz w:val="72"/>
          <w:szCs w:val="21"/>
        </w:rPr>
      </w:pPr>
      <w:r/>
      <w:bookmarkStart w:id="24" w:name="_Hlt26955039"/>
      <w:r/>
      <w:bookmarkEnd w:id="24"/>
      <w:r/>
      <w:bookmarkStart w:id="25" w:name="_Hlt26671244"/>
      <w:r/>
      <w:bookmarkEnd w:id="25"/>
      <w:r/>
      <w:bookmarkStart w:id="26" w:name="_Toc49090576"/>
      <w:r/>
      <w:bookmarkStart w:id="27" w:name="_Toc120614282"/>
      <w:r/>
      <w:bookmarkStart w:id="28" w:name="_Toc26554094"/>
      <w:r>
        <w:rPr>
          <w:rFonts w:hint="eastAsia" w:ascii="宋体" w:hAnsi="宋体"/>
          <w:b/>
          <w:sz w:val="72"/>
          <w:szCs w:val="21"/>
        </w:rPr>
      </w:r>
      <w:r/>
    </w:p>
    <w:p>
      <w:pPr>
        <w:pStyle w:val="867"/>
        <w:jc w:val="center"/>
        <w:rPr>
          <w:rFonts w:hint="eastAsia" w:ascii="宋体" w:hAnsi="宋体"/>
          <w:b/>
          <w:sz w:val="72"/>
          <w:szCs w:val="21"/>
        </w:rPr>
        <w:outlineLvl w:val="0"/>
      </w:pPr>
      <w:r>
        <w:rPr>
          <w:rFonts w:hint="eastAsia" w:ascii="宋体" w:hAnsi="宋体"/>
          <w:b/>
          <w:sz w:val="72"/>
          <w:szCs w:val="21"/>
        </w:rPr>
        <w:t xml:space="preserve">响  应  文  件</w:t>
      </w: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ind w:firstLine="1084"/>
        <w:rPr>
          <w:rFonts w:ascii="宋体" w:hAnsi="宋体" w:eastAsia="宋体"/>
          <w:b/>
          <w:sz w:val="36"/>
          <w:szCs w:val="21"/>
          <w:lang w:val="en-US" w:eastAsia="zh-CN"/>
        </w:rPr>
        <w:outlineLvl w:val="0"/>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7"/>
        <w:ind w:firstLine="1084"/>
        <w:rPr>
          <w:rFonts w:ascii="宋体" w:hAnsi="宋体" w:eastAsia="宋体"/>
          <w:b/>
          <w:sz w:val="36"/>
          <w:szCs w:val="21"/>
          <w:u w:val="single"/>
          <w:lang w:val="en-US" w:eastAsia="zh-CN"/>
        </w:rPr>
        <w:outlineLvl w:val="0"/>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outlineLvl w:val="0"/>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outlineLvl w:val="0"/>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spacing w:line="440" w:lineRule="exact"/>
        <w:rPr>
          <w:rFonts w:ascii="宋体" w:hAnsi="宋体"/>
          <w:szCs w:val="21"/>
        </w:rPr>
      </w:pPr>
      <w:r>
        <w:rPr>
          <w:rFonts w:ascii="宋体" w:hAnsi="宋体"/>
          <w:szCs w:val="21"/>
        </w:rPr>
      </w:r>
      <w:r/>
    </w:p>
    <w:p>
      <w:pPr>
        <w:pStyle w:val="867"/>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outlineLvl w:val="0"/>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outlineLvl w:val="0"/>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sz w:val="28"/>
          <w:szCs w:val="28"/>
        </w:rPr>
        <w:outlineLvl w:val="0"/>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outlineLvl w:val="0"/>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outlineLvl w:val="0"/>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outlineLvl w:val="0"/>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outlineLvl w:val="0"/>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spacing w:line="600" w:lineRule="exact"/>
        <w:rPr>
          <w:rFonts w:hint="eastAsia" w:ascii="宋体" w:hAnsi="宋体" w:eastAsia="宋体" w:cs="宋体"/>
          <w:b w:val="0"/>
          <w:bCs w:val="0"/>
          <w:i w:val="0"/>
          <w:sz w:val="28"/>
          <w:szCs w:val="28"/>
          <w:u w:val="none"/>
          <w:lang w:val="en-US" w:eastAsia="zh-CN"/>
        </w:rPr>
        <w:outlineLvl w:val="0"/>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7"/>
        <w:ind w:firstLine="560"/>
        <w:spacing w:line="600" w:lineRule="exact"/>
        <w:rPr>
          <w:rFonts w:hint="eastAsia" w:ascii="宋体" w:hAnsi="宋体" w:eastAsia="宋体" w:cs="宋体"/>
          <w:sz w:val="28"/>
          <w:szCs w:val="28"/>
          <w:lang w:val="en-US" w:eastAsia="zh-CN"/>
        </w:rPr>
        <w:outlineLvl w:val="0"/>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rPr>
          <w:rFonts w:hint="eastAsia" w:ascii="黑体" w:hAnsi="黑体" w:eastAsia="黑体" w:cs="Times New Roman"/>
          <w:i/>
          <w:sz w:val="32"/>
          <w:szCs w:val="32"/>
          <w:u w:val="single"/>
          <w:lang w:val="en-US" w:eastAsia="zh-CN"/>
        </w:rPr>
        <w:outlineLvl w:val="0"/>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7"/>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pStyle w:val="86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7"/>
        <w:rPr>
          <w:sz w:val="24"/>
          <w:szCs w:val="24"/>
        </w:rPr>
      </w:pPr>
      <w:r>
        <w:rPr>
          <w:sz w:val="24"/>
          <w:szCs w:val="24"/>
        </w:rPr>
      </w:r>
      <w:r/>
    </w:p>
    <w:p>
      <w:pPr>
        <w:pStyle w:val="867"/>
        <w:spacing w:line="440" w:lineRule="exact"/>
        <w:rPr>
          <w:rFonts w:hint="eastAsia" w:ascii="宋体" w:hAnsi="宋体"/>
          <w:sz w:val="24"/>
          <w:szCs w:val="24"/>
          <w:lang w:eastAsia="zh-CN"/>
        </w:rPr>
      </w:pPr>
      <w:r>
        <w:rPr>
          <w:rFonts w:hint="eastAsia" w:ascii="宋体" w:hAnsi="宋体"/>
          <w:sz w:val="24"/>
          <w:szCs w:val="24"/>
          <w:lang w:eastAsia="zh-CN"/>
        </w:rPr>
      </w:r>
      <w:r/>
    </w:p>
    <w:p>
      <w:pPr>
        <w:pStyle w:val="879"/>
        <w:rPr>
          <w:rFonts w:hint="eastAsia"/>
        </w:rPr>
      </w:pPr>
      <w:r>
        <w:rPr>
          <w:rFonts w:hint="eastAsia"/>
        </w:rPr>
      </w:r>
      <w:r/>
    </w:p>
    <w:p>
      <w:pPr>
        <w:pStyle w:val="867"/>
        <w:rPr>
          <w:rFonts w:hint="eastAsia" w:ascii="黑体" w:hAnsi="黑体" w:eastAsia="黑体" w:cs="Times New Roman"/>
          <w:i w:val="0"/>
          <w:color w:val="000000"/>
          <w:sz w:val="32"/>
          <w:szCs w:val="32"/>
          <w:u w:val="none"/>
          <w:lang w:val="en-US" w:eastAsia="zh-CN"/>
        </w:rPr>
        <w:outlineLvl w:val="0"/>
      </w:pPr>
      <w:r/>
      <w:bookmarkEnd w:id="26"/>
      <w:r/>
      <w:bookmarkEnd w:id="27"/>
      <w:r/>
      <w:bookmarkEnd w:id="28"/>
      <w:r/>
      <w:bookmarkStart w:id="29"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7"/>
        <w:spacing w:line="460" w:lineRule="exact"/>
        <w:rPr>
          <w:rFonts w:hint="eastAsia" w:ascii="宋体" w:hAnsi="宋体"/>
          <w:bCs/>
          <w:sz w:val="24"/>
          <w:szCs w:val="21"/>
        </w:rPr>
      </w:pPr>
      <w:r>
        <w:rPr>
          <w:rFonts w:hint="eastAsia" w:ascii="宋体" w:hAnsi="宋体"/>
          <w:bCs/>
          <w:sz w:val="24"/>
          <w:szCs w:val="21"/>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outlineLvl w:val="0"/>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7"/>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7"/>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0" w:name="_Hlt26671380"/>
      <w:r/>
      <w:bookmarkEnd w:id="30"/>
      <w:r/>
      <w:bookmarkStart w:id="31" w:name="_Hlt26955070"/>
      <w:r/>
      <w:bookmarkEnd w:id="31"/>
      <w:r/>
      <w:bookmarkStart w:id="32" w:name="_格式3__银行出具的资信证明"/>
      <w:r/>
      <w:bookmarkEnd w:id="32"/>
      <w:r>
        <w:rPr>
          <w:rFonts w:hint="eastAsia"/>
          <w:sz w:val="24"/>
          <w:szCs w:val="24"/>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rPr>
          <w:rFonts w:hint="eastAsia" w:ascii="黑体" w:hAnsi="黑体" w:eastAsia="黑体" w:cs="Times New Roman"/>
          <w:i w:val="0"/>
          <w:color w:val="000000"/>
          <w:sz w:val="32"/>
          <w:szCs w:val="32"/>
          <w:u w:val="none"/>
          <w:lang w:val="en-US" w:eastAsia="zh-CN"/>
        </w:rPr>
        <w:outlineLvl w:val="0"/>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5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38"/>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7"/>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7"/>
        <w:rPr>
          <w:rFonts w:ascii="宋体" w:hAnsi="宋体"/>
          <w:sz w:val="24"/>
          <w:szCs w:val="24"/>
        </w:rPr>
      </w:pPr>
      <w:r>
        <w:rPr>
          <w:rFonts w:ascii="宋体" w:hAnsi="宋体"/>
          <w:sz w:val="24"/>
          <w:szCs w:val="24"/>
        </w:rPr>
      </w:r>
      <w:r/>
    </w:p>
    <w:p>
      <w:pPr>
        <w:pStyle w:val="867"/>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38"/>
        <w:ind w:firstLine="0"/>
        <w:rPr>
          <w:rFonts w:hint="eastAsia"/>
        </w:rPr>
      </w:pPr>
      <w:r>
        <w:rPr>
          <w:rFonts w:hint="eastAsia"/>
        </w:rPr>
      </w:r>
      <w:r/>
    </w:p>
    <w:p>
      <w:pPr>
        <w:pStyle w:val="879"/>
        <w:rPr>
          <w:rFonts w:hint="eastAsia" w:ascii="黑体" w:hAnsi="黑体" w:eastAsia="黑体"/>
          <w:b/>
          <w:i/>
          <w:sz w:val="32"/>
          <w:szCs w:val="32"/>
          <w:u w:val="single"/>
        </w:rPr>
      </w:pPr>
      <w:r>
        <w:rPr>
          <w:rFonts w:hint="eastAsia" w:ascii="黑体" w:hAnsi="黑体" w:eastAsia="黑体"/>
          <w:b/>
          <w:i/>
          <w:sz w:val="32"/>
          <w:szCs w:val="32"/>
          <w:u w:val="single"/>
        </w:rPr>
      </w:r>
      <w:r/>
    </w:p>
    <w:p>
      <w:pPr>
        <w:pStyle w:val="867"/>
        <w:rPr>
          <w:rFonts w:hint="eastAsia"/>
        </w:rPr>
      </w:pPr>
      <w:r>
        <w:rPr>
          <w:rFonts w:hint="eastAsia"/>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jc w:val="left"/>
        <w:spacing w:line="360" w:lineRule="auto"/>
        <w:rPr>
          <w:rFonts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p>
      <w:pPr>
        <w:pStyle w:val="867"/>
        <w:ind w:firstLine="0"/>
        <w:rPr>
          <w:rFonts w:ascii="Times New Roman" w:hAnsi="Times New Roman" w:eastAsia="宋体" w:cs="Times New Roman"/>
          <w:sz w:val="24"/>
          <w:szCs w:val="24"/>
        </w:rPr>
      </w:pPr>
      <w:r>
        <w:rPr>
          <w:rFonts w:hint="eastAsia" w:ascii="宋体" w:hAnsi="宋体" w:eastAsia="宋体" w:cs="Times New Roman"/>
          <w:sz w:val="24"/>
          <w:szCs w:val="24"/>
        </w:rPr>
        <w:t xml:space="preserve">项目名称：</w:t>
      </w:r>
      <w:r>
        <w:rPr>
          <w:rFonts w:ascii="Times New Roman" w:hAnsi="Times New Roman" w:eastAsia="宋体" w:cs="Times New Roman"/>
          <w:sz w:val="24"/>
          <w:szCs w:val="24"/>
        </w:rPr>
      </w:r>
      <w:r/>
    </w:p>
    <w:p>
      <w:pPr>
        <w:pStyle w:val="867"/>
        <w:ind w:firstLine="0"/>
        <w:rPr>
          <w:rFonts w:hint="eastAsia"/>
          <w:lang w:val="en-US" w:eastAsia="zh-CN"/>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号：</w:t>
      </w:r>
      <w:r>
        <w:rPr>
          <w:rFonts w:hint="eastAsia"/>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7"/>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gridSpan w:val="7"/>
            <w:tcW w:w="9618" w:type="dxa"/>
            <w:vAlign w:val="center"/>
            <w:textDirection w:val="lrTb"/>
            <w:noWrap w:val="false"/>
          </w:tcPr>
          <w:p>
            <w:pPr>
              <w:pStyle w:val="867"/>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7"/>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2"/>
        <w:ind w:firstLine="482"/>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outlineLvl w:val="0"/>
      </w:pPr>
      <w:r>
        <w:rPr>
          <w:rFonts w:hint="eastAsia" w:ascii="黑体" w:hAnsi="黑体" w:eastAsia="黑体" w:cs="Times New Roman"/>
          <w:i/>
          <w:sz w:val="32"/>
          <w:szCs w:val="32"/>
          <w:u w:val="single"/>
          <w:lang w:val="en-US" w:eastAsia="zh-CN"/>
        </w:rPr>
        <w:br w:type="page" w:clear="all"/>
      </w:r>
      <w:bookmarkEnd w:id="17"/>
      <w:r/>
      <w:bookmarkEnd w:id="18"/>
      <w:r/>
      <w:bookmarkEnd w:id="29"/>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7"/>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7"/>
        <w:rPr>
          <w:rFonts w:hint="eastAsia" w:ascii="黑体" w:hAnsi="黑体" w:eastAsia="黑体" w:cs="Times New Roman"/>
          <w:i w:val="0"/>
          <w:iCs/>
          <w:color w:val="000000"/>
          <w:sz w:val="32"/>
          <w:szCs w:val="32"/>
          <w:u w:val="none"/>
          <w:lang w:val="en-US" w:eastAsia="zh-CN"/>
        </w:rPr>
        <w:outlineLvl w:val="0"/>
      </w:pPr>
      <w:r/>
      <w:bookmarkStart w:id="33" w:name="_Hlt26955054"/>
      <w:r/>
      <w:bookmarkEnd w:id="33"/>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4" w:name="_Hlt26671372"/>
            <w:r/>
            <w:bookmarkEnd w:id="34"/>
            <w:r/>
            <w:bookmarkStart w:id="35" w:name="_Hlt24879081"/>
            <w:r/>
            <w:bookmarkEnd w:id="35"/>
            <w:r/>
            <w:bookmarkStart w:id="36" w:name="_Hlt26782999"/>
            <w:r/>
            <w:bookmarkEnd w:id="36"/>
            <w:r/>
            <w:bookmarkStart w:id="37" w:name="_Hlt26671343"/>
            <w:r/>
            <w:bookmarkEnd w:id="37"/>
            <w:r/>
            <w:bookmarkStart w:id="38" w:name="_Hlt26580838"/>
            <w:r/>
            <w:bookmarkEnd w:id="38"/>
            <w:r/>
            <w:bookmarkStart w:id="39" w:name="_Hlt26955056"/>
            <w:r/>
            <w:bookmarkEnd w:id="39"/>
            <w:r/>
            <w:bookmarkStart w:id="40" w:name="_Hlt26955064"/>
            <w:r/>
            <w:bookmarkEnd w:id="40"/>
            <w:r/>
            <w:bookmarkStart w:id="41" w:name="_Hlt26609391"/>
            <w:r/>
            <w:bookmarkEnd w:id="4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pPr>
      <w:r/>
      <w:r/>
    </w:p>
    <w:p>
      <w:pPr>
        <w:pStyle w:val="938"/>
      </w:pPr>
      <w:r/>
      <w:r/>
    </w:p>
    <w:p>
      <w:pPr>
        <w:pStyle w:val="867"/>
      </w:pPr>
      <w:r/>
      <w:r/>
    </w:p>
    <w:p>
      <w:pPr>
        <w:pStyle w:val="938"/>
      </w:pPr>
      <w:r/>
      <w:r/>
    </w:p>
    <w:p>
      <w:pPr>
        <w:pStyle w:val="867"/>
        <w:jc w:val="center"/>
        <w:rPr>
          <w:rFonts w:hint="eastAsia" w:ascii="宋体" w:hAnsi="宋体" w:cs="仿宋"/>
          <w:b/>
          <w:bCs/>
          <w:sz w:val="32"/>
          <w:szCs w:val="32"/>
        </w:rPr>
      </w:pPr>
      <w:r>
        <w:rPr>
          <w:rFonts w:hint="eastAsia" w:ascii="宋体" w:hAnsi="宋体" w:cs="仿宋"/>
          <w:b/>
          <w:bCs/>
          <w:sz w:val="32"/>
          <w:szCs w:val="32"/>
        </w:rPr>
      </w:r>
      <w:r/>
    </w:p>
    <w:p>
      <w:pPr>
        <w:pStyle w:val="86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7"/>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br w:type="page" w:clear="all"/>
      </w: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7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r>
      <w:r/>
    </w:p>
    <w:p>
      <w:pPr>
        <w:pStyle w:val="867"/>
        <w:ind w:firstLine="0"/>
        <w:jc w:val="left"/>
        <w:spacing w:line="360" w:lineRule="auto"/>
        <w:rPr>
          <w:rFonts w:hint="eastAsia" w:ascii="黑体" w:hAnsi="黑体" w:eastAsia="黑体"/>
          <w:b w:val="0"/>
          <w:sz w:val="32"/>
          <w:szCs w:val="32"/>
        </w:rPr>
        <w:outlineLvl w:val="0"/>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7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widowControl w:val="off"/>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7"/>
        <w:ind w:firstLine="480"/>
        <w:spacing w:line="480" w:lineRule="exact"/>
        <w:rPr>
          <w:rFonts w:ascii="宋体" w:hAnsi="宋体"/>
          <w:sz w:val="24"/>
        </w:rPr>
      </w:pPr>
      <w:r>
        <w:rPr>
          <w:rFonts w:ascii="宋体" w:hAnsi="宋体"/>
          <w:sz w:val="24"/>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7"/>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7"/>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7"/>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7"/>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7"/>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8"/>
        <w:rPr>
          <w:rFonts w:hint="eastAsia" w:ascii="宋体" w:hAnsi="宋体" w:eastAsia="宋体" w:cs="Times New Roman"/>
          <w:sz w:val="24"/>
        </w:rPr>
      </w:pPr>
      <w:r>
        <w:rPr>
          <w:rFonts w:hint="eastAsia" w:ascii="宋体" w:hAnsi="宋体" w:eastAsia="宋体" w:cs="Times New Roman"/>
          <w:sz w:val="24"/>
        </w:rPr>
      </w:r>
      <w:r/>
    </w:p>
    <w:p>
      <w:pPr>
        <w:pStyle w:val="867"/>
        <w:rPr>
          <w:rFonts w:hint="eastAsia"/>
        </w:rPr>
      </w:pPr>
      <w:r>
        <w:rPr>
          <w:rFonts w:hint="eastAsia"/>
        </w:rPr>
      </w:r>
      <w:r/>
    </w:p>
    <w:p>
      <w:pPr>
        <w:pStyle w:val="867"/>
        <w:ind w:firstLine="645"/>
        <w:spacing w:line="560" w:lineRule="exact"/>
        <w:rPr>
          <w:rFonts w:ascii="宋体" w:hAnsi="宋体"/>
          <w:sz w:val="24"/>
        </w:rPr>
      </w:pPr>
      <w:r>
        <w:rPr>
          <w:rFonts w:ascii="宋体" w:hAnsi="宋体"/>
          <w:sz w:val="24"/>
        </w:rPr>
      </w:r>
      <w:r/>
    </w:p>
    <w:p>
      <w:pPr>
        <w:pStyle w:val="867"/>
        <w:ind w:firstLine="645"/>
        <w:spacing w:line="560" w:lineRule="exact"/>
        <w:rPr>
          <w:rFonts w:hint="eastAsia" w:ascii="宋体" w:hAnsi="宋体"/>
          <w:sz w:val="24"/>
        </w:rPr>
      </w:pPr>
      <w:r>
        <w:rPr>
          <w:rFonts w:hint="eastAsia" w:ascii="宋体" w:hAnsi="宋体"/>
          <w:sz w:val="24"/>
        </w:rPr>
      </w:r>
      <w:r/>
    </w:p>
    <w:p>
      <w:pPr>
        <w:pStyle w:val="879"/>
        <w:rPr>
          <w:rFonts w:hint="eastAsia" w:ascii="宋体" w:hAnsi="宋体"/>
          <w:sz w:val="24"/>
        </w:rPr>
      </w:pPr>
      <w:r>
        <w:rPr>
          <w:rFonts w:hint="eastAsia" w:ascii="宋体" w:hAnsi="宋体"/>
          <w:sz w:val="24"/>
        </w:rPr>
      </w:r>
      <w:r/>
    </w:p>
    <w:p>
      <w:pPr>
        <w:pStyle w:val="867"/>
        <w:rPr>
          <w:rFonts w:hint="eastAsia" w:ascii="宋体" w:hAnsi="宋体"/>
          <w:sz w:val="24"/>
        </w:rPr>
      </w:pPr>
      <w:r>
        <w:rPr>
          <w:rFonts w:hint="eastAsia" w:ascii="宋体" w:hAnsi="宋体"/>
          <w:sz w:val="24"/>
        </w:rPr>
      </w:r>
      <w:r/>
    </w:p>
    <w:p>
      <w:pPr>
        <w:pStyle w:val="879"/>
        <w:rPr>
          <w:rFonts w:hint="eastAsia"/>
        </w:rPr>
      </w:pPr>
      <w:r>
        <w:rPr>
          <w:rFonts w:hint="eastAsia"/>
        </w:rPr>
      </w:r>
      <w:r/>
    </w:p>
    <w:p>
      <w:pPr>
        <w:pStyle w:val="867"/>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7"/>
        <w:rPr>
          <w:rFonts w:hint="eastAsia"/>
        </w:rPr>
      </w:pPr>
      <w:r>
        <w:rPr>
          <w:rFonts w:hint="eastAsia"/>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7"/>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7"/>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8"/>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8"/>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8"/>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numPr>
          <w:ilvl w:val="0"/>
          <w:numId w:val="0"/>
        </w:numPr>
        <w:jc w:val="left"/>
        <w:spacing w:line="360" w:lineRule="auto"/>
        <w:rPr>
          <w:rFonts w:hint="eastAsia" w:ascii="宋体" w:hAnsi="宋体" w:eastAsia="宋体" w:cs="Times New Roman"/>
          <w:sz w:val="24"/>
          <w:lang w:val="en-US" w:eastAsia="zh-CN"/>
        </w:rPr>
        <w:outlineLvl w:val="0"/>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7"/>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1"/>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4"/>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2"/>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2"/>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2"/>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val="0"/>
          <w:bCs w:val="0"/>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val="0"/>
          <w:bCs w:val="0"/>
          <w:i w:val="0"/>
          <w:iCs w:val="0"/>
          <w:caps w:val="0"/>
          <w:color w:val="000000"/>
          <w:spacing w:val="0"/>
          <w:sz w:val="21"/>
          <w:szCs w:val="21"/>
          <w:shd w:val="clear" w:color="auto" w:fill="ffffff"/>
          <w:vertAlign w:val="baseline"/>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val="0"/>
          <w:bCs w:val="0"/>
          <w:i w:val="0"/>
          <w:iCs w:val="0"/>
          <w:caps w:val="0"/>
          <w:color w:val="000000"/>
          <w:spacing w:val="0"/>
          <w:sz w:val="21"/>
          <w:szCs w:val="21"/>
          <w:shd w:val="clear" w:color="auto" w:fill="ffffff"/>
          <w:vertAlign w:val="baseline"/>
        </w:rPr>
      </w:r>
      <w:r/>
    </w:p>
    <w:p>
      <w:pPr>
        <w:pStyle w:val="879"/>
        <w:rPr>
          <w:rFonts w:hint="eastAsia" w:ascii="宋体" w:hAnsi="宋体"/>
          <w:sz w:val="24"/>
        </w:rPr>
      </w:pPr>
      <w:r>
        <w:rPr>
          <w:rFonts w:hint="eastAsia" w:ascii="宋体" w:hAnsi="宋体"/>
          <w:sz w:val="24"/>
        </w:rPr>
      </w:r>
      <w:r/>
    </w:p>
    <w:p>
      <w:pPr>
        <w:pStyle w:val="867"/>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7"/>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7"/>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7"/>
        <w:rPr>
          <w:rFonts w:hint="eastAsia" w:ascii="宋体" w:hAnsi="宋体"/>
          <w:sz w:val="24"/>
          <w:szCs w:val="24"/>
        </w:rPr>
      </w:pPr>
      <w:r>
        <w:rPr>
          <w:rFonts w:hint="eastAsia" w:ascii="宋体" w:hAnsi="宋体"/>
          <w:sz w:val="24"/>
          <w:szCs w:val="24"/>
        </w:rPr>
      </w:r>
      <w:r/>
    </w:p>
    <w:p>
      <w:pPr>
        <w:pStyle w:val="86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３９</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0"/>
    <w:qFormat/>
    <w:pPr>
      <w:jc w:val="center"/>
      <w:keepNext/>
      <w:outlineLvl w:val="0"/>
    </w:pPr>
    <w:rPr>
      <w:rFonts w:ascii="楷体_GB2312" w:hAnsi="Times New Roman" w:eastAsia="楷体_GB2312" w:cs="Times New Roman"/>
      <w:sz w:val="28"/>
      <w:szCs w:val="28"/>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2"/>
    <w:link w:val="88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2"/>
    <w:link w:val="885"/>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2"/>
    <w:link w:val="886"/>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索引 41"/>
    <w:basedOn w:val="867"/>
    <w:next w:val="867"/>
    <w:link w:val="867"/>
    <w:semiHidden/>
    <w:qFormat/>
    <w:pPr>
      <w:ind w:left="1260"/>
    </w:pPr>
    <w:rPr>
      <w:rFonts w:ascii="Calibri" w:hAnsi="Calibri" w:eastAsia="Calibri" w:cs="宋体"/>
      <w:sz w:val="20"/>
      <w:lang w:val="zh-CN"/>
    </w:rPr>
  </w:style>
  <w:style w:type="character" w:styleId="880">
    <w:name w:val="标题 1 Char"/>
    <w:next w:val="880"/>
    <w:link w:val="868"/>
    <w:rPr>
      <w:rFonts w:ascii="楷体_GB2312" w:hAnsi="Times New Roman" w:eastAsia="楷体_GB2312" w:cs="Times New Roman"/>
      <w:sz w:val="28"/>
      <w:szCs w:val="28"/>
    </w:rPr>
  </w:style>
  <w:style w:type="character" w:styleId="881">
    <w:name w:val="标题 2 Char"/>
    <w:next w:val="881"/>
    <w:link w:val="869"/>
    <w:qFormat/>
    <w:rPr>
      <w:rFonts w:ascii="Arial" w:hAnsi="Arial" w:eastAsia="幼圆" w:cs="Arial"/>
      <w:b/>
      <w:bCs/>
      <w:sz w:val="44"/>
      <w:szCs w:val="44"/>
    </w:rPr>
  </w:style>
  <w:style w:type="paragraph" w:styleId="882">
    <w:name w:val="正文缩进"/>
    <w:basedOn w:val="867"/>
    <w:next w:val="882"/>
    <w:link w:val="883"/>
    <w:qFormat/>
    <w:pPr>
      <w:ind w:firstLine="420"/>
    </w:pPr>
    <w:rPr>
      <w:szCs w:val="21"/>
    </w:rPr>
  </w:style>
  <w:style w:type="character" w:styleId="883">
    <w:name w:val="正文缩进 Char"/>
    <w:next w:val="883"/>
    <w:link w:val="882"/>
    <w:qFormat/>
    <w:rPr>
      <w:szCs w:val="21"/>
    </w:rPr>
  </w:style>
  <w:style w:type="character" w:styleId="884">
    <w:name w:val="标题 3 Char"/>
    <w:next w:val="884"/>
    <w:link w:val="870"/>
    <w:qFormat/>
    <w:rPr>
      <w:rFonts w:ascii="Times New Roman" w:hAnsi="Times New Roman" w:eastAsia="宋体" w:cs="Times New Roman"/>
      <w:b/>
      <w:bCs/>
      <w:sz w:val="32"/>
      <w:szCs w:val="32"/>
    </w:rPr>
  </w:style>
  <w:style w:type="character" w:styleId="885">
    <w:name w:val="标题 4 Char"/>
    <w:next w:val="885"/>
    <w:link w:val="871"/>
    <w:qFormat/>
    <w:rPr>
      <w:rFonts w:ascii="Arial" w:hAnsi="Arial" w:eastAsia="黑体" w:cs="Arial"/>
      <w:b/>
      <w:bCs/>
      <w:sz w:val="28"/>
      <w:szCs w:val="28"/>
    </w:rPr>
  </w:style>
  <w:style w:type="character" w:styleId="886">
    <w:name w:val="标题 5 Char"/>
    <w:next w:val="886"/>
    <w:link w:val="872"/>
    <w:qFormat/>
    <w:rPr>
      <w:rFonts w:ascii="宋体" w:hAnsi="Times New Roman" w:eastAsia="宋体" w:cs="Times New Roman"/>
      <w:color w:val="000000"/>
      <w:sz w:val="28"/>
      <w:szCs w:val="28"/>
    </w:rPr>
  </w:style>
  <w:style w:type="character" w:styleId="887">
    <w:name w:val="标题 6 Char"/>
    <w:next w:val="887"/>
    <w:link w:val="873"/>
    <w:qFormat/>
    <w:rPr>
      <w:rFonts w:ascii="Arial" w:hAnsi="Arial" w:eastAsia="黑体" w:cs="Times New Roman"/>
      <w:b/>
      <w:bCs/>
      <w:sz w:val="24"/>
      <w:szCs w:val="24"/>
    </w:rPr>
  </w:style>
  <w:style w:type="character" w:styleId="888">
    <w:name w:val="标题 7 Char"/>
    <w:next w:val="888"/>
    <w:link w:val="874"/>
    <w:qFormat/>
    <w:rPr>
      <w:rFonts w:ascii="Times New Roman" w:hAnsi="Times New Roman" w:eastAsia="宋体" w:cs="Times New Roman"/>
      <w:b/>
      <w:bCs/>
      <w:sz w:val="24"/>
      <w:szCs w:val="24"/>
    </w:rPr>
  </w:style>
  <w:style w:type="character" w:styleId="889">
    <w:name w:val="标题 8 Char"/>
    <w:next w:val="889"/>
    <w:link w:val="875"/>
    <w:qFormat/>
    <w:rPr>
      <w:rFonts w:ascii="Arial" w:hAnsi="Arial" w:eastAsia="黑体" w:cs="Times New Roman"/>
      <w:sz w:val="24"/>
      <w:szCs w:val="24"/>
    </w:rPr>
  </w:style>
  <w:style w:type="character" w:styleId="890">
    <w:name w:val="标题 9 Char"/>
    <w:next w:val="890"/>
    <w:link w:val="876"/>
    <w:qFormat/>
    <w:rPr>
      <w:rFonts w:ascii="Arial" w:hAnsi="Arial" w:eastAsia="黑体" w:cs="Times New Roman"/>
      <w:szCs w:val="21"/>
    </w:rPr>
  </w:style>
  <w:style w:type="paragraph" w:styleId="891">
    <w:name w:val="列表 3"/>
    <w:basedOn w:val="867"/>
    <w:next w:val="891"/>
    <w:link w:val="867"/>
    <w:pPr>
      <w:ind w:left="100" w:hanging="200"/>
    </w:pPr>
    <w:rPr>
      <w:rFonts w:ascii="Times New Roman" w:hAnsi="Times New Roman" w:eastAsia="宋体" w:cs="Times New Roman"/>
      <w:szCs w:val="21"/>
    </w:rPr>
  </w:style>
  <w:style w:type="paragraph" w:styleId="892">
    <w:name w:val="目录 7"/>
    <w:basedOn w:val="867"/>
    <w:next w:val="867"/>
    <w:link w:val="867"/>
    <w:semiHidden/>
    <w:pPr>
      <w:ind w:left="1260"/>
      <w:jc w:val="left"/>
    </w:pPr>
    <w:rPr>
      <w:rFonts w:ascii="Times New Roman" w:hAnsi="Times New Roman" w:eastAsia="宋体" w:cs="Times New Roman"/>
      <w:szCs w:val="21"/>
    </w:rPr>
  </w:style>
  <w:style w:type="paragraph" w:styleId="893">
    <w:name w:val="文档结构图"/>
    <w:basedOn w:val="867"/>
    <w:next w:val="893"/>
    <w:link w:val="894"/>
    <w:semiHidden/>
    <w:pPr>
      <w:shd w:val="clear" w:color="auto" w:fill="000080"/>
    </w:pPr>
    <w:rPr>
      <w:rFonts w:ascii="Times New Roman" w:hAnsi="Times New Roman" w:eastAsia="宋体" w:cs="Times New Roman"/>
      <w:szCs w:val="21"/>
    </w:rPr>
  </w:style>
  <w:style w:type="character" w:styleId="894">
    <w:name w:val="文档结构图 Char"/>
    <w:next w:val="894"/>
    <w:link w:val="893"/>
    <w:semiHidden/>
    <w:qFormat/>
    <w:rPr>
      <w:rFonts w:ascii="Times New Roman" w:hAnsi="Times New Roman" w:eastAsia="宋体" w:cs="Times New Roman"/>
      <w:szCs w:val="21"/>
      <w:shd w:val="clear" w:color="auto" w:fill="000080"/>
    </w:rPr>
  </w:style>
  <w:style w:type="paragraph" w:styleId="895">
    <w:name w:val="批注文字"/>
    <w:basedOn w:val="867"/>
    <w:next w:val="895"/>
    <w:link w:val="896"/>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6">
    <w:name w:val="批注文字 Char"/>
    <w:basedOn w:val="877"/>
    <w:next w:val="896"/>
    <w:link w:val="895"/>
    <w:uiPriority w:val="99"/>
    <w:semiHidden/>
    <w:qFormat/>
  </w:style>
  <w:style w:type="paragraph" w:styleId="897">
    <w:name w:val="正文文本 3"/>
    <w:basedOn w:val="867"/>
    <w:next w:val="897"/>
    <w:link w:val="898"/>
    <w:rPr>
      <w:rFonts w:ascii="仿宋_GB2312" w:hAnsi="Arial" w:eastAsia="仿宋_GB2312" w:cs="Times New Roman"/>
      <w:sz w:val="32"/>
      <w:szCs w:val="32"/>
    </w:rPr>
  </w:style>
  <w:style w:type="character" w:styleId="898">
    <w:name w:val="正文文本 3 Char"/>
    <w:next w:val="898"/>
    <w:link w:val="897"/>
    <w:qFormat/>
    <w:rPr>
      <w:rFonts w:ascii="仿宋_GB2312" w:hAnsi="Arial" w:eastAsia="仿宋_GB2312" w:cs="Times New Roman"/>
      <w:sz w:val="32"/>
      <w:szCs w:val="32"/>
    </w:rPr>
  </w:style>
  <w:style w:type="paragraph" w:styleId="899">
    <w:name w:val="正文文本"/>
    <w:basedOn w:val="867"/>
    <w:next w:val="899"/>
    <w:link w:val="900"/>
    <w:qFormat/>
    <w:rPr>
      <w:rFonts w:ascii="楷体_GB2312" w:hAnsi="Arial" w:eastAsia="楷体_GB2312" w:cs="Times New Roman"/>
      <w:sz w:val="28"/>
      <w:szCs w:val="28"/>
    </w:rPr>
  </w:style>
  <w:style w:type="character" w:styleId="900">
    <w:name w:val="正文文本 Char"/>
    <w:next w:val="900"/>
    <w:link w:val="899"/>
    <w:rPr>
      <w:rFonts w:ascii="楷体_GB2312" w:hAnsi="Arial" w:eastAsia="楷体_GB2312" w:cs="Times New Roman"/>
      <w:sz w:val="28"/>
      <w:szCs w:val="28"/>
    </w:rPr>
  </w:style>
  <w:style w:type="paragraph" w:styleId="901">
    <w:name w:val="正文文本缩进"/>
    <w:basedOn w:val="867"/>
    <w:next w:val="903"/>
    <w:link w:val="902"/>
    <w:unhideWhenUsed/>
    <w:qFormat/>
    <w:pPr>
      <w:ind w:left="420"/>
      <w:spacing w:after="120"/>
    </w:pPr>
  </w:style>
  <w:style w:type="character" w:styleId="902">
    <w:name w:val="正文文本缩进 Char"/>
    <w:basedOn w:val="877"/>
    <w:next w:val="902"/>
    <w:link w:val="901"/>
    <w:uiPriority w:val="99"/>
    <w:semiHidden/>
    <w:qFormat/>
  </w:style>
  <w:style w:type="paragraph" w:styleId="903">
    <w:name w:val="寄信人地址"/>
    <w:basedOn w:val="867"/>
    <w:next w:val="903"/>
    <w:link w:val="867"/>
    <w:qFormat/>
    <w:rPr>
      <w:rFonts w:ascii="Arial" w:hAnsi="Arial" w:eastAsia="宋体" w:cs="宋体"/>
    </w:rPr>
  </w:style>
  <w:style w:type="paragraph" w:styleId="904">
    <w:name w:val="列表 2"/>
    <w:basedOn w:val="867"/>
    <w:next w:val="904"/>
    <w:link w:val="867"/>
    <w:qFormat/>
    <w:pPr>
      <w:ind w:left="100" w:hanging="200"/>
    </w:pPr>
    <w:rPr>
      <w:rFonts w:ascii="Times New Roman" w:hAnsi="Times New Roman" w:eastAsia="宋体" w:cs="Times New Roman"/>
      <w:szCs w:val="21"/>
    </w:rPr>
  </w:style>
  <w:style w:type="paragraph" w:styleId="905">
    <w:name w:val="索引 4"/>
    <w:basedOn w:val="867"/>
    <w:next w:val="867"/>
    <w:link w:val="867"/>
    <w:semiHidden/>
    <w:qFormat/>
    <w:pPr>
      <w:ind w:left="1260"/>
    </w:pPr>
    <w:rPr>
      <w:rFonts w:ascii="Calibri" w:hAnsi="Calibri" w:eastAsia="Calibri" w:cs="宋体"/>
      <w:sz w:val="20"/>
      <w:lang w:val="zh-CN"/>
    </w:rPr>
  </w:style>
  <w:style w:type="paragraph" w:styleId="906">
    <w:name w:val="目录 5"/>
    <w:basedOn w:val="867"/>
    <w:next w:val="867"/>
    <w:link w:val="867"/>
    <w:semiHidden/>
    <w:qFormat/>
    <w:pPr>
      <w:ind w:left="840"/>
      <w:jc w:val="left"/>
    </w:pPr>
    <w:rPr>
      <w:rFonts w:ascii="Times New Roman" w:hAnsi="Times New Roman" w:eastAsia="宋体" w:cs="Times New Roman"/>
      <w:szCs w:val="21"/>
    </w:rPr>
  </w:style>
  <w:style w:type="paragraph" w:styleId="907">
    <w:name w:val="目录 3"/>
    <w:basedOn w:val="867"/>
    <w:next w:val="867"/>
    <w:link w:val="867"/>
    <w:semiHidden/>
    <w:qFormat/>
    <w:pPr>
      <w:ind w:left="420"/>
      <w:jc w:val="left"/>
    </w:pPr>
    <w:rPr>
      <w:rFonts w:ascii="Times New Roman" w:hAnsi="Times New Roman" w:eastAsia="宋体" w:cs="Times New Roman"/>
      <w:i/>
      <w:iCs/>
      <w:szCs w:val="24"/>
    </w:rPr>
  </w:style>
  <w:style w:type="paragraph" w:styleId="908">
    <w:name w:val="纯文本"/>
    <w:basedOn w:val="867"/>
    <w:next w:val="908"/>
    <w:link w:val="909"/>
    <w:qFormat/>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7"/>
    <w:next w:val="867"/>
    <w:link w:val="867"/>
    <w:semiHidden/>
    <w:qFormat/>
    <w:pPr>
      <w:ind w:left="1470"/>
      <w:jc w:val="left"/>
    </w:pPr>
    <w:rPr>
      <w:rFonts w:ascii="Times New Roman" w:hAnsi="Times New Roman" w:eastAsia="宋体" w:cs="Times New Roman"/>
      <w:szCs w:val="21"/>
    </w:rPr>
  </w:style>
  <w:style w:type="paragraph" w:styleId="911">
    <w:name w:val="日期"/>
    <w:basedOn w:val="867"/>
    <w:next w:val="867"/>
    <w:link w:val="912"/>
    <w:qFormat/>
    <w:rPr>
      <w:rFonts w:ascii="Times New Roman" w:hAnsi="Times New Roman" w:eastAsia="宋体" w:cs="Times New Roman"/>
      <w:sz w:val="24"/>
      <w:szCs w:val="24"/>
    </w:rPr>
  </w:style>
  <w:style w:type="character" w:styleId="912">
    <w:name w:val="日期 Char"/>
    <w:next w:val="912"/>
    <w:link w:val="911"/>
    <w:qFormat/>
    <w:rPr>
      <w:rFonts w:ascii="Times New Roman" w:hAnsi="Times New Roman" w:eastAsia="宋体" w:cs="Times New Roman"/>
      <w:sz w:val="24"/>
      <w:szCs w:val="24"/>
    </w:rPr>
  </w:style>
  <w:style w:type="paragraph" w:styleId="913">
    <w:name w:val="正文文本缩进 2"/>
    <w:basedOn w:val="867"/>
    <w:next w:val="913"/>
    <w:link w:val="914"/>
    <w:qFormat/>
    <w:pPr>
      <w:ind w:left="630" w:firstLine="645"/>
    </w:pPr>
    <w:rPr>
      <w:rFonts w:ascii="Arial" w:hAnsi="Arial" w:eastAsia="仿宋_GB2312" w:cs="Arial"/>
      <w:sz w:val="32"/>
      <w:szCs w:val="32"/>
    </w:rPr>
  </w:style>
  <w:style w:type="character" w:styleId="914">
    <w:name w:val="正文文本缩进 2 Char"/>
    <w:next w:val="914"/>
    <w:link w:val="913"/>
    <w:qFormat/>
    <w:rPr>
      <w:rFonts w:ascii="Arial" w:hAnsi="Arial" w:eastAsia="仿宋_GB2312" w:cs="Arial"/>
      <w:sz w:val="32"/>
      <w:szCs w:val="32"/>
    </w:rPr>
  </w:style>
  <w:style w:type="paragraph" w:styleId="915">
    <w:name w:val="批注框文本"/>
    <w:basedOn w:val="867"/>
    <w:next w:val="915"/>
    <w:link w:val="916"/>
    <w:semiHidden/>
    <w:rPr>
      <w:rFonts w:ascii="Times New Roman" w:hAnsi="Times New Roman" w:eastAsia="宋体" w:cs="Times New Roman"/>
      <w:sz w:val="18"/>
      <w:szCs w:val="18"/>
    </w:rPr>
  </w:style>
  <w:style w:type="character" w:styleId="916">
    <w:name w:val="批注框文本 Char"/>
    <w:next w:val="916"/>
    <w:link w:val="915"/>
    <w:semiHidden/>
    <w:qFormat/>
    <w:rPr>
      <w:rFonts w:ascii="Times New Roman" w:hAnsi="Times New Roman" w:eastAsia="宋体" w:cs="Times New Roman"/>
      <w:sz w:val="18"/>
      <w:szCs w:val="18"/>
    </w:rPr>
  </w:style>
  <w:style w:type="paragraph" w:styleId="917">
    <w:name w:val="页脚"/>
    <w:basedOn w:val="867"/>
    <w:next w:val="917"/>
    <w:link w:val="918"/>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qFormat/>
    <w:rPr>
      <w:rFonts w:ascii="Times New Roman" w:hAnsi="Times New Roman" w:eastAsia="宋体" w:cs="Times New Roman"/>
      <w:sz w:val="18"/>
      <w:szCs w:val="18"/>
    </w:rPr>
  </w:style>
  <w:style w:type="paragraph" w:styleId="919">
    <w:name w:val="页眉"/>
    <w:basedOn w:val="867"/>
    <w:next w:val="919"/>
    <w:link w:val="92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7"/>
    <w:next w:val="867"/>
    <w:link w:val="867"/>
    <w:semiHidden/>
    <w:pPr>
      <w:ind w:left="630"/>
      <w:jc w:val="left"/>
    </w:pPr>
    <w:rPr>
      <w:rFonts w:ascii="Times New Roman" w:hAnsi="Times New Roman" w:eastAsia="宋体" w:cs="Times New Roman"/>
      <w:szCs w:val="21"/>
    </w:rPr>
  </w:style>
  <w:style w:type="paragraph" w:styleId="923">
    <w:name w:val="列表"/>
    <w:basedOn w:val="867"/>
    <w:next w:val="923"/>
    <w:link w:val="867"/>
    <w:qFormat/>
    <w:pPr>
      <w:ind w:left="200" w:hanging="200"/>
    </w:pPr>
    <w:rPr>
      <w:rFonts w:ascii="Times New Roman" w:hAnsi="Times New Roman" w:eastAsia="宋体" w:cs="Times New Roman"/>
      <w:szCs w:val="21"/>
    </w:rPr>
  </w:style>
  <w:style w:type="paragraph" w:styleId="924">
    <w:name w:val="目录 6"/>
    <w:basedOn w:val="867"/>
    <w:next w:val="867"/>
    <w:link w:val="867"/>
    <w:semiHidden/>
    <w:qFormat/>
    <w:pPr>
      <w:ind w:left="1050"/>
      <w:jc w:val="left"/>
    </w:pPr>
    <w:rPr>
      <w:rFonts w:ascii="Times New Roman" w:hAnsi="Times New Roman" w:eastAsia="宋体" w:cs="Times New Roman"/>
      <w:szCs w:val="21"/>
    </w:rPr>
  </w:style>
  <w:style w:type="paragraph" w:styleId="925">
    <w:name w:val="正文文本缩进 3"/>
    <w:basedOn w:val="867"/>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7"/>
    <w:next w:val="867"/>
    <w:link w:val="867"/>
    <w:semiHidden/>
    <w:qFormat/>
    <w:pPr>
      <w:ind w:left="840" w:hanging="420"/>
    </w:pPr>
    <w:rPr>
      <w:rFonts w:ascii="Times New Roman" w:hAnsi="Times New Roman" w:eastAsia="宋体" w:cs="Times New Roman"/>
      <w:szCs w:val="21"/>
    </w:rPr>
  </w:style>
  <w:style w:type="paragraph" w:styleId="928">
    <w:name w:val="目录 2"/>
    <w:basedOn w:val="867"/>
    <w:next w:val="867"/>
    <w:link w:val="867"/>
    <w:semiHidden/>
    <w:pPr>
      <w:ind w:left="210"/>
      <w:jc w:val="left"/>
    </w:pPr>
    <w:rPr>
      <w:rFonts w:ascii="Times New Roman" w:hAnsi="Times New Roman" w:eastAsia="宋体" w:cs="Times New Roman"/>
      <w:smallCaps/>
      <w:szCs w:val="24"/>
    </w:rPr>
  </w:style>
  <w:style w:type="paragraph" w:styleId="929">
    <w:name w:val="目录 9"/>
    <w:basedOn w:val="867"/>
    <w:next w:val="867"/>
    <w:link w:val="867"/>
    <w:semiHidden/>
    <w:pPr>
      <w:ind w:left="1680"/>
      <w:jc w:val="left"/>
    </w:pPr>
    <w:rPr>
      <w:rFonts w:ascii="Times New Roman" w:hAnsi="Times New Roman" w:eastAsia="宋体" w:cs="Times New Roman"/>
      <w:szCs w:val="21"/>
    </w:rPr>
  </w:style>
  <w:style w:type="paragraph" w:styleId="930">
    <w:name w:val="正文文本 2"/>
    <w:basedOn w:val="867"/>
    <w:next w:val="930"/>
    <w:link w:val="931"/>
    <w:qFormat/>
    <w:pPr>
      <w:jc w:val="center"/>
      <w:widowControl/>
    </w:pPr>
    <w:rPr>
      <w:rFonts w:ascii="楷体_GB2312" w:hAnsi="Times New Roman" w:eastAsia="楷体_GB2312" w:cs="Times New Roman"/>
      <w:sz w:val="28"/>
      <w:szCs w:val="28"/>
    </w:rPr>
  </w:style>
  <w:style w:type="character" w:styleId="931">
    <w:name w:val="正文文本 2 Char"/>
    <w:next w:val="931"/>
    <w:link w:val="930"/>
    <w:qFormat/>
    <w:rPr>
      <w:rFonts w:ascii="楷体_GB2312" w:hAnsi="Times New Roman" w:eastAsia="楷体_GB2312" w:cs="Times New Roman"/>
      <w:sz w:val="28"/>
      <w:szCs w:val="28"/>
    </w:rPr>
  </w:style>
  <w:style w:type="paragraph" w:styleId="932">
    <w:name w:val="普通(网站)"/>
    <w:basedOn w:val="867"/>
    <w:next w:val="932"/>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3">
    <w:name w:val="索引 1"/>
    <w:basedOn w:val="867"/>
    <w:next w:val="867"/>
    <w:link w:val="867"/>
    <w:semiHidden/>
    <w:pPr>
      <w:spacing w:line="240" w:lineRule="atLeast"/>
    </w:pPr>
    <w:rPr>
      <w:rFonts w:ascii="Times New Roman" w:hAnsi="Times New Roman" w:eastAsia="宋体" w:cs="Times New Roman"/>
      <w:b/>
      <w:bCs/>
      <w:szCs w:val="21"/>
    </w:rPr>
  </w:style>
  <w:style w:type="paragraph" w:styleId="934">
    <w:name w:val="批注主题"/>
    <w:basedOn w:val="895"/>
    <w:next w:val="895"/>
    <w:link w:val="935"/>
    <w:semiHidden/>
    <w:qFormat/>
    <w:rPr>
      <w:rFonts w:ascii="Times New Roman" w:hAnsi="Times New Roman" w:eastAsia="宋体" w:cs="Times New Roman"/>
      <w:b/>
      <w:bCs/>
      <w:szCs w:val="21"/>
    </w:rPr>
  </w:style>
  <w:style w:type="character" w:styleId="935">
    <w:name w:val="批注主题 Char"/>
    <w:next w:val="935"/>
    <w:link w:val="934"/>
    <w:semiHidden/>
    <w:qFormat/>
    <w:rPr>
      <w:rFonts w:ascii="Times New Roman" w:hAnsi="Times New Roman" w:eastAsia="宋体" w:cs="Times New Roman"/>
      <w:b/>
      <w:bCs/>
      <w:szCs w:val="21"/>
    </w:rPr>
  </w:style>
  <w:style w:type="paragraph" w:styleId="936">
    <w:name w:val="正文首行缩进"/>
    <w:basedOn w:val="867"/>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qFormat/>
    <w:rPr>
      <w:rFonts w:ascii="仿宋_GB2312" w:hAnsi="Times New Roman" w:eastAsia="仿宋_GB2312" w:cs="Times New Roman"/>
      <w:sz w:val="30"/>
      <w:szCs w:val="30"/>
    </w:rPr>
  </w:style>
  <w:style w:type="paragraph" w:styleId="938">
    <w:name w:val="正文首行缩进 2"/>
    <w:basedOn w:val="901"/>
    <w:next w:val="867"/>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78"/>
    <w:next w:val="940"/>
    <w:link w:val="867"/>
    <w:qFormat/>
    <w:pPr>
      <w:jc w:val="both"/>
      <w:widowControl w:val="off"/>
    </w:pPr>
    <w:rPr>
      <w:rFonts w:ascii="Times New Roman" w:hAnsi="Times New Roman" w:eastAsia="宋体" w:cs="Times New Roman"/>
      <w:sz w:val="20"/>
      <w:szCs w:val="20"/>
    </w:rPr>
    <w:tblPr/>
  </w:style>
  <w:style w:type="character" w:styleId="941">
    <w:name w:val="要点"/>
    <w:next w:val="941"/>
    <w:link w:val="867"/>
    <w:qFormat/>
    <w:rPr>
      <w:b/>
      <w:bCs/>
    </w:rPr>
  </w:style>
  <w:style w:type="character" w:styleId="942">
    <w:name w:val="页码"/>
    <w:next w:val="942"/>
    <w:link w:val="867"/>
    <w:qFormat/>
  </w:style>
  <w:style w:type="character" w:styleId="943">
    <w:name w:val="已访问的超链接"/>
    <w:next w:val="943"/>
    <w:link w:val="867"/>
    <w:rPr>
      <w:color w:val="800080"/>
      <w:u w:val="single"/>
    </w:rPr>
  </w:style>
  <w:style w:type="character" w:styleId="944">
    <w:name w:val="强调"/>
    <w:next w:val="944"/>
    <w:link w:val="867"/>
    <w:qFormat/>
    <w:rPr>
      <w:i/>
    </w:rPr>
  </w:style>
  <w:style w:type="character" w:styleId="945">
    <w:name w:val="超链接"/>
    <w:next w:val="945"/>
    <w:link w:val="867"/>
    <w:rPr>
      <w:color w:val="0000ff"/>
      <w:u w:val="single"/>
    </w:rPr>
  </w:style>
  <w:style w:type="character" w:styleId="946">
    <w:name w:val="批注引用"/>
    <w:next w:val="946"/>
    <w:link w:val="867"/>
    <w:semiHidden/>
    <w:qFormat/>
    <w:rPr>
      <w:sz w:val="21"/>
      <w:szCs w:val="21"/>
    </w:rPr>
  </w:style>
  <w:style w:type="paragraph" w:styleId="947">
    <w:name w:val="正文文本缩进1"/>
    <w:basedOn w:val="867"/>
    <w:next w:val="948"/>
    <w:link w:val="867"/>
    <w:unhideWhenUsed/>
    <w:qFormat/>
    <w:pPr>
      <w:ind w:left="420"/>
      <w:spacing w:after="120"/>
    </w:pPr>
  </w:style>
  <w:style w:type="paragraph" w:styleId="948">
    <w:name w:val="正文文本首行缩进 2"/>
    <w:basedOn w:val="947"/>
    <w:next w:val="948"/>
    <w:link w:val="867"/>
    <w:qFormat/>
    <w:pPr>
      <w:ind w:left="0" w:firstLine="420"/>
      <w:spacing w:after="0" w:line="360" w:lineRule="auto"/>
    </w:pPr>
    <w:rPr>
      <w:rFonts w:ascii="宋体" w:hAnsi="宋体"/>
      <w:sz w:val="20"/>
      <w:szCs w:val="20"/>
      <w:lang w:val="en-US" w:eastAsia="en-US"/>
    </w:rPr>
  </w:style>
  <w:style w:type="character" w:styleId="949">
    <w:name w:val="font5 Char"/>
    <w:next w:val="949"/>
    <w:link w:val="867"/>
    <w:rPr>
      <w:rFonts w:ascii="宋体" w:hAnsi="宋体" w:eastAsia="宋体"/>
      <w:sz w:val="28"/>
      <w:szCs w:val="28"/>
      <w:lang w:val="en-US" w:eastAsia="zh-CN" w:bidi="ar-SA"/>
    </w:rPr>
  </w:style>
  <w:style w:type="character" w:styleId="950">
    <w:name w:val="二级目录 Char"/>
    <w:next w:val="950"/>
    <w:link w:val="951"/>
    <w:qFormat/>
    <w:rPr>
      <w:b/>
      <w:sz w:val="30"/>
      <w:szCs w:val="28"/>
    </w:rPr>
  </w:style>
  <w:style w:type="paragraph" w:styleId="951">
    <w:name w:val="二级目录"/>
    <w:next w:val="867"/>
    <w:link w:val="950"/>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2">
    <w:name w:val="列出段落 Char"/>
    <w:next w:val="952"/>
    <w:link w:val="953"/>
    <w:qFormat/>
    <w:rPr>
      <w:rFonts w:ascii="Calibri" w:hAnsi="Calibri"/>
      <w:sz w:val="24"/>
      <w:szCs w:val="24"/>
      <w:lang w:eastAsia="en-US" w:bidi="en-US"/>
    </w:rPr>
  </w:style>
  <w:style w:type="paragraph" w:styleId="953">
    <w:name w:val="列出段落1"/>
    <w:basedOn w:val="867"/>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7"/>
    <w:next w:val="899"/>
    <w:link w:val="867"/>
    <w:qFormat/>
    <w:pPr>
      <w:spacing w:after="120"/>
    </w:pPr>
    <w:rPr>
      <w:rFonts w:ascii="宋体" w:hAnsi="Arial" w:eastAsia="宋体" w:cs="Times New Roman"/>
      <w:bCs/>
      <w:iCs/>
      <w:szCs w:val="24"/>
    </w:rPr>
  </w:style>
  <w:style w:type="paragraph" w:styleId="955">
    <w:name w:val="xl27"/>
    <w:basedOn w:val="867"/>
    <w:next w:val="955"/>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7"/>
    <w:next w:val="956"/>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7"/>
    <w:next w:val="957"/>
    <w:link w:val="867"/>
    <w:pPr>
      <w:ind w:firstLine="200"/>
      <w:tabs>
        <w:tab w:val="left" w:pos="360" w:leader="none"/>
      </w:tabs>
    </w:pPr>
    <w:rPr>
      <w:rFonts w:ascii="Times New Roman" w:hAnsi="Times New Roman" w:eastAsia="宋体" w:cs="Times New Roman"/>
      <w:sz w:val="28"/>
      <w:szCs w:val="30"/>
    </w:rPr>
  </w:style>
  <w:style w:type="paragraph" w:styleId="958">
    <w:name w:val=" Char"/>
    <w:basedOn w:val="893"/>
    <w:next w:val="958"/>
    <w:link w:val="867"/>
    <w:rPr>
      <w:rFonts w:ascii="Tahoma" w:hAnsi="Tahoma"/>
      <w:sz w:val="24"/>
      <w:szCs w:val="24"/>
    </w:rPr>
  </w:style>
  <w:style w:type="paragraph" w:styleId="959">
    <w:name w:val="普通正文"/>
    <w:basedOn w:val="867"/>
    <w:next w:val="959"/>
    <w:link w:val="867"/>
    <w:qFormat/>
    <w:pPr>
      <w:ind w:firstLine="480"/>
      <w:jc w:val="left"/>
      <w:spacing w:before="120" w:after="120" w:line="360" w:lineRule="auto"/>
    </w:pPr>
    <w:rPr>
      <w:rFonts w:ascii="Arial" w:hAnsi="Arial" w:eastAsia="宋体" w:cs="Times New Roman"/>
      <w:sz w:val="24"/>
      <w:szCs w:val="24"/>
    </w:rPr>
  </w:style>
  <w:style w:type="paragraph" w:styleId="960">
    <w:name w:val="table_lines"/>
    <w:basedOn w:val="867"/>
    <w:next w:val="960"/>
    <w:link w:val="867"/>
    <w:qFormat/>
    <w:pPr>
      <w:jc w:val="left"/>
      <w:widowControl/>
    </w:pPr>
    <w:rPr>
      <w:rFonts w:ascii="Times New Roman" w:hAnsi="Times New Roman" w:eastAsia="宋体" w:cs="Times New Roman"/>
      <w:sz w:val="20"/>
      <w:szCs w:val="20"/>
      <w:lang w:val="de-DE" w:eastAsia="de-DE"/>
    </w:rPr>
  </w:style>
  <w:style w:type="paragraph" w:styleId="961">
    <w:name w:val="附录1"/>
    <w:next w:val="961"/>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2">
    <w:name w:val="font7"/>
    <w:basedOn w:val="867"/>
    <w:next w:val="962"/>
    <w:link w:val="867"/>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3"/>
    <w:next w:val="963"/>
    <w:link w:val="867"/>
    <w:pPr>
      <w:spacing w:line="360" w:lineRule="auto"/>
    </w:pPr>
    <w:rPr>
      <w:rFonts w:ascii="Tahoma" w:hAnsi="Tahoma"/>
      <w:sz w:val="24"/>
      <w:szCs w:val="24"/>
    </w:rPr>
  </w:style>
  <w:style w:type="paragraph" w:styleId="964">
    <w:name w:val="List Paragraph"/>
    <w:basedOn w:val="867"/>
    <w:next w:val="964"/>
    <w:link w:val="867"/>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7"/>
    <w:next w:val="925"/>
    <w:link w:val="867"/>
    <w:qFormat/>
    <w:pPr>
      <w:ind w:firstLine="420"/>
      <w:spacing w:line="360" w:lineRule="auto"/>
    </w:pPr>
    <w:rPr>
      <w:rFonts w:ascii="Times New Roman" w:hAnsi="Times New Roman" w:eastAsia="宋体" w:cs="Times New Roman"/>
      <w:color w:val="ff0000"/>
      <w:sz w:val="24"/>
      <w:szCs w:val="24"/>
    </w:rPr>
  </w:style>
  <w:style w:type="paragraph" w:styleId="966">
    <w:name w:val="普通 (Web)"/>
    <w:basedOn w:val="867"/>
    <w:next w:val="966"/>
    <w:link w:val="867"/>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7"/>
    <w:next w:val="967"/>
    <w:link w:val="867"/>
    <w:qFormat/>
    <w:pPr>
      <w:spacing w:line="360" w:lineRule="auto"/>
    </w:pPr>
    <w:rPr>
      <w:rFonts w:ascii="Times New Roman" w:hAnsi="Times New Roman" w:eastAsia="宋体" w:cs="Times New Roman"/>
      <w:sz w:val="24"/>
      <w:szCs w:val="20"/>
    </w:rPr>
  </w:style>
  <w:style w:type="paragraph" w:styleId="968">
    <w:name w:val="样式1"/>
    <w:basedOn w:val="867"/>
    <w:next w:val="968"/>
    <w:link w:val="867"/>
    <w:pPr>
      <w:numPr>
        <w:ilvl w:val="0"/>
        <w:numId w:val="3"/>
      </w:numPr>
      <w:tabs>
        <w:tab w:val="left" w:pos="709" w:leader="none"/>
      </w:tabs>
    </w:pPr>
    <w:rPr>
      <w:rFonts w:ascii="宋体" w:hAnsi="宋体" w:eastAsia="宋体" w:cs="Times New Roman"/>
      <w:szCs w:val="21"/>
    </w:rPr>
  </w:style>
  <w:style w:type="paragraph" w:styleId="969">
    <w:name w:val="font6"/>
    <w:basedOn w:val="867"/>
    <w:next w:val="969"/>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7"/>
    <w:next w:val="970"/>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3">
    <w:name w:val="xl24"/>
    <w:basedOn w:val="867"/>
    <w:next w:val="973"/>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7"/>
    <w:next w:val="974"/>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7"/>
    <w:next w:val="975"/>
    <w:link w:val="867"/>
    <w:qFormat/>
    <w:pPr>
      <w:jc w:val="left"/>
      <w:spacing w:after="160" w:line="240" w:lineRule="exact"/>
      <w:widowControl/>
    </w:pPr>
    <w:rPr>
      <w:rFonts w:ascii="Verdana" w:hAnsi="Verdana" w:eastAsia="宋体" w:cs="Times New Roman"/>
      <w:sz w:val="20"/>
      <w:szCs w:val="20"/>
      <w:lang w:eastAsia="en-US"/>
    </w:rPr>
  </w:style>
  <w:style w:type="paragraph" w:styleId="976">
    <w:name w:val="xl28"/>
    <w:basedOn w:val="867"/>
    <w:next w:val="976"/>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7"/>
    <w:next w:val="977"/>
    <w:link w:val="867"/>
    <w:qFormat/>
    <w:pPr>
      <w:jc w:val="left"/>
      <w:spacing w:after="160" w:line="240" w:lineRule="exact"/>
      <w:widowControl/>
    </w:pPr>
    <w:rPr>
      <w:rFonts w:ascii="Verdana" w:hAnsi="Verdana" w:eastAsia="宋体" w:cs="Times New Roman"/>
      <w:sz w:val="20"/>
      <w:szCs w:val="20"/>
      <w:lang w:eastAsia="en-US"/>
    </w:rPr>
  </w:style>
  <w:style w:type="paragraph" w:styleId="978">
    <w:name w:val="xl30"/>
    <w:basedOn w:val="867"/>
    <w:next w:val="978"/>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3"/>
    <w:next w:val="979"/>
    <w:link w:val="867"/>
    <w:pPr>
      <w:spacing w:line="360" w:lineRule="auto"/>
    </w:pPr>
    <w:rPr>
      <w:rFonts w:ascii="Tahoma" w:hAnsi="Tahoma"/>
      <w:sz w:val="24"/>
      <w:szCs w:val="24"/>
    </w:rPr>
  </w:style>
  <w:style w:type="paragraph" w:styleId="980">
    <w:name w:val="table_1stline"/>
    <w:basedOn w:val="867"/>
    <w:next w:val="980"/>
    <w:link w:val="867"/>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7"/>
    <w:next w:val="981"/>
    <w:link w:val="867"/>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_Style 112"/>
    <w:next w:val="983"/>
    <w:link w:val="867"/>
    <w:uiPriority w:val="99"/>
    <w:semiHidden/>
    <w:rPr>
      <w:rFonts w:ascii="Times New Roman" w:hAnsi="Times New Roman" w:eastAsia="宋体" w:cs="Times New Roman"/>
      <w:sz w:val="21"/>
      <w:szCs w:val="21"/>
      <w:lang w:val="en-US" w:eastAsia="zh-CN" w:bidi="ar-SA"/>
    </w:rPr>
  </w:style>
  <w:style w:type="paragraph" w:styleId="984">
    <w:name w:val="No Spacing"/>
    <w:next w:val="984"/>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5">
    <w:name w:val="Table Normal"/>
    <w:next w:val="985"/>
    <w:link w:val="867"/>
    <w:qFormat/>
    <w:tblPr/>
  </w:style>
  <w:style w:type="paragraph" w:styleId="986">
    <w:name w:val="正文文本 211"/>
    <w:basedOn w:val="867"/>
    <w:next w:val="986"/>
    <w:link w:val="867"/>
    <w:uiPriority w:val="99"/>
    <w:qFormat/>
    <w:pPr>
      <w:jc w:val="center"/>
    </w:pPr>
    <w:rPr>
      <w:b/>
      <w:bCs/>
      <w:sz w:val="20"/>
      <w:szCs w:val="20"/>
    </w:rPr>
  </w:style>
  <w:style w:type="paragraph" w:styleId="987">
    <w:name w:val="正文文本1"/>
    <w:basedOn w:val="867"/>
    <w:next w:val="867"/>
    <w:link w:val="867"/>
    <w:semiHidden/>
    <w:qFormat/>
    <w:rPr>
      <w:rFonts w:ascii="Arial" w:hAnsi="Arial" w:eastAsia="Arial" w:cs="Arial"/>
      <w:sz w:val="21"/>
      <w:szCs w:val="21"/>
      <w:lang w:val="en-US" w:eastAsia="en-US" w:bidi="ar-SA"/>
    </w:rPr>
  </w:style>
  <w:style w:type="paragraph" w:styleId="988">
    <w:name w:val="正文文本12"/>
    <w:basedOn w:val="867"/>
    <w:next w:val="988"/>
    <w:link w:val="867"/>
    <w:uiPriority w:val="1"/>
    <w:qFormat/>
    <w:pPr>
      <w:ind w:left="120"/>
    </w:pPr>
    <w:rPr>
      <w:rFonts w:ascii="宋体" w:hAnsi="宋体" w:eastAsia="宋体" w:cs="宋体"/>
      <w:sz w:val="21"/>
      <w:szCs w:val="21"/>
      <w:lang w:val="zh-CN" w:eastAsia="zh-CN" w:bidi="zh-CN"/>
    </w:rPr>
  </w:style>
  <w:style w:type="paragraph" w:styleId="989">
    <w:name w:val="纯文本1"/>
    <w:basedOn w:val="867"/>
    <w:next w:val="989"/>
    <w:link w:val="867"/>
    <w:qFormat/>
    <w:rPr>
      <w:rFonts w:ascii="宋体" w:hAnsi="Courier New" w:cs="Courier New"/>
    </w:rPr>
  </w:style>
  <w:style w:type="table" w:styleId="990">
    <w:name w:val="网格型1"/>
    <w:basedOn w:val="991"/>
    <w:next w:val="990"/>
    <w:link w:val="867"/>
    <w:qFormat/>
    <w:pPr>
      <w:jc w:val="both"/>
      <w:widowControl w:val="off"/>
    </w:pPr>
    <w:tblPr/>
  </w:style>
  <w:style w:type="table" w:styleId="991">
    <w:name w:val="普通表格1"/>
    <w:next w:val="991"/>
    <w:link w:val="867"/>
    <w:uiPriority w:val="99"/>
    <w:unhideWhenUsed/>
    <w:qFormat/>
    <w:tblPr/>
  </w:style>
  <w:style w:type="character" w:styleId="992">
    <w:name w:val="15"/>
    <w:basedOn w:val="877"/>
    <w:next w:val="992"/>
    <w:link w:val="867"/>
    <w:rPr>
      <w:rFonts w:ascii="Times New Roman" w:hAnsi="Times New Roman" w:cs="Times New Roman"/>
    </w:rPr>
  </w:style>
  <w:style w:type="paragraph" w:styleId="993">
    <w:name w:val="正文首行缩进 211"/>
    <w:basedOn w:val="994"/>
    <w:next w:val="867"/>
    <w:link w:val="867"/>
    <w:qFormat/>
    <w:pPr>
      <w:ind w:left="0" w:firstLine="420"/>
      <w:spacing w:after="0" w:line="360" w:lineRule="auto"/>
    </w:pPr>
    <w:rPr>
      <w:rFonts w:ascii="宋体" w:hAnsi="宋体" w:eastAsia="宋体" w:cs="Times New Roman"/>
      <w:szCs w:val="20"/>
    </w:rPr>
  </w:style>
  <w:style w:type="paragraph" w:styleId="994">
    <w:name w:val="正文文本缩进11"/>
    <w:basedOn w:val="867"/>
    <w:next w:val="995"/>
    <w:link w:val="867"/>
    <w:unhideWhenUsed/>
    <w:qFormat/>
    <w:pPr>
      <w:ind w:left="420"/>
      <w:spacing w:after="120"/>
    </w:pPr>
  </w:style>
  <w:style w:type="paragraph" w:styleId="995">
    <w:name w:val="寄信人地址1"/>
    <w:basedOn w:val="867"/>
    <w:next w:val="995"/>
    <w:link w:val="867"/>
    <w:qFormat/>
    <w:rPr>
      <w:rFonts w:ascii="Arial" w:hAnsi="Arial" w:eastAsia="宋体" w:cs="宋体"/>
    </w:rPr>
  </w:style>
  <w:style w:type="paragraph" w:styleId="996">
    <w:name w:val="*正文"/>
    <w:next w:val="996"/>
    <w:link w:val="867"/>
    <w:qFormat/>
    <w:pPr>
      <w:ind w:firstLine="0"/>
      <w:jc w:val="center"/>
      <w:spacing w:line="360" w:lineRule="auto"/>
      <w:widowControl w:val="off"/>
    </w:pPr>
    <w:rPr>
      <w:rFonts w:ascii="宋体" w:hAnsi="宋体" w:eastAsia="宋体" w:cs="Times New Roman"/>
      <w:sz w:val="24"/>
      <w:szCs w:val="20"/>
      <w:lang w:val="en-US" w:eastAsia="zh-CN" w:bidi="ar-SA"/>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4</cp:revision>
  <dcterms:created xsi:type="dcterms:W3CDTF">2023-03-27T07:28:00Z</dcterms:created>
  <dcterms:modified xsi:type="dcterms:W3CDTF">2026-07-21T01:08:39Z</dcterms:modified>
</cp:coreProperties>
</file>